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D904F" w14:textId="19B7CE6C" w:rsidR="00154E71" w:rsidRDefault="00A35541" w:rsidP="006C249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86692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D1CC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14:paraId="350049E5" w14:textId="276615D2" w:rsidR="00A35541" w:rsidRPr="00866920" w:rsidRDefault="00A35541" w:rsidP="006C249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866920">
        <w:rPr>
          <w:rFonts w:ascii="Times New Roman" w:hAnsi="Times New Roman" w:cs="Times New Roman"/>
          <w:sz w:val="24"/>
          <w:szCs w:val="24"/>
        </w:rPr>
        <w:t>к аналитической записке</w:t>
      </w:r>
    </w:p>
    <w:p w14:paraId="24AAD08F" w14:textId="15662D44" w:rsidR="002C786D" w:rsidRDefault="002C786D" w:rsidP="00FC5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E4C5A" w14:textId="77777777" w:rsidR="008C637E" w:rsidRDefault="008C637E" w:rsidP="00FC5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9FB81" w14:textId="2808A929" w:rsidR="00AA1D4A" w:rsidRPr="00866920" w:rsidRDefault="000D593F" w:rsidP="00FC5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920">
        <w:rPr>
          <w:rFonts w:ascii="Times New Roman" w:hAnsi="Times New Roman" w:cs="Times New Roman"/>
          <w:b/>
          <w:sz w:val="24"/>
          <w:szCs w:val="24"/>
        </w:rPr>
        <w:t>Информация о</w:t>
      </w:r>
      <w:r w:rsidR="00701577" w:rsidRPr="00866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24D" w:rsidRPr="00866920">
        <w:rPr>
          <w:rFonts w:ascii="Times New Roman" w:hAnsi="Times New Roman" w:cs="Times New Roman"/>
          <w:b/>
          <w:sz w:val="24"/>
          <w:szCs w:val="24"/>
        </w:rPr>
        <w:t>недостатках</w:t>
      </w:r>
      <w:r w:rsidR="001018E9">
        <w:rPr>
          <w:rFonts w:ascii="Times New Roman" w:hAnsi="Times New Roman" w:cs="Times New Roman"/>
          <w:b/>
          <w:sz w:val="24"/>
          <w:szCs w:val="24"/>
        </w:rPr>
        <w:t xml:space="preserve"> и причинах низкого уровня</w:t>
      </w:r>
      <w:r w:rsidR="0029424D" w:rsidRPr="00866920">
        <w:rPr>
          <w:rFonts w:ascii="Times New Roman" w:hAnsi="Times New Roman" w:cs="Times New Roman"/>
          <w:b/>
          <w:sz w:val="24"/>
          <w:szCs w:val="24"/>
        </w:rPr>
        <w:t xml:space="preserve"> предоставлени</w:t>
      </w:r>
      <w:r w:rsidR="001018E9">
        <w:rPr>
          <w:rFonts w:ascii="Times New Roman" w:hAnsi="Times New Roman" w:cs="Times New Roman"/>
          <w:b/>
          <w:sz w:val="24"/>
          <w:szCs w:val="24"/>
        </w:rPr>
        <w:t>я</w:t>
      </w:r>
      <w:r w:rsidR="0029424D" w:rsidRPr="00866920">
        <w:rPr>
          <w:rFonts w:ascii="Times New Roman" w:hAnsi="Times New Roman" w:cs="Times New Roman"/>
          <w:b/>
          <w:sz w:val="24"/>
          <w:szCs w:val="24"/>
        </w:rPr>
        <w:t xml:space="preserve"> субсидий </w:t>
      </w:r>
      <w:r w:rsidRPr="00866920">
        <w:rPr>
          <w:rFonts w:ascii="Times New Roman" w:hAnsi="Times New Roman" w:cs="Times New Roman"/>
          <w:b/>
          <w:sz w:val="24"/>
          <w:szCs w:val="24"/>
        </w:rPr>
        <w:t>юридическим лицам</w:t>
      </w:r>
    </w:p>
    <w:p w14:paraId="77126AE3" w14:textId="77777777" w:rsidR="00FD7026" w:rsidRPr="00866920" w:rsidRDefault="00FD7026" w:rsidP="0083228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189B7D4E" w14:textId="77777777" w:rsidR="00A258C6" w:rsidRPr="00866920" w:rsidRDefault="00A258C6" w:rsidP="00A258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66920">
        <w:rPr>
          <w:rFonts w:ascii="Times New Roman" w:hAnsi="Times New Roman" w:cs="Times New Roman"/>
          <w:sz w:val="20"/>
          <w:szCs w:val="20"/>
        </w:rPr>
        <w:t>(млн. рублей)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7229"/>
        <w:gridCol w:w="1559"/>
      </w:tblGrid>
      <w:tr w:rsidR="00AA1D4A" w:rsidRPr="00866920" w14:paraId="476B84A9" w14:textId="77777777" w:rsidTr="001F23CF">
        <w:trPr>
          <w:tblHeader/>
        </w:trPr>
        <w:tc>
          <w:tcPr>
            <w:tcW w:w="1702" w:type="dxa"/>
            <w:vAlign w:val="center"/>
          </w:tcPr>
          <w:p w14:paraId="2022D01C" w14:textId="77777777" w:rsidR="00AA1D4A" w:rsidRPr="00686BFC" w:rsidRDefault="00AA1D4A" w:rsidP="00BE0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BFC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распорядитель средств федерального бюджета</w:t>
            </w:r>
          </w:p>
        </w:tc>
        <w:tc>
          <w:tcPr>
            <w:tcW w:w="7229" w:type="dxa"/>
            <w:vAlign w:val="center"/>
          </w:tcPr>
          <w:p w14:paraId="7296938B" w14:textId="77777777" w:rsidR="00AA1D4A" w:rsidRPr="00686BFC" w:rsidRDefault="00B91420" w:rsidP="007B2A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BF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</w:t>
            </w:r>
            <w:r w:rsidR="00701577" w:rsidRPr="00686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предоставлении субсидий</w:t>
            </w:r>
            <w:r w:rsidRPr="00686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юридическим лицам</w:t>
            </w:r>
            <w:r w:rsidR="007B2A48" w:rsidRPr="00686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заключении соглашений</w:t>
            </w:r>
          </w:p>
        </w:tc>
        <w:tc>
          <w:tcPr>
            <w:tcW w:w="1559" w:type="dxa"/>
            <w:vAlign w:val="center"/>
          </w:tcPr>
          <w:p w14:paraId="15A71F61" w14:textId="77777777" w:rsidR="00AA1D4A" w:rsidRPr="00686BFC" w:rsidRDefault="004D1146" w:rsidP="004D11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расходов федерального бюджета на </w:t>
            </w:r>
            <w:proofErr w:type="spellStart"/>
            <w:proofErr w:type="gramStart"/>
            <w:r w:rsidRPr="00686BFC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</w:t>
            </w:r>
            <w:r w:rsidR="001C5629" w:rsidRPr="00686BF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86BFC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686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субсидий</w:t>
            </w:r>
          </w:p>
        </w:tc>
      </w:tr>
      <w:tr w:rsidR="001E0C6B" w:rsidRPr="001E0C6B" w14:paraId="1F5C504F" w14:textId="77777777" w:rsidTr="001F23CF">
        <w:tc>
          <w:tcPr>
            <w:tcW w:w="1702" w:type="dxa"/>
          </w:tcPr>
          <w:p w14:paraId="71CF1784" w14:textId="4E0EA4FC" w:rsidR="001E0C6B" w:rsidRPr="001E0C6B" w:rsidRDefault="00023B90" w:rsidP="00BE01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Минздрав России</w:t>
            </w:r>
          </w:p>
        </w:tc>
        <w:tc>
          <w:tcPr>
            <w:tcW w:w="7229" w:type="dxa"/>
          </w:tcPr>
          <w:p w14:paraId="2DE038A7" w14:textId="77777777" w:rsidR="001E0C6B" w:rsidRDefault="00023B90" w:rsidP="00023B90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рамках ведомственного</w:t>
            </w:r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Обеспечение оказания медицинской помощи (при необходимости за пределами Российской Федерации) детям с тяжелыми </w:t>
            </w:r>
            <w:proofErr w:type="spellStart"/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>жизнеугрожающими</w:t>
            </w:r>
            <w:proofErr w:type="spellEnd"/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или хроническими заболеваниями, в том числе 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дкими 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орфанными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 заболеваниями» госпрограммы «Развитие здравоохранения» на предоставление г</w:t>
            </w:r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>рант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Фонду поддержки детей с тяжелыми </w:t>
            </w:r>
            <w:proofErr w:type="spellStart"/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>жизнеугрожающими</w:t>
            </w:r>
            <w:proofErr w:type="spellEnd"/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хроническими заболеваниями, в том числе редкими (</w:t>
            </w:r>
            <w:proofErr w:type="spellStart"/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>орфанными</w:t>
            </w:r>
            <w:proofErr w:type="spellEnd"/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заболеваниями,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«Круг добра» по Минздраву России предусмотрены бюджетные ассигнования в объеме 85 575,8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млн. рублей.</w:t>
            </w:r>
          </w:p>
          <w:p w14:paraId="30C6251B" w14:textId="113BA8BA" w:rsidR="00023B90" w:rsidRPr="001E0C6B" w:rsidRDefault="00023B90" w:rsidP="00C5789D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состоянию на 1 июля 2022 года </w:t>
            </w:r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бюджетные ассигнования на указанные цели исполнены в объеме </w:t>
            </w:r>
            <w:r w:rsidR="00A10BD9">
              <w:rPr>
                <w:rFonts w:ascii="Times New Roman" w:hAnsi="Times New Roman" w:cs="Times New Roman"/>
                <w:bCs/>
                <w:sz w:val="20"/>
                <w:szCs w:val="20"/>
              </w:rPr>
              <w:t>9 956,6</w:t>
            </w:r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млн. рублей, или лишь </w:t>
            </w:r>
            <w:r w:rsidR="00A10BD9">
              <w:rPr>
                <w:rFonts w:ascii="Times New Roman" w:hAnsi="Times New Roman" w:cs="Times New Roman"/>
                <w:bCs/>
                <w:sz w:val="20"/>
                <w:szCs w:val="20"/>
              </w:rPr>
              <w:t>12,1</w:t>
            </w:r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> % показателя сводной росписи с изменениями,</w:t>
            </w:r>
            <w:r w:rsidR="00A10B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связи с </w:t>
            </w:r>
            <w:r w:rsidR="00A10BD9" w:rsidRPr="00A10BD9">
              <w:rPr>
                <w:rFonts w:ascii="Times New Roman" w:hAnsi="Times New Roman" w:cs="Times New Roman"/>
                <w:bCs/>
                <w:sz w:val="20"/>
                <w:szCs w:val="20"/>
              </w:rPr>
              <w:t>задержками в поставках зарубежными производителями необходимых лекарств и возникших в связи с этим логистических ограничений</w:t>
            </w:r>
            <w:r w:rsidR="00A10BD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C8A43EB" w14:textId="645AEA98" w:rsidR="001E0C6B" w:rsidRPr="001E0C6B" w:rsidRDefault="00A10BD9" w:rsidP="00BE01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85 575,8</w:t>
            </w:r>
          </w:p>
        </w:tc>
      </w:tr>
      <w:tr w:rsidR="005420C2" w:rsidRPr="001E0C6B" w14:paraId="1DA6C683" w14:textId="77777777" w:rsidTr="00DD0124">
        <w:tc>
          <w:tcPr>
            <w:tcW w:w="1702" w:type="dxa"/>
          </w:tcPr>
          <w:p w14:paraId="36D0E042" w14:textId="421D9FE8" w:rsidR="005420C2" w:rsidRDefault="005420C2" w:rsidP="006767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9106A">
              <w:rPr>
                <w:rFonts w:ascii="Times New Roman" w:hAnsi="Times New Roman" w:cs="Times New Roman"/>
                <w:sz w:val="20"/>
                <w:szCs w:val="20"/>
              </w:rPr>
              <w:t>Росавиация</w:t>
            </w:r>
            <w:proofErr w:type="spellEnd"/>
          </w:p>
        </w:tc>
        <w:tc>
          <w:tcPr>
            <w:tcW w:w="7229" w:type="dxa"/>
          </w:tcPr>
          <w:p w14:paraId="058C4F4B" w14:textId="77777777" w:rsidR="005420C2" w:rsidRPr="00557710" w:rsidRDefault="005420C2" w:rsidP="00DD0124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рамках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</w:t>
            </w:r>
            <w:r w:rsidRPr="008910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8910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89106A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доступности услуг воздушного транспорта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госпрограммы «Развитие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транспортной системы</w:t>
            </w: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на предоставление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субсидий </w:t>
            </w:r>
            <w:r w:rsidRPr="0089106A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российским авиакомпаниям, осуществляющим перевозки по внутренним воздушным линиям и грузовые перевозки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8910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возмещение операционных расходов в условиях внешнего </w:t>
            </w:r>
            <w:proofErr w:type="spellStart"/>
            <w:r w:rsidRPr="0089106A">
              <w:rPr>
                <w:rFonts w:ascii="Times New Roman" w:hAnsi="Times New Roman" w:cs="Times New Roman"/>
                <w:bCs/>
                <w:sz w:val="20"/>
                <w:szCs w:val="20"/>
              </w:rPr>
              <w:t>санкционного</w:t>
            </w:r>
            <w:proofErr w:type="spellEnd"/>
            <w:r w:rsidRPr="008910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воздействия </w:t>
            </w: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Росавиации</w:t>
            </w:r>
            <w:proofErr w:type="spellEnd"/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предусмотрены бюджетные ассигнования в объеме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32 900,0</w:t>
            </w: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> млн. рублей.</w:t>
            </w:r>
          </w:p>
          <w:p w14:paraId="06380F0F" w14:textId="72CA92B6" w:rsidR="005420C2" w:rsidRDefault="005420C2" w:rsidP="00DD0124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CE">
              <w:rPr>
                <w:rFonts w:ascii="Times New Roman" w:hAnsi="Times New Roman" w:cs="Times New Roman"/>
                <w:bCs/>
                <w:sz w:val="20"/>
                <w:szCs w:val="20"/>
              </w:rPr>
              <w:t>По состоянию на 1 июля 2022 года исполнение расходов на указанные цели не осуществлялось в связи 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отсутствием заключенных соглашений о предоставлении субсидий между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Росавиацией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авиакомпаниями.</w:t>
            </w:r>
          </w:p>
        </w:tc>
        <w:tc>
          <w:tcPr>
            <w:tcW w:w="1559" w:type="dxa"/>
          </w:tcPr>
          <w:p w14:paraId="2FA66613" w14:textId="606B3F3C" w:rsidR="005420C2" w:rsidRDefault="005420C2" w:rsidP="00DD01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06A">
              <w:rPr>
                <w:rFonts w:ascii="Times New Roman" w:hAnsi="Times New Roman" w:cs="Times New Roman"/>
                <w:bCs/>
                <w:sz w:val="20"/>
                <w:szCs w:val="20"/>
              </w:rPr>
              <w:t>32 900,0</w:t>
            </w:r>
          </w:p>
        </w:tc>
      </w:tr>
      <w:tr w:rsidR="005420C2" w:rsidRPr="001E0C6B" w14:paraId="1B553639" w14:textId="77777777" w:rsidTr="00DD0124">
        <w:tc>
          <w:tcPr>
            <w:tcW w:w="1702" w:type="dxa"/>
          </w:tcPr>
          <w:p w14:paraId="0E1BD6A8" w14:textId="359B712D" w:rsidR="005420C2" w:rsidRDefault="005420C2" w:rsidP="006767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271A">
              <w:rPr>
                <w:rFonts w:ascii="Times New Roman" w:hAnsi="Times New Roman" w:cs="Times New Roman"/>
                <w:sz w:val="20"/>
                <w:szCs w:val="20"/>
              </w:rPr>
              <w:t>Минтранс России</w:t>
            </w:r>
          </w:p>
        </w:tc>
        <w:tc>
          <w:tcPr>
            <w:tcW w:w="7229" w:type="dxa"/>
          </w:tcPr>
          <w:p w14:paraId="2751A962" w14:textId="77777777" w:rsidR="005420C2" w:rsidRPr="00557710" w:rsidRDefault="005420C2" w:rsidP="00DD0124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рамках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</w:t>
            </w:r>
            <w:r w:rsidRPr="00F827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F827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F8271A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Информационно-аналитическое и научное обеспечение развития транспортной системы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госпрограммы «Развитие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транспортной системы</w:t>
            </w: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на предоставление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субсидий </w:t>
            </w:r>
            <w:r w:rsidRPr="00F8271A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российским кредитным организациям на возмещение недополученных ими доходов по кредитам, выданным системообразующим организациям транспортного комплекса и организациям, входящим в группу лиц системообразующей организации транспортного комплекса, за счет средств резервного фонда Правительства Российской Федерации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Минтрансу России </w:t>
            </w: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предусмотрены бюджетные ассигнования в объеме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700,0</w:t>
            </w: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> млн. рублей.</w:t>
            </w:r>
          </w:p>
          <w:p w14:paraId="5D06B38F" w14:textId="02DBECDF" w:rsidR="005420C2" w:rsidRDefault="005420C2" w:rsidP="00DD0124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CE">
              <w:rPr>
                <w:rFonts w:ascii="Times New Roman" w:hAnsi="Times New Roman" w:cs="Times New Roman"/>
                <w:bCs/>
                <w:sz w:val="20"/>
                <w:szCs w:val="20"/>
              </w:rPr>
              <w:t>По состоянию на 1 июля 2022 года исполнение расходов на указанные цели не осуществлялось в связи 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отсутствием заключенных соглашений о предоставлении субсидий между Минтрансом России и юридическими лицами.</w:t>
            </w:r>
          </w:p>
        </w:tc>
        <w:tc>
          <w:tcPr>
            <w:tcW w:w="1559" w:type="dxa"/>
          </w:tcPr>
          <w:p w14:paraId="65236E8E" w14:textId="4A1AD970" w:rsidR="005420C2" w:rsidRDefault="005420C2" w:rsidP="00DD01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271A">
              <w:rPr>
                <w:rFonts w:ascii="Times New Roman" w:hAnsi="Times New Roman" w:cs="Times New Roman"/>
                <w:bCs/>
                <w:sz w:val="20"/>
                <w:szCs w:val="20"/>
              </w:rPr>
              <w:t>16 700,0</w:t>
            </w:r>
          </w:p>
        </w:tc>
      </w:tr>
      <w:tr w:rsidR="005420C2" w:rsidRPr="001E0C6B" w14:paraId="1EBF0EF3" w14:textId="77777777" w:rsidTr="00DD0124">
        <w:tc>
          <w:tcPr>
            <w:tcW w:w="1702" w:type="dxa"/>
          </w:tcPr>
          <w:p w14:paraId="0E6B3E4D" w14:textId="2388BF39" w:rsidR="005420C2" w:rsidRPr="001E0C6B" w:rsidRDefault="005420C2" w:rsidP="006767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МГУ им.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М.В.Ломоносова</w:t>
            </w:r>
            <w:proofErr w:type="spellEnd"/>
          </w:p>
        </w:tc>
        <w:tc>
          <w:tcPr>
            <w:tcW w:w="7229" w:type="dxa"/>
          </w:tcPr>
          <w:p w14:paraId="4341BB5B" w14:textId="0596F1BC" w:rsidR="005420C2" w:rsidRDefault="005420C2" w:rsidP="00DD0124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рамках федерального</w:t>
            </w:r>
            <w:r w:rsidRPr="006767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6767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67674F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крупных объектов инфраструктуры науки и высшего образования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 госпрограммы «</w:t>
            </w:r>
            <w:r w:rsidRPr="00BF406D">
              <w:rPr>
                <w:rFonts w:ascii="Times New Roman" w:hAnsi="Times New Roman" w:cs="Times New Roman"/>
                <w:bCs/>
                <w:sz w:val="20"/>
                <w:szCs w:val="20"/>
              </w:rPr>
              <w:t>Научно-технологическое развитие Российской Федерации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 на предоставление субсидии</w:t>
            </w:r>
            <w:r w:rsidRPr="00BF4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Фонду развития Московского университета в целях реализации мероприятий по созданию и развитию инфраструктуры инновационного научно-технологического центра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BF4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Инновационный научно-технологический центр МГУ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BF406D">
              <w:rPr>
                <w:rFonts w:ascii="Times New Roman" w:hAnsi="Times New Roman" w:cs="Times New Roman"/>
                <w:bCs/>
                <w:sz w:val="20"/>
                <w:szCs w:val="20"/>
              </w:rPr>
              <w:t>Воробьевы горы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по МГУ им.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М.В.Ломоносова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предусмотрены бюджетные ассигнования в объеме 3 256,1 млн. рублей.</w:t>
            </w:r>
            <w:proofErr w:type="gramEnd"/>
          </w:p>
          <w:p w14:paraId="4BBD726A" w14:textId="4DDF8DBB" w:rsidR="005420C2" w:rsidRPr="001E0C6B" w:rsidRDefault="005420C2" w:rsidP="006A0E01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состоянию на 1 июля 2022 года </w:t>
            </w:r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бюджетные ассигнования на указанные цели исполнены в объеме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876,3</w:t>
            </w:r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млн. рублей, или лишь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26,9</w:t>
            </w:r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> % показателя сводной росписи с изменениями,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связи с </w:t>
            </w:r>
            <w:r w:rsidR="006A0E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условиями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оплаты </w:t>
            </w:r>
            <w:r w:rsidR="006A0E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факти</w:t>
            </w:r>
            <w:r w:rsidR="006A0E01">
              <w:rPr>
                <w:rFonts w:ascii="Times New Roman" w:hAnsi="Times New Roman" w:cs="Times New Roman"/>
                <w:bCs/>
                <w:sz w:val="20"/>
                <w:szCs w:val="20"/>
              </w:rPr>
              <w:t>чески выполненные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</w:t>
            </w:r>
            <w:r w:rsidR="006A0E01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DDB3CFA" w14:textId="4D4E135F" w:rsidR="005420C2" w:rsidRPr="001E0C6B" w:rsidRDefault="005420C2" w:rsidP="00DD01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3 256,1</w:t>
            </w:r>
          </w:p>
        </w:tc>
      </w:tr>
      <w:tr w:rsidR="005420C2" w:rsidRPr="0003289A" w14:paraId="5E15A0DA" w14:textId="77777777" w:rsidTr="001F23CF">
        <w:tc>
          <w:tcPr>
            <w:tcW w:w="1702" w:type="dxa"/>
          </w:tcPr>
          <w:p w14:paraId="5781DCD7" w14:textId="39D4CA03" w:rsidR="005420C2" w:rsidRDefault="005420C2" w:rsidP="00BE01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271A">
              <w:rPr>
                <w:rFonts w:ascii="Times New Roman" w:hAnsi="Times New Roman" w:cs="Times New Roman"/>
                <w:sz w:val="20"/>
                <w:szCs w:val="20"/>
              </w:rPr>
              <w:t>Минтранс России</w:t>
            </w:r>
          </w:p>
        </w:tc>
        <w:tc>
          <w:tcPr>
            <w:tcW w:w="7229" w:type="dxa"/>
          </w:tcPr>
          <w:p w14:paraId="3356A8DC" w14:textId="77777777" w:rsidR="005420C2" w:rsidRPr="00557710" w:rsidRDefault="005420C2" w:rsidP="00DD0124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рамках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</w:t>
            </w:r>
            <w:r w:rsidRPr="00F827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F827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F8271A">
              <w:rPr>
                <w:rFonts w:ascii="Times New Roman" w:hAnsi="Times New Roman" w:cs="Times New Roman"/>
                <w:bCs/>
                <w:sz w:val="20"/>
                <w:szCs w:val="20"/>
              </w:rPr>
              <w:t>Модернизация пассажирского транспорта в городских агломерациях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 на государственную поддержку</w:t>
            </w:r>
            <w:r w:rsidRPr="00F827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АО «</w:t>
            </w:r>
            <w:r w:rsidRPr="00F8271A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Государственная 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ранспортная лизинговая компания»</w:t>
            </w:r>
            <w:r w:rsidRPr="00F827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целях возмещения потерь в доходах при предоставлении лизингополучателю скидки по договорам лизинга подвижного состава наземного общественного пассажирского </w:t>
            </w:r>
            <w:r w:rsidRPr="00F8271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транспорта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Минтрансу России </w:t>
            </w: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предусмотрены бюджетные ассигнования в объеме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2 517,5</w:t>
            </w: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> млн. рублей.</w:t>
            </w:r>
          </w:p>
          <w:p w14:paraId="2C020165" w14:textId="1E98DC9C" w:rsidR="005420C2" w:rsidRPr="009C1B84" w:rsidRDefault="005420C2" w:rsidP="00DD0124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CE">
              <w:rPr>
                <w:rFonts w:ascii="Times New Roman" w:hAnsi="Times New Roman" w:cs="Times New Roman"/>
                <w:bCs/>
                <w:sz w:val="20"/>
                <w:szCs w:val="20"/>
              </w:rPr>
              <w:t>По состоянию на 1 июля 2022 года исполнение расходов на указанные цели не осуществлялось в связи 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отсутствием заключенных соглашений о предоставлении субсидий между Минтрансом Росс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ии и АО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Pr="00F8271A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Государственная 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ранспортная лизинговая компания».</w:t>
            </w:r>
          </w:p>
        </w:tc>
        <w:tc>
          <w:tcPr>
            <w:tcW w:w="1559" w:type="dxa"/>
          </w:tcPr>
          <w:p w14:paraId="63FC38A3" w14:textId="69541A98" w:rsidR="005420C2" w:rsidRDefault="005420C2" w:rsidP="00BE01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2 517,5</w:t>
            </w:r>
          </w:p>
        </w:tc>
      </w:tr>
      <w:tr w:rsidR="005420C2" w:rsidRPr="0003289A" w14:paraId="275BA257" w14:textId="77777777" w:rsidTr="001F23CF">
        <w:tc>
          <w:tcPr>
            <w:tcW w:w="1702" w:type="dxa"/>
          </w:tcPr>
          <w:p w14:paraId="15EE4606" w14:textId="27888518" w:rsidR="005420C2" w:rsidRPr="00E4713D" w:rsidRDefault="005420C2" w:rsidP="00BE01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Минпромторг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</w:t>
            </w:r>
          </w:p>
        </w:tc>
        <w:tc>
          <w:tcPr>
            <w:tcW w:w="7229" w:type="dxa"/>
          </w:tcPr>
          <w:p w14:paraId="3B66B7DF" w14:textId="77777777" w:rsidR="005420C2" w:rsidRPr="009C1B84" w:rsidRDefault="005420C2" w:rsidP="00DD0124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9C1B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рамках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</w:t>
            </w:r>
            <w:r w:rsidRPr="009C1B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9C1B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9C1B84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производства лекарственных средств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9C1B84">
              <w:rPr>
                <w:rFonts w:ascii="Times New Roman" w:hAnsi="Times New Roman" w:cs="Times New Roman"/>
                <w:bCs/>
                <w:sz w:val="20"/>
                <w:szCs w:val="20"/>
              </w:rPr>
              <w:t>госпрограммы «Развитие фармацевтической и медицинской промышленности» на предоставление субсидий российским кредитным организациям на возмещение недополученных ими доходов по операциям от предоставления независимых гарантий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9C1B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</w:t>
            </w:r>
            <w:proofErr w:type="spellStart"/>
            <w:r w:rsidRPr="009C1B84">
              <w:rPr>
                <w:rFonts w:ascii="Times New Roman" w:hAnsi="Times New Roman" w:cs="Times New Roman"/>
                <w:bCs/>
                <w:sz w:val="20"/>
                <w:szCs w:val="20"/>
              </w:rPr>
              <w:t>Минпромторгу</w:t>
            </w:r>
            <w:proofErr w:type="spellEnd"/>
            <w:r w:rsidRPr="009C1B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 предусмотрены бюджетные ассигнования в объеме 1 950,0 млн. рублей.</w:t>
            </w:r>
            <w:proofErr w:type="gramEnd"/>
          </w:p>
          <w:p w14:paraId="71010495" w14:textId="6EA8AACB" w:rsidR="005420C2" w:rsidRPr="00E4713D" w:rsidRDefault="005420C2" w:rsidP="00A15601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8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состоянию на 1 июля 2022 года </w:t>
            </w:r>
            <w:r w:rsidRPr="00C75E6B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исполнение расходов на указанные цели не осуществлялось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связи с необходимостью внесения изменений в порядок представления субсидий на указанные цели</w:t>
            </w:r>
            <w:r w:rsidRPr="0005381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F19AF01" w14:textId="57AD2435" w:rsidR="005420C2" w:rsidRPr="00E4713D" w:rsidRDefault="005420C2" w:rsidP="00BE01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1 950,0</w:t>
            </w:r>
          </w:p>
        </w:tc>
      </w:tr>
      <w:tr w:rsidR="005420C2" w:rsidRPr="0003289A" w14:paraId="4CA5CFD2" w14:textId="77777777" w:rsidTr="001F23CF">
        <w:tc>
          <w:tcPr>
            <w:tcW w:w="1702" w:type="dxa"/>
          </w:tcPr>
          <w:p w14:paraId="048E5FB8" w14:textId="3037AF8B" w:rsidR="005420C2" w:rsidRDefault="005420C2" w:rsidP="00BE01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713D">
              <w:rPr>
                <w:rFonts w:ascii="Times New Roman" w:hAnsi="Times New Roman" w:cs="Times New Roman"/>
                <w:bCs/>
                <w:sz w:val="20"/>
                <w:szCs w:val="20"/>
              </w:rPr>
              <w:t>ФАДН России</w:t>
            </w:r>
          </w:p>
        </w:tc>
        <w:tc>
          <w:tcPr>
            <w:tcW w:w="7229" w:type="dxa"/>
          </w:tcPr>
          <w:p w14:paraId="63564395" w14:textId="77777777" w:rsidR="005420C2" w:rsidRPr="0003289A" w:rsidRDefault="005420C2" w:rsidP="00A15601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E47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рамках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</w:t>
            </w:r>
            <w:r w:rsidRPr="00E47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E47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E4713D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Совершенствование государственно-общественного партнерства в сфере государственной национальной политики и в отношении российского казачества, а также реализация государственной национальной политики в субъектах Российской Федерации, в том числе поддержка экономического и социального развития коренных малочисленных народов Севера, Сибири и Дальнего Востока Российской Федерации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Pr="0003289A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47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госпрограммы «Реализация государственной национальной политики» 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</w:t>
            </w:r>
            <w:r w:rsidRPr="00E47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поддержку некоммерческих организаций в сфере духовно-просветительской</w:t>
            </w:r>
            <w:proofErr w:type="gramEnd"/>
            <w:r w:rsidRPr="00E47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деятельности по ФАДН России предусмотрены бюджетные ассигнования в объеме 907,4 млн. рублей.</w:t>
            </w:r>
          </w:p>
          <w:p w14:paraId="64FAC99E" w14:textId="7F6B8E08" w:rsidR="005420C2" w:rsidRDefault="005420C2" w:rsidP="00721CF7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состоянию на 1 июля 2022 года </w:t>
            </w:r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бюджетные ассигнования на указанные цели исполнены в объеме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201,2</w:t>
            </w:r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млн. рублей, или лишь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22,2</w:t>
            </w:r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> % показателя сводной росписи с изменениями,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связи с </w:t>
            </w:r>
            <w:r w:rsidRPr="00CE07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длительным согласованием проектных работ, а также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необходимостью оплаты фактических работ. При этом согласно плану-графику предоставления субсидий проведение основных мероприятий в сфере реализации государственной национальной политики планируется 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кварталы 2022 года.</w:t>
            </w:r>
          </w:p>
        </w:tc>
        <w:tc>
          <w:tcPr>
            <w:tcW w:w="1559" w:type="dxa"/>
          </w:tcPr>
          <w:p w14:paraId="04159FF3" w14:textId="5C34C01E" w:rsidR="005420C2" w:rsidRPr="00721CF7" w:rsidRDefault="005420C2" w:rsidP="00BE01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713D">
              <w:rPr>
                <w:rFonts w:ascii="Times New Roman" w:hAnsi="Times New Roman" w:cs="Times New Roman"/>
                <w:bCs/>
                <w:sz w:val="20"/>
                <w:szCs w:val="20"/>
              </w:rPr>
              <w:t>907,4</w:t>
            </w:r>
          </w:p>
        </w:tc>
      </w:tr>
      <w:tr w:rsidR="005420C2" w:rsidRPr="0003289A" w14:paraId="430E15E8" w14:textId="77777777" w:rsidTr="001F23CF">
        <w:tc>
          <w:tcPr>
            <w:tcW w:w="1702" w:type="dxa"/>
          </w:tcPr>
          <w:p w14:paraId="5EA544FE" w14:textId="2D8FCF34" w:rsidR="005420C2" w:rsidRPr="0003289A" w:rsidRDefault="005420C2" w:rsidP="00BE01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</w:t>
            </w:r>
          </w:p>
        </w:tc>
        <w:tc>
          <w:tcPr>
            <w:tcW w:w="7229" w:type="dxa"/>
          </w:tcPr>
          <w:p w14:paraId="2DD3CB37" w14:textId="77777777" w:rsidR="005420C2" w:rsidRDefault="005420C2" w:rsidP="00721CF7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721C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рамках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 проекта</w:t>
            </w:r>
            <w:r w:rsidRPr="00721C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«Платформа университетского технологического предпринимательства»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госпрограммы «</w:t>
            </w:r>
            <w:r w:rsidRPr="00721CF7">
              <w:rPr>
                <w:rFonts w:ascii="Times New Roman" w:hAnsi="Times New Roman" w:cs="Times New Roman"/>
                <w:bCs/>
                <w:sz w:val="20"/>
                <w:szCs w:val="20"/>
              </w:rPr>
              <w:t>Научно-технологическое развитие Российской Федерации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 на предоставление с</w:t>
            </w:r>
            <w:r w:rsidRPr="00721CF7">
              <w:rPr>
                <w:rFonts w:ascii="Times New Roman" w:hAnsi="Times New Roman" w:cs="Times New Roman"/>
                <w:bCs/>
                <w:sz w:val="20"/>
                <w:szCs w:val="20"/>
              </w:rPr>
              <w:t>убсиди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721C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некоммерческой организации Фонд развития Центра разработки и коммерциализации новых технологий в целях возмещения части затрат физическим лицам, осуществившим инвестиции в студенческие </w:t>
            </w:r>
            <w:proofErr w:type="spellStart"/>
            <w:r w:rsidRPr="00721CF7">
              <w:rPr>
                <w:rFonts w:ascii="Times New Roman" w:hAnsi="Times New Roman" w:cs="Times New Roman"/>
                <w:bCs/>
                <w:sz w:val="20"/>
                <w:szCs w:val="20"/>
              </w:rPr>
              <w:t>стартапы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 предусмотрены бюджетные ассигнования в объеме 870,0 млн. рублей.</w:t>
            </w:r>
            <w:proofErr w:type="gramEnd"/>
          </w:p>
          <w:p w14:paraId="0554B74B" w14:textId="1A338EE8" w:rsidR="005420C2" w:rsidRPr="0003289A" w:rsidRDefault="005420C2" w:rsidP="00721CF7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состоянию на 1 июля 2022 года </w:t>
            </w:r>
            <w:r w:rsidRPr="00C75E6B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исполнение расходов на указанные цели не осуществлялось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связи с отсутствием заключенных соглашений о предоставлении субсидии между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 и юридическими лицами.</w:t>
            </w:r>
          </w:p>
        </w:tc>
        <w:tc>
          <w:tcPr>
            <w:tcW w:w="1559" w:type="dxa"/>
          </w:tcPr>
          <w:p w14:paraId="1E0864C2" w14:textId="5E553FE2" w:rsidR="005420C2" w:rsidRPr="00721CF7" w:rsidRDefault="005420C2" w:rsidP="00BE01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1CF7">
              <w:rPr>
                <w:rFonts w:ascii="Times New Roman" w:hAnsi="Times New Roman" w:cs="Times New Roman"/>
                <w:bCs/>
                <w:sz w:val="20"/>
                <w:szCs w:val="20"/>
              </w:rPr>
              <w:t>870,0</w:t>
            </w:r>
          </w:p>
        </w:tc>
      </w:tr>
      <w:tr w:rsidR="005420C2" w:rsidRPr="0003289A" w14:paraId="3DF1DF7E" w14:textId="77777777" w:rsidTr="00DD0124">
        <w:tc>
          <w:tcPr>
            <w:tcW w:w="1702" w:type="dxa"/>
          </w:tcPr>
          <w:p w14:paraId="07B28952" w14:textId="56CC9716" w:rsidR="005420C2" w:rsidRPr="00E4713D" w:rsidRDefault="005420C2" w:rsidP="00DD01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>Минпромторг</w:t>
            </w:r>
            <w:proofErr w:type="spellEnd"/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</w:t>
            </w:r>
          </w:p>
        </w:tc>
        <w:tc>
          <w:tcPr>
            <w:tcW w:w="7229" w:type="dxa"/>
          </w:tcPr>
          <w:p w14:paraId="01CD0196" w14:textId="77777777" w:rsidR="005420C2" w:rsidRPr="00557710" w:rsidRDefault="005420C2" w:rsidP="003118E2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рамках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</w:t>
            </w: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крупнотоннажного судостроения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госпрограммы «Развитие судостроения и техники для освоения шельфовых месторождений» на предоставление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>убсиди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российским организациям на возмещение части затрат на уплату процентов по кредитам, привлеченным для реализации проектов по созданию судостроительных комплексов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>Минпромторгу</w:t>
            </w:r>
            <w:proofErr w:type="spellEnd"/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 предусмотрены бюджетные ассигнования в объеме 720,0 млн. рублей.</w:t>
            </w:r>
          </w:p>
          <w:p w14:paraId="3BF408B7" w14:textId="77777777" w:rsidR="005420C2" w:rsidRDefault="005420C2" w:rsidP="00DD0124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CE">
              <w:rPr>
                <w:rFonts w:ascii="Times New Roman" w:hAnsi="Times New Roman" w:cs="Times New Roman"/>
                <w:bCs/>
                <w:sz w:val="20"/>
                <w:szCs w:val="20"/>
              </w:rPr>
              <w:t>По состоянию на 1 июля 2022 года исполнение расходов на указанные цели не осуществлялось в связи с отсутствием заявок на участие в отборе.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Минпромторгом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 проводится работа по формированию предложений по пере</w:t>
            </w:r>
            <w:r w:rsidRPr="00D613CE">
              <w:rPr>
                <w:rFonts w:ascii="Times New Roman" w:hAnsi="Times New Roman" w:cs="Times New Roman"/>
                <w:bCs/>
                <w:sz w:val="20"/>
                <w:szCs w:val="20"/>
              </w:rPr>
              <w:t>распределению субсидии в полном объеме на другие мероприятия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74AD080" w14:textId="30C27BC2" w:rsidR="00523928" w:rsidRPr="00E4713D" w:rsidRDefault="00523928" w:rsidP="00DD0124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2DA3CE" w14:textId="30129806" w:rsidR="005420C2" w:rsidRDefault="005420C2" w:rsidP="00DD01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7710">
              <w:rPr>
                <w:rFonts w:ascii="Times New Roman" w:hAnsi="Times New Roman" w:cs="Times New Roman"/>
                <w:bCs/>
                <w:sz w:val="20"/>
                <w:szCs w:val="20"/>
              </w:rPr>
              <w:t>720,0</w:t>
            </w:r>
          </w:p>
        </w:tc>
      </w:tr>
      <w:tr w:rsidR="005420C2" w:rsidRPr="0003289A" w14:paraId="7C883E30" w14:textId="77777777" w:rsidTr="00DD0124">
        <w:tc>
          <w:tcPr>
            <w:tcW w:w="1702" w:type="dxa"/>
          </w:tcPr>
          <w:p w14:paraId="2E7A8055" w14:textId="77777777" w:rsidR="005420C2" w:rsidRPr="00E4713D" w:rsidRDefault="005420C2" w:rsidP="00DD01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713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ФАДН России</w:t>
            </w:r>
          </w:p>
        </w:tc>
        <w:tc>
          <w:tcPr>
            <w:tcW w:w="7229" w:type="dxa"/>
          </w:tcPr>
          <w:p w14:paraId="2C9A112D" w14:textId="0D6BB845" w:rsidR="005420C2" w:rsidRPr="0003289A" w:rsidRDefault="005420C2" w:rsidP="00DD0124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E47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рамках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</w:t>
            </w:r>
            <w:r w:rsidRPr="00E47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E47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E4713D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Совершенствование государственно-общественного партнерства в сфере государственной национальной политики и в отношении российского казачества, а также реализация государственной национальной политики в субъектах Российской Федерации, в том числе поддержка экономического и социального развития коренных малочисленных народов Севера, Сибири и Дальнего Востока Российской Федерации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Pr="0003289A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47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госпрограммы «Реализация государственной национальной политики» 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</w:t>
            </w:r>
            <w:r w:rsidRPr="00CE07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поддержку федеральных национально-культурных автономий и иных</w:t>
            </w:r>
            <w:proofErr w:type="gramEnd"/>
            <w:r w:rsidRPr="00CE07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некоммерческих организаций, осуществляющих деятельность в сфере реализации государственной национальной политики Российской Федерации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E471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ФАДН России предусмотрены бюджетные ассигнования в объеме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  <w:r w:rsidRPr="00E4713D">
              <w:rPr>
                <w:rFonts w:ascii="Times New Roman" w:hAnsi="Times New Roman" w:cs="Times New Roman"/>
                <w:bCs/>
                <w:sz w:val="20"/>
                <w:szCs w:val="20"/>
              </w:rPr>
              <w:t> млн. рублей.</w:t>
            </w:r>
          </w:p>
          <w:p w14:paraId="2D91AC16" w14:textId="462F8ACB" w:rsidR="005420C2" w:rsidRPr="0003289A" w:rsidRDefault="005420C2" w:rsidP="009E3F90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состоянию на 1 июля 2022 года </w:t>
            </w:r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бюджетные ассигнования на указанные цели исполнены в объеме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13,0</w:t>
            </w:r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млн. рублей, или лишь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 w:rsidRPr="00023B90">
              <w:rPr>
                <w:rFonts w:ascii="Times New Roman" w:hAnsi="Times New Roman" w:cs="Times New Roman"/>
                <w:bCs/>
                <w:sz w:val="20"/>
                <w:szCs w:val="20"/>
              </w:rPr>
              <w:t> % показателя сводной росписи с изменениями,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связи с </w:t>
            </w:r>
            <w:r w:rsidRPr="00CE07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длительным согласованием проектных работ, а также </w:t>
            </w:r>
            <w:r w:rsidR="009E3F90">
              <w:rPr>
                <w:rFonts w:ascii="Times New Roman" w:hAnsi="Times New Roman" w:cs="Times New Roman"/>
                <w:bCs/>
                <w:sz w:val="20"/>
                <w:szCs w:val="20"/>
              </w:rPr>
              <w:t>условиями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оплаты </w:t>
            </w:r>
            <w:r w:rsidR="009E3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фактически выполненные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</w:t>
            </w:r>
            <w:r w:rsidR="009E3F90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При этом согласно плану-графику предоставления субсидий проведение основных мероприятий в сфере реализации государственной национальной политики планируется 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кварталы 2022 года.</w:t>
            </w:r>
          </w:p>
        </w:tc>
        <w:tc>
          <w:tcPr>
            <w:tcW w:w="1559" w:type="dxa"/>
          </w:tcPr>
          <w:p w14:paraId="48839F6F" w14:textId="39C904BE" w:rsidR="005420C2" w:rsidRPr="00E4713D" w:rsidRDefault="005420C2" w:rsidP="00DD01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</w:tbl>
    <w:p w14:paraId="42699583" w14:textId="1EA03FF5" w:rsidR="005F459E" w:rsidRDefault="005F459E" w:rsidP="00D076EF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sectPr w:rsidR="005F459E" w:rsidSect="000A3B2F">
      <w:headerReference w:type="default" r:id="rId8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D4BDD" w14:textId="77777777" w:rsidR="00136922" w:rsidRDefault="00136922" w:rsidP="00E15C89">
      <w:pPr>
        <w:spacing w:after="0" w:line="240" w:lineRule="auto"/>
      </w:pPr>
      <w:r>
        <w:separator/>
      </w:r>
    </w:p>
  </w:endnote>
  <w:endnote w:type="continuationSeparator" w:id="0">
    <w:p w14:paraId="6C4300F6" w14:textId="77777777" w:rsidR="00136922" w:rsidRDefault="00136922" w:rsidP="00E15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8A0E1" w14:textId="77777777" w:rsidR="00136922" w:rsidRDefault="00136922" w:rsidP="00E15C89">
      <w:pPr>
        <w:spacing w:after="0" w:line="240" w:lineRule="auto"/>
      </w:pPr>
      <w:r>
        <w:separator/>
      </w:r>
    </w:p>
  </w:footnote>
  <w:footnote w:type="continuationSeparator" w:id="0">
    <w:p w14:paraId="156E223A" w14:textId="77777777" w:rsidR="00136922" w:rsidRDefault="00136922" w:rsidP="00E15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003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345653" w14:textId="288FAAC3" w:rsidR="00BE0111" w:rsidRPr="000A22CD" w:rsidRDefault="00BE0111">
        <w:pPr>
          <w:pStyle w:val="a4"/>
          <w:jc w:val="center"/>
          <w:rPr>
            <w:rFonts w:ascii="Times New Roman" w:hAnsi="Times New Roman" w:cs="Times New Roman"/>
          </w:rPr>
        </w:pPr>
        <w:r w:rsidRPr="000A22CD">
          <w:rPr>
            <w:rFonts w:ascii="Times New Roman" w:hAnsi="Times New Roman" w:cs="Times New Roman"/>
          </w:rPr>
          <w:fldChar w:fldCharType="begin"/>
        </w:r>
        <w:r w:rsidRPr="000A22CD">
          <w:rPr>
            <w:rFonts w:ascii="Times New Roman" w:hAnsi="Times New Roman" w:cs="Times New Roman"/>
          </w:rPr>
          <w:instrText>PAGE   \* MERGEFORMAT</w:instrText>
        </w:r>
        <w:r w:rsidRPr="000A22CD">
          <w:rPr>
            <w:rFonts w:ascii="Times New Roman" w:hAnsi="Times New Roman" w:cs="Times New Roman"/>
          </w:rPr>
          <w:fldChar w:fldCharType="separate"/>
        </w:r>
        <w:r w:rsidR="00BD1CC8">
          <w:rPr>
            <w:rFonts w:ascii="Times New Roman" w:hAnsi="Times New Roman" w:cs="Times New Roman"/>
            <w:noProof/>
          </w:rPr>
          <w:t>3</w:t>
        </w:r>
        <w:r w:rsidRPr="000A22CD">
          <w:rPr>
            <w:rFonts w:ascii="Times New Roman" w:hAnsi="Times New Roman" w:cs="Times New Roman"/>
          </w:rPr>
          <w:fldChar w:fldCharType="end"/>
        </w:r>
      </w:p>
    </w:sdtContent>
  </w:sdt>
  <w:p w14:paraId="11E0885F" w14:textId="77777777" w:rsidR="00BE0111" w:rsidRDefault="00BE01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7B"/>
    <w:rsid w:val="00002ADE"/>
    <w:rsid w:val="00004113"/>
    <w:rsid w:val="00005CBA"/>
    <w:rsid w:val="00007CC4"/>
    <w:rsid w:val="000136AD"/>
    <w:rsid w:val="00016C31"/>
    <w:rsid w:val="00017F92"/>
    <w:rsid w:val="00020466"/>
    <w:rsid w:val="00022122"/>
    <w:rsid w:val="00023B90"/>
    <w:rsid w:val="00031382"/>
    <w:rsid w:val="0003289A"/>
    <w:rsid w:val="00034AA6"/>
    <w:rsid w:val="00035194"/>
    <w:rsid w:val="000476FF"/>
    <w:rsid w:val="0005206B"/>
    <w:rsid w:val="00053814"/>
    <w:rsid w:val="00055D23"/>
    <w:rsid w:val="00064928"/>
    <w:rsid w:val="00064B98"/>
    <w:rsid w:val="00070EEC"/>
    <w:rsid w:val="000751A7"/>
    <w:rsid w:val="000840AA"/>
    <w:rsid w:val="00085775"/>
    <w:rsid w:val="00086ACE"/>
    <w:rsid w:val="00091378"/>
    <w:rsid w:val="0009372B"/>
    <w:rsid w:val="0009670B"/>
    <w:rsid w:val="000978BC"/>
    <w:rsid w:val="000A22CD"/>
    <w:rsid w:val="000A3B2F"/>
    <w:rsid w:val="000A4CDE"/>
    <w:rsid w:val="000B0A61"/>
    <w:rsid w:val="000B39DF"/>
    <w:rsid w:val="000B48F5"/>
    <w:rsid w:val="000B65D4"/>
    <w:rsid w:val="000B7D72"/>
    <w:rsid w:val="000C0801"/>
    <w:rsid w:val="000C4DC4"/>
    <w:rsid w:val="000C4E95"/>
    <w:rsid w:val="000C7448"/>
    <w:rsid w:val="000D0B44"/>
    <w:rsid w:val="000D0F9E"/>
    <w:rsid w:val="000D593F"/>
    <w:rsid w:val="000D59AD"/>
    <w:rsid w:val="000E4374"/>
    <w:rsid w:val="000E779D"/>
    <w:rsid w:val="000F26C8"/>
    <w:rsid w:val="000F468D"/>
    <w:rsid w:val="000F46C2"/>
    <w:rsid w:val="000F5265"/>
    <w:rsid w:val="000F737C"/>
    <w:rsid w:val="00100D72"/>
    <w:rsid w:val="001018E9"/>
    <w:rsid w:val="001201EC"/>
    <w:rsid w:val="00121E2E"/>
    <w:rsid w:val="001269DB"/>
    <w:rsid w:val="00126FEB"/>
    <w:rsid w:val="00136922"/>
    <w:rsid w:val="00137D56"/>
    <w:rsid w:val="00144804"/>
    <w:rsid w:val="00144C41"/>
    <w:rsid w:val="00145080"/>
    <w:rsid w:val="00154E71"/>
    <w:rsid w:val="00163153"/>
    <w:rsid w:val="00163655"/>
    <w:rsid w:val="0016404F"/>
    <w:rsid w:val="001731CF"/>
    <w:rsid w:val="001745DC"/>
    <w:rsid w:val="00176B05"/>
    <w:rsid w:val="001801E6"/>
    <w:rsid w:val="001874EE"/>
    <w:rsid w:val="001975A2"/>
    <w:rsid w:val="001A145A"/>
    <w:rsid w:val="001B13C0"/>
    <w:rsid w:val="001B48B9"/>
    <w:rsid w:val="001B5975"/>
    <w:rsid w:val="001C26F8"/>
    <w:rsid w:val="001C4CD3"/>
    <w:rsid w:val="001C5629"/>
    <w:rsid w:val="001D1062"/>
    <w:rsid w:val="001D5F9B"/>
    <w:rsid w:val="001D7598"/>
    <w:rsid w:val="001E0C6B"/>
    <w:rsid w:val="001E3B55"/>
    <w:rsid w:val="001F133E"/>
    <w:rsid w:val="001F23CF"/>
    <w:rsid w:val="001F4524"/>
    <w:rsid w:val="001F745B"/>
    <w:rsid w:val="00212DB2"/>
    <w:rsid w:val="00223ECC"/>
    <w:rsid w:val="00224745"/>
    <w:rsid w:val="00227C28"/>
    <w:rsid w:val="00233537"/>
    <w:rsid w:val="00236309"/>
    <w:rsid w:val="00250BD1"/>
    <w:rsid w:val="00262635"/>
    <w:rsid w:val="0026378B"/>
    <w:rsid w:val="00273A34"/>
    <w:rsid w:val="002915BC"/>
    <w:rsid w:val="0029424D"/>
    <w:rsid w:val="00294581"/>
    <w:rsid w:val="00296201"/>
    <w:rsid w:val="002A2DAE"/>
    <w:rsid w:val="002A5964"/>
    <w:rsid w:val="002A7EC0"/>
    <w:rsid w:val="002B508F"/>
    <w:rsid w:val="002B531C"/>
    <w:rsid w:val="002C0DAD"/>
    <w:rsid w:val="002C6720"/>
    <w:rsid w:val="002C786D"/>
    <w:rsid w:val="002D04AC"/>
    <w:rsid w:val="002E0527"/>
    <w:rsid w:val="002E0AAA"/>
    <w:rsid w:val="002E1623"/>
    <w:rsid w:val="002E41DD"/>
    <w:rsid w:val="002F0959"/>
    <w:rsid w:val="002F1600"/>
    <w:rsid w:val="002F76F8"/>
    <w:rsid w:val="00320308"/>
    <w:rsid w:val="00324AEE"/>
    <w:rsid w:val="00325FFC"/>
    <w:rsid w:val="00326F3E"/>
    <w:rsid w:val="003332AB"/>
    <w:rsid w:val="0033584A"/>
    <w:rsid w:val="00336C95"/>
    <w:rsid w:val="00343E2B"/>
    <w:rsid w:val="00345B4F"/>
    <w:rsid w:val="003543C8"/>
    <w:rsid w:val="003547B0"/>
    <w:rsid w:val="003555FC"/>
    <w:rsid w:val="00380AC2"/>
    <w:rsid w:val="003827EA"/>
    <w:rsid w:val="003954AA"/>
    <w:rsid w:val="003A1F8A"/>
    <w:rsid w:val="003A5F4F"/>
    <w:rsid w:val="003C0147"/>
    <w:rsid w:val="003C3D16"/>
    <w:rsid w:val="003C7EEB"/>
    <w:rsid w:val="003D0AD0"/>
    <w:rsid w:val="003D11E6"/>
    <w:rsid w:val="003D6214"/>
    <w:rsid w:val="003E3F36"/>
    <w:rsid w:val="003E7B48"/>
    <w:rsid w:val="003F1D7D"/>
    <w:rsid w:val="003F555C"/>
    <w:rsid w:val="00406672"/>
    <w:rsid w:val="00407F64"/>
    <w:rsid w:val="004175CA"/>
    <w:rsid w:val="00422F47"/>
    <w:rsid w:val="004328B6"/>
    <w:rsid w:val="0043307F"/>
    <w:rsid w:val="00434A1F"/>
    <w:rsid w:val="004407E5"/>
    <w:rsid w:val="00443005"/>
    <w:rsid w:val="00444038"/>
    <w:rsid w:val="00445021"/>
    <w:rsid w:val="004467E4"/>
    <w:rsid w:val="00447BEF"/>
    <w:rsid w:val="004541C5"/>
    <w:rsid w:val="00454DAD"/>
    <w:rsid w:val="00455E6B"/>
    <w:rsid w:val="0045630E"/>
    <w:rsid w:val="00462EF8"/>
    <w:rsid w:val="00462FB6"/>
    <w:rsid w:val="00463738"/>
    <w:rsid w:val="00466DE0"/>
    <w:rsid w:val="004706CD"/>
    <w:rsid w:val="004754EA"/>
    <w:rsid w:val="00484577"/>
    <w:rsid w:val="00484E17"/>
    <w:rsid w:val="00490FA7"/>
    <w:rsid w:val="00493CE7"/>
    <w:rsid w:val="004B0D24"/>
    <w:rsid w:val="004C57DC"/>
    <w:rsid w:val="004C585A"/>
    <w:rsid w:val="004D1146"/>
    <w:rsid w:val="004D34C0"/>
    <w:rsid w:val="004E39FF"/>
    <w:rsid w:val="004E62FA"/>
    <w:rsid w:val="004F2582"/>
    <w:rsid w:val="005061BE"/>
    <w:rsid w:val="005061E1"/>
    <w:rsid w:val="0051557E"/>
    <w:rsid w:val="00520B14"/>
    <w:rsid w:val="00523928"/>
    <w:rsid w:val="00526638"/>
    <w:rsid w:val="00532A5E"/>
    <w:rsid w:val="00534DBC"/>
    <w:rsid w:val="005420C2"/>
    <w:rsid w:val="00542CE6"/>
    <w:rsid w:val="00543F75"/>
    <w:rsid w:val="00551587"/>
    <w:rsid w:val="0055699E"/>
    <w:rsid w:val="00557710"/>
    <w:rsid w:val="00557BDA"/>
    <w:rsid w:val="005610F9"/>
    <w:rsid w:val="00561E83"/>
    <w:rsid w:val="005769F3"/>
    <w:rsid w:val="00591644"/>
    <w:rsid w:val="00592136"/>
    <w:rsid w:val="00592776"/>
    <w:rsid w:val="00595D61"/>
    <w:rsid w:val="005A587B"/>
    <w:rsid w:val="005A6BCF"/>
    <w:rsid w:val="005B06BF"/>
    <w:rsid w:val="005B2AB6"/>
    <w:rsid w:val="005B35B7"/>
    <w:rsid w:val="005B6AFD"/>
    <w:rsid w:val="005D1CEC"/>
    <w:rsid w:val="005D1D0F"/>
    <w:rsid w:val="005D337B"/>
    <w:rsid w:val="005D389D"/>
    <w:rsid w:val="005E4831"/>
    <w:rsid w:val="005E6D42"/>
    <w:rsid w:val="005F3C73"/>
    <w:rsid w:val="005F459E"/>
    <w:rsid w:val="005F655F"/>
    <w:rsid w:val="0060397B"/>
    <w:rsid w:val="006102F1"/>
    <w:rsid w:val="006158C8"/>
    <w:rsid w:val="00616A78"/>
    <w:rsid w:val="0061766F"/>
    <w:rsid w:val="006248EF"/>
    <w:rsid w:val="00632151"/>
    <w:rsid w:val="006375D5"/>
    <w:rsid w:val="00637DCA"/>
    <w:rsid w:val="00657994"/>
    <w:rsid w:val="00657F73"/>
    <w:rsid w:val="00671597"/>
    <w:rsid w:val="00672ECA"/>
    <w:rsid w:val="00675D85"/>
    <w:rsid w:val="0067674F"/>
    <w:rsid w:val="00676781"/>
    <w:rsid w:val="00682AF1"/>
    <w:rsid w:val="00686BFC"/>
    <w:rsid w:val="006903E2"/>
    <w:rsid w:val="0069178D"/>
    <w:rsid w:val="006959AA"/>
    <w:rsid w:val="006966E1"/>
    <w:rsid w:val="006A0593"/>
    <w:rsid w:val="006A0E01"/>
    <w:rsid w:val="006B3BE2"/>
    <w:rsid w:val="006B6B8C"/>
    <w:rsid w:val="006C2491"/>
    <w:rsid w:val="006C6E63"/>
    <w:rsid w:val="006C74A7"/>
    <w:rsid w:val="006D23CC"/>
    <w:rsid w:val="006D3362"/>
    <w:rsid w:val="006D372B"/>
    <w:rsid w:val="006D7ADA"/>
    <w:rsid w:val="006E07FE"/>
    <w:rsid w:val="006E3567"/>
    <w:rsid w:val="006E48E3"/>
    <w:rsid w:val="006E7BCA"/>
    <w:rsid w:val="006F074F"/>
    <w:rsid w:val="006F146B"/>
    <w:rsid w:val="006F1FAC"/>
    <w:rsid w:val="006F2315"/>
    <w:rsid w:val="00701577"/>
    <w:rsid w:val="00702973"/>
    <w:rsid w:val="007061F6"/>
    <w:rsid w:val="007064D4"/>
    <w:rsid w:val="00706DB4"/>
    <w:rsid w:val="007074DD"/>
    <w:rsid w:val="007100A4"/>
    <w:rsid w:val="00710396"/>
    <w:rsid w:val="00721CF7"/>
    <w:rsid w:val="007302CE"/>
    <w:rsid w:val="007337B1"/>
    <w:rsid w:val="00736D1F"/>
    <w:rsid w:val="007376C8"/>
    <w:rsid w:val="00741FA8"/>
    <w:rsid w:val="007451E1"/>
    <w:rsid w:val="00746465"/>
    <w:rsid w:val="00766BC0"/>
    <w:rsid w:val="00767256"/>
    <w:rsid w:val="00771295"/>
    <w:rsid w:val="00772B17"/>
    <w:rsid w:val="007779DD"/>
    <w:rsid w:val="00792FA5"/>
    <w:rsid w:val="00793C30"/>
    <w:rsid w:val="00794B26"/>
    <w:rsid w:val="007A1859"/>
    <w:rsid w:val="007A2A97"/>
    <w:rsid w:val="007A5F9E"/>
    <w:rsid w:val="007B0542"/>
    <w:rsid w:val="007B2A48"/>
    <w:rsid w:val="007B2C67"/>
    <w:rsid w:val="007B2F21"/>
    <w:rsid w:val="007B3735"/>
    <w:rsid w:val="007C2A0C"/>
    <w:rsid w:val="007D4345"/>
    <w:rsid w:val="007D56B2"/>
    <w:rsid w:val="007E39B3"/>
    <w:rsid w:val="007E5C03"/>
    <w:rsid w:val="007E675A"/>
    <w:rsid w:val="007F330D"/>
    <w:rsid w:val="007F3ED5"/>
    <w:rsid w:val="00800190"/>
    <w:rsid w:val="008143A6"/>
    <w:rsid w:val="00820B3E"/>
    <w:rsid w:val="00820E66"/>
    <w:rsid w:val="00821F6C"/>
    <w:rsid w:val="00832282"/>
    <w:rsid w:val="00842298"/>
    <w:rsid w:val="0084608F"/>
    <w:rsid w:val="0084630A"/>
    <w:rsid w:val="0084656D"/>
    <w:rsid w:val="0084760C"/>
    <w:rsid w:val="008501FE"/>
    <w:rsid w:val="0085378B"/>
    <w:rsid w:val="00857C7C"/>
    <w:rsid w:val="00861798"/>
    <w:rsid w:val="00861D06"/>
    <w:rsid w:val="0086245E"/>
    <w:rsid w:val="00866920"/>
    <w:rsid w:val="0087195C"/>
    <w:rsid w:val="008830D2"/>
    <w:rsid w:val="00885874"/>
    <w:rsid w:val="0089106A"/>
    <w:rsid w:val="008A02E1"/>
    <w:rsid w:val="008A18DC"/>
    <w:rsid w:val="008A380E"/>
    <w:rsid w:val="008A7668"/>
    <w:rsid w:val="008B0A54"/>
    <w:rsid w:val="008B1DF5"/>
    <w:rsid w:val="008B582E"/>
    <w:rsid w:val="008B595A"/>
    <w:rsid w:val="008C0397"/>
    <w:rsid w:val="008C338E"/>
    <w:rsid w:val="008C460B"/>
    <w:rsid w:val="008C5DCF"/>
    <w:rsid w:val="008C637E"/>
    <w:rsid w:val="008C69FD"/>
    <w:rsid w:val="008D192D"/>
    <w:rsid w:val="008D71C9"/>
    <w:rsid w:val="008E138A"/>
    <w:rsid w:val="008E6C0B"/>
    <w:rsid w:val="008E775D"/>
    <w:rsid w:val="008F1E15"/>
    <w:rsid w:val="008F4474"/>
    <w:rsid w:val="008F5C6B"/>
    <w:rsid w:val="008F682C"/>
    <w:rsid w:val="008F699C"/>
    <w:rsid w:val="008F7C7E"/>
    <w:rsid w:val="00902702"/>
    <w:rsid w:val="00913291"/>
    <w:rsid w:val="009146A0"/>
    <w:rsid w:val="009165F8"/>
    <w:rsid w:val="00923468"/>
    <w:rsid w:val="00924D3B"/>
    <w:rsid w:val="00926359"/>
    <w:rsid w:val="009273F9"/>
    <w:rsid w:val="0092792C"/>
    <w:rsid w:val="00934C26"/>
    <w:rsid w:val="009373C0"/>
    <w:rsid w:val="00942D12"/>
    <w:rsid w:val="009576AA"/>
    <w:rsid w:val="0096073B"/>
    <w:rsid w:val="009647EA"/>
    <w:rsid w:val="00970805"/>
    <w:rsid w:val="00975B1D"/>
    <w:rsid w:val="0098085B"/>
    <w:rsid w:val="0098563E"/>
    <w:rsid w:val="009A5621"/>
    <w:rsid w:val="009B7E8B"/>
    <w:rsid w:val="009C1B84"/>
    <w:rsid w:val="009C68FC"/>
    <w:rsid w:val="009C75F2"/>
    <w:rsid w:val="009D27A5"/>
    <w:rsid w:val="009D4392"/>
    <w:rsid w:val="009E2229"/>
    <w:rsid w:val="009E3477"/>
    <w:rsid w:val="009E3F90"/>
    <w:rsid w:val="009E50B9"/>
    <w:rsid w:val="009F503E"/>
    <w:rsid w:val="009F6169"/>
    <w:rsid w:val="009F6684"/>
    <w:rsid w:val="009F777D"/>
    <w:rsid w:val="00A01D37"/>
    <w:rsid w:val="00A04BB7"/>
    <w:rsid w:val="00A10BD9"/>
    <w:rsid w:val="00A221BC"/>
    <w:rsid w:val="00A258C6"/>
    <w:rsid w:val="00A2776C"/>
    <w:rsid w:val="00A32026"/>
    <w:rsid w:val="00A33BFA"/>
    <w:rsid w:val="00A34FA9"/>
    <w:rsid w:val="00A35541"/>
    <w:rsid w:val="00A4524A"/>
    <w:rsid w:val="00A476E9"/>
    <w:rsid w:val="00A50BB5"/>
    <w:rsid w:val="00A52455"/>
    <w:rsid w:val="00A55D7E"/>
    <w:rsid w:val="00A67275"/>
    <w:rsid w:val="00A678A2"/>
    <w:rsid w:val="00A72FD7"/>
    <w:rsid w:val="00A767EA"/>
    <w:rsid w:val="00A80B48"/>
    <w:rsid w:val="00A81346"/>
    <w:rsid w:val="00A8172F"/>
    <w:rsid w:val="00A85F38"/>
    <w:rsid w:val="00A87E57"/>
    <w:rsid w:val="00A9043A"/>
    <w:rsid w:val="00AA1D4A"/>
    <w:rsid w:val="00AB06CA"/>
    <w:rsid w:val="00AB0FC0"/>
    <w:rsid w:val="00AB6AF7"/>
    <w:rsid w:val="00AB7695"/>
    <w:rsid w:val="00AC3A1A"/>
    <w:rsid w:val="00AE3656"/>
    <w:rsid w:val="00AF031C"/>
    <w:rsid w:val="00AF1336"/>
    <w:rsid w:val="00AF40F0"/>
    <w:rsid w:val="00B00AB4"/>
    <w:rsid w:val="00B051C4"/>
    <w:rsid w:val="00B168E0"/>
    <w:rsid w:val="00B16D3E"/>
    <w:rsid w:val="00B17B0E"/>
    <w:rsid w:val="00B2142A"/>
    <w:rsid w:val="00B250CB"/>
    <w:rsid w:val="00B26D3A"/>
    <w:rsid w:val="00B33697"/>
    <w:rsid w:val="00B433CA"/>
    <w:rsid w:val="00B44392"/>
    <w:rsid w:val="00B52F89"/>
    <w:rsid w:val="00B65C49"/>
    <w:rsid w:val="00B707D3"/>
    <w:rsid w:val="00B74406"/>
    <w:rsid w:val="00B77610"/>
    <w:rsid w:val="00B91420"/>
    <w:rsid w:val="00B92825"/>
    <w:rsid w:val="00BA0335"/>
    <w:rsid w:val="00BA6AB2"/>
    <w:rsid w:val="00BA75C3"/>
    <w:rsid w:val="00BB1466"/>
    <w:rsid w:val="00BB457C"/>
    <w:rsid w:val="00BB6CA6"/>
    <w:rsid w:val="00BB7139"/>
    <w:rsid w:val="00BB7D82"/>
    <w:rsid w:val="00BC1F31"/>
    <w:rsid w:val="00BD177B"/>
    <w:rsid w:val="00BD1CC8"/>
    <w:rsid w:val="00BD27F5"/>
    <w:rsid w:val="00BD4ADD"/>
    <w:rsid w:val="00BE0111"/>
    <w:rsid w:val="00BE15B9"/>
    <w:rsid w:val="00BE5F3F"/>
    <w:rsid w:val="00BF333C"/>
    <w:rsid w:val="00BF406D"/>
    <w:rsid w:val="00C0705F"/>
    <w:rsid w:val="00C1091B"/>
    <w:rsid w:val="00C115C4"/>
    <w:rsid w:val="00C13FC4"/>
    <w:rsid w:val="00C23827"/>
    <w:rsid w:val="00C24C80"/>
    <w:rsid w:val="00C2588A"/>
    <w:rsid w:val="00C30559"/>
    <w:rsid w:val="00C30901"/>
    <w:rsid w:val="00C34F96"/>
    <w:rsid w:val="00C3684F"/>
    <w:rsid w:val="00C401E6"/>
    <w:rsid w:val="00C42211"/>
    <w:rsid w:val="00C42962"/>
    <w:rsid w:val="00C42D86"/>
    <w:rsid w:val="00C46E83"/>
    <w:rsid w:val="00C5789D"/>
    <w:rsid w:val="00C60519"/>
    <w:rsid w:val="00C64191"/>
    <w:rsid w:val="00C65DCE"/>
    <w:rsid w:val="00C75CB1"/>
    <w:rsid w:val="00C75CCE"/>
    <w:rsid w:val="00C75E6B"/>
    <w:rsid w:val="00C82564"/>
    <w:rsid w:val="00C86355"/>
    <w:rsid w:val="00C92A04"/>
    <w:rsid w:val="00C94EDA"/>
    <w:rsid w:val="00C95A89"/>
    <w:rsid w:val="00C97350"/>
    <w:rsid w:val="00CA5A28"/>
    <w:rsid w:val="00CB1573"/>
    <w:rsid w:val="00CC178D"/>
    <w:rsid w:val="00CC36B9"/>
    <w:rsid w:val="00CD30F5"/>
    <w:rsid w:val="00CD5435"/>
    <w:rsid w:val="00CD5C76"/>
    <w:rsid w:val="00CD6311"/>
    <w:rsid w:val="00CE07CF"/>
    <w:rsid w:val="00CE25E5"/>
    <w:rsid w:val="00CE524D"/>
    <w:rsid w:val="00CE556E"/>
    <w:rsid w:val="00CE57ED"/>
    <w:rsid w:val="00CF084C"/>
    <w:rsid w:val="00CF2EAF"/>
    <w:rsid w:val="00CF6D1F"/>
    <w:rsid w:val="00D076EF"/>
    <w:rsid w:val="00D10DF5"/>
    <w:rsid w:val="00D17D36"/>
    <w:rsid w:val="00D17E02"/>
    <w:rsid w:val="00D2059D"/>
    <w:rsid w:val="00D25295"/>
    <w:rsid w:val="00D321C1"/>
    <w:rsid w:val="00D348A2"/>
    <w:rsid w:val="00D35B0D"/>
    <w:rsid w:val="00D43E00"/>
    <w:rsid w:val="00D45DA7"/>
    <w:rsid w:val="00D57B8A"/>
    <w:rsid w:val="00D613CE"/>
    <w:rsid w:val="00D62458"/>
    <w:rsid w:val="00D7054A"/>
    <w:rsid w:val="00D85E27"/>
    <w:rsid w:val="00DA01EA"/>
    <w:rsid w:val="00DA38ED"/>
    <w:rsid w:val="00DA7149"/>
    <w:rsid w:val="00DB2718"/>
    <w:rsid w:val="00DB7BA5"/>
    <w:rsid w:val="00DC2078"/>
    <w:rsid w:val="00DC5D7B"/>
    <w:rsid w:val="00DD115E"/>
    <w:rsid w:val="00DD1885"/>
    <w:rsid w:val="00DE4A82"/>
    <w:rsid w:val="00DF25D3"/>
    <w:rsid w:val="00DF356B"/>
    <w:rsid w:val="00E15C89"/>
    <w:rsid w:val="00E202B3"/>
    <w:rsid w:val="00E21782"/>
    <w:rsid w:val="00E329E9"/>
    <w:rsid w:val="00E33718"/>
    <w:rsid w:val="00E3618F"/>
    <w:rsid w:val="00E3722B"/>
    <w:rsid w:val="00E37368"/>
    <w:rsid w:val="00E467E3"/>
    <w:rsid w:val="00E4713D"/>
    <w:rsid w:val="00E47D50"/>
    <w:rsid w:val="00E519FA"/>
    <w:rsid w:val="00E55670"/>
    <w:rsid w:val="00E56A9E"/>
    <w:rsid w:val="00E56D66"/>
    <w:rsid w:val="00E6181B"/>
    <w:rsid w:val="00E62841"/>
    <w:rsid w:val="00E65A65"/>
    <w:rsid w:val="00E66431"/>
    <w:rsid w:val="00E73201"/>
    <w:rsid w:val="00E75813"/>
    <w:rsid w:val="00E7650A"/>
    <w:rsid w:val="00E76F4F"/>
    <w:rsid w:val="00E86664"/>
    <w:rsid w:val="00E90A40"/>
    <w:rsid w:val="00EA09D5"/>
    <w:rsid w:val="00EA2CF4"/>
    <w:rsid w:val="00EA533A"/>
    <w:rsid w:val="00EA6826"/>
    <w:rsid w:val="00EA6913"/>
    <w:rsid w:val="00EA7775"/>
    <w:rsid w:val="00EB2717"/>
    <w:rsid w:val="00EB36A5"/>
    <w:rsid w:val="00EB6473"/>
    <w:rsid w:val="00EB67B8"/>
    <w:rsid w:val="00ED40D7"/>
    <w:rsid w:val="00ED6041"/>
    <w:rsid w:val="00EF0C2C"/>
    <w:rsid w:val="00EF10C2"/>
    <w:rsid w:val="00F02943"/>
    <w:rsid w:val="00F03DB3"/>
    <w:rsid w:val="00F1026F"/>
    <w:rsid w:val="00F261B2"/>
    <w:rsid w:val="00F27056"/>
    <w:rsid w:val="00F308E8"/>
    <w:rsid w:val="00F30AC0"/>
    <w:rsid w:val="00F42BF3"/>
    <w:rsid w:val="00F45EBC"/>
    <w:rsid w:val="00F54ED8"/>
    <w:rsid w:val="00F55D54"/>
    <w:rsid w:val="00F56B9A"/>
    <w:rsid w:val="00F576B4"/>
    <w:rsid w:val="00F8271A"/>
    <w:rsid w:val="00F84F92"/>
    <w:rsid w:val="00FA0C2F"/>
    <w:rsid w:val="00FA1C51"/>
    <w:rsid w:val="00FA2E1B"/>
    <w:rsid w:val="00FA7A38"/>
    <w:rsid w:val="00FB40F8"/>
    <w:rsid w:val="00FB7807"/>
    <w:rsid w:val="00FB7A19"/>
    <w:rsid w:val="00FB7ACB"/>
    <w:rsid w:val="00FB7DAE"/>
    <w:rsid w:val="00FC5354"/>
    <w:rsid w:val="00FC5E5B"/>
    <w:rsid w:val="00FC7898"/>
    <w:rsid w:val="00FD252A"/>
    <w:rsid w:val="00FD55F3"/>
    <w:rsid w:val="00FD7026"/>
    <w:rsid w:val="00FE31A7"/>
    <w:rsid w:val="00FE7B9D"/>
    <w:rsid w:val="00FF1B0C"/>
    <w:rsid w:val="00FF1B72"/>
    <w:rsid w:val="00FF1E19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4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5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C89"/>
  </w:style>
  <w:style w:type="paragraph" w:styleId="a6">
    <w:name w:val="footer"/>
    <w:basedOn w:val="a"/>
    <w:link w:val="a7"/>
    <w:uiPriority w:val="99"/>
    <w:unhideWhenUsed/>
    <w:rsid w:val="00E15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C89"/>
  </w:style>
  <w:style w:type="paragraph" w:styleId="a8">
    <w:name w:val="Balloon Text"/>
    <w:basedOn w:val="a"/>
    <w:link w:val="a9"/>
    <w:uiPriority w:val="99"/>
    <w:semiHidden/>
    <w:unhideWhenUsed/>
    <w:rsid w:val="00FF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B7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76725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67256"/>
    <w:rPr>
      <w:sz w:val="20"/>
      <w:szCs w:val="20"/>
    </w:rPr>
  </w:style>
  <w:style w:type="character" w:styleId="ac">
    <w:name w:val="footnote reference"/>
    <w:aliases w:val="Знак сноски-FN,Ciae niinee-FN,Знак сноски 1,fr,Used by Word for Help footnote symbols,Referencia nota al pie,SUPERS,Ciae niinee 1,Ссылка на сноску 45,Appel note de bas de page,анкета сноска,Odwołanie przypisu,Odwo³anie przypisu,сноска,Ref,FZ"/>
    <w:basedOn w:val="a0"/>
    <w:uiPriority w:val="99"/>
    <w:semiHidden/>
    <w:unhideWhenUsed/>
    <w:qFormat/>
    <w:rsid w:val="00767256"/>
    <w:rPr>
      <w:vertAlign w:val="superscript"/>
    </w:rPr>
  </w:style>
  <w:style w:type="paragraph" w:styleId="ad">
    <w:name w:val="Body Text"/>
    <w:basedOn w:val="a"/>
    <w:link w:val="ae"/>
    <w:uiPriority w:val="99"/>
    <w:semiHidden/>
    <w:unhideWhenUsed/>
    <w:rsid w:val="00FA0C2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A0C2F"/>
  </w:style>
  <w:style w:type="character" w:styleId="af">
    <w:name w:val="Hyperlink"/>
    <w:basedOn w:val="a0"/>
    <w:uiPriority w:val="99"/>
    <w:unhideWhenUsed/>
    <w:rsid w:val="00FB40F8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CF084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F084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F084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F084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F084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5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C89"/>
  </w:style>
  <w:style w:type="paragraph" w:styleId="a6">
    <w:name w:val="footer"/>
    <w:basedOn w:val="a"/>
    <w:link w:val="a7"/>
    <w:uiPriority w:val="99"/>
    <w:unhideWhenUsed/>
    <w:rsid w:val="00E15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C89"/>
  </w:style>
  <w:style w:type="paragraph" w:styleId="a8">
    <w:name w:val="Balloon Text"/>
    <w:basedOn w:val="a"/>
    <w:link w:val="a9"/>
    <w:uiPriority w:val="99"/>
    <w:semiHidden/>
    <w:unhideWhenUsed/>
    <w:rsid w:val="00FF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B7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76725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67256"/>
    <w:rPr>
      <w:sz w:val="20"/>
      <w:szCs w:val="20"/>
    </w:rPr>
  </w:style>
  <w:style w:type="character" w:styleId="ac">
    <w:name w:val="footnote reference"/>
    <w:aliases w:val="Знак сноски-FN,Ciae niinee-FN,Знак сноски 1,fr,Used by Word for Help footnote symbols,Referencia nota al pie,SUPERS,Ciae niinee 1,Ссылка на сноску 45,Appel note de bas de page,анкета сноска,Odwołanie przypisu,Odwo³anie przypisu,сноска,Ref,FZ"/>
    <w:basedOn w:val="a0"/>
    <w:uiPriority w:val="99"/>
    <w:semiHidden/>
    <w:unhideWhenUsed/>
    <w:qFormat/>
    <w:rsid w:val="00767256"/>
    <w:rPr>
      <w:vertAlign w:val="superscript"/>
    </w:rPr>
  </w:style>
  <w:style w:type="paragraph" w:styleId="ad">
    <w:name w:val="Body Text"/>
    <w:basedOn w:val="a"/>
    <w:link w:val="ae"/>
    <w:uiPriority w:val="99"/>
    <w:semiHidden/>
    <w:unhideWhenUsed/>
    <w:rsid w:val="00FA0C2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A0C2F"/>
  </w:style>
  <w:style w:type="character" w:styleId="af">
    <w:name w:val="Hyperlink"/>
    <w:basedOn w:val="a0"/>
    <w:uiPriority w:val="99"/>
    <w:unhideWhenUsed/>
    <w:rsid w:val="00FB40F8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CF084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F084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F084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F084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F08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B9FC5-CD10-4FEA-BA15-4A7F7DEE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Березкин Д.И.</dc:creator>
  <cp:lastModifiedBy>Березкин Д.И.</cp:lastModifiedBy>
  <cp:revision>57</cp:revision>
  <cp:lastPrinted>2021-05-14T08:03:00Z</cp:lastPrinted>
  <dcterms:created xsi:type="dcterms:W3CDTF">2021-05-07T15:31:00Z</dcterms:created>
  <dcterms:modified xsi:type="dcterms:W3CDTF">2022-08-12T17:28:00Z</dcterms:modified>
</cp:coreProperties>
</file>