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приказом Председателя </w:t>
      </w:r>
      <w:proofErr w:type="gramStart"/>
      <w:r>
        <w:rPr>
          <w:rFonts w:ascii="Arial" w:hAnsi="Arial" w:cs="Arial"/>
          <w:sz w:val="20"/>
          <w:szCs w:val="20"/>
        </w:rPr>
        <w:t>Счетной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палаты Российской Федерации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июня 2017 г. N 51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редакции приказа от 13.01.2020 № 1)</w:t>
      </w:r>
      <w:bookmarkStart w:id="0" w:name="_GoBack"/>
      <w:bookmarkEnd w:id="0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расчетов с подотчетными лицами в Счетной палате</w:t>
      </w: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 xml:space="preserve">Настоящий Порядок разработан в соответствии с Положением об организации ведения бюджетного учета и составления бюджетной отчетности в Счетной палате Российской Федерации, утвержденным приказом Председателя Счетной палаты Российской Федерации от 10 июля 2018 г.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77</w:t>
        </w:r>
      </w:hyperlink>
      <w:r>
        <w:rPr>
          <w:rFonts w:ascii="Arial" w:hAnsi="Arial" w:cs="Arial"/>
          <w:sz w:val="20"/>
          <w:szCs w:val="20"/>
        </w:rPr>
        <w:t xml:space="preserve">, с учетом положений Федерального закона от 10 июля 2002 г.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86-ФЗ</w:t>
        </w:r>
      </w:hyperlink>
      <w:r>
        <w:rPr>
          <w:rFonts w:ascii="Arial" w:hAnsi="Arial" w:cs="Arial"/>
          <w:sz w:val="20"/>
          <w:szCs w:val="20"/>
        </w:rPr>
        <w:t xml:space="preserve"> "О Центральном банке Российской Федерации (Банке России)", приказов Министерства финансов Российской Федерации от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 декабря 2010 г.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157н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от 6 декабря 2010 г.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162н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Плана счетов бюджетного учета и Инструкции по его применению", от 30 марта 2015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г.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52н</w:t>
        </w:r>
      </w:hyperlink>
      <w:r>
        <w:rPr>
          <w:rFonts w:ascii="Arial" w:hAnsi="Arial" w:cs="Arial"/>
          <w:sz w:val="20"/>
          <w:szCs w:val="20"/>
        </w:rPr>
        <w:t xml:space="preserve">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52н</w:t>
        </w:r>
      </w:hyperlink>
      <w:r>
        <w:rPr>
          <w:rFonts w:ascii="Arial" w:hAnsi="Arial" w:cs="Arial"/>
          <w:sz w:val="20"/>
          <w:szCs w:val="20"/>
        </w:rPr>
        <w:t xml:space="preserve">), указания Банка России от 7 октября 2013 г.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3073-У</w:t>
        </w:r>
      </w:hyperlink>
      <w:r>
        <w:rPr>
          <w:rFonts w:ascii="Arial" w:hAnsi="Arial" w:cs="Arial"/>
          <w:sz w:val="20"/>
          <w:szCs w:val="20"/>
        </w:rPr>
        <w:t xml:space="preserve"> "Об осуществлении наличных расчетов" (далее - Указание Банка России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N 3073-У</w:t>
        </w:r>
      </w:hyperlink>
      <w:r>
        <w:rPr>
          <w:rFonts w:ascii="Arial" w:hAnsi="Arial" w:cs="Arial"/>
          <w:sz w:val="20"/>
          <w:szCs w:val="20"/>
        </w:rPr>
        <w:t xml:space="preserve">), указания Банка России от 11 марта 2014 г.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3210-У</w:t>
        </w:r>
      </w:hyperlink>
      <w:r>
        <w:rPr>
          <w:rFonts w:ascii="Arial" w:hAnsi="Arial" w:cs="Arial"/>
          <w:sz w:val="20"/>
          <w:szCs w:val="20"/>
        </w:rPr>
        <w:t xml:space="preserve">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в целях совершенствования порядка расчетов с лицами, получившими денежные средства под отчет (далее - подотчетные лица).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Приказа от 29.12.2018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proofErr w:type="gramStart"/>
      <w:r>
        <w:rPr>
          <w:rFonts w:ascii="Arial" w:hAnsi="Arial" w:cs="Arial"/>
          <w:sz w:val="20"/>
          <w:szCs w:val="20"/>
        </w:rPr>
        <w:t>Выдача в Счетной палате Российской Федерации (далее - Счетная палата) денежных средств под отчет производится лицам, замещающим государственные должности Российской Федерации, федеральным государственным гражданским служащим, работникам, замещающим должности, не являющиеся должностями федеральной государственной гражданской службы (далее - сотрудники Счетной палаты), в случаях, установленных настоящим Порядком.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Выдача денежных средств под отчет производится при отсутствии за подотчетным лицом задолженности по денежным средствам, по которым наступил срок представления авансового отчета.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выданных под отчет денежных сре</w:t>
      </w:r>
      <w:proofErr w:type="gramStart"/>
      <w:r>
        <w:rPr>
          <w:rFonts w:ascii="Arial" w:hAnsi="Arial" w:cs="Arial"/>
          <w:sz w:val="20"/>
          <w:szCs w:val="20"/>
        </w:rPr>
        <w:t>дств др</w:t>
      </w:r>
      <w:proofErr w:type="gramEnd"/>
      <w:r>
        <w:rPr>
          <w:rFonts w:ascii="Arial" w:hAnsi="Arial" w:cs="Arial"/>
          <w:sz w:val="20"/>
          <w:szCs w:val="20"/>
        </w:rPr>
        <w:t>угому лицу запрещается.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Денежные средства, выданные под отчет, расходуются на цели, предусмотренные при их выдаче.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</w:t>
      </w:r>
      <w:proofErr w:type="gramStart"/>
      <w:r>
        <w:rPr>
          <w:rFonts w:ascii="Arial" w:hAnsi="Arial" w:cs="Arial"/>
          <w:sz w:val="20"/>
          <w:szCs w:val="20"/>
        </w:rPr>
        <w:t>Выдача денежных средств под отчет производится Финансовым департаментом наличными деньгами в месте для проведения кассовых операций (далее - касса) или в безналичном порядке путем перечисления денежных средств с лицевого счета Счетной палаты, открытого в органах Федерального казначейства (далее - ОФК), на банковскую карту (счет банковской карты) сотрудника Счетной палаты для зачисления заработной платы, пособий и иных выплат (далее - зарплатные карты).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 выдачи денежных средств под отчет указывается сотрудником Счетной палаты в заявлении по форме согласно приложениям N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 к настоящему Порядку.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Выдача сотрудникам Счетной палаты денежных средств под отчет в случаях, установленных настоящим Порядком, производится в течение пяти рабочих дней со дня представления в Финансовый департамент документов, предусмотренных пунктами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2.4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3.2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</w:t>
      </w:r>
      <w:proofErr w:type="gramStart"/>
      <w:r>
        <w:rPr>
          <w:rFonts w:ascii="Arial" w:hAnsi="Arial" w:cs="Arial"/>
          <w:sz w:val="20"/>
          <w:szCs w:val="20"/>
        </w:rPr>
        <w:t xml:space="preserve">Подотчетное лицо в срок, не превышающий трех рабочих дней после дня истечения срока, на который выданы денежные средства под отчет, представляет в Финансовый департамент авансовый отчет, </w:t>
      </w:r>
      <w:r>
        <w:rPr>
          <w:rFonts w:ascii="Arial" w:hAnsi="Arial" w:cs="Arial"/>
          <w:sz w:val="20"/>
          <w:szCs w:val="20"/>
        </w:rPr>
        <w:lastRenderedPageBreak/>
        <w:t xml:space="preserve">подписанный собственноручно, а при наличии технической возможности - в виде электронного документа, подписанного электронной подписью, по форме, утвержденной приказом Минфина России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52н</w:t>
        </w:r>
      </w:hyperlink>
      <w:r>
        <w:rPr>
          <w:rFonts w:ascii="Arial" w:hAnsi="Arial" w:cs="Arial"/>
          <w:sz w:val="20"/>
          <w:szCs w:val="20"/>
        </w:rPr>
        <w:t xml:space="preserve"> (код формы по ОКУД 0504505), с приложением документов, подтверждающих произведенные расходы, на</w:t>
      </w:r>
      <w:proofErr w:type="gramEnd"/>
      <w:r>
        <w:rPr>
          <w:rFonts w:ascii="Arial" w:hAnsi="Arial" w:cs="Arial"/>
          <w:sz w:val="20"/>
          <w:szCs w:val="20"/>
        </w:rPr>
        <w:t xml:space="preserve"> бумажном </w:t>
      </w:r>
      <w:proofErr w:type="gramStart"/>
      <w:r>
        <w:rPr>
          <w:rFonts w:ascii="Arial" w:hAnsi="Arial" w:cs="Arial"/>
          <w:sz w:val="20"/>
          <w:szCs w:val="20"/>
        </w:rPr>
        <w:t>носителе</w:t>
      </w:r>
      <w:proofErr w:type="gramEnd"/>
      <w:r>
        <w:rPr>
          <w:rFonts w:ascii="Arial" w:hAnsi="Arial" w:cs="Arial"/>
          <w:sz w:val="20"/>
          <w:szCs w:val="20"/>
        </w:rPr>
        <w:t xml:space="preserve"> или в виде электронных документов.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заполнении авансового отчета целесообразность произведенных расходов подтверждает: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сотрудников структурных подразделений аппарата Счетной палаты - руководитель соответствующего структурного подразделения аппарата Счетной палаты, а в период его временного отсутствия (отпуск, временная нетрудоспособность, служебная командировка) - лицо, исполняющее его обязанности;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директора департамента в составе направления деятельности Счетной палаты - аудитор Счетной палаты, возглавляющий соответствующее направление деятельности Счетной палаты, а в период его временного отсутствия (отпуск, временная нетрудоспособность, служебная командировка) - заместитель Председателя Счетной палаты;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руководителей структурных подразделений, не входящих в состав направлений деятельности Счетной палаты, - руководитель аппарата Счетной палаты, а в период его временного отсутствия (отпуск, временная нетрудоспособность, служебная командировка) - заместитель руководителя аппарата Счетной палаты).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от 13.01.2020 N 1)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Приказа от 29.12.2018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2. Выдача денежных средств под отчет</w:t>
      </w: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административно-хозяйственные расходы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proofErr w:type="gramStart"/>
      <w:r>
        <w:rPr>
          <w:rFonts w:ascii="Arial" w:hAnsi="Arial" w:cs="Arial"/>
          <w:sz w:val="20"/>
          <w:szCs w:val="20"/>
        </w:rPr>
        <w:t xml:space="preserve">Выдача денежных средств под отчет на административно-хозяйственные расходы производится в пределах показателей утвержденной бюджетной сметы Счетной палате на текущий финансовый год на указанные цели в сумме, не превышающей предельный размер наличных расчетов между участниками наличных расчетов в рамках одного договора, установленный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пунктом 6</w:t>
        </w:r>
      </w:hyperlink>
      <w:r>
        <w:rPr>
          <w:rFonts w:ascii="Arial" w:hAnsi="Arial" w:cs="Arial"/>
          <w:sz w:val="20"/>
          <w:szCs w:val="20"/>
        </w:rPr>
        <w:t xml:space="preserve"> Указания Банка России от 7 октября 2013 г.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N 3073-У</w:t>
        </w:r>
      </w:hyperlink>
      <w:r>
        <w:rPr>
          <w:rFonts w:ascii="Arial" w:hAnsi="Arial" w:cs="Arial"/>
          <w:sz w:val="20"/>
          <w:szCs w:val="20"/>
        </w:rPr>
        <w:t>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Выдача денежных средств под отчет на административно-хозяйственные расходы осуществляется сотруднику Счетной палаты, с которым заключен письменный договор о полной индивидуальной материальной ответственности.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Приказа от 29.12.2018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Выдача денежных средств под отчет на административно-хозяйственные расходы сотрудникам Счетной палаты осуществляется на срок, не превышающий 20 рабочих дней.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5"/>
      <w:bookmarkEnd w:id="1"/>
      <w:r>
        <w:rPr>
          <w:rFonts w:ascii="Arial" w:hAnsi="Arial" w:cs="Arial"/>
          <w:sz w:val="20"/>
          <w:szCs w:val="20"/>
        </w:rPr>
        <w:t xml:space="preserve">2.4. </w:t>
      </w:r>
      <w:proofErr w:type="gramStart"/>
      <w:r>
        <w:rPr>
          <w:rFonts w:ascii="Arial" w:hAnsi="Arial" w:cs="Arial"/>
          <w:sz w:val="20"/>
          <w:szCs w:val="20"/>
        </w:rPr>
        <w:t xml:space="preserve">Выдача денежных средств под отчет на административно-хозяйственные расходы производится на основании заявления сотрудника Счетной палаты, составленного на бумажном носителе, а при наличии технической возможности - в виде электронного документа, подписанного электронной подписью, содержащего назначение аванса, расчет (обоснование) размера аванса и срок, на который он выдается, по форме согласно приложению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N 1</w:t>
        </w:r>
      </w:hyperlink>
      <w:r>
        <w:rPr>
          <w:rFonts w:ascii="Arial" w:hAnsi="Arial" w:cs="Arial"/>
          <w:sz w:val="20"/>
          <w:szCs w:val="20"/>
        </w:rPr>
        <w:t xml:space="preserve"> к настоящему Порядку.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Приказа от 29.12.2018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Сотрудник Финансового департамента рассматривает заявление на предмет отсутствия за подотчетным лицом задолженности по денежным средствам, по которым наступил срок представления авансового отчета, и удостоверяет собственноручной, а при наличии технической возможности - электронной подписью на заявлении отсутствие указанной задолженности. При наличии задолженности у подотчетного лица заявление возвращается ему сотрудником Финансового департамента без исполнения.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проверки сотрудником Финансового департамента заявления директор Финансового департамента или заместитель директора Финансового департамента - главный бухгалтер, а затем руководитель (заместитель руководителя) аппарата Счетной палаты оформляют на заявлении указание о выдаче (перечислении) денежных средств путем проставления собственноручной, а при наличии технической возможности - электронной подписи.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Приказа от 29.12.2018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2.6. Абзац утратил силу. -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от 13.01.2020 N 1.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3. Выдача денежных средств под отчет на расходы, связанные со служебными командировками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Выдача денежных средств под отчет на расходы, связанные со служебными командировками, производится в пределах показателей утвержденной бюджетной сметы Счетной палате на текущий финансовый год на указанные цели.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5"/>
      <w:bookmarkEnd w:id="2"/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Выдача денежных средств под отчет на расходы, связанные со служебными командировками, производится на основании заявления сотрудника Счетной палаты, составленного на бумажном носителе, а при наличии технической возможности - в виде электронного документа, подписанного электронной подписью, содержащего назначение аванса, расчет (обоснование) размера аванса и срок, на который он выдается, по форме согласно приложениям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N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N 3</w:t>
        </w:r>
      </w:hyperlink>
      <w:r>
        <w:rPr>
          <w:rFonts w:ascii="Arial" w:hAnsi="Arial" w:cs="Arial"/>
          <w:sz w:val="20"/>
          <w:szCs w:val="20"/>
        </w:rPr>
        <w:t xml:space="preserve"> к настоящему Порядку.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Приказа от 29.12.2018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Сотрудник Финансового департамента рассматривает заявление на предмет отсутствия за подотчетным лицом задолженности по денежным средствам, по которым наступил срок представления авансового отчета, и удостоверяет собственноручной, а при наличии технической возможности - электронной подписью на заявлении отсутствие указанной задолженности. При наличии задолженности у подотчетного лица заявление возвращается ему сотрудником Финансового департамента без исполнения.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проверки сотрудником Финансового департамента заявления директор Финансового департамента или заместитель директора Финансового департамента - главный бухгалтер, а затем руководитель (заместитель руководителя) аппарата Счетной оформляют на заявлении указание о выдаче (перечислении) денежных средств путем проставления собственноручной, а при наличии технической возможности - электронной подписи.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Приказа от 29.12.2018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3.4.Абзац утратил силу. -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от 13.01.2020 N 1.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4. Окончательный расчет по представленному авансовому отчету</w:t>
      </w: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Проверка авансового отчета о расходовании денежных средств подотчетным лицом сотрудниками Финансового департамента, его утверждение уполномоченным лицом и окончательный расчет по авансовому отчету осуществляются в срок не более 10 рабочих дней со дня, следующего за днем представления подотчетным лицом в Финансовый департамент авансового отчета с приложением документов, подтверждающих произведенные расходы.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Окончательный расчет по представленному подотчетным лицом авансовому отчету производится в случае превышения сумм расходов подотчетного лица над ранее выданным авансом, а также в случае наличия остатка неизрасходованных денежных средств, выданных под отчет.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 случае превышения сумм расходов подотчетного лица над ранее выданным авансом после проверки авансового отчета в установленном порядке и его утверждения уполномоченным лицом Счетной палаты производится выдача денежных сре</w:t>
      </w:r>
      <w:proofErr w:type="gramStart"/>
      <w:r>
        <w:rPr>
          <w:rFonts w:ascii="Arial" w:hAnsi="Arial" w:cs="Arial"/>
          <w:sz w:val="20"/>
          <w:szCs w:val="20"/>
        </w:rPr>
        <w:t>дств в с</w:t>
      </w:r>
      <w:proofErr w:type="gramEnd"/>
      <w:r>
        <w:rPr>
          <w:rFonts w:ascii="Arial" w:hAnsi="Arial" w:cs="Arial"/>
          <w:sz w:val="20"/>
          <w:szCs w:val="20"/>
        </w:rPr>
        <w:t>умме утвержденного перерасхода.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</w:t>
      </w:r>
      <w:proofErr w:type="gramStart"/>
      <w:r>
        <w:rPr>
          <w:rFonts w:ascii="Arial" w:hAnsi="Arial" w:cs="Arial"/>
          <w:sz w:val="20"/>
          <w:szCs w:val="20"/>
        </w:rPr>
        <w:t>Выдача денежных средств подотчетному лицу в сумме утвержденного перерасхода производится из кассы наличными деньгами или путем перечисления денежных средств с лицевого счета Счетной палаты, открытого в ОФК, на зарплатную карту сотрудника Счетной палаты на основании заявления подотчетного лица, подписанного собственноручной, а при наличии технической возможности - электронной подписью, оформленного в произвольной форме, на имя руководителя (заместителя руководителя) аппарата Счетной палаты.</w:t>
      </w:r>
      <w:proofErr w:type="gramEnd"/>
    </w:p>
    <w:p w:rsidR="00D2107C" w:rsidRDefault="00D2107C" w:rsidP="00D2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Приказа от 29.12.2018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N 143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D2107C" w:rsidRDefault="00D2107C" w:rsidP="00D210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Возврат неизрасходованных денежных средств, выданных под отчет, производится в кассу сотрудником Счетной палаты наличными деньгами или удерживается в порядке, предусмотренном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статьей 137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Трудового 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из денежного содержания (заработной платы) сотрудника Счетной палаты.</w:t>
      </w:r>
    </w:p>
    <w:p w:rsidR="00203AE8" w:rsidRDefault="00203AE8"/>
    <w:sectPr w:rsidR="00203AE8" w:rsidSect="00AC16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7C"/>
    <w:rsid w:val="00203AE8"/>
    <w:rsid w:val="00D2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07FEF65EFEC54C2CA8B270CF7409A1B607DA13A670022182CC963A6DEC115F5EF0666D198135E247273CAB02NAY0J" TargetMode="External"/><Relationship Id="rId18" Type="http://schemas.openxmlformats.org/officeDocument/2006/relationships/hyperlink" Target="consultantplus://offline/ref=F707FEF65EFEC54C2CA8AD67DA7F5FAEBF5BD510A576087C88C4CF366FEB1E005BF7776D1A812BE2443B35FF51E4FCB04A62553BA2320ABB5DN2Y2J" TargetMode="External"/><Relationship Id="rId26" Type="http://schemas.openxmlformats.org/officeDocument/2006/relationships/hyperlink" Target="consultantplus://offline/ref=F707FEF65EFEC54C2CA8AD67DA7F5FAEBF5BD510A576087C88C4CF366FEB1E005BF7776D1A812BE2443E35FF51E4FCB04A62553BA2320ABB5DN2Y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07FEF65EFEC54C2CA8B270CF7409A1B503DA15AA72022182CC963A6DEC115F5EF0666D198135E247273CAB02NAY0J" TargetMode="External"/><Relationship Id="rId34" Type="http://schemas.openxmlformats.org/officeDocument/2006/relationships/hyperlink" Target="consultantplus://offline/ref=F707FEF65EFEC54C2CA8B270CF7409A1B704DC19A17A022182CC963A6DEC115F5EF0666D198135E247273CAB02NAY0J" TargetMode="External"/><Relationship Id="rId7" Type="http://schemas.openxmlformats.org/officeDocument/2006/relationships/hyperlink" Target="consultantplus://offline/ref=F707FEF65EFEC54C2CA8B270CF7409A1B60CDF12A673022182CC963A6DEC115F5EF0666D198135E247273CAB02NAY0J" TargetMode="External"/><Relationship Id="rId12" Type="http://schemas.openxmlformats.org/officeDocument/2006/relationships/hyperlink" Target="consultantplus://offline/ref=F707FEF65EFEC54C2CA8B270CF7409A1B503DA15AA72022182CC963A6DEC115F5EF0666D198135E247273CAB02NAY0J" TargetMode="External"/><Relationship Id="rId17" Type="http://schemas.openxmlformats.org/officeDocument/2006/relationships/hyperlink" Target="consultantplus://offline/ref=F707FEF65EFEC54C2CA8B270CF7409A1B60DDD15A777022182CC963A6DEC115F5EF0666D198135E247273CAB02NAY0J" TargetMode="External"/><Relationship Id="rId25" Type="http://schemas.openxmlformats.org/officeDocument/2006/relationships/hyperlink" Target="consultantplus://offline/ref=F707FEF65EFEC54C2CA8AD67DA7F5FAEBF5BD510A1760D7C88C4CF366FEB1E005BE5773516832BFC453B20A900A2NAY9J" TargetMode="External"/><Relationship Id="rId33" Type="http://schemas.openxmlformats.org/officeDocument/2006/relationships/hyperlink" Target="consultantplus://offline/ref=F707FEF65EFEC54C2CA8B270CF7409A1B704DC19A17A022182CC963A6DEC115F4CF03E611B8122E144326AFA44F5A4BF487C4B39BE2E08B9N5Y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07FEF65EFEC54C2CA8AD67DA7F5FAEBF5BD510A5760A7C88C4CF366FEB1E005BF7776D1A812BE24C3D35FF51E4FCB04A62553BA2320ABB5DN2Y2J" TargetMode="External"/><Relationship Id="rId20" Type="http://schemas.openxmlformats.org/officeDocument/2006/relationships/hyperlink" Target="consultantplus://offline/ref=F707FEF65EFEC54C2CA8B270CF7409A1B503DA15AA72022182CC963A6DEC115F4CF03E611B812BE046326AFA44F5A4BF487C4B39BE2E08B9N5YFJ" TargetMode="External"/><Relationship Id="rId29" Type="http://schemas.openxmlformats.org/officeDocument/2006/relationships/hyperlink" Target="consultantplus://offline/ref=F707FEF65EFEC54C2CA8AD67DA7F5FAEBF5BD510A1760D7C88C4CF366FEB1E005BE5773516832BFC453B20A900A2NAY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07FEF65EFEC54C2CA8B270CF7409A1B705DB19A771022182CC963A6DEC115F5EF0666D198135E247273CAB02NAY0J" TargetMode="External"/><Relationship Id="rId11" Type="http://schemas.openxmlformats.org/officeDocument/2006/relationships/hyperlink" Target="consultantplus://offline/ref=F707FEF65EFEC54C2CA8B270CF7409A1B503DA15AA72022182CC963A6DEC115F5EF0666D198135E247273CAB02NAY0J" TargetMode="External"/><Relationship Id="rId24" Type="http://schemas.openxmlformats.org/officeDocument/2006/relationships/hyperlink" Target="consultantplus://offline/ref=F707FEF65EFEC54C2CA8AD67DA7F5FAEBF5BD510A1760D7C88C4CF366FEB1E005BE5773516832BFC453B20A900A2NAY9J" TargetMode="External"/><Relationship Id="rId32" Type="http://schemas.openxmlformats.org/officeDocument/2006/relationships/hyperlink" Target="consultantplus://offline/ref=F707FEF65EFEC54C2CA8AD67DA7F5FAEBF5BD510A1760D7C88C4CF366FEB1E005BE5773516832BFC453B20A900A2NAY9J" TargetMode="External"/><Relationship Id="rId5" Type="http://schemas.openxmlformats.org/officeDocument/2006/relationships/hyperlink" Target="consultantplus://offline/ref=F707FEF65EFEC54C2CA8AD67DA7F5FAEBF5BD510A0730D7C88C4CF366FEB1E005BE5773516832BFC453B20A900A2NAY9J" TargetMode="External"/><Relationship Id="rId15" Type="http://schemas.openxmlformats.org/officeDocument/2006/relationships/hyperlink" Target="consultantplus://offline/ref=F707FEF65EFEC54C2CA8AD67DA7F5FAEBF5BD510A5760A7C88C4CF366FEB1E005BF7776D1A812BE2413D35FF51E4FCB04A62553BA2320ABB5DN2Y2J" TargetMode="External"/><Relationship Id="rId23" Type="http://schemas.openxmlformats.org/officeDocument/2006/relationships/hyperlink" Target="consultantplus://offline/ref=F707FEF65EFEC54C2CA8AD67DA7F5FAEBF5BD510A5760A7C88C4CF366FEB1E005BF7776D1A812BE2413D35FF51E4FCB04A62553BA2320ABB5DN2Y2J" TargetMode="External"/><Relationship Id="rId28" Type="http://schemas.openxmlformats.org/officeDocument/2006/relationships/hyperlink" Target="consultantplus://offline/ref=F707FEF65EFEC54C2CA8AD67DA7F5FAEBF5BD510A5760A7C88C4CF366FEB1E005BF7776D1A812BE24C3D35FF51E4FCB04A62553BA2320ABB5DN2Y2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707FEF65EFEC54C2CA8B270CF7409A1B60DDD15A777022182CC963A6DEC115F5EF0666D198135E247273CAB02NAY0J" TargetMode="External"/><Relationship Id="rId19" Type="http://schemas.openxmlformats.org/officeDocument/2006/relationships/hyperlink" Target="consultantplus://offline/ref=F707FEF65EFEC54C2CA8AD67DA7F5FAEBF5BD510A1760D7C88C4CF366FEB1E005BE5773516832BFC453B20A900A2NAY9J" TargetMode="External"/><Relationship Id="rId31" Type="http://schemas.openxmlformats.org/officeDocument/2006/relationships/hyperlink" Target="consultantplus://offline/ref=F707FEF65EFEC54C2CA8AD67DA7F5FAEBF5BD510A576087C88C4CF366FEB1E005BF7776D1A812BE2443E35FF51E4FCB04A62553BA2320ABB5DN2Y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07FEF65EFEC54C2CA8B270CF7409A1B60DDD15A777022182CC963A6DEC115F5EF0666D198135E247273CAB02NAY0J" TargetMode="External"/><Relationship Id="rId14" Type="http://schemas.openxmlformats.org/officeDocument/2006/relationships/hyperlink" Target="consultantplus://offline/ref=F707FEF65EFEC54C2CA8AD67DA7F5FAEBF5BD510A1760D7C88C4CF366FEB1E005BE5773516832BFC453B20A900A2NAY9J" TargetMode="External"/><Relationship Id="rId22" Type="http://schemas.openxmlformats.org/officeDocument/2006/relationships/hyperlink" Target="consultantplus://offline/ref=F707FEF65EFEC54C2CA8AD67DA7F5FAEBF5BD510A1760D7C88C4CF366FEB1E005BE5773516832BFC453B20A900A2NAY9J" TargetMode="External"/><Relationship Id="rId27" Type="http://schemas.openxmlformats.org/officeDocument/2006/relationships/hyperlink" Target="consultantplus://offline/ref=F707FEF65EFEC54C2CA8AD67DA7F5FAEBF5BD510A5760A7C88C4CF366FEB1E005BF7776D1A812BE2433035FF51E4FCB04A62553BA2320ABB5DN2Y2J" TargetMode="External"/><Relationship Id="rId30" Type="http://schemas.openxmlformats.org/officeDocument/2006/relationships/hyperlink" Target="consultantplus://offline/ref=F707FEF65EFEC54C2CA8AD67DA7F5FAEBF5BD510A1760D7C88C4CF366FEB1E005BE5773516832BFC453B20A900A2NAY9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F707FEF65EFEC54C2CA8B270CF7409A1B60CDF15A473022182CC963A6DEC115F5EF0666D198135E247273CAB02NA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Братухина Татьяна Николаевна</dc:creator>
  <cp:lastModifiedBy>Братухина Татьяна Николаевна</cp:lastModifiedBy>
  <cp:revision>1</cp:revision>
  <dcterms:created xsi:type="dcterms:W3CDTF">2020-02-20T09:24:00Z</dcterms:created>
  <dcterms:modified xsi:type="dcterms:W3CDTF">2020-02-20T09:25:00Z</dcterms:modified>
</cp:coreProperties>
</file>