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E5F9C" w:rsidRPr="003E5F9C" w:rsidRDefault="003E5F9C" w:rsidP="003E5F9C">
      <w:pPr>
        <w:jc w:val="right"/>
        <w:rPr>
          <w:color w:val="000000"/>
          <w:sz w:val="28"/>
          <w:szCs w:val="28"/>
        </w:rPr>
      </w:pPr>
      <w:r w:rsidRPr="003E5F9C">
        <w:rPr>
          <w:color w:val="000000"/>
          <w:sz w:val="28"/>
          <w:szCs w:val="28"/>
        </w:rPr>
        <w:t>Приложение № 10 к отчету</w:t>
      </w:r>
    </w:p>
    <w:p w:rsidR="00AD1444" w:rsidRDefault="00BA0625">
      <w:pPr>
        <w:spacing w:before="345"/>
        <w:ind w:left="163" w:right="162"/>
        <w:jc w:val="center"/>
        <w:rPr>
          <w:rFonts w:cstheme="minorBidi"/>
          <w:sz w:val="24"/>
        </w:rPr>
      </w:pPr>
      <w:r>
        <w:rPr>
          <w:b/>
          <w:color w:val="000000"/>
          <w:sz w:val="31"/>
        </w:rPr>
        <w:t>КАРТА ИТОГОВ КОНТРОЛЬНОГО МЕРОПРИЯТИЯ</w:t>
      </w:r>
    </w:p>
    <w:p w:rsidR="00AD1444" w:rsidRDefault="00AD1444">
      <w:pPr>
        <w:ind w:left="163" w:right="162"/>
        <w:jc w:val="center"/>
        <w:rPr>
          <w:rFonts w:cstheme="minorBidi"/>
          <w:sz w:val="24"/>
        </w:rPr>
      </w:pPr>
    </w:p>
    <w:p w:rsidR="00AD1444" w:rsidRDefault="00BA0625">
      <w:pPr>
        <w:ind w:left="163" w:right="162"/>
        <w:jc w:val="center"/>
        <w:rPr>
          <w:rFonts w:cstheme="minorBidi"/>
          <w:sz w:val="24"/>
        </w:rPr>
      </w:pPr>
      <w:r>
        <w:rPr>
          <w:color w:val="000000"/>
          <w:sz w:val="28"/>
        </w:rPr>
        <w:t>План работы на 2024 год пункт 3.12.0.2, сроки проведения 20 ноября 2023 – 25 июня 2024, проверяемый период 1 Января 2022 – 31 Декабря 2023, совместное контрольное мероприятие «Аудит реализации мероприятий по сохранению объектов культурного наследия, расположенных в субъектах Российской Федерации, в рамках федерального проекта «Сохранение культурного и исторического наследия» государственной программы Российской Федерации «Развитие культуры» в 2022–2023 годах» (с контрольно-счетными органами субъектов Российской Федерации) Министерство культуры Российской Федерации (г. Москва) (камерально), Правительство Саратовской области (Саратовская область, г. Саратов), министерство культуры Саратовской области (Саратовская область, г. Саратов) (проводится Счетной палатой Саратовской области), Правительство Ульяновской области (Ульяновская область, г. Ульяновск) (совместно со Счетной палатой Ульяновской области), Правительство Калужской области (Калужская область, г. Калуга) (проводится Контрольно-счетной палатой Калужской области)</w:t>
      </w:r>
    </w:p>
    <w:tbl>
      <w:tblPr>
        <w:tblW w:w="0" w:type="auto"/>
        <w:tblCellMar>
          <w:left w:w="0" w:type="dxa"/>
          <w:right w:w="0" w:type="dxa"/>
        </w:tblCellMar>
        <w:tblLook w:val="04A0" w:firstRow="1" w:lastRow="0" w:firstColumn="1" w:lastColumn="0" w:noHBand="0" w:noVBand="1"/>
      </w:tblPr>
      <w:tblGrid>
        <w:gridCol w:w="30"/>
        <w:gridCol w:w="150"/>
        <w:gridCol w:w="1305"/>
        <w:gridCol w:w="555"/>
        <w:gridCol w:w="450"/>
        <w:gridCol w:w="1590"/>
        <w:gridCol w:w="1815"/>
        <w:gridCol w:w="450"/>
        <w:gridCol w:w="1995"/>
        <w:gridCol w:w="270"/>
        <w:gridCol w:w="30"/>
        <w:gridCol w:w="2490"/>
        <w:gridCol w:w="1065"/>
        <w:gridCol w:w="1245"/>
        <w:gridCol w:w="1515"/>
        <w:gridCol w:w="150"/>
        <w:gridCol w:w="15"/>
        <w:gridCol w:w="15"/>
      </w:tblGrid>
      <w:tr w:rsidR="00AD1444">
        <w:trPr>
          <w:trHeight w:hRule="exact" w:val="135"/>
        </w:trPr>
        <w:tc>
          <w:tcPr>
            <w:tcW w:w="2040" w:type="dxa"/>
            <w:gridSpan w:val="4"/>
          </w:tcPr>
          <w:p w:rsidR="00AD1444" w:rsidRDefault="00AD1444">
            <w:pPr>
              <w:rPr>
                <w:rFonts w:cstheme="minorBidi"/>
                <w:sz w:val="1"/>
              </w:rPr>
            </w:pPr>
          </w:p>
        </w:tc>
        <w:tc>
          <w:tcPr>
            <w:tcW w:w="2040" w:type="dxa"/>
            <w:gridSpan w:val="2"/>
          </w:tcPr>
          <w:p w:rsidR="00AD1444" w:rsidRDefault="00AD1444">
            <w:pPr>
              <w:rPr>
                <w:rFonts w:cstheme="minorBidi"/>
                <w:sz w:val="1"/>
              </w:rPr>
            </w:pPr>
          </w:p>
        </w:tc>
        <w:tc>
          <w:tcPr>
            <w:tcW w:w="2265" w:type="dxa"/>
            <w:gridSpan w:val="2"/>
          </w:tcPr>
          <w:p w:rsidR="00AD1444" w:rsidRDefault="00AD1444">
            <w:pPr>
              <w:rPr>
                <w:rFonts w:cstheme="minorBidi"/>
                <w:sz w:val="1"/>
              </w:rPr>
            </w:pPr>
          </w:p>
        </w:tc>
        <w:tc>
          <w:tcPr>
            <w:tcW w:w="2265" w:type="dxa"/>
            <w:gridSpan w:val="2"/>
          </w:tcPr>
          <w:p w:rsidR="00AD1444" w:rsidRDefault="00AD1444">
            <w:pPr>
              <w:rPr>
                <w:rFonts w:cstheme="minorBidi"/>
                <w:sz w:val="1"/>
              </w:rPr>
            </w:pPr>
          </w:p>
        </w:tc>
        <w:tc>
          <w:tcPr>
            <w:tcW w:w="3585" w:type="dxa"/>
            <w:gridSpan w:val="3"/>
          </w:tcPr>
          <w:p w:rsidR="00AD1444" w:rsidRDefault="00AD1444">
            <w:pPr>
              <w:rPr>
                <w:rFonts w:cstheme="minorBidi"/>
                <w:sz w:val="1"/>
              </w:rPr>
            </w:pPr>
          </w:p>
        </w:tc>
        <w:tc>
          <w:tcPr>
            <w:tcW w:w="1245" w:type="dxa"/>
          </w:tcPr>
          <w:p w:rsidR="00AD1444" w:rsidRDefault="00AD1444">
            <w:pPr>
              <w:rPr>
                <w:rFonts w:cstheme="minorBidi"/>
                <w:sz w:val="1"/>
              </w:rPr>
            </w:pPr>
          </w:p>
        </w:tc>
        <w:tc>
          <w:tcPr>
            <w:tcW w:w="1695" w:type="dxa"/>
            <w:gridSpan w:val="4"/>
          </w:tcPr>
          <w:p w:rsidR="00AD1444" w:rsidRDefault="00AD1444">
            <w:pPr>
              <w:rPr>
                <w:rFonts w:cstheme="minorBidi"/>
                <w:sz w:val="1"/>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Объект контроля</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AD1444" w:rsidRDefault="00BA0625">
            <w:pPr>
              <w:spacing w:after="160" w:line="258" w:lineRule="auto"/>
              <w:jc w:val="center"/>
              <w:rPr>
                <w:rFonts w:cstheme="minorBidi"/>
                <w:color w:val="000000"/>
              </w:rPr>
            </w:pPr>
            <w:r>
              <w:rPr>
                <w:rFonts w:cstheme="minorBidi"/>
                <w:color w:val="000000"/>
              </w:rPr>
              <w:t>Главный распорядитель бюджетных средств</w:t>
            </w:r>
            <w:r>
              <w:rPr>
                <w:rFonts w:cstheme="minorBidi"/>
                <w:b/>
                <w:color w:val="000000"/>
                <w:vertAlign w:val="superscript"/>
                <w:lang w:val="en-US" w:eastAsia="en-US"/>
              </w:rPr>
              <w:t>1</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Положения и реквизиты нормативных правовых актов, являющиеся правовым основанием квалификации нарушения</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Код и наименование нарушения в соответствии с Классификатором нарушений, выявленных в ходе внешнего государственного аудита (контроля)</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Краткое описание факта нарушения / факта неэффективного использования федеральных и иных ресурсов (на основе отчёта о  результатах контрольного мероприятия)</w:t>
            </w:r>
          </w:p>
        </w:tc>
        <w:tc>
          <w:tcPr>
            <w:tcW w:w="1245" w:type="dxa"/>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Сумма</w:t>
            </w:r>
            <w:r>
              <w:rPr>
                <w:color w:val="000000"/>
                <w:sz w:val="19"/>
              </w:rPr>
              <w:br/>
              <w:t>(тыс. рублей)</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Реквизиты протокола об административной ответственности</w:t>
            </w:r>
          </w:p>
        </w:tc>
      </w:tr>
      <w:tr w:rsidR="00AD1444">
        <w:trPr>
          <w:trHeight w:val="315"/>
        </w:trPr>
        <w:tc>
          <w:tcPr>
            <w:tcW w:w="2040" w:type="dxa"/>
            <w:gridSpan w:val="4"/>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1</w:t>
            </w:r>
          </w:p>
        </w:tc>
        <w:tc>
          <w:tcPr>
            <w:tcW w:w="2040" w:type="dxa"/>
            <w:gridSpan w:val="2"/>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2</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3</w:t>
            </w:r>
          </w:p>
        </w:tc>
        <w:tc>
          <w:tcPr>
            <w:tcW w:w="2265" w:type="dxa"/>
            <w:gridSpan w:val="2"/>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4</w:t>
            </w:r>
          </w:p>
        </w:tc>
        <w:tc>
          <w:tcPr>
            <w:tcW w:w="3585" w:type="dxa"/>
            <w:gridSpan w:val="3"/>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5</w:t>
            </w:r>
          </w:p>
        </w:tc>
        <w:tc>
          <w:tcPr>
            <w:tcW w:w="1245" w:type="dxa"/>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6</w:t>
            </w:r>
          </w:p>
        </w:tc>
        <w:tc>
          <w:tcPr>
            <w:tcW w:w="1695" w:type="dxa"/>
            <w:gridSpan w:val="4"/>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color w:val="000000"/>
                <w:sz w:val="19"/>
              </w:rPr>
            </w:pPr>
            <w:r>
              <w:rPr>
                <w:color w:val="000000"/>
                <w:sz w:val="19"/>
              </w:rPr>
              <w:t>7</w:t>
            </w:r>
          </w:p>
        </w:tc>
      </w:tr>
      <w:tr w:rsidR="00AD1444">
        <w:trPr>
          <w:trHeight w:val="330"/>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AD1444" w:rsidRDefault="00BA0625">
            <w:pPr>
              <w:rPr>
                <w:b/>
                <w:color w:val="000000"/>
                <w:sz w:val="19"/>
              </w:rPr>
            </w:pPr>
            <w:r>
              <w:rPr>
                <w:b/>
                <w:color w:val="000000"/>
                <w:sz w:val="19"/>
              </w:rPr>
              <w:t>1. Нарушения согласно Классификатору нарушений, выявленных в ходе внешнего государственного аудита (контроля)</w:t>
            </w:r>
          </w:p>
        </w:tc>
      </w:tr>
      <w:tr w:rsidR="00AD1444">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AD1444" w:rsidRDefault="00BA0625">
            <w:pPr>
              <w:ind w:right="113"/>
              <w:jc w:val="right"/>
              <w:rPr>
                <w:b/>
                <w:color w:val="000000"/>
                <w:sz w:val="19"/>
              </w:rPr>
            </w:pPr>
            <w:r>
              <w:rPr>
                <w:b/>
                <w:color w:val="000000"/>
                <w:sz w:val="19"/>
              </w:rPr>
              <w:t>Всего по разделу 1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b/>
                <w:color w:val="000000"/>
                <w:sz w:val="19"/>
              </w:rPr>
            </w:pPr>
            <w:r>
              <w:rPr>
                <w:b/>
                <w:color w:val="000000"/>
                <w:sz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AD1444" w:rsidRDefault="00AD1444">
            <w:pPr>
              <w:jc w:val="center"/>
              <w:rPr>
                <w:b/>
                <w:color w:val="000000"/>
                <w:sz w:val="19"/>
              </w:rPr>
            </w:pPr>
          </w:p>
        </w:tc>
      </w:tr>
      <w:tr w:rsidR="00AD1444">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AD1444" w:rsidRDefault="00BA0625">
            <w:pPr>
              <w:rPr>
                <w:b/>
                <w:color w:val="000000"/>
                <w:sz w:val="19"/>
              </w:rPr>
            </w:pPr>
            <w:r>
              <w:rPr>
                <w:b/>
                <w:color w:val="000000"/>
                <w:sz w:val="19"/>
              </w:rPr>
              <w:t>2. Прочие нарушения и недостатки</w:t>
            </w: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 Пункт 4.3.6 соглашения от 12 декабря 2019 г. № 054-09-2020-328</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2485101252. Пунктом 4.3.6 соглашения от 12 декабря 2019 г. № 054-09-2020-328 установлена обязанность Правительства Саратовской области обеспечивать представление в Минкультуры России на бумажном носителе, а также в форме электронного документа в ГИИС «Электронный бюджет» отчетов о расходах </w:t>
            </w:r>
            <w:r>
              <w:rPr>
                <w:color w:val="000000"/>
                <w:sz w:val="19"/>
              </w:rPr>
              <w:lastRenderedPageBreak/>
              <w:t>бюджета Саратовской области , о достижении значений показателей результативности субсидии , об исполнении графика выполнения мероприятий .</w:t>
            </w:r>
            <w:r>
              <w:rPr>
                <w:color w:val="000000"/>
                <w:sz w:val="19"/>
              </w:rPr>
              <w:br/>
              <w:t>Минкультуры Саратовской области и Комитетом по реализации инвестиционных проектов в строительстве Саратовской области  отчетность по соглашению от 12 декабря 2019 г. № 054-09-2020-328 размещалась с нарушением установленных сроков от 2 до 411 дней . Установлены факты отсутствия отчетности в ГИИС «Электронный бюджет» .</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bookmarkStart w:id="0" w:name="_GoBack"/>
        <w:bookmarkEnd w:id="0"/>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Подпункт 48 пункта 1 статьи 12 Федерального закона от 4 мая 2011 г. № 99-ФЗ «О лицензировании отдельных видов деятельности»; Постановление Правительства Российской Федерации от 28 января 2022 г. №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часть 1 и 2 статьи 45 Федерального закона от 25 июня 2002 г. № 73-ФЗ «Об объектах культурного наследия (памятниках истории и культуры) народов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2471806191. Государственным казенным учреждением Саратовской области «Управление капитального строительства» (далее – ГКУ СО «УКС») 31 августа 2020 года с ООО «АДЕПТ СТРОЙ» заключен государственный контракт № 0860500000220000042 на выполнение работ на объекте капитального строительства «Сохранение объекта культурного наследия регионального значения «Театр оперы и балета, 1864 г., 1959–1961 гг.», расположенного по адресу: г. Саратов, пл. Театральная, 1» (далее – объект), цена которого с учетом дополнительных соглашений (от 14 июня 2022 г. № 16, от 7 октября 2022 г.</w:t>
            </w:r>
            <w:r>
              <w:rPr>
                <w:color w:val="000000"/>
                <w:sz w:val="19"/>
              </w:rPr>
              <w:br/>
              <w:t xml:space="preserve">№ 20, от 12 октября 2022 г. № 21 и от 23 ноября 2022 г. № 24) составила 2 070 844 406,97 рубля (далее – государственный контракт от 31 августа 2020 года), в том числе за счет средств федерального бюджета, предоставленных бюджету Саратовской области, в объеме 1 841 158 276,5 рубля (соглашения о предоставлении субсидии из федерального бюджета бюджету субъекта Российской Федерации от 12 декабря 2019 г. № 054-09-2020-328 на сумму 723 321,0 тыс. рублей и от 24 декабря 2021 г. № 054-09-2022-615 на </w:t>
            </w:r>
            <w:r>
              <w:rPr>
                <w:color w:val="000000"/>
                <w:sz w:val="19"/>
              </w:rPr>
              <w:lastRenderedPageBreak/>
              <w:t xml:space="preserve">сумму 1 417 725,8 тыс. рублей). </w:t>
            </w:r>
            <w:r>
              <w:rPr>
                <w:color w:val="000000"/>
                <w:sz w:val="19"/>
              </w:rPr>
              <w:br/>
              <w:t xml:space="preserve">В соответствии с пунктом 48 части 1 статьи 12 Федерального закона от 4 мая 2011 г. № 99-ФЗ «О лицензировании отдельных видов деятельности» (далее – Федеральный закон № 99-ФЗ) и Положением о лицензировании деятельности по сохранению объектов культурного наследия (памятников истории и культуры) народов Российской Федерации, утвержденным постановлением Правительства Российской Федерации от 28 января 2022 г. № 67 (далее – Положение № 67), деятельность по сохранению объектов культурного наследия народов Российской Федерации подлежит обязательному лицензированию, которое осуществляется Министерством культуры Российской Федерации. </w:t>
            </w:r>
            <w:r>
              <w:rPr>
                <w:color w:val="000000"/>
                <w:sz w:val="19"/>
              </w:rPr>
              <w:br/>
              <w:t xml:space="preserve">В связи с непредставлением ООО «АДЕПТ СТРОЙ» в лицензирующий орган заявления о периодическом подтверждении соответствия лицензионным требованиям на основании приказа Минкультуры России от 1 марта 2023 г. № 454 действие лицензии ООО «АДЕПТ СТРОЙ» на осуществление деятельности по сохранению объектов культурного наследия (памятников истории и культуры) народов Российской Федерации с 2 марта 2023 года было приостановлено на пять месяцев. На основании приказа Минкультуры России от 11 августа 2023 г. № 2401 ввиду </w:t>
            </w:r>
            <w:proofErr w:type="spellStart"/>
            <w:r>
              <w:rPr>
                <w:color w:val="000000"/>
                <w:sz w:val="19"/>
              </w:rPr>
              <w:t>непроведения</w:t>
            </w:r>
            <w:proofErr w:type="spellEnd"/>
            <w:r>
              <w:rPr>
                <w:color w:val="000000"/>
                <w:sz w:val="19"/>
              </w:rPr>
              <w:t xml:space="preserve"> процедуры подтверждения лицензионным требованиям действие лицензии прекращено.</w:t>
            </w:r>
            <w:r>
              <w:rPr>
                <w:color w:val="000000"/>
                <w:sz w:val="19"/>
              </w:rPr>
              <w:br/>
              <w:t xml:space="preserve">В соответствии с частями 1 и 2 статьи 45 Федерального закона от 25 июня 2002 г. № 73-ФЗ «Об объектах культурного наследия (памятниках истории и культуры) народов Российской Федерации» (далее – Федеральный закон № 73-ФЗ) и </w:t>
            </w:r>
            <w:r>
              <w:rPr>
                <w:color w:val="000000"/>
                <w:sz w:val="19"/>
              </w:rPr>
              <w:lastRenderedPageBreak/>
              <w:t>подпунктом 2 пункта 3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утвержденного приказом Министерства культуры Российской Федерации от 21 октября 2015 г. № 2625 (далее – порядок № 2625),   работы по сохранению объекта культурного наследия регионального значения проводятся на основании разрешения на проведение указанных работ, выданного региональным органом охраны объектов культурного наследия.</w:t>
            </w:r>
            <w:r>
              <w:rPr>
                <w:color w:val="000000"/>
                <w:sz w:val="19"/>
              </w:rPr>
              <w:br/>
              <w:t xml:space="preserve">При этом, по информации комитета культурного наследия Саратовской области (письмо от 11 декабря 2023 г. № 01-19/6324), с 26 декабря 2022 года по 13 июня 2023 года у ООО «АДЕПТ СТРОЙ» отсутствовало разрешение на проведение работ по сохранению объекта культурного наследия. </w:t>
            </w:r>
            <w:r>
              <w:rPr>
                <w:color w:val="000000"/>
                <w:sz w:val="19"/>
              </w:rPr>
              <w:br/>
              <w:t>Вместе с тем в нарушение указанных требований федеральных законов № 73-ФЗ и № 99-ФЗ, Положения № 67 и порядка № 2625 в рамках выполнения государственного контракта от 31 августа 2020 года ООО «АДЕПТ СТРОЙ» без разрешения на проведение работ и во время приостановления действия лицензии Минкультуры России на осуществление деятельности по сохранению объектов культурного наследия были выполнены работы на объекте, которые были приняты и оплачены ГКУ СО «УКС» 11 мая 2023 года на общую сумму 2 075 040,88 рубля (платежные поручения от 11 мая 2023 г.  № 129–132).</w:t>
            </w:r>
            <w:r>
              <w:rPr>
                <w:color w:val="000000"/>
                <w:sz w:val="19"/>
              </w:rPr>
              <w:br/>
              <w:t xml:space="preserve">ГКУ СО «УКС» 13 октября 2023 года (то есть спустя семь месяцев после </w:t>
            </w:r>
            <w:r>
              <w:rPr>
                <w:color w:val="000000"/>
                <w:sz w:val="19"/>
              </w:rPr>
              <w:lastRenderedPageBreak/>
              <w:t>приостановки действия лицензии ООО «АДЕПТ СТРОЙ» на осуществление деятельности по сохранению объектов культурного наследия и два месяца после прекращения действия указанной лицензии) было принято решение № 01-01/3127 об одностороннем расторжении государственного контракта от 31 августа 2020 года на основании прекращения лицензии ООО «АДЕПТ СТРОЙ».</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УЛЬЯНОВСКОЙ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Пункт 9 статьи 45 Федерального закона от 25 июня 2002 г. 2002 г. № 73-ФЗ «Об объектах культурного наследия (памятниках истории и культуры) народов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2485860684. Пунктом 9 статьи 45 Федерального закона № 73-ФЗ предусмотрено, что акт приемки выполненных работ по сохранению объекта культурного наследия выдается органом охраны в течение пятнадцати рабочих дней после дня утверждения отчетной документации. Вместе с тем орган охраны осуществил выдачу акта приемки выполненных работ по сохранению объекта культурного наследия 4 апреля 2022 г. , то есть позже установленного срока (30 ноября 2021 года) на 104 рабочих дня (отчетная документация о выполнении работ по сохранению объекта культурного наследия «Ленинский мемориал» (в отношении работ по приспособлению части здания для современного использования (под малый зал для камерной и органной музыки ) согласована органом охраны 9 ноября 2021 года ).</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УЛЬЯНОВСКОЙ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2414840683. Управлением по охране объектов культурного наследия администрации Губернатора Ульяновской области при составлении задания на проведение работ по сохранению объекта культурного наследия «Ленинский мемориал»  не проработан в достаточной степени вопрос о выполнении рекомендаций, изложенных в Научно-техническом отчете , составленном по результатам комплексного обследования </w:t>
            </w:r>
            <w:r>
              <w:rPr>
                <w:color w:val="000000"/>
                <w:sz w:val="19"/>
              </w:rPr>
              <w:lastRenderedPageBreak/>
              <w:t>технического состояния объекта культурного наследия, а именно:</w:t>
            </w:r>
            <w:r>
              <w:rPr>
                <w:color w:val="000000"/>
                <w:sz w:val="19"/>
              </w:rPr>
              <w:br/>
              <w:t xml:space="preserve">выполнить проверку качества свайного основания на участке наиболее деформируемых частей здания методом </w:t>
            </w:r>
            <w:proofErr w:type="spellStart"/>
            <w:r>
              <w:rPr>
                <w:color w:val="000000"/>
                <w:sz w:val="19"/>
              </w:rPr>
              <w:t>сейсмоаккустики</w:t>
            </w:r>
            <w:proofErr w:type="spellEnd"/>
            <w:r>
              <w:rPr>
                <w:color w:val="000000"/>
                <w:sz w:val="19"/>
              </w:rPr>
              <w:t xml:space="preserve"> (СП 45.13330.2012 п. 12.7);</w:t>
            </w:r>
            <w:r>
              <w:rPr>
                <w:color w:val="000000"/>
                <w:sz w:val="19"/>
              </w:rPr>
              <w:br/>
              <w:t>проверить расчетами, с использованием результатов статического зондирования, несущую способность заложенного свайного основания.</w:t>
            </w:r>
            <w:r>
              <w:rPr>
                <w:color w:val="000000"/>
                <w:sz w:val="19"/>
              </w:rPr>
              <w:br/>
              <w:t>В результате существуют риски по деформации объекта культурного наследия «Ленинский мемориал» и утраты результатов ремонтно-реставрационных работ, проводимых на вышеуказанном объекте.</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2451468004. Также в ходе совместного контрольного мероприятия установлено, что ООО «АДЕПТ СТРОЙ» в нарушение пункта 1 статьи 743 Гражданского кодекса Российской Федерации допущены отступления от проектно-сметной документации объекта (положительное заключение государственной экспертизы от 7 февраля 2019 г. № 64-1-0037-19).</w:t>
            </w:r>
            <w:r>
              <w:rPr>
                <w:color w:val="000000"/>
                <w:sz w:val="19"/>
              </w:rPr>
              <w:br/>
              <w:t>Проектом организации работ по демонтажу (часть научно-проектной документации, проект сохранения и приспособления, стадия «Проектная документация», 1-НПД-16/13-ПР/16-3.2.7-ПОД, том 3.2.7) предусмотрено, что демонтаж аварийных конструкций будет производиться только вручную, разборка стен производится вручную при помощи кувалды и лома.</w:t>
            </w:r>
            <w:r>
              <w:rPr>
                <w:color w:val="000000"/>
                <w:sz w:val="19"/>
              </w:rPr>
              <w:br/>
              <w:t xml:space="preserve">Однако ООО «АДЕПТ СТРОЙ» произведен демонтаж части здания объекта и колонн строительной техникой, а строительные леса вмонтированы непосредственно в стены здания театра. Кроме того, скульптурная композиция объекта культурного наследия к месту реставрации не доставлена, ее сохранность </w:t>
            </w:r>
            <w:r>
              <w:rPr>
                <w:color w:val="000000"/>
                <w:sz w:val="19"/>
              </w:rPr>
              <w:lastRenderedPageBreak/>
              <w:t>не обеспечена, а часть композиции находится среди строительного мусора. Иные фрагменты объекта культурного наследия также находятся среди строительного мусора (акт контрольного обмера Счетной палаты Российской Федерации от 14 декабря 2023 года).</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часть 1 статьи 45 Федерального закона от 25 июня 2002 г. № 73-ФЗ "Об объектах культурного наследия (памятниках истории и культуры) народов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2418416739. В период с 31 августа 2020 года по 12 июля 2021 года технический надзор на Объекте не осуществлялся , несмотря на требование части 1 статьи 45 Федерального закона от 25 июня 2002 г. № 73-ФЗ «Об объектах культурного наследия (памятниках истории и культуры) народов Российской Федерации».</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2445523592. Предусмотренная в федеральном бюджете субсидия Саратовской области на 2020-2022 годы в сумме 2 151 914,6 тыс. рублей использована по отношению к сводной бюджетной росписи на 85,5 </w:t>
            </w:r>
            <w:proofErr w:type="gramStart"/>
            <w:r>
              <w:rPr>
                <w:color w:val="000000"/>
                <w:sz w:val="19"/>
              </w:rPr>
              <w:t>% ,</w:t>
            </w:r>
            <w:proofErr w:type="gramEnd"/>
            <w:r>
              <w:rPr>
                <w:color w:val="000000"/>
                <w:sz w:val="19"/>
              </w:rPr>
              <w:t xml:space="preserve"> предусмотренные в бюджете Саратовской области на 2020-2022 годы средства в сумме 312 277,65 тыс. рублей – на 77,4% . Фактические расходы бюджета Саратовской области (2 081 028,8 тыс. рублей) превысили первоначально </w:t>
            </w:r>
            <w:proofErr w:type="gramStart"/>
            <w:r>
              <w:rPr>
                <w:color w:val="000000"/>
                <w:sz w:val="19"/>
              </w:rPr>
              <w:t>запланированные  на</w:t>
            </w:r>
            <w:proofErr w:type="gramEnd"/>
            <w:r>
              <w:rPr>
                <w:color w:val="000000"/>
                <w:sz w:val="19"/>
              </w:rPr>
              <w:t xml:space="preserve"> 25%. Увеличение стоимости работ по объекту составило 472,2 тыс. рублей.</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УЛЬЯНОВСКОЙ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Пункт 1 статьи 45 Федерального закона от 25 июня 2002 г. 2002 г. № 73-ФЗ «Об объектах культурного наследия (памятниках истории и культуры) народов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2498618380. Установлено, что техническим заказчиком ОГКУ «</w:t>
            </w:r>
            <w:proofErr w:type="spellStart"/>
            <w:r>
              <w:rPr>
                <w:color w:val="000000"/>
                <w:sz w:val="19"/>
              </w:rPr>
              <w:t>Ульяновскоблстройзаказчик</w:t>
            </w:r>
            <w:proofErr w:type="spellEnd"/>
            <w:r>
              <w:rPr>
                <w:color w:val="000000"/>
                <w:sz w:val="19"/>
              </w:rPr>
              <w:t xml:space="preserve">» в период с 1 января по 13 апреля 2023 года не обеспечено заключение государственного контракта по осуществлению технического надзора за проведением ремонтно-реставрационных работ. В связи с чем технический надзор за проведением ремонтно-реставрационных работ по сохранению объекта культурного наследия «Ленинский мемориал»  в указанный период не осуществлялся, как </w:t>
            </w:r>
            <w:r>
              <w:rPr>
                <w:color w:val="000000"/>
                <w:sz w:val="19"/>
              </w:rPr>
              <w:lastRenderedPageBreak/>
              <w:t>предусмотрено пунктом 1 статьи 45 Федерального закона № 73-ФЗ.</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УЛЬЯНОВСКОЙ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Пункт 4.3.4 соглашения от 22 марта 2019 г. № 054-17-2019-001</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2407301613. Пунктом 4.3.4 соглашения от 22 марта 2019 г. № 054-17-2019-001 установлены сроки для размещения в ГИИС «Электронный бюджет» ежеквартальных отчетов о достижении результатов предоставления иного межбюджетного трансферта.</w:t>
            </w:r>
            <w:r>
              <w:rPr>
                <w:color w:val="000000"/>
                <w:sz w:val="19"/>
              </w:rPr>
              <w:br/>
              <w:t>Вместе с тем Министерством искусства и культурной политики Ульяновской области как уполномоченным органом исполнительной власти субъекта Российской Федерации, осуществляющим функции по исполнению (координации исполнения) соглашения и предоставлению отчетности,  отчет о достижении результатов предоставления иного межбюджетного трансферта на 1 апреля 2019 года размещен в ГИИС «Электронный бюджет» 7 мая 2019 года , то есть с превышением срока на 22 дня, на 1 октября 2019 года - 16 апреля 2020 года , то есть с превышением срока на 184 дня.</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2429173396. По данным подсистемы управления национальными проектами государственной интегрированной информационной системы управления общественными финансами «Электронный бюджет» (далее – ГИИС «Электронный бюджет») Саратовской областью также не достигнуты первоначально запланированные значения показателя «Количество построенных, реконструированных объектов региональных и муниципальных учреждений культуры (нарастающим итогом)» (1 объект в 2022 г.) и результата «Построены, реконструированы объекты региональных учреждений культуры» (1 объект на 31 декабря 2022 г.) федерального проекта «Сохранение культурного и исторического наследия».</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2426820274. Данные о технической готовности объекта, представленные в отчете об исполнении графика выполнения мероприятий по проектированию и (или) строительству (реконструкции, в том числе с элементами реставрации, техническому перевооружению) объектов капитального строительства на 1 января 2023 года (52%), не соответствуют данным официальной статистической отчетности  (43%).</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2472483049. Данные отчета о ходе реализации государственной программы Саратовской области «Культура Саратовской области» за 2021 и 2022 годы в части технической готовности объекта (2021 год – 21%, 2022 год – 36%) </w:t>
            </w:r>
            <w:r>
              <w:rPr>
                <w:color w:val="000000"/>
                <w:sz w:val="19"/>
              </w:rPr>
              <w:br/>
              <w:t>не соответствуют данным отчета о достижении значений результатов использования Субсидии и обязательствах, принятых в целях их достижения  на 1 января 2022 года (2021 года – 28,9%) и отчета об исполнении графика выполнения мероприятий по проектированию и (или) строительству объектов капитального строительства на 1 января 2023 г. (2022 год – 52%).</w:t>
            </w:r>
            <w:r>
              <w:rPr>
                <w:color w:val="000000"/>
                <w:sz w:val="19"/>
              </w:rPr>
              <w:br/>
              <w:t>Предусмотренный в государственной программе Саратовской области «Культура Саратовской области», утвержденной постановлением Правительства Саратовской области от 20 ноября 2013 г. № 642-П, показатель «Техническая готовность объекта «Театр оперы и балета, 1864 г., 1959 - 1961 гг.» в 2020 году достигнут (12,6%) за счет уменьшения планового значения в конце отчетного года (с 36,4% до 12,6%), а в 2021 и 2022 годах плановые показатели не достигнуты (в 2021 году план 48,3%, факт – 21% , в 2022 году план – 50%, факт – 36%) .</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МИНИСТЕРСТВО КУЛЬТУРЫ </w:t>
            </w:r>
            <w:r>
              <w:rPr>
                <w:color w:val="000000"/>
                <w:sz w:val="19"/>
              </w:rPr>
              <w:lastRenderedPageBreak/>
              <w:t>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Пункты 4.3.3 и 4.3.4 соглашения от 12 декабря 2019 г. № 054-09-2020-328</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2474523052. В соответствии с пунктами 4.3.3 и 4.3.4 соглашения от 12 декабря 2019 г. № 054-09-2020-328 Правительство </w:t>
            </w:r>
            <w:r>
              <w:rPr>
                <w:color w:val="000000"/>
                <w:sz w:val="19"/>
              </w:rPr>
              <w:lastRenderedPageBreak/>
              <w:t xml:space="preserve">Саратовской области обязано было обеспечить достижение значений показателей результативности использования субсидии, установленных в соответствии с приложением № 3 к указанному соглашению, а также исполнение графика выполнения мероприятий по проектированию и (или) строительству (реконструкции, в том числе </w:t>
            </w:r>
            <w:r>
              <w:rPr>
                <w:color w:val="000000"/>
                <w:sz w:val="19"/>
              </w:rPr>
              <w:br/>
              <w:t>с элементами реставрации, техническому перевооружению) объектов капитального строительства согласно приложению № 4 к указанному соглашению. Аналогичные обязательства возлагались на Правительство Саратовской области и соглашением от 24 декабря 2021 г. № 054-09-2022-615.</w:t>
            </w:r>
            <w:r>
              <w:rPr>
                <w:color w:val="000000"/>
                <w:sz w:val="19"/>
              </w:rPr>
              <w:br/>
              <w:t xml:space="preserve">Вместе с тем в установленные соглашениями от 12 декабря 2019 г. </w:t>
            </w:r>
            <w:r>
              <w:rPr>
                <w:color w:val="000000"/>
                <w:sz w:val="19"/>
              </w:rPr>
              <w:br/>
              <w:t>№ 054-09-2020-328 и от 24 декабря 2021 г. № 054-09-2022-615 сроки (2022 год) объект в эксплуатацию не введен, сроки ввода объекта в эксплуатацию перенесены на 2024 год , результаты предоставления субсидии в 2020-2022 годах не достигнуты .</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УЛЬЯНОВСКОЙ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Федеральный закон от 25 июня 2002 г. 2002 г. № 73-ФЗ «Об объектах культурного наследия (памятниках истории и культуры) народов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2454667668. Согласно пункту 7 статьи 45 Федерального закона № 73-ФЗ после выполнения работ по сохранению объекта культурного наследия, включенного в реестр, или выявленного объекта культурного наследия, лицо, осуществлявшее научное руководство и авторский надзор за проведением этих работ, в течение девяноста рабочих дней со дня выполнения указанных работ представляет в соответствующий орган охраны объектов культурного наследия, выдавший разрешение на проведение указанных работ, отчетную документацию, включая научный отчет о выполненных работах. </w:t>
            </w:r>
            <w:r>
              <w:rPr>
                <w:color w:val="000000"/>
                <w:sz w:val="19"/>
              </w:rPr>
              <w:br/>
              <w:t>Вместе с тем ООО «Симбирск-Рем-</w:t>
            </w:r>
            <w:r>
              <w:rPr>
                <w:color w:val="000000"/>
                <w:sz w:val="19"/>
              </w:rPr>
              <w:lastRenderedPageBreak/>
              <w:t>Сервис»  представило в Управление по охране объектов культурного наследия администрации Губернатора Ульяновской области (далее - орган охраны) отчетную документацию о выполнении работ по сохранению объекта культурного наследия «Ленинский мемориал» (в отношении работ по приспособлению части здания для современного использования (под малый зал для камерной и органной музыки ) 5 октября 2021 года, то есть позже установленного срока (20 мая 2021 года) на 101 рабочий день (акты о приемки выполненных работ от 16 декабря 2020 г. № 61 и от 21 декабря 2020 года № 62).</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2425496679. В ходе выполнения государственного контракта от 31 августа 2020 года ГКУ СО «УКС» были приняты и оплачены реставрационные работы по отделке помещений, декора, лепнины (акты о приемке выполненных работ по форме КС-2 от 1 марта 2021 г. № 24, от 28 октября 2022 г. № 71 (корректировка акта по форме КС-2 от 1 марта 2021 года) и от 23 декабря 2022 г. № 115) на общую сумму 11 745 970,07 рубля.</w:t>
            </w:r>
            <w:r>
              <w:rPr>
                <w:color w:val="000000"/>
                <w:sz w:val="19"/>
              </w:rPr>
              <w:br/>
              <w:t>Однако в ходе совместного контрольного мероприятия было установлено, что указанные реставрационные работы ООО «АДЕПТ СТРОЙ» не выполнены, а фрагменты объекта культурного наследия уничтожены или повреждены, в том числе внутренний интерьер, карнизы, лепнина, барельефы и т. д. (акт контрольного обмера Счетной палаты Российской Федерации от 14 декабря 2023 года).</w:t>
            </w:r>
            <w:r>
              <w:rPr>
                <w:color w:val="000000"/>
                <w:sz w:val="19"/>
              </w:rPr>
              <w:br/>
              <w:t xml:space="preserve">Таким образом, факты приемки и оплаты невыполненных работ, уничтожения и (или) повреждения объекта культурного наследия свидетельствуют о причинении материального ущерба и наличии признаков коррупционных правонарушений, полные и всесторонние </w:t>
            </w:r>
            <w:r>
              <w:rPr>
                <w:color w:val="000000"/>
                <w:sz w:val="19"/>
              </w:rPr>
              <w:lastRenderedPageBreak/>
              <w:t>обстоятельства совершения которых по объективным причинам не могли быть установлены в ходе проведения совместного контрольного мероприятия и в этой связи требуют проведения дополнительных надзорных мероприятий.</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11 746,0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2481275260. В рамках выполнения государственного контракта от 31 августа 2020 года ООО «АДЕПТ СТРОЙ» было закуплено оборудование, которое передано ГКУ СО «УКС» ООО «АДЕПТ СТРОЙ» по договорам ответственного хранения (2 588 единиц оборудования) от 21 декабря 2020 г. № 19 и 20, </w:t>
            </w:r>
            <w:r>
              <w:rPr>
                <w:color w:val="000000"/>
                <w:sz w:val="19"/>
              </w:rPr>
              <w:br/>
              <w:t>от 19 ноября 2021 г. № 20, от 8 декабря 2021 г. № 21, от 17 декабря 2021 г. № 23, от 24 декабря 2021 г. № 24 и от 4 февраля 2022 г. № 1.</w:t>
            </w:r>
            <w:r>
              <w:rPr>
                <w:color w:val="000000"/>
                <w:sz w:val="19"/>
              </w:rPr>
              <w:br/>
              <w:t>При этом общая стоимость переданного оборудования по указанным договорам ответственного хранения составила 456 555,2 тыс. рублей.</w:t>
            </w:r>
            <w:r>
              <w:rPr>
                <w:color w:val="000000"/>
                <w:sz w:val="19"/>
              </w:rPr>
              <w:br/>
              <w:t>Вместе с тем после одностороннего расторжения государственного контракта от 31 августа 2020 года ООО «АДЕПТ СТРОЙ» ГКУ СО «УКС» не было возвращено 2 588 единиц оборудования.</w:t>
            </w:r>
            <w:r>
              <w:rPr>
                <w:color w:val="000000"/>
                <w:sz w:val="19"/>
              </w:rPr>
              <w:br/>
              <w:t>Также в ходе совместного контрольного мероприятия установлено, что на объекте открытым способом в поврежденных коробах хранится оборудование на сумму 37 685,5 тыс. рублей (134 единицы), принятое ООО «АДЕПТ СТРОЙ» в декабре 2022 года для монтажа по актам приемки-передачи оборудования в монтаж от 13 декабря 2022 г. № 35 и 36 и от 20 декабря 2022 г. № 37.</w:t>
            </w:r>
            <w:r>
              <w:rPr>
                <w:color w:val="000000"/>
                <w:sz w:val="19"/>
              </w:rPr>
              <w:br/>
              <w:t>Таким образом, указанные факты свидетельствуют о наличии признаков причинения материального ущерба.</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494 240,7</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МИНИСТЕРСТВО КУЛЬТУРЫ </w:t>
            </w:r>
            <w:r>
              <w:rPr>
                <w:color w:val="000000"/>
                <w:sz w:val="19"/>
              </w:rPr>
              <w:lastRenderedPageBreak/>
              <w:t>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 xml:space="preserve">Методика определения сметной стоимости строительства, </w:t>
            </w:r>
            <w:r>
              <w:rPr>
                <w:color w:val="000000"/>
                <w:sz w:val="19"/>
              </w:rPr>
              <w:lastRenderedPageBreak/>
              <w:t>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утвержденная приказом Минстроя России от 4 августа 2020 г. № 421/</w:t>
            </w:r>
            <w:proofErr w:type="spellStart"/>
            <w:r>
              <w:rPr>
                <w:color w:val="000000"/>
                <w:sz w:val="19"/>
              </w:rPr>
              <w:t>пр</w:t>
            </w:r>
            <w:proofErr w:type="spellEnd"/>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 xml:space="preserve">2428200412. В соответствии с пунктом 134 Методики определения сметной стоимости строительства, реконструкции, </w:t>
            </w:r>
            <w:r>
              <w:rPr>
                <w:color w:val="000000"/>
                <w:sz w:val="19"/>
              </w:rPr>
              <w:lastRenderedPageBreak/>
              <w:t>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4 августа 2020 г. № 421/</w:t>
            </w:r>
            <w:proofErr w:type="spellStart"/>
            <w:r>
              <w:rPr>
                <w:color w:val="000000"/>
                <w:sz w:val="19"/>
              </w:rPr>
              <w:t>пр</w:t>
            </w:r>
            <w:proofErr w:type="spellEnd"/>
            <w:r>
              <w:rPr>
                <w:color w:val="000000"/>
                <w:sz w:val="19"/>
              </w:rPr>
              <w:t xml:space="preserve">, в объектных сметных расчетах (сметах) при соответствующем обосновании в проектной и (или) иной технической документации дополнительно приводятся дополнительные затраты при производстве работ в зимнее время. </w:t>
            </w:r>
            <w:r>
              <w:rPr>
                <w:color w:val="000000"/>
                <w:sz w:val="19"/>
              </w:rPr>
              <w:br/>
              <w:t xml:space="preserve">При этом в научно-проектной документации на объект «Проект сохранения и приспособления (стадия «Проектная документация», проект организации реставрации (1-НПД-16/13-ПР/16-3.2.6-ПОС Том 3.2.6. (монтажные работы в зимних условиях)» определено, что работы по сохранению под современное использование объекта культурного наследия в зимних условиях не выполняются. Однако ООО «АДЕПТ СТРОЙ» на объекте проводились работы в зимний период времени. </w:t>
            </w:r>
            <w:r>
              <w:rPr>
                <w:color w:val="000000"/>
                <w:sz w:val="19"/>
              </w:rPr>
              <w:br/>
              <w:t>Кроме того, коэффициент 1,5 % (зимнее удорожание) применялся к работам, которые были выполнены ООО «АДЕПТ СТРОЙ» в летний период времени, в том числе в период с 21 июля по 31 августа 2022 года (справка о стоимости выполненных работ и затрат по форме КС-3 от 31 августа 2022 г. № 10, акты о приемке выполненных работ от 31 августа 2022 г. № 51–53).</w:t>
            </w:r>
            <w:r>
              <w:rPr>
                <w:color w:val="000000"/>
                <w:sz w:val="19"/>
              </w:rPr>
              <w:br/>
              <w:t xml:space="preserve">Таким образом, указанные факты оплаты работ с зимним коэффициентом могут свидетельствовать о наличии признаков причинения материального ущерба и коррупционных правонарушений, полные и всесторонние обстоятельства совершения </w:t>
            </w:r>
            <w:r>
              <w:rPr>
                <w:color w:val="000000"/>
                <w:sz w:val="19"/>
              </w:rPr>
              <w:lastRenderedPageBreak/>
              <w:t>которых по объективным причинам не могли быть установлены в ходе совместного контрольного мероприятия и в этой связи требуют проведения дополнительных надзорных мероприятий.</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0,0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c>
          <w:tcPr>
            <w:tcW w:w="2040" w:type="dxa"/>
            <w:gridSpan w:val="4"/>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lastRenderedPageBreak/>
              <w:t>ПРАВИТЕЛЬСТВО САРАТОВСКОЙ ОБЛАСТИ</w:t>
            </w:r>
          </w:p>
        </w:tc>
        <w:tc>
          <w:tcPr>
            <w:tcW w:w="2040"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МИНИСТЕРСТВО КУЛЬТУРЫ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Подпункт 15 пункта 2 статьи 149 Налогового кодекса Российской Федерации</w:t>
            </w:r>
          </w:p>
        </w:tc>
        <w:tc>
          <w:tcPr>
            <w:tcW w:w="2265" w:type="dxa"/>
            <w:gridSpan w:val="2"/>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XXX</w:t>
            </w:r>
          </w:p>
        </w:tc>
        <w:tc>
          <w:tcPr>
            <w:tcW w:w="3585" w:type="dxa"/>
            <w:gridSpan w:val="3"/>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2467969341. В соответствии с подпунктом 15 пункта 2 статьи 149 Налогового кодекса Российской Федерации не подлежит налогообложению налогом на добавленную стоимость реализация на территории Российской Федерации работ (услуг) по сохранению объекта культурного наследия народов Российской Федерации.</w:t>
            </w:r>
            <w:r>
              <w:rPr>
                <w:color w:val="000000"/>
                <w:sz w:val="19"/>
              </w:rPr>
              <w:br/>
              <w:t>Вместе с тем при обосновании НМЦК для проведения запроса предложений в электронной форме на закупку работ на объекте ГКУ СО «УКС» был неправомерно включен НДС в сумме 230 680 367,00 рубля, после чего НДС на указанную сумму был включен ГКУ СО «УКС» в цену государственного контракта от 31 августа 2020 года, что привело к принятию и оплате ГКУ СО «УКС» в 2020 году выполненных работ с завышением их стоимости на размер НДС в сумме 10 096 993,05 рубля (платежные поручения от 5 октября 2020 г. № 212499, 212500 и 212501).</w:t>
            </w:r>
            <w:r>
              <w:rPr>
                <w:color w:val="000000"/>
                <w:sz w:val="19"/>
              </w:rPr>
              <w:br/>
              <w:t>Таким образом, указанные факты неправомерного включения НДС в стоимость работ на объекте, его уплаты могут свидетельствовать о наличии признаков причинения материального ущерба и коррупционных правонарушений, полные и всесторонние обстоятельства совершения которых по объективным причинам не могли быть установлены в ходе совместного контрольного мероприятия и в этой связи требуют проведения дополнительных надзорных мероприятий.</w:t>
            </w:r>
          </w:p>
        </w:tc>
        <w:tc>
          <w:tcPr>
            <w:tcW w:w="1245" w:type="dxa"/>
            <w:tcBorders>
              <w:top w:val="single" w:sz="6" w:space="0" w:color="000000"/>
              <w:left w:val="single" w:sz="6" w:space="0" w:color="000000"/>
              <w:bottom w:val="single" w:sz="6" w:space="0" w:color="000000"/>
              <w:right w:val="single" w:sz="6" w:space="0" w:color="000000"/>
            </w:tcBorders>
          </w:tcPr>
          <w:p w:rsidR="00AD1444" w:rsidRDefault="00BA0625">
            <w:pPr>
              <w:jc w:val="center"/>
              <w:rPr>
                <w:color w:val="000000"/>
                <w:sz w:val="19"/>
              </w:rPr>
            </w:pPr>
            <w:r>
              <w:rPr>
                <w:color w:val="000000"/>
                <w:sz w:val="19"/>
              </w:rPr>
              <w:t>10 097,0</w:t>
            </w:r>
          </w:p>
        </w:tc>
        <w:tc>
          <w:tcPr>
            <w:tcW w:w="1695" w:type="dxa"/>
            <w:gridSpan w:val="4"/>
            <w:tcBorders>
              <w:top w:val="single" w:sz="6" w:space="0" w:color="000000"/>
              <w:left w:val="single" w:sz="6" w:space="0" w:color="000000"/>
              <w:bottom w:val="single" w:sz="6" w:space="0" w:color="000000"/>
              <w:right w:val="single" w:sz="6" w:space="0" w:color="000000"/>
            </w:tcBorders>
          </w:tcPr>
          <w:p w:rsidR="00AD1444" w:rsidRDefault="00AD1444">
            <w:pPr>
              <w:jc w:val="center"/>
              <w:rPr>
                <w:color w:val="000000"/>
                <w:sz w:val="19"/>
              </w:rPr>
            </w:pPr>
          </w:p>
        </w:tc>
      </w:tr>
      <w:tr w:rsidR="00AD1444">
        <w:trPr>
          <w:gridAfter w:val="1"/>
          <w:wAfter w:w="15" w:type="dxa"/>
          <w:trHeight w:val="330"/>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AD1444" w:rsidRDefault="00BA0625">
            <w:pPr>
              <w:ind w:right="113"/>
              <w:jc w:val="right"/>
              <w:rPr>
                <w:b/>
                <w:color w:val="000000"/>
                <w:sz w:val="19"/>
              </w:rPr>
            </w:pPr>
            <w:r>
              <w:rPr>
                <w:b/>
                <w:color w:val="000000"/>
                <w:sz w:val="19"/>
              </w:rPr>
              <w:t>Всего по разделу 2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b/>
                <w:color w:val="000000"/>
                <w:sz w:val="19"/>
              </w:rPr>
            </w:pPr>
            <w:r>
              <w:rPr>
                <w:b/>
                <w:color w:val="000000"/>
                <w:sz w:val="19"/>
              </w:rPr>
              <w:t>516 083,7</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AD1444" w:rsidRDefault="00AD1444">
            <w:pPr>
              <w:jc w:val="center"/>
              <w:rPr>
                <w:b/>
                <w:color w:val="000000"/>
                <w:sz w:val="19"/>
              </w:rPr>
            </w:pPr>
          </w:p>
        </w:tc>
      </w:tr>
      <w:tr w:rsidR="00AD1444">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AD1444" w:rsidRDefault="00BA0625">
            <w:pPr>
              <w:rPr>
                <w:b/>
                <w:color w:val="000000"/>
                <w:sz w:val="19"/>
              </w:rPr>
            </w:pPr>
            <w:r>
              <w:rPr>
                <w:b/>
                <w:color w:val="000000"/>
                <w:sz w:val="19"/>
              </w:rPr>
              <w:lastRenderedPageBreak/>
              <w:t>3. Неэффективное использование федеральных и иных ресурсов в пределах компетенции Счетной палаты</w:t>
            </w:r>
          </w:p>
        </w:tc>
      </w:tr>
      <w:tr w:rsidR="00AD1444">
        <w:trPr>
          <w:trHeight w:val="345"/>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AD1444" w:rsidRDefault="00BA0625">
            <w:pPr>
              <w:rPr>
                <w:b/>
                <w:color w:val="000000"/>
                <w:sz w:val="19"/>
              </w:rPr>
            </w:pPr>
            <w:r>
              <w:rPr>
                <w:b/>
                <w:color w:val="000000"/>
                <w:sz w:val="19"/>
              </w:rPr>
              <w:t>3.1. Неэффективное использование средств федерального бюджета и бюджета государственных внебюджетных фондов</w:t>
            </w:r>
          </w:p>
        </w:tc>
      </w:tr>
      <w:tr w:rsidR="00AD1444">
        <w:trPr>
          <w:trHeight w:val="330"/>
        </w:trPr>
        <w:tc>
          <w:tcPr>
            <w:tcW w:w="15135" w:type="dxa"/>
            <w:gridSpan w:val="18"/>
            <w:tcBorders>
              <w:top w:val="single" w:sz="6" w:space="0" w:color="000000"/>
              <w:left w:val="single" w:sz="6" w:space="0" w:color="000000"/>
              <w:bottom w:val="single" w:sz="6" w:space="0" w:color="000000"/>
              <w:right w:val="single" w:sz="6" w:space="0" w:color="000000"/>
            </w:tcBorders>
            <w:vAlign w:val="center"/>
          </w:tcPr>
          <w:p w:rsidR="00AD1444" w:rsidRDefault="00BA0625">
            <w:pPr>
              <w:rPr>
                <w:b/>
                <w:color w:val="000000"/>
                <w:sz w:val="19"/>
              </w:rPr>
            </w:pPr>
            <w:r>
              <w:rPr>
                <w:b/>
                <w:color w:val="000000"/>
                <w:sz w:val="19"/>
              </w:rPr>
              <w:t>3.2. Неэффективное использование федеральной собственности и иных ресурсов</w:t>
            </w:r>
          </w:p>
        </w:tc>
      </w:tr>
      <w:tr w:rsidR="00AD1444">
        <w:trPr>
          <w:gridAfter w:val="1"/>
          <w:wAfter w:w="15" w:type="dxa"/>
          <w:trHeight w:val="345"/>
        </w:trPr>
        <w:tc>
          <w:tcPr>
            <w:tcW w:w="12195" w:type="dxa"/>
            <w:gridSpan w:val="13"/>
            <w:tcBorders>
              <w:top w:val="single" w:sz="6" w:space="0" w:color="000000"/>
              <w:left w:val="single" w:sz="6" w:space="0" w:color="000000"/>
              <w:bottom w:val="single" w:sz="6" w:space="0" w:color="000000"/>
              <w:right w:val="single" w:sz="6" w:space="0" w:color="000000"/>
            </w:tcBorders>
            <w:vAlign w:val="center"/>
          </w:tcPr>
          <w:p w:rsidR="00AD1444" w:rsidRDefault="00BA0625">
            <w:pPr>
              <w:ind w:right="113"/>
              <w:jc w:val="right"/>
              <w:rPr>
                <w:b/>
                <w:color w:val="000000"/>
                <w:sz w:val="19"/>
              </w:rPr>
            </w:pPr>
            <w:r>
              <w:rPr>
                <w:b/>
                <w:color w:val="000000"/>
                <w:sz w:val="19"/>
              </w:rPr>
              <w:t>Всего по разделу 3 (тыс. рублей):</w:t>
            </w:r>
          </w:p>
        </w:tc>
        <w:tc>
          <w:tcPr>
            <w:tcW w:w="1245" w:type="dxa"/>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b/>
                <w:color w:val="000000"/>
                <w:sz w:val="19"/>
              </w:rPr>
            </w:pPr>
            <w:r>
              <w:rPr>
                <w:b/>
                <w:color w:val="000000"/>
                <w:sz w:val="19"/>
              </w:rPr>
              <w:t>0,0</w:t>
            </w:r>
          </w:p>
        </w:tc>
        <w:tc>
          <w:tcPr>
            <w:tcW w:w="1680" w:type="dxa"/>
            <w:gridSpan w:val="3"/>
            <w:tcBorders>
              <w:top w:val="single" w:sz="6" w:space="0" w:color="000000"/>
              <w:left w:val="single" w:sz="6" w:space="0" w:color="000000"/>
              <w:bottom w:val="single" w:sz="6" w:space="0" w:color="000000"/>
              <w:right w:val="single" w:sz="6" w:space="0" w:color="000000"/>
            </w:tcBorders>
            <w:vAlign w:val="center"/>
          </w:tcPr>
          <w:p w:rsidR="00AD1444" w:rsidRDefault="00AD1444">
            <w:pPr>
              <w:jc w:val="center"/>
              <w:rPr>
                <w:b/>
                <w:color w:val="000000"/>
                <w:sz w:val="19"/>
              </w:rPr>
            </w:pPr>
          </w:p>
        </w:tc>
      </w:tr>
      <w:tr w:rsidR="00AD1444">
        <w:trPr>
          <w:trHeight w:hRule="exact" w:val="1080"/>
        </w:trPr>
        <w:tc>
          <w:tcPr>
            <w:tcW w:w="8340" w:type="dxa"/>
            <w:gridSpan w:val="9"/>
          </w:tcPr>
          <w:p w:rsidR="00AD1444" w:rsidRDefault="00AD1444">
            <w:pPr>
              <w:rPr>
                <w:rFonts w:cstheme="minorBidi"/>
                <w:sz w:val="1"/>
              </w:rPr>
            </w:pPr>
          </w:p>
        </w:tc>
        <w:tc>
          <w:tcPr>
            <w:tcW w:w="2790" w:type="dxa"/>
            <w:gridSpan w:val="3"/>
          </w:tcPr>
          <w:p w:rsidR="00AD1444" w:rsidRDefault="00AD1444">
            <w:pPr>
              <w:rPr>
                <w:rFonts w:cstheme="minorBidi"/>
                <w:sz w:val="1"/>
              </w:rPr>
            </w:pPr>
          </w:p>
        </w:tc>
        <w:tc>
          <w:tcPr>
            <w:tcW w:w="4005" w:type="dxa"/>
            <w:gridSpan w:val="6"/>
          </w:tcPr>
          <w:p w:rsidR="00AD1444" w:rsidRDefault="00AD1444">
            <w:pPr>
              <w:rPr>
                <w:rFonts w:cstheme="minorBidi"/>
                <w:sz w:val="1"/>
              </w:rPr>
            </w:pPr>
          </w:p>
        </w:tc>
      </w:tr>
      <w:tr w:rsidR="00AD1444">
        <w:trPr>
          <w:trHeight w:val="345"/>
        </w:trPr>
        <w:tc>
          <w:tcPr>
            <w:tcW w:w="8340" w:type="dxa"/>
            <w:gridSpan w:val="9"/>
            <w:vAlign w:val="bottom"/>
          </w:tcPr>
          <w:p w:rsidR="00AD1444" w:rsidRDefault="00BA0625">
            <w:pPr>
              <w:jc w:val="right"/>
              <w:rPr>
                <w:color w:val="000000"/>
                <w:sz w:val="28"/>
              </w:rPr>
            </w:pPr>
            <w:r>
              <w:rPr>
                <w:color w:val="000000"/>
                <w:sz w:val="28"/>
              </w:rPr>
              <w:t>аудитор Счетной палаты Российской Федерации</w:t>
            </w:r>
          </w:p>
        </w:tc>
        <w:tc>
          <w:tcPr>
            <w:tcW w:w="2790" w:type="dxa"/>
            <w:gridSpan w:val="3"/>
            <w:vAlign w:val="bottom"/>
          </w:tcPr>
          <w:p w:rsidR="00AD1444" w:rsidRDefault="00BA0625">
            <w:pPr>
              <w:ind w:right="45"/>
              <w:jc w:val="right"/>
              <w:rPr>
                <w:color w:val="000000"/>
                <w:sz w:val="28"/>
              </w:rPr>
            </w:pPr>
            <w:r>
              <w:rPr>
                <w:color w:val="000000"/>
                <w:sz w:val="28"/>
              </w:rPr>
              <w:t>________________</w:t>
            </w:r>
          </w:p>
        </w:tc>
        <w:tc>
          <w:tcPr>
            <w:tcW w:w="4005" w:type="dxa"/>
            <w:gridSpan w:val="6"/>
            <w:vAlign w:val="bottom"/>
          </w:tcPr>
          <w:p w:rsidR="00AD1444" w:rsidRDefault="00BA0625">
            <w:pPr>
              <w:rPr>
                <w:color w:val="000000"/>
                <w:sz w:val="28"/>
              </w:rPr>
            </w:pPr>
            <w:r>
              <w:rPr>
                <w:color w:val="000000"/>
                <w:sz w:val="28"/>
              </w:rPr>
              <w:t>Штогрин С.И.</w:t>
            </w:r>
          </w:p>
        </w:tc>
      </w:tr>
      <w:tr w:rsidR="00AD1444">
        <w:trPr>
          <w:trHeight w:hRule="exact" w:val="690"/>
        </w:trPr>
        <w:tc>
          <w:tcPr>
            <w:tcW w:w="30" w:type="dxa"/>
          </w:tcPr>
          <w:p w:rsidR="00AD1444" w:rsidRDefault="00AD1444">
            <w:pPr>
              <w:rPr>
                <w:rFonts w:cstheme="minorBidi"/>
                <w:sz w:val="1"/>
              </w:rPr>
            </w:pPr>
          </w:p>
        </w:tc>
        <w:tc>
          <w:tcPr>
            <w:tcW w:w="150" w:type="dxa"/>
          </w:tcPr>
          <w:p w:rsidR="00AD1444" w:rsidRDefault="00AD1444">
            <w:pPr>
              <w:rPr>
                <w:rFonts w:cstheme="minorBidi"/>
                <w:sz w:val="1"/>
              </w:rPr>
            </w:pPr>
          </w:p>
        </w:tc>
        <w:tc>
          <w:tcPr>
            <w:tcW w:w="1305" w:type="dxa"/>
          </w:tcPr>
          <w:p w:rsidR="00AD1444" w:rsidRDefault="00AD1444">
            <w:pPr>
              <w:rPr>
                <w:rFonts w:cstheme="minorBidi"/>
                <w:sz w:val="1"/>
              </w:rPr>
            </w:pPr>
          </w:p>
        </w:tc>
        <w:tc>
          <w:tcPr>
            <w:tcW w:w="1005" w:type="dxa"/>
            <w:gridSpan w:val="2"/>
          </w:tcPr>
          <w:p w:rsidR="00AD1444" w:rsidRDefault="00AD1444">
            <w:pPr>
              <w:rPr>
                <w:rFonts w:cstheme="minorBidi"/>
                <w:sz w:val="1"/>
              </w:rPr>
            </w:pPr>
          </w:p>
        </w:tc>
        <w:tc>
          <w:tcPr>
            <w:tcW w:w="3405" w:type="dxa"/>
            <w:gridSpan w:val="2"/>
          </w:tcPr>
          <w:p w:rsidR="00AD1444" w:rsidRDefault="00AD1444">
            <w:pPr>
              <w:rPr>
                <w:rFonts w:cstheme="minorBidi"/>
                <w:sz w:val="1"/>
              </w:rPr>
            </w:pPr>
          </w:p>
        </w:tc>
        <w:tc>
          <w:tcPr>
            <w:tcW w:w="2745" w:type="dxa"/>
            <w:gridSpan w:val="4"/>
          </w:tcPr>
          <w:p w:rsidR="00AD1444" w:rsidRDefault="00AD1444">
            <w:pPr>
              <w:rPr>
                <w:rFonts w:cstheme="minorBidi"/>
                <w:sz w:val="1"/>
              </w:rPr>
            </w:pPr>
          </w:p>
        </w:tc>
        <w:tc>
          <w:tcPr>
            <w:tcW w:w="6315" w:type="dxa"/>
            <w:gridSpan w:val="4"/>
          </w:tcPr>
          <w:p w:rsidR="00AD1444" w:rsidRDefault="00AD1444">
            <w:pPr>
              <w:rPr>
                <w:rFonts w:cstheme="minorBidi"/>
                <w:sz w:val="1"/>
              </w:rPr>
            </w:pPr>
          </w:p>
        </w:tc>
        <w:tc>
          <w:tcPr>
            <w:tcW w:w="150" w:type="dxa"/>
          </w:tcPr>
          <w:p w:rsidR="00AD1444" w:rsidRDefault="00AD1444">
            <w:pPr>
              <w:rPr>
                <w:rFonts w:cstheme="minorBidi"/>
                <w:sz w:val="1"/>
              </w:rPr>
            </w:pPr>
          </w:p>
        </w:tc>
        <w:tc>
          <w:tcPr>
            <w:tcW w:w="30" w:type="dxa"/>
            <w:gridSpan w:val="2"/>
          </w:tcPr>
          <w:p w:rsidR="00AD1444" w:rsidRDefault="00AD1444">
            <w:pPr>
              <w:rPr>
                <w:rFonts w:cstheme="minorBidi"/>
                <w:sz w:val="1"/>
              </w:rPr>
            </w:pPr>
          </w:p>
        </w:tc>
      </w:tr>
      <w:tr w:rsidR="00AD1444">
        <w:trPr>
          <w:trHeight w:hRule="exact" w:val="30"/>
        </w:trPr>
        <w:tc>
          <w:tcPr>
            <w:tcW w:w="30" w:type="dxa"/>
            <w:vMerge w:val="restart"/>
          </w:tcPr>
          <w:p w:rsidR="00AD1444" w:rsidRDefault="00BA0625">
            <w:pPr>
              <w:rPr>
                <w:color w:val="000000"/>
                <w:sz w:val="1"/>
              </w:rPr>
            </w:pPr>
            <w:r>
              <w:rPr>
                <w:noProof/>
              </w:rPr>
              <w:drawing>
                <wp:inline distT="0" distB="0" distL="0" distR="0">
                  <wp:extent cx="19050" cy="3581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19050" cy="3581400"/>
                          </a:xfrm>
                          <a:prstGeom prst="rect">
                            <a:avLst/>
                          </a:prstGeom>
                          <a:noFill/>
                        </pic:spPr>
                      </pic:pic>
                    </a:graphicData>
                  </a:graphic>
                </wp:inline>
              </w:drawing>
            </w:r>
          </w:p>
        </w:tc>
        <w:tc>
          <w:tcPr>
            <w:tcW w:w="15075" w:type="dxa"/>
            <w:gridSpan w:val="15"/>
          </w:tcPr>
          <w:p w:rsidR="00AD1444" w:rsidRDefault="00BA0625">
            <w:pPr>
              <w:rPr>
                <w:color w:val="000000"/>
                <w:sz w:val="1"/>
              </w:rPr>
            </w:pPr>
            <w:r>
              <w:rPr>
                <w:noProof/>
              </w:rPr>
              <w:drawing>
                <wp:inline distT="0" distB="0" distL="0" distR="0">
                  <wp:extent cx="9572625" cy="1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9572625" cy="19050"/>
                          </a:xfrm>
                          <a:prstGeom prst="rect">
                            <a:avLst/>
                          </a:prstGeom>
                          <a:noFill/>
                        </pic:spPr>
                      </pic:pic>
                    </a:graphicData>
                  </a:graphic>
                </wp:inline>
              </w:drawing>
            </w:r>
          </w:p>
        </w:tc>
        <w:tc>
          <w:tcPr>
            <w:tcW w:w="30" w:type="dxa"/>
            <w:gridSpan w:val="2"/>
            <w:vMerge w:val="restart"/>
          </w:tcPr>
          <w:p w:rsidR="00AD1444" w:rsidRDefault="00BA0625">
            <w:pPr>
              <w:rPr>
                <w:color w:val="000000"/>
                <w:sz w:val="1"/>
              </w:rPr>
            </w:pPr>
            <w:r>
              <w:rPr>
                <w:noProof/>
              </w:rPr>
              <w:drawing>
                <wp:inline distT="0" distB="0" distL="0" distR="0">
                  <wp:extent cx="19050" cy="3581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19050" cy="3581400"/>
                          </a:xfrm>
                          <a:prstGeom prst="rect">
                            <a:avLst/>
                          </a:prstGeom>
                          <a:noFill/>
                        </pic:spPr>
                      </pic:pic>
                    </a:graphicData>
                  </a:graphic>
                </wp:inline>
              </w:drawing>
            </w:r>
          </w:p>
        </w:tc>
      </w:tr>
      <w:tr w:rsidR="00AD1444">
        <w:trPr>
          <w:trHeight w:hRule="exact" w:val="135"/>
        </w:trPr>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1305" w:type="dxa"/>
          </w:tcPr>
          <w:p w:rsidR="00AD1444" w:rsidRDefault="00AD1444">
            <w:pPr>
              <w:rPr>
                <w:rFonts w:cstheme="minorBidi"/>
                <w:sz w:val="1"/>
              </w:rPr>
            </w:pPr>
          </w:p>
        </w:tc>
        <w:tc>
          <w:tcPr>
            <w:tcW w:w="1005" w:type="dxa"/>
            <w:gridSpan w:val="2"/>
          </w:tcPr>
          <w:p w:rsidR="00AD1444" w:rsidRDefault="00AD1444">
            <w:pPr>
              <w:rPr>
                <w:rFonts w:cstheme="minorBidi"/>
                <w:sz w:val="1"/>
              </w:rPr>
            </w:pPr>
          </w:p>
        </w:tc>
        <w:tc>
          <w:tcPr>
            <w:tcW w:w="3405" w:type="dxa"/>
            <w:gridSpan w:val="2"/>
          </w:tcPr>
          <w:p w:rsidR="00AD1444" w:rsidRDefault="00AD1444">
            <w:pPr>
              <w:rPr>
                <w:rFonts w:cstheme="minorBidi"/>
                <w:sz w:val="1"/>
              </w:rPr>
            </w:pPr>
          </w:p>
        </w:tc>
        <w:tc>
          <w:tcPr>
            <w:tcW w:w="2745" w:type="dxa"/>
            <w:gridSpan w:val="4"/>
          </w:tcPr>
          <w:p w:rsidR="00AD1444" w:rsidRDefault="00AD1444">
            <w:pPr>
              <w:rPr>
                <w:rFonts w:cstheme="minorBidi"/>
                <w:sz w:val="1"/>
              </w:rPr>
            </w:pPr>
          </w:p>
        </w:tc>
        <w:tc>
          <w:tcPr>
            <w:tcW w:w="6315" w:type="dxa"/>
            <w:gridSpan w:val="4"/>
          </w:tcPr>
          <w:p w:rsidR="00AD1444" w:rsidRDefault="00AD1444">
            <w:pPr>
              <w:rPr>
                <w:rFonts w:cstheme="minorBidi"/>
                <w:sz w:val="1"/>
              </w:rPr>
            </w:pP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1305" w:type="dxa"/>
            <w:vAlign w:val="center"/>
          </w:tcPr>
          <w:p w:rsidR="00AD1444" w:rsidRDefault="00BA0625">
            <w:pPr>
              <w:jc w:val="center"/>
              <w:rPr>
                <w:color w:val="000000"/>
                <w:sz w:val="1"/>
              </w:rPr>
            </w:pPr>
            <w:r>
              <w:rPr>
                <w:noProof/>
              </w:rPr>
              <w:drawing>
                <wp:inline distT="0" distB="0" distL="0" distR="0">
                  <wp:extent cx="82550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825500" cy="647700"/>
                          </a:xfrm>
                          <a:prstGeom prst="rect">
                            <a:avLst/>
                          </a:prstGeom>
                          <a:noFill/>
                        </pic:spPr>
                      </pic:pic>
                    </a:graphicData>
                  </a:graphic>
                </wp:inline>
              </w:drawing>
            </w:r>
          </w:p>
        </w:tc>
        <w:tc>
          <w:tcPr>
            <w:tcW w:w="13470" w:type="dxa"/>
            <w:gridSpan w:val="12"/>
            <w:vAlign w:val="center"/>
          </w:tcPr>
          <w:p w:rsidR="00AD1444" w:rsidRDefault="00BA0625">
            <w:pPr>
              <w:ind w:left="28" w:right="28"/>
              <w:jc w:val="center"/>
              <w:rPr>
                <w:color w:val="000000"/>
                <w:sz w:val="40"/>
              </w:rPr>
            </w:pPr>
            <w:r>
              <w:rPr>
                <w:color w:val="000000"/>
                <w:sz w:val="40"/>
              </w:rPr>
              <w:t>ДОКУМЕНТ ПОДПИСАН ЭЛЕКТРОННОЙ ПОДПИСЬЮ</w:t>
            </w: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rPr>
          <w:trHeight w:val="360"/>
        </w:trPr>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14775" w:type="dxa"/>
            <w:gridSpan w:val="13"/>
            <w:shd w:val="clear" w:color="auto" w:fill="000000"/>
            <w:vAlign w:val="center"/>
          </w:tcPr>
          <w:p w:rsidR="00AD1444" w:rsidRDefault="00BA0625">
            <w:pPr>
              <w:ind w:left="28" w:right="28"/>
              <w:jc w:val="center"/>
              <w:rPr>
                <w:color w:val="FFFFFF"/>
                <w:sz w:val="28"/>
              </w:rPr>
            </w:pPr>
            <w:r>
              <w:rPr>
                <w:color w:val="FFFFFF"/>
                <w:sz w:val="28"/>
              </w:rPr>
              <w:t>СВЕДЕНИЯ О СЕРТИФИКАТЕ ЭП</w:t>
            </w: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rPr>
          <w:trHeight w:val="330"/>
        </w:trPr>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vAlign w:val="center"/>
          </w:tcPr>
          <w:p w:rsidR="00AD1444" w:rsidRDefault="00BA0625">
            <w:pPr>
              <w:jc w:val="center"/>
              <w:rPr>
                <w:b/>
                <w:color w:val="000000"/>
                <w:sz w:val="24"/>
              </w:rPr>
            </w:pPr>
            <w:r>
              <w:rPr>
                <w:b/>
                <w:color w:val="000000"/>
                <w:sz w:val="24"/>
              </w:rPr>
              <w:t>Подписант</w:t>
            </w:r>
          </w:p>
        </w:tc>
        <w:tc>
          <w:tcPr>
            <w:tcW w:w="3405" w:type="dxa"/>
            <w:gridSpan w:val="2"/>
            <w:tcBorders>
              <w:top w:val="single" w:sz="6" w:space="0" w:color="000000"/>
              <w:bottom w:val="single" w:sz="6" w:space="0" w:color="000000"/>
              <w:right w:val="single" w:sz="6" w:space="0" w:color="000000"/>
            </w:tcBorders>
            <w:vAlign w:val="center"/>
          </w:tcPr>
          <w:p w:rsidR="00AD1444" w:rsidRDefault="00BA0625">
            <w:pPr>
              <w:jc w:val="center"/>
              <w:rPr>
                <w:b/>
                <w:color w:val="000000"/>
                <w:sz w:val="24"/>
              </w:rPr>
            </w:pPr>
            <w:r>
              <w:rPr>
                <w:b/>
                <w:color w:val="000000"/>
                <w:sz w:val="24"/>
              </w:rPr>
              <w:t>Направление / Департамент</w:t>
            </w:r>
          </w:p>
        </w:tc>
        <w:tc>
          <w:tcPr>
            <w:tcW w:w="2745" w:type="dxa"/>
            <w:gridSpan w:val="4"/>
            <w:tcBorders>
              <w:top w:val="single" w:sz="6" w:space="0" w:color="000000"/>
              <w:bottom w:val="single" w:sz="6" w:space="0" w:color="000000"/>
              <w:right w:val="single" w:sz="6" w:space="0" w:color="000000"/>
            </w:tcBorders>
            <w:vAlign w:val="center"/>
          </w:tcPr>
          <w:p w:rsidR="00AD1444" w:rsidRDefault="00BA0625">
            <w:pPr>
              <w:jc w:val="center"/>
              <w:rPr>
                <w:b/>
                <w:color w:val="000000"/>
                <w:sz w:val="24"/>
              </w:rPr>
            </w:pPr>
            <w:r>
              <w:rPr>
                <w:b/>
                <w:color w:val="000000"/>
                <w:sz w:val="24"/>
              </w:rPr>
              <w:t>Дата, время подписания</w:t>
            </w:r>
          </w:p>
        </w:tc>
        <w:tc>
          <w:tcPr>
            <w:tcW w:w="6315" w:type="dxa"/>
            <w:gridSpan w:val="4"/>
            <w:tcBorders>
              <w:top w:val="single" w:sz="6" w:space="0" w:color="000000"/>
              <w:bottom w:val="single" w:sz="6" w:space="0" w:color="000000"/>
              <w:right w:val="single" w:sz="6" w:space="0" w:color="000000"/>
            </w:tcBorders>
            <w:vAlign w:val="center"/>
          </w:tcPr>
          <w:p w:rsidR="00AD1444" w:rsidRDefault="00BA0625">
            <w:pPr>
              <w:jc w:val="center"/>
              <w:rPr>
                <w:b/>
                <w:color w:val="000000"/>
                <w:sz w:val="24"/>
              </w:rPr>
            </w:pPr>
            <w:r>
              <w:rPr>
                <w:b/>
                <w:color w:val="000000"/>
                <w:sz w:val="24"/>
              </w:rPr>
              <w:t>Серийный номер, срок действия сертификата</w:t>
            </w: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Думан Д.Е.</w:t>
            </w:r>
          </w:p>
        </w:tc>
        <w:tc>
          <w:tcPr>
            <w:tcW w:w="3405" w:type="dxa"/>
            <w:gridSpan w:val="2"/>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Направление Штогрина С.И.</w:t>
            </w:r>
          </w:p>
        </w:tc>
        <w:tc>
          <w:tcPr>
            <w:tcW w:w="274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18 июня 2024 г. 12:08:02</w:t>
            </w:r>
          </w:p>
        </w:tc>
        <w:tc>
          <w:tcPr>
            <w:tcW w:w="631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Думан Дмитрий Евгеньевич   079639EFE8F7EE48FEB61A7679F52D629545FDF7</w:t>
            </w:r>
            <w:r>
              <w:rPr>
                <w:color w:val="000000"/>
                <w:sz w:val="24"/>
              </w:rPr>
              <w:br/>
              <w:t>с 24 ноября 2023 г. 15:08:00 по 16 февраля 2025 г. 15:08:00</w:t>
            </w: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Самарина О.В.</w:t>
            </w:r>
          </w:p>
        </w:tc>
        <w:tc>
          <w:tcPr>
            <w:tcW w:w="3405" w:type="dxa"/>
            <w:gridSpan w:val="2"/>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Направление Штогрина С.И.</w:t>
            </w:r>
          </w:p>
        </w:tc>
        <w:tc>
          <w:tcPr>
            <w:tcW w:w="274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18 июня 2024 г. 12:30:12</w:t>
            </w:r>
          </w:p>
        </w:tc>
        <w:tc>
          <w:tcPr>
            <w:tcW w:w="631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Самарина Ольга Викторовна   6E320DDCE860B06058C315195516FA490DAEFDE0</w:t>
            </w:r>
            <w:r>
              <w:rPr>
                <w:color w:val="000000"/>
                <w:sz w:val="24"/>
              </w:rPr>
              <w:br/>
              <w:t>с 21 февраля 2024 г. 10:00:37 по 16 мая 2025 г. 10:00:37</w:t>
            </w: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Садомова Е.В.</w:t>
            </w:r>
          </w:p>
        </w:tc>
        <w:tc>
          <w:tcPr>
            <w:tcW w:w="3405" w:type="dxa"/>
            <w:gridSpan w:val="2"/>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Департамент финансового аудита</w:t>
            </w:r>
          </w:p>
        </w:tc>
        <w:tc>
          <w:tcPr>
            <w:tcW w:w="274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18 июня 2024 г. 12:41:26</w:t>
            </w:r>
          </w:p>
        </w:tc>
        <w:tc>
          <w:tcPr>
            <w:tcW w:w="631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СЧЕТНАЯ ПАЛАТА РОССИЙСКОЙ ФЕДЕРАЦИИ   CCDDB44B91308B6DFFF80210616428114B486207</w:t>
            </w:r>
            <w:r>
              <w:rPr>
                <w:color w:val="000000"/>
                <w:sz w:val="24"/>
              </w:rPr>
              <w:br/>
              <w:t>с 4 мая 2023 г. 12:45:00 по 27 июля 2024 г. 12:45:00</w:t>
            </w: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2310" w:type="dxa"/>
            <w:gridSpan w:val="3"/>
            <w:tcBorders>
              <w:top w:val="single" w:sz="6" w:space="0" w:color="000000"/>
              <w:left w:val="single" w:sz="6" w:space="0" w:color="000000"/>
              <w:bottom w:val="single" w:sz="6" w:space="0" w:color="000000"/>
              <w:right w:val="single" w:sz="6" w:space="0" w:color="000000"/>
            </w:tcBorders>
          </w:tcPr>
          <w:p w:rsidR="00AD1444" w:rsidRDefault="00BA0625">
            <w:pPr>
              <w:spacing w:before="11"/>
              <w:ind w:left="56"/>
              <w:rPr>
                <w:color w:val="000000"/>
                <w:sz w:val="24"/>
              </w:rPr>
            </w:pPr>
            <w:proofErr w:type="spellStart"/>
            <w:r>
              <w:rPr>
                <w:color w:val="000000"/>
                <w:sz w:val="24"/>
              </w:rPr>
              <w:t>Кибитов</w:t>
            </w:r>
            <w:proofErr w:type="spellEnd"/>
            <w:r>
              <w:rPr>
                <w:color w:val="000000"/>
                <w:sz w:val="24"/>
              </w:rPr>
              <w:t xml:space="preserve"> А.И.</w:t>
            </w:r>
          </w:p>
        </w:tc>
        <w:tc>
          <w:tcPr>
            <w:tcW w:w="3405" w:type="dxa"/>
            <w:gridSpan w:val="2"/>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Департамент финансового аудита</w:t>
            </w:r>
          </w:p>
        </w:tc>
        <w:tc>
          <w:tcPr>
            <w:tcW w:w="274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r>
              <w:rPr>
                <w:color w:val="000000"/>
                <w:sz w:val="24"/>
              </w:rPr>
              <w:t>18 июня 2024 г. 12:57:42</w:t>
            </w:r>
          </w:p>
        </w:tc>
        <w:tc>
          <w:tcPr>
            <w:tcW w:w="6315" w:type="dxa"/>
            <w:gridSpan w:val="4"/>
            <w:tcBorders>
              <w:top w:val="single" w:sz="6" w:space="0" w:color="000000"/>
              <w:bottom w:val="single" w:sz="6" w:space="0" w:color="000000"/>
              <w:right w:val="single" w:sz="6" w:space="0" w:color="000000"/>
            </w:tcBorders>
          </w:tcPr>
          <w:p w:rsidR="00AD1444" w:rsidRDefault="00BA0625">
            <w:pPr>
              <w:spacing w:before="11"/>
              <w:ind w:left="56"/>
              <w:rPr>
                <w:color w:val="000000"/>
                <w:sz w:val="24"/>
              </w:rPr>
            </w:pPr>
            <w:proofErr w:type="spellStart"/>
            <w:r>
              <w:rPr>
                <w:color w:val="000000"/>
                <w:sz w:val="24"/>
              </w:rPr>
              <w:t>Кибитов</w:t>
            </w:r>
            <w:proofErr w:type="spellEnd"/>
            <w:r>
              <w:rPr>
                <w:color w:val="000000"/>
                <w:sz w:val="24"/>
              </w:rPr>
              <w:t xml:space="preserve"> Артем Игоревич   839A9730AF3ED006D27CF35097B2CCF9F4AC2D2A</w:t>
            </w:r>
            <w:r>
              <w:rPr>
                <w:color w:val="000000"/>
                <w:sz w:val="24"/>
              </w:rPr>
              <w:br/>
              <w:t>с 25 декабря 2023 г. 17:48:00 по 19 марта 2025 г. 17:48:00</w:t>
            </w: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rPr>
          <w:trHeight w:val="135"/>
        </w:trPr>
        <w:tc>
          <w:tcPr>
            <w:tcW w:w="30" w:type="dxa"/>
            <w:vMerge/>
          </w:tcPr>
          <w:p w:rsidR="00AD1444" w:rsidRDefault="00AD1444">
            <w:pPr>
              <w:rPr>
                <w:rFonts w:cstheme="minorBidi"/>
                <w:sz w:val="1"/>
              </w:rPr>
            </w:pPr>
          </w:p>
        </w:tc>
        <w:tc>
          <w:tcPr>
            <w:tcW w:w="150" w:type="dxa"/>
          </w:tcPr>
          <w:p w:rsidR="00AD1444" w:rsidRDefault="00AD1444">
            <w:pPr>
              <w:rPr>
                <w:rFonts w:cstheme="minorBidi"/>
                <w:sz w:val="1"/>
              </w:rPr>
            </w:pPr>
          </w:p>
        </w:tc>
        <w:tc>
          <w:tcPr>
            <w:tcW w:w="1305" w:type="dxa"/>
          </w:tcPr>
          <w:p w:rsidR="00AD1444" w:rsidRDefault="00AD1444">
            <w:pPr>
              <w:rPr>
                <w:rFonts w:cstheme="minorBidi"/>
                <w:sz w:val="1"/>
              </w:rPr>
            </w:pPr>
          </w:p>
        </w:tc>
        <w:tc>
          <w:tcPr>
            <w:tcW w:w="1005" w:type="dxa"/>
            <w:gridSpan w:val="2"/>
          </w:tcPr>
          <w:p w:rsidR="00AD1444" w:rsidRDefault="00AD1444">
            <w:pPr>
              <w:rPr>
                <w:rFonts w:cstheme="minorBidi"/>
                <w:sz w:val="1"/>
              </w:rPr>
            </w:pPr>
          </w:p>
        </w:tc>
        <w:tc>
          <w:tcPr>
            <w:tcW w:w="3405" w:type="dxa"/>
            <w:gridSpan w:val="2"/>
          </w:tcPr>
          <w:p w:rsidR="00AD1444" w:rsidRDefault="00AD1444">
            <w:pPr>
              <w:rPr>
                <w:rFonts w:cstheme="minorBidi"/>
                <w:sz w:val="1"/>
              </w:rPr>
            </w:pPr>
          </w:p>
        </w:tc>
        <w:tc>
          <w:tcPr>
            <w:tcW w:w="2745" w:type="dxa"/>
            <w:gridSpan w:val="4"/>
          </w:tcPr>
          <w:p w:rsidR="00AD1444" w:rsidRDefault="00AD1444">
            <w:pPr>
              <w:rPr>
                <w:rFonts w:cstheme="minorBidi"/>
                <w:sz w:val="1"/>
              </w:rPr>
            </w:pPr>
          </w:p>
        </w:tc>
        <w:tc>
          <w:tcPr>
            <w:tcW w:w="6315" w:type="dxa"/>
            <w:gridSpan w:val="4"/>
          </w:tcPr>
          <w:p w:rsidR="00AD1444" w:rsidRDefault="00AD1444">
            <w:pPr>
              <w:rPr>
                <w:rFonts w:cstheme="minorBidi"/>
                <w:sz w:val="1"/>
              </w:rPr>
            </w:pPr>
          </w:p>
        </w:tc>
        <w:tc>
          <w:tcPr>
            <w:tcW w:w="150" w:type="dxa"/>
          </w:tcPr>
          <w:p w:rsidR="00AD1444" w:rsidRDefault="00AD1444">
            <w:pPr>
              <w:rPr>
                <w:rFonts w:cstheme="minorBidi"/>
                <w:sz w:val="1"/>
              </w:rPr>
            </w:pPr>
          </w:p>
        </w:tc>
        <w:tc>
          <w:tcPr>
            <w:tcW w:w="30" w:type="dxa"/>
            <w:gridSpan w:val="2"/>
            <w:vMerge/>
          </w:tcPr>
          <w:p w:rsidR="00AD1444" w:rsidRDefault="00AD1444">
            <w:pPr>
              <w:rPr>
                <w:rFonts w:cstheme="minorBidi"/>
                <w:sz w:val="1"/>
              </w:rPr>
            </w:pPr>
          </w:p>
        </w:tc>
      </w:tr>
      <w:tr w:rsidR="00AD1444">
        <w:trPr>
          <w:trHeight w:hRule="exact" w:val="30"/>
        </w:trPr>
        <w:tc>
          <w:tcPr>
            <w:tcW w:w="30" w:type="dxa"/>
            <w:vMerge/>
          </w:tcPr>
          <w:p w:rsidR="00AD1444" w:rsidRDefault="00AD1444">
            <w:pPr>
              <w:rPr>
                <w:rFonts w:cstheme="minorBidi"/>
                <w:sz w:val="1"/>
              </w:rPr>
            </w:pPr>
          </w:p>
        </w:tc>
        <w:tc>
          <w:tcPr>
            <w:tcW w:w="15075" w:type="dxa"/>
            <w:gridSpan w:val="15"/>
          </w:tcPr>
          <w:p w:rsidR="00AD1444" w:rsidRDefault="00BA0625">
            <w:pPr>
              <w:rPr>
                <w:color w:val="000000"/>
                <w:sz w:val="1"/>
              </w:rPr>
            </w:pPr>
            <w:r>
              <w:rPr>
                <w:noProof/>
              </w:rPr>
              <w:drawing>
                <wp:inline distT="0" distB="0" distL="0" distR="0">
                  <wp:extent cx="9572625" cy="19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9572625" cy="19050"/>
                          </a:xfrm>
                          <a:prstGeom prst="rect">
                            <a:avLst/>
                          </a:prstGeom>
                          <a:noFill/>
                        </pic:spPr>
                      </pic:pic>
                    </a:graphicData>
                  </a:graphic>
                </wp:inline>
              </w:drawing>
            </w:r>
          </w:p>
        </w:tc>
        <w:tc>
          <w:tcPr>
            <w:tcW w:w="30" w:type="dxa"/>
            <w:gridSpan w:val="2"/>
            <w:vMerge/>
          </w:tcPr>
          <w:p w:rsidR="00AD1444" w:rsidRDefault="00AD1444">
            <w:pPr>
              <w:rPr>
                <w:rFonts w:cstheme="minorBidi"/>
                <w:sz w:val="1"/>
              </w:rPr>
            </w:pPr>
          </w:p>
        </w:tc>
      </w:tr>
    </w:tbl>
    <w:p w:rsidR="00AD1444" w:rsidRDefault="00AD1444"/>
    <w:sectPr w:rsidR="00AD1444">
      <w:headerReference w:type="default" r:id="rId9"/>
      <w:footerReference w:type="default" r:id="rId10"/>
      <w:headerReference w:type="first" r:id="rId11"/>
      <w:footerReference w:type="first" r:id="rId12"/>
      <w:pgSz w:w="16833" w:h="11908" w:orient="landscape"/>
      <w:pgMar w:top="1132" w:right="566" w:bottom="1132" w:left="1132" w:header="0" w:footer="748"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CB9" w:rsidRDefault="00D26CB9">
      <w:r>
        <w:separator/>
      </w:r>
    </w:p>
  </w:endnote>
  <w:endnote w:type="continuationSeparator" w:id="0">
    <w:p w:rsidR="00D26CB9" w:rsidRDefault="00D26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44" w:rsidRDefault="00AD1444">
    <w:pPr>
      <w:spacing w:after="160" w:line="258" w:lineRule="auto"/>
      <w:rPr>
        <w:rFonts w:cstheme="minorBidi"/>
        <w:color w:val="000000"/>
        <w:sz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44" w:rsidRDefault="00AD1444">
    <w:pPr>
      <w:rPr>
        <w:rFonts w:cstheme="minorBidi"/>
        <w:sz w:val="1"/>
      </w:rPr>
    </w:pPr>
  </w:p>
  <w:tbl>
    <w:tblPr>
      <w:tblW w:w="0" w:type="auto"/>
      <w:tblCellMar>
        <w:left w:w="0" w:type="dxa"/>
        <w:right w:w="0" w:type="dxa"/>
      </w:tblCellMar>
      <w:tblLook w:val="04A0" w:firstRow="1" w:lastRow="0" w:firstColumn="1" w:lastColumn="0" w:noHBand="0" w:noVBand="1"/>
    </w:tblPr>
    <w:tblGrid>
      <w:gridCol w:w="15135"/>
    </w:tblGrid>
    <w:tr w:rsidR="00AD1444">
      <w:trPr>
        <w:trHeight w:hRule="exact" w:val="405"/>
      </w:trPr>
      <w:tc>
        <w:tcPr>
          <w:tcW w:w="15135" w:type="dxa"/>
        </w:tcPr>
        <w:p w:rsidR="00AD1444" w:rsidRDefault="00BA0625">
          <w:pPr>
            <w:spacing w:after="160" w:line="258" w:lineRule="auto"/>
            <w:rPr>
              <w:rFonts w:cstheme="minorBidi"/>
              <w:color w:val="000000"/>
              <w:sz w:val="24"/>
            </w:rPr>
          </w:pPr>
          <w:r>
            <w:rPr>
              <w:rFonts w:cstheme="minorBidi"/>
              <w:b/>
              <w:color w:val="000000"/>
              <w:vertAlign w:val="superscript"/>
            </w:rPr>
            <w:t>1</w:t>
          </w:r>
          <w:r>
            <w:rPr>
              <w:rFonts w:cstheme="minorBidi"/>
              <w:color w:val="000000"/>
            </w:rPr>
            <w:t xml:space="preserve"> Источник финансирования средств, при использовании которых выявлены нарушения</w:t>
          </w:r>
        </w:p>
      </w:tc>
    </w:tr>
  </w:tbl>
  <w:p w:rsidR="00AD1444" w:rsidRDefault="00AD1444">
    <w:pPr>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CB9" w:rsidRDefault="00D26CB9">
      <w:r>
        <w:separator/>
      </w:r>
    </w:p>
  </w:footnote>
  <w:footnote w:type="continuationSeparator" w:id="0">
    <w:p w:rsidR="00D26CB9" w:rsidRDefault="00D26C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44" w:rsidRDefault="00AD1444">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AD1444">
      <w:trPr>
        <w:trHeight w:hRule="exact" w:val="390"/>
      </w:trPr>
      <w:tc>
        <w:tcPr>
          <w:tcW w:w="9465" w:type="dxa"/>
        </w:tcPr>
        <w:p w:rsidR="00AD1444" w:rsidRDefault="00AD1444">
          <w:pPr>
            <w:rPr>
              <w:rFonts w:cstheme="minorBidi"/>
              <w:sz w:val="1"/>
            </w:rPr>
          </w:pPr>
        </w:p>
      </w:tc>
      <w:tc>
        <w:tcPr>
          <w:tcW w:w="5670" w:type="dxa"/>
          <w:vAlign w:val="center"/>
        </w:tcPr>
        <w:p w:rsidR="00AD1444" w:rsidRDefault="00AD1444">
          <w:pPr>
            <w:ind w:left="28" w:right="28"/>
            <w:jc w:val="right"/>
            <w:rPr>
              <w:color w:val="000000"/>
              <w:sz w:val="16"/>
            </w:rPr>
          </w:pPr>
        </w:p>
      </w:tc>
    </w:tr>
    <w:tr w:rsidR="00AD1444">
      <w:trPr>
        <w:trHeight w:hRule="exact" w:val="345"/>
      </w:trPr>
      <w:tc>
        <w:tcPr>
          <w:tcW w:w="15135" w:type="dxa"/>
          <w:gridSpan w:val="2"/>
          <w:vAlign w:val="center"/>
        </w:tcPr>
        <w:p w:rsidR="00AD1444" w:rsidRDefault="00BA0625">
          <w:pPr>
            <w:ind w:left="28" w:right="28"/>
            <w:jc w:val="center"/>
            <w:rPr>
              <w:color w:val="000000"/>
              <w:sz w:val="24"/>
            </w:rPr>
          </w:pPr>
          <w:r>
            <w:rPr>
              <w:color w:val="000000"/>
              <w:sz w:val="24"/>
            </w:rPr>
            <w:fldChar w:fldCharType="begin"/>
          </w:r>
          <w:r>
            <w:rPr>
              <w:color w:val="000000"/>
              <w:sz w:val="24"/>
            </w:rPr>
            <w:instrText xml:space="preserve"> PAGE </w:instrText>
          </w:r>
          <w:r>
            <w:rPr>
              <w:color w:val="000000"/>
              <w:sz w:val="24"/>
            </w:rPr>
            <w:fldChar w:fldCharType="separate"/>
          </w:r>
          <w:r w:rsidR="00881324">
            <w:rPr>
              <w:noProof/>
              <w:color w:val="000000"/>
              <w:sz w:val="24"/>
            </w:rPr>
            <w:t>12</w:t>
          </w:r>
          <w:r>
            <w:rPr>
              <w:color w:val="000000"/>
              <w:sz w:val="24"/>
            </w:rPr>
            <w:fldChar w:fldCharType="end"/>
          </w:r>
        </w:p>
      </w:tc>
    </w:tr>
  </w:tbl>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1444" w:rsidRDefault="00AD1444">
    <w:pPr>
      <w:rPr>
        <w:rFonts w:cstheme="minorBidi"/>
        <w:sz w:val="1"/>
      </w:rPr>
    </w:pPr>
  </w:p>
  <w:tbl>
    <w:tblPr>
      <w:tblW w:w="0" w:type="auto"/>
      <w:tblCellMar>
        <w:left w:w="0" w:type="dxa"/>
        <w:right w:w="0" w:type="dxa"/>
      </w:tblCellMar>
      <w:tblLook w:val="04A0" w:firstRow="1" w:lastRow="0" w:firstColumn="1" w:lastColumn="0" w:noHBand="0" w:noVBand="1"/>
    </w:tblPr>
    <w:tblGrid>
      <w:gridCol w:w="9465"/>
      <w:gridCol w:w="5670"/>
    </w:tblGrid>
    <w:tr w:rsidR="00AD1444">
      <w:trPr>
        <w:trHeight w:hRule="exact" w:val="390"/>
      </w:trPr>
      <w:tc>
        <w:tcPr>
          <w:tcW w:w="9465" w:type="dxa"/>
        </w:tcPr>
        <w:p w:rsidR="00AD1444" w:rsidRDefault="00AD1444">
          <w:pPr>
            <w:rPr>
              <w:rFonts w:cstheme="minorBidi"/>
              <w:sz w:val="1"/>
            </w:rPr>
          </w:pPr>
        </w:p>
      </w:tc>
      <w:tc>
        <w:tcPr>
          <w:tcW w:w="5670" w:type="dxa"/>
          <w:vAlign w:val="center"/>
        </w:tcPr>
        <w:p w:rsidR="00AD1444" w:rsidRDefault="00AD1444">
          <w:pPr>
            <w:ind w:left="28" w:right="28"/>
            <w:jc w:val="right"/>
            <w:rPr>
              <w:color w:val="000000"/>
              <w:sz w:val="16"/>
            </w:rPr>
          </w:pPr>
        </w:p>
      </w:tc>
    </w:tr>
  </w:tbl>
  <w:p w:rsidR="00AD1444" w:rsidRDefault="00AD14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oNotShadeFormData/>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444"/>
    <w:rsid w:val="001C07D7"/>
    <w:rsid w:val="003E5F9C"/>
    <w:rsid w:val="00881324"/>
    <w:rsid w:val="00AD1444"/>
    <w:rsid w:val="00BA0625"/>
    <w:rsid w:val="00D26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21A82E-875A-422D-89AC-6803A371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a6"/>
    <w:uiPriority w:val="99"/>
    <w:unhideWhenUsed/>
    <w:rsid w:val="00881324"/>
    <w:pPr>
      <w:tabs>
        <w:tab w:val="center" w:pos="4677"/>
        <w:tab w:val="right" w:pos="9355"/>
      </w:tabs>
    </w:pPr>
  </w:style>
  <w:style w:type="character" w:customStyle="1" w:styleId="a6">
    <w:name w:val="Верхний колонтитул Знак"/>
    <w:basedOn w:val="a0"/>
    <w:link w:val="a5"/>
    <w:uiPriority w:val="99"/>
    <w:rsid w:val="00881324"/>
  </w:style>
  <w:style w:type="paragraph" w:styleId="a7">
    <w:name w:val="footer"/>
    <w:basedOn w:val="a"/>
    <w:link w:val="a8"/>
    <w:uiPriority w:val="99"/>
    <w:unhideWhenUsed/>
    <w:rsid w:val="00881324"/>
    <w:pPr>
      <w:tabs>
        <w:tab w:val="center" w:pos="4677"/>
        <w:tab w:val="right" w:pos="9355"/>
      </w:tabs>
    </w:pPr>
  </w:style>
  <w:style w:type="character" w:customStyle="1" w:styleId="a8">
    <w:name w:val="Нижний колонтитул Знак"/>
    <w:basedOn w:val="a0"/>
    <w:link w:val="a7"/>
    <w:uiPriority w:val="99"/>
    <w:rsid w:val="00881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3971</Words>
  <Characters>22640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Думан Дмитрий Евгеньевич</dc:creator>
  <cp:lastModifiedBy>Суворова Юлиана Олеговна</cp:lastModifiedBy>
  <cp:revision>4</cp:revision>
  <dcterms:created xsi:type="dcterms:W3CDTF">2024-06-18T10:30:00Z</dcterms:created>
  <dcterms:modified xsi:type="dcterms:W3CDTF">2024-10-02T06:35:00Z</dcterms:modified>
</cp:coreProperties>
</file>