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32" w:rsidRPr="00871332" w:rsidRDefault="00871332" w:rsidP="00A87F1D">
      <w:pPr>
        <w:widowControl w:val="0"/>
        <w:ind w:left="6096"/>
        <w:jc w:val="right"/>
        <w:rPr>
          <w:bCs/>
          <w:sz w:val="28"/>
          <w:szCs w:val="28"/>
        </w:rPr>
      </w:pPr>
      <w:r w:rsidRPr="00871332">
        <w:rPr>
          <w:bCs/>
          <w:sz w:val="28"/>
          <w:szCs w:val="28"/>
        </w:rPr>
        <w:t>Приложение № </w:t>
      </w:r>
      <w:r w:rsidR="009A2AB8">
        <w:rPr>
          <w:bCs/>
          <w:sz w:val="28"/>
          <w:szCs w:val="28"/>
        </w:rPr>
        <w:t>2</w:t>
      </w:r>
      <w:r w:rsidR="00D41AE0">
        <w:rPr>
          <w:bCs/>
          <w:sz w:val="28"/>
          <w:szCs w:val="28"/>
        </w:rPr>
        <w:t>2</w:t>
      </w:r>
      <w:bookmarkStart w:id="0" w:name="_GoBack"/>
      <w:bookmarkEnd w:id="0"/>
    </w:p>
    <w:p w:rsidR="00716C23" w:rsidRDefault="00716C23" w:rsidP="00A87F1D">
      <w:pPr>
        <w:widowControl w:val="0"/>
        <w:spacing w:line="276" w:lineRule="auto"/>
        <w:jc w:val="center"/>
        <w:rPr>
          <w:bCs/>
          <w:sz w:val="28"/>
          <w:szCs w:val="28"/>
        </w:rPr>
      </w:pPr>
    </w:p>
    <w:p w:rsidR="00271109" w:rsidRPr="00271109" w:rsidRDefault="00DE6EDD" w:rsidP="00A87F1D">
      <w:pPr>
        <w:widowControl w:val="0"/>
        <w:spacing w:line="276" w:lineRule="auto"/>
        <w:jc w:val="center"/>
        <w:rPr>
          <w:bCs/>
          <w:sz w:val="28"/>
          <w:szCs w:val="28"/>
        </w:rPr>
      </w:pPr>
      <w:r>
        <w:rPr>
          <w:bCs/>
          <w:sz w:val="28"/>
          <w:szCs w:val="28"/>
        </w:rPr>
        <w:t>Информация о п</w:t>
      </w:r>
      <w:r w:rsidR="00271109" w:rsidRPr="00271109">
        <w:rPr>
          <w:bCs/>
          <w:sz w:val="28"/>
          <w:szCs w:val="28"/>
        </w:rPr>
        <w:t>ричин</w:t>
      </w:r>
      <w:r>
        <w:rPr>
          <w:bCs/>
          <w:sz w:val="28"/>
          <w:szCs w:val="28"/>
        </w:rPr>
        <w:t>ах</w:t>
      </w:r>
      <w:r w:rsidR="00271109" w:rsidRPr="00271109">
        <w:rPr>
          <w:bCs/>
          <w:sz w:val="28"/>
          <w:szCs w:val="28"/>
        </w:rPr>
        <w:t xml:space="preserve"> недостижения целевых значений </w:t>
      </w:r>
      <w:r>
        <w:rPr>
          <w:bCs/>
          <w:sz w:val="28"/>
          <w:szCs w:val="28"/>
        </w:rPr>
        <w:br/>
      </w:r>
      <w:r w:rsidR="00271109" w:rsidRPr="00271109">
        <w:rPr>
          <w:bCs/>
          <w:sz w:val="28"/>
          <w:szCs w:val="28"/>
        </w:rPr>
        <w:t xml:space="preserve">ключевых показателей видов контроля </w:t>
      </w:r>
      <w:r w:rsidR="00271109">
        <w:rPr>
          <w:bCs/>
          <w:sz w:val="28"/>
          <w:szCs w:val="28"/>
        </w:rPr>
        <w:t>в</w:t>
      </w:r>
      <w:r w:rsidR="00271109" w:rsidRPr="00271109">
        <w:rPr>
          <w:bCs/>
          <w:sz w:val="28"/>
          <w:szCs w:val="28"/>
        </w:rPr>
        <w:t xml:space="preserve"> 2022 и 2023 год</w:t>
      </w:r>
      <w:r>
        <w:rPr>
          <w:bCs/>
          <w:sz w:val="28"/>
          <w:szCs w:val="28"/>
        </w:rPr>
        <w:t>ах</w:t>
      </w:r>
    </w:p>
    <w:p w:rsidR="00271109" w:rsidRDefault="00271109" w:rsidP="00A87F1D">
      <w:pPr>
        <w:widowControl w:val="0"/>
        <w:ind w:left="-426"/>
        <w:jc w:val="center"/>
      </w:pPr>
    </w:p>
    <w:p w:rsidR="00271109" w:rsidRPr="00271109" w:rsidRDefault="00271109" w:rsidP="00A87F1D">
      <w:pPr>
        <w:widowControl w:val="0"/>
        <w:spacing w:before="240" w:line="360" w:lineRule="auto"/>
        <w:ind w:right="-2" w:firstLine="709"/>
        <w:jc w:val="both"/>
        <w:rPr>
          <w:b/>
          <w:sz w:val="28"/>
          <w:szCs w:val="28"/>
        </w:rPr>
      </w:pPr>
      <w:r w:rsidRPr="00271109">
        <w:rPr>
          <w:b/>
          <w:sz w:val="28"/>
          <w:szCs w:val="28"/>
        </w:rPr>
        <w:t>В 2022 году четыре контрольных (надзорных) органа не обеспечили достижение целевых значений семи ключевых показателей четырех видов федерального государственного контроля (надзора):</w:t>
      </w:r>
    </w:p>
    <w:p w:rsidR="00271109" w:rsidRPr="00271109" w:rsidRDefault="00271109" w:rsidP="00A87F1D">
      <w:pPr>
        <w:widowControl w:val="0"/>
        <w:spacing w:line="360" w:lineRule="auto"/>
        <w:ind w:right="-2" w:firstLine="709"/>
        <w:jc w:val="both"/>
        <w:rPr>
          <w:sz w:val="28"/>
          <w:szCs w:val="28"/>
        </w:rPr>
      </w:pPr>
      <w:r w:rsidRPr="00271109">
        <w:rPr>
          <w:sz w:val="28"/>
          <w:szCs w:val="28"/>
        </w:rPr>
        <w:t>1.</w:t>
      </w:r>
      <w:r w:rsidRPr="00271109">
        <w:rPr>
          <w:sz w:val="28"/>
          <w:szCs w:val="28"/>
        </w:rPr>
        <w:tab/>
        <w:t xml:space="preserve">Росприроднадзором не обеспечено достижение ключевого показателя федерального государственного геологического контроля (надзора) «соотношение разницы показателей количества объектов геологического надзора, в отношении которых в отчетном периоде принято решение об их отнесении к более низкой категории риска, и количества объектов геологического надзора, в отношении которых в отчетном периоде принято решение об их отнесении к более высокой категории риска, к общему количеству объектов геологического надзора, которым присвоена категория риска, на дату окончания отчетного периода», утвержденного постановлением Правительства Российской Федерации от 30 июня 2021 г. № 1095 «Об утверждении Положения о федеральном государственном геологическом контроле (надзоре)». </w:t>
      </w:r>
    </w:p>
    <w:p w:rsidR="00271109" w:rsidRPr="00271109" w:rsidRDefault="00271109" w:rsidP="00A87F1D">
      <w:pPr>
        <w:widowControl w:val="0"/>
        <w:spacing w:line="360" w:lineRule="auto"/>
        <w:ind w:right="-2" w:firstLine="709"/>
        <w:jc w:val="both"/>
        <w:rPr>
          <w:sz w:val="28"/>
          <w:szCs w:val="28"/>
        </w:rPr>
      </w:pPr>
      <w:r w:rsidRPr="00271109">
        <w:rPr>
          <w:sz w:val="28"/>
          <w:szCs w:val="28"/>
        </w:rPr>
        <w:t>Фактическое значение указанного ключевого показателя в докладе о федеральном государственном геологическом контроле (надзоре) за 2022 год отсутствует. Вместе с тем Росприроднадзором отмечается, что причиной недостижения целевого значения показателя является наличие ограничений на проведение контрольных (надзорных) мероприятий в 2022 году (в том числе по контролю ранее выданного предписания), установленных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(далее - Постановление № 336), а также существенных ограничений при проведении административного производства.</w:t>
      </w:r>
    </w:p>
    <w:p w:rsidR="00271109" w:rsidRPr="00271109" w:rsidRDefault="00271109" w:rsidP="00A87F1D">
      <w:pPr>
        <w:widowControl w:val="0"/>
        <w:spacing w:line="360" w:lineRule="auto"/>
        <w:ind w:right="-2" w:firstLine="709"/>
        <w:jc w:val="both"/>
        <w:rPr>
          <w:sz w:val="28"/>
          <w:szCs w:val="28"/>
        </w:rPr>
      </w:pPr>
      <w:r w:rsidRPr="00271109">
        <w:rPr>
          <w:sz w:val="28"/>
          <w:szCs w:val="28"/>
        </w:rPr>
        <w:t>2.</w:t>
      </w:r>
      <w:r w:rsidRPr="00271109">
        <w:rPr>
          <w:sz w:val="28"/>
          <w:szCs w:val="28"/>
        </w:rPr>
        <w:tab/>
        <w:t xml:space="preserve">Ространснадзором не обеспечено достижение четырех ключевых показателей федерального государственного контроля (надзора) в области </w:t>
      </w:r>
      <w:r w:rsidRPr="00271109">
        <w:rPr>
          <w:sz w:val="28"/>
          <w:szCs w:val="28"/>
        </w:rPr>
        <w:lastRenderedPageBreak/>
        <w:t>гражданской авиации, утвержденных постановлением Правительства Российской Федерации от 30 июня 2021 г. № 1064 «Об утверждении Положения о федеральном государственном контроле (надзоре) в области гражданской авиации»:</w:t>
      </w:r>
    </w:p>
    <w:p w:rsidR="00271109" w:rsidRPr="00271109" w:rsidRDefault="00271109" w:rsidP="00A87F1D">
      <w:pPr>
        <w:widowControl w:val="0"/>
        <w:spacing w:line="360" w:lineRule="auto"/>
        <w:ind w:right="-2" w:firstLine="709"/>
        <w:jc w:val="both"/>
        <w:rPr>
          <w:sz w:val="28"/>
          <w:szCs w:val="28"/>
        </w:rPr>
      </w:pPr>
      <w:r w:rsidRPr="00271109">
        <w:rPr>
          <w:sz w:val="28"/>
          <w:szCs w:val="28"/>
        </w:rPr>
        <w:t>«9. Количество погибших лиц, находившихся на борту, в результате авиационных происшествий с гражданскими вертолетами, выполняющими полет в целях авиации общего назначения, на 1 млн. перевезенных пассажиров за отчетный год» (целевое значение – 0,03, фактическое – 0,074);</w:t>
      </w:r>
    </w:p>
    <w:p w:rsidR="00271109" w:rsidRPr="00271109" w:rsidRDefault="00271109" w:rsidP="00A87F1D">
      <w:pPr>
        <w:widowControl w:val="0"/>
        <w:spacing w:line="360" w:lineRule="auto"/>
        <w:ind w:right="-2" w:firstLine="709"/>
        <w:jc w:val="both"/>
        <w:rPr>
          <w:sz w:val="28"/>
          <w:szCs w:val="28"/>
        </w:rPr>
      </w:pPr>
      <w:r w:rsidRPr="00271109">
        <w:rPr>
          <w:sz w:val="28"/>
          <w:szCs w:val="28"/>
        </w:rPr>
        <w:t>«10. Количество погибших лиц, находившихся на борту, в результате авиационных происшествий с гражданскими воздушными судами (за исключением самолетов и вертолетов) вне зависимости от цели выполнения полета на 1 млн. перевезенных пассажиров за отчетный год» (целевое значение</w:t>
      </w:r>
      <w:r w:rsidR="00CB78BE">
        <w:rPr>
          <w:sz w:val="28"/>
          <w:szCs w:val="28"/>
        </w:rPr>
        <w:t> </w:t>
      </w:r>
      <w:r w:rsidRPr="00271109">
        <w:rPr>
          <w:sz w:val="28"/>
          <w:szCs w:val="28"/>
        </w:rPr>
        <w:t>– 0,02, фактическое – 0,032);</w:t>
      </w:r>
    </w:p>
    <w:p w:rsidR="00271109" w:rsidRPr="00271109" w:rsidRDefault="00271109" w:rsidP="00A87F1D">
      <w:pPr>
        <w:widowControl w:val="0"/>
        <w:spacing w:line="360" w:lineRule="auto"/>
        <w:ind w:right="-2" w:firstLine="709"/>
        <w:jc w:val="both"/>
        <w:rPr>
          <w:sz w:val="28"/>
          <w:szCs w:val="28"/>
        </w:rPr>
      </w:pPr>
      <w:r w:rsidRPr="00271109">
        <w:rPr>
          <w:sz w:val="28"/>
          <w:szCs w:val="28"/>
        </w:rPr>
        <w:t>«16. Количество лиц, находившихся на борту, получивших вред здоровью в результате авиационных происшествий с гражданскими вертолетами, осуществляющими полет в целях выполнения авиационных работ, на 1 млн. перевезенных пассажиров за отчетный год» (целевое значение – 0,1, фактическое – 0,368);</w:t>
      </w:r>
    </w:p>
    <w:p w:rsidR="00271109" w:rsidRPr="00271109" w:rsidRDefault="00271109" w:rsidP="00A87F1D">
      <w:pPr>
        <w:widowControl w:val="0"/>
        <w:spacing w:line="360" w:lineRule="auto"/>
        <w:ind w:right="-2" w:firstLine="709"/>
        <w:jc w:val="both"/>
        <w:rPr>
          <w:sz w:val="28"/>
          <w:szCs w:val="28"/>
        </w:rPr>
      </w:pPr>
      <w:r w:rsidRPr="00271109">
        <w:rPr>
          <w:sz w:val="28"/>
          <w:szCs w:val="28"/>
        </w:rPr>
        <w:t>«23. Количество авиационных происшествий с гражданскими вертолетами, выполняющими полет в целях осуществления коммерческой воздушной перевозки, на 1 млн. перевезенных пассажиров за отчетный год» (целевое значение – 0,02, фактическое – 0,053).</w:t>
      </w:r>
    </w:p>
    <w:p w:rsidR="00271109" w:rsidRPr="00271109" w:rsidRDefault="00271109" w:rsidP="00A87F1D">
      <w:pPr>
        <w:widowControl w:val="0"/>
        <w:spacing w:line="360" w:lineRule="auto"/>
        <w:ind w:right="-2" w:firstLine="709"/>
        <w:jc w:val="both"/>
        <w:rPr>
          <w:sz w:val="28"/>
          <w:szCs w:val="28"/>
        </w:rPr>
      </w:pPr>
      <w:r w:rsidRPr="00271109">
        <w:rPr>
          <w:sz w:val="28"/>
          <w:szCs w:val="28"/>
        </w:rPr>
        <w:t>Согласно информации из доклада о федеральном государственном контроле (надзоре) в области гражданской авиации за 2022 год, причиной недостижения целевых значений указанных ключевых показателей является наличие системных и проблемных вопросов в сфере подготовки авиационного персонала, поддержания летной годности, аэродромного обеспечения, использования воздушного пространства, разрешение которых лишь мерами инспекторского реагирования не представляется возможным.</w:t>
      </w:r>
    </w:p>
    <w:p w:rsidR="00271109" w:rsidRPr="00271109" w:rsidRDefault="00271109" w:rsidP="00A87F1D">
      <w:pPr>
        <w:widowControl w:val="0"/>
        <w:spacing w:line="360" w:lineRule="auto"/>
        <w:ind w:right="-2" w:firstLine="709"/>
        <w:jc w:val="both"/>
        <w:rPr>
          <w:sz w:val="28"/>
          <w:szCs w:val="28"/>
        </w:rPr>
      </w:pPr>
      <w:r w:rsidRPr="00271109">
        <w:rPr>
          <w:sz w:val="28"/>
          <w:szCs w:val="28"/>
        </w:rPr>
        <w:t>3.</w:t>
      </w:r>
      <w:r w:rsidRPr="00271109">
        <w:rPr>
          <w:sz w:val="28"/>
          <w:szCs w:val="28"/>
        </w:rPr>
        <w:tab/>
        <w:t xml:space="preserve">Росреестром не обеспечено достижение ключевого показателя </w:t>
      </w:r>
      <w:r w:rsidRPr="00271109">
        <w:rPr>
          <w:sz w:val="28"/>
          <w:szCs w:val="28"/>
        </w:rPr>
        <w:lastRenderedPageBreak/>
        <w:t xml:space="preserve">федерального государственного контроля (надзора) в области геодезии и картографии «уровень минимизации вреда (ущерба) охраняемым законом ценностям в области геодезии и картографии», утвержденного постановлением Правительства Российской Федерации от 25 июня 2021 г. № 1001 «О федеральном государственном контроле (надзоре) в области геодезии и картографии» (далее – Постановление № 1001). </w:t>
      </w:r>
    </w:p>
    <w:p w:rsidR="00271109" w:rsidRPr="00271109" w:rsidRDefault="00271109" w:rsidP="00A87F1D">
      <w:pPr>
        <w:widowControl w:val="0"/>
        <w:spacing w:line="360" w:lineRule="auto"/>
        <w:ind w:right="-2" w:firstLine="709"/>
        <w:jc w:val="both"/>
        <w:rPr>
          <w:sz w:val="28"/>
          <w:szCs w:val="28"/>
        </w:rPr>
      </w:pPr>
      <w:r w:rsidRPr="00271109">
        <w:rPr>
          <w:sz w:val="28"/>
          <w:szCs w:val="28"/>
        </w:rPr>
        <w:t xml:space="preserve">Согласно информации Росреестра, представленной по запросу Счетной палаты, фактическое значение указанного показателя составило </w:t>
      </w:r>
      <w:r w:rsidR="000970DB">
        <w:rPr>
          <w:sz w:val="28"/>
          <w:szCs w:val="28"/>
        </w:rPr>
        <w:t>(</w:t>
      </w:r>
      <w:r w:rsidRPr="00271109">
        <w:rPr>
          <w:sz w:val="28"/>
          <w:szCs w:val="28"/>
        </w:rPr>
        <w:t>-</w:t>
      </w:r>
      <w:r w:rsidR="000970DB">
        <w:rPr>
          <w:sz w:val="28"/>
          <w:szCs w:val="28"/>
        </w:rPr>
        <w:t>)</w:t>
      </w:r>
      <w:r w:rsidR="00CB78BE">
        <w:rPr>
          <w:sz w:val="28"/>
          <w:szCs w:val="28"/>
        </w:rPr>
        <w:t xml:space="preserve"> </w:t>
      </w:r>
      <w:r w:rsidRPr="00271109">
        <w:rPr>
          <w:sz w:val="28"/>
          <w:szCs w:val="28"/>
        </w:rPr>
        <w:t xml:space="preserve">0,66, при том, что целевыми значениями ключевого показателя являются положительные значения. </w:t>
      </w:r>
    </w:p>
    <w:p w:rsidR="00271109" w:rsidRPr="00271109" w:rsidRDefault="00271109" w:rsidP="00A87F1D">
      <w:pPr>
        <w:widowControl w:val="0"/>
        <w:spacing w:line="360" w:lineRule="auto"/>
        <w:ind w:right="-2" w:firstLine="709"/>
        <w:jc w:val="both"/>
        <w:rPr>
          <w:sz w:val="28"/>
          <w:szCs w:val="28"/>
        </w:rPr>
      </w:pPr>
      <w:r w:rsidRPr="00271109">
        <w:rPr>
          <w:sz w:val="28"/>
          <w:szCs w:val="28"/>
        </w:rPr>
        <w:t>Росреестром представлена следующая информация о причинах недостижения указанного ключевого показателя в 2022 году.</w:t>
      </w:r>
    </w:p>
    <w:p w:rsidR="00271109" w:rsidRPr="00271109" w:rsidRDefault="00271109" w:rsidP="00A87F1D">
      <w:pPr>
        <w:widowControl w:val="0"/>
        <w:spacing w:line="360" w:lineRule="auto"/>
        <w:ind w:right="-2" w:firstLine="709"/>
        <w:jc w:val="both"/>
        <w:rPr>
          <w:sz w:val="28"/>
          <w:szCs w:val="28"/>
        </w:rPr>
      </w:pPr>
      <w:r w:rsidRPr="00271109">
        <w:rPr>
          <w:sz w:val="28"/>
          <w:szCs w:val="28"/>
        </w:rPr>
        <w:t>Формула расчета ключевого показателя федерального государственного контроля (надзора) в области геодезии и картографии установлена пунктом 75 Постановления № 1001: ключевой показатель формируется в зависимости от отношения количества утраченных пунктов государственной геодезической сети, государственной нивелирной сети и государственной гравиметрической сети к их общему количеству, соотношение учитывается за прошлый и текущий отчетные периоды.</w:t>
      </w:r>
    </w:p>
    <w:p w:rsidR="00271109" w:rsidRPr="00271109" w:rsidRDefault="00271109" w:rsidP="00A87F1D">
      <w:pPr>
        <w:widowControl w:val="0"/>
        <w:spacing w:line="360" w:lineRule="auto"/>
        <w:ind w:right="-2" w:firstLine="709"/>
        <w:jc w:val="both"/>
        <w:rPr>
          <w:sz w:val="28"/>
          <w:szCs w:val="28"/>
        </w:rPr>
      </w:pPr>
      <w:r w:rsidRPr="00271109">
        <w:rPr>
          <w:sz w:val="28"/>
          <w:szCs w:val="28"/>
        </w:rPr>
        <w:t xml:space="preserve">На количество учтенных в отчетном периоде пунктов влияет множество факторов: количество обследованных пунктов в текущем отчетном периоде, из них количество пунктов в труднодоступной местности (в лесу, в тайге, в гористой местности и т.д.), в том числе количество не найденных пунктов по результатам обследования, количество уничтоженных пунктов в прошлом отчетном периоде, количество восстановленных и созданных пунктов в прошлом и текущем отчетных периодах с учетом норм плотности размещения на территории Российской Федерации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 утвержденных распоряжением Правительства Российской Федерации от </w:t>
      </w:r>
      <w:r w:rsidRPr="00271109">
        <w:rPr>
          <w:sz w:val="28"/>
          <w:szCs w:val="28"/>
        </w:rPr>
        <w:lastRenderedPageBreak/>
        <w:t>3 ноября 2016 г. № 2347-р.</w:t>
      </w:r>
    </w:p>
    <w:p w:rsidR="00271109" w:rsidRPr="00271109" w:rsidRDefault="00271109" w:rsidP="00A87F1D">
      <w:pPr>
        <w:widowControl w:val="0"/>
        <w:spacing w:line="360" w:lineRule="auto"/>
        <w:ind w:right="-2" w:firstLine="709"/>
        <w:jc w:val="both"/>
        <w:rPr>
          <w:sz w:val="28"/>
          <w:szCs w:val="28"/>
        </w:rPr>
      </w:pPr>
      <w:r w:rsidRPr="00271109">
        <w:rPr>
          <w:sz w:val="28"/>
          <w:szCs w:val="28"/>
        </w:rPr>
        <w:t xml:space="preserve">Пункты утрачиваются в результате их уничтожения организациями и гражданами в результате </w:t>
      </w:r>
      <w:r w:rsidR="001A680F">
        <w:rPr>
          <w:sz w:val="28"/>
          <w:szCs w:val="28"/>
        </w:rPr>
        <w:t>своей</w:t>
      </w:r>
      <w:r w:rsidRPr="00271109">
        <w:rPr>
          <w:sz w:val="28"/>
          <w:szCs w:val="28"/>
        </w:rPr>
        <w:t xml:space="preserve"> хозяйственной деятельности (обработки земельных участков, вспашки полей, сноса зданий), а также пункты считаются утраченными в результате их необнаружения при обследовании (например, при обследовании в труднодоступной местности, в том числе в результате износа конструкции пунктов).</w:t>
      </w:r>
    </w:p>
    <w:p w:rsidR="00271109" w:rsidRPr="00271109" w:rsidRDefault="00271109" w:rsidP="00A87F1D">
      <w:pPr>
        <w:widowControl w:val="0"/>
        <w:spacing w:line="360" w:lineRule="auto"/>
        <w:ind w:right="-2" w:firstLine="709"/>
        <w:jc w:val="both"/>
        <w:rPr>
          <w:sz w:val="28"/>
          <w:szCs w:val="28"/>
        </w:rPr>
      </w:pPr>
      <w:r w:rsidRPr="00271109">
        <w:rPr>
          <w:sz w:val="28"/>
          <w:szCs w:val="28"/>
        </w:rPr>
        <w:t>Учитывая изложенное, а также большое количество расположенных по всей территории Российской Федерации пунктов государственной геодезической сети, пунктов государственной нивелирной сети и пунктов государственной гравиметрической сети, достичь устойчивого снижения количества случаев утраты указанных пунктов не представляется возможным.</w:t>
      </w:r>
    </w:p>
    <w:p w:rsidR="00271109" w:rsidRPr="00271109" w:rsidRDefault="00271109" w:rsidP="00A87F1D">
      <w:pPr>
        <w:widowControl w:val="0"/>
        <w:spacing w:line="360" w:lineRule="auto"/>
        <w:ind w:right="-2" w:firstLine="709"/>
        <w:jc w:val="both"/>
        <w:rPr>
          <w:sz w:val="28"/>
          <w:szCs w:val="28"/>
        </w:rPr>
      </w:pPr>
      <w:r w:rsidRPr="00271109">
        <w:rPr>
          <w:sz w:val="28"/>
          <w:szCs w:val="28"/>
        </w:rPr>
        <w:t>4.</w:t>
      </w:r>
      <w:r w:rsidRPr="00271109">
        <w:rPr>
          <w:sz w:val="28"/>
          <w:szCs w:val="28"/>
        </w:rPr>
        <w:tab/>
        <w:t>Рострудом не обеспечено достижение ключевого показателя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«количество человек, погибших при несчастных случаях на производстве, на 100 тыс. занятых за отчетный период», утвержденного постановлением Правительства Российской Федерации от 21 июля 2021 г. №</w:t>
      </w:r>
      <w:r w:rsidR="001A680F">
        <w:rPr>
          <w:sz w:val="28"/>
          <w:szCs w:val="28"/>
        </w:rPr>
        <w:t> </w:t>
      </w:r>
      <w:r w:rsidRPr="00271109">
        <w:rPr>
          <w:sz w:val="28"/>
          <w:szCs w:val="28"/>
        </w:rPr>
        <w:t xml:space="preserve">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(плановое значение – не более 1,46, фактическое – 1,49). </w:t>
      </w:r>
    </w:p>
    <w:p w:rsidR="00271109" w:rsidRPr="00271109" w:rsidRDefault="00271109" w:rsidP="00A87F1D">
      <w:pPr>
        <w:widowControl w:val="0"/>
        <w:spacing w:line="360" w:lineRule="auto"/>
        <w:ind w:right="-2" w:firstLine="709"/>
        <w:jc w:val="both"/>
        <w:rPr>
          <w:b/>
          <w:sz w:val="28"/>
          <w:szCs w:val="28"/>
        </w:rPr>
      </w:pPr>
      <w:r w:rsidRPr="00271109">
        <w:rPr>
          <w:b/>
          <w:sz w:val="28"/>
          <w:szCs w:val="28"/>
        </w:rPr>
        <w:t>В 2023 году четыре контрольных (надзорных) орган</w:t>
      </w:r>
      <w:r w:rsidR="001A680F">
        <w:rPr>
          <w:b/>
          <w:sz w:val="28"/>
          <w:szCs w:val="28"/>
        </w:rPr>
        <w:t>а</w:t>
      </w:r>
      <w:r w:rsidRPr="00271109">
        <w:rPr>
          <w:b/>
          <w:sz w:val="28"/>
          <w:szCs w:val="28"/>
        </w:rPr>
        <w:t xml:space="preserve"> не обеспечили достижение целевых значений одиннадцати ключевых показателей семи видов федерального государственного контроля (надзора):</w:t>
      </w:r>
    </w:p>
    <w:p w:rsidR="00271109" w:rsidRPr="00271109" w:rsidRDefault="00271109" w:rsidP="00A87F1D">
      <w:pPr>
        <w:widowControl w:val="0"/>
        <w:spacing w:line="360" w:lineRule="auto"/>
        <w:ind w:right="-2" w:firstLine="709"/>
        <w:jc w:val="both"/>
        <w:rPr>
          <w:sz w:val="28"/>
          <w:szCs w:val="28"/>
        </w:rPr>
      </w:pPr>
      <w:r w:rsidRPr="00271109">
        <w:rPr>
          <w:sz w:val="28"/>
          <w:szCs w:val="28"/>
        </w:rPr>
        <w:t>1.</w:t>
      </w:r>
      <w:r w:rsidRPr="00271109">
        <w:rPr>
          <w:sz w:val="28"/>
          <w:szCs w:val="28"/>
        </w:rPr>
        <w:tab/>
        <w:t xml:space="preserve">Также как и в 2022 году, Росприроднадзором не обеспечено достижение ключевого показателя федерального государственного геологического контроля (надзора) «соотношение разницы показателей количества объектов геологического надзора, в отношении которых в отчетном периоде принято решение об их отнесении к более низкой категории риска, и </w:t>
      </w:r>
      <w:r w:rsidRPr="00271109">
        <w:rPr>
          <w:sz w:val="28"/>
          <w:szCs w:val="28"/>
        </w:rPr>
        <w:lastRenderedPageBreak/>
        <w:t xml:space="preserve">количества объектов геологического надзора, в отношении которых в отчетном периоде принято решение об их отнесении к более высокой категории риска, к общему количеству объектов геологического надзора, которым присвоена категория риска, на дату окончания отчетного периода». </w:t>
      </w:r>
    </w:p>
    <w:p w:rsidR="00271109" w:rsidRPr="00271109" w:rsidRDefault="00271109" w:rsidP="00A87F1D">
      <w:pPr>
        <w:widowControl w:val="0"/>
        <w:spacing w:line="360" w:lineRule="auto"/>
        <w:ind w:right="-2" w:firstLine="709"/>
        <w:jc w:val="both"/>
        <w:rPr>
          <w:sz w:val="28"/>
          <w:szCs w:val="28"/>
        </w:rPr>
      </w:pPr>
      <w:r w:rsidRPr="00271109">
        <w:rPr>
          <w:sz w:val="28"/>
          <w:szCs w:val="28"/>
        </w:rPr>
        <w:t>Фактическое значение указанного ключевого показателя в докладе о федеральном государственном геологическом контроле (надзоре) за 2023 год отсутствует. Вместе с тем, Росприроднадзором отмечается, что причиной недостижения целевого значения показателя является наличие ограничений на проведение контрольных (надзорных) мероприятий (в том числе по контролю ранее выданного предписания), установленных Постановлением № 336, а также существенных ограничений при проведении административного производства.</w:t>
      </w:r>
    </w:p>
    <w:p w:rsidR="00271109" w:rsidRPr="00271109" w:rsidRDefault="00271109" w:rsidP="00A87F1D">
      <w:pPr>
        <w:widowControl w:val="0"/>
        <w:spacing w:line="360" w:lineRule="auto"/>
        <w:ind w:right="-2" w:firstLine="709"/>
        <w:jc w:val="both"/>
        <w:rPr>
          <w:sz w:val="28"/>
          <w:szCs w:val="28"/>
        </w:rPr>
      </w:pPr>
      <w:r w:rsidRPr="00271109">
        <w:rPr>
          <w:sz w:val="28"/>
          <w:szCs w:val="28"/>
        </w:rPr>
        <w:t>2. Ространснадзором не обеспечено достижение трех ключевых показателей федерального государственного контроля (надзора) в области гражданской авиации:</w:t>
      </w:r>
    </w:p>
    <w:p w:rsidR="00271109" w:rsidRPr="00271109" w:rsidRDefault="00271109" w:rsidP="00A87F1D">
      <w:pPr>
        <w:widowControl w:val="0"/>
        <w:spacing w:line="360" w:lineRule="auto"/>
        <w:ind w:right="-2" w:firstLine="709"/>
        <w:jc w:val="both"/>
        <w:rPr>
          <w:sz w:val="28"/>
          <w:szCs w:val="28"/>
        </w:rPr>
      </w:pPr>
      <w:r w:rsidRPr="00271109">
        <w:rPr>
          <w:sz w:val="28"/>
          <w:szCs w:val="28"/>
        </w:rPr>
        <w:t>«12. Количество лиц, находившихся на борту, получивших вред здоровью в результате авиационных происшествий с гражданскими самолетами максимальной взлетной массой менее 5</w:t>
      </w:r>
      <w:r w:rsidR="000970DB">
        <w:rPr>
          <w:sz w:val="28"/>
          <w:szCs w:val="28"/>
        </w:rPr>
        <w:t> </w:t>
      </w:r>
      <w:r w:rsidRPr="00271109">
        <w:rPr>
          <w:sz w:val="28"/>
          <w:szCs w:val="28"/>
        </w:rPr>
        <w:t>700 кг, выполняющими полет в целях осуществления коммерческой воздушной перевозки, на 1.000.000 перевезенных пассажиров за отчетный год.» (целевое значение – 0,09, фактическое – 0,095);</w:t>
      </w:r>
    </w:p>
    <w:p w:rsidR="00271109" w:rsidRPr="00271109" w:rsidRDefault="00271109" w:rsidP="00A87F1D">
      <w:pPr>
        <w:widowControl w:val="0"/>
        <w:spacing w:line="360" w:lineRule="auto"/>
        <w:ind w:right="-2" w:firstLine="709"/>
        <w:jc w:val="both"/>
        <w:rPr>
          <w:sz w:val="28"/>
          <w:szCs w:val="28"/>
        </w:rPr>
      </w:pPr>
      <w:r w:rsidRPr="00271109">
        <w:rPr>
          <w:sz w:val="28"/>
          <w:szCs w:val="28"/>
        </w:rPr>
        <w:t>«15. Количество лиц, находившихся на борту, получивших вред здоровью в результате авиационных происшествий с гражданскими самолетами максимальной взлетной массой менее 5</w:t>
      </w:r>
      <w:r w:rsidR="000970DB">
        <w:rPr>
          <w:sz w:val="28"/>
          <w:szCs w:val="28"/>
        </w:rPr>
        <w:t> </w:t>
      </w:r>
      <w:r w:rsidRPr="00271109">
        <w:rPr>
          <w:sz w:val="28"/>
          <w:szCs w:val="28"/>
        </w:rPr>
        <w:t>700 кг, осуществляющими полет в целях выполнения авиационных работ, на 1 млн. перевезенных пассажиров за отчетный год» (целевое значение – 0,03, фактическое – 0,04);</w:t>
      </w:r>
    </w:p>
    <w:p w:rsidR="00271109" w:rsidRPr="00271109" w:rsidRDefault="00271109" w:rsidP="00A87F1D">
      <w:pPr>
        <w:widowControl w:val="0"/>
        <w:spacing w:line="360" w:lineRule="auto"/>
        <w:ind w:right="-2" w:firstLine="709"/>
        <w:jc w:val="both"/>
        <w:rPr>
          <w:sz w:val="28"/>
          <w:szCs w:val="28"/>
        </w:rPr>
      </w:pPr>
      <w:r w:rsidRPr="00271109">
        <w:rPr>
          <w:sz w:val="28"/>
          <w:szCs w:val="28"/>
        </w:rPr>
        <w:t>«23. Количество авиационных происшествий с гражданскими вертолетами, выполняющими полет в целях осуществления коммерческой воздушной перевозки, на 1 млн. перевезенных пассажиров за отчетный год» (целевое значение – 0,02, фактическое – 0,03).</w:t>
      </w:r>
    </w:p>
    <w:p w:rsidR="00271109" w:rsidRPr="00271109" w:rsidRDefault="00271109" w:rsidP="00A87F1D">
      <w:pPr>
        <w:widowControl w:val="0"/>
        <w:spacing w:line="360" w:lineRule="auto"/>
        <w:ind w:right="-2" w:firstLine="709"/>
        <w:jc w:val="both"/>
        <w:rPr>
          <w:sz w:val="28"/>
          <w:szCs w:val="28"/>
        </w:rPr>
      </w:pPr>
      <w:r w:rsidRPr="00271109">
        <w:rPr>
          <w:sz w:val="28"/>
          <w:szCs w:val="28"/>
        </w:rPr>
        <w:t xml:space="preserve">Согласно информации доклада о федеральном государственном контроле (надзоре) в области гражданской авиации за 2023 год, причиной недостижения </w:t>
      </w:r>
      <w:r w:rsidRPr="00271109">
        <w:rPr>
          <w:sz w:val="28"/>
          <w:szCs w:val="28"/>
        </w:rPr>
        <w:lastRenderedPageBreak/>
        <w:t>целевых значений указанных ключевых показателей является наличие системных и проблемных вопросов в сфере подготовки авиационного персонала, поддержания летной годности, аэродромного обеспечения, использования воздушного пространства, разрешение которых лишь мерами инспекторского реагирования не представляется возможным.</w:t>
      </w:r>
    </w:p>
    <w:p w:rsidR="00271109" w:rsidRPr="00271109" w:rsidRDefault="00271109" w:rsidP="00A87F1D">
      <w:pPr>
        <w:widowControl w:val="0"/>
        <w:spacing w:line="360" w:lineRule="auto"/>
        <w:ind w:right="-2" w:firstLine="709"/>
        <w:jc w:val="both"/>
        <w:rPr>
          <w:sz w:val="28"/>
          <w:szCs w:val="28"/>
        </w:rPr>
      </w:pPr>
      <w:r w:rsidRPr="00271109">
        <w:rPr>
          <w:sz w:val="28"/>
          <w:szCs w:val="28"/>
        </w:rPr>
        <w:t>3. Россельхознадзором не обеспечено достижение ключевых показателей федерального государственного контроля (надзора) в области семеноводства в отношении семян сельскохозяйственных растений, утвержденных постановлением правительства Российской Федерации от 3 октября 2022 г. №</w:t>
      </w:r>
      <w:r w:rsidR="001A680F">
        <w:rPr>
          <w:sz w:val="28"/>
          <w:szCs w:val="28"/>
        </w:rPr>
        <w:t> </w:t>
      </w:r>
      <w:r w:rsidRPr="00271109">
        <w:rPr>
          <w:sz w:val="28"/>
          <w:szCs w:val="28"/>
        </w:rPr>
        <w:t>1748 «Об утверждении Положения о федеральном государственном контроле (надзоре) в области семеноводства в отношении семян сельскохозяйственных растений и признании утратившими силу некоторых актов Правительства Российской Федерации»:</w:t>
      </w:r>
    </w:p>
    <w:p w:rsidR="00271109" w:rsidRPr="00271109" w:rsidRDefault="00271109" w:rsidP="00A87F1D">
      <w:pPr>
        <w:widowControl w:val="0"/>
        <w:spacing w:line="360" w:lineRule="auto"/>
        <w:ind w:right="-2" w:firstLine="709"/>
        <w:jc w:val="both"/>
        <w:rPr>
          <w:sz w:val="28"/>
          <w:szCs w:val="28"/>
        </w:rPr>
      </w:pPr>
      <w:r w:rsidRPr="00271109">
        <w:rPr>
          <w:sz w:val="28"/>
          <w:szCs w:val="28"/>
        </w:rPr>
        <w:t>«отношение количества объектов государственного контроля, в отношении которых принято решение об изменении категории риска на более высокую, к общему количеству объектов государственного контроля» (целевое значение – снижение на 0,3 процента, фактическое – повышение на 4,9);</w:t>
      </w:r>
    </w:p>
    <w:p w:rsidR="00271109" w:rsidRPr="00271109" w:rsidRDefault="00271109" w:rsidP="00A87F1D">
      <w:pPr>
        <w:widowControl w:val="0"/>
        <w:spacing w:line="360" w:lineRule="auto"/>
        <w:ind w:right="-2" w:firstLine="709"/>
        <w:jc w:val="both"/>
        <w:rPr>
          <w:sz w:val="28"/>
          <w:szCs w:val="28"/>
        </w:rPr>
      </w:pPr>
      <w:r w:rsidRPr="00271109">
        <w:rPr>
          <w:sz w:val="28"/>
          <w:szCs w:val="28"/>
        </w:rPr>
        <w:t>«отношение количества объектов государственного контроля, в отношении которых принято решение об изменении категории риска на более низкую, к общему количеству объектов государственного контроля» (целевое значение – повышение на 0,2 процента, фактическое – 0,02).</w:t>
      </w:r>
    </w:p>
    <w:p w:rsidR="00271109" w:rsidRPr="00271109" w:rsidRDefault="00271109" w:rsidP="00A87F1D">
      <w:pPr>
        <w:widowControl w:val="0"/>
        <w:spacing w:line="360" w:lineRule="auto"/>
        <w:ind w:right="-2" w:firstLine="709"/>
        <w:jc w:val="both"/>
        <w:rPr>
          <w:sz w:val="28"/>
          <w:szCs w:val="28"/>
        </w:rPr>
      </w:pPr>
      <w:r w:rsidRPr="00271109">
        <w:rPr>
          <w:sz w:val="28"/>
          <w:szCs w:val="28"/>
        </w:rPr>
        <w:t xml:space="preserve">По информации Россельхознадзора, причиной недостижения указанных ключевых показателей является изменение критериев отнесения объектов федерального государственного контроля (надзора) в области семеноводства в отношении семян сельскохозяйственных растений к категориям риска в связи с вступлением в силу Федерального закона от 30 декабря 2021 г. № 454-ФЗ (в редакции от 4 августа 2023 г.) «О семеноводстве», постановления Правительства Российской Федерации от 3 октября 2022 г. № 1758 (в редакции от 25 декабря 2023 г.) «Об утверждении Положения о федеральном государственном контроле (надзоре) в области семеноводства в отношении семян сельскохозяйственных </w:t>
      </w:r>
      <w:r w:rsidRPr="00271109">
        <w:rPr>
          <w:sz w:val="28"/>
          <w:szCs w:val="28"/>
        </w:rPr>
        <w:lastRenderedPageBreak/>
        <w:t>растений и признании утратившими силу некоторых актов Правительства Российской Федерации».</w:t>
      </w:r>
    </w:p>
    <w:p w:rsidR="00271109" w:rsidRPr="00271109" w:rsidRDefault="00271109" w:rsidP="00A87F1D">
      <w:pPr>
        <w:widowControl w:val="0"/>
        <w:spacing w:line="360" w:lineRule="auto"/>
        <w:ind w:right="-2" w:firstLine="709"/>
        <w:jc w:val="both"/>
        <w:rPr>
          <w:sz w:val="28"/>
          <w:szCs w:val="28"/>
        </w:rPr>
      </w:pPr>
      <w:r w:rsidRPr="00271109">
        <w:rPr>
          <w:sz w:val="28"/>
          <w:szCs w:val="28"/>
        </w:rPr>
        <w:t>4.</w:t>
      </w:r>
      <w:r w:rsidRPr="00271109">
        <w:rPr>
          <w:sz w:val="28"/>
          <w:szCs w:val="28"/>
        </w:rPr>
        <w:tab/>
        <w:t>Ространснадзором не обеспечено достижение ключевого показателя федерального государственного контроля (надзора) в области транспортной безопасности «уровень устранения риска причинения вреда (ущерба) охраняемым законом ценностям», утвержденного постановлением Правительства Российской Федерации от 29 июня 2021 г. № 1051 «Об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(целевой показатель – не менее 5 процентов, фактическое – 0,1).</w:t>
      </w:r>
    </w:p>
    <w:p w:rsidR="00271109" w:rsidRPr="00271109" w:rsidRDefault="00271109" w:rsidP="00A87F1D">
      <w:pPr>
        <w:widowControl w:val="0"/>
        <w:spacing w:line="360" w:lineRule="auto"/>
        <w:ind w:right="-2" w:firstLine="709"/>
        <w:jc w:val="both"/>
        <w:rPr>
          <w:sz w:val="28"/>
          <w:szCs w:val="28"/>
        </w:rPr>
      </w:pPr>
      <w:r w:rsidRPr="00271109">
        <w:rPr>
          <w:sz w:val="28"/>
          <w:szCs w:val="28"/>
        </w:rPr>
        <w:t>Согласно пояснениям, представленным Ространснадзором по запросу Счетной палаты, показатель не достигнут в связи с влиянием на значения показателей актов совершения АНВ, а также непринятием контролируемыми лицами мер по исполнению законодательства. Кроме того, отмечается, что профилактические мероприятия дают минимальный эффект, а ограничения на проведение проверок приводит к длительному неисполнению контролируемыми лицами требований по транспортной безопасности.</w:t>
      </w:r>
    </w:p>
    <w:p w:rsidR="00271109" w:rsidRPr="00271109" w:rsidRDefault="00271109" w:rsidP="00A87F1D">
      <w:pPr>
        <w:widowControl w:val="0"/>
        <w:spacing w:line="360" w:lineRule="auto"/>
        <w:ind w:right="-2" w:firstLine="709"/>
        <w:jc w:val="both"/>
        <w:rPr>
          <w:sz w:val="28"/>
          <w:szCs w:val="28"/>
        </w:rPr>
      </w:pPr>
      <w:r w:rsidRPr="00271109">
        <w:rPr>
          <w:sz w:val="28"/>
          <w:szCs w:val="28"/>
        </w:rPr>
        <w:t>5.</w:t>
      </w:r>
      <w:r w:rsidRPr="00271109">
        <w:rPr>
          <w:sz w:val="28"/>
          <w:szCs w:val="28"/>
        </w:rPr>
        <w:tab/>
        <w:t xml:space="preserve">Россельхознадзором не обеспечено достижение ключевого показателя федерального государственного контроля (надзора) в области обеспечения качества и безопасности зерна и продуктов переработки зерна «отношение количества объектов контроля, в отношении которых принято решение об изменении категории риска на более низкую, к общему количеству объектов контроля», утвержденного постановлением Правительства Российской Федерации от 30 июня 2021 г. № 1079 «О федеральном государственном контроле (надзоре) в области обеспечения качества и безопасности зерна и продуктов переработки зерна» (целевое значение – увеличение на 0,3 процента, фактическое – 0,09 %). </w:t>
      </w:r>
    </w:p>
    <w:p w:rsidR="00271109" w:rsidRPr="00271109" w:rsidRDefault="00271109" w:rsidP="00A87F1D">
      <w:pPr>
        <w:widowControl w:val="0"/>
        <w:spacing w:line="360" w:lineRule="auto"/>
        <w:ind w:right="-2" w:firstLine="709"/>
        <w:jc w:val="both"/>
        <w:rPr>
          <w:sz w:val="28"/>
          <w:szCs w:val="28"/>
        </w:rPr>
      </w:pPr>
      <w:r w:rsidRPr="00271109">
        <w:rPr>
          <w:sz w:val="28"/>
          <w:szCs w:val="28"/>
        </w:rPr>
        <w:t xml:space="preserve">Причиной недостижения ключевого показателя является </w:t>
      </w:r>
      <w:r w:rsidR="000970DB">
        <w:rPr>
          <w:sz w:val="28"/>
          <w:szCs w:val="28"/>
        </w:rPr>
        <w:t xml:space="preserve">отсутствие </w:t>
      </w:r>
      <w:r w:rsidR="000970DB" w:rsidRPr="00271109">
        <w:rPr>
          <w:sz w:val="28"/>
          <w:szCs w:val="28"/>
        </w:rPr>
        <w:t xml:space="preserve">в </w:t>
      </w:r>
      <w:r w:rsidR="000970DB" w:rsidRPr="00271109">
        <w:rPr>
          <w:sz w:val="28"/>
          <w:szCs w:val="28"/>
        </w:rPr>
        <w:lastRenderedPageBreak/>
        <w:t xml:space="preserve">отчетном году достаточного количества оснований </w:t>
      </w:r>
      <w:r w:rsidRPr="00271109">
        <w:rPr>
          <w:sz w:val="28"/>
          <w:szCs w:val="28"/>
        </w:rPr>
        <w:t>у территориальных управлений Россельхознадзора для изменения категории риска объектов контроля.</w:t>
      </w:r>
    </w:p>
    <w:p w:rsidR="00271109" w:rsidRPr="00271109" w:rsidRDefault="00271109" w:rsidP="00A87F1D">
      <w:pPr>
        <w:widowControl w:val="0"/>
        <w:spacing w:line="360" w:lineRule="auto"/>
        <w:ind w:right="-2" w:firstLine="709"/>
        <w:jc w:val="both"/>
        <w:rPr>
          <w:sz w:val="28"/>
          <w:szCs w:val="28"/>
        </w:rPr>
      </w:pPr>
      <w:r w:rsidRPr="00271109">
        <w:rPr>
          <w:sz w:val="28"/>
          <w:szCs w:val="28"/>
        </w:rPr>
        <w:t>6.</w:t>
      </w:r>
      <w:r w:rsidRPr="00271109">
        <w:rPr>
          <w:sz w:val="28"/>
          <w:szCs w:val="28"/>
        </w:rPr>
        <w:tab/>
        <w:t xml:space="preserve">Россельхознадзором не обеспечено достижение ключевого показателя </w:t>
      </w:r>
      <w:r w:rsidR="00A951B7" w:rsidRPr="00A951B7">
        <w:rPr>
          <w:sz w:val="28"/>
          <w:szCs w:val="28"/>
        </w:rPr>
        <w:t xml:space="preserve"> </w:t>
      </w:r>
      <w:r w:rsidRPr="00271109">
        <w:rPr>
          <w:sz w:val="28"/>
          <w:szCs w:val="28"/>
        </w:rPr>
        <w:t>федерального государственного контроля (надзора) в области безопасного обращения с пестицидами и агрохимикатами</w:t>
      </w:r>
      <w:r w:rsidR="00A951B7" w:rsidRPr="00A951B7">
        <w:rPr>
          <w:sz w:val="28"/>
          <w:szCs w:val="28"/>
        </w:rPr>
        <w:t xml:space="preserve"> </w:t>
      </w:r>
      <w:r w:rsidR="00A951B7" w:rsidRPr="00271109">
        <w:rPr>
          <w:sz w:val="28"/>
          <w:szCs w:val="28"/>
        </w:rPr>
        <w:t>«отношение количества объектов государственного надзора, в отношении которых принято решение об изменении категории риска на более высокую, к общему количеству объектов государственного надзора» (целевое значение – ежегодное снижение на 0,3 процента)</w:t>
      </w:r>
      <w:r w:rsidRPr="00271109">
        <w:rPr>
          <w:sz w:val="28"/>
          <w:szCs w:val="28"/>
        </w:rPr>
        <w:t>, утвержденного постановлением Правительства Российской Федерации от 30 июня 2021 г. №</w:t>
      </w:r>
      <w:r w:rsidR="000970DB">
        <w:rPr>
          <w:sz w:val="28"/>
          <w:szCs w:val="28"/>
        </w:rPr>
        <w:t> </w:t>
      </w:r>
      <w:r w:rsidRPr="00271109">
        <w:rPr>
          <w:sz w:val="28"/>
          <w:szCs w:val="28"/>
        </w:rPr>
        <w:t xml:space="preserve">1067 «Об утверждении Положения о федеральном государственном контроле (надзоре) в области безопасного обращения с пестицидами и агрохимикатами». </w:t>
      </w:r>
    </w:p>
    <w:p w:rsidR="00271109" w:rsidRPr="00271109" w:rsidRDefault="00271109" w:rsidP="00A87F1D">
      <w:pPr>
        <w:widowControl w:val="0"/>
        <w:spacing w:line="360" w:lineRule="auto"/>
        <w:ind w:right="-2" w:firstLine="709"/>
        <w:jc w:val="both"/>
        <w:rPr>
          <w:sz w:val="28"/>
          <w:szCs w:val="28"/>
        </w:rPr>
      </w:pPr>
      <w:r w:rsidRPr="00271109">
        <w:rPr>
          <w:sz w:val="28"/>
          <w:szCs w:val="28"/>
        </w:rPr>
        <w:t>Причиной недостижения ключевого показателя является уточнение категорий риска объектов контроля с использованием ФГИС «Сатурн».</w:t>
      </w:r>
    </w:p>
    <w:p w:rsidR="00271109" w:rsidRPr="00271109" w:rsidRDefault="00271109" w:rsidP="00A87F1D">
      <w:pPr>
        <w:widowControl w:val="0"/>
        <w:spacing w:line="360" w:lineRule="auto"/>
        <w:ind w:right="-2" w:firstLine="709"/>
        <w:jc w:val="both"/>
        <w:rPr>
          <w:sz w:val="28"/>
          <w:szCs w:val="28"/>
        </w:rPr>
      </w:pPr>
      <w:r w:rsidRPr="00271109">
        <w:rPr>
          <w:sz w:val="28"/>
          <w:szCs w:val="28"/>
        </w:rPr>
        <w:t>7.</w:t>
      </w:r>
      <w:r w:rsidRPr="00271109">
        <w:rPr>
          <w:sz w:val="28"/>
          <w:szCs w:val="28"/>
        </w:rPr>
        <w:tab/>
        <w:t>Рострудом не обеспечено достижение ключевых показателей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утвержденных постановлением Правительства Российской Федерации от 21 июля 2021 г. №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rsidR="00271109" w:rsidRPr="00271109" w:rsidRDefault="00271109" w:rsidP="00A87F1D">
      <w:pPr>
        <w:widowControl w:val="0"/>
        <w:spacing w:line="360" w:lineRule="auto"/>
        <w:ind w:right="-2" w:firstLine="709"/>
        <w:jc w:val="both"/>
        <w:rPr>
          <w:sz w:val="28"/>
          <w:szCs w:val="28"/>
        </w:rPr>
      </w:pPr>
      <w:r w:rsidRPr="00271109">
        <w:rPr>
          <w:sz w:val="28"/>
          <w:szCs w:val="28"/>
        </w:rPr>
        <w:t>«количество человек, погибших при несчастных случаях на производстве, на 100 тыс. занятых за отчетный период» (целевое значение – 1,45, фактическое значение – 1,486);</w:t>
      </w:r>
    </w:p>
    <w:p w:rsidR="00271109" w:rsidRPr="00271109" w:rsidRDefault="00271109" w:rsidP="00A87F1D">
      <w:pPr>
        <w:widowControl w:val="0"/>
        <w:spacing w:line="360" w:lineRule="auto"/>
        <w:ind w:right="-2" w:firstLine="709"/>
        <w:jc w:val="both"/>
        <w:rPr>
          <w:sz w:val="28"/>
          <w:szCs w:val="28"/>
        </w:rPr>
      </w:pPr>
      <w:r w:rsidRPr="00271109">
        <w:rPr>
          <w:sz w:val="28"/>
          <w:szCs w:val="28"/>
        </w:rPr>
        <w:t>«количество человек, пострадавших на производстве с тяжелыми последствиями, на 100 тыс. занятых за отчетный период» (целевое значение</w:t>
      </w:r>
      <w:r w:rsidR="00F929AF">
        <w:rPr>
          <w:sz w:val="28"/>
          <w:szCs w:val="28"/>
        </w:rPr>
        <w:t> </w:t>
      </w:r>
      <w:r w:rsidRPr="00271109">
        <w:rPr>
          <w:sz w:val="28"/>
          <w:szCs w:val="28"/>
        </w:rPr>
        <w:t>–</w:t>
      </w:r>
      <w:r w:rsidR="00F929AF">
        <w:rPr>
          <w:sz w:val="28"/>
          <w:szCs w:val="28"/>
        </w:rPr>
        <w:t> </w:t>
      </w:r>
      <w:r w:rsidRPr="00271109">
        <w:rPr>
          <w:sz w:val="28"/>
          <w:szCs w:val="28"/>
        </w:rPr>
        <w:t>5,6, фактическое – 5,69).</w:t>
      </w:r>
    </w:p>
    <w:p w:rsidR="00271109" w:rsidRPr="00271109" w:rsidRDefault="00271109" w:rsidP="00A87F1D">
      <w:pPr>
        <w:widowControl w:val="0"/>
        <w:spacing w:line="360" w:lineRule="auto"/>
        <w:ind w:right="-2" w:firstLine="709"/>
        <w:jc w:val="center"/>
        <w:rPr>
          <w:bCs/>
          <w:sz w:val="28"/>
          <w:szCs w:val="28"/>
        </w:rPr>
      </w:pPr>
    </w:p>
    <w:sectPr w:rsidR="00271109" w:rsidRPr="00271109" w:rsidSect="00271109">
      <w:headerReference w:type="default" r:id="rId7"/>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E8" w:rsidRDefault="00D128E8" w:rsidP="006F616B">
      <w:r>
        <w:separator/>
      </w:r>
    </w:p>
  </w:endnote>
  <w:endnote w:type="continuationSeparator" w:id="0">
    <w:p w:rsidR="00D128E8" w:rsidRDefault="00D128E8" w:rsidP="006F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E8" w:rsidRDefault="00D128E8" w:rsidP="006F616B">
      <w:r>
        <w:separator/>
      </w:r>
    </w:p>
  </w:footnote>
  <w:footnote w:type="continuationSeparator" w:id="0">
    <w:p w:rsidR="00D128E8" w:rsidRDefault="00D128E8" w:rsidP="006F61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768103"/>
      <w:docPartObj>
        <w:docPartGallery w:val="Page Numbers (Top of Page)"/>
        <w:docPartUnique/>
      </w:docPartObj>
    </w:sdtPr>
    <w:sdtEndPr>
      <w:rPr>
        <w:sz w:val="28"/>
        <w:szCs w:val="28"/>
      </w:rPr>
    </w:sdtEndPr>
    <w:sdtContent>
      <w:p w:rsidR="006F616B" w:rsidRPr="00271109" w:rsidRDefault="006F616B">
        <w:pPr>
          <w:pStyle w:val="a3"/>
          <w:jc w:val="center"/>
          <w:rPr>
            <w:sz w:val="28"/>
            <w:szCs w:val="28"/>
          </w:rPr>
        </w:pPr>
        <w:r w:rsidRPr="00271109">
          <w:rPr>
            <w:sz w:val="28"/>
            <w:szCs w:val="28"/>
          </w:rPr>
          <w:fldChar w:fldCharType="begin"/>
        </w:r>
        <w:r w:rsidRPr="00271109">
          <w:rPr>
            <w:sz w:val="28"/>
            <w:szCs w:val="28"/>
          </w:rPr>
          <w:instrText>PAGE   \* MERGEFORMAT</w:instrText>
        </w:r>
        <w:r w:rsidRPr="00271109">
          <w:rPr>
            <w:sz w:val="28"/>
            <w:szCs w:val="28"/>
          </w:rPr>
          <w:fldChar w:fldCharType="separate"/>
        </w:r>
        <w:r w:rsidR="00D41AE0">
          <w:rPr>
            <w:noProof/>
            <w:sz w:val="28"/>
            <w:szCs w:val="28"/>
          </w:rPr>
          <w:t>8</w:t>
        </w:r>
        <w:r w:rsidRPr="00271109">
          <w:rPr>
            <w:sz w:val="28"/>
            <w:szCs w:val="28"/>
          </w:rPr>
          <w:fldChar w:fldCharType="end"/>
        </w:r>
      </w:p>
    </w:sdtContent>
  </w:sdt>
  <w:p w:rsidR="006F616B" w:rsidRDefault="006F61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060ED"/>
    <w:multiLevelType w:val="multilevel"/>
    <w:tmpl w:val="9F90FDE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7BE41A9A"/>
    <w:multiLevelType w:val="hybridMultilevel"/>
    <w:tmpl w:val="7A84B0C6"/>
    <w:lvl w:ilvl="0" w:tplc="16263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07"/>
    <w:rsid w:val="00036BFC"/>
    <w:rsid w:val="00091D40"/>
    <w:rsid w:val="000970DB"/>
    <w:rsid w:val="000F7B3C"/>
    <w:rsid w:val="001A680F"/>
    <w:rsid w:val="00271109"/>
    <w:rsid w:val="00293040"/>
    <w:rsid w:val="002A0AFD"/>
    <w:rsid w:val="002B6688"/>
    <w:rsid w:val="003457E8"/>
    <w:rsid w:val="00353577"/>
    <w:rsid w:val="003946B1"/>
    <w:rsid w:val="003C47A5"/>
    <w:rsid w:val="005F3415"/>
    <w:rsid w:val="00641807"/>
    <w:rsid w:val="006F616B"/>
    <w:rsid w:val="00716C23"/>
    <w:rsid w:val="0077616E"/>
    <w:rsid w:val="00871332"/>
    <w:rsid w:val="009A2AB8"/>
    <w:rsid w:val="00A87F1D"/>
    <w:rsid w:val="00A951B7"/>
    <w:rsid w:val="00B3558F"/>
    <w:rsid w:val="00B65AC9"/>
    <w:rsid w:val="00BF57C0"/>
    <w:rsid w:val="00C068F2"/>
    <w:rsid w:val="00C37BAE"/>
    <w:rsid w:val="00CA4B5A"/>
    <w:rsid w:val="00CB78BE"/>
    <w:rsid w:val="00D128E8"/>
    <w:rsid w:val="00D22B07"/>
    <w:rsid w:val="00D41AE0"/>
    <w:rsid w:val="00D72961"/>
    <w:rsid w:val="00DE6EDD"/>
    <w:rsid w:val="00E119F2"/>
    <w:rsid w:val="00E4085B"/>
    <w:rsid w:val="00E70CE3"/>
    <w:rsid w:val="00F929AF"/>
    <w:rsid w:val="00FC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AE89"/>
  <w15:docId w15:val="{DBCA5763-3D8D-4B1C-9276-9B17B952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16B"/>
    <w:pPr>
      <w:tabs>
        <w:tab w:val="center" w:pos="4677"/>
        <w:tab w:val="right" w:pos="9355"/>
      </w:tabs>
    </w:pPr>
  </w:style>
  <w:style w:type="character" w:customStyle="1" w:styleId="a4">
    <w:name w:val="Верхний колонтитул Знак"/>
    <w:basedOn w:val="a0"/>
    <w:link w:val="a3"/>
    <w:uiPriority w:val="99"/>
    <w:rsid w:val="006F616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F616B"/>
    <w:pPr>
      <w:tabs>
        <w:tab w:val="center" w:pos="4677"/>
        <w:tab w:val="right" w:pos="9355"/>
      </w:tabs>
    </w:pPr>
  </w:style>
  <w:style w:type="character" w:customStyle="1" w:styleId="a6">
    <w:name w:val="Нижний колонтитул Знак"/>
    <w:basedOn w:val="a0"/>
    <w:link w:val="a5"/>
    <w:uiPriority w:val="99"/>
    <w:rsid w:val="006F616B"/>
    <w:rPr>
      <w:rFonts w:ascii="Times New Roman" w:eastAsia="Times New Roman" w:hAnsi="Times New Roman" w:cs="Times New Roman"/>
      <w:sz w:val="24"/>
      <w:szCs w:val="24"/>
      <w:lang w:eastAsia="ru-RU"/>
    </w:rPr>
  </w:style>
  <w:style w:type="paragraph" w:styleId="a7">
    <w:name w:val="List Paragraph"/>
    <w:basedOn w:val="a"/>
    <w:uiPriority w:val="34"/>
    <w:qFormat/>
    <w:rsid w:val="00BF57C0"/>
    <w:pPr>
      <w:ind w:left="720"/>
      <w:contextualSpacing/>
    </w:pPr>
  </w:style>
  <w:style w:type="table" w:styleId="a8">
    <w:name w:val="Table Grid"/>
    <w:basedOn w:val="a1"/>
    <w:uiPriority w:val="39"/>
    <w:rsid w:val="0035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aliases w:val="FZ,16 Point,Superscript 6 Point,Сноска Сергея,fr,Appel note de bas de page,Текст сноски Знак Знак1,Знак Знак,список Знак,Текст сновски,Ciae niinee I,Знак сноски Н,Знак сноски-FN,Знак сноски 1,Referencia nota al pie,Ciae niinee-FN"/>
    <w:basedOn w:val="a0"/>
    <w:uiPriority w:val="99"/>
    <w:unhideWhenUsed/>
    <w:qFormat/>
    <w:rsid w:val="005F3415"/>
    <w:rPr>
      <w:vertAlign w:val="superscript"/>
    </w:rPr>
  </w:style>
  <w:style w:type="paragraph" w:styleId="aa">
    <w:name w:val="footnote text"/>
    <w:aliases w:val="footnote text Знак,single space,footnote text Знак1 Знак,footnote text Знак1 Знак Знак Знак Знак Знак,footnote text Знак1 Знак Знак Знак Знак Знак Знак З,footnote text Знак1 Знак  Знак Знак Знак Знак Знак Знак Знак Знак,Текст сноски4,Знак1"/>
    <w:basedOn w:val="a"/>
    <w:link w:val="1"/>
    <w:uiPriority w:val="99"/>
    <w:unhideWhenUsed/>
    <w:qFormat/>
    <w:rsid w:val="005F3415"/>
    <w:rPr>
      <w:sz w:val="20"/>
      <w:szCs w:val="20"/>
    </w:rPr>
  </w:style>
  <w:style w:type="character" w:customStyle="1" w:styleId="ab">
    <w:name w:val="Текст сноски Знак"/>
    <w:basedOn w:val="a0"/>
    <w:uiPriority w:val="99"/>
    <w:semiHidden/>
    <w:rsid w:val="005F3415"/>
    <w:rPr>
      <w:rFonts w:ascii="Times New Roman" w:eastAsia="Times New Roman" w:hAnsi="Times New Roman" w:cs="Times New Roman"/>
      <w:sz w:val="20"/>
      <w:szCs w:val="20"/>
      <w:lang w:eastAsia="ru-RU"/>
    </w:rPr>
  </w:style>
  <w:style w:type="character" w:customStyle="1" w:styleId="1">
    <w:name w:val="Текст сноски Знак1"/>
    <w:aliases w:val="footnote text Знак Знак,single space Знак,footnote text Знак1 Знак Знак,footnote text Знак1 Знак Знак Знак Знак Знак Знак,footnote text Знак1 Знак Знак Знак Знак Знак Знак З Знак,Текст сноски4 Знак,Знак1 Знак"/>
    <w:basedOn w:val="a0"/>
    <w:link w:val="aa"/>
    <w:uiPriority w:val="99"/>
    <w:rsid w:val="005F3415"/>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3C47A5"/>
    <w:rPr>
      <w:sz w:val="20"/>
      <w:szCs w:val="20"/>
    </w:rPr>
  </w:style>
  <w:style w:type="character" w:customStyle="1" w:styleId="ad">
    <w:name w:val="Текст примечания Знак"/>
    <w:basedOn w:val="a0"/>
    <w:link w:val="ac"/>
    <w:uiPriority w:val="99"/>
    <w:semiHidden/>
    <w:rsid w:val="003C47A5"/>
    <w:rPr>
      <w:rFonts w:ascii="Times New Roman" w:eastAsia="Times New Roman" w:hAnsi="Times New Roman" w:cs="Times New Roman"/>
      <w:sz w:val="20"/>
      <w:szCs w:val="20"/>
      <w:lang w:eastAsia="ru-RU"/>
    </w:rPr>
  </w:style>
  <w:style w:type="table" w:customStyle="1" w:styleId="10">
    <w:name w:val="Сетка таблицы1"/>
    <w:basedOn w:val="a1"/>
    <w:next w:val="a8"/>
    <w:uiPriority w:val="39"/>
    <w:rsid w:val="003C47A5"/>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C47A5"/>
    <w:rPr>
      <w:sz w:val="16"/>
      <w:szCs w:val="16"/>
    </w:rPr>
  </w:style>
  <w:style w:type="character" w:customStyle="1" w:styleId="11">
    <w:name w:val="Гиперссылка1"/>
    <w:basedOn w:val="a0"/>
    <w:uiPriority w:val="99"/>
    <w:unhideWhenUsed/>
    <w:rsid w:val="003C47A5"/>
    <w:rPr>
      <w:color w:val="0000FF"/>
      <w:u w:val="single"/>
    </w:rPr>
  </w:style>
  <w:style w:type="character" w:styleId="af">
    <w:name w:val="Hyperlink"/>
    <w:basedOn w:val="a0"/>
    <w:uiPriority w:val="99"/>
    <w:semiHidden/>
    <w:unhideWhenUsed/>
    <w:rsid w:val="003C47A5"/>
    <w:rPr>
      <w:color w:val="0563C1" w:themeColor="hyperlink"/>
      <w:u w:val="single"/>
    </w:rPr>
  </w:style>
  <w:style w:type="paragraph" w:styleId="af0">
    <w:name w:val="Balloon Text"/>
    <w:basedOn w:val="a"/>
    <w:link w:val="af1"/>
    <w:uiPriority w:val="99"/>
    <w:semiHidden/>
    <w:unhideWhenUsed/>
    <w:rsid w:val="003C47A5"/>
    <w:rPr>
      <w:rFonts w:ascii="Tahoma" w:hAnsi="Tahoma" w:cs="Tahoma"/>
      <w:sz w:val="16"/>
      <w:szCs w:val="16"/>
    </w:rPr>
  </w:style>
  <w:style w:type="character" w:customStyle="1" w:styleId="af1">
    <w:name w:val="Текст выноски Знак"/>
    <w:basedOn w:val="a0"/>
    <w:link w:val="af0"/>
    <w:uiPriority w:val="99"/>
    <w:semiHidden/>
    <w:rsid w:val="003C47A5"/>
    <w:rPr>
      <w:rFonts w:ascii="Tahoma" w:eastAsia="Times New Roman" w:hAnsi="Tahoma" w:cs="Tahoma"/>
      <w:sz w:val="16"/>
      <w:szCs w:val="16"/>
      <w:lang w:eastAsia="ru-RU"/>
    </w:rPr>
  </w:style>
  <w:style w:type="paragraph" w:customStyle="1" w:styleId="ConsPlusNormal">
    <w:name w:val="ConsPlusNormal"/>
    <w:rsid w:val="00E70CE3"/>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2294</Words>
  <Characters>13076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Полушкин Артём Сергеевич</dc:creator>
  <cp:lastModifiedBy>Ведерникова Наталья Викторовна</cp:lastModifiedBy>
  <cp:revision>5</cp:revision>
  <dcterms:created xsi:type="dcterms:W3CDTF">2024-09-10T10:14:00Z</dcterms:created>
  <dcterms:modified xsi:type="dcterms:W3CDTF">2024-10-08T11:09:00Z</dcterms:modified>
</cp:coreProperties>
</file>