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DEE" w:rsidRDefault="00150DEE" w:rsidP="00150DE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r w:rsidR="000D1FEE">
        <w:rPr>
          <w:rFonts w:ascii="Times New Roman" w:hAnsi="Times New Roman" w:cs="Times New Roman"/>
          <w:sz w:val="28"/>
          <w:szCs w:val="28"/>
        </w:rPr>
        <w:t>3</w:t>
      </w:r>
    </w:p>
    <w:p w:rsidR="00D7516C" w:rsidRPr="000D1FEE" w:rsidRDefault="002735C4" w:rsidP="00E25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D1FEE">
        <w:rPr>
          <w:rFonts w:ascii="Times New Roman" w:hAnsi="Times New Roman" w:cs="Times New Roman"/>
          <w:b/>
          <w:sz w:val="28"/>
          <w:szCs w:val="28"/>
        </w:rPr>
        <w:t>Критерии отбора территорий для принятия решения о создании преференциального режима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2812"/>
        <w:gridCol w:w="11212"/>
      </w:tblGrid>
      <w:tr w:rsidR="005F45C2" w:rsidTr="005D309E">
        <w:tc>
          <w:tcPr>
            <w:tcW w:w="536" w:type="dxa"/>
          </w:tcPr>
          <w:bookmarkEnd w:id="0"/>
          <w:p w:rsidR="005F45C2" w:rsidRDefault="005F45C2" w:rsidP="005F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п/п.</w:t>
            </w:r>
          </w:p>
        </w:tc>
        <w:tc>
          <w:tcPr>
            <w:tcW w:w="2833" w:type="dxa"/>
          </w:tcPr>
          <w:p w:rsidR="005F45C2" w:rsidRDefault="005F45C2" w:rsidP="005F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преференциального режима</w:t>
            </w:r>
          </w:p>
        </w:tc>
        <w:tc>
          <w:tcPr>
            <w:tcW w:w="11417" w:type="dxa"/>
          </w:tcPr>
          <w:p w:rsidR="005F45C2" w:rsidRDefault="005F45C2" w:rsidP="005F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критериях отбора территорий для принятия решения о создании преференциального режима</w:t>
            </w:r>
          </w:p>
        </w:tc>
      </w:tr>
      <w:tr w:rsidR="005F45C2" w:rsidTr="005D309E">
        <w:tc>
          <w:tcPr>
            <w:tcW w:w="536" w:type="dxa"/>
          </w:tcPr>
          <w:p w:rsidR="005F45C2" w:rsidRDefault="005F45C2" w:rsidP="005F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3" w:type="dxa"/>
          </w:tcPr>
          <w:p w:rsidR="005F45C2" w:rsidRDefault="005D309E" w:rsidP="005D3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ОЭЗ</w:t>
            </w:r>
          </w:p>
        </w:tc>
        <w:tc>
          <w:tcPr>
            <w:tcW w:w="11417" w:type="dxa"/>
          </w:tcPr>
          <w:p w:rsidR="005D309E" w:rsidRPr="005D309E" w:rsidRDefault="005D309E" w:rsidP="005D309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D30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Анализ правоприменительной практики создания ОЭЗ показал следующее. Согласно части 1.2 статьи 6 Федерального закона № 116-ФЗ решение о создании ОЭЗ принимается Правительством Российской Федерации исходя из критериев создания ОЭЗ, утвержденных Правительством Российской Федерации. Пунктом 2 постановления Правительства Российской Федерации от 26 апреля 2012 г. № 398 «Об утверждении критериев создания особой экономической зоны» предусмотрено, что указанные решения принимаются исходя совокупности утвержденных критериев, то есть решение о создании ОЭЗ может быть принято в случае выполнения всех установленных критериев, в том числе таких критериев, как:</w:t>
            </w:r>
          </w:p>
          <w:p w:rsidR="005D309E" w:rsidRPr="005D309E" w:rsidRDefault="005D309E" w:rsidP="005D309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D30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наличие естественных экономико-географических конкурентных преимуществ для реализации инвестиционных проектов, соответствующих специализации предполагаемой к созданию ОЭЗ;</w:t>
            </w:r>
          </w:p>
          <w:p w:rsidR="005D309E" w:rsidRPr="005D309E" w:rsidRDefault="005D309E" w:rsidP="005D309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D30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соответствие целей создания ОЭЗ документам стратегического планирования;</w:t>
            </w:r>
          </w:p>
          <w:p w:rsidR="005D309E" w:rsidRPr="005D309E" w:rsidRDefault="005D309E" w:rsidP="005D309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D30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прогнозная положительная динамика (включая обоснования) роста объемов дополнительных доходов бюджетов бюджетной системы Российской Федерации;</w:t>
            </w:r>
          </w:p>
          <w:p w:rsidR="005D309E" w:rsidRPr="005D309E" w:rsidRDefault="005D309E" w:rsidP="005D309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D30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наличие инвестиционного (ых) проекта (ов) и потенциального (ых) инвестора (ов), соответствующим установленным требованиям;</w:t>
            </w:r>
          </w:p>
          <w:p w:rsidR="005D309E" w:rsidRPr="005D309E" w:rsidRDefault="005D309E" w:rsidP="005D309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D30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значение инвестиционного мультипликатора должно составлять не менее 5;</w:t>
            </w:r>
          </w:p>
          <w:p w:rsidR="005D309E" w:rsidRPr="005D309E" w:rsidRDefault="005D309E" w:rsidP="005D309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D30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обоснованность плановый показателей развития инженерной, транспортной, инновационной, социальной и иной инфраструктуры;</w:t>
            </w:r>
          </w:p>
          <w:p w:rsidR="005D309E" w:rsidRPr="005D309E" w:rsidRDefault="005D309E" w:rsidP="005D309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D30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значение и обоснованность прогнозных показателей эффективности функционирования ОЭЗ;</w:t>
            </w:r>
          </w:p>
          <w:p w:rsidR="005D309E" w:rsidRPr="005D309E" w:rsidRDefault="005D309E" w:rsidP="005D309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D30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наличие оценок рентабельности, доходности и срока окупаемости;</w:t>
            </w:r>
          </w:p>
          <w:p w:rsidR="005D309E" w:rsidRPr="005D309E" w:rsidRDefault="005D309E" w:rsidP="005D309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D30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наличие не менее одного хозяйствующего субъекта, намеревающегося осуществлять функции управляющей компании;</w:t>
            </w:r>
          </w:p>
          <w:p w:rsidR="005D309E" w:rsidRPr="005D309E" w:rsidRDefault="005D309E" w:rsidP="005D309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D30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возможность обеспечения резидентов необходимыми ресурсами;</w:t>
            </w:r>
          </w:p>
          <w:p w:rsidR="005D309E" w:rsidRPr="005D309E" w:rsidRDefault="005D309E" w:rsidP="005D309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D30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наличие успешного опыта в субъекте Российской Федерации или муниципальном образовании, на территории которых предполагается создание ОЭЗ, крупных инвестиционных проектов с участием российских и иностранных инвесторов;</w:t>
            </w:r>
          </w:p>
          <w:p w:rsidR="005D309E" w:rsidRPr="005D309E" w:rsidRDefault="005D309E" w:rsidP="005D309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D30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наличие на территории  ОЭЗ и прилегающей территории объектов внутренней и внешней инженерной, транспортной, инновационной, социальной и иной инфраструктуры;</w:t>
            </w:r>
          </w:p>
          <w:p w:rsidR="005D309E" w:rsidRPr="005D309E" w:rsidRDefault="005D309E" w:rsidP="005D309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D30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наличие проекта планировки территории ОЭЗ;</w:t>
            </w:r>
          </w:p>
          <w:p w:rsidR="005D309E" w:rsidRPr="005D309E" w:rsidRDefault="005D309E" w:rsidP="005D309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D30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наличие анализа экологических рисков проекта создания ОЭЗ и (или) стратегии управления экологической эффективностью.</w:t>
            </w:r>
          </w:p>
          <w:p w:rsidR="005F45C2" w:rsidRDefault="005F45C2" w:rsidP="00345B56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5C2" w:rsidTr="005D309E">
        <w:tc>
          <w:tcPr>
            <w:tcW w:w="536" w:type="dxa"/>
          </w:tcPr>
          <w:p w:rsidR="005F45C2" w:rsidRDefault="005F45C2" w:rsidP="005F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833" w:type="dxa"/>
          </w:tcPr>
          <w:p w:rsidR="005F45C2" w:rsidRDefault="005D309E" w:rsidP="005D3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ТОСЭР</w:t>
            </w:r>
          </w:p>
        </w:tc>
        <w:tc>
          <w:tcPr>
            <w:tcW w:w="11417" w:type="dxa"/>
          </w:tcPr>
          <w:p w:rsidR="005D309E" w:rsidRPr="005D309E" w:rsidRDefault="005D309E" w:rsidP="005D309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D30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Исследование правоприменительной практики с позиции порядка отбора территорий при создании ТОР и принятии соответствующих решений Правительством Российской Федерации показало следующее.</w:t>
            </w:r>
          </w:p>
          <w:p w:rsidR="005D309E" w:rsidRPr="005D309E" w:rsidRDefault="005D309E" w:rsidP="005D309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D30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Федеральным законом № 473-ФЗ не предусмотрены положения об установлении критериев отбора территорий при создании ТОР. Вместе с тем статьей 3 указанного федерального закона предусмотрены положения относительно информации, которая должна прилагаться к предложению о создании ТОР и содержаться в подготовленном решении Правительства Российской Федерации в случае  принятия решения о создании ТОР, в том числе на территории закрытых административно-территориальных образований и монопрофильных муниципальных образований (моногородов) на территории Дальневосточного федерального округа. </w:t>
            </w:r>
          </w:p>
          <w:p w:rsidR="005D309E" w:rsidRPr="005D309E" w:rsidRDefault="005D309E" w:rsidP="005D309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D30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Вопросы правового регулирования создания ТОР в монопрофильных муниципальных образованиях, не отнесенных к ранее перечисленным категориям ТОР, осуществляется в соответствии со статьей 34 Федерального закона № 473-ФЗ, регламентирующей требование о принятии решения о создании с использованием установленных Правительством Российской Федерации критериев отбор территорий при создании указанных ТОР. Предусмотренные постановлением Правительства Российской Федерации от 22 июня 2015 г. № 614 «Об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(моногородов)» критериями создания ТОР на территориях монопрофильных муниципальных образований Российской Федерации (моногородов), в которых имеются риски ухудшения социально-экономического положения, и на территориях моногородов со стабильной социально-экономической ситуацией, к числу которых отнесены:</w:t>
            </w:r>
          </w:p>
          <w:p w:rsidR="005D309E" w:rsidRPr="005D309E" w:rsidRDefault="005D309E" w:rsidP="005D309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D30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наличие потенциальных резидентов ТОР, подтвердивших готовность реализовать инвестиционный проект;</w:t>
            </w:r>
          </w:p>
          <w:p w:rsidR="005D309E" w:rsidRPr="005D309E" w:rsidRDefault="005D309E" w:rsidP="005D309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D30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наличие возможности обеспечить резидентов земельными участками и иным имуществом;</w:t>
            </w:r>
          </w:p>
          <w:p w:rsidR="005D309E" w:rsidRPr="005D309E" w:rsidRDefault="005D309E" w:rsidP="005D309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D30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наличие возможности обеспечить резидентов необходимыми ресурсами, в том числе кадровыми;</w:t>
            </w:r>
          </w:p>
          <w:p w:rsidR="005D309E" w:rsidRPr="005D309E" w:rsidRDefault="005D309E" w:rsidP="005D309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D30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наличие положительного сальдо объема дополнительных доходов, поступающих в федеральный бюджет, бюджет субъекта Российской Федерации и местный бюджет по отношении к выпадающим доходам соответствующих бюджетов за период функционирования ТОР;</w:t>
            </w:r>
          </w:p>
          <w:p w:rsidR="005D309E" w:rsidRPr="005D309E" w:rsidRDefault="005D309E" w:rsidP="005D309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D30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наличие сведений о создании ТОР в стратегии социально-экономического развития субъекта Российской Федерации и (или) иных документах стратегического планирования;</w:t>
            </w:r>
          </w:p>
          <w:p w:rsidR="005D309E" w:rsidRPr="005D309E" w:rsidRDefault="005D309E" w:rsidP="005D309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D30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наличие успешного опыта реализации в субъекте Российской Федерации или муниципальном образовании, на территориях которых предполагается создание ТОР, крупных инвестиционных проектов;</w:t>
            </w:r>
          </w:p>
          <w:p w:rsidR="005D309E" w:rsidRPr="005D309E" w:rsidRDefault="005D309E" w:rsidP="005D309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D30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наличие в течение 3 лет среднесписочной численности работников градообразующей организации  моногорода, достигшей 15 и более процентов среднесписочной численности работников всех организаций, или наличие уровня безработицы, достигшего 1 и более процента (применяется к моногородам со стабильной социально-экономической ситуацией).</w:t>
            </w:r>
          </w:p>
          <w:p w:rsidR="005D309E" w:rsidRPr="005D309E" w:rsidRDefault="005D309E" w:rsidP="005D309E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D30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 учетом изложенного, правовым регулированием предусмотрено применение критериев отбор территорий при создании ТОР только в случаев ТОР на территории монопрофильных муниципальных образований. В случае с ТОР на территории закрытых административно-территориальных образований и на территории Дальневосточного федерального округа Федеральным законом № 473-ФЗ не предусмотрены положения относительно применения критериев отбора территорий.</w:t>
            </w:r>
          </w:p>
          <w:p w:rsidR="005F45C2" w:rsidRDefault="005F45C2" w:rsidP="00345B56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5C2" w:rsidTr="005D309E">
        <w:tc>
          <w:tcPr>
            <w:tcW w:w="536" w:type="dxa"/>
          </w:tcPr>
          <w:p w:rsidR="005F45C2" w:rsidRDefault="005F45C2" w:rsidP="005F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833" w:type="dxa"/>
          </w:tcPr>
          <w:p w:rsidR="005F45C2" w:rsidRDefault="005D309E" w:rsidP="005D3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ОЭЗ в Калининградской области</w:t>
            </w:r>
          </w:p>
        </w:tc>
        <w:tc>
          <w:tcPr>
            <w:tcW w:w="11417" w:type="dxa"/>
          </w:tcPr>
          <w:p w:rsidR="005F45C2" w:rsidRDefault="005D309E" w:rsidP="005D3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Законодательством не предусмотрено</w:t>
            </w:r>
          </w:p>
        </w:tc>
      </w:tr>
      <w:tr w:rsidR="005F45C2" w:rsidTr="005D309E">
        <w:tc>
          <w:tcPr>
            <w:tcW w:w="536" w:type="dxa"/>
          </w:tcPr>
          <w:p w:rsidR="005F45C2" w:rsidRDefault="005F45C2" w:rsidP="005F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33" w:type="dxa"/>
          </w:tcPr>
          <w:p w:rsidR="005F45C2" w:rsidRDefault="005D309E" w:rsidP="001B3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СЭЗ в Крым</w:t>
            </w:r>
            <w:r w:rsidR="001B338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Севастополе</w:t>
            </w:r>
          </w:p>
        </w:tc>
        <w:tc>
          <w:tcPr>
            <w:tcW w:w="11417" w:type="dxa"/>
          </w:tcPr>
          <w:p w:rsidR="005F45C2" w:rsidRDefault="005D309E" w:rsidP="005D3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Законодательством  не предусмотрено</w:t>
            </w:r>
          </w:p>
        </w:tc>
      </w:tr>
      <w:tr w:rsidR="005F45C2" w:rsidTr="005D309E">
        <w:tc>
          <w:tcPr>
            <w:tcW w:w="536" w:type="dxa"/>
          </w:tcPr>
          <w:p w:rsidR="005F45C2" w:rsidRDefault="005F45C2" w:rsidP="005F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33" w:type="dxa"/>
          </w:tcPr>
          <w:p w:rsidR="005F45C2" w:rsidRDefault="005D309E" w:rsidP="005D3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ОЭЗ в Магаданской области</w:t>
            </w:r>
          </w:p>
        </w:tc>
        <w:tc>
          <w:tcPr>
            <w:tcW w:w="11417" w:type="dxa"/>
          </w:tcPr>
          <w:p w:rsidR="005F45C2" w:rsidRDefault="005D309E" w:rsidP="005D3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Законодательством не предусмотрено</w:t>
            </w:r>
          </w:p>
        </w:tc>
      </w:tr>
      <w:tr w:rsidR="005F45C2" w:rsidTr="005D309E">
        <w:tc>
          <w:tcPr>
            <w:tcW w:w="536" w:type="dxa"/>
          </w:tcPr>
          <w:p w:rsidR="005F45C2" w:rsidRDefault="005F45C2" w:rsidP="005F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33" w:type="dxa"/>
          </w:tcPr>
          <w:p w:rsidR="005F45C2" w:rsidRDefault="005D309E" w:rsidP="005D3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СПВ</w:t>
            </w:r>
          </w:p>
        </w:tc>
        <w:tc>
          <w:tcPr>
            <w:tcW w:w="11417" w:type="dxa"/>
          </w:tcPr>
          <w:p w:rsidR="005F45C2" w:rsidRDefault="005D309E" w:rsidP="005D3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Законодательством не предусмотрено</w:t>
            </w:r>
          </w:p>
        </w:tc>
      </w:tr>
      <w:tr w:rsidR="005F45C2" w:rsidTr="005D309E">
        <w:tc>
          <w:tcPr>
            <w:tcW w:w="536" w:type="dxa"/>
          </w:tcPr>
          <w:p w:rsidR="005F45C2" w:rsidRDefault="005F45C2" w:rsidP="005F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33" w:type="dxa"/>
          </w:tcPr>
          <w:p w:rsidR="005F45C2" w:rsidRDefault="001B3387" w:rsidP="005D3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АЗРФ</w:t>
            </w:r>
          </w:p>
        </w:tc>
        <w:tc>
          <w:tcPr>
            <w:tcW w:w="11417" w:type="dxa"/>
          </w:tcPr>
          <w:p w:rsidR="005F45C2" w:rsidRDefault="005D309E" w:rsidP="005D3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Законодательством не предусмотрено</w:t>
            </w:r>
          </w:p>
        </w:tc>
      </w:tr>
    </w:tbl>
    <w:p w:rsidR="001D571D" w:rsidRPr="001D571D" w:rsidRDefault="001D571D">
      <w:pPr>
        <w:rPr>
          <w:rFonts w:ascii="Times New Roman" w:hAnsi="Times New Roman" w:cs="Times New Roman"/>
          <w:sz w:val="20"/>
          <w:szCs w:val="20"/>
        </w:rPr>
      </w:pPr>
    </w:p>
    <w:sectPr w:rsidR="001D571D" w:rsidRPr="001D571D" w:rsidSect="00AD061F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ECE" w:rsidRDefault="00805ECE" w:rsidP="00AD061F">
      <w:pPr>
        <w:spacing w:after="0" w:line="240" w:lineRule="auto"/>
      </w:pPr>
      <w:r>
        <w:separator/>
      </w:r>
    </w:p>
  </w:endnote>
  <w:endnote w:type="continuationSeparator" w:id="0">
    <w:p w:rsidR="00805ECE" w:rsidRDefault="00805ECE" w:rsidP="00AD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ECE" w:rsidRDefault="00805ECE" w:rsidP="00AD061F">
      <w:pPr>
        <w:spacing w:after="0" w:line="240" w:lineRule="auto"/>
      </w:pPr>
      <w:r>
        <w:separator/>
      </w:r>
    </w:p>
  </w:footnote>
  <w:footnote w:type="continuationSeparator" w:id="0">
    <w:p w:rsidR="00805ECE" w:rsidRDefault="00805ECE" w:rsidP="00AD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7758395"/>
      <w:docPartObj>
        <w:docPartGallery w:val="Page Numbers (Top of Page)"/>
        <w:docPartUnique/>
      </w:docPartObj>
    </w:sdtPr>
    <w:sdtEndPr/>
    <w:sdtContent>
      <w:p w:rsidR="00AD061F" w:rsidRDefault="00AD06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FEE">
          <w:rPr>
            <w:noProof/>
          </w:rPr>
          <w:t>2</w:t>
        </w:r>
        <w:r>
          <w:fldChar w:fldCharType="end"/>
        </w:r>
      </w:p>
    </w:sdtContent>
  </w:sdt>
  <w:p w:rsidR="00AD061F" w:rsidRDefault="00AD06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1D"/>
    <w:rsid w:val="000D1FEE"/>
    <w:rsid w:val="00150DEE"/>
    <w:rsid w:val="001B3387"/>
    <w:rsid w:val="001D571D"/>
    <w:rsid w:val="002210BA"/>
    <w:rsid w:val="00266AE4"/>
    <w:rsid w:val="002735C4"/>
    <w:rsid w:val="00345B56"/>
    <w:rsid w:val="003E0D22"/>
    <w:rsid w:val="00484B38"/>
    <w:rsid w:val="00522582"/>
    <w:rsid w:val="005A395C"/>
    <w:rsid w:val="005D309E"/>
    <w:rsid w:val="005F45C2"/>
    <w:rsid w:val="00760D7D"/>
    <w:rsid w:val="00805ECE"/>
    <w:rsid w:val="00943297"/>
    <w:rsid w:val="00AD061F"/>
    <w:rsid w:val="00B50DF6"/>
    <w:rsid w:val="00C60B13"/>
    <w:rsid w:val="00C80382"/>
    <w:rsid w:val="00D72E85"/>
    <w:rsid w:val="00D7516C"/>
    <w:rsid w:val="00E251F8"/>
    <w:rsid w:val="00E3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D2F5"/>
  <w15:docId w15:val="{081A78B7-8AD3-47E3-969A-159379B9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061F"/>
  </w:style>
  <w:style w:type="paragraph" w:styleId="a6">
    <w:name w:val="footer"/>
    <w:basedOn w:val="a"/>
    <w:link w:val="a7"/>
    <w:uiPriority w:val="99"/>
    <w:unhideWhenUsed/>
    <w:rsid w:val="00AD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Замбаев Х.Н.</dc:creator>
  <cp:lastModifiedBy>User</cp:lastModifiedBy>
  <cp:revision>2</cp:revision>
  <dcterms:created xsi:type="dcterms:W3CDTF">2021-10-26T14:13:00Z</dcterms:created>
  <dcterms:modified xsi:type="dcterms:W3CDTF">2021-10-26T14:13:00Z</dcterms:modified>
</cp:coreProperties>
</file>