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6C" w:rsidRPr="006105B0" w:rsidRDefault="00B34D6C" w:rsidP="006105B0">
      <w:pPr>
        <w:spacing w:after="0" w:line="264" w:lineRule="auto"/>
        <w:ind w:left="9498"/>
        <w:jc w:val="right"/>
        <w:rPr>
          <w:rFonts w:ascii="Times New Roman" w:hAnsi="Times New Roman"/>
          <w:color w:val="000000"/>
          <w:sz w:val="28"/>
          <w:szCs w:val="28"/>
        </w:rPr>
      </w:pPr>
      <w:r w:rsidRPr="006105B0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 w:rsidR="0027539A">
        <w:rPr>
          <w:rFonts w:ascii="Times New Roman" w:hAnsi="Times New Roman"/>
          <w:color w:val="000000"/>
          <w:sz w:val="28"/>
          <w:szCs w:val="28"/>
        </w:rPr>
        <w:t>8</w:t>
      </w:r>
      <w:r w:rsidR="00C26CA1" w:rsidRPr="006105B0">
        <w:rPr>
          <w:rFonts w:ascii="Times New Roman" w:hAnsi="Times New Roman"/>
          <w:color w:val="000000"/>
          <w:sz w:val="28"/>
          <w:szCs w:val="28"/>
        </w:rPr>
        <w:t xml:space="preserve"> к отчету</w:t>
      </w:r>
    </w:p>
    <w:p w:rsidR="000D73A4" w:rsidRPr="006105B0" w:rsidRDefault="000D73A4" w:rsidP="006105B0">
      <w:pPr>
        <w:spacing w:after="0" w:line="264" w:lineRule="auto"/>
        <w:ind w:left="949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1C94" w:rsidRPr="006105B0" w:rsidRDefault="007B38B5" w:rsidP="0061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5B0">
        <w:rPr>
          <w:rFonts w:ascii="Times New Roman" w:hAnsi="Times New Roman"/>
          <w:b/>
          <w:bCs/>
          <w:sz w:val="28"/>
          <w:szCs w:val="28"/>
        </w:rPr>
        <w:t xml:space="preserve">Описание методов сбора и анализа фактических данных и информации для получения доказательств, </w:t>
      </w:r>
    </w:p>
    <w:p w:rsidR="0064549A" w:rsidRPr="006105B0" w:rsidRDefault="007B38B5" w:rsidP="0061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5B0">
        <w:rPr>
          <w:rFonts w:ascii="Times New Roman" w:hAnsi="Times New Roman"/>
          <w:b/>
          <w:bCs/>
          <w:sz w:val="28"/>
          <w:szCs w:val="28"/>
        </w:rPr>
        <w:t>включая описание ограничений данных и методов их сбора и анализа</w:t>
      </w:r>
    </w:p>
    <w:p w:rsidR="00332039" w:rsidRPr="006105B0" w:rsidRDefault="007024C0" w:rsidP="006105B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105B0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C26CA1" w:rsidRPr="006105B0" w:rsidRDefault="00C26CA1" w:rsidP="006105B0">
      <w:pPr>
        <w:spacing w:after="0" w:line="360" w:lineRule="auto"/>
        <w:ind w:right="-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05B0">
        <w:rPr>
          <w:rFonts w:ascii="Times New Roman" w:eastAsiaTheme="minorHAnsi" w:hAnsi="Times New Roman"/>
          <w:b/>
          <w:sz w:val="28"/>
          <w:szCs w:val="28"/>
        </w:rPr>
        <w:t xml:space="preserve">Совместное контрольное мероприятие </w:t>
      </w:r>
    </w:p>
    <w:p w:rsidR="00C26CA1" w:rsidRPr="006105B0" w:rsidRDefault="00C26CA1" w:rsidP="006105B0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05B0">
        <w:rPr>
          <w:rFonts w:ascii="Times New Roman" w:eastAsiaTheme="minorHAnsi" w:hAnsi="Times New Roman"/>
          <w:b/>
          <w:sz w:val="28"/>
          <w:szCs w:val="28"/>
        </w:rPr>
        <w:t xml:space="preserve">«Аудит реализации мероприятий по сохранению объектов культурного наследия, расположенных </w:t>
      </w:r>
      <w:r w:rsidRPr="006105B0">
        <w:rPr>
          <w:rFonts w:ascii="Times New Roman" w:eastAsiaTheme="minorHAnsi" w:hAnsi="Times New Roman"/>
          <w:b/>
          <w:sz w:val="28"/>
          <w:szCs w:val="28"/>
        </w:rPr>
        <w:br/>
        <w:t xml:space="preserve">в субъектах Российской Федерации, в рамках федерального проекта «Сохранение культурного и исторического наследия» государственной программы Российской Федерации «Развитие культуры» в 2022-2023 годах» </w:t>
      </w:r>
    </w:p>
    <w:p w:rsidR="00C26CA1" w:rsidRPr="006105B0" w:rsidRDefault="00C26CA1" w:rsidP="006105B0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05B0">
        <w:rPr>
          <w:rFonts w:ascii="Times New Roman" w:eastAsiaTheme="minorHAnsi" w:hAnsi="Times New Roman"/>
          <w:b/>
          <w:sz w:val="28"/>
          <w:szCs w:val="28"/>
        </w:rPr>
        <w:t>(с Контрольно-счетной палатой Калужской области, Счетной палатой Саратовской области и Счетной палатой Ульяновской области)</w:t>
      </w:r>
    </w:p>
    <w:tbl>
      <w:tblPr>
        <w:tblW w:w="14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982"/>
        <w:gridCol w:w="6146"/>
        <w:gridCol w:w="3341"/>
        <w:gridCol w:w="2160"/>
      </w:tblGrid>
      <w:tr w:rsidR="00330015" w:rsidRPr="006105B0" w:rsidTr="00A45A9E">
        <w:trPr>
          <w:trHeight w:val="695"/>
          <w:tblHeader/>
        </w:trPr>
        <w:tc>
          <w:tcPr>
            <w:tcW w:w="548" w:type="dxa"/>
            <w:vAlign w:val="center"/>
          </w:tcPr>
          <w:p w:rsidR="00330015" w:rsidRPr="006105B0" w:rsidRDefault="00330015" w:rsidP="0061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330015" w:rsidRPr="006105B0" w:rsidRDefault="00330015" w:rsidP="0061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мероприятия</w:t>
            </w:r>
          </w:p>
        </w:tc>
        <w:tc>
          <w:tcPr>
            <w:tcW w:w="6146" w:type="dxa"/>
            <w:shd w:val="clear" w:color="auto" w:fill="auto"/>
            <w:vAlign w:val="center"/>
            <w:hideMark/>
          </w:tcPr>
          <w:p w:rsidR="00330015" w:rsidRPr="006105B0" w:rsidRDefault="00330015" w:rsidP="0061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сбора и анализа</w:t>
            </w:r>
          </w:p>
        </w:tc>
        <w:tc>
          <w:tcPr>
            <w:tcW w:w="3341" w:type="dxa"/>
            <w:vAlign w:val="center"/>
          </w:tcPr>
          <w:p w:rsidR="00330015" w:rsidRPr="006105B0" w:rsidRDefault="00330015" w:rsidP="0061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информации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330015" w:rsidRPr="006105B0" w:rsidRDefault="00330015" w:rsidP="0061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Ограничения данных</w:t>
            </w:r>
          </w:p>
        </w:tc>
      </w:tr>
      <w:tr w:rsidR="00330015" w:rsidRPr="006105B0" w:rsidTr="00A45A9E">
        <w:trPr>
          <w:trHeight w:val="139"/>
        </w:trPr>
        <w:tc>
          <w:tcPr>
            <w:tcW w:w="548" w:type="dxa"/>
          </w:tcPr>
          <w:p w:rsidR="00330015" w:rsidRPr="006105B0" w:rsidRDefault="00330015" w:rsidP="006105B0">
            <w:pPr>
              <w:numPr>
                <w:ilvl w:val="0"/>
                <w:numId w:val="2"/>
              </w:numPr>
              <w:spacing w:after="0" w:line="240" w:lineRule="auto"/>
              <w:ind w:left="324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  <w:hideMark/>
          </w:tcPr>
          <w:p w:rsidR="00C26CA1" w:rsidRPr="006105B0" w:rsidRDefault="00C26CA1" w:rsidP="00610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 xml:space="preserve">Цел 1 Проверить расходование средств федерального бюджета и иных ресурсов на сохранение объектов культурного наследия, расположенных в субъектах Российской Федерации, в рамках федерального проекта 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Сохранение культурного и исторического наследия» государственной программы «Развитие культуры» </w:t>
            </w:r>
          </w:p>
          <w:p w:rsidR="00330015" w:rsidRPr="006105B0" w:rsidRDefault="00330015" w:rsidP="00610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6" w:type="dxa"/>
            <w:shd w:val="clear" w:color="auto" w:fill="auto"/>
          </w:tcPr>
          <w:p w:rsidR="00A45A9E" w:rsidRPr="006105B0" w:rsidRDefault="001F1484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/>
                <w:bCs/>
                <w:iCs/>
                <w:spacing w:val="-5"/>
              </w:rPr>
              <w:lastRenderedPageBreak/>
              <w:t>В рамках вопрос</w:t>
            </w:r>
            <w:r w:rsidR="00C933F4" w:rsidRPr="006105B0">
              <w:rPr>
                <w:rFonts w:ascii="Times New Roman" w:hAnsi="Times New Roman"/>
                <w:b/>
                <w:bCs/>
                <w:iCs/>
                <w:spacing w:val="-5"/>
              </w:rPr>
              <w:t xml:space="preserve">ов </w:t>
            </w:r>
            <w:r w:rsidR="003E443E" w:rsidRPr="006105B0">
              <w:rPr>
                <w:rFonts w:ascii="Times New Roman" w:hAnsi="Times New Roman"/>
                <w:b/>
                <w:bCs/>
                <w:iCs/>
                <w:spacing w:val="-5"/>
              </w:rPr>
              <w:t>1</w:t>
            </w:r>
            <w:r w:rsidR="00C933F4" w:rsidRPr="006105B0">
              <w:rPr>
                <w:rFonts w:ascii="Times New Roman" w:hAnsi="Times New Roman"/>
                <w:b/>
                <w:bCs/>
                <w:iCs/>
                <w:spacing w:val="-5"/>
              </w:rPr>
              <w:t xml:space="preserve"> и 2</w:t>
            </w:r>
            <w:r w:rsidRPr="006105B0">
              <w:rPr>
                <w:rFonts w:ascii="Times New Roman" w:hAnsi="Times New Roman"/>
                <w:b/>
                <w:bCs/>
                <w:iCs/>
                <w:spacing w:val="-5"/>
              </w:rPr>
              <w:t xml:space="preserve"> цели 1</w:t>
            </w:r>
            <w:r w:rsidRPr="006105B0">
              <w:rPr>
                <w:rFonts w:ascii="Times New Roman" w:hAnsi="Times New Roman"/>
                <w:bCs/>
                <w:iCs/>
                <w:spacing w:val="-5"/>
              </w:rPr>
              <w:t xml:space="preserve"> 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218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>При проведении контрольного мероприятия использовались следующие методы сбора данных: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218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>из открытых источников;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218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>через направление запросов;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218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>из государственных информационных систем;</w:t>
            </w:r>
          </w:p>
          <w:p w:rsidR="00A45A9E" w:rsidRPr="00A45A9E" w:rsidRDefault="00A45A9E" w:rsidP="006105B0">
            <w:pPr>
              <w:spacing w:after="0" w:line="240" w:lineRule="auto"/>
              <w:ind w:firstLine="25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5A9E">
              <w:rPr>
                <w:rFonts w:ascii="Times New Roman" w:eastAsia="Times New Roman" w:hAnsi="Times New Roman"/>
                <w:color w:val="000000"/>
                <w:lang w:eastAsia="ru-RU"/>
              </w:rPr>
              <w:t>В ходе контрольного мероприятия проведен анализ:</w:t>
            </w:r>
          </w:p>
          <w:p w:rsidR="00A45A9E" w:rsidRPr="006105B0" w:rsidRDefault="00A45A9E" w:rsidP="006105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eastAsia="Times New Roman" w:hAnsi="Times New Roman"/>
                <w:color w:val="000000"/>
                <w:lang w:eastAsia="ru-RU"/>
              </w:rPr>
              <w:t>соглашений о предоставлении субсидий из федерального бюджета бюджетам субъектов Российской Федерации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105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 сохранение объектов культурного наследия, расположенных в субъектах Российской Федерации, в рамках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 xml:space="preserve"> в рамках федерального проекта «Сохранение культурного и исторического наследия» государственной программы «Развитие культуры» 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 xml:space="preserve">В ходе контрольного мероприятия проведен комплексный анализ федерального проекта «Сохранение культурного и исторического наследия» государственной программы «Развитие </w:t>
            </w:r>
            <w:r w:rsidRPr="006105B0">
              <w:rPr>
                <w:rFonts w:ascii="Times New Roman" w:hAnsi="Times New Roman"/>
                <w:bCs/>
                <w:iCs/>
                <w:spacing w:val="-5"/>
              </w:rPr>
              <w:lastRenderedPageBreak/>
              <w:t>культуры» и региональных программ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 xml:space="preserve"> по вопросу сохранения объектов культурного наследия, расположенных в субъектах Российской </w:t>
            </w:r>
            <w:r w:rsidR="00C8489E" w:rsidRPr="006105B0">
              <w:rPr>
                <w:rFonts w:ascii="Times New Roman" w:eastAsia="Times New Roman" w:hAnsi="Times New Roman"/>
                <w:bCs/>
                <w:lang w:eastAsia="ru-RU"/>
              </w:rPr>
              <w:t>Федерации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A45A9E" w:rsidRPr="006105B0" w:rsidRDefault="00A45A9E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>Проведен сравнительный анализ законодательных и иных нормативных правовых актов Российской Федерации, субъектов Российской Федерации, регулирующих порядок</w:t>
            </w:r>
            <w:r w:rsidR="00C8489E" w:rsidRPr="006105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сохранение объектов культурного наследия, расположенных в субъектах Российской Федерации</w:t>
            </w:r>
          </w:p>
          <w:p w:rsidR="00EA3715" w:rsidRPr="006105B0" w:rsidRDefault="00EA3715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</w:rPr>
              <w:t xml:space="preserve">Проводился финансовый анализ показателей расходов консолидированных бюджетов субъектов Российской Федерации сохранение объектов культурного наследия, расположенных в субъектах Российской Федерации, в том числе за счет выделенных субсидий из федерального бюджета бюджетам субъектов Российской Федерации на </w:t>
            </w:r>
            <w:r w:rsidRPr="006105B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сохранение объектов культурного наследия, расположенных в субъектах Российской Федерации</w:t>
            </w:r>
            <w:r w:rsidRPr="006105B0">
              <w:rPr>
                <w:rFonts w:ascii="Times New Roman" w:hAnsi="Times New Roman"/>
                <w:bCs/>
                <w:iCs/>
                <w:spacing w:val="-5"/>
              </w:rPr>
              <w:t xml:space="preserve"> на 2022 и 2023 годы и отчетности субъектов Российской Федерации о расходах, в целях которых предоставлены субсидии за 2022 и 2023 годы, посредством метода группировки и обобщения данных. </w:t>
            </w:r>
          </w:p>
          <w:p w:rsidR="00067403" w:rsidRPr="006105B0" w:rsidRDefault="00067403" w:rsidP="006105B0">
            <w:pPr>
              <w:spacing w:after="0" w:line="240" w:lineRule="auto"/>
              <w:ind w:firstLine="258"/>
              <w:jc w:val="both"/>
              <w:rPr>
                <w:rFonts w:ascii="Times New Roman" w:hAnsi="Times New Roman"/>
              </w:rPr>
            </w:pPr>
            <w:r w:rsidRPr="006105B0">
              <w:rPr>
                <w:rFonts w:ascii="Times New Roman" w:hAnsi="Times New Roman"/>
              </w:rPr>
              <w:t>Методы анализа данных, используемые при проведении контрольного мероприятия (по цели 1):</w:t>
            </w:r>
          </w:p>
          <w:p w:rsidR="00067403" w:rsidRPr="006105B0" w:rsidRDefault="006A0DA7" w:rsidP="006105B0">
            <w:pPr>
              <w:spacing w:after="0" w:line="240" w:lineRule="auto"/>
              <w:ind w:firstLine="258"/>
              <w:jc w:val="both"/>
              <w:rPr>
                <w:rFonts w:ascii="Times New Roman" w:hAnsi="Times New Roman"/>
              </w:rPr>
            </w:pPr>
            <w:r w:rsidRPr="006105B0">
              <w:rPr>
                <w:rFonts w:ascii="Times New Roman" w:hAnsi="Times New Roman"/>
              </w:rPr>
              <w:t>м</w:t>
            </w:r>
            <w:r w:rsidR="00067403" w:rsidRPr="006105B0">
              <w:rPr>
                <w:rFonts w:ascii="Times New Roman" w:hAnsi="Times New Roman"/>
              </w:rPr>
              <w:t>етод сравнительного анализа</w:t>
            </w:r>
            <w:r w:rsidRPr="006105B0">
              <w:rPr>
                <w:rFonts w:ascii="Times New Roman" w:hAnsi="Times New Roman"/>
              </w:rPr>
              <w:t>;</w:t>
            </w:r>
          </w:p>
          <w:p w:rsidR="00067403" w:rsidRPr="006105B0" w:rsidRDefault="006A0DA7" w:rsidP="006105B0">
            <w:pPr>
              <w:spacing w:after="0" w:line="240" w:lineRule="auto"/>
              <w:ind w:firstLine="258"/>
              <w:jc w:val="both"/>
              <w:rPr>
                <w:rFonts w:ascii="Times New Roman" w:hAnsi="Times New Roman"/>
              </w:rPr>
            </w:pPr>
            <w:r w:rsidRPr="006105B0">
              <w:rPr>
                <w:rFonts w:ascii="Times New Roman" w:hAnsi="Times New Roman"/>
              </w:rPr>
              <w:t>ме</w:t>
            </w:r>
            <w:r w:rsidR="00067403" w:rsidRPr="006105B0">
              <w:rPr>
                <w:rFonts w:ascii="Times New Roman" w:hAnsi="Times New Roman"/>
              </w:rPr>
              <w:t>тод описательной статистики (информация по запросам).</w:t>
            </w:r>
          </w:p>
          <w:p w:rsidR="00B71B26" w:rsidRPr="006105B0" w:rsidRDefault="00B71B26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</w:p>
        </w:tc>
        <w:tc>
          <w:tcPr>
            <w:tcW w:w="3341" w:type="dxa"/>
          </w:tcPr>
          <w:p w:rsidR="00357A40" w:rsidRPr="00274921" w:rsidRDefault="00330015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spacing w:val="-5"/>
              </w:rPr>
              <w:lastRenderedPageBreak/>
              <w:t>Электронные документы из информационных систем «Консультант Плюс», «Консультант Плюс Регион», «Гарант», нормативные и правовые</w:t>
            </w:r>
            <w:r w:rsidR="00357A40" w:rsidRPr="00274921">
              <w:rPr>
                <w:rFonts w:ascii="Times New Roman" w:hAnsi="Times New Roman"/>
                <w:bCs/>
                <w:iCs/>
                <w:spacing w:val="-5"/>
              </w:rPr>
              <w:t>.</w:t>
            </w:r>
          </w:p>
          <w:p w:rsidR="00330015" w:rsidRPr="00274921" w:rsidRDefault="00357A40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spacing w:val="-5"/>
              </w:rPr>
              <w:t>В</w:t>
            </w:r>
            <w:r w:rsidR="00330015" w:rsidRPr="00274921">
              <w:rPr>
                <w:rFonts w:ascii="Times New Roman" w:hAnsi="Times New Roman"/>
                <w:bCs/>
                <w:iCs/>
                <w:spacing w:val="-5"/>
              </w:rPr>
              <w:t xml:space="preserve">едомственные акты и иные документы, полученные у объектов </w:t>
            </w:r>
            <w:r w:rsidR="00C8489E" w:rsidRPr="00274921">
              <w:rPr>
                <w:rFonts w:ascii="Times New Roman" w:hAnsi="Times New Roman"/>
                <w:bCs/>
                <w:iCs/>
                <w:spacing w:val="-5"/>
              </w:rPr>
              <w:t xml:space="preserve">контрольного </w:t>
            </w:r>
            <w:r w:rsidR="00330015" w:rsidRPr="00274921">
              <w:rPr>
                <w:rFonts w:ascii="Times New Roman" w:hAnsi="Times New Roman"/>
                <w:bCs/>
                <w:iCs/>
                <w:spacing w:val="-5"/>
              </w:rPr>
              <w:t>мероприятия</w:t>
            </w:r>
            <w:r w:rsidRPr="00274921">
              <w:rPr>
                <w:rFonts w:ascii="Times New Roman" w:hAnsi="Times New Roman"/>
                <w:bCs/>
                <w:iCs/>
                <w:spacing w:val="-5"/>
              </w:rPr>
              <w:t>.</w:t>
            </w:r>
          </w:p>
          <w:p w:rsidR="007B2C48" w:rsidRPr="00274921" w:rsidRDefault="00C26CA1" w:rsidP="006105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21">
              <w:rPr>
                <w:rFonts w:ascii="Times New Roman" w:hAnsi="Times New Roman"/>
              </w:rPr>
              <w:t xml:space="preserve">Электронных документов из информационных систем (Единый государственный реестр объектов культурного наследия (памятников истории и культуры) народов Российской Федерации, ЕМИСС). </w:t>
            </w:r>
          </w:p>
          <w:p w:rsidR="007B2C48" w:rsidRPr="00274921" w:rsidRDefault="007B2C48" w:rsidP="006105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21">
              <w:rPr>
                <w:rFonts w:ascii="Times New Roman" w:hAnsi="Times New Roman"/>
              </w:rPr>
              <w:lastRenderedPageBreak/>
              <w:t>Использование электронных документов из информационных систем УВГА (ППК Полигон СП), ГИИС «Электронный бюджет».</w:t>
            </w:r>
          </w:p>
          <w:p w:rsidR="00C26CA1" w:rsidRPr="00274921" w:rsidRDefault="00C26CA1" w:rsidP="006105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4921">
              <w:rPr>
                <w:rFonts w:ascii="Times New Roman" w:hAnsi="Times New Roman"/>
              </w:rPr>
              <w:t>Запрос информации у объектов контрольного мероприятия.</w:t>
            </w:r>
          </w:p>
          <w:p w:rsidR="00C26CA1" w:rsidRPr="00274921" w:rsidRDefault="00C26CA1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</w:rPr>
              <w:t>Получение документов по месту нахождения объектов контрольного мероприятия</w:t>
            </w:r>
          </w:p>
          <w:p w:rsidR="00AC2F1C" w:rsidRPr="00274921" w:rsidRDefault="00C26CA1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spacing w:val="-5"/>
              </w:rPr>
              <w:t>Д</w:t>
            </w:r>
            <w:r w:rsidR="007069BA" w:rsidRPr="00274921">
              <w:rPr>
                <w:rFonts w:ascii="Times New Roman" w:hAnsi="Times New Roman"/>
                <w:bCs/>
                <w:iCs/>
                <w:spacing w:val="-5"/>
              </w:rPr>
              <w:t xml:space="preserve">анные </w:t>
            </w:r>
            <w:r w:rsidR="00357A40" w:rsidRPr="00274921">
              <w:rPr>
                <w:rFonts w:ascii="Times New Roman" w:hAnsi="Times New Roman"/>
                <w:bCs/>
                <w:iCs/>
                <w:spacing w:val="-5"/>
              </w:rPr>
              <w:t>Росстата.</w:t>
            </w:r>
          </w:p>
          <w:p w:rsidR="00C26CA1" w:rsidRPr="00274921" w:rsidRDefault="00357A40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spacing w:val="-5"/>
              </w:rPr>
              <w:t>О</w:t>
            </w:r>
            <w:r w:rsidR="00631C53" w:rsidRPr="00274921">
              <w:rPr>
                <w:rFonts w:ascii="Times New Roman" w:hAnsi="Times New Roman"/>
                <w:bCs/>
                <w:iCs/>
                <w:spacing w:val="-5"/>
              </w:rPr>
              <w:t xml:space="preserve">тчетность субъектов Российской Федерации, направленная в </w:t>
            </w:r>
            <w:r w:rsidR="001F1484" w:rsidRPr="00274921">
              <w:rPr>
                <w:rFonts w:ascii="Times New Roman" w:hAnsi="Times New Roman"/>
                <w:bCs/>
                <w:iCs/>
                <w:spacing w:val="-5"/>
              </w:rPr>
              <w:t>Мин</w:t>
            </w:r>
            <w:r w:rsidR="00C26CA1" w:rsidRPr="00274921">
              <w:rPr>
                <w:rFonts w:ascii="Times New Roman" w:hAnsi="Times New Roman"/>
                <w:bCs/>
                <w:iCs/>
                <w:spacing w:val="-5"/>
              </w:rPr>
              <w:t>культуры России</w:t>
            </w:r>
            <w:r w:rsidR="00A45A9E" w:rsidRPr="00274921">
              <w:rPr>
                <w:rFonts w:ascii="Times New Roman" w:hAnsi="Times New Roman"/>
                <w:bCs/>
                <w:iCs/>
                <w:spacing w:val="-5"/>
              </w:rPr>
              <w:t xml:space="preserve"> в рамках исполнения соглашений о предоставлении субсидий </w:t>
            </w:r>
            <w:r w:rsidR="00C8489E" w:rsidRPr="00274921">
              <w:rPr>
                <w:rFonts w:ascii="Times New Roman" w:hAnsi="Times New Roman"/>
                <w:bCs/>
                <w:iCs/>
                <w:spacing w:val="-5"/>
              </w:rPr>
              <w:t xml:space="preserve">посредством </w:t>
            </w:r>
            <w:r w:rsidR="00C8489E" w:rsidRPr="00274921">
              <w:rPr>
                <w:rFonts w:ascii="Times New Roman" w:eastAsia="Times New Roman" w:hAnsi="Times New Roman"/>
                <w:color w:val="000000"/>
                <w:lang w:eastAsia="ru-RU"/>
              </w:rPr>
              <w:t>ГИИС «Электронный бюджет»</w:t>
            </w:r>
          </w:p>
          <w:p w:rsidR="00864DBE" w:rsidRPr="00274921" w:rsidRDefault="00864DBE" w:rsidP="006105B0">
            <w:pPr>
              <w:tabs>
                <w:tab w:val="left" w:pos="8931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</w:p>
        </w:tc>
        <w:tc>
          <w:tcPr>
            <w:tcW w:w="2160" w:type="dxa"/>
            <w:shd w:val="clear" w:color="auto" w:fill="auto"/>
          </w:tcPr>
          <w:p w:rsidR="00180D9C" w:rsidRPr="006105B0" w:rsidRDefault="00EA3715" w:rsidP="006105B0">
            <w:pPr>
              <w:tabs>
                <w:tab w:val="left" w:pos="8931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</w:rPr>
            </w:pPr>
            <w:r w:rsidRPr="006105B0"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</w:rPr>
              <w:lastRenderedPageBreak/>
              <w:t>Ограничения связаны со сроками представления информации за 2023 год.</w:t>
            </w:r>
          </w:p>
        </w:tc>
      </w:tr>
      <w:tr w:rsidR="00332039" w:rsidRPr="006105B0" w:rsidTr="00A45A9E">
        <w:trPr>
          <w:trHeight w:val="139"/>
        </w:trPr>
        <w:tc>
          <w:tcPr>
            <w:tcW w:w="548" w:type="dxa"/>
          </w:tcPr>
          <w:p w:rsidR="00332039" w:rsidRPr="006105B0" w:rsidRDefault="00332039" w:rsidP="006105B0">
            <w:pPr>
              <w:numPr>
                <w:ilvl w:val="0"/>
                <w:numId w:val="2"/>
              </w:numPr>
              <w:spacing w:after="0" w:line="240" w:lineRule="auto"/>
              <w:ind w:left="324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332039" w:rsidRPr="006105B0" w:rsidRDefault="00EA3715" w:rsidP="00610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t xml:space="preserve">Оценить результативность реализации мероприятий по сохранению объектов культурного наследия, расположенных в </w:t>
            </w:r>
            <w:r w:rsidRPr="006105B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субъектах Российской Федерации, федерального проекта «Сохранение культурного и исторического наследия» государственной программы Российско</w:t>
            </w:r>
            <w:r w:rsidR="006105B0">
              <w:rPr>
                <w:rFonts w:ascii="Times New Roman" w:eastAsia="Times New Roman" w:hAnsi="Times New Roman"/>
                <w:bCs/>
                <w:lang w:eastAsia="ru-RU"/>
              </w:rPr>
              <w:t xml:space="preserve">й Федерации «Развитие культуры» </w:t>
            </w:r>
          </w:p>
        </w:tc>
        <w:tc>
          <w:tcPr>
            <w:tcW w:w="6146" w:type="dxa"/>
            <w:shd w:val="clear" w:color="auto" w:fill="auto"/>
          </w:tcPr>
          <w:p w:rsidR="00067403" w:rsidRPr="006105B0" w:rsidRDefault="002D2B16" w:rsidP="006105B0">
            <w:pPr>
              <w:tabs>
                <w:tab w:val="left" w:pos="8931"/>
              </w:tabs>
              <w:spacing w:after="0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lastRenderedPageBreak/>
              <w:t>В рамках вопрос</w:t>
            </w:r>
            <w:r w:rsidR="00C933F4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ов 1 и</w:t>
            </w: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 2 цели </w:t>
            </w:r>
            <w:r w:rsidR="00C933F4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>2 контрольного</w:t>
            </w: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 мероприятия</w:t>
            </w:r>
            <w:r w:rsidR="00067403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использовались следующие методы сбора данных:</w:t>
            </w:r>
          </w:p>
          <w:p w:rsidR="00067403" w:rsidRPr="006105B0" w:rsidRDefault="00067403" w:rsidP="006105B0">
            <w:pPr>
              <w:tabs>
                <w:tab w:val="left" w:pos="8931"/>
              </w:tabs>
              <w:spacing w:after="0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из открытых источников;</w:t>
            </w:r>
          </w:p>
          <w:p w:rsidR="00067403" w:rsidRPr="006105B0" w:rsidRDefault="00067403" w:rsidP="006105B0">
            <w:pPr>
              <w:tabs>
                <w:tab w:val="left" w:pos="8931"/>
              </w:tabs>
              <w:spacing w:after="0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через направление запросов;</w:t>
            </w:r>
          </w:p>
          <w:p w:rsidR="00067403" w:rsidRPr="006105B0" w:rsidRDefault="00067403" w:rsidP="006105B0">
            <w:pPr>
              <w:tabs>
                <w:tab w:val="left" w:pos="8931"/>
              </w:tabs>
              <w:spacing w:after="0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из государственных информационных систем;</w:t>
            </w:r>
          </w:p>
          <w:p w:rsidR="00067403" w:rsidRPr="006105B0" w:rsidRDefault="00067403" w:rsidP="006105B0">
            <w:pPr>
              <w:tabs>
                <w:tab w:val="left" w:pos="8931"/>
              </w:tabs>
              <w:spacing w:after="0" w:line="240" w:lineRule="auto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результаты контрольных мероприятий, проведенных в Калужской, </w:t>
            </w: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  <w:t xml:space="preserve">Ульяновской и Саратовской областях. </w:t>
            </w:r>
          </w:p>
          <w:p w:rsidR="00EA3715" w:rsidRPr="006105B0" w:rsidRDefault="00067403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П</w:t>
            </w:r>
            <w:r w:rsidR="0064549A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роведен комплексный анализ 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отчетности субъектов Российской Федерации</w:t>
            </w:r>
            <w:r w:rsidR="007B2C48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(Калужской, Саратовской и Ульяновской </w:t>
            </w:r>
            <w:r w:rsidR="007B2C48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lastRenderedPageBreak/>
              <w:t>областей)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в части достижения показателей результативности предоставления субсидий, </w:t>
            </w:r>
            <w:r w:rsidR="0064549A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причин </w:t>
            </w:r>
            <w:proofErr w:type="spellStart"/>
            <w:r w:rsidR="0064549A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невостребованности</w:t>
            </w:r>
            <w:proofErr w:type="spellEnd"/>
            <w:r w:rsidR="0064549A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бюджетных средств, 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достаточности средств бюджет</w:t>
            </w:r>
            <w:r w:rsidR="006718A2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ов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субъект</w:t>
            </w:r>
            <w:r w:rsidR="006718A2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ов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Российской Федерации для обеспечения установленного в соглашени</w:t>
            </w:r>
            <w:r w:rsidR="009D272B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ях о предоставлении субсиди</w:t>
            </w:r>
            <w:r w:rsidR="006718A2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й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отчетн</w:t>
            </w:r>
            <w:r w:rsidR="00C8767D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ых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показател</w:t>
            </w:r>
            <w:r w:rsidR="00C8767D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ей </w:t>
            </w:r>
            <w:r w:rsidR="007B2C48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(</w:t>
            </w:r>
            <w:r w:rsidR="00C8767D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достижение установленного процента п</w:t>
            </w:r>
            <w:r w:rsidR="00C8767D" w:rsidRPr="006105B0">
              <w:rPr>
                <w:rFonts w:ascii="Times New Roman" w:hAnsi="Times New Roman"/>
                <w:color w:val="000000" w:themeColor="text1"/>
              </w:rPr>
              <w:t>роведения ремонтно-реставрационных работ</w:t>
            </w:r>
            <w:r w:rsidR="00332979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</w:t>
            </w:r>
            <w:r w:rsidR="00C8767D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на объекте</w:t>
            </w:r>
            <w:r w:rsidR="007B2C48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;</w:t>
            </w:r>
            <w:r w:rsidR="00C8767D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 </w:t>
            </w:r>
            <w:r w:rsidR="007B2C48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соблюдение установленного срока в</w:t>
            </w:r>
            <w:r w:rsidR="00C8767D" w:rsidRPr="006105B0">
              <w:rPr>
                <w:rFonts w:ascii="Times New Roman" w:hAnsi="Times New Roman"/>
                <w:color w:val="000000" w:themeColor="text1"/>
              </w:rPr>
              <w:t>вод</w:t>
            </w:r>
            <w:r w:rsidR="007B2C48" w:rsidRPr="006105B0">
              <w:rPr>
                <w:rFonts w:ascii="Times New Roman" w:hAnsi="Times New Roman"/>
                <w:color w:val="000000" w:themeColor="text1"/>
              </w:rPr>
              <w:t xml:space="preserve">а </w:t>
            </w:r>
            <w:r w:rsidR="00C8767D" w:rsidRPr="006105B0">
              <w:rPr>
                <w:rFonts w:ascii="Times New Roman" w:hAnsi="Times New Roman"/>
                <w:color w:val="000000" w:themeColor="text1"/>
              </w:rPr>
              <w:t>объекта</w:t>
            </w:r>
            <w:r w:rsidR="007B2C48" w:rsidRPr="006105B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767D" w:rsidRPr="006105B0">
              <w:rPr>
                <w:rFonts w:ascii="Times New Roman" w:hAnsi="Times New Roman"/>
                <w:color w:val="000000" w:themeColor="text1"/>
              </w:rPr>
              <w:t>в</w:t>
            </w:r>
            <w:r w:rsidR="007B2C48" w:rsidRPr="006105B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767D" w:rsidRPr="006105B0">
              <w:rPr>
                <w:rFonts w:ascii="Times New Roman" w:hAnsi="Times New Roman"/>
                <w:color w:val="000000" w:themeColor="text1"/>
              </w:rPr>
              <w:t>эксплуатацию</w:t>
            </w:r>
            <w:r w:rsidR="007B2C48" w:rsidRPr="006105B0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6718A2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и возможностей субъектами Российской Федерации их освоения</w:t>
            </w:r>
            <w:r w:rsidR="00EA3715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.</w:t>
            </w:r>
          </w:p>
          <w:p w:rsidR="00EA3715" w:rsidRPr="006105B0" w:rsidRDefault="009B3CAE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Проведен комплексный анализ причин </w:t>
            </w:r>
            <w:r w:rsidR="00EA3715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не достижения запланированных результатов в ходе выполнения мероприятий по сохранению объектов культурного наследия</w:t>
            </w:r>
            <w:r w:rsidR="00067403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, а также несвоевременного ввода ОКН в эксплуатацию </w:t>
            </w:r>
            <w:r w:rsidR="00EA3715"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в Ульяновской и Саратовской областях.</w:t>
            </w:r>
          </w:p>
          <w:p w:rsidR="006A0DA7" w:rsidRPr="006105B0" w:rsidRDefault="006A0DA7" w:rsidP="006105B0">
            <w:pPr>
              <w:tabs>
                <w:tab w:val="left" w:pos="8931"/>
              </w:tabs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В ходе выездных проверок проведен визуальный осмотр</w:t>
            </w:r>
            <w:r w:rsidRPr="006105B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объектов культурного наследия, расположенных в </w:t>
            </w:r>
            <w:r w:rsidRPr="006105B0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Ульяновской и Саратовской областях в части проведенных работ по сохранению (реставрации) указанных объектов, а также проведены контрольные замеры в части объемов выполненных работ.</w:t>
            </w:r>
          </w:p>
          <w:p w:rsidR="007B2C48" w:rsidRPr="006105B0" w:rsidRDefault="007B2C48" w:rsidP="006105B0">
            <w:pPr>
              <w:spacing w:after="0" w:line="240" w:lineRule="auto"/>
              <w:ind w:firstLine="25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Методы анализа данных, используемые при проведении контрольного мероприятия (по цели 2):</w:t>
            </w:r>
          </w:p>
          <w:p w:rsidR="007B2C48" w:rsidRPr="006105B0" w:rsidRDefault="007B2C48" w:rsidP="006105B0">
            <w:pPr>
              <w:spacing w:after="0" w:line="240" w:lineRule="auto"/>
              <w:ind w:firstLine="25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 анализа статистических данных;</w:t>
            </w:r>
          </w:p>
          <w:p w:rsidR="006105B0" w:rsidRPr="006105B0" w:rsidRDefault="006105B0" w:rsidP="006105B0">
            <w:pPr>
              <w:spacing w:after="0" w:line="240" w:lineRule="auto"/>
              <w:ind w:firstLine="258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05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соотношение объемов расходов за счет бюджетных средств на реализацию поставленных перед объектами аудита (контроля) целей к планируемым (предусмотренным) объемам;</w:t>
            </w:r>
          </w:p>
          <w:p w:rsidR="00B82A2D" w:rsidRPr="006105B0" w:rsidRDefault="006105B0" w:rsidP="006105B0">
            <w:pPr>
              <w:tabs>
                <w:tab w:val="left" w:pos="8931"/>
              </w:tabs>
              <w:spacing w:after="0" w:line="240" w:lineRule="auto"/>
              <w:ind w:firstLine="258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  <w:sz w:val="24"/>
                <w:szCs w:val="24"/>
              </w:rPr>
            </w:pPr>
            <w:r w:rsidRPr="006105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 описательной статистики (информация по запросам)</w:t>
            </w:r>
          </w:p>
        </w:tc>
        <w:tc>
          <w:tcPr>
            <w:tcW w:w="3341" w:type="dxa"/>
          </w:tcPr>
          <w:p w:rsidR="007B2C48" w:rsidRPr="00274921" w:rsidRDefault="007B2C48" w:rsidP="006105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74921">
              <w:rPr>
                <w:rFonts w:ascii="Times New Roman" w:hAnsi="Times New Roman"/>
                <w:color w:val="000000" w:themeColor="text1"/>
              </w:rPr>
              <w:lastRenderedPageBreak/>
              <w:t>Использование электронных документов из информационных систем (ГИИС «Электронный бюджет»).</w:t>
            </w:r>
          </w:p>
          <w:p w:rsidR="00C933F4" w:rsidRPr="00274921" w:rsidRDefault="00C933F4" w:rsidP="006105B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74921">
              <w:rPr>
                <w:rFonts w:ascii="Times New Roman" w:hAnsi="Times New Roman"/>
                <w:color w:val="000000" w:themeColor="text1"/>
              </w:rPr>
              <w:t>Запрос информации у объектов контрольного мероприятия.</w:t>
            </w:r>
          </w:p>
          <w:p w:rsidR="00C933F4" w:rsidRPr="00274921" w:rsidRDefault="00C933F4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color w:val="000000" w:themeColor="text1"/>
              </w:rPr>
              <w:t>Получение документов по месту нахождения объектов контрольного мероприятия</w:t>
            </w:r>
          </w:p>
          <w:p w:rsidR="00C933F4" w:rsidRPr="00274921" w:rsidRDefault="00C933F4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lastRenderedPageBreak/>
              <w:t>Данные Росстата.</w:t>
            </w:r>
          </w:p>
          <w:p w:rsidR="00C933F4" w:rsidRPr="00274921" w:rsidRDefault="00C933F4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Отчетность субъектов Российской Федерации, направленная в Минкультуры России в рамках исполнения соглашений о предоставлении субсидий посредством </w:t>
            </w:r>
            <w:r w:rsidRPr="0027492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ГИИС «Электронный бюджет»</w:t>
            </w:r>
          </w:p>
          <w:p w:rsidR="001C2478" w:rsidRPr="00274921" w:rsidRDefault="001C2478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Электронные документы из информационных систем «Консультант Плюс», «Консультант Плюс Регион», «Гарант»</w:t>
            </w:r>
            <w:r w:rsidR="007B2C48"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.</w:t>
            </w:r>
          </w:p>
          <w:p w:rsidR="007B2C48" w:rsidRPr="00274921" w:rsidRDefault="007B2C48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Использование электронных документов из информационных систем: Единая информационная система в сфере закупок (</w:t>
            </w: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  <w:lang w:val="en-US"/>
              </w:rPr>
              <w:t>www</w:t>
            </w: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/</w:t>
            </w:r>
            <w:proofErr w:type="spellStart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  <w:lang w:val="en-US"/>
              </w:rPr>
              <w:t>zakupki</w:t>
            </w:r>
            <w:proofErr w:type="spellEnd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.</w:t>
            </w:r>
            <w:proofErr w:type="spellStart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  <w:lang w:val="en-US"/>
              </w:rPr>
              <w:t>gov</w:t>
            </w:r>
            <w:proofErr w:type="spellEnd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.</w:t>
            </w:r>
            <w:proofErr w:type="spellStart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  <w:lang w:val="en-US"/>
              </w:rPr>
              <w:t>ru</w:t>
            </w:r>
            <w:proofErr w:type="spellEnd"/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), информационный ресурс СПАРК.</w:t>
            </w:r>
          </w:p>
          <w:p w:rsidR="001C2478" w:rsidRPr="00274921" w:rsidRDefault="00357A40" w:rsidP="006105B0">
            <w:pPr>
              <w:tabs>
                <w:tab w:val="left" w:pos="8931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Аналитические таблицы</w:t>
            </w:r>
            <w:r w:rsidR="001C2478"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, </w:t>
            </w:r>
            <w:r w:rsidR="00C933F4"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 xml:space="preserve">составленные в рамках контрольного </w:t>
            </w:r>
            <w:r w:rsidR="001C2478" w:rsidRPr="00274921">
              <w:rPr>
                <w:rFonts w:ascii="Times New Roman" w:hAnsi="Times New Roman"/>
                <w:bCs/>
                <w:iCs/>
                <w:color w:val="000000" w:themeColor="text1"/>
                <w:spacing w:val="-5"/>
              </w:rPr>
              <w:t>мероприятия.</w:t>
            </w:r>
          </w:p>
        </w:tc>
        <w:tc>
          <w:tcPr>
            <w:tcW w:w="2160" w:type="dxa"/>
            <w:shd w:val="clear" w:color="auto" w:fill="auto"/>
          </w:tcPr>
          <w:p w:rsidR="00332039" w:rsidRPr="00274921" w:rsidRDefault="001F1484" w:rsidP="00274921">
            <w:pPr>
              <w:tabs>
                <w:tab w:val="left" w:pos="8931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iCs/>
                <w:spacing w:val="-5"/>
              </w:rPr>
            </w:pPr>
            <w:r w:rsidRPr="00274921">
              <w:rPr>
                <w:rFonts w:ascii="Times New Roman" w:hAnsi="Times New Roman"/>
                <w:bCs/>
                <w:iCs/>
                <w:spacing w:val="-5"/>
              </w:rPr>
              <w:lastRenderedPageBreak/>
              <w:t xml:space="preserve">Ограничения связаны со сроками представления информации за </w:t>
            </w:r>
            <w:r w:rsidR="00274921">
              <w:rPr>
                <w:rFonts w:ascii="Times New Roman" w:hAnsi="Times New Roman"/>
                <w:bCs/>
                <w:iCs/>
                <w:spacing w:val="-5"/>
              </w:rPr>
              <w:br/>
            </w:r>
            <w:bookmarkStart w:id="0" w:name="_GoBack"/>
            <w:bookmarkEnd w:id="0"/>
            <w:r w:rsidRPr="00274921">
              <w:rPr>
                <w:rFonts w:ascii="Times New Roman" w:hAnsi="Times New Roman"/>
                <w:bCs/>
                <w:iCs/>
                <w:spacing w:val="-5"/>
              </w:rPr>
              <w:t>202</w:t>
            </w:r>
            <w:r w:rsidR="001C2478" w:rsidRPr="00274921">
              <w:rPr>
                <w:rFonts w:ascii="Times New Roman" w:hAnsi="Times New Roman"/>
                <w:bCs/>
                <w:iCs/>
                <w:spacing w:val="-5"/>
              </w:rPr>
              <w:t>3</w:t>
            </w:r>
            <w:r w:rsidR="00274921" w:rsidRPr="00274921">
              <w:rPr>
                <w:rFonts w:ascii="Times New Roman" w:hAnsi="Times New Roman"/>
                <w:bCs/>
                <w:iCs/>
                <w:spacing w:val="-5"/>
              </w:rPr>
              <w:t xml:space="preserve"> </w:t>
            </w:r>
            <w:r w:rsidRPr="00274921">
              <w:rPr>
                <w:rFonts w:ascii="Times New Roman" w:hAnsi="Times New Roman"/>
                <w:bCs/>
                <w:iCs/>
                <w:spacing w:val="-5"/>
              </w:rPr>
              <w:t>год.</w:t>
            </w:r>
          </w:p>
        </w:tc>
      </w:tr>
    </w:tbl>
    <w:p w:rsidR="00CA59E1" w:rsidRPr="006105B0" w:rsidRDefault="00CA59E1" w:rsidP="006105B0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sectPr w:rsidR="00CA59E1" w:rsidRPr="006105B0" w:rsidSect="0027539A">
      <w:headerReference w:type="default" r:id="rId8"/>
      <w:pgSz w:w="16838" w:h="11906" w:orient="landscape"/>
      <w:pgMar w:top="851" w:right="124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B9" w:rsidRDefault="000529B9" w:rsidP="002F2FBC">
      <w:pPr>
        <w:spacing w:after="0" w:line="240" w:lineRule="auto"/>
      </w:pPr>
      <w:r>
        <w:separator/>
      </w:r>
    </w:p>
  </w:endnote>
  <w:endnote w:type="continuationSeparator" w:id="0">
    <w:p w:rsidR="000529B9" w:rsidRDefault="000529B9" w:rsidP="002F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B9" w:rsidRDefault="000529B9" w:rsidP="002F2FBC">
      <w:pPr>
        <w:spacing w:after="0" w:line="240" w:lineRule="auto"/>
      </w:pPr>
      <w:r>
        <w:separator/>
      </w:r>
    </w:p>
  </w:footnote>
  <w:footnote w:type="continuationSeparator" w:id="0">
    <w:p w:rsidR="000529B9" w:rsidRDefault="000529B9" w:rsidP="002F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77" w:rsidRDefault="00C85E77" w:rsidP="00C9356F">
    <w:pPr>
      <w:pStyle w:val="a7"/>
      <w:jc w:val="center"/>
    </w:pPr>
    <w:r w:rsidRPr="00C85E77">
      <w:rPr>
        <w:rFonts w:ascii="Times New Roman" w:hAnsi="Times New Roman"/>
        <w:sz w:val="28"/>
        <w:szCs w:val="28"/>
      </w:rPr>
      <w:fldChar w:fldCharType="begin"/>
    </w:r>
    <w:r w:rsidRPr="00C85E77">
      <w:rPr>
        <w:rFonts w:ascii="Times New Roman" w:hAnsi="Times New Roman"/>
        <w:sz w:val="28"/>
        <w:szCs w:val="28"/>
      </w:rPr>
      <w:instrText>PAGE   \* MERGEFORMAT</w:instrText>
    </w:r>
    <w:r w:rsidRPr="00C85E77">
      <w:rPr>
        <w:rFonts w:ascii="Times New Roman" w:hAnsi="Times New Roman"/>
        <w:sz w:val="28"/>
        <w:szCs w:val="28"/>
      </w:rPr>
      <w:fldChar w:fldCharType="separate"/>
    </w:r>
    <w:r w:rsidR="00C37F8D">
      <w:rPr>
        <w:rFonts w:ascii="Times New Roman" w:hAnsi="Times New Roman"/>
        <w:noProof/>
        <w:sz w:val="28"/>
        <w:szCs w:val="28"/>
      </w:rPr>
      <w:t>2</w:t>
    </w:r>
    <w:r w:rsidRPr="00C85E7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4924"/>
    <w:multiLevelType w:val="hybridMultilevel"/>
    <w:tmpl w:val="76A4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B31"/>
    <w:multiLevelType w:val="hybridMultilevel"/>
    <w:tmpl w:val="DA00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22651"/>
    <w:multiLevelType w:val="hybridMultilevel"/>
    <w:tmpl w:val="4FAE1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43805"/>
    <w:multiLevelType w:val="hybridMultilevel"/>
    <w:tmpl w:val="8796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D4ED0"/>
    <w:multiLevelType w:val="hybridMultilevel"/>
    <w:tmpl w:val="919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D4"/>
    <w:rsid w:val="0001660B"/>
    <w:rsid w:val="00027FA0"/>
    <w:rsid w:val="00031C26"/>
    <w:rsid w:val="00032F0E"/>
    <w:rsid w:val="00035F18"/>
    <w:rsid w:val="00044756"/>
    <w:rsid w:val="000529B9"/>
    <w:rsid w:val="00067403"/>
    <w:rsid w:val="00086245"/>
    <w:rsid w:val="00094405"/>
    <w:rsid w:val="000A35FB"/>
    <w:rsid w:val="000B0AB0"/>
    <w:rsid w:val="000B6FBB"/>
    <w:rsid w:val="000C0837"/>
    <w:rsid w:val="000C23FA"/>
    <w:rsid w:val="000C4B41"/>
    <w:rsid w:val="000D039F"/>
    <w:rsid w:val="000D5471"/>
    <w:rsid w:val="000D54E1"/>
    <w:rsid w:val="000D734A"/>
    <w:rsid w:val="000D73A4"/>
    <w:rsid w:val="000E32D3"/>
    <w:rsid w:val="000E6C7B"/>
    <w:rsid w:val="000E74F5"/>
    <w:rsid w:val="000F5E28"/>
    <w:rsid w:val="00106178"/>
    <w:rsid w:val="00107353"/>
    <w:rsid w:val="001251F2"/>
    <w:rsid w:val="001313B5"/>
    <w:rsid w:val="00145C28"/>
    <w:rsid w:val="00164574"/>
    <w:rsid w:val="00180D9C"/>
    <w:rsid w:val="00191542"/>
    <w:rsid w:val="00193039"/>
    <w:rsid w:val="00194267"/>
    <w:rsid w:val="001977D7"/>
    <w:rsid w:val="001A17A0"/>
    <w:rsid w:val="001A52B6"/>
    <w:rsid w:val="001A5E71"/>
    <w:rsid w:val="001B7FC3"/>
    <w:rsid w:val="001C2478"/>
    <w:rsid w:val="001C3A55"/>
    <w:rsid w:val="001E59C6"/>
    <w:rsid w:val="001F1484"/>
    <w:rsid w:val="001F56EF"/>
    <w:rsid w:val="001F7F97"/>
    <w:rsid w:val="00204884"/>
    <w:rsid w:val="00204AC1"/>
    <w:rsid w:val="00220EAF"/>
    <w:rsid w:val="00233C27"/>
    <w:rsid w:val="0024213C"/>
    <w:rsid w:val="0024537D"/>
    <w:rsid w:val="00274921"/>
    <w:rsid w:val="0027539A"/>
    <w:rsid w:val="002849D5"/>
    <w:rsid w:val="0029177D"/>
    <w:rsid w:val="002A1C94"/>
    <w:rsid w:val="002B6397"/>
    <w:rsid w:val="002C4E0D"/>
    <w:rsid w:val="002D2B16"/>
    <w:rsid w:val="002D6521"/>
    <w:rsid w:val="002E37DA"/>
    <w:rsid w:val="002F0BF7"/>
    <w:rsid w:val="002F2FBC"/>
    <w:rsid w:val="002F4D45"/>
    <w:rsid w:val="00313DF1"/>
    <w:rsid w:val="00315110"/>
    <w:rsid w:val="00330015"/>
    <w:rsid w:val="00332039"/>
    <w:rsid w:val="00332979"/>
    <w:rsid w:val="0033784F"/>
    <w:rsid w:val="00344BEE"/>
    <w:rsid w:val="00357A40"/>
    <w:rsid w:val="00360364"/>
    <w:rsid w:val="00360F39"/>
    <w:rsid w:val="0038218A"/>
    <w:rsid w:val="003A07C0"/>
    <w:rsid w:val="003A1F42"/>
    <w:rsid w:val="003B3731"/>
    <w:rsid w:val="003D2652"/>
    <w:rsid w:val="003E443E"/>
    <w:rsid w:val="003F382D"/>
    <w:rsid w:val="003F6D65"/>
    <w:rsid w:val="004053CF"/>
    <w:rsid w:val="00410443"/>
    <w:rsid w:val="00410F05"/>
    <w:rsid w:val="0042344B"/>
    <w:rsid w:val="00442AC0"/>
    <w:rsid w:val="00442BC7"/>
    <w:rsid w:val="00446D28"/>
    <w:rsid w:val="00452F76"/>
    <w:rsid w:val="00453AA6"/>
    <w:rsid w:val="0045595A"/>
    <w:rsid w:val="004622FE"/>
    <w:rsid w:val="0046351C"/>
    <w:rsid w:val="004771D5"/>
    <w:rsid w:val="00492EB1"/>
    <w:rsid w:val="004B52CF"/>
    <w:rsid w:val="004C675F"/>
    <w:rsid w:val="004E646C"/>
    <w:rsid w:val="004F00F8"/>
    <w:rsid w:val="005115BE"/>
    <w:rsid w:val="0051238A"/>
    <w:rsid w:val="00517ABE"/>
    <w:rsid w:val="00525C1C"/>
    <w:rsid w:val="00566859"/>
    <w:rsid w:val="0056745F"/>
    <w:rsid w:val="00571281"/>
    <w:rsid w:val="00573F28"/>
    <w:rsid w:val="005822A7"/>
    <w:rsid w:val="00582F93"/>
    <w:rsid w:val="005A031B"/>
    <w:rsid w:val="005A04CA"/>
    <w:rsid w:val="005A47B3"/>
    <w:rsid w:val="005B5C06"/>
    <w:rsid w:val="005C05E2"/>
    <w:rsid w:val="005D2023"/>
    <w:rsid w:val="005D29BD"/>
    <w:rsid w:val="005D581D"/>
    <w:rsid w:val="005F54D7"/>
    <w:rsid w:val="005F5D23"/>
    <w:rsid w:val="005F6FF1"/>
    <w:rsid w:val="00600E00"/>
    <w:rsid w:val="00602DD5"/>
    <w:rsid w:val="006034B4"/>
    <w:rsid w:val="00604E08"/>
    <w:rsid w:val="00605A79"/>
    <w:rsid w:val="006105B0"/>
    <w:rsid w:val="00617FE6"/>
    <w:rsid w:val="0062299B"/>
    <w:rsid w:val="00631C53"/>
    <w:rsid w:val="0064549A"/>
    <w:rsid w:val="0066267F"/>
    <w:rsid w:val="006627E6"/>
    <w:rsid w:val="006718A2"/>
    <w:rsid w:val="00681E69"/>
    <w:rsid w:val="006843B6"/>
    <w:rsid w:val="00687C8E"/>
    <w:rsid w:val="00695A5C"/>
    <w:rsid w:val="006A0DA7"/>
    <w:rsid w:val="006C0795"/>
    <w:rsid w:val="006C76D4"/>
    <w:rsid w:val="006F163F"/>
    <w:rsid w:val="00700D68"/>
    <w:rsid w:val="007024C0"/>
    <w:rsid w:val="007069BA"/>
    <w:rsid w:val="00707C9D"/>
    <w:rsid w:val="00711DD5"/>
    <w:rsid w:val="00714D91"/>
    <w:rsid w:val="00721D07"/>
    <w:rsid w:val="0072717D"/>
    <w:rsid w:val="007272D4"/>
    <w:rsid w:val="007423CC"/>
    <w:rsid w:val="0074648B"/>
    <w:rsid w:val="00782150"/>
    <w:rsid w:val="00790CB3"/>
    <w:rsid w:val="007A0DEE"/>
    <w:rsid w:val="007A66B6"/>
    <w:rsid w:val="007B2C48"/>
    <w:rsid w:val="007B38B5"/>
    <w:rsid w:val="007B649B"/>
    <w:rsid w:val="007B77B4"/>
    <w:rsid w:val="007C78DA"/>
    <w:rsid w:val="007D17B8"/>
    <w:rsid w:val="007F513B"/>
    <w:rsid w:val="008072F8"/>
    <w:rsid w:val="00807B2B"/>
    <w:rsid w:val="008408EA"/>
    <w:rsid w:val="008445FA"/>
    <w:rsid w:val="00844EDD"/>
    <w:rsid w:val="00853E58"/>
    <w:rsid w:val="00855623"/>
    <w:rsid w:val="00864DBE"/>
    <w:rsid w:val="00865E0C"/>
    <w:rsid w:val="00867C35"/>
    <w:rsid w:val="00876DAE"/>
    <w:rsid w:val="0089457E"/>
    <w:rsid w:val="008A613F"/>
    <w:rsid w:val="008B1C72"/>
    <w:rsid w:val="008B7168"/>
    <w:rsid w:val="008C15A4"/>
    <w:rsid w:val="008C2A57"/>
    <w:rsid w:val="008D08ED"/>
    <w:rsid w:val="008F07EE"/>
    <w:rsid w:val="008F2685"/>
    <w:rsid w:val="009122E4"/>
    <w:rsid w:val="00927763"/>
    <w:rsid w:val="009504DB"/>
    <w:rsid w:val="00957216"/>
    <w:rsid w:val="00962D51"/>
    <w:rsid w:val="0097465F"/>
    <w:rsid w:val="0097493A"/>
    <w:rsid w:val="009831F5"/>
    <w:rsid w:val="0098470F"/>
    <w:rsid w:val="00991874"/>
    <w:rsid w:val="00992411"/>
    <w:rsid w:val="009965F8"/>
    <w:rsid w:val="009B2BE4"/>
    <w:rsid w:val="009B3CAE"/>
    <w:rsid w:val="009B4C9A"/>
    <w:rsid w:val="009B56DF"/>
    <w:rsid w:val="009D272B"/>
    <w:rsid w:val="009E25C2"/>
    <w:rsid w:val="009E30DB"/>
    <w:rsid w:val="009F2A2A"/>
    <w:rsid w:val="009F2CCD"/>
    <w:rsid w:val="009F49E8"/>
    <w:rsid w:val="00A06825"/>
    <w:rsid w:val="00A076A2"/>
    <w:rsid w:val="00A141FD"/>
    <w:rsid w:val="00A20DC9"/>
    <w:rsid w:val="00A25C74"/>
    <w:rsid w:val="00A40142"/>
    <w:rsid w:val="00A45A9E"/>
    <w:rsid w:val="00A46D8B"/>
    <w:rsid w:val="00A52441"/>
    <w:rsid w:val="00A605B9"/>
    <w:rsid w:val="00A61079"/>
    <w:rsid w:val="00A65C97"/>
    <w:rsid w:val="00A75110"/>
    <w:rsid w:val="00A77251"/>
    <w:rsid w:val="00A7793A"/>
    <w:rsid w:val="00A827DD"/>
    <w:rsid w:val="00A84BC9"/>
    <w:rsid w:val="00A918BE"/>
    <w:rsid w:val="00A96BC2"/>
    <w:rsid w:val="00AA41C1"/>
    <w:rsid w:val="00AA5ECE"/>
    <w:rsid w:val="00AB7076"/>
    <w:rsid w:val="00AC2F1C"/>
    <w:rsid w:val="00AD501F"/>
    <w:rsid w:val="00AE5959"/>
    <w:rsid w:val="00AF3532"/>
    <w:rsid w:val="00AF4B74"/>
    <w:rsid w:val="00B007FB"/>
    <w:rsid w:val="00B1051E"/>
    <w:rsid w:val="00B32872"/>
    <w:rsid w:val="00B34D6C"/>
    <w:rsid w:val="00B36FBA"/>
    <w:rsid w:val="00B44475"/>
    <w:rsid w:val="00B45186"/>
    <w:rsid w:val="00B70830"/>
    <w:rsid w:val="00B71B26"/>
    <w:rsid w:val="00B72057"/>
    <w:rsid w:val="00B74402"/>
    <w:rsid w:val="00B77612"/>
    <w:rsid w:val="00B77BBD"/>
    <w:rsid w:val="00B82A2D"/>
    <w:rsid w:val="00B8464B"/>
    <w:rsid w:val="00B8487B"/>
    <w:rsid w:val="00BA1886"/>
    <w:rsid w:val="00BA7810"/>
    <w:rsid w:val="00BA7D10"/>
    <w:rsid w:val="00BB050D"/>
    <w:rsid w:val="00BC0876"/>
    <w:rsid w:val="00BC7AA8"/>
    <w:rsid w:val="00BE01E1"/>
    <w:rsid w:val="00BE0B7F"/>
    <w:rsid w:val="00BE2719"/>
    <w:rsid w:val="00BF2FE6"/>
    <w:rsid w:val="00C12458"/>
    <w:rsid w:val="00C13C05"/>
    <w:rsid w:val="00C26CA1"/>
    <w:rsid w:val="00C308E5"/>
    <w:rsid w:val="00C37F8D"/>
    <w:rsid w:val="00C510F5"/>
    <w:rsid w:val="00C51F93"/>
    <w:rsid w:val="00C57564"/>
    <w:rsid w:val="00C81A87"/>
    <w:rsid w:val="00C8489E"/>
    <w:rsid w:val="00C85E77"/>
    <w:rsid w:val="00C8767D"/>
    <w:rsid w:val="00C933F4"/>
    <w:rsid w:val="00C9356F"/>
    <w:rsid w:val="00CA0667"/>
    <w:rsid w:val="00CA59E1"/>
    <w:rsid w:val="00CA734F"/>
    <w:rsid w:val="00CB2638"/>
    <w:rsid w:val="00CC3777"/>
    <w:rsid w:val="00CC37BC"/>
    <w:rsid w:val="00CC37F3"/>
    <w:rsid w:val="00CD51FE"/>
    <w:rsid w:val="00D04FAC"/>
    <w:rsid w:val="00D0563B"/>
    <w:rsid w:val="00D248B4"/>
    <w:rsid w:val="00D442A5"/>
    <w:rsid w:val="00D44E21"/>
    <w:rsid w:val="00D46446"/>
    <w:rsid w:val="00D46EB2"/>
    <w:rsid w:val="00D50FCA"/>
    <w:rsid w:val="00D51E31"/>
    <w:rsid w:val="00D579D9"/>
    <w:rsid w:val="00D63CF6"/>
    <w:rsid w:val="00D7086B"/>
    <w:rsid w:val="00D74CEB"/>
    <w:rsid w:val="00DA5465"/>
    <w:rsid w:val="00DA640E"/>
    <w:rsid w:val="00DB41A5"/>
    <w:rsid w:val="00DC4BBF"/>
    <w:rsid w:val="00DD3960"/>
    <w:rsid w:val="00DE1043"/>
    <w:rsid w:val="00DE1F32"/>
    <w:rsid w:val="00DE3F0E"/>
    <w:rsid w:val="00DE443C"/>
    <w:rsid w:val="00DE6BCC"/>
    <w:rsid w:val="00DF69F7"/>
    <w:rsid w:val="00E03DBC"/>
    <w:rsid w:val="00E327F5"/>
    <w:rsid w:val="00E478C7"/>
    <w:rsid w:val="00E5128C"/>
    <w:rsid w:val="00E540FC"/>
    <w:rsid w:val="00E55877"/>
    <w:rsid w:val="00E760B6"/>
    <w:rsid w:val="00E832BD"/>
    <w:rsid w:val="00E8628B"/>
    <w:rsid w:val="00EA3715"/>
    <w:rsid w:val="00EC13AA"/>
    <w:rsid w:val="00EC49AC"/>
    <w:rsid w:val="00ED0D15"/>
    <w:rsid w:val="00ED3260"/>
    <w:rsid w:val="00ED3622"/>
    <w:rsid w:val="00EE3369"/>
    <w:rsid w:val="00EF4AC2"/>
    <w:rsid w:val="00EF75C9"/>
    <w:rsid w:val="00F07167"/>
    <w:rsid w:val="00F120BB"/>
    <w:rsid w:val="00F1581E"/>
    <w:rsid w:val="00F2383E"/>
    <w:rsid w:val="00F24695"/>
    <w:rsid w:val="00F41F4C"/>
    <w:rsid w:val="00F60E65"/>
    <w:rsid w:val="00F61346"/>
    <w:rsid w:val="00F642F3"/>
    <w:rsid w:val="00F70023"/>
    <w:rsid w:val="00F7020A"/>
    <w:rsid w:val="00F723A9"/>
    <w:rsid w:val="00F82931"/>
    <w:rsid w:val="00F93AF2"/>
    <w:rsid w:val="00F93CA2"/>
    <w:rsid w:val="00FA424F"/>
    <w:rsid w:val="00FC4CDC"/>
    <w:rsid w:val="00FC6AB9"/>
    <w:rsid w:val="00FD37BD"/>
    <w:rsid w:val="00FE1C29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1169"/>
  <w15:chartTrackingRefBased/>
  <w15:docId w15:val="{C91BD853-BC2A-425D-83C6-8193185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ft"/>
    <w:basedOn w:val="a"/>
    <w:link w:val="a5"/>
    <w:uiPriority w:val="99"/>
    <w:unhideWhenUsed/>
    <w:qFormat/>
    <w:rsid w:val="002F2FB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link w:val="a4"/>
    <w:uiPriority w:val="99"/>
    <w:qFormat/>
    <w:rsid w:val="002F2FBC"/>
    <w:rPr>
      <w:rFonts w:ascii="Times New Roman" w:eastAsia="Times New Roman" w:hAnsi="Times New Roman"/>
      <w:lang w:val="x-none" w:eastAsia="x-none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unhideWhenUsed/>
    <w:qFormat/>
    <w:rsid w:val="002F2FB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85E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85E7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5E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85E77"/>
    <w:rPr>
      <w:sz w:val="22"/>
      <w:szCs w:val="22"/>
      <w:lang w:eastAsia="en-US"/>
    </w:rPr>
  </w:style>
  <w:style w:type="paragraph" w:customStyle="1" w:styleId="1">
    <w:name w:val="Знак сноски1"/>
    <w:link w:val="a6"/>
    <w:uiPriority w:val="99"/>
    <w:rsid w:val="000C23FA"/>
    <w:rPr>
      <w:vertAlign w:val="superscript"/>
    </w:rPr>
  </w:style>
  <w:style w:type="paragraph" w:customStyle="1" w:styleId="Footnote">
    <w:name w:val="Footnote"/>
    <w:basedOn w:val="a"/>
    <w:rsid w:val="000C23FA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6BCC"/>
    <w:pPr>
      <w:ind w:left="708"/>
    </w:pPr>
  </w:style>
  <w:style w:type="paragraph" w:styleId="ac">
    <w:name w:val="Title"/>
    <w:basedOn w:val="a"/>
    <w:next w:val="a"/>
    <w:link w:val="ad"/>
    <w:qFormat/>
    <w:rsid w:val="00BE0B7F"/>
    <w:pPr>
      <w:keepNext/>
      <w:keepLines/>
      <w:spacing w:after="60" w:line="276" w:lineRule="auto"/>
      <w:jc w:val="both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d">
    <w:name w:val="Заголовок Знак"/>
    <w:link w:val="ac"/>
    <w:rsid w:val="00BE0B7F"/>
    <w:rPr>
      <w:rFonts w:ascii="Arial" w:eastAsia="Arial" w:hAnsi="Arial" w:cs="Arial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96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62D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E3D6-A2D1-40E9-A2CB-C3A87F15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cp:lastModifiedBy>Курочкина Марина Леонидовна</cp:lastModifiedBy>
  <cp:revision>3</cp:revision>
  <cp:lastPrinted>2023-05-04T15:25:00Z</cp:lastPrinted>
  <dcterms:created xsi:type="dcterms:W3CDTF">2024-06-05T07:54:00Z</dcterms:created>
  <dcterms:modified xsi:type="dcterms:W3CDTF">2024-06-05T11:24:00Z</dcterms:modified>
</cp:coreProperties>
</file>