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573F" w14:textId="1E2817BE" w:rsidR="003C0E47" w:rsidRPr="003E2BD1" w:rsidRDefault="003C0E47" w:rsidP="003C0E47">
      <w:pPr>
        <w:spacing w:line="240" w:lineRule="auto"/>
        <w:ind w:left="5954" w:firstLine="0"/>
        <w:jc w:val="center"/>
        <w:rPr>
          <w:bCs/>
          <w:szCs w:val="28"/>
        </w:rPr>
      </w:pPr>
      <w:bookmarkStart w:id="0" w:name="_GoBack"/>
      <w:bookmarkEnd w:id="0"/>
      <w:r w:rsidRPr="003E2BD1">
        <w:rPr>
          <w:bCs/>
          <w:szCs w:val="28"/>
        </w:rPr>
        <w:t>Приложение № 1</w:t>
      </w:r>
      <w:r w:rsidR="002E5870" w:rsidRPr="003E2BD1">
        <w:rPr>
          <w:bCs/>
          <w:szCs w:val="28"/>
        </w:rPr>
        <w:t>6</w:t>
      </w:r>
    </w:p>
    <w:p w14:paraId="5F9CCBE0" w14:textId="77777777" w:rsidR="003C0E47" w:rsidRPr="003E2BD1" w:rsidRDefault="003C0E47" w:rsidP="003C0E47">
      <w:pPr>
        <w:spacing w:line="240" w:lineRule="auto"/>
        <w:ind w:left="5954" w:firstLine="0"/>
        <w:jc w:val="center"/>
        <w:rPr>
          <w:bCs/>
          <w:szCs w:val="28"/>
        </w:rPr>
      </w:pPr>
      <w:r w:rsidRPr="003E2BD1">
        <w:rPr>
          <w:bCs/>
          <w:szCs w:val="28"/>
        </w:rPr>
        <w:t>к отчету по результатам</w:t>
      </w:r>
    </w:p>
    <w:p w14:paraId="64871E47" w14:textId="77777777" w:rsidR="00787967" w:rsidRDefault="003C0E47" w:rsidP="003C0E47">
      <w:pPr>
        <w:spacing w:line="240" w:lineRule="auto"/>
        <w:ind w:left="5954" w:firstLine="0"/>
        <w:jc w:val="center"/>
        <w:rPr>
          <w:bCs/>
          <w:szCs w:val="28"/>
        </w:rPr>
      </w:pPr>
      <w:r w:rsidRPr="003E2BD1">
        <w:rPr>
          <w:bCs/>
          <w:szCs w:val="28"/>
        </w:rPr>
        <w:t xml:space="preserve">экспертно-аналитического мероприятия </w:t>
      </w:r>
    </w:p>
    <w:p w14:paraId="1D462EDD" w14:textId="2EA1680E" w:rsidR="003C0E47" w:rsidRPr="003E2BD1" w:rsidRDefault="003C0E47" w:rsidP="003C0E47">
      <w:pPr>
        <w:spacing w:line="240" w:lineRule="auto"/>
        <w:ind w:left="5954" w:firstLine="0"/>
        <w:jc w:val="center"/>
        <w:rPr>
          <w:bCs/>
          <w:szCs w:val="28"/>
        </w:rPr>
      </w:pPr>
      <w:r w:rsidRPr="003E2BD1">
        <w:rPr>
          <w:bCs/>
          <w:szCs w:val="28"/>
        </w:rPr>
        <w:t xml:space="preserve">от </w:t>
      </w:r>
      <w:r w:rsidR="00787967">
        <w:rPr>
          <w:bCs/>
          <w:szCs w:val="28"/>
        </w:rPr>
        <w:t xml:space="preserve">30 января </w:t>
      </w:r>
      <w:r w:rsidRPr="003E2BD1">
        <w:rPr>
          <w:bCs/>
          <w:szCs w:val="28"/>
        </w:rPr>
        <w:t>202</w:t>
      </w:r>
      <w:r w:rsidR="000C61F7">
        <w:rPr>
          <w:bCs/>
          <w:szCs w:val="28"/>
        </w:rPr>
        <w:t>5</w:t>
      </w:r>
      <w:r w:rsidRPr="003E2BD1">
        <w:rPr>
          <w:bCs/>
          <w:szCs w:val="28"/>
        </w:rPr>
        <w:t xml:space="preserve"> г.</w:t>
      </w:r>
    </w:p>
    <w:p w14:paraId="18EB3FA2" w14:textId="0332C89F" w:rsidR="00DF48E1" w:rsidRPr="003E2BD1" w:rsidRDefault="003C0E47" w:rsidP="003C0E47">
      <w:pPr>
        <w:spacing w:line="240" w:lineRule="auto"/>
        <w:ind w:left="5954" w:firstLine="0"/>
        <w:jc w:val="center"/>
        <w:rPr>
          <w:bCs/>
          <w:szCs w:val="28"/>
        </w:rPr>
      </w:pPr>
      <w:r w:rsidRPr="003E2BD1">
        <w:rPr>
          <w:bCs/>
          <w:szCs w:val="28"/>
        </w:rPr>
        <w:t xml:space="preserve">№ </w:t>
      </w:r>
      <w:r w:rsidR="00787967">
        <w:rPr>
          <w:bCs/>
          <w:szCs w:val="28"/>
        </w:rPr>
        <w:t>ОМ-4/13-04</w:t>
      </w:r>
    </w:p>
    <w:p w14:paraId="7EADEFF9" w14:textId="77777777" w:rsidR="003C0E47" w:rsidRPr="003E2BD1" w:rsidRDefault="003C0E47" w:rsidP="003C0E47">
      <w:pPr>
        <w:spacing w:line="240" w:lineRule="auto"/>
        <w:rPr>
          <w:b/>
        </w:rPr>
      </w:pPr>
    </w:p>
    <w:p w14:paraId="40DB0999" w14:textId="738F0DE7" w:rsidR="000206CE" w:rsidRPr="003E2BD1" w:rsidRDefault="008A3CF0" w:rsidP="003C0E47">
      <w:pPr>
        <w:spacing w:line="240" w:lineRule="auto"/>
        <w:ind w:firstLine="0"/>
        <w:jc w:val="center"/>
        <w:rPr>
          <w:b/>
        </w:rPr>
      </w:pPr>
      <w:r w:rsidRPr="003E2BD1">
        <w:rPr>
          <w:b/>
        </w:rPr>
        <w:t xml:space="preserve">Оценка значимости результатов деятельности АО «КРДВ» </w:t>
      </w:r>
      <w:r w:rsidR="003C0E47" w:rsidRPr="003E2BD1">
        <w:rPr>
          <w:b/>
        </w:rPr>
        <w:br/>
      </w:r>
      <w:r w:rsidRPr="003E2BD1">
        <w:rPr>
          <w:b/>
        </w:rPr>
        <w:t>по обеспечению ускоренного социально-экономического развития субъектов Дальневосточного федерального округа с использованием метода однофакторного дисперсионного анализа (</w:t>
      </w:r>
      <w:r w:rsidRPr="003E2BD1">
        <w:rPr>
          <w:b/>
          <w:lang w:val="en-US"/>
        </w:rPr>
        <w:t>ANOVA</w:t>
      </w:r>
      <w:r w:rsidRPr="003E2BD1">
        <w:rPr>
          <w:b/>
        </w:rPr>
        <w:t>)</w:t>
      </w:r>
    </w:p>
    <w:p w14:paraId="6EB4A10B" w14:textId="77777777" w:rsidR="00DC5663" w:rsidRPr="003E2BD1" w:rsidRDefault="00DC5663" w:rsidP="00DC5663">
      <w:pPr>
        <w:spacing w:line="240" w:lineRule="auto"/>
        <w:rPr>
          <w:b/>
        </w:rPr>
      </w:pPr>
    </w:p>
    <w:p w14:paraId="37AC2AA0" w14:textId="77777777" w:rsidR="00E54024" w:rsidRPr="003E2BD1" w:rsidRDefault="00E54024" w:rsidP="00E54024">
      <w:r w:rsidRPr="003E2BD1">
        <w:t xml:space="preserve">Оценка значимости результатов деятельности АО «КРДВ» по обеспечению ускоренного социально-экономического развития субъектов Дальневосточного федерального округа была дополнительно проведена с использованием метода однофакторного дисперсионного анализа (ANOVA). </w:t>
      </w:r>
    </w:p>
    <w:p w14:paraId="2C56B780" w14:textId="11CA9890" w:rsidR="008B74B3" w:rsidRPr="003E2BD1" w:rsidRDefault="008B74B3" w:rsidP="00940E19">
      <w:pPr>
        <w:rPr>
          <w:b/>
          <w:bCs/>
        </w:rPr>
      </w:pPr>
      <w:r w:rsidRPr="003E2BD1">
        <w:rPr>
          <w:b/>
          <w:bCs/>
        </w:rPr>
        <w:t>Краткая характеристика метода однофакторного дисперсионного анализа (</w:t>
      </w:r>
      <w:r w:rsidRPr="003E2BD1">
        <w:rPr>
          <w:b/>
          <w:bCs/>
          <w:lang w:val="en-GB"/>
        </w:rPr>
        <w:t>ANOVA</w:t>
      </w:r>
      <w:r w:rsidRPr="003E2BD1">
        <w:rPr>
          <w:b/>
          <w:bCs/>
        </w:rPr>
        <w:t>)</w:t>
      </w:r>
    </w:p>
    <w:p w14:paraId="3DE4B111" w14:textId="3CF2092C" w:rsidR="00E54024" w:rsidRPr="003E2BD1" w:rsidRDefault="00DD2314" w:rsidP="00940E19">
      <w:r w:rsidRPr="003E2BD1">
        <w:t xml:space="preserve">Однофакторный </w:t>
      </w:r>
      <w:r w:rsidR="00E54024" w:rsidRPr="003E2BD1">
        <w:t xml:space="preserve">ANOVA позволяет выявить, существует ли статистически значимое различие средних значений по </w:t>
      </w:r>
      <w:r w:rsidRPr="003E2BD1">
        <w:t xml:space="preserve">отдельно взятому параметру </w:t>
      </w:r>
      <w:r w:rsidR="00E54024" w:rsidRPr="003E2BD1">
        <w:t>между несколькими группами объектов, различающи</w:t>
      </w:r>
      <w:r w:rsidR="00940E19" w:rsidRPr="003E2BD1">
        <w:t>ми</w:t>
      </w:r>
      <w:r w:rsidR="00E54024" w:rsidRPr="003E2BD1">
        <w:t>ся друг между другом по определённому признаку (фактору).</w:t>
      </w:r>
    </w:p>
    <w:p w14:paraId="5248B5A3" w14:textId="63C3FCC5" w:rsidR="00DD2314" w:rsidRPr="003E2BD1" w:rsidRDefault="00DD2314" w:rsidP="00940E19">
      <w:r w:rsidRPr="003E2BD1">
        <w:t xml:space="preserve">Входными данными для однофакторного ANOVA являются значения зависимой переменной и групповой фактор (признак, </w:t>
      </w:r>
      <w:r w:rsidR="00B33018" w:rsidRPr="003E2BD1">
        <w:t>по которому исследуемая выборка разделяется на группы; в случае проводимого анализа — вхождение / не вхождение субъекта Российской Федерации в состав Дальневосточного федерального округа</w:t>
      </w:r>
      <w:r w:rsidR="004D7093" w:rsidRPr="003E2BD1">
        <w:t xml:space="preserve"> и </w:t>
      </w:r>
      <w:r w:rsidR="00B143D3" w:rsidRPr="003E2BD1">
        <w:t xml:space="preserve">распространение </w:t>
      </w:r>
      <w:r w:rsidR="004D7093" w:rsidRPr="003E2BD1">
        <w:t xml:space="preserve">/ не распространение вследствие этого </w:t>
      </w:r>
      <w:r w:rsidR="00B143D3" w:rsidRPr="003E2BD1">
        <w:t>на субъект Российской Федерации деятельности АО «КРДВ»</w:t>
      </w:r>
      <w:r w:rsidR="00B33018" w:rsidRPr="003E2BD1">
        <w:t>)</w:t>
      </w:r>
      <w:r w:rsidRPr="003E2BD1">
        <w:t>.</w:t>
      </w:r>
    </w:p>
    <w:p w14:paraId="5EB841AD" w14:textId="37D8716F" w:rsidR="00DD2314" w:rsidRPr="003E2BD1" w:rsidRDefault="00846483" w:rsidP="00846483">
      <w:r w:rsidRPr="003E2BD1">
        <w:t>Суть однофакторного дисперсионного анализа заключается в сравнении дисперсии исследуемого показателя, обусловленной действием фактора (дифференцирующего признака), с дисперсией ошибок измерения этого показателя. Если различие между ними значимо, то фактор оказывает существенное влияние на исследуемый показатель.</w:t>
      </w:r>
    </w:p>
    <w:p w14:paraId="66A4FC62" w14:textId="62349FCF" w:rsidR="00C536FA" w:rsidRPr="003E2BD1" w:rsidRDefault="00846483" w:rsidP="00846483">
      <w:r w:rsidRPr="003E2BD1">
        <w:lastRenderedPageBreak/>
        <w:t>В ходе однофакторного ANOVA проводится проверка нулевой гипотезы, которая предполагает</w:t>
      </w:r>
      <w:r w:rsidR="00C536FA" w:rsidRPr="003E2BD1">
        <w:t xml:space="preserve">, что </w:t>
      </w:r>
      <w:r w:rsidR="00B143D3" w:rsidRPr="003E2BD1">
        <w:t>средн</w:t>
      </w:r>
      <w:r w:rsidR="006B3E09" w:rsidRPr="003E2BD1">
        <w:t>ие</w:t>
      </w:r>
      <w:r w:rsidR="00B143D3" w:rsidRPr="003E2BD1">
        <w:t xml:space="preserve"> значени</w:t>
      </w:r>
      <w:r w:rsidR="006B3E09" w:rsidRPr="003E2BD1">
        <w:t>я</w:t>
      </w:r>
      <w:r w:rsidR="00B143D3" w:rsidRPr="003E2BD1">
        <w:t xml:space="preserve"> показателя </w:t>
      </w:r>
      <w:r w:rsidR="00C536FA" w:rsidRPr="003E2BD1">
        <w:t>одинаков</w:t>
      </w:r>
      <w:r w:rsidR="006B3E09" w:rsidRPr="003E2BD1">
        <w:t>ы</w:t>
      </w:r>
      <w:r w:rsidR="00C536FA" w:rsidRPr="003E2BD1">
        <w:t xml:space="preserve"> </w:t>
      </w:r>
      <w:r w:rsidR="00B143D3" w:rsidRPr="003E2BD1">
        <w:t>во всех исследуемых группах</w:t>
      </w:r>
      <w:r w:rsidR="006B3E09" w:rsidRPr="003E2BD1">
        <w:t xml:space="preserve"> или отличаются в пределах случайных различий</w:t>
      </w:r>
      <w:r w:rsidR="00B143D3" w:rsidRPr="003E2BD1">
        <w:t xml:space="preserve">. Проверка гипотезы осуществляется </w:t>
      </w:r>
      <w:r w:rsidR="00C536FA" w:rsidRPr="003E2BD1">
        <w:t>в три шага:</w:t>
      </w:r>
    </w:p>
    <w:p w14:paraId="1F3B4DD7" w14:textId="7ED59CB5" w:rsidR="00846483" w:rsidRPr="003E2BD1" w:rsidRDefault="00C536FA" w:rsidP="00846483">
      <w:r w:rsidRPr="003E2BD1">
        <w:t>Шаг 1.</w:t>
      </w:r>
      <w:r w:rsidR="00B143D3" w:rsidRPr="003E2BD1">
        <w:t xml:space="preserve"> </w:t>
      </w:r>
      <w:r w:rsidRPr="003E2BD1">
        <w:t>Р</w:t>
      </w:r>
      <w:r w:rsidR="00B143D3" w:rsidRPr="003E2BD1">
        <w:t xml:space="preserve">асчёт </w:t>
      </w:r>
      <w:r w:rsidR="00B143D3" w:rsidRPr="003E2BD1">
        <w:rPr>
          <w:lang w:val="en-GB"/>
        </w:rPr>
        <w:t>F</w:t>
      </w:r>
      <w:r w:rsidR="00B143D3" w:rsidRPr="003E2BD1">
        <w:t>-критерия Фишера</w:t>
      </w:r>
      <w:r w:rsidRPr="003E2BD1">
        <w:t xml:space="preserve"> по формуле:</w:t>
      </w:r>
    </w:p>
    <w:p w14:paraId="0914D716" w14:textId="5F91DC3D" w:rsidR="00C536FA" w:rsidRPr="003E2BD1" w:rsidRDefault="00C536FA" w:rsidP="00846483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GB"/>
            </w:rPr>
            <m:t>F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MSB</m:t>
              </m:r>
            </m:num>
            <m:den>
              <m:r>
                <w:rPr>
                  <w:rFonts w:ascii="Cambria Math" w:hAnsi="Cambria Math"/>
                  <w:lang w:val="en-GB"/>
                </w:rPr>
                <m:t>MSW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GB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GB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GB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GB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GB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GB"/>
                                </w:rPr>
                                <m:t>o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m</m:t>
                  </m:r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i</m:t>
                          </m:r>
                        </m:sub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ji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GB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GB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GB"/>
                                        </w:rP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GB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nary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lang w:val="en-GB"/>
                    </w:rPr>
                    <m:t>m</m:t>
                  </m:r>
                </m:den>
              </m:f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0F3B235F" w14:textId="11F00126" w:rsidR="009D69A5" w:rsidRPr="003E2BD1" w:rsidRDefault="009D69A5" w:rsidP="00846483">
      <w:pPr>
        <w:rPr>
          <w:rFonts w:eastAsiaTheme="minorEastAsia"/>
        </w:rPr>
      </w:pPr>
      <w:r w:rsidRPr="003E2BD1">
        <w:rPr>
          <w:rFonts w:eastAsiaTheme="minorEastAsia"/>
        </w:rPr>
        <w:t xml:space="preserve">где: </w:t>
      </w:r>
      <w:r w:rsidRPr="003E2BD1">
        <w:rPr>
          <w:rFonts w:eastAsiaTheme="minorEastAsia" w:cstheme="minorHAnsi"/>
          <w:i/>
          <w:iCs/>
          <w:lang w:val="en-GB"/>
        </w:rPr>
        <w:t>MSB</w:t>
      </w:r>
      <w:r w:rsidRPr="003E2BD1">
        <w:rPr>
          <w:rFonts w:ascii="Cambria Math" w:eastAsiaTheme="minorEastAsia" w:hAnsi="Cambria Math"/>
          <w:i/>
          <w:iCs/>
        </w:rPr>
        <w:t xml:space="preserve"> </w:t>
      </w:r>
      <w:r w:rsidRPr="003E2BD1">
        <w:rPr>
          <w:rFonts w:eastAsiaTheme="minorEastAsia"/>
        </w:rPr>
        <w:t>—</w:t>
      </w:r>
      <w:r w:rsidR="006B3E09" w:rsidRPr="003E2BD1">
        <w:rPr>
          <w:rFonts w:eastAsiaTheme="minorEastAsia"/>
        </w:rPr>
        <w:t xml:space="preserve"> межгрупповой средний квадрат отклонений,</w:t>
      </w:r>
    </w:p>
    <w:p w14:paraId="074FA57A" w14:textId="765C9165" w:rsidR="009D69A5" w:rsidRPr="003E2BD1" w:rsidRDefault="009D69A5" w:rsidP="00846483">
      <w:pPr>
        <w:rPr>
          <w:rFonts w:eastAsiaTheme="minorEastAsia"/>
        </w:rPr>
      </w:pPr>
      <w:r w:rsidRPr="003E2BD1">
        <w:rPr>
          <w:rFonts w:eastAsiaTheme="minorEastAsia" w:cstheme="minorHAnsi"/>
          <w:i/>
          <w:iCs/>
          <w:lang w:val="en-GB"/>
        </w:rPr>
        <w:t>MSW</w:t>
      </w:r>
      <w:r w:rsidRPr="003E2BD1">
        <w:rPr>
          <w:rFonts w:eastAsiaTheme="minorEastAsia"/>
        </w:rPr>
        <w:t xml:space="preserve"> —</w:t>
      </w:r>
      <w:r w:rsidR="006B3E09" w:rsidRPr="003E2BD1">
        <w:rPr>
          <w:rFonts w:eastAsiaTheme="minorEastAsia"/>
        </w:rPr>
        <w:t xml:space="preserve"> внутригрупповой средний квадрат отклонений,</w:t>
      </w:r>
    </w:p>
    <w:p w14:paraId="1583C9D3" w14:textId="49ABEBDF" w:rsidR="009D69A5" w:rsidRPr="003E2BD1" w:rsidRDefault="00340689" w:rsidP="00846483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j</m:t>
            </m:r>
          </m:sub>
        </m:sSub>
      </m:oMath>
      <w:r w:rsidR="009D69A5" w:rsidRPr="003E2BD1">
        <w:rPr>
          <w:rFonts w:eastAsiaTheme="minorEastAsia"/>
        </w:rPr>
        <w:t xml:space="preserve"> —</w:t>
      </w:r>
      <w:r w:rsidR="006B3E09" w:rsidRPr="003E2BD1">
        <w:rPr>
          <w:rFonts w:eastAsiaTheme="minorEastAsia"/>
        </w:rPr>
        <w:t xml:space="preserve"> среднее арифметическое значение показателя в </w:t>
      </w:r>
      <w:r w:rsidR="006B3E09" w:rsidRPr="003E2BD1">
        <w:rPr>
          <w:rFonts w:eastAsiaTheme="minorEastAsia"/>
          <w:i/>
          <w:iCs/>
          <w:lang w:val="en-GB"/>
        </w:rPr>
        <w:t>j</w:t>
      </w:r>
      <w:r w:rsidR="006B3E09" w:rsidRPr="003E2BD1">
        <w:rPr>
          <w:rFonts w:eastAsiaTheme="minorEastAsia"/>
        </w:rPr>
        <w:t>-ой группе,</w:t>
      </w:r>
    </w:p>
    <w:p w14:paraId="5A6A8963" w14:textId="2F52B0E5" w:rsidR="009D69A5" w:rsidRPr="003E2BD1" w:rsidRDefault="00340689" w:rsidP="006B3E09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o</m:t>
            </m:r>
          </m:sub>
        </m:sSub>
      </m:oMath>
      <w:r w:rsidR="009D69A5" w:rsidRPr="003E2BD1">
        <w:rPr>
          <w:rFonts w:eastAsiaTheme="minorEastAsia"/>
        </w:rPr>
        <w:t xml:space="preserve"> — </w:t>
      </w:r>
      <w:r w:rsidR="006B3E09" w:rsidRPr="003E2BD1">
        <w:rPr>
          <w:rFonts w:eastAsiaTheme="minorEastAsia"/>
        </w:rPr>
        <w:t>среднее арифметическое значение показателя по всей исследуемой выборке,</w:t>
      </w:r>
    </w:p>
    <w:p w14:paraId="5B9DFF53" w14:textId="0CC95014" w:rsidR="009D69A5" w:rsidRPr="003E2BD1" w:rsidRDefault="00340689" w:rsidP="00846483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y</m:t>
            </m:r>
          </m:e>
          <m:sub>
            <m:r>
              <w:rPr>
                <w:rFonts w:ascii="Cambria Math" w:hAnsi="Cambria Math"/>
                <w:lang w:val="en-GB"/>
              </w:rPr>
              <m:t>ji</m:t>
            </m:r>
          </m:sub>
        </m:sSub>
      </m:oMath>
      <w:r w:rsidR="009D69A5" w:rsidRPr="003E2BD1">
        <w:rPr>
          <w:rFonts w:eastAsiaTheme="minorEastAsia"/>
        </w:rPr>
        <w:t xml:space="preserve"> </w:t>
      </w:r>
      <w:r w:rsidR="006B3E09" w:rsidRPr="003E2BD1">
        <w:rPr>
          <w:rFonts w:eastAsiaTheme="minorEastAsia"/>
        </w:rPr>
        <w:t xml:space="preserve">— значение показателя </w:t>
      </w:r>
      <w:proofErr w:type="spellStart"/>
      <w:r w:rsidR="006B3E09" w:rsidRPr="003E2BD1">
        <w:rPr>
          <w:rFonts w:eastAsiaTheme="minorEastAsia"/>
          <w:i/>
          <w:iCs/>
          <w:lang w:val="en-GB"/>
        </w:rPr>
        <w:t>i</w:t>
      </w:r>
      <w:proofErr w:type="spellEnd"/>
      <w:r w:rsidR="006B3E09" w:rsidRPr="003E2BD1">
        <w:rPr>
          <w:rFonts w:eastAsiaTheme="minorEastAsia"/>
        </w:rPr>
        <w:t xml:space="preserve">-ого объекта </w:t>
      </w:r>
      <w:r w:rsidR="006B3E09" w:rsidRPr="003E2BD1">
        <w:rPr>
          <w:rFonts w:eastAsiaTheme="minorEastAsia"/>
          <w:i/>
          <w:iCs/>
          <w:lang w:val="en-GB"/>
        </w:rPr>
        <w:t>j</w:t>
      </w:r>
      <w:r w:rsidR="006B3E09" w:rsidRPr="003E2BD1">
        <w:rPr>
          <w:rFonts w:eastAsiaTheme="minorEastAsia"/>
        </w:rPr>
        <w:t>-ой группы,</w:t>
      </w:r>
    </w:p>
    <w:p w14:paraId="28B75463" w14:textId="6CC2DDFD" w:rsidR="006B3E09" w:rsidRPr="003E2BD1" w:rsidRDefault="006B3E09" w:rsidP="006B3E09">
      <w:pPr>
        <w:rPr>
          <w:rFonts w:eastAsiaTheme="minorEastAsia" w:cstheme="minorHAnsi"/>
        </w:rPr>
      </w:pPr>
      <w:r w:rsidRPr="003E2BD1">
        <w:rPr>
          <w:rFonts w:eastAsiaTheme="minorEastAsia" w:cstheme="minorHAnsi"/>
          <w:i/>
          <w:iCs/>
          <w:lang w:val="en-GB"/>
        </w:rPr>
        <w:t>n</w:t>
      </w:r>
      <w:r w:rsidRPr="003E2BD1">
        <w:rPr>
          <w:rFonts w:eastAsiaTheme="minorEastAsia" w:cstheme="minorHAnsi"/>
        </w:rPr>
        <w:t xml:space="preserve"> — общее совокупное число объектов выборки,</w:t>
      </w:r>
    </w:p>
    <w:p w14:paraId="76DBDFC4" w14:textId="70F3EE8E" w:rsidR="006B3E09" w:rsidRPr="003E2BD1" w:rsidRDefault="006B3E09" w:rsidP="00846483">
      <w:pPr>
        <w:rPr>
          <w:rFonts w:eastAsiaTheme="minorEastAsia" w:cstheme="minorHAnsi"/>
        </w:rPr>
      </w:pPr>
      <w:r w:rsidRPr="003E2BD1">
        <w:rPr>
          <w:rFonts w:eastAsiaTheme="minorEastAsia" w:cstheme="minorHAnsi"/>
          <w:i/>
          <w:iCs/>
          <w:lang w:val="en-GB"/>
        </w:rPr>
        <w:t>m</w:t>
      </w:r>
      <w:r w:rsidRPr="003E2BD1">
        <w:rPr>
          <w:rFonts w:eastAsiaTheme="minorEastAsia" w:cstheme="minorHAnsi"/>
        </w:rPr>
        <w:t xml:space="preserve"> — число групп, на которую разделена совокупная выборка объектов по заданному признаку.</w:t>
      </w:r>
    </w:p>
    <w:p w14:paraId="2F2953FA" w14:textId="07E38270" w:rsidR="00571FBD" w:rsidRPr="003E2BD1" w:rsidRDefault="00571FBD" w:rsidP="00846483">
      <w:r w:rsidRPr="003E2BD1">
        <w:rPr>
          <w:rFonts w:eastAsiaTheme="minorEastAsia" w:cstheme="minorHAnsi"/>
        </w:rPr>
        <w:t xml:space="preserve">Шаг 2. Определение критического значения </w:t>
      </w:r>
      <w:r w:rsidRPr="003E2BD1">
        <w:rPr>
          <w:lang w:val="en-GB"/>
        </w:rPr>
        <w:t>F</w:t>
      </w:r>
      <w:r w:rsidRPr="003E2BD1">
        <w:t>-критерия Фишера для заданного уровня значимости (стандартно — для уровня значимости 5% или 0,05) и числа степеней свободы межгрупповой дисперсии (</w:t>
      </w:r>
      <w:r w:rsidRPr="003E2BD1">
        <w:rPr>
          <w:i/>
          <w:iCs/>
          <w:lang w:val="en-GB"/>
        </w:rPr>
        <w:t>m</w:t>
      </w:r>
      <w:r w:rsidRPr="003E2BD1">
        <w:rPr>
          <w:i/>
          <w:iCs/>
        </w:rPr>
        <w:t>–1</w:t>
      </w:r>
      <w:r w:rsidRPr="003E2BD1">
        <w:t>) и внутригрупповой дисперсии (</w:t>
      </w:r>
      <w:r w:rsidRPr="003E2BD1">
        <w:rPr>
          <w:i/>
          <w:iCs/>
          <w:lang w:val="en-GB"/>
        </w:rPr>
        <w:t>n</w:t>
      </w:r>
      <w:r w:rsidRPr="003E2BD1">
        <w:rPr>
          <w:i/>
          <w:iCs/>
        </w:rPr>
        <w:t>–</w:t>
      </w:r>
      <w:r w:rsidRPr="003E2BD1">
        <w:rPr>
          <w:i/>
          <w:iCs/>
          <w:lang w:val="en-GB"/>
        </w:rPr>
        <w:t>m</w:t>
      </w:r>
      <w:r w:rsidRPr="003E2BD1">
        <w:t>)</w:t>
      </w:r>
      <w:r w:rsidR="00786C1C" w:rsidRPr="003E2BD1">
        <w:t xml:space="preserve"> по таблице критических значений </w:t>
      </w:r>
      <w:r w:rsidR="00786C1C" w:rsidRPr="003E2BD1">
        <w:rPr>
          <w:lang w:val="en-GB"/>
        </w:rPr>
        <w:t>F</w:t>
      </w:r>
      <w:r w:rsidR="00786C1C" w:rsidRPr="003E2BD1">
        <w:t>-критерия Фишера</w:t>
      </w:r>
      <w:r w:rsidR="00177B68" w:rsidRPr="003E2BD1">
        <w:rPr>
          <w:rStyle w:val="af3"/>
        </w:rPr>
        <w:footnoteReference w:id="1"/>
      </w:r>
      <w:r w:rsidR="00177B68" w:rsidRPr="003E2BD1">
        <w:t>.</w:t>
      </w:r>
    </w:p>
    <w:p w14:paraId="0CC2F734" w14:textId="510B2C43" w:rsidR="00177B68" w:rsidRPr="003E2BD1" w:rsidRDefault="00177B68" w:rsidP="00846483">
      <w:r w:rsidRPr="003E2BD1">
        <w:t xml:space="preserve">Шаг 3. Сравнение значения </w:t>
      </w:r>
      <w:r w:rsidRPr="003E2BD1">
        <w:rPr>
          <w:lang w:val="en-GB"/>
        </w:rPr>
        <w:t>F</w:t>
      </w:r>
      <w:r w:rsidRPr="003E2BD1">
        <w:t xml:space="preserve">-критерия Фишера, полученного при проведении анализа с заданными параметрами, с критическим </w:t>
      </w:r>
      <w:r w:rsidRPr="003E2BD1">
        <w:rPr>
          <w:rFonts w:eastAsiaTheme="minorEastAsia" w:cstheme="minorHAnsi"/>
        </w:rPr>
        <w:t xml:space="preserve">значением </w:t>
      </w:r>
      <w:r w:rsidRPr="003E2BD1">
        <w:rPr>
          <w:lang w:val="en-GB"/>
        </w:rPr>
        <w:t>F</w:t>
      </w:r>
      <w:r w:rsidRPr="003E2BD1">
        <w:t xml:space="preserve">-критерия Фишера. </w:t>
      </w:r>
    </w:p>
    <w:p w14:paraId="0CD47E04" w14:textId="01DE1C38" w:rsidR="00177B68" w:rsidRPr="003E2BD1" w:rsidRDefault="00177B68" w:rsidP="00846483">
      <w:r w:rsidRPr="003E2BD1">
        <w:rPr>
          <w:rFonts w:eastAsiaTheme="minorEastAsia" w:cstheme="minorHAnsi"/>
        </w:rPr>
        <w:t xml:space="preserve">В случае, если полученное значение </w:t>
      </w:r>
      <w:r w:rsidRPr="003E2BD1">
        <w:rPr>
          <w:lang w:val="en-GB"/>
        </w:rPr>
        <w:t>F</w:t>
      </w:r>
      <w:r w:rsidRPr="003E2BD1">
        <w:t xml:space="preserve">-критерия Фишера </w:t>
      </w:r>
      <w:r w:rsidR="00555AFD" w:rsidRPr="003E2BD1">
        <w:t xml:space="preserve">меньше критического (т.е. попадает в область допустимых значений), то нулевая </w:t>
      </w:r>
      <w:r w:rsidR="00555AFD" w:rsidRPr="003E2BD1">
        <w:lastRenderedPageBreak/>
        <w:t>гипотеза не отклоняется, что свидетельствует об отсутствии значимых различий показателя между исследуемыми группами.</w:t>
      </w:r>
    </w:p>
    <w:p w14:paraId="66391456" w14:textId="1D484B8D" w:rsidR="00555AFD" w:rsidRPr="003E2BD1" w:rsidRDefault="00555AFD" w:rsidP="00846483">
      <w:r w:rsidRPr="003E2BD1">
        <w:t xml:space="preserve">В случае, если </w:t>
      </w:r>
      <w:r w:rsidRPr="003E2BD1">
        <w:rPr>
          <w:rFonts w:eastAsiaTheme="minorEastAsia" w:cstheme="minorHAnsi"/>
        </w:rPr>
        <w:t xml:space="preserve">полученное значение </w:t>
      </w:r>
      <w:r w:rsidRPr="003E2BD1">
        <w:rPr>
          <w:lang w:val="en-GB"/>
        </w:rPr>
        <w:t>F</w:t>
      </w:r>
      <w:r w:rsidRPr="003E2BD1">
        <w:t>-критерия Фишера больше критического</w:t>
      </w:r>
      <w:r w:rsidR="000B51C1" w:rsidRPr="003E2BD1">
        <w:t xml:space="preserve"> (т.е. попадает в критическую область значений)</w:t>
      </w:r>
      <w:r w:rsidRPr="003E2BD1">
        <w:t>, нулевая гипотеза отклоняется, что означает наличие статистически значимых различий по показателю между группами.</w:t>
      </w:r>
    </w:p>
    <w:p w14:paraId="6A57F57A" w14:textId="2EDA43AC" w:rsidR="008B74B3" w:rsidRPr="003E2BD1" w:rsidRDefault="008B74B3" w:rsidP="00846483">
      <w:pPr>
        <w:rPr>
          <w:b/>
          <w:bCs/>
        </w:rPr>
      </w:pPr>
      <w:r w:rsidRPr="003E2BD1">
        <w:rPr>
          <w:b/>
          <w:bCs/>
        </w:rPr>
        <w:t xml:space="preserve">Особенности проведения однофакторного </w:t>
      </w:r>
      <w:r w:rsidRPr="003E2BD1">
        <w:rPr>
          <w:b/>
          <w:bCs/>
          <w:lang w:val="en-GB"/>
        </w:rPr>
        <w:t>ANOVA</w:t>
      </w:r>
      <w:r w:rsidRPr="003E2BD1">
        <w:rPr>
          <w:b/>
          <w:bCs/>
        </w:rPr>
        <w:t xml:space="preserve"> в рамках мероприятия</w:t>
      </w:r>
    </w:p>
    <w:p w14:paraId="721A0B08" w14:textId="6C2620B9" w:rsidR="008B74B3" w:rsidRPr="003E2BD1" w:rsidRDefault="000B51C1" w:rsidP="008B74B3">
      <w:r w:rsidRPr="003E2BD1">
        <w:t>В рамках мероприятия а</w:t>
      </w:r>
      <w:r w:rsidR="00CF18DD" w:rsidRPr="003E2BD1">
        <w:t xml:space="preserve">нализ проводился в программе Microsoft Excel с использованием функции «Однофакторный дисперсионный анализ» надстройки «Пакет анализа». При </w:t>
      </w:r>
      <w:r w:rsidRPr="003E2BD1">
        <w:t xml:space="preserve">проведении </w:t>
      </w:r>
      <w:r w:rsidRPr="003E2BD1">
        <w:rPr>
          <w:lang w:val="en-GB"/>
        </w:rPr>
        <w:t>ANOVA</w:t>
      </w:r>
      <w:r w:rsidRPr="003E2BD1">
        <w:t xml:space="preserve"> в программе дополнительно были рассчитаны </w:t>
      </w:r>
      <w:r w:rsidRPr="003E2BD1">
        <w:rPr>
          <w:lang w:val="en-GB"/>
        </w:rPr>
        <w:t>p</w:t>
      </w:r>
      <w:r w:rsidRPr="003E2BD1">
        <w:t xml:space="preserve">-значения, обозначающие вероятность попадания значения </w:t>
      </w:r>
      <w:r w:rsidRPr="003E2BD1">
        <w:rPr>
          <w:lang w:val="en-GB"/>
        </w:rPr>
        <w:t>F</w:t>
      </w:r>
      <w:r w:rsidRPr="003E2BD1">
        <w:t xml:space="preserve">-критерия Фишера в критическую область. В случае, если </w:t>
      </w:r>
      <w:r w:rsidRPr="003E2BD1">
        <w:rPr>
          <w:lang w:val="en-GB"/>
        </w:rPr>
        <w:t>p</w:t>
      </w:r>
      <w:r w:rsidRPr="003E2BD1">
        <w:t>-значение меньше заданного уровня значимости</w:t>
      </w:r>
      <w:r w:rsidR="004D7093" w:rsidRPr="003E2BD1">
        <w:t xml:space="preserve"> (анализ проводился для стандартного уровня значимости 5%),</w:t>
      </w:r>
      <w:r w:rsidRPr="003E2BD1">
        <w:t xml:space="preserve"> то нулевая гипотеза отвергается; в обратном случае — принимается.</w:t>
      </w:r>
    </w:p>
    <w:p w14:paraId="3B0E4297" w14:textId="7B7E88DA" w:rsidR="000B51C1" w:rsidRPr="003E2BD1" w:rsidRDefault="000B51C1" w:rsidP="000B51C1">
      <w:r w:rsidRPr="003E2BD1">
        <w:t xml:space="preserve">Посредством ANOVA была оценена статистическая значимость отличия средних темпов изменения ключевых социально-экономических параметров за период с 2015 года (год начала деятельности АО «КРДВ») по 2022 / 2023 год в субъектах ДФО от средних темпов изменения данных параметров в других субъектах Российской Федерации. </w:t>
      </w:r>
    </w:p>
    <w:p w14:paraId="037E1BC6" w14:textId="74810A36" w:rsidR="009935CB" w:rsidRPr="003E2BD1" w:rsidRDefault="004D7093" w:rsidP="00E54024">
      <w:r w:rsidRPr="003E2BD1">
        <w:t>Р</w:t>
      </w:r>
      <w:r w:rsidR="009935CB" w:rsidRPr="003E2BD1">
        <w:t>ассматривались нижеследующие четыре параметра (все измеряются в процентах к предыдущему году)</w:t>
      </w:r>
      <w:r w:rsidR="00940E19" w:rsidRPr="003E2BD1">
        <w:t>, отражающих социально-экономическую динамику развития субъектов Российской Федерации</w:t>
      </w:r>
      <w:r w:rsidR="009935CB" w:rsidRPr="003E2BD1">
        <w:t>:</w:t>
      </w:r>
    </w:p>
    <w:p w14:paraId="59295B8A" w14:textId="28213998" w:rsidR="009935CB" w:rsidRPr="003E2BD1" w:rsidRDefault="009935CB" w:rsidP="009935CB">
      <w:pPr>
        <w:pStyle w:val="a7"/>
        <w:numPr>
          <w:ilvl w:val="0"/>
          <w:numId w:val="1"/>
        </w:numPr>
      </w:pPr>
      <w:r w:rsidRPr="003E2BD1">
        <w:t>Индекс физического объема валового регионального продукта;</w:t>
      </w:r>
    </w:p>
    <w:p w14:paraId="1104745E" w14:textId="5899287E" w:rsidR="009935CB" w:rsidRPr="003E2BD1" w:rsidRDefault="009935CB" w:rsidP="009935CB">
      <w:pPr>
        <w:pStyle w:val="a7"/>
        <w:numPr>
          <w:ilvl w:val="0"/>
          <w:numId w:val="1"/>
        </w:numPr>
      </w:pPr>
      <w:r w:rsidRPr="003E2BD1">
        <w:t>Индекс физического объема инвестиций в основной капитал;</w:t>
      </w:r>
    </w:p>
    <w:p w14:paraId="547F9D2C" w14:textId="4EE0C857" w:rsidR="009935CB" w:rsidRPr="003E2BD1" w:rsidRDefault="009935CB" w:rsidP="009935CB">
      <w:pPr>
        <w:pStyle w:val="a7"/>
        <w:numPr>
          <w:ilvl w:val="0"/>
          <w:numId w:val="1"/>
        </w:numPr>
      </w:pPr>
      <w:r w:rsidRPr="003E2BD1">
        <w:t>Темп роста численности занятых в возрасте 15-72 лет (по данным выборочных обследований рабочей силы Росстата);</w:t>
      </w:r>
    </w:p>
    <w:p w14:paraId="207288F9" w14:textId="307741AB" w:rsidR="009935CB" w:rsidRPr="003E2BD1" w:rsidRDefault="009935CB" w:rsidP="009935CB">
      <w:pPr>
        <w:pStyle w:val="a7"/>
        <w:numPr>
          <w:ilvl w:val="0"/>
          <w:numId w:val="1"/>
        </w:numPr>
      </w:pPr>
      <w:r w:rsidRPr="003E2BD1">
        <w:t>Реальные доходы населения.</w:t>
      </w:r>
    </w:p>
    <w:p w14:paraId="65A7DAE8" w14:textId="1B80E9D5" w:rsidR="00411002" w:rsidRPr="003E2BD1" w:rsidRDefault="00356D19" w:rsidP="00356D19">
      <w:r w:rsidRPr="003E2BD1">
        <w:lastRenderedPageBreak/>
        <w:t xml:space="preserve">При интерпретации полученных результатов важно учитывать, что на динамику социально-экономических показателей развития субъектов Российской Федерации в течение рассматриваемого периода времени влияло множество факторов, в том числе большое влияние оказали пандемия </w:t>
      </w:r>
      <w:r w:rsidRPr="003E2BD1">
        <w:rPr>
          <w:lang w:val="en-GB"/>
        </w:rPr>
        <w:t>COVID</w:t>
      </w:r>
      <w:r w:rsidRPr="003E2BD1">
        <w:t xml:space="preserve">-19 2020–2021 годов и усиление санкционного давления на Российскую Федерацию с 2022 года. Отделить влияние данных факторов от иных, в том числе от результатов деятельности АО «КРДВ», не представляется возможным. </w:t>
      </w:r>
      <w:r w:rsidR="00411002" w:rsidRPr="003E2BD1">
        <w:t xml:space="preserve">Таким образом, однофакторный </w:t>
      </w:r>
      <w:r w:rsidR="00411002" w:rsidRPr="003E2BD1">
        <w:rPr>
          <w:lang w:val="en-GB"/>
        </w:rPr>
        <w:t>ANOVA</w:t>
      </w:r>
      <w:r w:rsidR="00411002" w:rsidRPr="003E2BD1">
        <w:t>, проведённый в рамках мероприятия, позволяет на обобщённом уровне установить, наблюдалось ли значимо</w:t>
      </w:r>
      <w:r w:rsidR="002E63AE" w:rsidRPr="003E2BD1">
        <w:t xml:space="preserve"> более существенное</w:t>
      </w:r>
      <w:r w:rsidR="00411002" w:rsidRPr="003E2BD1">
        <w:t xml:space="preserve"> ускорение динамики развития субъектов Дальневосточного федерального округа в сравнении с другими субъектами Российской Федерации, </w:t>
      </w:r>
      <w:r w:rsidR="002E63AE" w:rsidRPr="003E2BD1">
        <w:t xml:space="preserve">однако не позволяет с точностью утверждать, что причиной значимого ускорения развития данных субъектов стали именно результаты деятельности АО «КРДВ». </w:t>
      </w:r>
    </w:p>
    <w:p w14:paraId="7656956F" w14:textId="61C0C726" w:rsidR="002E7B7A" w:rsidRPr="003E2BD1" w:rsidRDefault="002E7B7A" w:rsidP="00356D19">
      <w:r w:rsidRPr="003E2BD1">
        <w:t>Масштабы</w:t>
      </w:r>
      <w:r w:rsidR="008B74B3" w:rsidRPr="003E2BD1">
        <w:t>, территории</w:t>
      </w:r>
      <w:r w:rsidRPr="003E2BD1">
        <w:t xml:space="preserve"> и результаты деятельности АО «КРДВ» различаются по субъектам Дальневосточного федерального округа, однако </w:t>
      </w:r>
      <w:proofErr w:type="gramStart"/>
      <w:r w:rsidR="008B74B3" w:rsidRPr="003E2BD1">
        <w:t xml:space="preserve">для </w:t>
      </w:r>
      <w:r w:rsidRPr="003E2BD1">
        <w:t>проведения</w:t>
      </w:r>
      <w:proofErr w:type="gramEnd"/>
      <w:r w:rsidRPr="003E2BD1">
        <w:t xml:space="preserve"> </w:t>
      </w:r>
      <w:r w:rsidR="008B74B3" w:rsidRPr="003E2BD1">
        <w:t xml:space="preserve">заданного </w:t>
      </w:r>
      <w:r w:rsidRPr="003E2BD1">
        <w:rPr>
          <w:lang w:val="en-GB"/>
        </w:rPr>
        <w:t>ANOVA</w:t>
      </w:r>
      <w:r w:rsidRPr="003E2BD1">
        <w:t xml:space="preserve"> данные различия не </w:t>
      </w:r>
      <w:r w:rsidR="008B74B3" w:rsidRPr="003E2BD1">
        <w:t>имеют существенного значения, так как задачей анализа являлось определить, наблюдаются ли значимые отличия в динамике ключевых показателей развития в целом в границах Дальневосточного федерального округа в сравнении с другими территориями Российской Федерации.</w:t>
      </w:r>
    </w:p>
    <w:p w14:paraId="4237D6A9" w14:textId="2F2EDAFA" w:rsidR="008B74B3" w:rsidRPr="003E2BD1" w:rsidRDefault="008B74B3" w:rsidP="00356D19">
      <w:pPr>
        <w:rPr>
          <w:b/>
          <w:bCs/>
        </w:rPr>
      </w:pPr>
      <w:r w:rsidRPr="003E2BD1">
        <w:rPr>
          <w:b/>
          <w:bCs/>
        </w:rPr>
        <w:t>Результаты анализа</w:t>
      </w:r>
    </w:p>
    <w:p w14:paraId="3B72534F" w14:textId="7E87E388" w:rsidR="009A76E8" w:rsidRPr="003E2BD1" w:rsidRDefault="00940E19" w:rsidP="009935CB">
      <w:r w:rsidRPr="003E2BD1">
        <w:t>Результаты ANOVA показали, что статистически значимые различия между регионами ДФО и прочими субъектами Российской Федерации наблюдались только по темпам изменения инвестиций в основной капитал (</w:t>
      </w:r>
      <w:r w:rsidRPr="003E2BD1">
        <w:fldChar w:fldCharType="begin"/>
      </w:r>
      <w:r w:rsidRPr="003E2BD1">
        <w:instrText xml:space="preserve"> REF _Ref182860399 \h </w:instrText>
      </w:r>
      <w:r w:rsidR="00301130" w:rsidRPr="003E2BD1">
        <w:instrText xml:space="preserve"> \* MERGEFORMAT </w:instrText>
      </w:r>
      <w:r w:rsidRPr="003E2BD1">
        <w:fldChar w:fldCharType="separate"/>
      </w:r>
      <w:r w:rsidR="003E2BD1" w:rsidRPr="003E2BD1">
        <w:t xml:space="preserve">Таблица </w:t>
      </w:r>
      <w:r w:rsidR="003E2BD1">
        <w:rPr>
          <w:noProof/>
        </w:rPr>
        <w:t>1</w:t>
      </w:r>
      <w:r w:rsidRPr="003E2BD1">
        <w:fldChar w:fldCharType="end"/>
      </w:r>
      <w:r w:rsidRPr="003E2BD1">
        <w:t xml:space="preserve">). </w:t>
      </w:r>
      <w:r w:rsidR="001417E4" w:rsidRPr="003E2BD1">
        <w:t xml:space="preserve">Значение </w:t>
      </w:r>
      <w:r w:rsidR="001417E4" w:rsidRPr="003E2BD1">
        <w:rPr>
          <w:lang w:val="en-US"/>
        </w:rPr>
        <w:t>F</w:t>
      </w:r>
      <w:r w:rsidR="001417E4" w:rsidRPr="003E2BD1">
        <w:t>-</w:t>
      </w:r>
      <w:r w:rsidR="00411002" w:rsidRPr="003E2BD1">
        <w:t>критерия</w:t>
      </w:r>
      <w:r w:rsidR="001417E4" w:rsidRPr="003E2BD1">
        <w:t xml:space="preserve"> в результате дисперсионного анализа по данному показателю оказалось почти вдвое больше критического, а коэффициент значимости </w:t>
      </w:r>
      <w:r w:rsidR="001417E4" w:rsidRPr="003E2BD1">
        <w:rPr>
          <w:lang w:val="en-US"/>
        </w:rPr>
        <w:t>p</w:t>
      </w:r>
      <w:r w:rsidR="001417E4" w:rsidRPr="003E2BD1">
        <w:t xml:space="preserve"> значительно меньше установленного при проведении анализа уровня 0,05. Средние темпы роста инвестиций в </w:t>
      </w:r>
      <w:r w:rsidR="001417E4" w:rsidRPr="003E2BD1">
        <w:lastRenderedPageBreak/>
        <w:t>основной капитал за период 2016</w:t>
      </w:r>
      <w:r w:rsidR="00F1035F" w:rsidRPr="003E2BD1">
        <w:t xml:space="preserve"> </w:t>
      </w:r>
      <w:r w:rsidR="00356D19" w:rsidRPr="003E2BD1">
        <w:t>–</w:t>
      </w:r>
      <w:r w:rsidR="00F1035F" w:rsidRPr="003E2BD1">
        <w:t xml:space="preserve"> </w:t>
      </w:r>
      <w:r w:rsidR="001417E4" w:rsidRPr="003E2BD1">
        <w:t xml:space="preserve">2022 годов по субъектам ДФО на 6,3 </w:t>
      </w:r>
      <w:proofErr w:type="spellStart"/>
      <w:r w:rsidR="001417E4" w:rsidRPr="003E2BD1">
        <w:t>п.п</w:t>
      </w:r>
      <w:proofErr w:type="spellEnd"/>
      <w:r w:rsidR="001417E4" w:rsidRPr="003E2BD1">
        <w:t>. превышали средний темп роста показателя по остальным регионам.</w:t>
      </w:r>
    </w:p>
    <w:p w14:paraId="52F0F6A4" w14:textId="039E2104" w:rsidR="00940E19" w:rsidRPr="003E2BD1" w:rsidRDefault="00940E19" w:rsidP="00940E19">
      <w:pPr>
        <w:pStyle w:val="a8"/>
        <w:keepNext/>
      </w:pPr>
      <w:bookmarkStart w:id="1" w:name="_Ref182860399"/>
      <w:r w:rsidRPr="003E2BD1">
        <w:t xml:space="preserve">Таблица </w:t>
      </w:r>
      <w:r w:rsidR="00340689">
        <w:fldChar w:fldCharType="begin"/>
      </w:r>
      <w:r w:rsidR="00340689">
        <w:instrText xml:space="preserve"> SEQ Таблица \* ARABIC </w:instrText>
      </w:r>
      <w:r w:rsidR="00340689">
        <w:fldChar w:fldCharType="separate"/>
      </w:r>
      <w:r w:rsidR="003E2BD1">
        <w:rPr>
          <w:noProof/>
        </w:rPr>
        <w:t>1</w:t>
      </w:r>
      <w:r w:rsidR="00340689">
        <w:rPr>
          <w:noProof/>
        </w:rPr>
        <w:fldChar w:fldCharType="end"/>
      </w:r>
      <w:bookmarkEnd w:id="1"/>
      <w:r w:rsidRPr="003E2BD1">
        <w:t xml:space="preserve"> – Средние значения параметров и ключевые статистики, полученные в результате ANOVA-анализа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1559"/>
        <w:gridCol w:w="851"/>
        <w:gridCol w:w="1559"/>
        <w:gridCol w:w="1276"/>
      </w:tblGrid>
      <w:tr w:rsidR="00940E19" w:rsidRPr="003E2BD1" w14:paraId="21513CF4" w14:textId="77777777" w:rsidTr="00E51755">
        <w:trPr>
          <w:trHeight w:val="332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8DD8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Показатель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889C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Средние значения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AD27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AE6" w14:textId="0D21D222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F-критическое</w:t>
            </w:r>
            <w:r w:rsidR="00661E3B"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 xml:space="preserve"> (при уровне значимости 0,05)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9934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p-значение</w:t>
            </w:r>
          </w:p>
        </w:tc>
      </w:tr>
      <w:tr w:rsidR="00940E19" w:rsidRPr="003E2BD1" w14:paraId="128CAA71" w14:textId="77777777" w:rsidTr="00E51755">
        <w:trPr>
          <w:trHeight w:val="997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270B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8FF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Субъекты ДФО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CF8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Прочие субъекты Российской Федерации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DA3C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81A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227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</w:p>
        </w:tc>
      </w:tr>
      <w:tr w:rsidR="00940E19" w:rsidRPr="003E2BD1" w14:paraId="4A030106" w14:textId="77777777" w:rsidTr="00E51755">
        <w:trPr>
          <w:trHeight w:val="665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7456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Индекс физического объёма ВРП в среднем за 2016-2022 годы, 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56E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6CCD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C506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0,193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34C5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3,956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4F40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0,662</w:t>
            </w:r>
          </w:p>
        </w:tc>
      </w:tr>
      <w:tr w:rsidR="00940E19" w:rsidRPr="003E2BD1" w14:paraId="6CCDF3A6" w14:textId="77777777" w:rsidTr="00E51755">
        <w:trPr>
          <w:trHeight w:val="997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148D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Индекс физического объёма инвестиций в основной капитал в среднем за 2016-2022 годы, 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91B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93C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DA7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7,617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5BFA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3,956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66A" w14:textId="05FBA79B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0,007**</w:t>
            </w:r>
          </w:p>
        </w:tc>
      </w:tr>
      <w:tr w:rsidR="00940E19" w:rsidRPr="003E2BD1" w14:paraId="48B803EA" w14:textId="77777777" w:rsidTr="00E51755">
        <w:trPr>
          <w:trHeight w:val="997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086A" w14:textId="2259A154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Темп роста численности занятых в возрасте от 15 до 72 лет в среднем за 2016-2023 годы, 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8D91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352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8CFE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1,089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BB2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3,956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A2F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0,300</w:t>
            </w:r>
          </w:p>
        </w:tc>
      </w:tr>
      <w:tr w:rsidR="00940E19" w:rsidRPr="003E2BD1" w14:paraId="4FB7EFAD" w14:textId="77777777" w:rsidTr="00E51755">
        <w:trPr>
          <w:trHeight w:val="665"/>
        </w:trPr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15DA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Реальные доходы населения в среднем за 2016-2023 годы, 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30F9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A610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2FA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2,299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F62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3,956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EEC" w14:textId="77777777" w:rsidR="00940E19" w:rsidRPr="003E2BD1" w:rsidRDefault="00940E19" w:rsidP="00940E19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theme="minorHAnsi"/>
                <w:color w:val="000000"/>
                <w:sz w:val="24"/>
                <w:lang w:eastAsia="ru-RU"/>
              </w:rPr>
            </w:pPr>
            <w:r w:rsidRPr="003E2BD1">
              <w:rPr>
                <w:rFonts w:eastAsia="Times New Roman" w:cstheme="minorHAnsi"/>
                <w:color w:val="000000"/>
                <w:sz w:val="24"/>
                <w:lang w:eastAsia="ru-RU"/>
              </w:rPr>
              <w:t>0,133</w:t>
            </w:r>
          </w:p>
        </w:tc>
      </w:tr>
    </w:tbl>
    <w:p w14:paraId="63E928D2" w14:textId="11FDC1D1" w:rsidR="00940E19" w:rsidRPr="003E2BD1" w:rsidRDefault="00E51755" w:rsidP="00E51755">
      <w:pPr>
        <w:pStyle w:val="a9"/>
        <w:rPr>
          <w:rFonts w:eastAsia="Times New Roman" w:cstheme="minorHAnsi"/>
          <w:color w:val="000000"/>
          <w:lang w:eastAsia="ru-RU"/>
        </w:rPr>
      </w:pPr>
      <w:r w:rsidRPr="003E2BD1">
        <w:t xml:space="preserve">Примечание: ** означает соответствие полученного </w:t>
      </w:r>
      <w:r w:rsidRPr="003E2BD1">
        <w:rPr>
          <w:rFonts w:eastAsia="Times New Roman" w:cstheme="minorHAnsi"/>
          <w:color w:val="000000"/>
          <w:lang w:eastAsia="ru-RU"/>
        </w:rPr>
        <w:t>p-значения заданному 5%-ому уровню значимости.</w:t>
      </w:r>
    </w:p>
    <w:p w14:paraId="4F011B82" w14:textId="77777777" w:rsidR="00E51755" w:rsidRPr="003E2BD1" w:rsidRDefault="00E51755" w:rsidP="00E51755">
      <w:pPr>
        <w:pStyle w:val="a9"/>
      </w:pPr>
    </w:p>
    <w:p w14:paraId="21429B64" w14:textId="5AC71815" w:rsidR="001417E4" w:rsidRPr="003E2BD1" w:rsidRDefault="001417E4" w:rsidP="001417E4">
      <w:r w:rsidRPr="003E2BD1">
        <w:t>По динамике других ключевых социально-экономических параметров статистически значимых различий между регионами ДФО и другими субъектами Российской Федерации с момента начала деятельности АО «КРДВ» и первых преференциальных режимов не наблюдалось</w:t>
      </w:r>
      <w:r w:rsidR="00035CB7" w:rsidRPr="003E2BD1">
        <w:t xml:space="preserve"> (значение </w:t>
      </w:r>
      <w:r w:rsidR="00035CB7" w:rsidRPr="003E2BD1">
        <w:rPr>
          <w:lang w:val="en-US"/>
        </w:rPr>
        <w:t>F</w:t>
      </w:r>
      <w:r w:rsidR="00035CB7" w:rsidRPr="003E2BD1">
        <w:t>-</w:t>
      </w:r>
      <w:r w:rsidR="00411002" w:rsidRPr="003E2BD1">
        <w:t>критерия</w:t>
      </w:r>
      <w:r w:rsidR="00035CB7" w:rsidRPr="003E2BD1">
        <w:t xml:space="preserve"> для остальных трёх параметров не превышают критических, а </w:t>
      </w:r>
      <w:r w:rsidR="00035CB7" w:rsidRPr="003E2BD1">
        <w:rPr>
          <w:lang w:val="en-US"/>
        </w:rPr>
        <w:t>p</w:t>
      </w:r>
      <w:r w:rsidR="00035CB7" w:rsidRPr="003E2BD1">
        <w:t xml:space="preserve">-значения заметно </w:t>
      </w:r>
      <w:r w:rsidR="00BA737B" w:rsidRPr="003E2BD1">
        <w:t>выше</w:t>
      </w:r>
      <w:r w:rsidR="00035CB7" w:rsidRPr="003E2BD1">
        <w:t xml:space="preserve"> 0,05)</w:t>
      </w:r>
      <w:r w:rsidRPr="003E2BD1">
        <w:t>.</w:t>
      </w:r>
    </w:p>
    <w:p w14:paraId="76A54213" w14:textId="6EDCDCBE" w:rsidR="001417E4" w:rsidRDefault="001417E4" w:rsidP="001417E4">
      <w:r w:rsidRPr="003E2BD1">
        <w:t xml:space="preserve">Полученные результаты свидетельствуют, что деятельность АО «КРДВ» и функционирование на территории ДФО </w:t>
      </w:r>
      <w:r w:rsidR="00035CB7" w:rsidRPr="003E2BD1">
        <w:t xml:space="preserve">большого числа преференциальных режимов </w:t>
      </w:r>
      <w:r w:rsidR="002E63AE" w:rsidRPr="003E2BD1">
        <w:t xml:space="preserve">в числе прочих факторов </w:t>
      </w:r>
      <w:r w:rsidR="00035CB7" w:rsidRPr="003E2BD1">
        <w:t>привел</w:t>
      </w:r>
      <w:r w:rsidR="002E63AE" w:rsidRPr="003E2BD1">
        <w:t>и</w:t>
      </w:r>
      <w:r w:rsidR="00035CB7" w:rsidRPr="003E2BD1">
        <w:t xml:space="preserve"> к значимому ускорению инвестиционной активности субъектов ДФО по сравнению с другими регионами страны</w:t>
      </w:r>
      <w:r w:rsidR="00BA737B" w:rsidRPr="003E2BD1">
        <w:t>. О</w:t>
      </w:r>
      <w:r w:rsidR="00035CB7" w:rsidRPr="003E2BD1">
        <w:t>днако активное инвестиционное развитие субъектов</w:t>
      </w:r>
      <w:r w:rsidR="00325D92" w:rsidRPr="003E2BD1">
        <w:t xml:space="preserve"> Дальнего Востока</w:t>
      </w:r>
      <w:r w:rsidR="00035CB7" w:rsidRPr="003E2BD1">
        <w:t xml:space="preserve"> пока не привело к существенному ускорению </w:t>
      </w:r>
      <w:r w:rsidR="00035CB7" w:rsidRPr="003E2BD1">
        <w:lastRenderedPageBreak/>
        <w:t>роста валовой добавленной стоимости и доходов населения в сравнении с другими территориями Российской Федерации, а также не способствовало преломлению негативного тренда снижения числа работников на дальневосточном рынке труда.</w:t>
      </w:r>
      <w:r w:rsidR="00035CB7">
        <w:t xml:space="preserve">  </w:t>
      </w:r>
    </w:p>
    <w:sectPr w:rsidR="001417E4" w:rsidSect="00DF48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38A8" w14:textId="77777777" w:rsidR="007D12E9" w:rsidRDefault="007D12E9" w:rsidP="00A81976">
      <w:pPr>
        <w:spacing w:line="240" w:lineRule="auto"/>
      </w:pPr>
      <w:r>
        <w:separator/>
      </w:r>
    </w:p>
  </w:endnote>
  <w:endnote w:type="continuationSeparator" w:id="0">
    <w:p w14:paraId="1D009790" w14:textId="77777777" w:rsidR="007D12E9" w:rsidRDefault="007D12E9" w:rsidP="00A8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18E5F" w14:textId="77777777" w:rsidR="007D12E9" w:rsidRDefault="007D12E9" w:rsidP="00A81976">
      <w:pPr>
        <w:spacing w:line="240" w:lineRule="auto"/>
      </w:pPr>
      <w:r>
        <w:separator/>
      </w:r>
    </w:p>
  </w:footnote>
  <w:footnote w:type="continuationSeparator" w:id="0">
    <w:p w14:paraId="403BBDD7" w14:textId="77777777" w:rsidR="007D12E9" w:rsidRDefault="007D12E9" w:rsidP="00A81976">
      <w:pPr>
        <w:spacing w:line="240" w:lineRule="auto"/>
      </w:pPr>
      <w:r>
        <w:continuationSeparator/>
      </w:r>
    </w:p>
  </w:footnote>
  <w:footnote w:id="1">
    <w:p w14:paraId="3E0FAA1A" w14:textId="0FBD440F" w:rsidR="00177B68" w:rsidRPr="00177B68" w:rsidRDefault="00177B68">
      <w:pPr>
        <w:pStyle w:val="af1"/>
      </w:pPr>
      <w:r w:rsidRPr="003E2BD1">
        <w:rPr>
          <w:rStyle w:val="af3"/>
        </w:rPr>
        <w:footnoteRef/>
      </w:r>
      <w:r w:rsidRPr="003E2BD1">
        <w:t xml:space="preserve"> Данная таблица опубликована в открытом доступе на обширном перечне ресурсов в сети Интернет (например: Распределение Фишера (F-распределение) — </w:t>
      </w:r>
      <w:r w:rsidRPr="003E2BD1">
        <w:rPr>
          <w:lang w:val="en-GB"/>
        </w:rPr>
        <w:t>URL</w:t>
      </w:r>
      <w:r w:rsidRPr="003E2BD1">
        <w:t xml:space="preserve">: </w:t>
      </w:r>
      <w:hyperlink r:id="rId1" w:history="1">
        <w:r w:rsidRPr="003E2BD1">
          <w:rPr>
            <w:rStyle w:val="af4"/>
          </w:rPr>
          <w:t>https://math.semestr.ru/corel/table-fisher.php</w:t>
        </w:r>
      </w:hyperlink>
      <w:r w:rsidRPr="003E2BD1">
        <w:t xml:space="preserve">). Критическое значение </w:t>
      </w:r>
      <w:r w:rsidRPr="003E2BD1">
        <w:rPr>
          <w:lang w:val="en-GB"/>
        </w:rPr>
        <w:t>F</w:t>
      </w:r>
      <w:r w:rsidRPr="003E2BD1">
        <w:t xml:space="preserve">-критерия Фишера также может быть извлечено с использованием функции FРАСПОБР пакета анализа данных </w:t>
      </w:r>
      <w:r w:rsidRPr="003E2BD1">
        <w:rPr>
          <w:lang w:val="en-GB"/>
        </w:rPr>
        <w:t>Microsoft</w:t>
      </w:r>
      <w:r w:rsidRPr="003E2BD1">
        <w:t xml:space="preserve"> </w:t>
      </w:r>
      <w:r w:rsidRPr="003E2BD1">
        <w:rPr>
          <w:lang w:val="en-GB"/>
        </w:rPr>
        <w:t>Excel</w:t>
      </w:r>
      <w:r w:rsidRPr="003E2BD1">
        <w:t xml:space="preserve"> и др. способами.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880660"/>
      <w:docPartObj>
        <w:docPartGallery w:val="Page Numbers (Top of Page)"/>
        <w:docPartUnique/>
      </w:docPartObj>
    </w:sdtPr>
    <w:sdtEndPr/>
    <w:sdtContent>
      <w:p w14:paraId="30CFBFCA" w14:textId="4051E945" w:rsidR="00DF48E1" w:rsidRDefault="00DF48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689">
          <w:rPr>
            <w:noProof/>
          </w:rPr>
          <w:t>6</w:t>
        </w:r>
        <w:r>
          <w:fldChar w:fldCharType="end"/>
        </w:r>
      </w:p>
    </w:sdtContent>
  </w:sdt>
  <w:p w14:paraId="5BDFEDB6" w14:textId="77777777" w:rsidR="00A81976" w:rsidRDefault="00A819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5CBF"/>
    <w:multiLevelType w:val="hybridMultilevel"/>
    <w:tmpl w:val="B868F162"/>
    <w:lvl w:ilvl="0" w:tplc="64C07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64"/>
    <w:rsid w:val="000206CE"/>
    <w:rsid w:val="00035CB7"/>
    <w:rsid w:val="000B2064"/>
    <w:rsid w:val="000B51C1"/>
    <w:rsid w:val="000C61F7"/>
    <w:rsid w:val="001417E4"/>
    <w:rsid w:val="00177B68"/>
    <w:rsid w:val="001D56E0"/>
    <w:rsid w:val="00286323"/>
    <w:rsid w:val="00292208"/>
    <w:rsid w:val="002E5870"/>
    <w:rsid w:val="002E63AE"/>
    <w:rsid w:val="002E7B7A"/>
    <w:rsid w:val="00301130"/>
    <w:rsid w:val="00304515"/>
    <w:rsid w:val="00325D92"/>
    <w:rsid w:val="00340689"/>
    <w:rsid w:val="00356D19"/>
    <w:rsid w:val="003C0E47"/>
    <w:rsid w:val="003E2BD1"/>
    <w:rsid w:val="00406C69"/>
    <w:rsid w:val="00411002"/>
    <w:rsid w:val="004D7093"/>
    <w:rsid w:val="00555AFD"/>
    <w:rsid w:val="00571FBD"/>
    <w:rsid w:val="00581984"/>
    <w:rsid w:val="005930B9"/>
    <w:rsid w:val="006447A7"/>
    <w:rsid w:val="00661E3B"/>
    <w:rsid w:val="006B3E09"/>
    <w:rsid w:val="00786C1C"/>
    <w:rsid w:val="00787967"/>
    <w:rsid w:val="007D12E9"/>
    <w:rsid w:val="00846483"/>
    <w:rsid w:val="00887C9C"/>
    <w:rsid w:val="008A1059"/>
    <w:rsid w:val="008A3CF0"/>
    <w:rsid w:val="008B74B3"/>
    <w:rsid w:val="008D1A3B"/>
    <w:rsid w:val="00940E19"/>
    <w:rsid w:val="009935CB"/>
    <w:rsid w:val="009A76E8"/>
    <w:rsid w:val="009D69A5"/>
    <w:rsid w:val="00A81976"/>
    <w:rsid w:val="00A909FD"/>
    <w:rsid w:val="00B143D3"/>
    <w:rsid w:val="00B33018"/>
    <w:rsid w:val="00B649CA"/>
    <w:rsid w:val="00BA737B"/>
    <w:rsid w:val="00C536FA"/>
    <w:rsid w:val="00CC714D"/>
    <w:rsid w:val="00CF18DD"/>
    <w:rsid w:val="00D052C3"/>
    <w:rsid w:val="00D25F85"/>
    <w:rsid w:val="00D82A25"/>
    <w:rsid w:val="00DC5663"/>
    <w:rsid w:val="00DD2314"/>
    <w:rsid w:val="00DD28C6"/>
    <w:rsid w:val="00DF3306"/>
    <w:rsid w:val="00DF48E1"/>
    <w:rsid w:val="00E000D4"/>
    <w:rsid w:val="00E02A4A"/>
    <w:rsid w:val="00E51755"/>
    <w:rsid w:val="00E54024"/>
    <w:rsid w:val="00E92A5F"/>
    <w:rsid w:val="00F1035F"/>
    <w:rsid w:val="00F1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120CD"/>
  <w15:docId w15:val="{4D6DD65A-16B3-42F2-ABD6-9A87CC2D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F0"/>
    <w:pPr>
      <w:spacing w:after="0" w:line="360" w:lineRule="auto"/>
      <w:ind w:firstLine="709"/>
      <w:contextualSpacing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7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976"/>
    <w:rPr>
      <w:sz w:val="28"/>
    </w:rPr>
  </w:style>
  <w:style w:type="paragraph" w:styleId="a5">
    <w:name w:val="footer"/>
    <w:basedOn w:val="a"/>
    <w:link w:val="a6"/>
    <w:uiPriority w:val="99"/>
    <w:unhideWhenUsed/>
    <w:rsid w:val="00A8197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976"/>
    <w:rPr>
      <w:sz w:val="28"/>
    </w:rPr>
  </w:style>
  <w:style w:type="paragraph" w:styleId="a7">
    <w:name w:val="List Paragraph"/>
    <w:basedOn w:val="a"/>
    <w:uiPriority w:val="34"/>
    <w:qFormat/>
    <w:rsid w:val="009935CB"/>
    <w:pPr>
      <w:ind w:left="720"/>
    </w:pPr>
  </w:style>
  <w:style w:type="paragraph" w:styleId="a8">
    <w:name w:val="caption"/>
    <w:basedOn w:val="a"/>
    <w:next w:val="a"/>
    <w:uiPriority w:val="35"/>
    <w:unhideWhenUsed/>
    <w:qFormat/>
    <w:rsid w:val="00940E19"/>
    <w:pPr>
      <w:spacing w:after="120" w:line="240" w:lineRule="auto"/>
      <w:ind w:firstLine="0"/>
    </w:pPr>
    <w:rPr>
      <w:rFonts w:ascii="Times New Roman" w:hAnsi="Times New Roman"/>
      <w:iCs/>
      <w:szCs w:val="18"/>
    </w:rPr>
  </w:style>
  <w:style w:type="paragraph" w:styleId="a9">
    <w:name w:val="No Spacing"/>
    <w:uiPriority w:val="1"/>
    <w:qFormat/>
    <w:rsid w:val="00E51755"/>
    <w:pPr>
      <w:spacing w:after="0" w:line="240" w:lineRule="auto"/>
      <w:ind w:firstLine="709"/>
      <w:contextualSpacing/>
      <w:jc w:val="both"/>
    </w:pPr>
    <w:rPr>
      <w:sz w:val="28"/>
    </w:rPr>
  </w:style>
  <w:style w:type="character" w:styleId="aa">
    <w:name w:val="annotation reference"/>
    <w:basedOn w:val="a0"/>
    <w:uiPriority w:val="99"/>
    <w:semiHidden/>
    <w:unhideWhenUsed/>
    <w:rsid w:val="00DD23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23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231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23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231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D2314"/>
    <w:pPr>
      <w:spacing w:after="0" w:line="240" w:lineRule="auto"/>
    </w:pPr>
    <w:rPr>
      <w:sz w:val="28"/>
    </w:rPr>
  </w:style>
  <w:style w:type="character" w:styleId="af0">
    <w:name w:val="Placeholder Text"/>
    <w:basedOn w:val="a0"/>
    <w:uiPriority w:val="99"/>
    <w:semiHidden/>
    <w:rsid w:val="00C536FA"/>
    <w:rPr>
      <w:color w:val="666666"/>
    </w:rPr>
  </w:style>
  <w:style w:type="paragraph" w:styleId="af1">
    <w:name w:val="footnote text"/>
    <w:basedOn w:val="a"/>
    <w:link w:val="af2"/>
    <w:uiPriority w:val="99"/>
    <w:semiHidden/>
    <w:unhideWhenUsed/>
    <w:rsid w:val="00177B68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77B6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77B68"/>
    <w:rPr>
      <w:vertAlign w:val="superscript"/>
    </w:rPr>
  </w:style>
  <w:style w:type="character" w:styleId="af4">
    <w:name w:val="Hyperlink"/>
    <w:basedOn w:val="a0"/>
    <w:uiPriority w:val="99"/>
    <w:unhideWhenUsed/>
    <w:rsid w:val="00177B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B68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3011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1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th.semestr.ru/corel/table-fishe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2A6A-0D3D-4039-BC4A-B2FDE6A7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7372</Characters>
  <Application>Microsoft Office Word</Application>
  <DocSecurity>0</DocSecurity>
  <Lines>175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Медведникова Дарина Михайловна</dc:creator>
  <cp:lastModifiedBy>Челышева Елена Борисовна</cp:lastModifiedBy>
  <cp:revision>2</cp:revision>
  <cp:lastPrinted>2024-12-18T19:32:00Z</cp:lastPrinted>
  <dcterms:created xsi:type="dcterms:W3CDTF">2025-02-03T15:47:00Z</dcterms:created>
  <dcterms:modified xsi:type="dcterms:W3CDTF">2025-02-03T15:47:00Z</dcterms:modified>
</cp:coreProperties>
</file>