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9F" w:rsidRPr="00D92EF2" w:rsidRDefault="00964F3F" w:rsidP="003418D9">
      <w:pPr>
        <w:pStyle w:val="a6"/>
        <w:ind w:right="0" w:firstLine="0"/>
        <w:jc w:val="center"/>
        <w:rPr>
          <w:rFonts w:ascii="Times New Roman" w:hAnsi="Times New Roman"/>
          <w:b/>
          <w:bCs/>
          <w:sz w:val="24"/>
          <w:szCs w:val="24"/>
        </w:rPr>
      </w:pPr>
      <w:bookmarkStart w:id="0" w:name="_GoBack"/>
      <w:r w:rsidRPr="00D92EF2">
        <w:rPr>
          <w:rFonts w:ascii="Times New Roman" w:hAnsi="Times New Roman"/>
          <w:b/>
          <w:bCs/>
          <w:sz w:val="24"/>
          <w:szCs w:val="24"/>
        </w:rPr>
        <w:t>1</w:t>
      </w:r>
      <w:r w:rsidR="00C539DD" w:rsidRPr="00D92EF2">
        <w:rPr>
          <w:rFonts w:ascii="Times New Roman" w:hAnsi="Times New Roman"/>
          <w:b/>
          <w:bCs/>
          <w:sz w:val="24"/>
          <w:szCs w:val="24"/>
        </w:rPr>
        <w:t>5</w:t>
      </w:r>
      <w:r w:rsidRPr="00D92EF2">
        <w:rPr>
          <w:rFonts w:ascii="Times New Roman" w:hAnsi="Times New Roman"/>
          <w:b/>
          <w:bCs/>
          <w:sz w:val="24"/>
          <w:szCs w:val="24"/>
        </w:rPr>
        <w:t>.</w:t>
      </w:r>
      <w:r w:rsidR="0094489E" w:rsidRPr="00D92EF2">
        <w:rPr>
          <w:rFonts w:ascii="Times New Roman" w:hAnsi="Times New Roman"/>
          <w:b/>
          <w:bCs/>
          <w:sz w:val="24"/>
          <w:szCs w:val="24"/>
        </w:rPr>
        <w:t xml:space="preserve"> </w:t>
      </w:r>
      <w:r w:rsidR="00C539DD" w:rsidRPr="00D92EF2">
        <w:rPr>
          <w:rFonts w:ascii="Times New Roman" w:hAnsi="Times New Roman"/>
          <w:b/>
          <w:bCs/>
          <w:sz w:val="24"/>
          <w:szCs w:val="24"/>
        </w:rPr>
        <w:t>Результаты проверки и анализа формирования бюджетных ассигнований федерального бюджета на предоставление межбюджетных трансфертов</w:t>
      </w:r>
    </w:p>
    <w:bookmarkEnd w:id="0"/>
    <w:p w:rsidR="002D3A27" w:rsidRPr="00D92EF2" w:rsidRDefault="002D3A27" w:rsidP="002A1BF4">
      <w:pPr>
        <w:spacing w:line="360" w:lineRule="auto"/>
        <w:jc w:val="both"/>
        <w:rPr>
          <w:b/>
        </w:rPr>
      </w:pPr>
    </w:p>
    <w:p w:rsidR="00CF2BFF" w:rsidRPr="00CF2BFF" w:rsidRDefault="00F14D6F" w:rsidP="00CC4E71">
      <w:pPr>
        <w:spacing w:line="360" w:lineRule="auto"/>
        <w:ind w:firstLine="709"/>
        <w:jc w:val="both"/>
        <w:rPr>
          <w:szCs w:val="28"/>
        </w:rPr>
      </w:pPr>
      <w:r w:rsidRPr="00CF2BFF">
        <w:rPr>
          <w:b/>
        </w:rPr>
        <w:t>1</w:t>
      </w:r>
      <w:r w:rsidR="008558B4" w:rsidRPr="00CF2BFF">
        <w:rPr>
          <w:b/>
        </w:rPr>
        <w:t>5</w:t>
      </w:r>
      <w:r w:rsidR="0056559F" w:rsidRPr="00CF2BFF">
        <w:rPr>
          <w:b/>
        </w:rPr>
        <w:t>.1</w:t>
      </w:r>
      <w:r w:rsidRPr="00CF2BFF">
        <w:rPr>
          <w:b/>
        </w:rPr>
        <w:t xml:space="preserve">. </w:t>
      </w:r>
      <w:r w:rsidR="00CF2BFF" w:rsidRPr="00CF2BFF">
        <w:rPr>
          <w:szCs w:val="28"/>
        </w:rPr>
        <w:t>Анализ реализации в проекте федерального бюджета на 2026 год и на плановый период 2027 и 2028 годов основных задач, поставленных в посланиях Президента Российской Федерации Федеральному Собранию Российской Федерации и отдельных поручений Президента Российской Федерации (в части бюджетной политики) показал следующее.</w:t>
      </w:r>
    </w:p>
    <w:p w:rsidR="001340CB" w:rsidRPr="001340CB" w:rsidRDefault="00BC1661" w:rsidP="00CC4E71">
      <w:pPr>
        <w:overflowPunct w:val="0"/>
        <w:autoSpaceDE w:val="0"/>
        <w:autoSpaceDN w:val="0"/>
        <w:adjustRightInd w:val="0"/>
        <w:spacing w:line="360" w:lineRule="auto"/>
        <w:ind w:firstLine="709"/>
        <w:jc w:val="both"/>
        <w:textAlignment w:val="baseline"/>
        <w:rPr>
          <w:szCs w:val="28"/>
        </w:rPr>
      </w:pPr>
      <w:r w:rsidRPr="00BC1661">
        <w:rPr>
          <w:b/>
          <w:szCs w:val="28"/>
        </w:rPr>
        <w:t>15.1.</w:t>
      </w:r>
      <w:r>
        <w:rPr>
          <w:b/>
          <w:szCs w:val="28"/>
        </w:rPr>
        <w:t>1.</w:t>
      </w:r>
      <w:r w:rsidRPr="00BC1661">
        <w:rPr>
          <w:b/>
          <w:szCs w:val="28"/>
        </w:rPr>
        <w:t xml:space="preserve"> </w:t>
      </w:r>
      <w:r w:rsidR="001340CB" w:rsidRPr="001340CB">
        <w:rPr>
          <w:szCs w:val="28"/>
        </w:rPr>
        <w:t xml:space="preserve">В целях обеспечения задачи подпункта «л» пункта 10 </w:t>
      </w:r>
      <w:r w:rsidR="00C709DA">
        <w:rPr>
          <w:szCs w:val="28"/>
        </w:rPr>
        <w:t>поручения</w:t>
      </w:r>
      <w:r w:rsidR="001340CB" w:rsidRPr="001340CB">
        <w:rPr>
          <w:szCs w:val="28"/>
        </w:rPr>
        <w:t xml:space="preserve"> № Пр-616</w:t>
      </w:r>
      <w:r w:rsidR="001340CB">
        <w:rPr>
          <w:rStyle w:val="af7"/>
          <w:szCs w:val="28"/>
        </w:rPr>
        <w:footnoteReference w:id="1"/>
      </w:r>
      <w:r w:rsidR="001340CB" w:rsidRPr="001340CB">
        <w:rPr>
          <w:szCs w:val="28"/>
        </w:rPr>
        <w:t xml:space="preserve"> по утверждению индивидуальных программ социально-экономического развития для субъектов Российской Федерации с наиболее низким уровнем социально-экономического развития</w:t>
      </w:r>
      <w:r w:rsidR="001340CB">
        <w:rPr>
          <w:szCs w:val="28"/>
        </w:rPr>
        <w:t xml:space="preserve">, </w:t>
      </w:r>
      <w:r w:rsidR="001340CB" w:rsidRPr="00CF2BFF">
        <w:rPr>
          <w:szCs w:val="28"/>
        </w:rPr>
        <w:t>не имеющих финансовой поддержки за счет средств федерального бюджета в рамках отдельных государственных программ Российской Федерации, направленных на сбалансированное развитие субъектов Российской Федерации, входящих в состав приоритетных территорий</w:t>
      </w:r>
      <w:r w:rsidR="001340CB" w:rsidRPr="001340CB">
        <w:rPr>
          <w:szCs w:val="28"/>
        </w:rPr>
        <w:t xml:space="preserve"> </w:t>
      </w:r>
      <w:r w:rsidR="00C12EF1" w:rsidRPr="001340CB">
        <w:rPr>
          <w:szCs w:val="28"/>
        </w:rPr>
        <w:t xml:space="preserve">законопроектом </w:t>
      </w:r>
      <w:r w:rsidR="001340CB" w:rsidRPr="001340CB">
        <w:rPr>
          <w:szCs w:val="28"/>
        </w:rPr>
        <w:t>предусматриваются бюджетные ассигнования федерального бюджета на 2026–</w:t>
      </w:r>
      <w:r>
        <w:rPr>
          <w:szCs w:val="28"/>
        </w:rPr>
        <w:t>2028 годы в объеме 10 000,</w:t>
      </w:r>
      <w:r w:rsidR="001340CB" w:rsidRPr="001340CB">
        <w:rPr>
          <w:szCs w:val="28"/>
        </w:rPr>
        <w:t>0 мл</w:t>
      </w:r>
      <w:r>
        <w:rPr>
          <w:szCs w:val="28"/>
        </w:rPr>
        <w:t>н</w:t>
      </w:r>
      <w:r w:rsidR="001340CB" w:rsidRPr="001340CB">
        <w:rPr>
          <w:szCs w:val="28"/>
        </w:rPr>
        <w:t xml:space="preserve"> рублей ежегодно.</w:t>
      </w:r>
    </w:p>
    <w:p w:rsidR="001340CB" w:rsidRPr="001340CB" w:rsidRDefault="001340CB" w:rsidP="00CC4E71">
      <w:pPr>
        <w:overflowPunct w:val="0"/>
        <w:autoSpaceDE w:val="0"/>
        <w:autoSpaceDN w:val="0"/>
        <w:adjustRightInd w:val="0"/>
        <w:spacing w:line="360" w:lineRule="auto"/>
        <w:ind w:firstLine="709"/>
        <w:jc w:val="both"/>
        <w:textAlignment w:val="baseline"/>
        <w:rPr>
          <w:szCs w:val="28"/>
        </w:rPr>
      </w:pPr>
      <w:r w:rsidRPr="001340CB">
        <w:rPr>
          <w:szCs w:val="28"/>
        </w:rPr>
        <w:t>Распределение в 2026</w:t>
      </w:r>
      <w:r w:rsidRPr="00143121">
        <w:t>–</w:t>
      </w:r>
      <w:r w:rsidRPr="001340CB">
        <w:rPr>
          <w:szCs w:val="28"/>
        </w:rPr>
        <w:t>2028 годах субсидий бюджетам субъектов Российской Федерации на реализацию мероприятий индивидуальных программ социально-экономического развития субъектов Российской Федерации предусмотрено таблицей 104 приложения 30 к законопроекту бюджетам 10 субъектов Российской Федерации (</w:t>
      </w:r>
      <w:r w:rsidR="00954AEC">
        <w:rPr>
          <w:szCs w:val="28"/>
        </w:rPr>
        <w:t>р</w:t>
      </w:r>
      <w:r w:rsidRPr="001340CB">
        <w:rPr>
          <w:szCs w:val="28"/>
        </w:rPr>
        <w:t>еспублик</w:t>
      </w:r>
      <w:r>
        <w:rPr>
          <w:szCs w:val="28"/>
        </w:rPr>
        <w:t>и</w:t>
      </w:r>
      <w:r w:rsidRPr="001340CB">
        <w:rPr>
          <w:szCs w:val="28"/>
        </w:rPr>
        <w:t xml:space="preserve"> Адыгея, Алтай, Калмыкия, Марий Эл, Тыва, Хакасия, Чувашская Республика, Алтайский край, Курганская и Псковская области).</w:t>
      </w:r>
    </w:p>
    <w:p w:rsidR="008A7ACE" w:rsidRDefault="00BC1661" w:rsidP="00CC4E71">
      <w:pPr>
        <w:widowControl w:val="0"/>
        <w:overflowPunct w:val="0"/>
        <w:autoSpaceDE w:val="0"/>
        <w:autoSpaceDN w:val="0"/>
        <w:adjustRightInd w:val="0"/>
        <w:spacing w:line="360" w:lineRule="auto"/>
        <w:ind w:firstLine="709"/>
        <w:contextualSpacing/>
        <w:jc w:val="both"/>
        <w:textAlignment w:val="baseline"/>
      </w:pPr>
      <w:r w:rsidRPr="002D5748">
        <w:rPr>
          <w:b/>
        </w:rPr>
        <w:t>15.1.2</w:t>
      </w:r>
      <w:r w:rsidRPr="002255F3">
        <w:rPr>
          <w:b/>
        </w:rPr>
        <w:t>.</w:t>
      </w:r>
      <w:r w:rsidRPr="003B79BC">
        <w:t xml:space="preserve"> </w:t>
      </w:r>
      <w:r w:rsidR="008A7ACE" w:rsidRPr="008A7ACE">
        <w:t xml:space="preserve">Для выполнения задачи </w:t>
      </w:r>
      <w:r w:rsidR="003B79BC" w:rsidRPr="008A7ACE">
        <w:t>подпункт</w:t>
      </w:r>
      <w:r w:rsidR="003B79BC">
        <w:t>а</w:t>
      </w:r>
      <w:r w:rsidR="003B79BC" w:rsidRPr="008A7ACE">
        <w:t xml:space="preserve"> «е» пункта 11 </w:t>
      </w:r>
      <w:r w:rsidR="00C709DA">
        <w:rPr>
          <w:rFonts w:eastAsia="Times New Roman,Bold"/>
          <w:bCs/>
        </w:rPr>
        <w:t>поручения</w:t>
      </w:r>
      <w:r w:rsidR="003B79BC" w:rsidRPr="008A7ACE">
        <w:rPr>
          <w:rFonts w:eastAsia="Times New Roman,Bold"/>
          <w:bCs/>
        </w:rPr>
        <w:t xml:space="preserve"> </w:t>
      </w:r>
      <w:r w:rsidR="003B79BC" w:rsidRPr="002D5748">
        <w:t>№ Пр-616</w:t>
      </w:r>
      <w:r w:rsidR="003B79BC">
        <w:t xml:space="preserve"> </w:t>
      </w:r>
      <w:r w:rsidR="008A7ACE" w:rsidRPr="008A7ACE">
        <w:t xml:space="preserve">по предоставлению в 2025–2030 годах бюджетных кредитов из федерального бюджета бюджетам субъектов Российской Федерации на финансовое обеспечение реализации инфраструктурных проектов в размере 250 млрд рублей ежегодно </w:t>
      </w:r>
      <w:r w:rsidR="00C709DA">
        <w:t xml:space="preserve">законопроектом </w:t>
      </w:r>
      <w:r w:rsidR="00C709DA">
        <w:br/>
        <w:t>на</w:t>
      </w:r>
      <w:r w:rsidR="00860D27" w:rsidRPr="008A7ACE">
        <w:t xml:space="preserve"> 2026</w:t>
      </w:r>
      <w:r w:rsidR="00860D27" w:rsidRPr="002D5748">
        <w:t>–</w:t>
      </w:r>
      <w:r w:rsidR="00C709DA">
        <w:t>2028 годы</w:t>
      </w:r>
      <w:r w:rsidR="00860D27" w:rsidRPr="008A7ACE">
        <w:t xml:space="preserve"> </w:t>
      </w:r>
      <w:r w:rsidR="008A7ACE" w:rsidRPr="008A7ACE">
        <w:t>предусматриваются бюджетные ассигнования федерального бюджета в</w:t>
      </w:r>
      <w:r w:rsidR="00954AEC">
        <w:t> </w:t>
      </w:r>
      <w:r w:rsidR="003B79BC">
        <w:t xml:space="preserve">объеме 150 млрд рублей ежегодно, что не соответствует </w:t>
      </w:r>
      <w:r w:rsidR="00C709DA">
        <w:t>поручению</w:t>
      </w:r>
      <w:r w:rsidR="003B79BC" w:rsidRPr="003B79BC">
        <w:t xml:space="preserve"> № Пр-616</w:t>
      </w:r>
      <w:r w:rsidR="003B79BC">
        <w:t>.</w:t>
      </w:r>
    </w:p>
    <w:p w:rsidR="009947C9" w:rsidRDefault="009947C9" w:rsidP="00CC4E71">
      <w:pPr>
        <w:spacing w:line="360" w:lineRule="auto"/>
        <w:ind w:firstLine="709"/>
        <w:jc w:val="both"/>
        <w:rPr>
          <w:rFonts w:eastAsia="Calibri"/>
          <w:szCs w:val="28"/>
          <w:lang w:eastAsia="en-US"/>
        </w:rPr>
      </w:pPr>
      <w:r w:rsidRPr="009947C9">
        <w:rPr>
          <w:rFonts w:eastAsia="Calibri"/>
          <w:b/>
          <w:szCs w:val="28"/>
          <w:lang w:eastAsia="en-US"/>
        </w:rPr>
        <w:t>15.1.</w:t>
      </w:r>
      <w:r>
        <w:rPr>
          <w:rFonts w:eastAsia="Calibri"/>
          <w:b/>
          <w:szCs w:val="28"/>
          <w:lang w:eastAsia="en-US"/>
        </w:rPr>
        <w:t>3</w:t>
      </w:r>
      <w:r w:rsidRPr="009947C9">
        <w:rPr>
          <w:rFonts w:eastAsia="Calibri"/>
          <w:b/>
          <w:szCs w:val="28"/>
          <w:lang w:eastAsia="en-US"/>
        </w:rPr>
        <w:t xml:space="preserve">. </w:t>
      </w:r>
      <w:r w:rsidR="009D72B2" w:rsidRPr="009D72B2">
        <w:rPr>
          <w:rFonts w:eastAsia="Calibri"/>
          <w:szCs w:val="28"/>
          <w:lang w:eastAsia="en-US"/>
        </w:rPr>
        <w:t xml:space="preserve">Во исполнение </w:t>
      </w:r>
      <w:r w:rsidR="009D72B2" w:rsidRPr="00CC4E71">
        <w:rPr>
          <w:rFonts w:eastAsia="Calibri"/>
          <w:szCs w:val="28"/>
          <w:lang w:eastAsia="en-US"/>
        </w:rPr>
        <w:t xml:space="preserve">поручения Президента Российской Федерации </w:t>
      </w:r>
      <w:r w:rsidR="009D72B2" w:rsidRPr="00CC4E71">
        <w:rPr>
          <w:rFonts w:eastAsia="Calibri"/>
          <w:szCs w:val="28"/>
          <w:lang w:eastAsia="en-US"/>
        </w:rPr>
        <w:br/>
        <w:t>от 28 декабря 2024 г. № Пр-2803 внесены изменения в статью 132</w:t>
      </w:r>
      <w:r w:rsidR="009D72B2" w:rsidRPr="009D72B2">
        <w:rPr>
          <w:rFonts w:eastAsia="Calibri"/>
          <w:szCs w:val="28"/>
          <w:lang w:eastAsia="en-US"/>
        </w:rPr>
        <w:t xml:space="preserve"> Бюджетного кодекса Российской Федерации в части установления сроков направления методик (проектов методик) распределения субсидий и проектов распределения между бюджетами субъектов Российской Федерации субсидий из федерального бюджета (июнь, август текущего года), которые позволяют заблаговременно учитывать межбюджетные трансферты при </w:t>
      </w:r>
      <w:r w:rsidR="009D72B2" w:rsidRPr="009D72B2">
        <w:rPr>
          <w:rFonts w:eastAsia="Calibri"/>
          <w:szCs w:val="28"/>
          <w:lang w:eastAsia="en-US"/>
        </w:rPr>
        <w:lastRenderedPageBreak/>
        <w:t xml:space="preserve">формировании соответствующих бюджетов субъектов Российской Федерации. Указанные меры позволили значительно увеличить объем распределения межбюджетных трансфертов </w:t>
      </w:r>
      <w:r w:rsidR="002255F3">
        <w:rPr>
          <w:rFonts w:eastAsia="Calibri"/>
          <w:szCs w:val="28"/>
          <w:lang w:eastAsia="en-US"/>
        </w:rPr>
        <w:br/>
      </w:r>
      <w:r w:rsidR="009D72B2" w:rsidRPr="009D72B2">
        <w:rPr>
          <w:rFonts w:eastAsia="Calibri"/>
          <w:szCs w:val="28"/>
          <w:lang w:eastAsia="en-US"/>
        </w:rPr>
        <w:t>к первому чтению законопроекта в Государственной Думе</w:t>
      </w:r>
      <w:r w:rsidR="00AD3972">
        <w:rPr>
          <w:rFonts w:eastAsia="Calibri"/>
          <w:szCs w:val="28"/>
          <w:lang w:eastAsia="en-US"/>
        </w:rPr>
        <w:t xml:space="preserve"> </w:t>
      </w:r>
      <w:r w:rsidR="00C76AF1" w:rsidRPr="009D72B2">
        <w:rPr>
          <w:rFonts w:eastAsia="Calibri"/>
          <w:szCs w:val="28"/>
          <w:lang w:eastAsia="en-US"/>
        </w:rPr>
        <w:t xml:space="preserve">(информация представлена </w:t>
      </w:r>
      <w:r w:rsidR="00954AEC">
        <w:rPr>
          <w:rFonts w:eastAsia="Calibri"/>
          <w:szCs w:val="28"/>
          <w:lang w:eastAsia="en-US"/>
        </w:rPr>
        <w:br/>
      </w:r>
      <w:r w:rsidR="00C76AF1" w:rsidRPr="009D72B2">
        <w:rPr>
          <w:rFonts w:eastAsia="Calibri"/>
          <w:szCs w:val="28"/>
          <w:lang w:eastAsia="en-US"/>
        </w:rPr>
        <w:t xml:space="preserve">в пункте </w:t>
      </w:r>
      <w:r w:rsidR="009D72B2" w:rsidRPr="001E1DD1">
        <w:rPr>
          <w:rFonts w:eastAsia="Calibri"/>
          <w:szCs w:val="28"/>
          <w:lang w:eastAsia="en-US"/>
        </w:rPr>
        <w:t>15.</w:t>
      </w:r>
      <w:r w:rsidR="00954AEC">
        <w:rPr>
          <w:rFonts w:eastAsia="Calibri"/>
          <w:szCs w:val="28"/>
          <w:lang w:eastAsia="en-US"/>
        </w:rPr>
        <w:t>8</w:t>
      </w:r>
      <w:r w:rsidR="00CC4E71">
        <w:rPr>
          <w:rFonts w:eastAsia="Calibri"/>
          <w:szCs w:val="28"/>
          <w:lang w:eastAsia="en-US"/>
        </w:rPr>
        <w:t xml:space="preserve"> </w:t>
      </w:r>
      <w:r w:rsidR="00954AEC">
        <w:rPr>
          <w:rFonts w:eastAsia="Calibri"/>
          <w:szCs w:val="28"/>
          <w:lang w:eastAsia="en-US"/>
        </w:rPr>
        <w:t>З</w:t>
      </w:r>
      <w:r w:rsidR="00CC4E71">
        <w:rPr>
          <w:rFonts w:eastAsia="Calibri"/>
          <w:szCs w:val="28"/>
          <w:lang w:eastAsia="en-US"/>
        </w:rPr>
        <w:t>аключения</w:t>
      </w:r>
      <w:r w:rsidR="00C76AF1" w:rsidRPr="001E1DD1">
        <w:rPr>
          <w:rFonts w:eastAsia="Calibri"/>
          <w:szCs w:val="28"/>
          <w:lang w:eastAsia="en-US"/>
        </w:rPr>
        <w:t>).</w:t>
      </w:r>
      <w:r w:rsidR="009D72B2" w:rsidRPr="009D72B2">
        <w:rPr>
          <w:rFonts w:eastAsia="Calibri"/>
          <w:szCs w:val="28"/>
          <w:lang w:eastAsia="en-US"/>
        </w:rPr>
        <w:t xml:space="preserve"> </w:t>
      </w:r>
    </w:p>
    <w:p w:rsidR="00FD1D82" w:rsidRDefault="00FD1D82" w:rsidP="00FD1D82">
      <w:pPr>
        <w:spacing w:line="360" w:lineRule="auto"/>
        <w:ind w:firstLine="709"/>
        <w:jc w:val="both"/>
        <w:rPr>
          <w:rFonts w:eastAsia="Calibri"/>
          <w:szCs w:val="28"/>
          <w:lang w:eastAsia="en-US"/>
        </w:rPr>
      </w:pPr>
      <w:r>
        <w:rPr>
          <w:rFonts w:eastAsia="Calibri"/>
          <w:szCs w:val="28"/>
          <w:lang w:eastAsia="en-US"/>
        </w:rPr>
        <w:t>Также в</w:t>
      </w:r>
      <w:r w:rsidRPr="009947C9">
        <w:rPr>
          <w:rFonts w:eastAsia="Calibri"/>
          <w:b/>
          <w:szCs w:val="28"/>
          <w:lang w:eastAsia="en-US"/>
        </w:rPr>
        <w:t xml:space="preserve"> </w:t>
      </w:r>
      <w:r w:rsidRPr="00860D27">
        <w:rPr>
          <w:rFonts w:eastAsia="Calibri"/>
          <w:szCs w:val="28"/>
          <w:lang w:eastAsia="en-US"/>
        </w:rPr>
        <w:t>статью 132 Бюджетного</w:t>
      </w:r>
      <w:r w:rsidRPr="00C76AF1">
        <w:rPr>
          <w:rFonts w:eastAsia="Calibri"/>
          <w:szCs w:val="28"/>
          <w:lang w:eastAsia="en-US"/>
        </w:rPr>
        <w:t xml:space="preserve"> кодекс</w:t>
      </w:r>
      <w:r>
        <w:rPr>
          <w:rFonts w:eastAsia="Calibri"/>
          <w:szCs w:val="28"/>
          <w:lang w:eastAsia="en-US"/>
        </w:rPr>
        <w:t>а</w:t>
      </w:r>
      <w:r w:rsidRPr="00C76AF1">
        <w:rPr>
          <w:rFonts w:eastAsia="Calibri"/>
          <w:szCs w:val="28"/>
          <w:lang w:eastAsia="en-US"/>
        </w:rPr>
        <w:t xml:space="preserve"> </w:t>
      </w:r>
      <w:r>
        <w:rPr>
          <w:rFonts w:eastAsia="Calibri"/>
          <w:szCs w:val="28"/>
          <w:lang w:eastAsia="en-US"/>
        </w:rPr>
        <w:t>Российской Федерации внесены изменения в части</w:t>
      </w:r>
      <w:r w:rsidRPr="00C76AF1">
        <w:rPr>
          <w:rFonts w:eastAsia="Calibri"/>
          <w:szCs w:val="28"/>
          <w:lang w:eastAsia="en-US"/>
        </w:rPr>
        <w:t xml:space="preserve"> субсидий, по которым правилами предусмотрено </w:t>
      </w:r>
      <w:r w:rsidRPr="00C76AF1">
        <w:rPr>
          <w:rFonts w:eastAsia="Calibri"/>
          <w:b/>
          <w:szCs w:val="28"/>
          <w:lang w:eastAsia="en-US"/>
        </w:rPr>
        <w:t>проведение ежегодных конкурсных процедур</w:t>
      </w:r>
      <w:r w:rsidRPr="00C76AF1">
        <w:rPr>
          <w:rFonts w:eastAsia="Calibri"/>
          <w:szCs w:val="28"/>
          <w:lang w:eastAsia="en-US"/>
        </w:rPr>
        <w:t xml:space="preserve">, а именно указанные </w:t>
      </w:r>
      <w:r w:rsidRPr="00C76AF1">
        <w:rPr>
          <w:rFonts w:eastAsia="Calibri"/>
          <w:b/>
          <w:szCs w:val="28"/>
          <w:lang w:eastAsia="en-US"/>
        </w:rPr>
        <w:t>правила должны содержать</w:t>
      </w:r>
      <w:r w:rsidRPr="00C76AF1">
        <w:rPr>
          <w:rFonts w:eastAsia="Calibri"/>
          <w:szCs w:val="28"/>
          <w:lang w:eastAsia="en-US"/>
        </w:rPr>
        <w:t xml:space="preserve"> </w:t>
      </w:r>
      <w:r w:rsidRPr="00C76AF1">
        <w:rPr>
          <w:rFonts w:eastAsia="Calibri"/>
          <w:b/>
          <w:szCs w:val="28"/>
          <w:lang w:eastAsia="en-US"/>
        </w:rPr>
        <w:t xml:space="preserve">положение об установлении сроков </w:t>
      </w:r>
      <w:r w:rsidRPr="00C76AF1">
        <w:rPr>
          <w:rFonts w:eastAsia="Calibri"/>
          <w:szCs w:val="28"/>
          <w:lang w:eastAsia="en-US"/>
        </w:rPr>
        <w:t xml:space="preserve">проведения конкурсных отборов – </w:t>
      </w:r>
      <w:r w:rsidRPr="00C76AF1">
        <w:rPr>
          <w:rFonts w:eastAsia="Calibri"/>
          <w:b/>
          <w:szCs w:val="28"/>
          <w:lang w:eastAsia="en-US"/>
        </w:rPr>
        <w:t xml:space="preserve">не позднее 1 сентября </w:t>
      </w:r>
      <w:r w:rsidRPr="001E1DD1">
        <w:rPr>
          <w:rFonts w:eastAsia="Calibri"/>
          <w:b/>
          <w:szCs w:val="28"/>
          <w:lang w:eastAsia="en-US"/>
        </w:rPr>
        <w:t>2025 года</w:t>
      </w:r>
      <w:r w:rsidRPr="001E1DD1">
        <w:rPr>
          <w:rFonts w:eastAsia="Calibri"/>
          <w:szCs w:val="28"/>
          <w:lang w:eastAsia="en-US"/>
        </w:rPr>
        <w:t>.</w:t>
      </w:r>
    </w:p>
    <w:p w:rsidR="00165686" w:rsidRDefault="00BA06F5" w:rsidP="00165686">
      <w:pPr>
        <w:spacing w:line="360" w:lineRule="auto"/>
        <w:ind w:firstLine="709"/>
        <w:jc w:val="both"/>
        <w:rPr>
          <w:rFonts w:eastAsia="Calibri"/>
          <w:b/>
          <w:iCs/>
          <w:color w:val="000000"/>
          <w:szCs w:val="28"/>
          <w:lang w:eastAsia="en-US"/>
        </w:rPr>
      </w:pPr>
      <w:r w:rsidRPr="00CF2BFF">
        <w:rPr>
          <w:b/>
        </w:rPr>
        <w:t>15</w:t>
      </w:r>
      <w:r>
        <w:rPr>
          <w:b/>
        </w:rPr>
        <w:t>.</w:t>
      </w:r>
      <w:r w:rsidR="009D72B2">
        <w:rPr>
          <w:b/>
        </w:rPr>
        <w:t>2</w:t>
      </w:r>
      <w:r w:rsidRPr="00CF2BFF">
        <w:rPr>
          <w:b/>
        </w:rPr>
        <w:t xml:space="preserve">. </w:t>
      </w:r>
      <w:r w:rsidR="00532307" w:rsidRPr="00532307">
        <w:rPr>
          <w:rFonts w:eastAsia="Calibri"/>
          <w:color w:val="000000"/>
          <w:szCs w:val="28"/>
          <w:lang w:eastAsia="en-US"/>
        </w:rPr>
        <w:t>В соответствии</w:t>
      </w:r>
      <w:r w:rsidR="00165686" w:rsidRPr="00532307">
        <w:rPr>
          <w:rFonts w:eastAsia="Calibri"/>
          <w:color w:val="000000"/>
          <w:szCs w:val="28"/>
          <w:lang w:eastAsia="en-US"/>
        </w:rPr>
        <w:t xml:space="preserve"> </w:t>
      </w:r>
      <w:r w:rsidR="00532307">
        <w:rPr>
          <w:rFonts w:eastAsia="Calibri"/>
          <w:color w:val="000000"/>
          <w:szCs w:val="28"/>
          <w:lang w:eastAsia="en-US"/>
        </w:rPr>
        <w:t xml:space="preserve">с законопроектом </w:t>
      </w:r>
      <w:r w:rsidR="00165686" w:rsidRPr="00165686">
        <w:rPr>
          <w:rFonts w:eastAsia="Calibri"/>
          <w:color w:val="000000"/>
          <w:szCs w:val="28"/>
          <w:lang w:eastAsia="en-US"/>
        </w:rPr>
        <w:t xml:space="preserve">№ 1026188-2 предлагается </w:t>
      </w:r>
      <w:r w:rsidR="00165686" w:rsidRPr="00165686">
        <w:rPr>
          <w:rFonts w:eastAsia="Calibri"/>
          <w:b/>
          <w:color w:val="000000"/>
          <w:szCs w:val="28"/>
          <w:lang w:eastAsia="en-US"/>
        </w:rPr>
        <w:t xml:space="preserve">приостановить </w:t>
      </w:r>
      <w:r w:rsidR="00954AEC">
        <w:rPr>
          <w:rFonts w:eastAsia="Calibri"/>
          <w:b/>
          <w:color w:val="000000"/>
          <w:szCs w:val="28"/>
          <w:lang w:eastAsia="en-US"/>
        </w:rPr>
        <w:t>до </w:t>
      </w:r>
      <w:r w:rsidR="00C76AF1">
        <w:rPr>
          <w:rFonts w:eastAsia="Calibri"/>
          <w:b/>
          <w:color w:val="000000"/>
          <w:szCs w:val="28"/>
          <w:lang w:eastAsia="en-US"/>
        </w:rPr>
        <w:t>1 января 2027 </w:t>
      </w:r>
      <w:r w:rsidR="00165686" w:rsidRPr="00165686">
        <w:rPr>
          <w:rFonts w:eastAsia="Calibri"/>
          <w:b/>
          <w:color w:val="000000"/>
          <w:szCs w:val="28"/>
          <w:lang w:eastAsia="en-US"/>
        </w:rPr>
        <w:t xml:space="preserve">года </w:t>
      </w:r>
      <w:r w:rsidR="00165686" w:rsidRPr="00165686">
        <w:rPr>
          <w:rFonts w:eastAsia="Calibri"/>
          <w:color w:val="000000"/>
          <w:szCs w:val="28"/>
          <w:lang w:eastAsia="en-US"/>
        </w:rPr>
        <w:t>действие абзаца девятого пункта 4 статьи 132 и абзаца второго пункта 2 статьи 133 Бюджетного кодекса Российской Федерации</w:t>
      </w:r>
      <w:r w:rsidR="00165686" w:rsidRPr="00165686">
        <w:rPr>
          <w:rFonts w:eastAsia="Calibri"/>
          <w:color w:val="000000"/>
          <w:szCs w:val="28"/>
          <w:vertAlign w:val="superscript"/>
          <w:lang w:eastAsia="en-US"/>
        </w:rPr>
        <w:footnoteReference w:id="2"/>
      </w:r>
      <w:r w:rsidR="00165686" w:rsidRPr="00165686">
        <w:rPr>
          <w:rFonts w:eastAsia="Calibri"/>
          <w:color w:val="000000"/>
          <w:szCs w:val="28"/>
          <w:lang w:eastAsia="en-US"/>
        </w:rPr>
        <w:t xml:space="preserve"> и предусматривается </w:t>
      </w:r>
      <w:r w:rsidR="00165686" w:rsidRPr="00165686">
        <w:rPr>
          <w:rFonts w:eastAsia="Calibri"/>
          <w:b/>
          <w:color w:val="000000"/>
          <w:szCs w:val="28"/>
          <w:lang w:eastAsia="en-US"/>
        </w:rPr>
        <w:t xml:space="preserve">норма </w:t>
      </w:r>
      <w:r w:rsidR="00165686" w:rsidRPr="00165686">
        <w:rPr>
          <w:rFonts w:eastAsia="Calibri"/>
          <w:b/>
          <w:iCs/>
          <w:color w:val="000000"/>
          <w:szCs w:val="28"/>
          <w:lang w:eastAsia="en-US"/>
        </w:rPr>
        <w:t>о возможности формирования не распределенного</w:t>
      </w:r>
      <w:r w:rsidR="00165686" w:rsidRPr="00165686">
        <w:rPr>
          <w:rFonts w:eastAsia="Calibri"/>
          <w:iCs/>
          <w:color w:val="000000"/>
          <w:szCs w:val="28"/>
          <w:lang w:eastAsia="en-US"/>
        </w:rPr>
        <w:t xml:space="preserve"> между субъектами Российской Федерации объема субсидий, субвенций и иных</w:t>
      </w:r>
      <w:r w:rsidR="00165686" w:rsidRPr="00165686">
        <w:rPr>
          <w:rFonts w:eastAsia="Calibri"/>
          <w:b/>
          <w:iCs/>
          <w:color w:val="000000"/>
          <w:szCs w:val="28"/>
          <w:lang w:eastAsia="en-US"/>
        </w:rPr>
        <w:t xml:space="preserve"> </w:t>
      </w:r>
      <w:r w:rsidR="00165686" w:rsidRPr="00165686">
        <w:rPr>
          <w:rFonts w:eastAsia="Calibri"/>
          <w:iCs/>
          <w:color w:val="000000"/>
          <w:szCs w:val="28"/>
          <w:lang w:eastAsia="en-US"/>
        </w:rPr>
        <w:t>межбюджетных трансфертов Федеральным законом «О федеральном бюджете на 2026 год и на плановый период 2027 и 2028 годов»</w:t>
      </w:r>
      <w:r w:rsidR="00165686" w:rsidRPr="00165686">
        <w:rPr>
          <w:rFonts w:eastAsia="Calibri"/>
          <w:b/>
          <w:iCs/>
          <w:color w:val="000000"/>
          <w:szCs w:val="28"/>
          <w:lang w:eastAsia="en-US"/>
        </w:rPr>
        <w:t xml:space="preserve"> </w:t>
      </w:r>
      <w:r w:rsidR="00954AEC">
        <w:rPr>
          <w:rFonts w:eastAsia="Calibri"/>
          <w:iCs/>
          <w:color w:val="000000"/>
          <w:szCs w:val="28"/>
          <w:lang w:eastAsia="en-US"/>
        </w:rPr>
        <w:t>на </w:t>
      </w:r>
      <w:r w:rsidR="00165686" w:rsidRPr="00165686">
        <w:rPr>
          <w:rFonts w:eastAsia="Calibri"/>
          <w:iCs/>
          <w:color w:val="000000"/>
          <w:szCs w:val="28"/>
          <w:lang w:eastAsia="en-US"/>
        </w:rPr>
        <w:t xml:space="preserve">2026 год в размере </w:t>
      </w:r>
      <w:r w:rsidR="00165686" w:rsidRPr="00165686">
        <w:rPr>
          <w:rFonts w:eastAsia="Calibri"/>
          <w:b/>
          <w:iCs/>
          <w:color w:val="000000"/>
          <w:szCs w:val="28"/>
          <w:lang w:eastAsia="en-US"/>
        </w:rPr>
        <w:t>не более</w:t>
      </w:r>
      <w:r w:rsidR="00165686" w:rsidRPr="00165686">
        <w:rPr>
          <w:rFonts w:eastAsia="Calibri"/>
          <w:iCs/>
          <w:color w:val="000000"/>
          <w:szCs w:val="28"/>
          <w:lang w:eastAsia="en-US"/>
        </w:rPr>
        <w:t xml:space="preserve"> </w:t>
      </w:r>
      <w:r w:rsidR="00165686" w:rsidRPr="00165686">
        <w:rPr>
          <w:rFonts w:eastAsia="Calibri"/>
          <w:b/>
          <w:iCs/>
          <w:color w:val="000000"/>
          <w:szCs w:val="28"/>
          <w:lang w:eastAsia="en-US"/>
        </w:rPr>
        <w:t>10 %</w:t>
      </w:r>
      <w:r w:rsidR="00165686" w:rsidRPr="00165686">
        <w:rPr>
          <w:rFonts w:eastAsia="Calibri"/>
          <w:iCs/>
          <w:color w:val="000000"/>
          <w:szCs w:val="28"/>
          <w:lang w:eastAsia="en-US"/>
        </w:rPr>
        <w:t xml:space="preserve"> общего объема соответствующего межбюджетного трансферта, на 2027 и 2028 годы </w:t>
      </w:r>
      <w:r w:rsidR="00165686" w:rsidRPr="00165686">
        <w:rPr>
          <w:rFonts w:eastAsia="Calibri"/>
          <w:b/>
          <w:iCs/>
          <w:color w:val="000000"/>
          <w:szCs w:val="28"/>
          <w:lang w:eastAsia="en-US"/>
        </w:rPr>
        <w:t>не более 15 %</w:t>
      </w:r>
      <w:r w:rsidR="00165686" w:rsidRPr="00165686">
        <w:rPr>
          <w:rFonts w:eastAsia="Calibri"/>
          <w:iCs/>
          <w:color w:val="000000"/>
          <w:szCs w:val="28"/>
          <w:lang w:eastAsia="en-US"/>
        </w:rPr>
        <w:t>.</w:t>
      </w:r>
      <w:r w:rsidR="00165686" w:rsidRPr="00165686">
        <w:rPr>
          <w:rFonts w:eastAsia="Calibri"/>
          <w:b/>
          <w:iCs/>
          <w:color w:val="000000"/>
          <w:szCs w:val="28"/>
          <w:lang w:eastAsia="en-US"/>
        </w:rPr>
        <w:t xml:space="preserve"> </w:t>
      </w:r>
    </w:p>
    <w:p w:rsidR="00CB7750" w:rsidRPr="009D72B2" w:rsidRDefault="00CB7750" w:rsidP="00CB7750">
      <w:pPr>
        <w:spacing w:line="360" w:lineRule="auto"/>
        <w:ind w:firstLine="709"/>
        <w:jc w:val="both"/>
        <w:rPr>
          <w:rFonts w:eastAsia="Calibri"/>
          <w:szCs w:val="22"/>
          <w:lang w:eastAsia="en-US"/>
        </w:rPr>
      </w:pPr>
      <w:r w:rsidRPr="009D72B2">
        <w:rPr>
          <w:rFonts w:eastAsia="Calibri"/>
          <w:szCs w:val="22"/>
          <w:lang w:eastAsia="en-US"/>
        </w:rPr>
        <w:t xml:space="preserve">Анализ распределения между бюджетами субъектов Российской Федерации субсидий, субвенций и иных межбюджетных трансфертов на 2026–2028 годы, представленного в приложении 30 к законопроекту, показал, что </w:t>
      </w:r>
      <w:r w:rsidRPr="009D72B2">
        <w:rPr>
          <w:rFonts w:eastAsia="Calibri"/>
          <w:b/>
          <w:szCs w:val="22"/>
          <w:lang w:eastAsia="en-US"/>
        </w:rPr>
        <w:t>нераспределенный</w:t>
      </w:r>
      <w:r w:rsidRPr="009D72B2">
        <w:rPr>
          <w:rFonts w:eastAsia="Calibri"/>
          <w:szCs w:val="22"/>
          <w:lang w:eastAsia="en-US"/>
        </w:rPr>
        <w:t xml:space="preserve"> между субъектами Российской Федерации </w:t>
      </w:r>
      <w:r w:rsidRPr="009D72B2">
        <w:rPr>
          <w:rFonts w:eastAsia="Calibri"/>
          <w:b/>
          <w:szCs w:val="22"/>
          <w:lang w:eastAsia="en-US"/>
        </w:rPr>
        <w:t xml:space="preserve">объем </w:t>
      </w:r>
      <w:r w:rsidRPr="009D72B2">
        <w:rPr>
          <w:rFonts w:eastAsia="Calibri"/>
          <w:szCs w:val="22"/>
          <w:lang w:eastAsia="en-US"/>
        </w:rPr>
        <w:t xml:space="preserve">межбюджетных трансфертов сформирован как </w:t>
      </w:r>
      <w:r w:rsidR="002255F3">
        <w:rPr>
          <w:rFonts w:eastAsia="Calibri"/>
          <w:szCs w:val="22"/>
          <w:lang w:eastAsia="en-US"/>
        </w:rPr>
        <w:br/>
      </w:r>
      <w:r w:rsidRPr="009D72B2">
        <w:rPr>
          <w:rFonts w:eastAsia="Calibri"/>
          <w:b/>
          <w:szCs w:val="22"/>
          <w:lang w:eastAsia="en-US"/>
        </w:rPr>
        <w:t>в соответствии с действующими нормами Бюджетного кодекса</w:t>
      </w:r>
      <w:r w:rsidRPr="009D72B2">
        <w:rPr>
          <w:rFonts w:eastAsia="Calibri"/>
          <w:szCs w:val="22"/>
          <w:lang w:eastAsia="en-US"/>
        </w:rPr>
        <w:t xml:space="preserve"> Российской Федерации (допускается формирование нераспределенного между субъектами Российской Федерации объема </w:t>
      </w:r>
      <w:r w:rsidRPr="009D72B2">
        <w:rPr>
          <w:rFonts w:eastAsia="Calibri"/>
          <w:b/>
          <w:szCs w:val="22"/>
          <w:lang w:eastAsia="en-US"/>
        </w:rPr>
        <w:t>субсидий и иных межбюджетных трансфертов</w:t>
      </w:r>
      <w:r w:rsidRPr="009D72B2">
        <w:rPr>
          <w:rFonts w:eastAsia="Calibri"/>
          <w:szCs w:val="22"/>
          <w:lang w:eastAsia="en-US"/>
        </w:rPr>
        <w:t xml:space="preserve"> в размере </w:t>
      </w:r>
      <w:r w:rsidRPr="009D72B2">
        <w:rPr>
          <w:rFonts w:eastAsia="Calibri"/>
          <w:b/>
          <w:szCs w:val="22"/>
          <w:lang w:eastAsia="en-US"/>
        </w:rPr>
        <w:t>не более 5 %</w:t>
      </w:r>
      <w:r w:rsidRPr="009D72B2">
        <w:rPr>
          <w:rFonts w:eastAsia="Calibri"/>
          <w:szCs w:val="22"/>
          <w:lang w:eastAsia="en-US"/>
        </w:rPr>
        <w:t xml:space="preserve"> общего объема соответствующего межбюджетного трансферта, утвержденного на 2027 год, и </w:t>
      </w:r>
      <w:r w:rsidRPr="009D72B2">
        <w:rPr>
          <w:rFonts w:eastAsia="Calibri"/>
          <w:b/>
          <w:szCs w:val="22"/>
          <w:lang w:eastAsia="en-US"/>
        </w:rPr>
        <w:t>10 %</w:t>
      </w:r>
      <w:r w:rsidRPr="009D72B2">
        <w:rPr>
          <w:rFonts w:eastAsia="Calibri"/>
          <w:szCs w:val="22"/>
          <w:lang w:eastAsia="en-US"/>
        </w:rPr>
        <w:t xml:space="preserve"> - на 2028 год, </w:t>
      </w:r>
      <w:r w:rsidRPr="009D72B2">
        <w:rPr>
          <w:rFonts w:eastAsia="Calibri"/>
          <w:b/>
          <w:szCs w:val="22"/>
          <w:lang w:eastAsia="en-US"/>
        </w:rPr>
        <w:t>субвенций</w:t>
      </w:r>
      <w:r w:rsidRPr="009D72B2">
        <w:rPr>
          <w:rFonts w:eastAsia="Calibri"/>
          <w:szCs w:val="22"/>
          <w:lang w:eastAsia="en-US"/>
        </w:rPr>
        <w:t xml:space="preserve"> в объеме, не превышающем </w:t>
      </w:r>
      <w:r w:rsidRPr="009D72B2">
        <w:rPr>
          <w:rFonts w:eastAsia="Calibri"/>
          <w:b/>
          <w:szCs w:val="22"/>
          <w:lang w:eastAsia="en-US"/>
        </w:rPr>
        <w:t>5 %</w:t>
      </w:r>
      <w:r w:rsidRPr="009D72B2">
        <w:rPr>
          <w:rFonts w:eastAsia="Calibri"/>
          <w:szCs w:val="22"/>
          <w:lang w:eastAsia="en-US"/>
        </w:rPr>
        <w:t xml:space="preserve"> ежегодно), так и в соответствии с проектируемыми изменениями</w:t>
      </w:r>
      <w:r w:rsidRPr="009D72B2">
        <w:rPr>
          <w:rFonts w:eastAsia="Calibri"/>
          <w:iCs/>
          <w:szCs w:val="28"/>
          <w:lang w:eastAsia="en-US"/>
        </w:rPr>
        <w:t>, внесенными одновременно с законопроектом</w:t>
      </w:r>
      <w:r w:rsidRPr="009D72B2">
        <w:rPr>
          <w:rFonts w:eastAsia="Calibri"/>
          <w:szCs w:val="22"/>
          <w:lang w:eastAsia="en-US"/>
        </w:rPr>
        <w:t>.</w:t>
      </w:r>
      <w:r w:rsidRPr="009D72B2">
        <w:rPr>
          <w:rFonts w:eastAsia="Calibri"/>
          <w:b/>
          <w:szCs w:val="22"/>
          <w:lang w:eastAsia="en-US"/>
        </w:rPr>
        <w:t xml:space="preserve"> </w:t>
      </w:r>
    </w:p>
    <w:p w:rsidR="00165686" w:rsidRPr="00165686" w:rsidRDefault="00165686" w:rsidP="00165686">
      <w:pPr>
        <w:spacing w:line="360" w:lineRule="auto"/>
        <w:ind w:firstLine="709"/>
        <w:jc w:val="both"/>
        <w:rPr>
          <w:rFonts w:eastAsia="Calibri"/>
          <w:color w:val="000000"/>
          <w:szCs w:val="22"/>
          <w:lang w:eastAsia="en-US"/>
        </w:rPr>
      </w:pPr>
      <w:r w:rsidRPr="001E1DD1">
        <w:rPr>
          <w:rFonts w:eastAsia="Calibri"/>
          <w:color w:val="000000"/>
          <w:szCs w:val="22"/>
          <w:lang w:eastAsia="en-US"/>
        </w:rPr>
        <w:t xml:space="preserve">Таким образом, Счетная палата отмечает отсутствие </w:t>
      </w:r>
      <w:r w:rsidRPr="001E1DD1">
        <w:rPr>
          <w:rFonts w:eastAsia="Calibri"/>
          <w:b/>
          <w:color w:val="000000"/>
          <w:szCs w:val="22"/>
          <w:lang w:eastAsia="en-US"/>
        </w:rPr>
        <w:t>единства подходов</w:t>
      </w:r>
      <w:r w:rsidRPr="001E1DD1">
        <w:rPr>
          <w:rFonts w:eastAsia="Calibri"/>
          <w:color w:val="000000"/>
          <w:szCs w:val="22"/>
          <w:lang w:eastAsia="en-US"/>
        </w:rPr>
        <w:t xml:space="preserve"> подготовки формирования распределения субсидий, субвенций и иных межбюджетных трансфертов между бюджетами субъектов Российской Федерации на 2026–2028 годы.</w:t>
      </w:r>
    </w:p>
    <w:p w:rsidR="00500B7A" w:rsidRPr="00143121" w:rsidRDefault="00BA06F5" w:rsidP="00206246">
      <w:pPr>
        <w:autoSpaceDN w:val="0"/>
        <w:spacing w:line="360" w:lineRule="auto"/>
        <w:ind w:firstLine="709"/>
        <w:contextualSpacing/>
        <w:jc w:val="both"/>
        <w:rPr>
          <w:bCs/>
        </w:rPr>
      </w:pPr>
      <w:r w:rsidRPr="00CF2BFF">
        <w:rPr>
          <w:b/>
        </w:rPr>
        <w:lastRenderedPageBreak/>
        <w:t>15</w:t>
      </w:r>
      <w:r>
        <w:rPr>
          <w:b/>
        </w:rPr>
        <w:t>.3</w:t>
      </w:r>
      <w:r w:rsidRPr="00CF2BFF">
        <w:rPr>
          <w:b/>
        </w:rPr>
        <w:t xml:space="preserve">. </w:t>
      </w:r>
      <w:r w:rsidR="00D42D57" w:rsidRPr="00143121">
        <w:rPr>
          <w:bCs/>
        </w:rPr>
        <w:t>Основные параметры</w:t>
      </w:r>
      <w:r w:rsidR="00500B7A" w:rsidRPr="00143121">
        <w:rPr>
          <w:bCs/>
        </w:rPr>
        <w:t xml:space="preserve"> консолидированных бюджетов </w:t>
      </w:r>
      <w:r w:rsidR="00D42D57" w:rsidRPr="00143121">
        <w:rPr>
          <w:bCs/>
        </w:rPr>
        <w:t>субъектов Российской Федерации на</w:t>
      </w:r>
      <w:r w:rsidR="00500B7A" w:rsidRPr="00143121">
        <w:rPr>
          <w:bCs/>
        </w:rPr>
        <w:t xml:space="preserve"> 20</w:t>
      </w:r>
      <w:r w:rsidR="00894BFB" w:rsidRPr="00143121">
        <w:rPr>
          <w:bCs/>
        </w:rPr>
        <w:t>2</w:t>
      </w:r>
      <w:r w:rsidR="00143121" w:rsidRPr="00143121">
        <w:rPr>
          <w:bCs/>
        </w:rPr>
        <w:t>4</w:t>
      </w:r>
      <w:r w:rsidR="0090598D" w:rsidRPr="00143121">
        <w:rPr>
          <w:bCs/>
        </w:rPr>
        <w:t>–</w:t>
      </w:r>
      <w:r w:rsidR="00500B7A" w:rsidRPr="00143121">
        <w:rPr>
          <w:bCs/>
        </w:rPr>
        <w:t>202</w:t>
      </w:r>
      <w:r w:rsidR="00143121" w:rsidRPr="00143121">
        <w:rPr>
          <w:bCs/>
        </w:rPr>
        <w:t>8</w:t>
      </w:r>
      <w:r w:rsidR="00894BFB" w:rsidRPr="00143121">
        <w:rPr>
          <w:bCs/>
        </w:rPr>
        <w:t xml:space="preserve"> год</w:t>
      </w:r>
      <w:r w:rsidR="0055315F" w:rsidRPr="00143121">
        <w:rPr>
          <w:bCs/>
        </w:rPr>
        <w:t>ы</w:t>
      </w:r>
      <w:r w:rsidR="00894BFB" w:rsidRPr="00143121">
        <w:rPr>
          <w:bCs/>
        </w:rPr>
        <w:t xml:space="preserve"> представлены </w:t>
      </w:r>
      <w:r w:rsidR="0056559F" w:rsidRPr="00143121">
        <w:rPr>
          <w:bCs/>
        </w:rPr>
        <w:t xml:space="preserve">в </w:t>
      </w:r>
      <w:r w:rsidR="00500B7A" w:rsidRPr="00143121">
        <w:rPr>
          <w:bCs/>
        </w:rPr>
        <w:t>следующ</w:t>
      </w:r>
      <w:r w:rsidR="004474C1" w:rsidRPr="00143121">
        <w:rPr>
          <w:bCs/>
        </w:rPr>
        <w:t>ей</w:t>
      </w:r>
      <w:r w:rsidR="00500B7A" w:rsidRPr="00143121">
        <w:rPr>
          <w:bCs/>
        </w:rPr>
        <w:t xml:space="preserve"> </w:t>
      </w:r>
      <w:r w:rsidR="00894BFB" w:rsidRPr="00143121">
        <w:rPr>
          <w:bCs/>
        </w:rPr>
        <w:t>таблице</w:t>
      </w:r>
      <w:r w:rsidR="000A5E05">
        <w:rPr>
          <w:rStyle w:val="af7"/>
          <w:bCs/>
        </w:rPr>
        <w:footnoteReference w:id="3"/>
      </w:r>
      <w:r w:rsidR="00500B7A" w:rsidRPr="00143121">
        <w:rPr>
          <w:bCs/>
        </w:rPr>
        <w:t>.</w:t>
      </w:r>
    </w:p>
    <w:p w:rsidR="00894BFB" w:rsidRPr="00143121" w:rsidRDefault="00143121" w:rsidP="00BD0747">
      <w:pPr>
        <w:ind w:left="7068" w:firstLine="1012"/>
        <w:jc w:val="both"/>
        <w:rPr>
          <w:sz w:val="20"/>
          <w:szCs w:val="20"/>
        </w:rPr>
      </w:pPr>
      <w:r>
        <w:rPr>
          <w:bCs/>
          <w:sz w:val="20"/>
          <w:szCs w:val="20"/>
        </w:rPr>
        <w:t xml:space="preserve">   </w:t>
      </w:r>
      <w:r w:rsidR="00894BFB" w:rsidRPr="00143121">
        <w:rPr>
          <w:bCs/>
          <w:sz w:val="20"/>
          <w:szCs w:val="20"/>
        </w:rPr>
        <w:t>(млрд рублей)</w:t>
      </w:r>
    </w:p>
    <w:tbl>
      <w:tblPr>
        <w:tblStyle w:val="28"/>
        <w:tblW w:w="9398" w:type="dxa"/>
        <w:jc w:val="center"/>
        <w:tblLayout w:type="fixed"/>
        <w:tblLook w:val="04A0" w:firstRow="1" w:lastRow="0" w:firstColumn="1" w:lastColumn="0" w:noHBand="0" w:noVBand="1"/>
      </w:tblPr>
      <w:tblGrid>
        <w:gridCol w:w="3686"/>
        <w:gridCol w:w="1142"/>
        <w:gridCol w:w="1142"/>
        <w:gridCol w:w="1143"/>
        <w:gridCol w:w="1142"/>
        <w:gridCol w:w="1143"/>
      </w:tblGrid>
      <w:tr w:rsidR="00143121" w:rsidRPr="00143121" w:rsidTr="0038726D">
        <w:trPr>
          <w:trHeight w:val="401"/>
          <w:tblHeader/>
          <w:jc w:val="center"/>
        </w:trPr>
        <w:tc>
          <w:tcPr>
            <w:tcW w:w="3686" w:type="dxa"/>
          </w:tcPr>
          <w:p w:rsidR="00143121" w:rsidRPr="00143121" w:rsidRDefault="00143121" w:rsidP="00143121">
            <w:pPr>
              <w:widowControl w:val="0"/>
              <w:jc w:val="center"/>
              <w:rPr>
                <w:b/>
                <w:sz w:val="18"/>
              </w:rPr>
            </w:pPr>
            <w:r w:rsidRPr="00143121">
              <w:rPr>
                <w:b/>
                <w:sz w:val="18"/>
              </w:rPr>
              <w:t>Показатель</w:t>
            </w:r>
          </w:p>
        </w:tc>
        <w:tc>
          <w:tcPr>
            <w:tcW w:w="1142" w:type="dxa"/>
            <w:tcBorders>
              <w:top w:val="single" w:sz="4" w:space="0" w:color="auto"/>
              <w:left w:val="single" w:sz="4" w:space="0" w:color="auto"/>
              <w:bottom w:val="single" w:sz="4" w:space="0" w:color="auto"/>
              <w:right w:val="single" w:sz="4" w:space="0" w:color="auto"/>
            </w:tcBorders>
          </w:tcPr>
          <w:p w:rsidR="00143121" w:rsidRPr="00143121" w:rsidRDefault="00143121" w:rsidP="00143121">
            <w:pPr>
              <w:widowControl w:val="0"/>
              <w:ind w:left="-57" w:right="-57"/>
              <w:jc w:val="center"/>
              <w:rPr>
                <w:rFonts w:eastAsia="DotumChe"/>
                <w:b/>
                <w:sz w:val="18"/>
                <w:szCs w:val="18"/>
              </w:rPr>
            </w:pPr>
            <w:r w:rsidRPr="00143121">
              <w:rPr>
                <w:rFonts w:eastAsia="DotumChe"/>
                <w:b/>
                <w:sz w:val="18"/>
                <w:szCs w:val="18"/>
              </w:rPr>
              <w:t xml:space="preserve">2024 год </w:t>
            </w:r>
            <w:r w:rsidRPr="00143121">
              <w:rPr>
                <w:rFonts w:eastAsia="DotumChe"/>
                <w:b/>
                <w:sz w:val="16"/>
                <w:szCs w:val="18"/>
              </w:rPr>
              <w:t>(факт)</w:t>
            </w:r>
          </w:p>
        </w:tc>
        <w:tc>
          <w:tcPr>
            <w:tcW w:w="1142" w:type="dxa"/>
            <w:tcBorders>
              <w:top w:val="single" w:sz="4" w:space="0" w:color="auto"/>
              <w:left w:val="single" w:sz="4" w:space="0" w:color="auto"/>
              <w:bottom w:val="single" w:sz="4" w:space="0" w:color="auto"/>
              <w:right w:val="single" w:sz="4" w:space="0" w:color="auto"/>
            </w:tcBorders>
          </w:tcPr>
          <w:p w:rsidR="00143121" w:rsidRPr="00143121" w:rsidRDefault="00143121" w:rsidP="00143121">
            <w:pPr>
              <w:widowControl w:val="0"/>
              <w:ind w:left="-57" w:right="-57"/>
              <w:jc w:val="center"/>
              <w:rPr>
                <w:rFonts w:eastAsia="DotumChe"/>
                <w:b/>
                <w:sz w:val="18"/>
                <w:szCs w:val="18"/>
              </w:rPr>
            </w:pPr>
            <w:r w:rsidRPr="00143121">
              <w:rPr>
                <w:rFonts w:eastAsia="DotumChe"/>
                <w:b/>
                <w:sz w:val="18"/>
                <w:szCs w:val="18"/>
              </w:rPr>
              <w:t xml:space="preserve">2025 год </w:t>
            </w:r>
            <w:r w:rsidRPr="00143121">
              <w:rPr>
                <w:rFonts w:eastAsia="DotumChe"/>
                <w:b/>
                <w:sz w:val="16"/>
                <w:szCs w:val="18"/>
              </w:rPr>
              <w:t>(оценка)</w:t>
            </w:r>
          </w:p>
        </w:tc>
        <w:tc>
          <w:tcPr>
            <w:tcW w:w="1143" w:type="dxa"/>
            <w:tcBorders>
              <w:top w:val="single" w:sz="4" w:space="0" w:color="auto"/>
              <w:left w:val="single" w:sz="4" w:space="0" w:color="auto"/>
              <w:bottom w:val="single" w:sz="4" w:space="0" w:color="auto"/>
              <w:right w:val="single" w:sz="4" w:space="0" w:color="auto"/>
            </w:tcBorders>
          </w:tcPr>
          <w:p w:rsidR="00143121" w:rsidRPr="00143121" w:rsidRDefault="00143121" w:rsidP="00143121">
            <w:pPr>
              <w:widowControl w:val="0"/>
              <w:ind w:left="-57" w:right="-57"/>
              <w:jc w:val="center"/>
              <w:rPr>
                <w:rFonts w:eastAsia="DotumChe"/>
                <w:b/>
                <w:sz w:val="18"/>
                <w:szCs w:val="18"/>
              </w:rPr>
            </w:pPr>
            <w:r w:rsidRPr="00143121">
              <w:rPr>
                <w:rFonts w:eastAsia="DotumChe"/>
                <w:b/>
                <w:sz w:val="18"/>
                <w:szCs w:val="18"/>
              </w:rPr>
              <w:t xml:space="preserve">2026 год </w:t>
            </w:r>
            <w:r w:rsidRPr="00143121">
              <w:rPr>
                <w:rFonts w:eastAsia="DotumChe"/>
                <w:b/>
                <w:sz w:val="16"/>
                <w:szCs w:val="18"/>
              </w:rPr>
              <w:t>(прогноз)</w:t>
            </w:r>
          </w:p>
        </w:tc>
        <w:tc>
          <w:tcPr>
            <w:tcW w:w="1142" w:type="dxa"/>
            <w:tcBorders>
              <w:top w:val="single" w:sz="4" w:space="0" w:color="auto"/>
              <w:left w:val="single" w:sz="4" w:space="0" w:color="auto"/>
              <w:bottom w:val="single" w:sz="4" w:space="0" w:color="auto"/>
              <w:right w:val="single" w:sz="4" w:space="0" w:color="auto"/>
            </w:tcBorders>
          </w:tcPr>
          <w:p w:rsidR="00143121" w:rsidRPr="00143121" w:rsidRDefault="00143121" w:rsidP="00143121">
            <w:pPr>
              <w:widowControl w:val="0"/>
              <w:ind w:left="-57" w:right="-57"/>
              <w:jc w:val="center"/>
              <w:rPr>
                <w:rFonts w:eastAsia="DotumChe"/>
                <w:b/>
                <w:sz w:val="18"/>
                <w:szCs w:val="18"/>
              </w:rPr>
            </w:pPr>
            <w:r w:rsidRPr="00143121">
              <w:rPr>
                <w:rFonts w:eastAsia="DotumChe"/>
                <w:b/>
                <w:sz w:val="18"/>
                <w:szCs w:val="18"/>
              </w:rPr>
              <w:t xml:space="preserve">2027 год </w:t>
            </w:r>
            <w:r w:rsidRPr="00143121">
              <w:rPr>
                <w:rFonts w:eastAsia="DotumChe"/>
                <w:b/>
                <w:sz w:val="16"/>
                <w:szCs w:val="18"/>
              </w:rPr>
              <w:t>(прогноз)</w:t>
            </w:r>
          </w:p>
        </w:tc>
        <w:tc>
          <w:tcPr>
            <w:tcW w:w="1143" w:type="dxa"/>
            <w:tcBorders>
              <w:top w:val="single" w:sz="4" w:space="0" w:color="auto"/>
              <w:left w:val="single" w:sz="4" w:space="0" w:color="auto"/>
              <w:bottom w:val="single" w:sz="4" w:space="0" w:color="auto"/>
              <w:right w:val="single" w:sz="4" w:space="0" w:color="auto"/>
            </w:tcBorders>
          </w:tcPr>
          <w:p w:rsidR="00143121" w:rsidRPr="00143121" w:rsidRDefault="00143121" w:rsidP="00143121">
            <w:pPr>
              <w:widowControl w:val="0"/>
              <w:ind w:left="-57" w:right="-57"/>
              <w:jc w:val="center"/>
              <w:rPr>
                <w:rFonts w:eastAsia="DotumChe"/>
                <w:b/>
                <w:sz w:val="18"/>
                <w:szCs w:val="18"/>
              </w:rPr>
            </w:pPr>
            <w:r w:rsidRPr="00143121">
              <w:rPr>
                <w:rFonts w:eastAsia="DotumChe"/>
                <w:b/>
                <w:sz w:val="18"/>
                <w:szCs w:val="18"/>
              </w:rPr>
              <w:t xml:space="preserve">2028 год </w:t>
            </w:r>
            <w:r w:rsidRPr="00143121">
              <w:rPr>
                <w:rFonts w:eastAsia="DotumChe"/>
                <w:b/>
                <w:sz w:val="16"/>
                <w:szCs w:val="18"/>
              </w:rPr>
              <w:t>(прогноз)</w:t>
            </w:r>
          </w:p>
        </w:tc>
      </w:tr>
      <w:tr w:rsidR="00D81A6A" w:rsidRPr="00143121" w:rsidTr="00332D3A">
        <w:trPr>
          <w:trHeight w:val="283"/>
          <w:jc w:val="center"/>
        </w:trPr>
        <w:tc>
          <w:tcPr>
            <w:tcW w:w="3686" w:type="dxa"/>
            <w:vAlign w:val="center"/>
          </w:tcPr>
          <w:p w:rsidR="00D81A6A" w:rsidRPr="00143121" w:rsidRDefault="00D81A6A" w:rsidP="00BE25D8">
            <w:pPr>
              <w:widowControl w:val="0"/>
              <w:ind w:left="-57"/>
              <w:rPr>
                <w:b/>
                <w:sz w:val="18"/>
              </w:rPr>
            </w:pPr>
            <w:r w:rsidRPr="00BE25D8">
              <w:rPr>
                <w:b/>
                <w:sz w:val="20"/>
              </w:rPr>
              <w:t>Доходы,</w:t>
            </w:r>
            <w:r w:rsidRPr="00143121">
              <w:rPr>
                <w:b/>
                <w:sz w:val="16"/>
              </w:rPr>
              <w:t xml:space="preserve"> </w:t>
            </w:r>
            <w:r w:rsidRPr="00143121">
              <w:rPr>
                <w:b/>
                <w:sz w:val="18"/>
              </w:rPr>
              <w:t>всего</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24 621,5</w:t>
            </w:r>
          </w:p>
        </w:tc>
        <w:tc>
          <w:tcPr>
            <w:tcW w:w="1142" w:type="dxa"/>
            <w:tcBorders>
              <w:top w:val="single" w:sz="4" w:space="0" w:color="auto"/>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25 759,7</w:t>
            </w:r>
          </w:p>
        </w:tc>
        <w:tc>
          <w:tcPr>
            <w:tcW w:w="1143" w:type="dxa"/>
            <w:tcBorders>
              <w:top w:val="single" w:sz="4" w:space="0" w:color="auto"/>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26 597,8</w:t>
            </w:r>
          </w:p>
        </w:tc>
        <w:tc>
          <w:tcPr>
            <w:tcW w:w="1142" w:type="dxa"/>
            <w:tcBorders>
              <w:top w:val="single" w:sz="4" w:space="0" w:color="auto"/>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28 557,8</w:t>
            </w:r>
          </w:p>
        </w:tc>
        <w:tc>
          <w:tcPr>
            <w:tcW w:w="1143" w:type="dxa"/>
            <w:tcBorders>
              <w:top w:val="single" w:sz="4" w:space="0" w:color="auto"/>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30 567,1</w:t>
            </w:r>
          </w:p>
        </w:tc>
      </w:tr>
      <w:tr w:rsidR="00D81A6A" w:rsidRPr="00143121" w:rsidTr="006702A0">
        <w:trPr>
          <w:trHeight w:val="227"/>
          <w:jc w:val="center"/>
        </w:trPr>
        <w:tc>
          <w:tcPr>
            <w:tcW w:w="3686" w:type="dxa"/>
            <w:vAlign w:val="center"/>
          </w:tcPr>
          <w:p w:rsidR="00D81A6A" w:rsidRPr="00143121" w:rsidRDefault="00D81A6A" w:rsidP="00C12EF1">
            <w:pPr>
              <w:widowControl w:val="0"/>
              <w:ind w:left="-57"/>
              <w:rPr>
                <w:sz w:val="16"/>
                <w:szCs w:val="15"/>
              </w:rPr>
            </w:pPr>
            <w:r w:rsidRPr="00143121">
              <w:rPr>
                <w:sz w:val="16"/>
                <w:szCs w:val="15"/>
              </w:rPr>
              <w:t>прирост к предыдущему году в номинальном выражении, млрд рублей</w:t>
            </w:r>
          </w:p>
        </w:tc>
        <w:tc>
          <w:tcPr>
            <w:tcW w:w="1142" w:type="dxa"/>
            <w:tcBorders>
              <w:top w:val="nil"/>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2 296,5</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1 138,2</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838,1</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1 960,0</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2 009,3</w:t>
            </w:r>
          </w:p>
        </w:tc>
      </w:tr>
      <w:tr w:rsidR="00D81A6A" w:rsidRPr="00143121" w:rsidTr="006702A0">
        <w:trPr>
          <w:trHeight w:val="227"/>
          <w:jc w:val="center"/>
        </w:trPr>
        <w:tc>
          <w:tcPr>
            <w:tcW w:w="3686" w:type="dxa"/>
            <w:vAlign w:val="center"/>
          </w:tcPr>
          <w:p w:rsidR="00D81A6A" w:rsidRPr="00143121" w:rsidRDefault="00D81A6A" w:rsidP="00D81A6A">
            <w:pPr>
              <w:widowControl w:val="0"/>
              <w:ind w:left="-57"/>
              <w:rPr>
                <w:sz w:val="16"/>
                <w:szCs w:val="15"/>
              </w:rPr>
            </w:pPr>
            <w:r w:rsidRPr="00143121">
              <w:rPr>
                <w:sz w:val="16"/>
                <w:szCs w:val="15"/>
              </w:rPr>
              <w:t>в % к предыдущему году</w:t>
            </w:r>
          </w:p>
        </w:tc>
        <w:tc>
          <w:tcPr>
            <w:tcW w:w="1142" w:type="dxa"/>
            <w:tcBorders>
              <w:top w:val="nil"/>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110,3</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104,6</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103,3</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107,4</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107,0</w:t>
            </w:r>
          </w:p>
        </w:tc>
      </w:tr>
      <w:tr w:rsidR="00D81A6A" w:rsidRPr="00143121" w:rsidTr="00332D3A">
        <w:trPr>
          <w:trHeight w:val="283"/>
          <w:jc w:val="center"/>
        </w:trPr>
        <w:tc>
          <w:tcPr>
            <w:tcW w:w="3686" w:type="dxa"/>
            <w:vAlign w:val="center"/>
          </w:tcPr>
          <w:p w:rsidR="00D81A6A" w:rsidRPr="00143121" w:rsidRDefault="00D81A6A" w:rsidP="00D81A6A">
            <w:pPr>
              <w:widowControl w:val="0"/>
              <w:ind w:left="-57"/>
              <w:rPr>
                <w:b/>
                <w:sz w:val="18"/>
              </w:rPr>
            </w:pPr>
            <w:r w:rsidRPr="00BE25D8">
              <w:rPr>
                <w:b/>
                <w:sz w:val="20"/>
                <w:szCs w:val="20"/>
              </w:rPr>
              <w:t>Расходы,</w:t>
            </w:r>
            <w:r w:rsidRPr="00143121">
              <w:rPr>
                <w:b/>
                <w:sz w:val="18"/>
              </w:rPr>
              <w:t xml:space="preserve"> всего</w:t>
            </w:r>
          </w:p>
        </w:tc>
        <w:tc>
          <w:tcPr>
            <w:tcW w:w="1142" w:type="dxa"/>
            <w:tcBorders>
              <w:top w:val="nil"/>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24 919,3</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26 072,1</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26 898,3</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28 802,7</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30 743,9</w:t>
            </w:r>
          </w:p>
        </w:tc>
      </w:tr>
      <w:tr w:rsidR="00D81A6A" w:rsidRPr="00143121" w:rsidTr="006702A0">
        <w:trPr>
          <w:trHeight w:val="227"/>
          <w:jc w:val="center"/>
        </w:trPr>
        <w:tc>
          <w:tcPr>
            <w:tcW w:w="3686" w:type="dxa"/>
            <w:vAlign w:val="center"/>
          </w:tcPr>
          <w:p w:rsidR="00D81A6A" w:rsidRPr="00143121" w:rsidRDefault="00D81A6A" w:rsidP="00C12EF1">
            <w:pPr>
              <w:widowControl w:val="0"/>
              <w:ind w:left="-57"/>
              <w:rPr>
                <w:sz w:val="16"/>
                <w:szCs w:val="15"/>
              </w:rPr>
            </w:pPr>
            <w:r w:rsidRPr="00143121">
              <w:rPr>
                <w:sz w:val="16"/>
                <w:szCs w:val="15"/>
              </w:rPr>
              <w:t>прирост к предыдущему году в номинальном выражении, млрд рублей</w:t>
            </w:r>
          </w:p>
        </w:tc>
        <w:tc>
          <w:tcPr>
            <w:tcW w:w="1142" w:type="dxa"/>
            <w:tcBorders>
              <w:top w:val="nil"/>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2 394,2</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1 152,8</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826,2</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1 904,4</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1 941,2</w:t>
            </w:r>
          </w:p>
        </w:tc>
      </w:tr>
      <w:tr w:rsidR="00D81A6A" w:rsidRPr="00143121" w:rsidTr="006702A0">
        <w:trPr>
          <w:trHeight w:val="227"/>
          <w:jc w:val="center"/>
        </w:trPr>
        <w:tc>
          <w:tcPr>
            <w:tcW w:w="3686" w:type="dxa"/>
            <w:vAlign w:val="center"/>
          </w:tcPr>
          <w:p w:rsidR="00D81A6A" w:rsidRPr="00143121" w:rsidRDefault="00D81A6A" w:rsidP="00D81A6A">
            <w:pPr>
              <w:widowControl w:val="0"/>
              <w:ind w:left="-57"/>
              <w:rPr>
                <w:sz w:val="16"/>
                <w:szCs w:val="15"/>
              </w:rPr>
            </w:pPr>
            <w:r w:rsidRPr="00143121">
              <w:rPr>
                <w:sz w:val="16"/>
                <w:szCs w:val="15"/>
              </w:rPr>
              <w:t>в % к предыдущему году</w:t>
            </w:r>
          </w:p>
        </w:tc>
        <w:tc>
          <w:tcPr>
            <w:tcW w:w="1142" w:type="dxa"/>
            <w:tcBorders>
              <w:top w:val="nil"/>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110,6</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104,6</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103,2</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107,1</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iCs/>
                <w:sz w:val="18"/>
                <w:szCs w:val="18"/>
              </w:rPr>
            </w:pPr>
            <w:r w:rsidRPr="00D81A6A">
              <w:rPr>
                <w:sz w:val="18"/>
                <w:szCs w:val="18"/>
              </w:rPr>
              <w:t>106,7</w:t>
            </w:r>
          </w:p>
        </w:tc>
      </w:tr>
      <w:tr w:rsidR="00D81A6A" w:rsidRPr="00143121" w:rsidTr="00332D3A">
        <w:trPr>
          <w:trHeight w:val="283"/>
          <w:jc w:val="center"/>
        </w:trPr>
        <w:tc>
          <w:tcPr>
            <w:tcW w:w="3686" w:type="dxa"/>
            <w:vAlign w:val="center"/>
          </w:tcPr>
          <w:p w:rsidR="00D81A6A" w:rsidRPr="00BE25D8" w:rsidRDefault="00D81A6A" w:rsidP="00D81A6A">
            <w:pPr>
              <w:widowControl w:val="0"/>
              <w:ind w:left="-57"/>
              <w:rPr>
                <w:b/>
                <w:sz w:val="20"/>
                <w:szCs w:val="20"/>
              </w:rPr>
            </w:pPr>
            <w:r w:rsidRPr="00BE25D8">
              <w:rPr>
                <w:b/>
                <w:sz w:val="20"/>
                <w:szCs w:val="20"/>
              </w:rPr>
              <w:t xml:space="preserve">Профицит (+) / Дефицит (-) </w:t>
            </w:r>
          </w:p>
        </w:tc>
        <w:tc>
          <w:tcPr>
            <w:tcW w:w="1142" w:type="dxa"/>
            <w:tcBorders>
              <w:top w:val="nil"/>
              <w:left w:val="single" w:sz="4" w:space="0" w:color="auto"/>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-297,8</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FF45E4" w:rsidP="00D81A6A">
            <w:pPr>
              <w:jc w:val="center"/>
              <w:rPr>
                <w:b/>
                <w:bCs/>
                <w:sz w:val="18"/>
                <w:szCs w:val="18"/>
              </w:rPr>
            </w:pPr>
            <w:r>
              <w:rPr>
                <w:b/>
                <w:bCs/>
                <w:sz w:val="18"/>
                <w:szCs w:val="18"/>
              </w:rPr>
              <w:t>-312,3</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CB7750" w:rsidP="00D81A6A">
            <w:pPr>
              <w:jc w:val="center"/>
              <w:rPr>
                <w:b/>
                <w:bCs/>
                <w:sz w:val="18"/>
                <w:szCs w:val="18"/>
              </w:rPr>
            </w:pPr>
            <w:r>
              <w:rPr>
                <w:b/>
                <w:bCs/>
                <w:sz w:val="18"/>
                <w:szCs w:val="18"/>
              </w:rPr>
              <w:t>-300,4</w:t>
            </w:r>
          </w:p>
        </w:tc>
        <w:tc>
          <w:tcPr>
            <w:tcW w:w="1142"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-244,9</w:t>
            </w:r>
          </w:p>
        </w:tc>
        <w:tc>
          <w:tcPr>
            <w:tcW w:w="1143" w:type="dxa"/>
            <w:tcBorders>
              <w:top w:val="nil"/>
              <w:left w:val="nil"/>
              <w:bottom w:val="single" w:sz="4" w:space="0" w:color="auto"/>
              <w:right w:val="single" w:sz="4" w:space="0" w:color="auto"/>
            </w:tcBorders>
            <w:shd w:val="clear" w:color="auto" w:fill="auto"/>
            <w:vAlign w:val="center"/>
          </w:tcPr>
          <w:p w:rsidR="00D81A6A" w:rsidRPr="00D81A6A" w:rsidRDefault="00D81A6A" w:rsidP="00D81A6A">
            <w:pPr>
              <w:jc w:val="center"/>
              <w:rPr>
                <w:b/>
                <w:bCs/>
                <w:sz w:val="18"/>
                <w:szCs w:val="18"/>
              </w:rPr>
            </w:pPr>
            <w:r w:rsidRPr="00D81A6A">
              <w:rPr>
                <w:b/>
                <w:bCs/>
                <w:sz w:val="18"/>
                <w:szCs w:val="18"/>
              </w:rPr>
              <w:t>-176,8</w:t>
            </w:r>
          </w:p>
        </w:tc>
      </w:tr>
    </w:tbl>
    <w:p w:rsidR="0064376D" w:rsidRPr="00874AD8" w:rsidRDefault="0064376D" w:rsidP="0064376D">
      <w:pPr>
        <w:overflowPunct w:val="0"/>
        <w:autoSpaceDE w:val="0"/>
        <w:autoSpaceDN w:val="0"/>
        <w:adjustRightInd w:val="0"/>
        <w:spacing w:before="120" w:line="360" w:lineRule="auto"/>
        <w:ind w:firstLine="709"/>
        <w:jc w:val="both"/>
        <w:textAlignment w:val="baseline"/>
        <w:rPr>
          <w:szCs w:val="28"/>
        </w:rPr>
      </w:pPr>
      <w:r w:rsidRPr="0064376D">
        <w:rPr>
          <w:b/>
          <w:szCs w:val="28"/>
        </w:rPr>
        <w:t xml:space="preserve">Анализ прогноза доходов </w:t>
      </w:r>
      <w:r>
        <w:rPr>
          <w:b/>
          <w:szCs w:val="28"/>
        </w:rPr>
        <w:t xml:space="preserve">и расходов </w:t>
      </w:r>
      <w:r w:rsidRPr="0064376D">
        <w:rPr>
          <w:b/>
          <w:szCs w:val="28"/>
        </w:rPr>
        <w:t>консолидированных бюджетов субъектов Российской Федерации</w:t>
      </w:r>
      <w:r w:rsidRPr="0064376D">
        <w:rPr>
          <w:szCs w:val="28"/>
        </w:rPr>
        <w:t xml:space="preserve"> на 2026–2028 годы свидетельствует о</w:t>
      </w:r>
      <w:r>
        <w:rPr>
          <w:szCs w:val="28"/>
        </w:rPr>
        <w:t>б их</w:t>
      </w:r>
      <w:r w:rsidRPr="0064376D">
        <w:rPr>
          <w:szCs w:val="28"/>
        </w:rPr>
        <w:t xml:space="preserve"> положительной динамике в номинальном выражении. В 2026 году по сравнению с оценкой 2025 года</w:t>
      </w:r>
      <w:r>
        <w:rPr>
          <w:szCs w:val="28"/>
        </w:rPr>
        <w:t xml:space="preserve"> </w:t>
      </w:r>
      <w:r w:rsidRPr="0064376D">
        <w:rPr>
          <w:szCs w:val="28"/>
        </w:rPr>
        <w:t>прогнозируется</w:t>
      </w:r>
      <w:r>
        <w:rPr>
          <w:szCs w:val="28"/>
        </w:rPr>
        <w:t xml:space="preserve"> увеличение </w:t>
      </w:r>
      <w:r w:rsidR="00CB7750">
        <w:rPr>
          <w:szCs w:val="28"/>
        </w:rPr>
        <w:t xml:space="preserve">доходов на 3,3 %, расходов </w:t>
      </w:r>
      <w:r w:rsidR="00CB7750" w:rsidRPr="00143121">
        <w:t>–</w:t>
      </w:r>
      <w:r w:rsidR="00CB7750">
        <w:rPr>
          <w:szCs w:val="28"/>
        </w:rPr>
        <w:t xml:space="preserve"> на </w:t>
      </w:r>
      <w:r>
        <w:rPr>
          <w:szCs w:val="28"/>
        </w:rPr>
        <w:t>3</w:t>
      </w:r>
      <w:r w:rsidR="00CB7750">
        <w:rPr>
          <w:szCs w:val="28"/>
        </w:rPr>
        <w:t>,2</w:t>
      </w:r>
      <w:r w:rsidR="00874AD8">
        <w:rPr>
          <w:szCs w:val="28"/>
        </w:rPr>
        <w:t> </w:t>
      </w:r>
      <w:r>
        <w:rPr>
          <w:szCs w:val="28"/>
        </w:rPr>
        <w:t>%</w:t>
      </w:r>
      <w:r w:rsidR="00874AD8">
        <w:rPr>
          <w:szCs w:val="28"/>
        </w:rPr>
        <w:t>,</w:t>
      </w:r>
      <w:r>
        <w:rPr>
          <w:szCs w:val="28"/>
        </w:rPr>
        <w:t xml:space="preserve"> </w:t>
      </w:r>
      <w:r w:rsidR="004F66D5" w:rsidRPr="007A4B42">
        <w:t>что ниже прогнозного уровня инфляции на 2026 год, залож</w:t>
      </w:r>
      <w:r w:rsidR="004F66D5">
        <w:t>енного в проекте на 2026 год (4 </w:t>
      </w:r>
      <w:r w:rsidR="004F66D5" w:rsidRPr="007A4B42">
        <w:t xml:space="preserve">%), и </w:t>
      </w:r>
      <w:r w:rsidR="004F66D5">
        <w:t>оценки</w:t>
      </w:r>
      <w:r w:rsidR="004F66D5" w:rsidRPr="007A4B42">
        <w:t xml:space="preserve"> </w:t>
      </w:r>
      <w:r w:rsidR="004F66D5">
        <w:t xml:space="preserve">показателя на конец </w:t>
      </w:r>
      <w:r w:rsidR="004F66D5">
        <w:br/>
      </w:r>
      <w:r w:rsidR="004F66D5" w:rsidRPr="007A4B42">
        <w:t>2025 года (6,8</w:t>
      </w:r>
      <w:r w:rsidR="004F66D5">
        <w:t> </w:t>
      </w:r>
      <w:r w:rsidR="004F66D5" w:rsidRPr="007A4B42">
        <w:t>%)</w:t>
      </w:r>
      <w:r w:rsidR="004F66D5">
        <w:t>,</w:t>
      </w:r>
      <w:r w:rsidR="004F66D5">
        <w:rPr>
          <w:szCs w:val="28"/>
        </w:rPr>
        <w:t xml:space="preserve"> </w:t>
      </w:r>
      <w:r>
        <w:rPr>
          <w:szCs w:val="28"/>
        </w:rPr>
        <w:t xml:space="preserve">в 2027 и 2028 годах рост </w:t>
      </w:r>
      <w:r w:rsidR="00874AD8">
        <w:rPr>
          <w:szCs w:val="28"/>
        </w:rPr>
        <w:t xml:space="preserve">основных параметров регионов </w:t>
      </w:r>
      <w:r>
        <w:rPr>
          <w:szCs w:val="28"/>
        </w:rPr>
        <w:t>составит в среднем 7</w:t>
      </w:r>
      <w:r w:rsidR="00CB7750">
        <w:rPr>
          <w:szCs w:val="28"/>
        </w:rPr>
        <w:t> </w:t>
      </w:r>
      <w:r w:rsidRPr="0064376D">
        <w:rPr>
          <w:szCs w:val="28"/>
        </w:rPr>
        <w:t>%</w:t>
      </w:r>
      <w:r w:rsidR="004F66D5">
        <w:rPr>
          <w:szCs w:val="28"/>
        </w:rPr>
        <w:t>.</w:t>
      </w:r>
      <w:r w:rsidR="004F66D5" w:rsidRPr="004F66D5">
        <w:t xml:space="preserve"> </w:t>
      </w:r>
      <w:r w:rsidR="00874AD8" w:rsidRPr="00874AD8">
        <w:rPr>
          <w:szCs w:val="28"/>
        </w:rPr>
        <w:t>В целом увеличение доходов в 2028 году по сравнению с 2025 годом прогнозируется на 4 807,4 млрд рублей, или на 18,7 %, расходов – на 4 </w:t>
      </w:r>
      <w:r w:rsidR="00874AD8">
        <w:rPr>
          <w:szCs w:val="28"/>
        </w:rPr>
        <w:t>671</w:t>
      </w:r>
      <w:r w:rsidR="00874AD8" w:rsidRPr="00874AD8">
        <w:rPr>
          <w:szCs w:val="28"/>
        </w:rPr>
        <w:t>,</w:t>
      </w:r>
      <w:r w:rsidR="00874AD8">
        <w:rPr>
          <w:szCs w:val="28"/>
        </w:rPr>
        <w:t>8</w:t>
      </w:r>
      <w:r w:rsidR="00874AD8" w:rsidRPr="00874AD8">
        <w:rPr>
          <w:szCs w:val="28"/>
        </w:rPr>
        <w:t xml:space="preserve"> млрд рублей, или </w:t>
      </w:r>
      <w:r w:rsidR="00874AD8">
        <w:rPr>
          <w:szCs w:val="28"/>
        </w:rPr>
        <w:t>на 17</w:t>
      </w:r>
      <w:r w:rsidR="00874AD8" w:rsidRPr="00874AD8">
        <w:rPr>
          <w:szCs w:val="28"/>
        </w:rPr>
        <w:t>,</w:t>
      </w:r>
      <w:r w:rsidR="00874AD8">
        <w:rPr>
          <w:szCs w:val="28"/>
        </w:rPr>
        <w:t>9</w:t>
      </w:r>
      <w:r w:rsidR="00874AD8" w:rsidRPr="00874AD8">
        <w:rPr>
          <w:szCs w:val="28"/>
        </w:rPr>
        <w:t> %.</w:t>
      </w:r>
    </w:p>
    <w:p w:rsidR="00BD227C" w:rsidRPr="00874AD8" w:rsidRDefault="00BD227C" w:rsidP="00BD227C">
      <w:pPr>
        <w:spacing w:line="360" w:lineRule="auto"/>
        <w:ind w:firstLine="709"/>
        <w:jc w:val="both"/>
        <w:rPr>
          <w:szCs w:val="28"/>
        </w:rPr>
      </w:pPr>
      <w:r w:rsidRPr="00874AD8">
        <w:rPr>
          <w:szCs w:val="28"/>
        </w:rPr>
        <w:t>Ежегодн</w:t>
      </w:r>
      <w:r w:rsidR="005D0389" w:rsidRPr="00874AD8">
        <w:rPr>
          <w:szCs w:val="28"/>
        </w:rPr>
        <w:t>ое</w:t>
      </w:r>
      <w:r w:rsidRPr="00874AD8">
        <w:rPr>
          <w:szCs w:val="28"/>
        </w:rPr>
        <w:t xml:space="preserve"> </w:t>
      </w:r>
      <w:r w:rsidR="005D0389" w:rsidRPr="00874AD8">
        <w:rPr>
          <w:szCs w:val="28"/>
        </w:rPr>
        <w:t>увеличение</w:t>
      </w:r>
      <w:r w:rsidRPr="00874AD8">
        <w:rPr>
          <w:szCs w:val="28"/>
        </w:rPr>
        <w:t xml:space="preserve"> доходов консолидированных бюджетов субъектов Российской Федерации прогнозируется за счет </w:t>
      </w:r>
      <w:r w:rsidR="004B39A0" w:rsidRPr="00874AD8">
        <w:rPr>
          <w:szCs w:val="28"/>
        </w:rPr>
        <w:t>увеличения</w:t>
      </w:r>
      <w:r w:rsidRPr="00874AD8">
        <w:rPr>
          <w:szCs w:val="28"/>
        </w:rPr>
        <w:t xml:space="preserve"> налоговых и неналоговых доходов регионов.</w:t>
      </w:r>
    </w:p>
    <w:p w:rsidR="004B39A0" w:rsidRDefault="005538F3" w:rsidP="00BD227C">
      <w:pPr>
        <w:spacing w:line="360" w:lineRule="auto"/>
        <w:ind w:firstLine="709"/>
        <w:jc w:val="both"/>
        <w:rPr>
          <w:szCs w:val="28"/>
        </w:rPr>
      </w:pPr>
      <w:r w:rsidRPr="00874AD8">
        <w:rPr>
          <w:szCs w:val="28"/>
        </w:rPr>
        <w:t>Налоговые и неналоговые доходы в планируемом периоде, как и в предыдущие годы, останутся о</w:t>
      </w:r>
      <w:r w:rsidR="00C62152" w:rsidRPr="00874AD8">
        <w:rPr>
          <w:szCs w:val="28"/>
        </w:rPr>
        <w:t xml:space="preserve">сновным источником доходов </w:t>
      </w:r>
      <w:r w:rsidR="005D0389" w:rsidRPr="00874AD8">
        <w:rPr>
          <w:szCs w:val="28"/>
        </w:rPr>
        <w:t>регионов</w:t>
      </w:r>
      <w:r w:rsidR="004B39A0" w:rsidRPr="00874AD8">
        <w:rPr>
          <w:szCs w:val="28"/>
        </w:rPr>
        <w:t>.</w:t>
      </w:r>
      <w:r w:rsidR="00C62152" w:rsidRPr="00874AD8">
        <w:rPr>
          <w:szCs w:val="28"/>
        </w:rPr>
        <w:t xml:space="preserve"> </w:t>
      </w:r>
      <w:r w:rsidR="00874AD8" w:rsidRPr="00874AD8">
        <w:rPr>
          <w:szCs w:val="28"/>
        </w:rPr>
        <w:t>Всего в 2028</w:t>
      </w:r>
      <w:r w:rsidR="00954AEC">
        <w:rPr>
          <w:szCs w:val="28"/>
        </w:rPr>
        <w:t xml:space="preserve"> году по отношению к </w:t>
      </w:r>
      <w:r w:rsidR="004B39A0" w:rsidRPr="00874AD8">
        <w:rPr>
          <w:szCs w:val="28"/>
        </w:rPr>
        <w:t>показателям 202</w:t>
      </w:r>
      <w:r w:rsidR="00874AD8" w:rsidRPr="00874AD8">
        <w:rPr>
          <w:szCs w:val="28"/>
        </w:rPr>
        <w:t>5</w:t>
      </w:r>
      <w:r w:rsidR="004B39A0" w:rsidRPr="00874AD8">
        <w:rPr>
          <w:szCs w:val="28"/>
        </w:rPr>
        <w:t xml:space="preserve"> года темп роста налоговых и неналоговых доходов превысит темп роста доходов </w:t>
      </w:r>
      <w:r w:rsidR="003B69F2" w:rsidRPr="00874AD8">
        <w:rPr>
          <w:szCs w:val="28"/>
        </w:rPr>
        <w:t>(1</w:t>
      </w:r>
      <w:r w:rsidR="00874AD8">
        <w:rPr>
          <w:szCs w:val="28"/>
        </w:rPr>
        <w:t>18</w:t>
      </w:r>
      <w:r w:rsidR="003B69F2" w:rsidRPr="00874AD8">
        <w:rPr>
          <w:szCs w:val="28"/>
        </w:rPr>
        <w:t>,</w:t>
      </w:r>
      <w:r w:rsidR="00874AD8">
        <w:rPr>
          <w:szCs w:val="28"/>
        </w:rPr>
        <w:t>7</w:t>
      </w:r>
      <w:r w:rsidR="003B69F2" w:rsidRPr="00874AD8">
        <w:rPr>
          <w:szCs w:val="28"/>
        </w:rPr>
        <w:t xml:space="preserve"> %) </w:t>
      </w:r>
      <w:r w:rsidR="004B39A0" w:rsidRPr="00874AD8">
        <w:rPr>
          <w:szCs w:val="28"/>
        </w:rPr>
        <w:t>и составит 12</w:t>
      </w:r>
      <w:r w:rsidR="00874AD8">
        <w:rPr>
          <w:szCs w:val="28"/>
        </w:rPr>
        <w:t>0</w:t>
      </w:r>
      <w:r w:rsidR="004B39A0" w:rsidRPr="00874AD8">
        <w:rPr>
          <w:szCs w:val="28"/>
        </w:rPr>
        <w:t>,</w:t>
      </w:r>
      <w:r w:rsidR="00874AD8">
        <w:rPr>
          <w:szCs w:val="28"/>
        </w:rPr>
        <w:t>9</w:t>
      </w:r>
      <w:r w:rsidR="004B39A0" w:rsidRPr="00874AD8">
        <w:rPr>
          <w:szCs w:val="28"/>
        </w:rPr>
        <w:t xml:space="preserve"> %. Удельный вес налоговых и неналоговых доходов </w:t>
      </w:r>
      <w:r w:rsidR="002255F3">
        <w:rPr>
          <w:szCs w:val="28"/>
        </w:rPr>
        <w:br/>
      </w:r>
      <w:r w:rsidR="004B39A0" w:rsidRPr="00874AD8">
        <w:rPr>
          <w:szCs w:val="28"/>
        </w:rPr>
        <w:t xml:space="preserve">в доходах консолидированных бюджетов субъектов Российской Федерации увеличивается </w:t>
      </w:r>
      <w:r w:rsidR="002255F3">
        <w:rPr>
          <w:szCs w:val="28"/>
        </w:rPr>
        <w:br/>
      </w:r>
      <w:r w:rsidR="004B39A0" w:rsidRPr="00874AD8">
        <w:rPr>
          <w:szCs w:val="28"/>
        </w:rPr>
        <w:t>с 8</w:t>
      </w:r>
      <w:r w:rsidR="00874AD8">
        <w:rPr>
          <w:szCs w:val="28"/>
        </w:rPr>
        <w:t>5</w:t>
      </w:r>
      <w:r w:rsidR="004B39A0" w:rsidRPr="00874AD8">
        <w:rPr>
          <w:szCs w:val="28"/>
        </w:rPr>
        <w:t>,</w:t>
      </w:r>
      <w:r w:rsidR="00874AD8">
        <w:rPr>
          <w:szCs w:val="28"/>
        </w:rPr>
        <w:t>2</w:t>
      </w:r>
      <w:r w:rsidR="007B3BB3" w:rsidRPr="00874AD8">
        <w:rPr>
          <w:szCs w:val="28"/>
        </w:rPr>
        <w:t> </w:t>
      </w:r>
      <w:r w:rsidR="004B39A0" w:rsidRPr="00874AD8">
        <w:rPr>
          <w:szCs w:val="28"/>
        </w:rPr>
        <w:t>% в 202</w:t>
      </w:r>
      <w:r w:rsidR="00874AD8">
        <w:rPr>
          <w:szCs w:val="28"/>
        </w:rPr>
        <w:t>5</w:t>
      </w:r>
      <w:r w:rsidR="004B39A0" w:rsidRPr="00874AD8">
        <w:rPr>
          <w:szCs w:val="28"/>
        </w:rPr>
        <w:t xml:space="preserve"> году до 8</w:t>
      </w:r>
      <w:r w:rsidR="00874AD8">
        <w:rPr>
          <w:szCs w:val="28"/>
        </w:rPr>
        <w:t>6</w:t>
      </w:r>
      <w:r w:rsidR="004B39A0" w:rsidRPr="00874AD8">
        <w:rPr>
          <w:szCs w:val="28"/>
        </w:rPr>
        <w:t>,</w:t>
      </w:r>
      <w:r w:rsidR="00874AD8">
        <w:rPr>
          <w:szCs w:val="28"/>
        </w:rPr>
        <w:t>8</w:t>
      </w:r>
      <w:r w:rsidR="007B3BB3" w:rsidRPr="00874AD8">
        <w:rPr>
          <w:szCs w:val="28"/>
        </w:rPr>
        <w:t> </w:t>
      </w:r>
      <w:r w:rsidR="004B39A0" w:rsidRPr="00874AD8">
        <w:rPr>
          <w:szCs w:val="28"/>
        </w:rPr>
        <w:t>% в 202</w:t>
      </w:r>
      <w:r w:rsidR="00874AD8">
        <w:rPr>
          <w:szCs w:val="28"/>
        </w:rPr>
        <w:t>8</w:t>
      </w:r>
      <w:r w:rsidR="004B39A0" w:rsidRPr="00874AD8">
        <w:rPr>
          <w:szCs w:val="28"/>
        </w:rPr>
        <w:t xml:space="preserve"> году. </w:t>
      </w:r>
    </w:p>
    <w:p w:rsidR="00BE3B52" w:rsidRPr="00201F56" w:rsidRDefault="00BE3B52" w:rsidP="00BE3B52">
      <w:pPr>
        <w:numPr>
          <w:ilvl w:val="0"/>
          <w:numId w:val="19"/>
        </w:numPr>
        <w:overflowPunct w:val="0"/>
        <w:autoSpaceDE w:val="0"/>
        <w:autoSpaceDN w:val="0"/>
        <w:adjustRightInd w:val="0"/>
        <w:spacing w:line="360" w:lineRule="auto"/>
        <w:ind w:left="0" w:firstLine="708"/>
        <w:jc w:val="both"/>
        <w:textAlignment w:val="baseline"/>
      </w:pPr>
      <w:r w:rsidRPr="00143121">
        <w:t xml:space="preserve">Основную долю </w:t>
      </w:r>
      <w:r>
        <w:t>указанных</w:t>
      </w:r>
      <w:r w:rsidRPr="00143121">
        <w:t xml:space="preserve"> доходов занимают налоговые доходы </w:t>
      </w:r>
      <w:r w:rsidRPr="00201F56">
        <w:t>(92</w:t>
      </w:r>
      <w:r w:rsidR="00954AEC" w:rsidRPr="00143121">
        <w:t>–</w:t>
      </w:r>
      <w:r w:rsidRPr="00201F56">
        <w:t xml:space="preserve">93 %), которые формируются в основном за счет поступлений налога на прибыль </w:t>
      </w:r>
      <w:r w:rsidRPr="00143121">
        <w:t xml:space="preserve">организаций и </w:t>
      </w:r>
      <w:r>
        <w:t xml:space="preserve">налога </w:t>
      </w:r>
      <w:r w:rsidR="002255F3">
        <w:br/>
      </w:r>
      <w:r>
        <w:t>на доходы физических лиц</w:t>
      </w:r>
      <w:r w:rsidRPr="00143121">
        <w:t xml:space="preserve"> </w:t>
      </w:r>
      <w:r>
        <w:t>(</w:t>
      </w:r>
      <w:r w:rsidRPr="00201F56">
        <w:t>67 %</w:t>
      </w:r>
      <w:r>
        <w:t xml:space="preserve"> объема налоговых доходов)</w:t>
      </w:r>
      <w:r w:rsidRPr="00201F56">
        <w:t>.</w:t>
      </w:r>
    </w:p>
    <w:p w:rsidR="00BD227C" w:rsidRPr="00201F56" w:rsidRDefault="00BD227C" w:rsidP="00BD227C">
      <w:pPr>
        <w:spacing w:line="360" w:lineRule="auto"/>
        <w:ind w:firstLine="709"/>
        <w:jc w:val="both"/>
        <w:rPr>
          <w:szCs w:val="28"/>
        </w:rPr>
      </w:pPr>
      <w:r w:rsidRPr="00201F56">
        <w:rPr>
          <w:szCs w:val="28"/>
        </w:rPr>
        <w:t xml:space="preserve">Доля межбюджетных трансфертов в доходах </w:t>
      </w:r>
      <w:r w:rsidR="005538F3" w:rsidRPr="00201F56">
        <w:rPr>
          <w:szCs w:val="28"/>
        </w:rPr>
        <w:t>региональных</w:t>
      </w:r>
      <w:r w:rsidRPr="00201F56">
        <w:rPr>
          <w:szCs w:val="28"/>
        </w:rPr>
        <w:t xml:space="preserve"> бюджетов постепенно снижается с 1</w:t>
      </w:r>
      <w:r w:rsidR="00201F56">
        <w:rPr>
          <w:szCs w:val="28"/>
        </w:rPr>
        <w:t>4</w:t>
      </w:r>
      <w:r w:rsidRPr="00201F56">
        <w:rPr>
          <w:szCs w:val="28"/>
        </w:rPr>
        <w:t>,</w:t>
      </w:r>
      <w:r w:rsidR="00201F56">
        <w:rPr>
          <w:szCs w:val="28"/>
        </w:rPr>
        <w:t>8</w:t>
      </w:r>
      <w:r w:rsidRPr="00201F56">
        <w:rPr>
          <w:szCs w:val="28"/>
        </w:rPr>
        <w:t> % в 202</w:t>
      </w:r>
      <w:r w:rsidR="00201F56">
        <w:rPr>
          <w:szCs w:val="28"/>
        </w:rPr>
        <w:t>5</w:t>
      </w:r>
      <w:r w:rsidRPr="00201F56">
        <w:rPr>
          <w:szCs w:val="28"/>
        </w:rPr>
        <w:t xml:space="preserve"> году до 1</w:t>
      </w:r>
      <w:r w:rsidR="00201F56">
        <w:rPr>
          <w:szCs w:val="28"/>
        </w:rPr>
        <w:t>3</w:t>
      </w:r>
      <w:r w:rsidRPr="00201F56">
        <w:rPr>
          <w:szCs w:val="28"/>
        </w:rPr>
        <w:t>,</w:t>
      </w:r>
      <w:r w:rsidR="00201F56">
        <w:rPr>
          <w:szCs w:val="28"/>
        </w:rPr>
        <w:t>2</w:t>
      </w:r>
      <w:r w:rsidRPr="00201F56">
        <w:rPr>
          <w:szCs w:val="28"/>
        </w:rPr>
        <w:t> % в 202</w:t>
      </w:r>
      <w:r w:rsidR="00201F56">
        <w:rPr>
          <w:szCs w:val="28"/>
        </w:rPr>
        <w:t>8</w:t>
      </w:r>
      <w:r w:rsidRPr="00201F56">
        <w:rPr>
          <w:szCs w:val="28"/>
        </w:rPr>
        <w:t xml:space="preserve"> году. Следует отметить, что тенденция сокращени</w:t>
      </w:r>
      <w:r w:rsidR="0038726D" w:rsidRPr="00201F56">
        <w:rPr>
          <w:szCs w:val="28"/>
        </w:rPr>
        <w:t>ю</w:t>
      </w:r>
      <w:r w:rsidRPr="00201F56">
        <w:rPr>
          <w:szCs w:val="28"/>
        </w:rPr>
        <w:t xml:space="preserve"> доли межбюджетных трансфертов при планировании федерального бюджета </w:t>
      </w:r>
      <w:r w:rsidR="006D2D05">
        <w:rPr>
          <w:szCs w:val="28"/>
        </w:rPr>
        <w:t>наблюдается ежегодно</w:t>
      </w:r>
      <w:r w:rsidR="004F66D5">
        <w:rPr>
          <w:szCs w:val="28"/>
        </w:rPr>
        <w:t>,</w:t>
      </w:r>
      <w:r w:rsidR="004F66D5" w:rsidRPr="004F66D5">
        <w:t xml:space="preserve"> при этом в течение финансового года объемы предоставляемых </w:t>
      </w:r>
      <w:r w:rsidR="004F66D5" w:rsidRPr="004F66D5">
        <w:lastRenderedPageBreak/>
        <w:t>межбюджетных трансфертов увеличиваются. Так, в 2025 году увеличение от первоначально запланированных объемов межбюджетных трансфертов составляет 10,6</w:t>
      </w:r>
      <w:r w:rsidR="004F66D5">
        <w:t> </w:t>
      </w:r>
      <w:r w:rsidR="004F66D5" w:rsidRPr="004F66D5">
        <w:t>% (сводная бюджетная роспись по состоянию на 1 сентября 2025 года).</w:t>
      </w:r>
    </w:p>
    <w:p w:rsidR="00BD227C" w:rsidRPr="00201F56" w:rsidRDefault="00BD227C" w:rsidP="00BD227C">
      <w:pPr>
        <w:spacing w:line="360" w:lineRule="auto"/>
        <w:ind w:firstLine="709"/>
        <w:jc w:val="both"/>
        <w:rPr>
          <w:szCs w:val="28"/>
        </w:rPr>
      </w:pPr>
      <w:r w:rsidRPr="00201F56">
        <w:rPr>
          <w:szCs w:val="28"/>
        </w:rPr>
        <w:t>Консолидированные бюджеты субъектов Российской Федерации на 202</w:t>
      </w:r>
      <w:r w:rsidR="00201F56" w:rsidRPr="00201F56">
        <w:rPr>
          <w:szCs w:val="28"/>
        </w:rPr>
        <w:t>6</w:t>
      </w:r>
      <w:r w:rsidRPr="00201F56">
        <w:rPr>
          <w:szCs w:val="28"/>
        </w:rPr>
        <w:t>–202</w:t>
      </w:r>
      <w:r w:rsidR="00201F56" w:rsidRPr="00201F56">
        <w:rPr>
          <w:szCs w:val="28"/>
        </w:rPr>
        <w:t>8</w:t>
      </w:r>
      <w:r w:rsidRPr="00201F56">
        <w:rPr>
          <w:szCs w:val="28"/>
        </w:rPr>
        <w:t xml:space="preserve"> го</w:t>
      </w:r>
      <w:r w:rsidR="00FE6320" w:rsidRPr="00201F56">
        <w:rPr>
          <w:szCs w:val="28"/>
        </w:rPr>
        <w:t>ды прогнозируются с дефицитом с</w:t>
      </w:r>
      <w:r w:rsidR="005538F3" w:rsidRPr="00201F56">
        <w:rPr>
          <w:szCs w:val="28"/>
        </w:rPr>
        <w:t>о</w:t>
      </w:r>
      <w:r w:rsidR="00FE6320" w:rsidRPr="00201F56">
        <w:rPr>
          <w:szCs w:val="28"/>
        </w:rPr>
        <w:t xml:space="preserve"> </w:t>
      </w:r>
      <w:r w:rsidRPr="00201F56">
        <w:rPr>
          <w:szCs w:val="28"/>
        </w:rPr>
        <w:t xml:space="preserve">снижением </w:t>
      </w:r>
      <w:r w:rsidR="00FE6320" w:rsidRPr="00201F56">
        <w:rPr>
          <w:szCs w:val="28"/>
        </w:rPr>
        <w:t xml:space="preserve">показателя </w:t>
      </w:r>
      <w:r w:rsidR="001C1DE6">
        <w:rPr>
          <w:szCs w:val="28"/>
        </w:rPr>
        <w:t xml:space="preserve">с 2026 года по отношению </w:t>
      </w:r>
      <w:r w:rsidR="002255F3">
        <w:rPr>
          <w:szCs w:val="28"/>
        </w:rPr>
        <w:br/>
      </w:r>
      <w:r w:rsidR="00FE6320" w:rsidRPr="00201F56">
        <w:rPr>
          <w:szCs w:val="28"/>
        </w:rPr>
        <w:t>к</w:t>
      </w:r>
      <w:r w:rsidRPr="00201F56">
        <w:rPr>
          <w:szCs w:val="28"/>
        </w:rPr>
        <w:t xml:space="preserve"> 202</w:t>
      </w:r>
      <w:r w:rsidR="00201F56" w:rsidRPr="00201F56">
        <w:rPr>
          <w:szCs w:val="28"/>
        </w:rPr>
        <w:t>8</w:t>
      </w:r>
      <w:r w:rsidR="001C1DE6">
        <w:rPr>
          <w:szCs w:val="28"/>
        </w:rPr>
        <w:t> </w:t>
      </w:r>
      <w:r w:rsidRPr="00201F56">
        <w:rPr>
          <w:szCs w:val="28"/>
        </w:rPr>
        <w:t>году</w:t>
      </w:r>
      <w:r w:rsidR="005538F3" w:rsidRPr="00201F56">
        <w:rPr>
          <w:szCs w:val="28"/>
        </w:rPr>
        <w:t xml:space="preserve"> на </w:t>
      </w:r>
      <w:r w:rsidR="00201F56" w:rsidRPr="00201F56">
        <w:rPr>
          <w:szCs w:val="28"/>
        </w:rPr>
        <w:t>123,7</w:t>
      </w:r>
      <w:r w:rsidR="005538F3" w:rsidRPr="00201F56">
        <w:rPr>
          <w:szCs w:val="28"/>
        </w:rPr>
        <w:t xml:space="preserve"> млрд рублей</w:t>
      </w:r>
      <w:r w:rsidRPr="00201F56">
        <w:rPr>
          <w:szCs w:val="28"/>
        </w:rPr>
        <w:t>.</w:t>
      </w:r>
    </w:p>
    <w:p w:rsidR="00E807BD" w:rsidRPr="00143121" w:rsidRDefault="00E807BD" w:rsidP="00CF22DD">
      <w:pPr>
        <w:numPr>
          <w:ilvl w:val="0"/>
          <w:numId w:val="19"/>
        </w:numPr>
        <w:overflowPunct w:val="0"/>
        <w:autoSpaceDE w:val="0"/>
        <w:autoSpaceDN w:val="0"/>
        <w:adjustRightInd w:val="0"/>
        <w:spacing w:line="360" w:lineRule="auto"/>
        <w:ind w:left="0" w:firstLine="708"/>
        <w:jc w:val="both"/>
        <w:textAlignment w:val="baseline"/>
      </w:pPr>
      <w:r w:rsidRPr="00143121">
        <w:rPr>
          <w:b/>
        </w:rPr>
        <w:t>15.</w:t>
      </w:r>
      <w:r w:rsidR="00CC4E71">
        <w:rPr>
          <w:b/>
        </w:rPr>
        <w:t>4</w:t>
      </w:r>
      <w:r w:rsidRPr="00143121">
        <w:rPr>
          <w:b/>
        </w:rPr>
        <w:t xml:space="preserve">. </w:t>
      </w:r>
      <w:r w:rsidRPr="00143121">
        <w:t xml:space="preserve">Прогноз </w:t>
      </w:r>
      <w:r w:rsidR="00BE3B52">
        <w:t>доходов</w:t>
      </w:r>
      <w:r w:rsidRPr="00143121">
        <w:t xml:space="preserve"> консолидированных бюджетов субъектов Российской Федераци</w:t>
      </w:r>
      <w:r w:rsidR="0038726D" w:rsidRPr="00143121">
        <w:t>и на 202</w:t>
      </w:r>
      <w:r w:rsidR="00143121" w:rsidRPr="00143121">
        <w:t>6</w:t>
      </w:r>
      <w:r w:rsidR="0038726D" w:rsidRPr="00143121">
        <w:t>–202</w:t>
      </w:r>
      <w:r w:rsidR="00143121" w:rsidRPr="00143121">
        <w:t>8</w:t>
      </w:r>
      <w:r w:rsidR="0038726D" w:rsidRPr="00143121">
        <w:t xml:space="preserve"> годы сформирован</w:t>
      </w:r>
      <w:r w:rsidRPr="00143121">
        <w:t xml:space="preserve"> в том числе </w:t>
      </w:r>
      <w:r w:rsidR="00BE3B52">
        <w:t>с учетом</w:t>
      </w:r>
      <w:r w:rsidRPr="00143121">
        <w:t xml:space="preserve"> изменений налогового и бюджетного законо</w:t>
      </w:r>
      <w:r w:rsidR="00BE3B52">
        <w:t>дательства Российской Федерации</w:t>
      </w:r>
      <w:r w:rsidRPr="00143121">
        <w:t>. Оценка Минфина России указанных изменений представлена в следующей таблице.</w:t>
      </w:r>
    </w:p>
    <w:p w:rsidR="00E807BD" w:rsidRPr="00143121" w:rsidRDefault="00E807BD" w:rsidP="0069577D">
      <w:pPr>
        <w:keepNext/>
        <w:ind w:left="7076" w:firstLine="709"/>
        <w:jc w:val="both"/>
        <w:rPr>
          <w:sz w:val="20"/>
          <w:szCs w:val="28"/>
        </w:rPr>
      </w:pPr>
      <w:r w:rsidRPr="00143121">
        <w:rPr>
          <w:sz w:val="20"/>
          <w:szCs w:val="28"/>
        </w:rPr>
        <w:t xml:space="preserve">            (млн рублей)</w:t>
      </w:r>
    </w:p>
    <w:tbl>
      <w:tblPr>
        <w:tblStyle w:val="af4"/>
        <w:tblW w:w="0" w:type="auto"/>
        <w:tblLook w:val="04A0" w:firstRow="1" w:lastRow="0" w:firstColumn="1" w:lastColumn="0" w:noHBand="0" w:noVBand="1"/>
      </w:tblPr>
      <w:tblGrid>
        <w:gridCol w:w="675"/>
        <w:gridCol w:w="5954"/>
        <w:gridCol w:w="1039"/>
        <w:gridCol w:w="1039"/>
        <w:gridCol w:w="1040"/>
      </w:tblGrid>
      <w:tr w:rsidR="00143121" w:rsidRPr="00143121" w:rsidTr="00BE25D8">
        <w:trPr>
          <w:trHeight w:val="340"/>
          <w:tblHeader/>
        </w:trPr>
        <w:tc>
          <w:tcPr>
            <w:tcW w:w="675" w:type="dxa"/>
            <w:vAlign w:val="center"/>
          </w:tcPr>
          <w:p w:rsidR="00143121" w:rsidRPr="00143121" w:rsidRDefault="00143121" w:rsidP="00143121">
            <w:pPr>
              <w:keepNext/>
              <w:jc w:val="center"/>
              <w:rPr>
                <w:b/>
                <w:sz w:val="16"/>
                <w:szCs w:val="16"/>
              </w:rPr>
            </w:pPr>
            <w:r w:rsidRPr="00143121">
              <w:rPr>
                <w:b/>
                <w:sz w:val="16"/>
                <w:szCs w:val="16"/>
              </w:rPr>
              <w:t>№ п/п</w:t>
            </w:r>
          </w:p>
        </w:tc>
        <w:tc>
          <w:tcPr>
            <w:tcW w:w="5954" w:type="dxa"/>
            <w:vAlign w:val="center"/>
          </w:tcPr>
          <w:p w:rsidR="00143121" w:rsidRPr="00143121" w:rsidRDefault="00143121" w:rsidP="00143121">
            <w:pPr>
              <w:keepNext/>
              <w:jc w:val="center"/>
              <w:rPr>
                <w:b/>
                <w:sz w:val="16"/>
                <w:szCs w:val="16"/>
              </w:rPr>
            </w:pPr>
            <w:r w:rsidRPr="00143121">
              <w:rPr>
                <w:b/>
                <w:sz w:val="16"/>
                <w:szCs w:val="16"/>
              </w:rPr>
              <w:t>Наименование</w:t>
            </w:r>
          </w:p>
        </w:tc>
        <w:tc>
          <w:tcPr>
            <w:tcW w:w="1039" w:type="dxa"/>
            <w:vAlign w:val="center"/>
          </w:tcPr>
          <w:p w:rsidR="00143121" w:rsidRPr="00143121" w:rsidRDefault="00143121" w:rsidP="00143121">
            <w:pPr>
              <w:keepNext/>
              <w:jc w:val="center"/>
              <w:rPr>
                <w:b/>
                <w:sz w:val="16"/>
                <w:szCs w:val="16"/>
              </w:rPr>
            </w:pPr>
            <w:r w:rsidRPr="00143121">
              <w:rPr>
                <w:b/>
                <w:sz w:val="16"/>
                <w:szCs w:val="16"/>
              </w:rPr>
              <w:t>2026 год</w:t>
            </w:r>
          </w:p>
        </w:tc>
        <w:tc>
          <w:tcPr>
            <w:tcW w:w="1039" w:type="dxa"/>
            <w:vAlign w:val="center"/>
          </w:tcPr>
          <w:p w:rsidR="00143121" w:rsidRPr="00143121" w:rsidRDefault="00143121" w:rsidP="00143121">
            <w:pPr>
              <w:keepNext/>
              <w:jc w:val="center"/>
              <w:rPr>
                <w:b/>
                <w:sz w:val="16"/>
                <w:szCs w:val="16"/>
              </w:rPr>
            </w:pPr>
            <w:r w:rsidRPr="00143121">
              <w:rPr>
                <w:b/>
                <w:sz w:val="16"/>
                <w:szCs w:val="16"/>
              </w:rPr>
              <w:t>2027 год</w:t>
            </w:r>
          </w:p>
        </w:tc>
        <w:tc>
          <w:tcPr>
            <w:tcW w:w="1040" w:type="dxa"/>
            <w:vAlign w:val="center"/>
          </w:tcPr>
          <w:p w:rsidR="00143121" w:rsidRPr="00143121" w:rsidRDefault="00143121" w:rsidP="00143121">
            <w:pPr>
              <w:keepNext/>
              <w:jc w:val="center"/>
              <w:rPr>
                <w:b/>
                <w:sz w:val="16"/>
                <w:szCs w:val="16"/>
              </w:rPr>
            </w:pPr>
            <w:r w:rsidRPr="00143121">
              <w:rPr>
                <w:b/>
                <w:sz w:val="16"/>
                <w:szCs w:val="16"/>
              </w:rPr>
              <w:t>2028 год</w:t>
            </w:r>
          </w:p>
        </w:tc>
      </w:tr>
      <w:tr w:rsidR="00201F56" w:rsidRPr="00143121" w:rsidTr="00BE25D8">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b/>
                <w:bCs/>
                <w:sz w:val="18"/>
                <w:szCs w:val="18"/>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201F56" w:rsidRPr="00F36BE6" w:rsidRDefault="00201F56" w:rsidP="00201F56">
            <w:pPr>
              <w:rPr>
                <w:b/>
                <w:bCs/>
                <w:sz w:val="18"/>
                <w:szCs w:val="18"/>
              </w:rPr>
            </w:pPr>
            <w:r w:rsidRPr="00F36BE6">
              <w:rPr>
                <w:b/>
                <w:bCs/>
                <w:sz w:val="18"/>
                <w:szCs w:val="18"/>
              </w:rPr>
              <w:t>Изменение законодательства, всего</w:t>
            </w:r>
          </w:p>
        </w:tc>
        <w:tc>
          <w:tcPr>
            <w:tcW w:w="1039" w:type="dxa"/>
            <w:tcBorders>
              <w:top w:val="single" w:sz="4" w:space="0" w:color="auto"/>
              <w:left w:val="nil"/>
              <w:bottom w:val="single" w:sz="4" w:space="0" w:color="auto"/>
              <w:right w:val="single" w:sz="4" w:space="0" w:color="auto"/>
            </w:tcBorders>
            <w:shd w:val="clear" w:color="auto" w:fill="auto"/>
            <w:vAlign w:val="center"/>
          </w:tcPr>
          <w:p w:rsidR="00201F56" w:rsidRPr="00F36BE6" w:rsidRDefault="00201F56" w:rsidP="00201F56">
            <w:pPr>
              <w:jc w:val="center"/>
              <w:rPr>
                <w:b/>
                <w:bCs/>
                <w:sz w:val="18"/>
                <w:szCs w:val="18"/>
              </w:rPr>
            </w:pPr>
            <w:r w:rsidRPr="00F36BE6">
              <w:rPr>
                <w:b/>
                <w:bCs/>
                <w:sz w:val="18"/>
                <w:szCs w:val="18"/>
              </w:rPr>
              <w:t>63 097,1</w:t>
            </w:r>
          </w:p>
        </w:tc>
        <w:tc>
          <w:tcPr>
            <w:tcW w:w="1039" w:type="dxa"/>
            <w:tcBorders>
              <w:top w:val="single" w:sz="4" w:space="0" w:color="auto"/>
              <w:left w:val="nil"/>
              <w:bottom w:val="single" w:sz="4" w:space="0" w:color="auto"/>
              <w:right w:val="single" w:sz="4" w:space="0" w:color="auto"/>
            </w:tcBorders>
            <w:shd w:val="clear" w:color="auto" w:fill="auto"/>
            <w:vAlign w:val="center"/>
          </w:tcPr>
          <w:p w:rsidR="00201F56" w:rsidRPr="00F36BE6" w:rsidRDefault="00201F56" w:rsidP="00201F56">
            <w:pPr>
              <w:jc w:val="center"/>
              <w:rPr>
                <w:b/>
                <w:bCs/>
                <w:sz w:val="18"/>
                <w:szCs w:val="18"/>
              </w:rPr>
            </w:pPr>
            <w:r w:rsidRPr="00F36BE6">
              <w:rPr>
                <w:b/>
                <w:bCs/>
                <w:sz w:val="18"/>
                <w:szCs w:val="18"/>
              </w:rPr>
              <w:t>73 128,6</w:t>
            </w:r>
          </w:p>
        </w:tc>
        <w:tc>
          <w:tcPr>
            <w:tcW w:w="1040" w:type="dxa"/>
            <w:tcBorders>
              <w:top w:val="single" w:sz="4" w:space="0" w:color="auto"/>
              <w:left w:val="nil"/>
              <w:bottom w:val="single" w:sz="4" w:space="0" w:color="auto"/>
              <w:right w:val="single" w:sz="4" w:space="0" w:color="auto"/>
            </w:tcBorders>
            <w:shd w:val="clear" w:color="auto" w:fill="auto"/>
            <w:vAlign w:val="center"/>
          </w:tcPr>
          <w:p w:rsidR="00201F56" w:rsidRPr="00F36BE6" w:rsidRDefault="00201F56" w:rsidP="00201F56">
            <w:pPr>
              <w:jc w:val="center"/>
              <w:rPr>
                <w:b/>
                <w:bCs/>
                <w:sz w:val="18"/>
                <w:szCs w:val="18"/>
              </w:rPr>
            </w:pPr>
            <w:r w:rsidRPr="00F36BE6">
              <w:rPr>
                <w:b/>
                <w:bCs/>
                <w:sz w:val="18"/>
                <w:szCs w:val="18"/>
              </w:rPr>
              <w:t>136 160,5</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bottom"/>
          </w:tcPr>
          <w:p w:rsidR="00201F56" w:rsidRPr="00F36BE6" w:rsidRDefault="00201F56" w:rsidP="00201F56">
            <w:pPr>
              <w:jc w:val="center"/>
              <w:rPr>
                <w:sz w:val="18"/>
                <w:szCs w:val="18"/>
              </w:rPr>
            </w:pPr>
            <w:r w:rsidRPr="00F36BE6">
              <w:rPr>
                <w:sz w:val="18"/>
                <w:szCs w:val="18"/>
              </w:rPr>
              <w:t> </w:t>
            </w: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i/>
                <w:iCs/>
                <w:sz w:val="18"/>
                <w:szCs w:val="18"/>
              </w:rPr>
              <w:t>в том числе:</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 </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 </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 </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C76AF1" w:rsidP="00201F56">
            <w:pPr>
              <w:jc w:val="center"/>
              <w:rPr>
                <w:b/>
                <w:sz w:val="18"/>
                <w:szCs w:val="18"/>
              </w:rPr>
            </w:pPr>
            <w:r>
              <w:rPr>
                <w:b/>
                <w:sz w:val="18"/>
                <w:szCs w:val="18"/>
              </w:rPr>
              <w:t>1.</w:t>
            </w: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b/>
                <w:bCs/>
                <w:sz w:val="18"/>
                <w:szCs w:val="18"/>
              </w:rPr>
            </w:pPr>
            <w:r w:rsidRPr="00F36BE6">
              <w:rPr>
                <w:b/>
                <w:bCs/>
                <w:sz w:val="18"/>
                <w:szCs w:val="18"/>
              </w:rPr>
              <w:t>Налог на прибыль</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b/>
                <w:sz w:val="18"/>
                <w:szCs w:val="18"/>
              </w:rPr>
            </w:pPr>
            <w:r w:rsidRPr="00F36BE6">
              <w:rPr>
                <w:b/>
                <w:bCs/>
                <w:sz w:val="18"/>
                <w:szCs w:val="18"/>
              </w:rPr>
              <w:t>8 964,4</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b/>
                <w:sz w:val="18"/>
                <w:szCs w:val="18"/>
              </w:rPr>
            </w:pPr>
            <w:r w:rsidRPr="00F36BE6">
              <w:rPr>
                <w:b/>
                <w:bCs/>
                <w:sz w:val="18"/>
                <w:szCs w:val="18"/>
              </w:rPr>
              <w:t>12 038,6</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b/>
                <w:sz w:val="18"/>
                <w:szCs w:val="18"/>
              </w:rPr>
            </w:pPr>
            <w:r w:rsidRPr="00F36BE6">
              <w:rPr>
                <w:b/>
                <w:bCs/>
                <w:sz w:val="18"/>
                <w:szCs w:val="18"/>
              </w:rPr>
              <w:t>14 247,7</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sz w:val="18"/>
                <w:szCs w:val="18"/>
              </w:rPr>
              <w:t>Отмена льготы в виде освобождения от уплаты налога на прибыль организаций для плательщиков налога на игорный бизнес</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8 964,4</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12 038,6</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14 247,7</w:t>
            </w:r>
          </w:p>
        </w:tc>
      </w:tr>
      <w:tr w:rsidR="00201F56" w:rsidRPr="00143121" w:rsidTr="00BE25D8">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C76AF1" w:rsidP="00201F56">
            <w:pPr>
              <w:jc w:val="center"/>
              <w:rPr>
                <w:b/>
                <w:sz w:val="18"/>
                <w:szCs w:val="18"/>
              </w:rPr>
            </w:pPr>
            <w:r>
              <w:rPr>
                <w:b/>
                <w:sz w:val="18"/>
                <w:szCs w:val="18"/>
              </w:rPr>
              <w:t>2.</w:t>
            </w: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b/>
                <w:bCs/>
                <w:sz w:val="18"/>
                <w:szCs w:val="18"/>
              </w:rPr>
            </w:pPr>
            <w:r w:rsidRPr="00F36BE6">
              <w:rPr>
                <w:b/>
                <w:bCs/>
                <w:sz w:val="18"/>
                <w:szCs w:val="18"/>
              </w:rPr>
              <w:t>Акцизы</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BE39BA" w:rsidP="00201F56">
            <w:pPr>
              <w:jc w:val="center"/>
              <w:rPr>
                <w:b/>
                <w:sz w:val="18"/>
                <w:szCs w:val="18"/>
              </w:rPr>
            </w:pPr>
            <w:r>
              <w:rPr>
                <w:b/>
                <w:sz w:val="18"/>
                <w:szCs w:val="18"/>
              </w:rPr>
              <w:t>52 812,9</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BE39BA" w:rsidP="00201F56">
            <w:pPr>
              <w:jc w:val="center"/>
              <w:rPr>
                <w:b/>
                <w:sz w:val="18"/>
                <w:szCs w:val="18"/>
              </w:rPr>
            </w:pPr>
            <w:r>
              <w:rPr>
                <w:b/>
                <w:sz w:val="18"/>
                <w:szCs w:val="18"/>
              </w:rPr>
              <w:t>59 670,3</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BE39BA" w:rsidP="00201F56">
            <w:pPr>
              <w:jc w:val="center"/>
              <w:rPr>
                <w:b/>
                <w:sz w:val="18"/>
                <w:szCs w:val="18"/>
              </w:rPr>
            </w:pPr>
            <w:r>
              <w:rPr>
                <w:b/>
                <w:sz w:val="18"/>
                <w:szCs w:val="18"/>
              </w:rPr>
              <w:t>120 344,4</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rFonts w:ascii="Times New Roman CYR" w:hAnsi="Times New Roman CYR" w:cs="Times New Roman CYR"/>
                <w:sz w:val="18"/>
                <w:szCs w:val="18"/>
              </w:rPr>
              <w:t>Повышение ставок акцизов на "вредные товары" (табачная, алкогольная, спиртосодержащая продукции и сахаросодержащие напитки)</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43 450,3</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49 023,2</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48 530,3</w:t>
            </w:r>
          </w:p>
        </w:tc>
      </w:tr>
      <w:tr w:rsidR="00F36BE6" w:rsidRPr="00143121" w:rsidTr="00BE25D8">
        <w:tc>
          <w:tcPr>
            <w:tcW w:w="675" w:type="dxa"/>
            <w:tcBorders>
              <w:top w:val="nil"/>
              <w:left w:val="single" w:sz="4" w:space="0" w:color="auto"/>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both"/>
              <w:rPr>
                <w:sz w:val="18"/>
                <w:szCs w:val="18"/>
              </w:rPr>
            </w:pPr>
            <w:r w:rsidRPr="00F36BE6">
              <w:rPr>
                <w:rFonts w:ascii="Times New Roman CYR" w:hAnsi="Times New Roman CYR" w:cs="Times New Roman CYR"/>
                <w:sz w:val="18"/>
                <w:szCs w:val="18"/>
              </w:rPr>
              <w:t>Уточнение ранее установленных ставок акцизов на нефтепродукты на 2026-2027 гг. с учетом уровня инфляции</w:t>
            </w:r>
          </w:p>
        </w:tc>
        <w:tc>
          <w:tcPr>
            <w:tcW w:w="1039"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r w:rsidRPr="00F36BE6">
              <w:rPr>
                <w:sz w:val="18"/>
                <w:szCs w:val="18"/>
              </w:rPr>
              <w:t>9 362,6</w:t>
            </w:r>
          </w:p>
        </w:tc>
        <w:tc>
          <w:tcPr>
            <w:tcW w:w="1039"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r w:rsidRPr="00F36BE6">
              <w:rPr>
                <w:sz w:val="18"/>
                <w:szCs w:val="18"/>
              </w:rPr>
              <w:t>10 647,1</w:t>
            </w:r>
          </w:p>
        </w:tc>
        <w:tc>
          <w:tcPr>
            <w:tcW w:w="1040"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r w:rsidRPr="00F36BE6">
              <w:rPr>
                <w:sz w:val="18"/>
                <w:szCs w:val="18"/>
              </w:rPr>
              <w:t> </w:t>
            </w:r>
          </w:p>
        </w:tc>
      </w:tr>
      <w:tr w:rsidR="00F36BE6" w:rsidRPr="00143121" w:rsidTr="00BE25D8">
        <w:tc>
          <w:tcPr>
            <w:tcW w:w="675" w:type="dxa"/>
            <w:tcBorders>
              <w:top w:val="nil"/>
              <w:left w:val="single" w:sz="4" w:space="0" w:color="auto"/>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both"/>
              <w:rPr>
                <w:sz w:val="18"/>
                <w:szCs w:val="18"/>
              </w:rPr>
            </w:pPr>
            <w:r w:rsidRPr="00F36BE6">
              <w:rPr>
                <w:rFonts w:ascii="Times New Roman CYR" w:hAnsi="Times New Roman CYR" w:cs="Times New Roman CYR"/>
                <w:sz w:val="18"/>
                <w:szCs w:val="18"/>
              </w:rPr>
              <w:t>Установление ставок акцизов на 2028 год  с учетом прогнозируемого уровня инфляции</w:t>
            </w:r>
          </w:p>
        </w:tc>
        <w:tc>
          <w:tcPr>
            <w:tcW w:w="1039"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r w:rsidRPr="00F36BE6">
              <w:rPr>
                <w:sz w:val="18"/>
                <w:szCs w:val="18"/>
              </w:rPr>
              <w:t> </w:t>
            </w:r>
          </w:p>
        </w:tc>
        <w:tc>
          <w:tcPr>
            <w:tcW w:w="1039"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r w:rsidRPr="00F36BE6">
              <w:rPr>
                <w:sz w:val="18"/>
                <w:szCs w:val="18"/>
              </w:rPr>
              <w:t> </w:t>
            </w:r>
          </w:p>
        </w:tc>
        <w:tc>
          <w:tcPr>
            <w:tcW w:w="1040" w:type="dxa"/>
            <w:tcBorders>
              <w:top w:val="nil"/>
              <w:left w:val="nil"/>
              <w:bottom w:val="single" w:sz="4" w:space="0" w:color="auto"/>
              <w:right w:val="single" w:sz="4" w:space="0" w:color="auto"/>
            </w:tcBorders>
            <w:shd w:val="clear" w:color="auto" w:fill="auto"/>
            <w:vAlign w:val="center"/>
          </w:tcPr>
          <w:p w:rsidR="00F36BE6" w:rsidRPr="00F36BE6" w:rsidRDefault="00F36BE6" w:rsidP="00532307">
            <w:pPr>
              <w:jc w:val="center"/>
              <w:rPr>
                <w:sz w:val="18"/>
                <w:szCs w:val="18"/>
              </w:rPr>
            </w:pPr>
            <w:r w:rsidRPr="00F36BE6">
              <w:rPr>
                <w:sz w:val="18"/>
                <w:szCs w:val="18"/>
              </w:rPr>
              <w:t>71 814,1</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C76AF1" w:rsidRDefault="00C76AF1" w:rsidP="00201F56">
            <w:pPr>
              <w:jc w:val="center"/>
              <w:rPr>
                <w:b/>
                <w:sz w:val="18"/>
                <w:szCs w:val="18"/>
              </w:rPr>
            </w:pPr>
            <w:r w:rsidRPr="00C76AF1">
              <w:rPr>
                <w:b/>
                <w:sz w:val="18"/>
                <w:szCs w:val="18"/>
              </w:rPr>
              <w:t>3.</w:t>
            </w: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b/>
                <w:bCs/>
                <w:sz w:val="18"/>
                <w:szCs w:val="18"/>
              </w:rPr>
              <w:t>Налог на игорный бизнес</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-3 037,8</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-3 040,7</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-3 053,4</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sz w:val="18"/>
                <w:szCs w:val="18"/>
              </w:rPr>
              <w:t>Зачисление налога на игорный бизнес в федеральный бюджет по нормативу 100% с 2026 года</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-3 037,8</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-3 040,7</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-3 053,4</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C76AF1" w:rsidRDefault="00C76AF1" w:rsidP="00201F56">
            <w:pPr>
              <w:jc w:val="center"/>
              <w:rPr>
                <w:b/>
                <w:sz w:val="18"/>
                <w:szCs w:val="18"/>
              </w:rPr>
            </w:pPr>
            <w:r w:rsidRPr="00C76AF1">
              <w:rPr>
                <w:b/>
                <w:sz w:val="18"/>
                <w:szCs w:val="18"/>
              </w:rPr>
              <w:t>4.</w:t>
            </w: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b/>
                <w:bCs/>
                <w:sz w:val="18"/>
                <w:szCs w:val="18"/>
              </w:rPr>
              <w:t>Налог на добычу полезных ископаемых</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3 308,3</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3 411,1</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3 572,5</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sz w:val="18"/>
                <w:szCs w:val="18"/>
              </w:rPr>
              <w:t>Прекращение с 1 января 2026 года действия налоговых преференций для участников ОЭЗ в Магаданской области</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3 620,0</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3 751,1</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3 912,5</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sz w:val="18"/>
                <w:szCs w:val="18"/>
              </w:rPr>
              <w:t>Введение возможности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 на территории Мурманской области, на сумму налогового вычета</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-311,7</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-340,0</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sz w:val="18"/>
                <w:szCs w:val="18"/>
              </w:rPr>
              <w:t>-340,0</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BE25D8" w:rsidRDefault="00C76AF1" w:rsidP="00201F56">
            <w:pPr>
              <w:jc w:val="center"/>
              <w:rPr>
                <w:b/>
                <w:sz w:val="18"/>
                <w:szCs w:val="18"/>
              </w:rPr>
            </w:pPr>
            <w:r w:rsidRPr="00BE25D8">
              <w:rPr>
                <w:b/>
                <w:sz w:val="18"/>
                <w:szCs w:val="18"/>
              </w:rPr>
              <w:t>5.</w:t>
            </w: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b/>
                <w:bCs/>
                <w:sz w:val="18"/>
                <w:szCs w:val="18"/>
              </w:rPr>
              <w:t>Государственная пошлина</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1 049,3</w:t>
            </w:r>
          </w:p>
        </w:tc>
        <w:tc>
          <w:tcPr>
            <w:tcW w:w="1039"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1 049,3</w:t>
            </w:r>
          </w:p>
        </w:tc>
        <w:tc>
          <w:tcPr>
            <w:tcW w:w="1040"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r w:rsidRPr="00F36BE6">
              <w:rPr>
                <w:b/>
                <w:bCs/>
                <w:sz w:val="18"/>
                <w:szCs w:val="18"/>
              </w:rPr>
              <w:t>1 049,3</w:t>
            </w:r>
          </w:p>
        </w:tc>
      </w:tr>
      <w:tr w:rsidR="00201F56" w:rsidRPr="00143121" w:rsidTr="00BE25D8">
        <w:trPr>
          <w:trHeight w:val="227"/>
        </w:trPr>
        <w:tc>
          <w:tcPr>
            <w:tcW w:w="675" w:type="dxa"/>
            <w:tcBorders>
              <w:top w:val="nil"/>
              <w:left w:val="single" w:sz="4" w:space="0" w:color="auto"/>
              <w:bottom w:val="single" w:sz="4" w:space="0" w:color="auto"/>
              <w:right w:val="single" w:sz="4" w:space="0" w:color="auto"/>
            </w:tcBorders>
            <w:shd w:val="clear" w:color="auto" w:fill="auto"/>
            <w:vAlign w:val="center"/>
          </w:tcPr>
          <w:p w:rsidR="00201F56" w:rsidRPr="00F36BE6" w:rsidRDefault="00201F56" w:rsidP="00201F56">
            <w:pPr>
              <w:jc w:val="center"/>
              <w:rPr>
                <w:sz w:val="18"/>
                <w:szCs w:val="18"/>
              </w:rPr>
            </w:pPr>
          </w:p>
        </w:tc>
        <w:tc>
          <w:tcPr>
            <w:tcW w:w="5954" w:type="dxa"/>
            <w:tcBorders>
              <w:top w:val="nil"/>
              <w:left w:val="nil"/>
              <w:bottom w:val="single" w:sz="4" w:space="0" w:color="auto"/>
              <w:right w:val="single" w:sz="4" w:space="0" w:color="auto"/>
            </w:tcBorders>
            <w:shd w:val="clear" w:color="auto" w:fill="auto"/>
            <w:vAlign w:val="center"/>
          </w:tcPr>
          <w:p w:rsidR="00201F56" w:rsidRPr="00F36BE6" w:rsidRDefault="00201F56" w:rsidP="00201F56">
            <w:pPr>
              <w:jc w:val="both"/>
              <w:rPr>
                <w:sz w:val="18"/>
                <w:szCs w:val="18"/>
              </w:rPr>
            </w:pPr>
            <w:r w:rsidRPr="00F36BE6">
              <w:rPr>
                <w:sz w:val="18"/>
                <w:szCs w:val="18"/>
              </w:rPr>
              <w:t>Увеличение действующих и установление новых видов государственной пошлины за совершение действий, связанных с пребыванием иностранных граждан в Российской Федерации, за регистрационные действия в отношении транспортных средств, а также за выдачу водительского удостоверения, государственных регистрационных знаков на автомобили, свидетельства о регистрации транспортного средства, паспорта транспортного средства</w:t>
            </w:r>
          </w:p>
        </w:tc>
        <w:tc>
          <w:tcPr>
            <w:tcW w:w="1039" w:type="dxa"/>
            <w:tcBorders>
              <w:top w:val="nil"/>
              <w:left w:val="nil"/>
              <w:bottom w:val="single" w:sz="4" w:space="0" w:color="auto"/>
              <w:right w:val="single" w:sz="4" w:space="0" w:color="auto"/>
            </w:tcBorders>
            <w:shd w:val="clear" w:color="000000" w:fill="FFFFFF"/>
            <w:vAlign w:val="center"/>
          </w:tcPr>
          <w:p w:rsidR="00201F56" w:rsidRPr="00F36BE6" w:rsidRDefault="00201F56" w:rsidP="00201F56">
            <w:pPr>
              <w:jc w:val="center"/>
              <w:rPr>
                <w:sz w:val="18"/>
                <w:szCs w:val="18"/>
              </w:rPr>
            </w:pPr>
            <w:r w:rsidRPr="00F36BE6">
              <w:rPr>
                <w:sz w:val="18"/>
                <w:szCs w:val="18"/>
              </w:rPr>
              <w:t>1 049,3</w:t>
            </w:r>
          </w:p>
        </w:tc>
        <w:tc>
          <w:tcPr>
            <w:tcW w:w="1039" w:type="dxa"/>
            <w:tcBorders>
              <w:top w:val="nil"/>
              <w:left w:val="nil"/>
              <w:bottom w:val="single" w:sz="4" w:space="0" w:color="auto"/>
              <w:right w:val="single" w:sz="4" w:space="0" w:color="auto"/>
            </w:tcBorders>
            <w:shd w:val="clear" w:color="000000" w:fill="FFFFFF"/>
            <w:vAlign w:val="center"/>
          </w:tcPr>
          <w:p w:rsidR="00201F56" w:rsidRPr="00F36BE6" w:rsidRDefault="00201F56" w:rsidP="00201F56">
            <w:pPr>
              <w:jc w:val="center"/>
              <w:rPr>
                <w:sz w:val="18"/>
                <w:szCs w:val="18"/>
              </w:rPr>
            </w:pPr>
            <w:r w:rsidRPr="00F36BE6">
              <w:rPr>
                <w:sz w:val="18"/>
                <w:szCs w:val="18"/>
              </w:rPr>
              <w:t>1 049,3</w:t>
            </w:r>
          </w:p>
        </w:tc>
        <w:tc>
          <w:tcPr>
            <w:tcW w:w="1040" w:type="dxa"/>
            <w:tcBorders>
              <w:top w:val="nil"/>
              <w:left w:val="nil"/>
              <w:bottom w:val="single" w:sz="4" w:space="0" w:color="auto"/>
              <w:right w:val="single" w:sz="4" w:space="0" w:color="auto"/>
            </w:tcBorders>
            <w:shd w:val="clear" w:color="000000" w:fill="FFFFFF"/>
            <w:vAlign w:val="center"/>
          </w:tcPr>
          <w:p w:rsidR="00201F56" w:rsidRPr="00F36BE6" w:rsidRDefault="00201F56" w:rsidP="00201F56">
            <w:pPr>
              <w:jc w:val="center"/>
              <w:rPr>
                <w:sz w:val="18"/>
                <w:szCs w:val="18"/>
              </w:rPr>
            </w:pPr>
            <w:r w:rsidRPr="00F36BE6">
              <w:rPr>
                <w:sz w:val="18"/>
                <w:szCs w:val="18"/>
              </w:rPr>
              <w:t>1 049,3</w:t>
            </w:r>
          </w:p>
        </w:tc>
      </w:tr>
    </w:tbl>
    <w:p w:rsidR="00BE39BA" w:rsidRPr="00BE39BA" w:rsidRDefault="00BE39BA" w:rsidP="00BE39BA">
      <w:pPr>
        <w:spacing w:before="120" w:line="360" w:lineRule="auto"/>
        <w:ind w:firstLine="709"/>
        <w:jc w:val="both"/>
        <w:rPr>
          <w:rFonts w:eastAsia="Calibri"/>
          <w:spacing w:val="-4"/>
          <w:sz w:val="28"/>
          <w:lang w:eastAsia="en-US"/>
        </w:rPr>
      </w:pPr>
      <w:r w:rsidRPr="00BE39BA">
        <w:rPr>
          <w:rFonts w:eastAsia="Calibri"/>
          <w:spacing w:val="-4"/>
          <w:lang w:eastAsia="en-US"/>
        </w:rPr>
        <w:t>По</w:t>
      </w:r>
      <w:r w:rsidRPr="00BE39BA">
        <w:rPr>
          <w:rFonts w:eastAsia="Calibri"/>
          <w:b/>
          <w:spacing w:val="-4"/>
          <w:lang w:eastAsia="en-US"/>
        </w:rPr>
        <w:t xml:space="preserve"> </w:t>
      </w:r>
      <w:r w:rsidRPr="00BE39BA">
        <w:rPr>
          <w:rFonts w:eastAsia="Calibri"/>
          <w:spacing w:val="-4"/>
          <w:lang w:eastAsia="en-US"/>
        </w:rPr>
        <w:t>оценке Счетной палаты, изменения законодательства Российской Федерации, оказывающие влияние на поступления доходов консолидированных бюджетов субъектов Российской Федерации, в общем объеме</w:t>
      </w:r>
      <w:r w:rsidRPr="00BE39BA">
        <w:rPr>
          <w:rFonts w:eastAsia="Calibri"/>
          <w:b/>
          <w:spacing w:val="-4"/>
          <w:lang w:eastAsia="en-US"/>
        </w:rPr>
        <w:t xml:space="preserve"> </w:t>
      </w:r>
      <w:r w:rsidRPr="00BE39BA">
        <w:rPr>
          <w:rFonts w:eastAsia="Calibri"/>
          <w:spacing w:val="-4"/>
          <w:lang w:eastAsia="en-US"/>
        </w:rPr>
        <w:t>могут привести в 2026 году</w:t>
      </w:r>
      <w:r w:rsidR="008A34C7" w:rsidRPr="008A34C7">
        <w:rPr>
          <w:rFonts w:eastAsia="Calibri"/>
          <w:spacing w:val="-4"/>
          <w:lang w:eastAsia="en-US"/>
        </w:rPr>
        <w:t xml:space="preserve"> </w:t>
      </w:r>
      <w:r w:rsidRPr="00BE39BA">
        <w:rPr>
          <w:rFonts w:eastAsia="Calibri"/>
          <w:spacing w:val="-4"/>
          <w:lang w:eastAsia="en-US"/>
        </w:rPr>
        <w:t>к уменьшению доходов консолидированных бюджетов субъектов Российской Федераци</w:t>
      </w:r>
      <w:r w:rsidR="00954AEC">
        <w:rPr>
          <w:rFonts w:eastAsia="Calibri"/>
          <w:spacing w:val="-4"/>
          <w:lang w:eastAsia="en-US"/>
        </w:rPr>
        <w:t>и на 8 097,6 млн рублей, в 2027 </w:t>
      </w:r>
      <w:r w:rsidRPr="00BE39BA">
        <w:rPr>
          <w:rFonts w:eastAsia="Calibri"/>
          <w:spacing w:val="-4"/>
          <w:lang w:eastAsia="en-US"/>
        </w:rPr>
        <w:t>году – на 25 748,0 млн рублей, в 2028 году к увеличению – на 33 280,9 млн рублей</w:t>
      </w:r>
      <w:r w:rsidRPr="00BE39BA">
        <w:rPr>
          <w:rFonts w:eastAsia="Calibri"/>
          <w:spacing w:val="-4"/>
          <w:sz w:val="28"/>
          <w:lang w:eastAsia="en-US"/>
        </w:rPr>
        <w:t>.</w:t>
      </w:r>
    </w:p>
    <w:p w:rsidR="009947C9" w:rsidRDefault="00F36BE6" w:rsidP="009947C9">
      <w:pPr>
        <w:spacing w:line="360" w:lineRule="auto"/>
        <w:ind w:firstLine="709"/>
        <w:jc w:val="both"/>
        <w:rPr>
          <w:rFonts w:eastAsia="Calibri"/>
          <w:spacing w:val="-4"/>
          <w:lang w:eastAsia="en-US"/>
        </w:rPr>
      </w:pPr>
      <w:r w:rsidRPr="008A34C7">
        <w:rPr>
          <w:rFonts w:eastAsia="Calibri"/>
          <w:spacing w:val="-4"/>
          <w:lang w:eastAsia="en-US"/>
        </w:rPr>
        <w:t>Счетная палат</w:t>
      </w:r>
      <w:r w:rsidR="00BE39BA" w:rsidRPr="008A34C7">
        <w:rPr>
          <w:rFonts w:eastAsia="Calibri"/>
          <w:spacing w:val="-4"/>
          <w:lang w:eastAsia="en-US"/>
        </w:rPr>
        <w:t>ы</w:t>
      </w:r>
      <w:r w:rsidRPr="008A34C7">
        <w:rPr>
          <w:rFonts w:eastAsia="Calibri"/>
          <w:spacing w:val="-4"/>
          <w:lang w:eastAsia="en-US"/>
        </w:rPr>
        <w:t xml:space="preserve"> отмечает занижение Минфином России выпадающих доходов консолидированных бюджетов субъектов Российской Федерации в части налога на игорный </w:t>
      </w:r>
      <w:r w:rsidRPr="008A34C7">
        <w:rPr>
          <w:rFonts w:eastAsia="Calibri"/>
          <w:spacing w:val="-4"/>
          <w:lang w:eastAsia="en-US"/>
        </w:rPr>
        <w:lastRenderedPageBreak/>
        <w:t>бизнес.</w:t>
      </w:r>
      <w:r w:rsidR="00BE39BA" w:rsidRPr="008A34C7">
        <w:rPr>
          <w:rFonts w:eastAsia="Calibri"/>
          <w:spacing w:val="-4"/>
          <w:lang w:eastAsia="en-US"/>
        </w:rPr>
        <w:t xml:space="preserve"> </w:t>
      </w:r>
      <w:r w:rsidR="009947C9" w:rsidRPr="008A34C7">
        <w:rPr>
          <w:rFonts w:eastAsia="Calibri"/>
          <w:spacing w:val="-4"/>
          <w:lang w:eastAsia="en-US"/>
        </w:rPr>
        <w:t>Так, по информации Минфина России</w:t>
      </w:r>
      <w:r w:rsidR="00954AEC">
        <w:rPr>
          <w:rFonts w:eastAsia="Calibri"/>
          <w:spacing w:val="-4"/>
          <w:lang w:eastAsia="en-US"/>
        </w:rPr>
        <w:t>,</w:t>
      </w:r>
      <w:r w:rsidR="009947C9" w:rsidRPr="008A34C7">
        <w:rPr>
          <w:rFonts w:eastAsia="Calibri"/>
          <w:spacing w:val="-4"/>
          <w:lang w:eastAsia="en-US"/>
        </w:rPr>
        <w:t xml:space="preserve"> в связи с планируемым повышением ставки налога на игорный бизнес для тотализаторов и букмекерских контор и зачисления данного налога </w:t>
      </w:r>
      <w:r w:rsidR="00BE25D8" w:rsidRPr="008A34C7">
        <w:rPr>
          <w:rFonts w:eastAsia="Calibri"/>
          <w:spacing w:val="-4"/>
          <w:lang w:eastAsia="en-US"/>
        </w:rPr>
        <w:t xml:space="preserve">по нормативу 100 % </w:t>
      </w:r>
      <w:r w:rsidR="009947C9" w:rsidRPr="008A34C7">
        <w:rPr>
          <w:rFonts w:eastAsia="Calibri"/>
          <w:spacing w:val="-4"/>
          <w:lang w:eastAsia="en-US"/>
        </w:rPr>
        <w:t xml:space="preserve">в федеральный бюджет прогноз дополнительных поступлений </w:t>
      </w:r>
      <w:r w:rsidR="002255F3">
        <w:rPr>
          <w:rFonts w:eastAsia="Calibri"/>
          <w:spacing w:val="-4"/>
          <w:lang w:eastAsia="en-US"/>
        </w:rPr>
        <w:br/>
      </w:r>
      <w:r w:rsidR="009947C9" w:rsidRPr="008A34C7">
        <w:rPr>
          <w:rFonts w:eastAsia="Calibri"/>
          <w:spacing w:val="-4"/>
          <w:lang w:eastAsia="en-US"/>
        </w:rPr>
        <w:t xml:space="preserve">в федеральный бюджет налога на игорный бизнес </w:t>
      </w:r>
      <w:r w:rsidR="009947C9" w:rsidRPr="00F36BE6">
        <w:rPr>
          <w:rFonts w:eastAsia="Calibri"/>
          <w:spacing w:val="-4"/>
          <w:lang w:eastAsia="en-US"/>
        </w:rPr>
        <w:t>составил</w:t>
      </w:r>
      <w:r w:rsidR="009947C9" w:rsidRPr="00F36BE6">
        <w:rPr>
          <w:rFonts w:eastAsia="Calibri"/>
          <w:b/>
          <w:spacing w:val="-4"/>
          <w:lang w:eastAsia="en-US"/>
        </w:rPr>
        <w:t xml:space="preserve"> </w:t>
      </w:r>
      <w:r w:rsidR="009947C9" w:rsidRPr="00F36BE6">
        <w:rPr>
          <w:rFonts w:eastAsia="Calibri"/>
          <w:spacing w:val="-4"/>
          <w:lang w:eastAsia="en-US"/>
        </w:rPr>
        <w:t xml:space="preserve">на 2026 год в сумме 74 232,5 млн </w:t>
      </w:r>
      <w:r w:rsidR="00532307">
        <w:rPr>
          <w:rFonts w:eastAsia="Calibri"/>
          <w:spacing w:val="-4"/>
          <w:lang w:eastAsia="en-US"/>
        </w:rPr>
        <w:t>рублей, на 2027 год – 101 917,3 </w:t>
      </w:r>
      <w:r w:rsidR="009947C9" w:rsidRPr="00F36BE6">
        <w:rPr>
          <w:rFonts w:eastAsia="Calibri"/>
          <w:spacing w:val="-4"/>
          <w:lang w:eastAsia="en-US"/>
        </w:rPr>
        <w:t>млн рублей, на 2028 год – 105 933</w:t>
      </w:r>
      <w:r w:rsidR="009947C9">
        <w:rPr>
          <w:rFonts w:eastAsia="Calibri"/>
          <w:spacing w:val="-4"/>
          <w:lang w:eastAsia="en-US"/>
        </w:rPr>
        <w:t>,0 млн рублей</w:t>
      </w:r>
      <w:r w:rsidR="00532307">
        <w:rPr>
          <w:rFonts w:eastAsia="Calibri"/>
          <w:spacing w:val="-4"/>
          <w:lang w:eastAsia="en-US"/>
        </w:rPr>
        <w:t>.</w:t>
      </w:r>
      <w:r w:rsidR="006D2D05">
        <w:rPr>
          <w:rFonts w:eastAsia="Calibri"/>
          <w:spacing w:val="-4"/>
          <w:lang w:eastAsia="en-US"/>
        </w:rPr>
        <w:t xml:space="preserve"> </w:t>
      </w:r>
      <w:r w:rsidR="00BB7813">
        <w:rPr>
          <w:rFonts w:eastAsia="Calibri"/>
          <w:spacing w:val="-4"/>
          <w:lang w:eastAsia="en-US"/>
        </w:rPr>
        <w:t>При этом</w:t>
      </w:r>
      <w:r w:rsidR="00954AEC">
        <w:rPr>
          <w:rFonts w:eastAsia="Calibri"/>
          <w:spacing w:val="-4"/>
          <w:lang w:eastAsia="en-US"/>
        </w:rPr>
        <w:t>,</w:t>
      </w:r>
      <w:r w:rsidR="00BB7813">
        <w:rPr>
          <w:rFonts w:eastAsia="Calibri"/>
          <w:spacing w:val="-4"/>
          <w:lang w:eastAsia="en-US"/>
        </w:rPr>
        <w:t xml:space="preserve"> </w:t>
      </w:r>
      <w:r w:rsidR="002255F3">
        <w:rPr>
          <w:rFonts w:eastAsia="Calibri"/>
          <w:spacing w:val="-4"/>
          <w:lang w:eastAsia="en-US"/>
        </w:rPr>
        <w:br/>
      </w:r>
      <w:r w:rsidR="00C12EF1">
        <w:rPr>
          <w:rFonts w:eastAsia="Calibri"/>
          <w:spacing w:val="-4"/>
          <w:lang w:eastAsia="en-US"/>
        </w:rPr>
        <w:t>по оценке Минфина России</w:t>
      </w:r>
      <w:r w:rsidR="00954AEC">
        <w:rPr>
          <w:rFonts w:eastAsia="Calibri"/>
          <w:spacing w:val="-4"/>
          <w:lang w:eastAsia="en-US"/>
        </w:rPr>
        <w:t>,</w:t>
      </w:r>
      <w:r w:rsidR="00C12EF1">
        <w:rPr>
          <w:rFonts w:eastAsia="Calibri"/>
          <w:spacing w:val="-4"/>
          <w:lang w:eastAsia="en-US"/>
        </w:rPr>
        <w:t xml:space="preserve"> </w:t>
      </w:r>
      <w:r w:rsidR="00BB7813">
        <w:rPr>
          <w:rFonts w:eastAsia="Calibri"/>
          <w:spacing w:val="-4"/>
          <w:lang w:eastAsia="en-US"/>
        </w:rPr>
        <w:t>прогноз выпадающих доходов регионов по налогу на игорный бизнес в 2026</w:t>
      </w:r>
      <w:r w:rsidR="00BB7813" w:rsidRPr="00F36BE6">
        <w:rPr>
          <w:rFonts w:eastAsia="Calibri"/>
          <w:spacing w:val="-4"/>
          <w:lang w:eastAsia="en-US"/>
        </w:rPr>
        <w:t>–</w:t>
      </w:r>
      <w:r w:rsidR="00BB7813">
        <w:rPr>
          <w:rFonts w:eastAsia="Calibri"/>
          <w:spacing w:val="-4"/>
          <w:lang w:eastAsia="en-US"/>
        </w:rPr>
        <w:t>2028 го</w:t>
      </w:r>
      <w:r w:rsidR="00BE39BA">
        <w:rPr>
          <w:rFonts w:eastAsia="Calibri"/>
          <w:spacing w:val="-4"/>
          <w:lang w:eastAsia="en-US"/>
        </w:rPr>
        <w:t>дах состави</w:t>
      </w:r>
      <w:r w:rsidR="00C12EF1">
        <w:rPr>
          <w:rFonts w:eastAsia="Calibri"/>
          <w:spacing w:val="-4"/>
          <w:lang w:eastAsia="en-US"/>
        </w:rPr>
        <w:t>т</w:t>
      </w:r>
      <w:r w:rsidR="00BE39BA">
        <w:rPr>
          <w:rFonts w:eastAsia="Calibri"/>
          <w:spacing w:val="-4"/>
          <w:lang w:eastAsia="en-US"/>
        </w:rPr>
        <w:t xml:space="preserve"> 3 037,8 млн рублей,</w:t>
      </w:r>
      <w:r w:rsidR="00BB7813">
        <w:rPr>
          <w:rFonts w:eastAsia="Calibri"/>
          <w:spacing w:val="-4"/>
          <w:lang w:eastAsia="en-US"/>
        </w:rPr>
        <w:t xml:space="preserve"> 3 040,7 млн рублей, 3 053,4 млн рублей соответственно.</w:t>
      </w:r>
    </w:p>
    <w:p w:rsidR="0094530C" w:rsidRPr="0094530C" w:rsidRDefault="00BD227C" w:rsidP="0094530C">
      <w:pPr>
        <w:numPr>
          <w:ilvl w:val="0"/>
          <w:numId w:val="19"/>
        </w:numPr>
        <w:overflowPunct w:val="0"/>
        <w:autoSpaceDE w:val="0"/>
        <w:autoSpaceDN w:val="0"/>
        <w:adjustRightInd w:val="0"/>
        <w:spacing w:line="360" w:lineRule="auto"/>
        <w:ind w:left="0" w:firstLine="708"/>
        <w:jc w:val="both"/>
        <w:textAlignment w:val="baseline"/>
      </w:pPr>
      <w:r w:rsidRPr="004C0424">
        <w:rPr>
          <w:b/>
        </w:rPr>
        <w:t>15.</w:t>
      </w:r>
      <w:r w:rsidR="00290ED0" w:rsidRPr="004C0424">
        <w:rPr>
          <w:b/>
        </w:rPr>
        <w:t>5</w:t>
      </w:r>
      <w:r w:rsidRPr="004C0424">
        <w:rPr>
          <w:b/>
        </w:rPr>
        <w:t>.</w:t>
      </w:r>
      <w:r w:rsidRPr="004C0424">
        <w:t xml:space="preserve"> </w:t>
      </w:r>
      <w:r w:rsidR="00142D19" w:rsidRPr="004C0424">
        <w:t>Исполнение консолидированных бюджетов субъектов в 202</w:t>
      </w:r>
      <w:r w:rsidR="004C0424" w:rsidRPr="004C0424">
        <w:t>5</w:t>
      </w:r>
      <w:r w:rsidR="00142D19" w:rsidRPr="004C0424">
        <w:t xml:space="preserve"> году </w:t>
      </w:r>
      <w:r w:rsidR="005D0389" w:rsidRPr="004C0424">
        <w:t xml:space="preserve">оценивается </w:t>
      </w:r>
      <w:r w:rsidR="002255F3">
        <w:br/>
      </w:r>
      <w:r w:rsidR="005D0389" w:rsidRPr="004C0424">
        <w:t xml:space="preserve">с дефицитом и </w:t>
      </w:r>
      <w:r w:rsidR="008A34C7">
        <w:t>ожидается</w:t>
      </w:r>
      <w:r w:rsidR="004C0424" w:rsidRPr="004C0424">
        <w:t xml:space="preserve"> по сравнению с 2024</w:t>
      </w:r>
      <w:r w:rsidR="005D7FBD" w:rsidRPr="004C0424">
        <w:t xml:space="preserve"> годом</w:t>
      </w:r>
      <w:r w:rsidR="00142D19" w:rsidRPr="004C0424">
        <w:t xml:space="preserve"> </w:t>
      </w:r>
      <w:r w:rsidR="008A34C7">
        <w:t>замедление</w:t>
      </w:r>
      <w:r w:rsidR="00E807BD" w:rsidRPr="004C0424">
        <w:t xml:space="preserve"> темпов роста доходов </w:t>
      </w:r>
      <w:r w:rsidR="005D7FBD" w:rsidRPr="004C0424">
        <w:t xml:space="preserve">и расходов </w:t>
      </w:r>
      <w:r w:rsidR="00E807BD" w:rsidRPr="004C0424">
        <w:t>консолидированных бюджетов субъектов Российской Федерации</w:t>
      </w:r>
      <w:r w:rsidR="004C0424">
        <w:t xml:space="preserve"> </w:t>
      </w:r>
      <w:r w:rsidR="008A34C7">
        <w:t xml:space="preserve">до </w:t>
      </w:r>
      <w:r w:rsidR="004C0424">
        <w:t>104,6 % соответственно</w:t>
      </w:r>
      <w:r w:rsidR="002E1A90">
        <w:t xml:space="preserve"> </w:t>
      </w:r>
      <w:r w:rsidR="008A34C7">
        <w:t xml:space="preserve">(в 2024 году </w:t>
      </w:r>
      <w:r w:rsidR="002E1A90">
        <w:t>– 110,3</w:t>
      </w:r>
      <w:r w:rsidR="0094530C">
        <w:t> </w:t>
      </w:r>
      <w:r w:rsidR="002E1A90">
        <w:t>%</w:t>
      </w:r>
      <w:r w:rsidR="0094530C">
        <w:t xml:space="preserve"> и 110,6 </w:t>
      </w:r>
      <w:r w:rsidR="002E1A90">
        <w:t>% соответственно</w:t>
      </w:r>
      <w:r w:rsidR="004C0424">
        <w:t>)</w:t>
      </w:r>
      <w:r w:rsidR="00E807BD" w:rsidRPr="004C0424">
        <w:t>.</w:t>
      </w:r>
      <w:r w:rsidR="0094530C">
        <w:t xml:space="preserve"> </w:t>
      </w:r>
      <w:r w:rsidR="0094530C" w:rsidRPr="0094530C">
        <w:t>При этом на этапе планирования бюджета на 2025 год прогноз исполнения консолидированных бюджетов субъектов Российской Федерации был более позитивным. Исполнение доходов оценивалось с ростом на 7 %, расходам – с ростом на 6,7 %.</w:t>
      </w:r>
    </w:p>
    <w:p w:rsidR="005D0389" w:rsidRPr="004C0424" w:rsidRDefault="00E807BD" w:rsidP="005D7FBD">
      <w:pPr>
        <w:tabs>
          <w:tab w:val="num" w:pos="3540"/>
        </w:tabs>
        <w:autoSpaceDN w:val="0"/>
        <w:spacing w:line="360" w:lineRule="auto"/>
        <w:ind w:firstLine="709"/>
        <w:jc w:val="both"/>
      </w:pPr>
      <w:r w:rsidRPr="004C0424">
        <w:t>Доля собственных доходов консолидированных бюджетов субъектов Р</w:t>
      </w:r>
      <w:r w:rsidR="004C0424" w:rsidRPr="004C0424">
        <w:t xml:space="preserve">оссийской </w:t>
      </w:r>
      <w:r w:rsidR="002255F3">
        <w:br/>
      </w:r>
      <w:r w:rsidRPr="004C0424">
        <w:t xml:space="preserve">в общем объеме доходов консолидированных бюджетов субъектов Российской Федерации </w:t>
      </w:r>
      <w:r w:rsidR="005D7FBD" w:rsidRPr="004C0424">
        <w:t>увеличивается</w:t>
      </w:r>
      <w:r w:rsidR="004C0424">
        <w:t xml:space="preserve"> (</w:t>
      </w:r>
      <w:r w:rsidR="005E70DE">
        <w:t>с 83,5 </w:t>
      </w:r>
      <w:r w:rsidR="004C0424">
        <w:t xml:space="preserve">% до </w:t>
      </w:r>
      <w:r w:rsidR="005E70DE">
        <w:t>85,2 %)</w:t>
      </w:r>
      <w:r w:rsidRPr="004C0424">
        <w:t xml:space="preserve">. </w:t>
      </w:r>
    </w:p>
    <w:p w:rsidR="007E138D" w:rsidRPr="005E70DE" w:rsidRDefault="005E70DE" w:rsidP="00E807BD">
      <w:pPr>
        <w:numPr>
          <w:ilvl w:val="0"/>
          <w:numId w:val="19"/>
        </w:numPr>
        <w:tabs>
          <w:tab w:val="clear" w:pos="3540"/>
          <w:tab w:val="num" w:pos="0"/>
          <w:tab w:val="num" w:pos="284"/>
        </w:tabs>
        <w:autoSpaceDN w:val="0"/>
        <w:spacing w:line="360" w:lineRule="auto"/>
        <w:ind w:left="0" w:firstLine="708"/>
        <w:jc w:val="both"/>
      </w:pPr>
      <w:r w:rsidRPr="005E70DE">
        <w:t>Д</w:t>
      </w:r>
      <w:r w:rsidR="007E138D" w:rsidRPr="005E70DE">
        <w:t xml:space="preserve">оля </w:t>
      </w:r>
      <w:r w:rsidR="005D7FBD" w:rsidRPr="005E70DE">
        <w:t xml:space="preserve">расходов консолидированных бюджетов субъектов Российской Федерации </w:t>
      </w:r>
      <w:r w:rsidR="002255F3">
        <w:br/>
      </w:r>
      <w:r w:rsidR="007E138D" w:rsidRPr="005E70DE">
        <w:t>в ВВП сократится с 1</w:t>
      </w:r>
      <w:r w:rsidRPr="005E70DE">
        <w:t>2,4</w:t>
      </w:r>
      <w:r w:rsidR="00A30B6F" w:rsidRPr="005E70DE">
        <w:t> </w:t>
      </w:r>
      <w:r w:rsidR="007E138D" w:rsidRPr="005E70DE">
        <w:t>% в 202</w:t>
      </w:r>
      <w:r w:rsidRPr="005E70DE">
        <w:t>4 году до 12 % в 2025</w:t>
      </w:r>
      <w:r w:rsidR="007E138D" w:rsidRPr="005E70DE">
        <w:t xml:space="preserve"> году.</w:t>
      </w:r>
    </w:p>
    <w:p w:rsidR="007E138D" w:rsidRDefault="007E138D" w:rsidP="007E138D">
      <w:pPr>
        <w:spacing w:line="360" w:lineRule="auto"/>
        <w:ind w:firstLine="709"/>
        <w:jc w:val="both"/>
        <w:rPr>
          <w:szCs w:val="28"/>
        </w:rPr>
      </w:pPr>
      <w:r w:rsidRPr="005E70DE">
        <w:rPr>
          <w:szCs w:val="28"/>
        </w:rPr>
        <w:t>По оперативной информации об исполнении консолидированных бюджетов субъектов Российской Федерации на 1 сентября 202</w:t>
      </w:r>
      <w:r w:rsidR="005E70DE" w:rsidRPr="005E70DE">
        <w:rPr>
          <w:szCs w:val="28"/>
        </w:rPr>
        <w:t>5</w:t>
      </w:r>
      <w:r w:rsidRPr="005E70DE">
        <w:rPr>
          <w:szCs w:val="28"/>
        </w:rPr>
        <w:t xml:space="preserve"> года доходы консолидированных бюджетов субъектов Российской Федерации </w:t>
      </w:r>
      <w:r w:rsidRPr="005A6336">
        <w:rPr>
          <w:szCs w:val="28"/>
        </w:rPr>
        <w:t xml:space="preserve">составили </w:t>
      </w:r>
      <w:r w:rsidR="005E70DE" w:rsidRPr="005A6336">
        <w:rPr>
          <w:szCs w:val="28"/>
        </w:rPr>
        <w:t>16 385,1</w:t>
      </w:r>
      <w:r w:rsidRPr="005A6336">
        <w:rPr>
          <w:szCs w:val="28"/>
        </w:rPr>
        <w:t xml:space="preserve"> млрд рублей (с увеличением на </w:t>
      </w:r>
      <w:r w:rsidR="005A6336" w:rsidRPr="005A6336">
        <w:rPr>
          <w:szCs w:val="28"/>
        </w:rPr>
        <w:t>8,2</w:t>
      </w:r>
      <w:r w:rsidRPr="005A6336">
        <w:rPr>
          <w:szCs w:val="28"/>
        </w:rPr>
        <w:t> % по сравнению с аналогичным периодом 202</w:t>
      </w:r>
      <w:r w:rsidR="005A6336" w:rsidRPr="005A6336">
        <w:rPr>
          <w:szCs w:val="28"/>
        </w:rPr>
        <w:t>4</w:t>
      </w:r>
      <w:r w:rsidRPr="005A6336">
        <w:rPr>
          <w:szCs w:val="28"/>
        </w:rPr>
        <w:t xml:space="preserve"> года), расходы – </w:t>
      </w:r>
      <w:r w:rsidR="005A6336" w:rsidRPr="005A6336">
        <w:rPr>
          <w:szCs w:val="28"/>
        </w:rPr>
        <w:t>16 282,8</w:t>
      </w:r>
      <w:r w:rsidRPr="005A6336">
        <w:rPr>
          <w:szCs w:val="28"/>
        </w:rPr>
        <w:t xml:space="preserve"> млрд </w:t>
      </w:r>
      <w:r w:rsidRPr="004D7574">
        <w:rPr>
          <w:szCs w:val="28"/>
        </w:rPr>
        <w:t xml:space="preserve">рублей (с увеличением на </w:t>
      </w:r>
      <w:r w:rsidR="005A6336" w:rsidRPr="004D7574">
        <w:rPr>
          <w:szCs w:val="28"/>
        </w:rPr>
        <w:t>1</w:t>
      </w:r>
      <w:r w:rsidRPr="004D7574">
        <w:rPr>
          <w:szCs w:val="28"/>
        </w:rPr>
        <w:t xml:space="preserve">8%), бюджеты регионов исполнены с профицитом </w:t>
      </w:r>
      <w:r w:rsidR="005A6336" w:rsidRPr="004D7574">
        <w:rPr>
          <w:szCs w:val="28"/>
        </w:rPr>
        <w:t>102,3 млрд</w:t>
      </w:r>
      <w:r w:rsidRPr="004D7574">
        <w:rPr>
          <w:szCs w:val="28"/>
        </w:rPr>
        <w:t xml:space="preserve"> рублей</w:t>
      </w:r>
      <w:r w:rsidR="004D7574" w:rsidRPr="004D7574">
        <w:t xml:space="preserve"> </w:t>
      </w:r>
      <w:r w:rsidR="004D7574">
        <w:t>(с </w:t>
      </w:r>
      <w:r w:rsidR="004D7574" w:rsidRPr="004D7574">
        <w:t>суммарным профицитом в объеме 629,8 млрд рублей исполнены бюджеты 41 субъекта Российской Федерации (включая федеральную территорию «Сириус»), с суммарным дефицитом в объеме 527,5 млрд рублей – 49 регионов).</w:t>
      </w:r>
    </w:p>
    <w:p w:rsidR="001C302A" w:rsidRPr="007A4B42" w:rsidRDefault="001C302A" w:rsidP="001C302A">
      <w:pPr>
        <w:numPr>
          <w:ilvl w:val="0"/>
          <w:numId w:val="19"/>
        </w:numPr>
        <w:tabs>
          <w:tab w:val="clear" w:pos="3540"/>
          <w:tab w:val="num" w:pos="0"/>
          <w:tab w:val="num" w:pos="284"/>
        </w:tabs>
        <w:autoSpaceDN w:val="0"/>
        <w:spacing w:line="360" w:lineRule="auto"/>
        <w:ind w:left="0" w:firstLine="708"/>
        <w:jc w:val="both"/>
      </w:pPr>
      <w:r w:rsidRPr="007A4B42">
        <w:t>Поступление налоговых и неналоговых доходов выросло на 8,3 %, составив 13 849,0 млрд рублей, что связано со значительным ростом налога на доходы физических лиц на 14,7 %. При этом снижение поступлений налога на прибыль организаций составило 4,7 % и отмечается в регионах, экономика которых связана с добычей и переработкой нефти и газа, угля, ориентированных на экспорт, на деятельность которых существенное влияние оказывают экономические факторы.</w:t>
      </w:r>
    </w:p>
    <w:p w:rsidR="001C302A" w:rsidRPr="007A4B42" w:rsidRDefault="001C302A" w:rsidP="001C302A">
      <w:pPr>
        <w:numPr>
          <w:ilvl w:val="0"/>
          <w:numId w:val="19"/>
        </w:numPr>
        <w:tabs>
          <w:tab w:val="clear" w:pos="3540"/>
          <w:tab w:val="num" w:pos="0"/>
          <w:tab w:val="num" w:pos="284"/>
        </w:tabs>
        <w:autoSpaceDN w:val="0"/>
        <w:spacing w:line="360" w:lineRule="auto"/>
        <w:ind w:left="0" w:firstLine="708"/>
        <w:jc w:val="both"/>
      </w:pPr>
      <w:r w:rsidRPr="007A4B42">
        <w:lastRenderedPageBreak/>
        <w:t>В ряде регионов продолжают сохраняться риски снижения налоговых и неналоговых доходов бюджетов бюджетной системы Российской Федерации в связи с масштабным изменением структуры экономической деятельности в Российской Федерации. В условиях влияния введенных ограничений и мер по поддержке субъектов предпринимательской деятельности на федеральном и региональном уровне может потребоваться увеличение расходов при ограниченных возможностях наращивания налоговых и неналоговых доходов.</w:t>
      </w:r>
    </w:p>
    <w:p w:rsidR="001C302A" w:rsidRPr="007A4B42" w:rsidRDefault="001C302A" w:rsidP="001C302A">
      <w:pPr>
        <w:numPr>
          <w:ilvl w:val="0"/>
          <w:numId w:val="19"/>
        </w:numPr>
        <w:tabs>
          <w:tab w:val="clear" w:pos="3540"/>
          <w:tab w:val="num" w:pos="0"/>
          <w:tab w:val="num" w:pos="284"/>
        </w:tabs>
        <w:autoSpaceDN w:val="0"/>
        <w:spacing w:line="360" w:lineRule="auto"/>
        <w:ind w:left="0" w:firstLine="708"/>
        <w:jc w:val="both"/>
      </w:pPr>
      <w:r w:rsidRPr="007A4B42">
        <w:t>Опережающий рост расходов в 2025 году связан в том числе с увеличением с 1 января 2025 года минимального размера оплаты труда на 16,6 %, расширением мер и увеличением объемов социальной поддержки отдельным категориям граждан, реализацией новых национальных проектов, разработанных в целях исполнения Указа Президента Российской Федерации от 7 мая 2024 г. № 309, оплатой фактических расходов за выполнение работ по переходящим контрактам 2024 года.</w:t>
      </w:r>
    </w:p>
    <w:p w:rsidR="00A45425" w:rsidRPr="009C6D0C" w:rsidRDefault="00BD227C" w:rsidP="00A45425">
      <w:pPr>
        <w:overflowPunct w:val="0"/>
        <w:autoSpaceDE w:val="0"/>
        <w:autoSpaceDN w:val="0"/>
        <w:adjustRightInd w:val="0"/>
        <w:spacing w:line="360" w:lineRule="auto"/>
        <w:ind w:firstLine="709"/>
        <w:jc w:val="both"/>
        <w:textAlignment w:val="baseline"/>
      </w:pPr>
      <w:r w:rsidRPr="00143121">
        <w:rPr>
          <w:b/>
        </w:rPr>
        <w:t>15.</w:t>
      </w:r>
      <w:r w:rsidR="00290ED0" w:rsidRPr="00143121">
        <w:rPr>
          <w:b/>
        </w:rPr>
        <w:t>6</w:t>
      </w:r>
      <w:r w:rsidRPr="00143121">
        <w:rPr>
          <w:b/>
        </w:rPr>
        <w:t>.</w:t>
      </w:r>
      <w:r w:rsidRPr="00143121">
        <w:t xml:space="preserve"> </w:t>
      </w:r>
      <w:r w:rsidR="00A45425" w:rsidRPr="00143121">
        <w:t xml:space="preserve">Государственный долг субъектов Российской Федерации и муниципальных образований по состоянию на 1 сентября </w:t>
      </w:r>
      <w:r w:rsidR="00A45425" w:rsidRPr="009C6D0C">
        <w:t>202</w:t>
      </w:r>
      <w:r w:rsidR="00143121" w:rsidRPr="009C6D0C">
        <w:t>5</w:t>
      </w:r>
      <w:r w:rsidR="00A45425" w:rsidRPr="009C6D0C">
        <w:t xml:space="preserve"> года </w:t>
      </w:r>
      <w:r w:rsidR="001C302A">
        <w:t>уменьшился</w:t>
      </w:r>
      <w:r w:rsidR="00A45425" w:rsidRPr="009C6D0C">
        <w:t xml:space="preserve"> по сравнению с началом года на </w:t>
      </w:r>
      <w:r w:rsidR="001C302A">
        <w:t>13,8</w:t>
      </w:r>
      <w:r w:rsidR="00A45425" w:rsidRPr="009C6D0C">
        <w:t xml:space="preserve"> млрд рублей, или на </w:t>
      </w:r>
      <w:r w:rsidR="009C6D0C" w:rsidRPr="009C6D0C">
        <w:t>0</w:t>
      </w:r>
      <w:r w:rsidR="00A45425" w:rsidRPr="009C6D0C">
        <w:t>,</w:t>
      </w:r>
      <w:r w:rsidR="001C302A">
        <w:t>4</w:t>
      </w:r>
      <w:r w:rsidRPr="009C6D0C">
        <w:t> </w:t>
      </w:r>
      <w:r w:rsidR="00A45425" w:rsidRPr="009C6D0C">
        <w:t>%, и составил 3</w:t>
      </w:r>
      <w:r w:rsidRPr="009C6D0C">
        <w:t> </w:t>
      </w:r>
      <w:r w:rsidR="001C302A">
        <w:t>513</w:t>
      </w:r>
      <w:r w:rsidR="00A45425" w:rsidRPr="009C6D0C">
        <w:t>,</w:t>
      </w:r>
      <w:r w:rsidR="001C302A">
        <w:t>7</w:t>
      </w:r>
      <w:r w:rsidR="00A45425" w:rsidRPr="009C6D0C">
        <w:t xml:space="preserve"> млрд рублей. </w:t>
      </w:r>
    </w:p>
    <w:p w:rsidR="001C302A" w:rsidRPr="001C302A" w:rsidRDefault="0070343C" w:rsidP="00B20D00">
      <w:pPr>
        <w:overflowPunct w:val="0"/>
        <w:autoSpaceDE w:val="0"/>
        <w:autoSpaceDN w:val="0"/>
        <w:adjustRightInd w:val="0"/>
        <w:spacing w:line="360" w:lineRule="auto"/>
        <w:ind w:firstLine="709"/>
        <w:jc w:val="both"/>
        <w:textAlignment w:val="baseline"/>
      </w:pPr>
      <w:r w:rsidRPr="00A246F5">
        <w:t>Основной объем совокупного долга регионов (</w:t>
      </w:r>
      <w:r w:rsidR="009C6D0C" w:rsidRPr="00A246F5">
        <w:t>79,</w:t>
      </w:r>
      <w:r w:rsidR="00A246F5">
        <w:t>3</w:t>
      </w:r>
      <w:r w:rsidRPr="00A246F5">
        <w:t xml:space="preserve"> %) приходится на задолженность по бюджетным кредитам </w:t>
      </w:r>
      <w:r w:rsidR="00A45425" w:rsidRPr="00A246F5">
        <w:t>(в бюджетах субъек</w:t>
      </w:r>
      <w:r w:rsidR="00A246F5" w:rsidRPr="00A246F5">
        <w:t>тов Российской Федерации – 79</w:t>
      </w:r>
      <w:r w:rsidR="00BD227C" w:rsidRPr="00A246F5">
        <w:t>,</w:t>
      </w:r>
      <w:r w:rsidR="00A246F5" w:rsidRPr="00A246F5">
        <w:t>8</w:t>
      </w:r>
      <w:r w:rsidR="00BD227C" w:rsidRPr="00A246F5">
        <w:t> </w:t>
      </w:r>
      <w:r w:rsidR="00954AEC">
        <w:t>%, в </w:t>
      </w:r>
      <w:r w:rsidR="00A45425" w:rsidRPr="00A246F5">
        <w:t>бюджетах м</w:t>
      </w:r>
      <w:r w:rsidR="00BD227C" w:rsidRPr="00A246F5">
        <w:t>униципальных образований – 7</w:t>
      </w:r>
      <w:r w:rsidR="00A246F5" w:rsidRPr="00A246F5">
        <w:t>4</w:t>
      </w:r>
      <w:r w:rsidR="00BD227C" w:rsidRPr="00A246F5">
        <w:t>,8 </w:t>
      </w:r>
      <w:r w:rsidR="00CC0C92">
        <w:t>%), что</w:t>
      </w:r>
      <w:r w:rsidR="00A45425" w:rsidRPr="00A246F5">
        <w:t xml:space="preserve"> связан</w:t>
      </w:r>
      <w:r w:rsidR="00CC0C92">
        <w:t>о</w:t>
      </w:r>
      <w:r w:rsidR="00A45425" w:rsidRPr="00A246F5">
        <w:t xml:space="preserve"> с предоставлением регионам </w:t>
      </w:r>
      <w:r w:rsidR="00D7168E" w:rsidRPr="00D7168E">
        <w:t>бюджетных кредитов на обеспечение реализации инфраструктурных проектов</w:t>
      </w:r>
      <w:r w:rsidR="001C302A" w:rsidRPr="001C302A">
        <w:t>, а также бюджетных кредитов на пополнение остатка средств на счете бюджета.</w:t>
      </w:r>
    </w:p>
    <w:p w:rsidR="001C302A" w:rsidRPr="001C302A" w:rsidRDefault="001C302A" w:rsidP="001C302A">
      <w:pPr>
        <w:overflowPunct w:val="0"/>
        <w:autoSpaceDE w:val="0"/>
        <w:autoSpaceDN w:val="0"/>
        <w:adjustRightInd w:val="0"/>
        <w:spacing w:line="360" w:lineRule="auto"/>
        <w:ind w:firstLine="709"/>
        <w:jc w:val="both"/>
        <w:textAlignment w:val="baseline"/>
      </w:pPr>
      <w:r w:rsidRPr="001C302A">
        <w:t>Вместе с тем несмотря на снижение доли кредитов от кредитных организаций в структуре совокупного долга регионов с 10 % по состоянию на 1 января 2025 года до 8,8 % по состоянию на 1 сентября 2025 года, необходимо отметить рост совокупной задолженности по коммерческим кредитам относительно я</w:t>
      </w:r>
      <w:r w:rsidR="00B20D00">
        <w:t xml:space="preserve">нваря – августа 2024 года </w:t>
      </w:r>
      <w:r w:rsidR="002255F3">
        <w:br/>
      </w:r>
      <w:r w:rsidR="00B20D00">
        <w:t>в 1,9 </w:t>
      </w:r>
      <w:r w:rsidRPr="001C302A">
        <w:t xml:space="preserve">раза (с 161,9 млрд рублей по состоянию на 1 сентября 2024 года до 308,7 млрд рублей по состоянию на 1 сентября 2025 года). В связи с этим рост расходов на обслуживание госдолга консолидированных бюджетов регионов по состоянию на 1 сентября 2025 года, </w:t>
      </w:r>
      <w:r w:rsidR="002255F3">
        <w:br/>
      </w:r>
      <w:r w:rsidRPr="001C302A">
        <w:t>по сравнению с аналогичным периодом 2024 года, составляет 47,1 %.</w:t>
      </w:r>
    </w:p>
    <w:p w:rsidR="008100FD" w:rsidRPr="00143121" w:rsidRDefault="00687EBC" w:rsidP="008100FD">
      <w:pPr>
        <w:widowControl w:val="0"/>
        <w:autoSpaceDE w:val="0"/>
        <w:autoSpaceDN w:val="0"/>
        <w:adjustRightInd w:val="0"/>
        <w:spacing w:line="360" w:lineRule="auto"/>
        <w:ind w:firstLine="709"/>
        <w:jc w:val="both"/>
      </w:pPr>
      <w:r w:rsidRPr="00143121">
        <w:rPr>
          <w:b/>
        </w:rPr>
        <w:t>1</w:t>
      </w:r>
      <w:r w:rsidR="008558B4" w:rsidRPr="00143121">
        <w:rPr>
          <w:b/>
        </w:rPr>
        <w:t>5</w:t>
      </w:r>
      <w:r w:rsidRPr="00143121">
        <w:rPr>
          <w:b/>
        </w:rPr>
        <w:t>.</w:t>
      </w:r>
      <w:r w:rsidR="00290ED0" w:rsidRPr="00143121">
        <w:rPr>
          <w:b/>
        </w:rPr>
        <w:t>7</w:t>
      </w:r>
      <w:r w:rsidRPr="00143121">
        <w:rPr>
          <w:b/>
          <w:bCs/>
        </w:rPr>
        <w:t>.</w:t>
      </w:r>
      <w:r w:rsidRPr="00143121">
        <w:rPr>
          <w:bCs/>
        </w:rPr>
        <w:t xml:space="preserve"> </w:t>
      </w:r>
      <w:r w:rsidR="006158D5" w:rsidRPr="00143121">
        <w:rPr>
          <w:bCs/>
        </w:rPr>
        <w:t xml:space="preserve">Информация о </w:t>
      </w:r>
      <w:r w:rsidR="008100FD" w:rsidRPr="00143121">
        <w:t>межбюджетных трансферт</w:t>
      </w:r>
      <w:r w:rsidR="006158D5" w:rsidRPr="00143121">
        <w:t>ах</w:t>
      </w:r>
      <w:r w:rsidR="008A5F19" w:rsidRPr="00143121">
        <w:t>, предоставляемых</w:t>
      </w:r>
      <w:r w:rsidR="008100FD" w:rsidRPr="00143121">
        <w:t xml:space="preserve"> бюджетам субъе</w:t>
      </w:r>
      <w:r w:rsidR="00C46C70" w:rsidRPr="00143121">
        <w:t>ктов Российской Федерации в 202</w:t>
      </w:r>
      <w:r w:rsidR="00B43A6B">
        <w:t>5</w:t>
      </w:r>
      <w:r w:rsidR="00666AA0" w:rsidRPr="00143121">
        <w:t>–</w:t>
      </w:r>
      <w:r w:rsidR="008100FD" w:rsidRPr="00143121">
        <w:t>202</w:t>
      </w:r>
      <w:r w:rsidR="00143121">
        <w:t>8</w:t>
      </w:r>
      <w:r w:rsidR="00C46C70" w:rsidRPr="00143121">
        <w:t xml:space="preserve"> годах</w:t>
      </w:r>
      <w:r w:rsidR="008A5F19" w:rsidRPr="00143121">
        <w:t>,</w:t>
      </w:r>
      <w:r w:rsidR="00C46C70" w:rsidRPr="00143121">
        <w:t xml:space="preserve"> представлена в</w:t>
      </w:r>
      <w:r w:rsidR="008100FD" w:rsidRPr="00143121">
        <w:t xml:space="preserve"> следующей </w:t>
      </w:r>
      <w:r w:rsidR="00C46C70" w:rsidRPr="00143121">
        <w:t>таблице</w:t>
      </w:r>
      <w:r w:rsidR="008100FD" w:rsidRPr="00143121">
        <w:t>.</w:t>
      </w:r>
    </w:p>
    <w:p w:rsidR="0062337C" w:rsidRPr="00143121" w:rsidRDefault="0062337C" w:rsidP="0062337C">
      <w:pPr>
        <w:ind w:firstLine="709"/>
        <w:jc w:val="right"/>
        <w:rPr>
          <w:sz w:val="20"/>
        </w:rPr>
      </w:pPr>
      <w:r w:rsidRPr="00143121">
        <w:rPr>
          <w:sz w:val="20"/>
        </w:rPr>
        <w:t>(млн рублей)</w:t>
      </w:r>
    </w:p>
    <w:tbl>
      <w:tblPr>
        <w:tblW w:w="9654" w:type="dxa"/>
        <w:tblInd w:w="93" w:type="dxa"/>
        <w:tblLayout w:type="fixed"/>
        <w:tblLook w:val="04A0" w:firstRow="1" w:lastRow="0" w:firstColumn="1" w:lastColumn="0" w:noHBand="0" w:noVBand="1"/>
      </w:tblPr>
      <w:tblGrid>
        <w:gridCol w:w="3417"/>
        <w:gridCol w:w="1843"/>
        <w:gridCol w:w="1464"/>
        <w:gridCol w:w="1465"/>
        <w:gridCol w:w="1465"/>
      </w:tblGrid>
      <w:tr w:rsidR="00B43A6B" w:rsidRPr="00143121" w:rsidTr="00332D3A">
        <w:trPr>
          <w:trHeight w:val="454"/>
          <w:tblHeader/>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B43A6B" w:rsidRPr="00332D3A" w:rsidRDefault="00B43A6B" w:rsidP="00143121">
            <w:pPr>
              <w:ind w:left="-57" w:right="-57"/>
              <w:jc w:val="center"/>
              <w:rPr>
                <w:b/>
                <w:sz w:val="16"/>
                <w:szCs w:val="22"/>
              </w:rPr>
            </w:pPr>
            <w:r w:rsidRPr="00332D3A">
              <w:rPr>
                <w:b/>
                <w:sz w:val="16"/>
                <w:szCs w:val="14"/>
              </w:rPr>
              <w:t>Наименование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43A6B" w:rsidRPr="00332D3A" w:rsidRDefault="00B43A6B" w:rsidP="00143121">
            <w:pPr>
              <w:jc w:val="center"/>
              <w:rPr>
                <w:b/>
                <w:bCs/>
                <w:sz w:val="16"/>
                <w:szCs w:val="18"/>
              </w:rPr>
            </w:pPr>
            <w:r w:rsidRPr="00332D3A">
              <w:rPr>
                <w:b/>
                <w:bCs/>
                <w:sz w:val="16"/>
                <w:szCs w:val="18"/>
              </w:rPr>
              <w:t>2025 год</w:t>
            </w:r>
          </w:p>
          <w:p w:rsidR="00B43A6B" w:rsidRPr="00332D3A" w:rsidRDefault="00B43A6B" w:rsidP="00250D37">
            <w:pPr>
              <w:ind w:left="-57" w:right="-57"/>
              <w:jc w:val="center"/>
              <w:rPr>
                <w:sz w:val="16"/>
                <w:szCs w:val="18"/>
              </w:rPr>
            </w:pPr>
            <w:r w:rsidRPr="00332D3A">
              <w:rPr>
                <w:bCs/>
                <w:sz w:val="16"/>
                <w:szCs w:val="18"/>
              </w:rPr>
              <w:t>(сводная роспись на 01.09.2025)</w:t>
            </w:r>
          </w:p>
        </w:tc>
        <w:tc>
          <w:tcPr>
            <w:tcW w:w="1464" w:type="dxa"/>
            <w:tcBorders>
              <w:top w:val="single" w:sz="4" w:space="0" w:color="auto"/>
              <w:left w:val="single" w:sz="4" w:space="0" w:color="auto"/>
              <w:bottom w:val="single" w:sz="4" w:space="0" w:color="auto"/>
              <w:right w:val="single" w:sz="4" w:space="0" w:color="auto"/>
            </w:tcBorders>
            <w:shd w:val="clear" w:color="auto" w:fill="auto"/>
            <w:hideMark/>
          </w:tcPr>
          <w:p w:rsidR="00332D3A" w:rsidRDefault="00B43A6B" w:rsidP="00143121">
            <w:pPr>
              <w:jc w:val="center"/>
              <w:rPr>
                <w:sz w:val="16"/>
                <w:szCs w:val="18"/>
              </w:rPr>
            </w:pPr>
            <w:r w:rsidRPr="00332D3A">
              <w:rPr>
                <w:b/>
                <w:sz w:val="16"/>
                <w:szCs w:val="18"/>
              </w:rPr>
              <w:t>2026 год</w:t>
            </w:r>
            <w:r w:rsidRPr="00332D3A">
              <w:rPr>
                <w:sz w:val="16"/>
                <w:szCs w:val="18"/>
              </w:rPr>
              <w:t xml:space="preserve"> </w:t>
            </w:r>
          </w:p>
          <w:p w:rsidR="00B43A6B" w:rsidRPr="00332D3A" w:rsidRDefault="00B43A6B" w:rsidP="00143121">
            <w:pPr>
              <w:jc w:val="center"/>
              <w:rPr>
                <w:sz w:val="16"/>
                <w:szCs w:val="18"/>
              </w:rPr>
            </w:pPr>
            <w:r w:rsidRPr="00332D3A">
              <w:rPr>
                <w:sz w:val="16"/>
                <w:szCs w:val="18"/>
              </w:rPr>
              <w:t>(проект)</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332D3A" w:rsidRDefault="00B43A6B" w:rsidP="00332D3A">
            <w:pPr>
              <w:jc w:val="center"/>
              <w:rPr>
                <w:sz w:val="16"/>
                <w:szCs w:val="18"/>
              </w:rPr>
            </w:pPr>
            <w:r w:rsidRPr="00332D3A">
              <w:rPr>
                <w:b/>
                <w:sz w:val="16"/>
                <w:szCs w:val="18"/>
              </w:rPr>
              <w:t>2027 год</w:t>
            </w:r>
            <w:r w:rsidRPr="00332D3A">
              <w:rPr>
                <w:sz w:val="16"/>
                <w:szCs w:val="18"/>
              </w:rPr>
              <w:t xml:space="preserve"> </w:t>
            </w:r>
          </w:p>
          <w:p w:rsidR="00B43A6B" w:rsidRPr="00332D3A" w:rsidRDefault="00B43A6B" w:rsidP="00332D3A">
            <w:pPr>
              <w:jc w:val="center"/>
              <w:rPr>
                <w:sz w:val="16"/>
                <w:szCs w:val="18"/>
              </w:rPr>
            </w:pPr>
            <w:r w:rsidRPr="00332D3A">
              <w:rPr>
                <w:sz w:val="16"/>
                <w:szCs w:val="18"/>
              </w:rPr>
              <w:t>(проект)</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332D3A" w:rsidRDefault="00B43A6B" w:rsidP="00143121">
            <w:pPr>
              <w:jc w:val="center"/>
              <w:rPr>
                <w:sz w:val="16"/>
                <w:szCs w:val="18"/>
              </w:rPr>
            </w:pPr>
            <w:r w:rsidRPr="00332D3A">
              <w:rPr>
                <w:b/>
                <w:sz w:val="16"/>
                <w:szCs w:val="18"/>
              </w:rPr>
              <w:t>2028 год</w:t>
            </w:r>
            <w:r w:rsidRPr="00332D3A">
              <w:rPr>
                <w:sz w:val="16"/>
                <w:szCs w:val="18"/>
              </w:rPr>
              <w:t xml:space="preserve"> </w:t>
            </w:r>
          </w:p>
          <w:p w:rsidR="00B43A6B" w:rsidRPr="00332D3A" w:rsidRDefault="00B43A6B" w:rsidP="00143121">
            <w:pPr>
              <w:jc w:val="center"/>
              <w:rPr>
                <w:sz w:val="16"/>
                <w:szCs w:val="18"/>
              </w:rPr>
            </w:pPr>
            <w:r w:rsidRPr="00332D3A">
              <w:rPr>
                <w:sz w:val="16"/>
                <w:szCs w:val="18"/>
              </w:rPr>
              <w:t>(проект)</w:t>
            </w:r>
          </w:p>
        </w:tc>
      </w:tr>
      <w:tr w:rsidR="00B43A6B" w:rsidRPr="00143121" w:rsidTr="00C90A27">
        <w:trPr>
          <w:trHeight w:val="34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A6B" w:rsidRPr="00143121" w:rsidRDefault="00B43A6B" w:rsidP="00332D3A">
            <w:pPr>
              <w:ind w:right="-57"/>
              <w:rPr>
                <w:b/>
                <w:bCs/>
                <w:sz w:val="18"/>
              </w:rPr>
            </w:pPr>
            <w:r w:rsidRPr="00143121">
              <w:rPr>
                <w:b/>
                <w:bCs/>
                <w:sz w:val="18"/>
              </w:rPr>
              <w:t xml:space="preserve">Межбюджетные трансферты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bCs/>
                <w:sz w:val="16"/>
                <w:szCs w:val="16"/>
              </w:rPr>
            </w:pPr>
            <w:r w:rsidRPr="00F90EF7">
              <w:rPr>
                <w:b/>
                <w:sz w:val="16"/>
                <w:szCs w:val="16"/>
              </w:rPr>
              <w:t>3 807 493,8</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bCs/>
                <w:sz w:val="16"/>
                <w:szCs w:val="16"/>
              </w:rPr>
            </w:pPr>
            <w:r w:rsidRPr="00F90EF7">
              <w:rPr>
                <w:b/>
                <w:sz w:val="16"/>
                <w:szCs w:val="16"/>
              </w:rPr>
              <w:t>3 552 779,4</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bCs/>
                <w:sz w:val="16"/>
                <w:szCs w:val="16"/>
              </w:rPr>
            </w:pPr>
            <w:r w:rsidRPr="00F90EF7">
              <w:rPr>
                <w:b/>
                <w:sz w:val="16"/>
                <w:szCs w:val="16"/>
              </w:rPr>
              <w:t>3 758 092,9</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bCs/>
                <w:sz w:val="16"/>
                <w:szCs w:val="16"/>
              </w:rPr>
            </w:pPr>
            <w:r w:rsidRPr="00F90EF7">
              <w:rPr>
                <w:b/>
                <w:sz w:val="16"/>
                <w:szCs w:val="16"/>
              </w:rPr>
              <w:t>4 037 622,3</w:t>
            </w:r>
          </w:p>
        </w:tc>
      </w:tr>
      <w:tr w:rsidR="00B43A6B" w:rsidRPr="00143121" w:rsidTr="00C90A27">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B43A6B">
            <w:pPr>
              <w:ind w:right="-57" w:firstLine="187"/>
              <w:jc w:val="both"/>
              <w:rPr>
                <w:iCs/>
                <w:sz w:val="16"/>
                <w:szCs w:val="16"/>
              </w:rPr>
            </w:pPr>
            <w:r w:rsidRPr="00143121">
              <w:rPr>
                <w:iCs/>
                <w:sz w:val="16"/>
                <w:szCs w:val="16"/>
              </w:rPr>
              <w:t>отклонение от предыдущего года</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154 394,0</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-254 714,4</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205 313,4</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279 529,5</w:t>
            </w:r>
          </w:p>
        </w:tc>
      </w:tr>
      <w:tr w:rsidR="00B43A6B" w:rsidRPr="00143121" w:rsidTr="00C90A27">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B43A6B">
            <w:pPr>
              <w:ind w:right="-57" w:firstLine="187"/>
              <w:jc w:val="both"/>
              <w:rPr>
                <w:sz w:val="16"/>
                <w:szCs w:val="16"/>
              </w:rPr>
            </w:pPr>
            <w:r w:rsidRPr="00143121">
              <w:rPr>
                <w:iCs/>
                <w:sz w:val="16"/>
                <w:szCs w:val="16"/>
              </w:rPr>
              <w:t>в % к предыдущему году</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104,2</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93,3</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105,8</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Cs/>
                <w:sz w:val="16"/>
                <w:szCs w:val="16"/>
              </w:rPr>
            </w:pPr>
            <w:r w:rsidRPr="00F90EF7">
              <w:rPr>
                <w:sz w:val="16"/>
                <w:szCs w:val="16"/>
              </w:rPr>
              <w:t>107,4</w:t>
            </w:r>
          </w:p>
        </w:tc>
      </w:tr>
      <w:tr w:rsidR="00B43A6B" w:rsidRPr="00143121" w:rsidTr="00332D3A">
        <w:trPr>
          <w:trHeight w:val="11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F90EF7">
            <w:pPr>
              <w:ind w:right="-57"/>
              <w:jc w:val="both"/>
              <w:rPr>
                <w:sz w:val="12"/>
                <w:szCs w:val="16"/>
              </w:rPr>
            </w:pPr>
            <w:r w:rsidRPr="00143121">
              <w:rPr>
                <w:sz w:val="12"/>
                <w:szCs w:val="16"/>
              </w:rPr>
              <w:t>в том числе:</w:t>
            </w:r>
          </w:p>
        </w:tc>
        <w:tc>
          <w:tcPr>
            <w:tcW w:w="1843" w:type="dxa"/>
            <w:tcBorders>
              <w:top w:val="nil"/>
              <w:left w:val="nil"/>
              <w:bottom w:val="single" w:sz="4" w:space="0" w:color="auto"/>
              <w:right w:val="single" w:sz="4" w:space="0" w:color="auto"/>
            </w:tcBorders>
            <w:shd w:val="clear" w:color="auto" w:fill="auto"/>
            <w:noWrap/>
            <w:vAlign w:val="center"/>
          </w:tcPr>
          <w:p w:rsidR="00B43A6B" w:rsidRPr="00332D3A" w:rsidRDefault="00B43A6B" w:rsidP="00F90EF7">
            <w:pPr>
              <w:jc w:val="center"/>
              <w:rPr>
                <w:sz w:val="12"/>
                <w:szCs w:val="16"/>
              </w:rPr>
            </w:pPr>
          </w:p>
        </w:tc>
        <w:tc>
          <w:tcPr>
            <w:tcW w:w="1464" w:type="dxa"/>
            <w:tcBorders>
              <w:top w:val="nil"/>
              <w:left w:val="nil"/>
              <w:bottom w:val="single" w:sz="4" w:space="0" w:color="auto"/>
              <w:right w:val="single" w:sz="4" w:space="0" w:color="auto"/>
            </w:tcBorders>
            <w:shd w:val="clear" w:color="auto" w:fill="auto"/>
            <w:noWrap/>
            <w:vAlign w:val="center"/>
          </w:tcPr>
          <w:p w:rsidR="00B43A6B" w:rsidRPr="00332D3A" w:rsidRDefault="00B43A6B" w:rsidP="00F90EF7">
            <w:pPr>
              <w:jc w:val="center"/>
              <w:rPr>
                <w:sz w:val="12"/>
                <w:szCs w:val="16"/>
              </w:rPr>
            </w:pPr>
          </w:p>
        </w:tc>
        <w:tc>
          <w:tcPr>
            <w:tcW w:w="1465" w:type="dxa"/>
            <w:tcBorders>
              <w:top w:val="nil"/>
              <w:left w:val="nil"/>
              <w:bottom w:val="single" w:sz="4" w:space="0" w:color="auto"/>
              <w:right w:val="single" w:sz="4" w:space="0" w:color="auto"/>
            </w:tcBorders>
            <w:shd w:val="clear" w:color="auto" w:fill="auto"/>
            <w:noWrap/>
            <w:vAlign w:val="center"/>
          </w:tcPr>
          <w:p w:rsidR="00B43A6B" w:rsidRPr="00332D3A" w:rsidRDefault="00B43A6B" w:rsidP="00F90EF7">
            <w:pPr>
              <w:jc w:val="center"/>
              <w:rPr>
                <w:sz w:val="12"/>
                <w:szCs w:val="16"/>
              </w:rPr>
            </w:pPr>
          </w:p>
        </w:tc>
        <w:tc>
          <w:tcPr>
            <w:tcW w:w="1465" w:type="dxa"/>
            <w:tcBorders>
              <w:top w:val="nil"/>
              <w:left w:val="nil"/>
              <w:bottom w:val="single" w:sz="4" w:space="0" w:color="auto"/>
              <w:right w:val="single" w:sz="4" w:space="0" w:color="auto"/>
            </w:tcBorders>
            <w:shd w:val="clear" w:color="auto" w:fill="auto"/>
            <w:noWrap/>
            <w:vAlign w:val="center"/>
          </w:tcPr>
          <w:p w:rsidR="00B43A6B" w:rsidRPr="00332D3A" w:rsidRDefault="00B43A6B" w:rsidP="00F90EF7">
            <w:pPr>
              <w:jc w:val="center"/>
              <w:rPr>
                <w:sz w:val="12"/>
                <w:szCs w:val="16"/>
              </w:rPr>
            </w:pPr>
          </w:p>
        </w:tc>
      </w:tr>
      <w:tr w:rsidR="00B43A6B" w:rsidRPr="00143121" w:rsidTr="00C90A27">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A6B" w:rsidRPr="00143121" w:rsidRDefault="00B43A6B" w:rsidP="00F90EF7">
            <w:pPr>
              <w:jc w:val="both"/>
              <w:rPr>
                <w:b/>
                <w:sz w:val="16"/>
                <w:szCs w:val="16"/>
              </w:rPr>
            </w:pPr>
            <w:r w:rsidRPr="00143121">
              <w:rPr>
                <w:b/>
                <w:sz w:val="18"/>
                <w:szCs w:val="16"/>
              </w:rPr>
              <w:lastRenderedPageBreak/>
              <w:t>Дотации</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1 305 501,4</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1 373 719,3</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1 338 347,9</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1 344 877,3</w:t>
            </w:r>
          </w:p>
        </w:tc>
      </w:tr>
      <w:tr w:rsidR="00B43A6B" w:rsidRPr="00143121" w:rsidTr="00332D3A">
        <w:trPr>
          <w:trHeight w:val="17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F90EF7">
            <w:pPr>
              <w:ind w:left="113"/>
              <w:jc w:val="both"/>
              <w:rPr>
                <w:sz w:val="16"/>
                <w:szCs w:val="16"/>
              </w:rPr>
            </w:pPr>
            <w:r w:rsidRPr="00143121">
              <w:rPr>
                <w:iCs/>
                <w:sz w:val="16"/>
                <w:szCs w:val="16"/>
              </w:rPr>
              <w:t>в % к предыдущему году</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97,3</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105,2</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97,4</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100,5</w:t>
            </w:r>
          </w:p>
        </w:tc>
      </w:tr>
      <w:tr w:rsidR="00B43A6B" w:rsidRPr="00143121" w:rsidTr="00332D3A">
        <w:trPr>
          <w:trHeight w:val="22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A6B" w:rsidRPr="00143121" w:rsidRDefault="00B43A6B" w:rsidP="00F90EF7">
            <w:pPr>
              <w:jc w:val="both"/>
              <w:rPr>
                <w:b/>
                <w:sz w:val="18"/>
                <w:szCs w:val="16"/>
              </w:rPr>
            </w:pPr>
            <w:r w:rsidRPr="00143121">
              <w:rPr>
                <w:b/>
                <w:sz w:val="18"/>
                <w:szCs w:val="16"/>
              </w:rPr>
              <w:t xml:space="preserve">Субсидии </w:t>
            </w:r>
          </w:p>
        </w:tc>
        <w:tc>
          <w:tcPr>
            <w:tcW w:w="1843" w:type="dxa"/>
            <w:tcBorders>
              <w:top w:val="nil"/>
              <w:left w:val="nil"/>
              <w:bottom w:val="single" w:sz="4" w:space="0" w:color="auto"/>
              <w:right w:val="single" w:sz="4" w:space="0" w:color="auto"/>
            </w:tcBorders>
            <w:shd w:val="clear" w:color="auto" w:fill="auto"/>
            <w:noWrap/>
            <w:vAlign w:val="center"/>
          </w:tcPr>
          <w:p w:rsidR="00B43A6B" w:rsidRPr="004659AE" w:rsidRDefault="00B43A6B" w:rsidP="00F90EF7">
            <w:pPr>
              <w:jc w:val="center"/>
              <w:rPr>
                <w:b/>
                <w:sz w:val="16"/>
                <w:szCs w:val="16"/>
              </w:rPr>
            </w:pPr>
            <w:r w:rsidRPr="004659AE">
              <w:rPr>
                <w:b/>
                <w:sz w:val="16"/>
                <w:szCs w:val="16"/>
              </w:rPr>
              <w:t>1 859 882,0</w:t>
            </w:r>
          </w:p>
        </w:tc>
        <w:tc>
          <w:tcPr>
            <w:tcW w:w="1464" w:type="dxa"/>
            <w:tcBorders>
              <w:top w:val="nil"/>
              <w:left w:val="nil"/>
              <w:bottom w:val="single" w:sz="4" w:space="0" w:color="auto"/>
              <w:right w:val="single" w:sz="4" w:space="0" w:color="auto"/>
            </w:tcBorders>
            <w:shd w:val="clear" w:color="auto" w:fill="auto"/>
            <w:noWrap/>
            <w:vAlign w:val="center"/>
          </w:tcPr>
          <w:p w:rsidR="00B43A6B" w:rsidRPr="004659AE" w:rsidRDefault="00B43A6B" w:rsidP="00F90EF7">
            <w:pPr>
              <w:jc w:val="center"/>
              <w:rPr>
                <w:b/>
                <w:sz w:val="16"/>
                <w:szCs w:val="16"/>
              </w:rPr>
            </w:pPr>
            <w:r w:rsidRPr="004659AE">
              <w:rPr>
                <w:b/>
                <w:sz w:val="16"/>
                <w:szCs w:val="16"/>
              </w:rPr>
              <w:t>1 618 999,2</w:t>
            </w:r>
          </w:p>
        </w:tc>
        <w:tc>
          <w:tcPr>
            <w:tcW w:w="1465" w:type="dxa"/>
            <w:tcBorders>
              <w:top w:val="nil"/>
              <w:left w:val="nil"/>
              <w:bottom w:val="single" w:sz="4" w:space="0" w:color="auto"/>
              <w:right w:val="single" w:sz="4" w:space="0" w:color="auto"/>
            </w:tcBorders>
            <w:shd w:val="clear" w:color="auto" w:fill="auto"/>
            <w:noWrap/>
            <w:vAlign w:val="center"/>
          </w:tcPr>
          <w:p w:rsidR="00B43A6B" w:rsidRPr="004659AE" w:rsidRDefault="00B43A6B" w:rsidP="00F90EF7">
            <w:pPr>
              <w:jc w:val="center"/>
              <w:rPr>
                <w:b/>
                <w:sz w:val="16"/>
                <w:szCs w:val="16"/>
              </w:rPr>
            </w:pPr>
            <w:r w:rsidRPr="004659AE">
              <w:rPr>
                <w:b/>
                <w:sz w:val="16"/>
                <w:szCs w:val="16"/>
              </w:rPr>
              <w:t>1 837 650,3</w:t>
            </w:r>
          </w:p>
        </w:tc>
        <w:tc>
          <w:tcPr>
            <w:tcW w:w="1465" w:type="dxa"/>
            <w:tcBorders>
              <w:top w:val="nil"/>
              <w:left w:val="nil"/>
              <w:bottom w:val="single" w:sz="4" w:space="0" w:color="auto"/>
              <w:right w:val="single" w:sz="4" w:space="0" w:color="auto"/>
            </w:tcBorders>
            <w:shd w:val="clear" w:color="auto" w:fill="auto"/>
            <w:noWrap/>
            <w:vAlign w:val="center"/>
          </w:tcPr>
          <w:p w:rsidR="00B43A6B" w:rsidRPr="004659AE" w:rsidRDefault="00B43A6B" w:rsidP="00F90EF7">
            <w:pPr>
              <w:jc w:val="center"/>
              <w:rPr>
                <w:b/>
                <w:sz w:val="16"/>
                <w:szCs w:val="16"/>
              </w:rPr>
            </w:pPr>
            <w:r w:rsidRPr="004659AE">
              <w:rPr>
                <w:b/>
                <w:sz w:val="16"/>
                <w:szCs w:val="16"/>
              </w:rPr>
              <w:t>2 106 170,9</w:t>
            </w:r>
          </w:p>
        </w:tc>
      </w:tr>
      <w:tr w:rsidR="00B43A6B" w:rsidRPr="00143121" w:rsidTr="00332D3A">
        <w:trPr>
          <w:trHeight w:val="22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F90EF7">
            <w:pPr>
              <w:ind w:left="113"/>
              <w:jc w:val="both"/>
              <w:rPr>
                <w:iCs/>
                <w:sz w:val="16"/>
                <w:szCs w:val="16"/>
              </w:rPr>
            </w:pPr>
            <w:r w:rsidRPr="00143121">
              <w:rPr>
                <w:iCs/>
                <w:sz w:val="16"/>
                <w:szCs w:val="16"/>
              </w:rPr>
              <w:t>в % к предыдущему году</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106,2</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87,0</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113,5</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114,6</w:t>
            </w:r>
          </w:p>
        </w:tc>
      </w:tr>
      <w:tr w:rsidR="00B43A6B" w:rsidRPr="00143121" w:rsidTr="00332D3A">
        <w:trPr>
          <w:trHeight w:val="22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A6B" w:rsidRPr="00143121" w:rsidRDefault="00B43A6B" w:rsidP="00F90EF7">
            <w:pPr>
              <w:jc w:val="both"/>
              <w:rPr>
                <w:b/>
                <w:sz w:val="18"/>
                <w:szCs w:val="16"/>
              </w:rPr>
            </w:pPr>
            <w:r w:rsidRPr="00143121">
              <w:rPr>
                <w:b/>
                <w:sz w:val="18"/>
                <w:szCs w:val="16"/>
              </w:rPr>
              <w:t>Субвенции</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339 814,0</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389 981,1</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406 140,1</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423 869,9</w:t>
            </w:r>
          </w:p>
        </w:tc>
      </w:tr>
      <w:tr w:rsidR="00B43A6B" w:rsidRPr="00143121" w:rsidTr="00332D3A">
        <w:trPr>
          <w:trHeight w:val="22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F90EF7">
            <w:pPr>
              <w:ind w:left="113"/>
              <w:jc w:val="both"/>
              <w:rPr>
                <w:iCs/>
                <w:sz w:val="16"/>
                <w:szCs w:val="16"/>
              </w:rPr>
            </w:pPr>
            <w:r w:rsidRPr="00143121">
              <w:rPr>
                <w:iCs/>
                <w:sz w:val="16"/>
                <w:szCs w:val="16"/>
              </w:rPr>
              <w:t>в % к предыдущему году</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113,0</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114,8</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104,1</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104,4</w:t>
            </w:r>
          </w:p>
        </w:tc>
      </w:tr>
      <w:tr w:rsidR="00B43A6B" w:rsidRPr="00143121" w:rsidTr="00332D3A">
        <w:trPr>
          <w:trHeight w:val="22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A6B" w:rsidRPr="00143121" w:rsidRDefault="00B43A6B" w:rsidP="00F90EF7">
            <w:pPr>
              <w:ind w:right="-57"/>
              <w:rPr>
                <w:b/>
                <w:iCs/>
                <w:sz w:val="18"/>
                <w:szCs w:val="16"/>
              </w:rPr>
            </w:pPr>
            <w:r w:rsidRPr="00143121">
              <w:rPr>
                <w:b/>
                <w:iCs/>
                <w:sz w:val="18"/>
                <w:szCs w:val="16"/>
              </w:rPr>
              <w:t>Иные межбюджетные трансферты</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302 296,5</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170 079,9</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175 954,6</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b/>
                <w:sz w:val="16"/>
                <w:szCs w:val="16"/>
              </w:rPr>
            </w:pPr>
            <w:r w:rsidRPr="00F90EF7">
              <w:rPr>
                <w:b/>
                <w:sz w:val="16"/>
                <w:szCs w:val="16"/>
              </w:rPr>
              <w:t>162 704,3</w:t>
            </w:r>
          </w:p>
        </w:tc>
      </w:tr>
      <w:tr w:rsidR="00B43A6B" w:rsidRPr="00143121" w:rsidTr="00332D3A">
        <w:trPr>
          <w:trHeight w:val="22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B43A6B" w:rsidRPr="00143121" w:rsidRDefault="00B43A6B" w:rsidP="00F90EF7">
            <w:pPr>
              <w:ind w:left="113"/>
              <w:jc w:val="both"/>
              <w:rPr>
                <w:iCs/>
                <w:sz w:val="16"/>
                <w:szCs w:val="16"/>
              </w:rPr>
            </w:pPr>
            <w:r w:rsidRPr="00143121">
              <w:rPr>
                <w:iCs/>
                <w:sz w:val="16"/>
                <w:szCs w:val="16"/>
              </w:rPr>
              <w:t>в % к предыдущему году</w:t>
            </w:r>
          </w:p>
        </w:tc>
        <w:tc>
          <w:tcPr>
            <w:tcW w:w="1843"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116,8</w:t>
            </w:r>
          </w:p>
        </w:tc>
        <w:tc>
          <w:tcPr>
            <w:tcW w:w="1464"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56,3</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103,5</w:t>
            </w:r>
          </w:p>
        </w:tc>
        <w:tc>
          <w:tcPr>
            <w:tcW w:w="1465" w:type="dxa"/>
            <w:tcBorders>
              <w:top w:val="nil"/>
              <w:left w:val="nil"/>
              <w:bottom w:val="single" w:sz="4" w:space="0" w:color="auto"/>
              <w:right w:val="single" w:sz="4" w:space="0" w:color="auto"/>
            </w:tcBorders>
            <w:shd w:val="clear" w:color="auto" w:fill="auto"/>
            <w:noWrap/>
            <w:vAlign w:val="center"/>
          </w:tcPr>
          <w:p w:rsidR="00B43A6B" w:rsidRPr="00F90EF7" w:rsidRDefault="00B43A6B" w:rsidP="00F90EF7">
            <w:pPr>
              <w:jc w:val="center"/>
              <w:rPr>
                <w:sz w:val="16"/>
                <w:szCs w:val="16"/>
              </w:rPr>
            </w:pPr>
            <w:r w:rsidRPr="00F90EF7">
              <w:rPr>
                <w:sz w:val="16"/>
                <w:szCs w:val="16"/>
              </w:rPr>
              <w:t>92,5</w:t>
            </w:r>
          </w:p>
        </w:tc>
      </w:tr>
    </w:tbl>
    <w:p w:rsidR="006933A3" w:rsidRPr="002F5553" w:rsidRDefault="008B4E27" w:rsidP="00CC0C92">
      <w:pPr>
        <w:spacing w:before="120" w:line="360" w:lineRule="auto"/>
        <w:ind w:firstLine="709"/>
        <w:jc w:val="both"/>
      </w:pPr>
      <w:r w:rsidRPr="002F5553">
        <w:t>В целом к 202</w:t>
      </w:r>
      <w:r w:rsidR="00143121" w:rsidRPr="002F5553">
        <w:t>8</w:t>
      </w:r>
      <w:r w:rsidR="00A4449E" w:rsidRPr="002F5553">
        <w:t xml:space="preserve"> году по сравнению с 202</w:t>
      </w:r>
      <w:r w:rsidR="00143121" w:rsidRPr="002F5553">
        <w:t>5</w:t>
      </w:r>
      <w:r w:rsidR="006933A3" w:rsidRPr="002F5553">
        <w:t xml:space="preserve"> годом </w:t>
      </w:r>
      <w:r w:rsidR="00DA2521" w:rsidRPr="002F5553">
        <w:t>увеличение</w:t>
      </w:r>
      <w:r w:rsidR="00AD4FC1" w:rsidRPr="002F5553">
        <w:t xml:space="preserve"> </w:t>
      </w:r>
      <w:r w:rsidR="006933A3" w:rsidRPr="002F5553">
        <w:t xml:space="preserve">межбюджетных трансфертов </w:t>
      </w:r>
      <w:r w:rsidR="002111CF" w:rsidRPr="002F5553">
        <w:t xml:space="preserve">субъектам Российской Федерации </w:t>
      </w:r>
      <w:r w:rsidR="006933A3" w:rsidRPr="002F5553">
        <w:t>запланировано</w:t>
      </w:r>
      <w:r w:rsidR="002111CF" w:rsidRPr="002F5553">
        <w:t xml:space="preserve"> на </w:t>
      </w:r>
      <w:r w:rsidR="001F4543" w:rsidRPr="002F5553">
        <w:t>2</w:t>
      </w:r>
      <w:r w:rsidR="00DA2521" w:rsidRPr="002F5553">
        <w:t>30</w:t>
      </w:r>
      <w:r w:rsidR="001F4543" w:rsidRPr="002F5553">
        <w:t> </w:t>
      </w:r>
      <w:r w:rsidR="00DA2521" w:rsidRPr="002F5553">
        <w:t>128</w:t>
      </w:r>
      <w:r w:rsidR="001F4543" w:rsidRPr="002F5553">
        <w:t>,</w:t>
      </w:r>
      <w:r w:rsidR="00DA2521" w:rsidRPr="002F5553">
        <w:t>5</w:t>
      </w:r>
      <w:r w:rsidR="002111CF" w:rsidRPr="002F5553">
        <w:t xml:space="preserve"> </w:t>
      </w:r>
      <w:r w:rsidR="00D412B2" w:rsidRPr="002F5553">
        <w:t>млн</w:t>
      </w:r>
      <w:r w:rsidR="002111CF" w:rsidRPr="002F5553">
        <w:t xml:space="preserve"> рублей, или</w:t>
      </w:r>
      <w:r w:rsidR="006933A3" w:rsidRPr="002F5553">
        <w:t xml:space="preserve"> на </w:t>
      </w:r>
      <w:r w:rsidR="00DA2521" w:rsidRPr="002F5553">
        <w:t>6 </w:t>
      </w:r>
      <w:r w:rsidR="006933A3" w:rsidRPr="002F5553">
        <w:t xml:space="preserve">%, в том числе </w:t>
      </w:r>
      <w:r w:rsidRPr="002F5553">
        <w:t>дотаций –</w:t>
      </w:r>
      <w:r w:rsidR="004940D5" w:rsidRPr="002F5553">
        <w:t xml:space="preserve"> </w:t>
      </w:r>
      <w:r w:rsidR="002111CF" w:rsidRPr="002F5553">
        <w:t xml:space="preserve">на </w:t>
      </w:r>
      <w:r w:rsidR="00DA2521" w:rsidRPr="002F5553">
        <w:t>39 375,9</w:t>
      </w:r>
      <w:r w:rsidR="002111CF" w:rsidRPr="002F5553">
        <w:t xml:space="preserve"> </w:t>
      </w:r>
      <w:r w:rsidR="00D412B2" w:rsidRPr="002F5553">
        <w:t>млн</w:t>
      </w:r>
      <w:r w:rsidR="002111CF" w:rsidRPr="002F5553">
        <w:t xml:space="preserve"> рублей (</w:t>
      </w:r>
      <w:r w:rsidRPr="002F5553">
        <w:t xml:space="preserve">на </w:t>
      </w:r>
      <w:r w:rsidR="00DA2521" w:rsidRPr="002F5553">
        <w:t>3</w:t>
      </w:r>
      <w:r w:rsidRPr="002F5553">
        <w:t> %</w:t>
      </w:r>
      <w:r w:rsidR="002111CF" w:rsidRPr="002F5553">
        <w:t>)</w:t>
      </w:r>
      <w:r w:rsidRPr="002F5553">
        <w:t xml:space="preserve">, </w:t>
      </w:r>
      <w:r w:rsidR="006933A3" w:rsidRPr="002F5553">
        <w:t xml:space="preserve">субсидий – </w:t>
      </w:r>
      <w:r w:rsidR="002F5553" w:rsidRPr="002F5553">
        <w:t xml:space="preserve">на </w:t>
      </w:r>
      <w:r w:rsidR="00DA2521" w:rsidRPr="002F5553">
        <w:t>246 288,9</w:t>
      </w:r>
      <w:r w:rsidR="007D234C" w:rsidRPr="002F5553">
        <w:t> </w:t>
      </w:r>
      <w:r w:rsidR="00D412B2" w:rsidRPr="002F5553">
        <w:t>млн</w:t>
      </w:r>
      <w:r w:rsidR="002111CF" w:rsidRPr="002F5553">
        <w:t xml:space="preserve"> рублей (</w:t>
      </w:r>
      <w:r w:rsidR="006933A3" w:rsidRPr="002F5553">
        <w:t xml:space="preserve">на </w:t>
      </w:r>
      <w:r w:rsidR="00F929DE" w:rsidRPr="002F5553">
        <w:t>1</w:t>
      </w:r>
      <w:r w:rsidR="00DA2521" w:rsidRPr="002F5553">
        <w:t>3</w:t>
      </w:r>
      <w:r w:rsidR="006933A3" w:rsidRPr="002F5553">
        <w:t>,</w:t>
      </w:r>
      <w:r w:rsidR="001F4543" w:rsidRPr="002F5553">
        <w:t>2</w:t>
      </w:r>
      <w:r w:rsidR="006933A3" w:rsidRPr="002F5553">
        <w:t> </w:t>
      </w:r>
      <w:r w:rsidR="00FF4EC8" w:rsidRPr="002F5553">
        <w:t>%</w:t>
      </w:r>
      <w:r w:rsidR="002111CF" w:rsidRPr="002F5553">
        <w:t>)</w:t>
      </w:r>
      <w:r w:rsidR="00FF4EC8" w:rsidRPr="002F5553">
        <w:t xml:space="preserve">, </w:t>
      </w:r>
      <w:r w:rsidR="00DA2521" w:rsidRPr="002F5553">
        <w:t>субвенции</w:t>
      </w:r>
      <w:r w:rsidR="006933A3" w:rsidRPr="002F5553">
        <w:t xml:space="preserve"> – </w:t>
      </w:r>
      <w:r w:rsidR="00AD4FC1" w:rsidRPr="002F5553">
        <w:t>на</w:t>
      </w:r>
      <w:r w:rsidR="002F5553" w:rsidRPr="002F5553">
        <w:t xml:space="preserve"> 84 05</w:t>
      </w:r>
      <w:r w:rsidR="00781653">
        <w:t>5</w:t>
      </w:r>
      <w:r w:rsidR="002F5553" w:rsidRPr="002F5553">
        <w:t>,</w:t>
      </w:r>
      <w:r w:rsidR="00781653">
        <w:t xml:space="preserve">9 </w:t>
      </w:r>
      <w:r w:rsidR="00D412B2" w:rsidRPr="002F5553">
        <w:t>млн</w:t>
      </w:r>
      <w:r w:rsidR="00781653">
        <w:t xml:space="preserve"> </w:t>
      </w:r>
      <w:r w:rsidR="002111CF" w:rsidRPr="002F5553">
        <w:t>рублей (</w:t>
      </w:r>
      <w:r w:rsidR="00140FA9" w:rsidRPr="002F5553">
        <w:t xml:space="preserve">на </w:t>
      </w:r>
      <w:r w:rsidR="00F929DE" w:rsidRPr="002F5553">
        <w:t>2</w:t>
      </w:r>
      <w:r w:rsidR="002F5553" w:rsidRPr="002F5553">
        <w:t>4</w:t>
      </w:r>
      <w:r w:rsidRPr="002F5553">
        <w:t>,</w:t>
      </w:r>
      <w:r w:rsidR="002F5553" w:rsidRPr="002F5553">
        <w:t>7</w:t>
      </w:r>
      <w:r w:rsidR="00140FA9" w:rsidRPr="002F5553">
        <w:t> %</w:t>
      </w:r>
      <w:r w:rsidR="002111CF" w:rsidRPr="002F5553">
        <w:t>)</w:t>
      </w:r>
      <w:r w:rsidR="006933A3" w:rsidRPr="002F5553">
        <w:t xml:space="preserve">. Объем </w:t>
      </w:r>
      <w:r w:rsidR="00DA2521" w:rsidRPr="002F5553">
        <w:t xml:space="preserve">иных межбюджетных трансфертов </w:t>
      </w:r>
      <w:r w:rsidR="00C12EF1">
        <w:t>уменьшается</w:t>
      </w:r>
      <w:r w:rsidR="006933A3" w:rsidRPr="002F5553">
        <w:t xml:space="preserve"> </w:t>
      </w:r>
      <w:r w:rsidR="007D234C" w:rsidRPr="002F5553">
        <w:t>на</w:t>
      </w:r>
      <w:r w:rsidR="002F5553">
        <w:t xml:space="preserve"> </w:t>
      </w:r>
      <w:r w:rsidR="002F5553" w:rsidRPr="002F5553">
        <w:t>139 592,2</w:t>
      </w:r>
      <w:r w:rsidR="002111CF" w:rsidRPr="002F5553">
        <w:t xml:space="preserve"> </w:t>
      </w:r>
      <w:r w:rsidR="00D412B2" w:rsidRPr="002F5553">
        <w:t>млн</w:t>
      </w:r>
      <w:r w:rsidR="002111CF" w:rsidRPr="002F5553">
        <w:t xml:space="preserve"> рублей (</w:t>
      </w:r>
      <w:r w:rsidR="002F5553">
        <w:t>на </w:t>
      </w:r>
      <w:r w:rsidR="002F5553" w:rsidRPr="002F5553">
        <w:t>46</w:t>
      </w:r>
      <w:r w:rsidR="006933A3" w:rsidRPr="002F5553">
        <w:t>,</w:t>
      </w:r>
      <w:r w:rsidR="001F4543" w:rsidRPr="002F5553">
        <w:t>2</w:t>
      </w:r>
      <w:r w:rsidR="006933A3" w:rsidRPr="002F5553">
        <w:t> %</w:t>
      </w:r>
      <w:r w:rsidR="002111CF" w:rsidRPr="002F5553">
        <w:t>)</w:t>
      </w:r>
      <w:r w:rsidR="006933A3" w:rsidRPr="002F5553">
        <w:t>.</w:t>
      </w:r>
    </w:p>
    <w:p w:rsidR="002F5553" w:rsidRPr="002F5553" w:rsidRDefault="002F5553" w:rsidP="00CC0C92">
      <w:pPr>
        <w:spacing w:line="360" w:lineRule="auto"/>
        <w:ind w:firstLine="709"/>
        <w:jc w:val="both"/>
        <w:rPr>
          <w:bCs/>
        </w:rPr>
      </w:pPr>
      <w:r w:rsidRPr="00F27E94">
        <w:rPr>
          <w:bCs/>
        </w:rPr>
        <w:t xml:space="preserve">В общем объеме расходов федерального бюджета доля межбюджетных трансфертов </w:t>
      </w:r>
      <w:r w:rsidR="00156473">
        <w:rPr>
          <w:bCs/>
        </w:rPr>
        <w:t xml:space="preserve">бюджетам субъектов Российской Федерации </w:t>
      </w:r>
      <w:r w:rsidRPr="002F5553">
        <w:rPr>
          <w:bCs/>
        </w:rPr>
        <w:t xml:space="preserve">в 2026 году </w:t>
      </w:r>
      <w:r w:rsidR="00CC0C92">
        <w:rPr>
          <w:bCs/>
        </w:rPr>
        <w:t>составила</w:t>
      </w:r>
      <w:r w:rsidR="00CC0C92" w:rsidRPr="002F5553">
        <w:rPr>
          <w:bCs/>
        </w:rPr>
        <w:t xml:space="preserve"> </w:t>
      </w:r>
      <w:r w:rsidR="00CC0C92">
        <w:rPr>
          <w:bCs/>
        </w:rPr>
        <w:t>8,1</w:t>
      </w:r>
      <w:r w:rsidR="00156473">
        <w:rPr>
          <w:bCs/>
        </w:rPr>
        <w:t> </w:t>
      </w:r>
      <w:r w:rsidR="00CC0C92" w:rsidRPr="002F5553">
        <w:rPr>
          <w:bCs/>
        </w:rPr>
        <w:t>%</w:t>
      </w:r>
      <w:r w:rsidR="00CC0C92">
        <w:rPr>
          <w:bCs/>
        </w:rPr>
        <w:t xml:space="preserve">, </w:t>
      </w:r>
      <w:r w:rsidRPr="002F5553">
        <w:rPr>
          <w:bCs/>
        </w:rPr>
        <w:t>в 2027</w:t>
      </w:r>
      <w:r w:rsidR="00332D3A">
        <w:rPr>
          <w:bCs/>
        </w:rPr>
        <w:t xml:space="preserve"> и 2028 </w:t>
      </w:r>
      <w:r w:rsidRPr="002F5553">
        <w:rPr>
          <w:bCs/>
        </w:rPr>
        <w:t>год</w:t>
      </w:r>
      <w:r w:rsidR="001440C2">
        <w:rPr>
          <w:bCs/>
        </w:rPr>
        <w:t>ах</w:t>
      </w:r>
      <w:r w:rsidR="00CC0C92" w:rsidRPr="00CC0C92">
        <w:rPr>
          <w:bCs/>
        </w:rPr>
        <w:t xml:space="preserve"> </w:t>
      </w:r>
      <w:r w:rsidR="00CC0C92" w:rsidRPr="002F5553">
        <w:t>–</w:t>
      </w:r>
      <w:r w:rsidR="00CC0C92" w:rsidRPr="002F5553">
        <w:rPr>
          <w:bCs/>
        </w:rPr>
        <w:t xml:space="preserve"> 8</w:t>
      </w:r>
      <w:r w:rsidR="00CC0C92">
        <w:rPr>
          <w:bCs/>
        </w:rPr>
        <w:t>,2</w:t>
      </w:r>
      <w:r w:rsidR="00CC0C92" w:rsidRPr="002F5553">
        <w:rPr>
          <w:bCs/>
        </w:rPr>
        <w:t> %</w:t>
      </w:r>
      <w:r w:rsidR="00CC0C92">
        <w:rPr>
          <w:bCs/>
        </w:rPr>
        <w:t xml:space="preserve"> соответственно.</w:t>
      </w:r>
    </w:p>
    <w:p w:rsidR="00522BBB" w:rsidRDefault="00014F19" w:rsidP="00522BBB">
      <w:pPr>
        <w:spacing w:line="360" w:lineRule="auto"/>
        <w:ind w:firstLine="709"/>
        <w:jc w:val="both"/>
        <w:rPr>
          <w:bCs/>
        </w:rPr>
      </w:pPr>
      <w:r w:rsidRPr="00014F19">
        <w:rPr>
          <w:b/>
          <w:bCs/>
        </w:rPr>
        <w:t>15.7.</w:t>
      </w:r>
      <w:r w:rsidR="002F1DA8">
        <w:rPr>
          <w:b/>
          <w:bCs/>
        </w:rPr>
        <w:t>1</w:t>
      </w:r>
      <w:r w:rsidRPr="00014F19">
        <w:rPr>
          <w:b/>
          <w:bCs/>
        </w:rPr>
        <w:t xml:space="preserve">. </w:t>
      </w:r>
      <w:r w:rsidR="00522BBB" w:rsidRPr="00143121">
        <w:rPr>
          <w:b/>
          <w:bCs/>
        </w:rPr>
        <w:t>Структура распределения межбюджетных трансфертов</w:t>
      </w:r>
      <w:r w:rsidR="00522BBB" w:rsidRPr="00143121">
        <w:rPr>
          <w:bCs/>
        </w:rPr>
        <w:t xml:space="preserve"> по формам их предоставления бюджетам субъектов Российско</w:t>
      </w:r>
      <w:r w:rsidR="00073F6E" w:rsidRPr="00143121">
        <w:rPr>
          <w:bCs/>
        </w:rPr>
        <w:t>й Федерации в 202</w:t>
      </w:r>
      <w:r w:rsidR="00143121" w:rsidRPr="00143121">
        <w:rPr>
          <w:bCs/>
        </w:rPr>
        <w:t>4</w:t>
      </w:r>
      <w:r w:rsidR="00D84FB6" w:rsidRPr="00143121">
        <w:rPr>
          <w:bCs/>
        </w:rPr>
        <w:t>–</w:t>
      </w:r>
      <w:r w:rsidR="00522BBB" w:rsidRPr="00143121">
        <w:rPr>
          <w:bCs/>
        </w:rPr>
        <w:t>202</w:t>
      </w:r>
      <w:r w:rsidR="00143121" w:rsidRPr="00143121">
        <w:rPr>
          <w:bCs/>
        </w:rPr>
        <w:t>8</w:t>
      </w:r>
      <w:r w:rsidR="00522BBB" w:rsidRPr="00143121">
        <w:rPr>
          <w:bCs/>
        </w:rPr>
        <w:t xml:space="preserve"> годах представлена на следующей диаграмме</w:t>
      </w:r>
      <w:r w:rsidR="00FC3AAE" w:rsidRPr="00143121">
        <w:rPr>
          <w:bCs/>
        </w:rPr>
        <w:t xml:space="preserve"> (%)</w:t>
      </w:r>
      <w:r w:rsidR="00522BBB" w:rsidRPr="00143121">
        <w:rPr>
          <w:bCs/>
        </w:rPr>
        <w:t>.</w:t>
      </w:r>
    </w:p>
    <w:p w:rsidR="00D676B7" w:rsidRPr="00143121" w:rsidRDefault="00C12EF1" w:rsidP="00C12EF1">
      <w:pPr>
        <w:spacing w:line="360" w:lineRule="auto"/>
        <w:ind w:firstLine="709"/>
        <w:jc w:val="both"/>
        <w:rPr>
          <w:bCs/>
        </w:rPr>
      </w:pPr>
      <w:r>
        <w:rPr>
          <w:noProof/>
        </w:rPr>
        <w:drawing>
          <wp:inline distT="0" distB="0" distL="0" distR="0" wp14:anchorId="3DA4A3F8" wp14:editId="2E7215DE">
            <wp:extent cx="5503545" cy="2224454"/>
            <wp:effectExtent l="0" t="0" r="1905"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0A27" w:rsidRDefault="00C90A27" w:rsidP="00E236E2">
      <w:pPr>
        <w:tabs>
          <w:tab w:val="left" w:pos="540"/>
        </w:tabs>
        <w:autoSpaceDE w:val="0"/>
        <w:autoSpaceDN w:val="0"/>
        <w:adjustRightInd w:val="0"/>
        <w:spacing w:line="360" w:lineRule="auto"/>
        <w:ind w:firstLine="709"/>
        <w:jc w:val="both"/>
      </w:pPr>
    </w:p>
    <w:p w:rsidR="0062602A" w:rsidRPr="00AC2D56" w:rsidRDefault="000B36D2" w:rsidP="00E236E2">
      <w:pPr>
        <w:tabs>
          <w:tab w:val="left" w:pos="540"/>
        </w:tabs>
        <w:autoSpaceDE w:val="0"/>
        <w:autoSpaceDN w:val="0"/>
        <w:adjustRightInd w:val="0"/>
        <w:spacing w:line="360" w:lineRule="auto"/>
        <w:ind w:firstLine="709"/>
        <w:jc w:val="both"/>
      </w:pPr>
      <w:r w:rsidRPr="00825F46">
        <w:t>В 202</w:t>
      </w:r>
      <w:r w:rsidR="003317F0" w:rsidRPr="00825F46">
        <w:t>6</w:t>
      </w:r>
      <w:r w:rsidRPr="00825F46">
        <w:t>–202</w:t>
      </w:r>
      <w:r w:rsidR="003317F0" w:rsidRPr="00825F46">
        <w:t>8</w:t>
      </w:r>
      <w:r w:rsidRPr="00825F46">
        <w:t xml:space="preserve"> годах в структуре межбюджетных трансфертов основная доля приходиться на субсидии</w:t>
      </w:r>
      <w:r w:rsidR="003317F0" w:rsidRPr="00825F46">
        <w:t xml:space="preserve"> (</w:t>
      </w:r>
      <w:r w:rsidR="00C700D0" w:rsidRPr="00825F46">
        <w:t>4</w:t>
      </w:r>
      <w:r w:rsidR="003317F0" w:rsidRPr="00825F46">
        <w:t>6</w:t>
      </w:r>
      <w:r w:rsidR="00AD023F">
        <w:t>‒</w:t>
      </w:r>
      <w:r w:rsidR="003317F0" w:rsidRPr="00825F46">
        <w:t>52</w:t>
      </w:r>
      <w:r w:rsidR="00C700D0" w:rsidRPr="00825F46">
        <w:t> %)</w:t>
      </w:r>
      <w:r w:rsidRPr="00825F46">
        <w:t>.</w:t>
      </w:r>
      <w:r w:rsidR="00B905C5" w:rsidRPr="00825F46">
        <w:t xml:space="preserve"> </w:t>
      </w:r>
      <w:r w:rsidR="00313362">
        <w:t xml:space="preserve">Отмечается снижение доли </w:t>
      </w:r>
      <w:r w:rsidR="00313362" w:rsidRPr="00313362">
        <w:t>целевых межбюджетных трансфертов</w:t>
      </w:r>
      <w:r w:rsidR="00E236E2">
        <w:t xml:space="preserve"> с 65,7 % в 2025 году до 61,3 % в 2026 году с</w:t>
      </w:r>
      <w:r w:rsidR="00954AEC">
        <w:t xml:space="preserve"> последующим ростом до 66,7 % в </w:t>
      </w:r>
      <w:r w:rsidR="00E236E2">
        <w:t xml:space="preserve">2028 году </w:t>
      </w:r>
      <w:r w:rsidR="00931C9D" w:rsidRPr="00AC2D56">
        <w:t>(</w:t>
      </w:r>
      <w:r w:rsidR="00AC2D56" w:rsidRPr="00AC2D56">
        <w:t>в 2025 году – 65,7 %, в 2024 году – 63,8 %</w:t>
      </w:r>
      <w:r w:rsidR="00931C9D" w:rsidRPr="00AC2D56">
        <w:t>)</w:t>
      </w:r>
      <w:r w:rsidR="0062602A" w:rsidRPr="00AC2D56">
        <w:t>.</w:t>
      </w:r>
    </w:p>
    <w:p w:rsidR="00C90A27" w:rsidRDefault="00C90A27" w:rsidP="00C90A27">
      <w:pPr>
        <w:spacing w:line="360" w:lineRule="auto"/>
        <w:ind w:firstLine="709"/>
        <w:jc w:val="both"/>
      </w:pPr>
      <w:r w:rsidRPr="00014F19">
        <w:rPr>
          <w:b/>
        </w:rPr>
        <w:t>15.7</w:t>
      </w:r>
      <w:r w:rsidRPr="00014F19">
        <w:rPr>
          <w:b/>
          <w:bCs/>
        </w:rPr>
        <w:t>.</w:t>
      </w:r>
      <w:r w:rsidR="002F1DA8">
        <w:rPr>
          <w:b/>
          <w:bCs/>
        </w:rPr>
        <w:t>2</w:t>
      </w:r>
      <w:r>
        <w:rPr>
          <w:b/>
          <w:bCs/>
        </w:rPr>
        <w:t>.</w:t>
      </w:r>
      <w:r w:rsidRPr="00014F19">
        <w:rPr>
          <w:bCs/>
        </w:rPr>
        <w:t xml:space="preserve"> </w:t>
      </w:r>
      <w:r w:rsidRPr="001440C2">
        <w:t xml:space="preserve">Информация об изменении объемов межбюджетных трансфертов бюджетам субъектов Российской Федерации, планируемых к предоставлению в 2026 и 2027 годах, </w:t>
      </w:r>
      <w:r w:rsidR="002255F3">
        <w:br/>
      </w:r>
      <w:r w:rsidRPr="001440C2">
        <w:t xml:space="preserve">по сравнению с объемами, утвержденными Федеральным законом № 419-ФЗ </w:t>
      </w:r>
      <w:r w:rsidR="003004EB">
        <w:br/>
      </w:r>
      <w:r w:rsidRPr="001440C2">
        <w:t>(с изменениями) на плановый период, представлен</w:t>
      </w:r>
      <w:r>
        <w:t>а</w:t>
      </w:r>
      <w:r w:rsidRPr="001440C2">
        <w:t xml:space="preserve"> в следующей таблице.</w:t>
      </w:r>
    </w:p>
    <w:tbl>
      <w:tblPr>
        <w:tblW w:w="9788" w:type="dxa"/>
        <w:jc w:val="center"/>
        <w:tblLayout w:type="fixed"/>
        <w:tblLook w:val="04A0" w:firstRow="1" w:lastRow="0" w:firstColumn="1" w:lastColumn="0" w:noHBand="0" w:noVBand="1"/>
      </w:tblPr>
      <w:tblGrid>
        <w:gridCol w:w="2911"/>
        <w:gridCol w:w="1418"/>
        <w:gridCol w:w="1276"/>
        <w:gridCol w:w="850"/>
        <w:gridCol w:w="1276"/>
        <w:gridCol w:w="1248"/>
        <w:gridCol w:w="809"/>
      </w:tblGrid>
      <w:tr w:rsidR="00C90A27" w:rsidRPr="00143121" w:rsidTr="00374CD1">
        <w:trPr>
          <w:trHeight w:val="221"/>
          <w:tblHeader/>
          <w:jc w:val="center"/>
        </w:trPr>
        <w:tc>
          <w:tcPr>
            <w:tcW w:w="2911" w:type="dxa"/>
            <w:vMerge w:val="restart"/>
            <w:tcBorders>
              <w:top w:val="single" w:sz="4" w:space="0" w:color="auto"/>
              <w:left w:val="single" w:sz="4" w:space="0" w:color="auto"/>
              <w:right w:val="single" w:sz="4" w:space="0" w:color="auto"/>
            </w:tcBorders>
          </w:tcPr>
          <w:p w:rsidR="00C90A27" w:rsidRPr="00143121" w:rsidRDefault="00C90A27" w:rsidP="00374CD1">
            <w:pPr>
              <w:jc w:val="center"/>
              <w:rPr>
                <w:b/>
                <w:sz w:val="18"/>
                <w:szCs w:val="18"/>
              </w:rPr>
            </w:pPr>
            <w:r w:rsidRPr="00143121">
              <w:rPr>
                <w:b/>
                <w:sz w:val="18"/>
                <w:szCs w:val="18"/>
              </w:rPr>
              <w:lastRenderedPageBreak/>
              <w:t>Наименование</w:t>
            </w:r>
          </w:p>
        </w:tc>
        <w:tc>
          <w:tcPr>
            <w:tcW w:w="3544" w:type="dxa"/>
            <w:gridSpan w:val="3"/>
            <w:tcBorders>
              <w:top w:val="single" w:sz="4" w:space="0" w:color="auto"/>
              <w:left w:val="single" w:sz="4" w:space="0" w:color="auto"/>
              <w:bottom w:val="single" w:sz="4" w:space="0" w:color="auto"/>
              <w:right w:val="single" w:sz="4" w:space="0" w:color="auto"/>
            </w:tcBorders>
          </w:tcPr>
          <w:p w:rsidR="00C90A27" w:rsidRPr="00143121" w:rsidRDefault="00C90A27" w:rsidP="00374CD1">
            <w:pPr>
              <w:ind w:left="-57" w:right="-57"/>
              <w:jc w:val="center"/>
              <w:rPr>
                <w:b/>
                <w:sz w:val="18"/>
                <w:szCs w:val="18"/>
              </w:rPr>
            </w:pPr>
            <w:r w:rsidRPr="00143121">
              <w:rPr>
                <w:b/>
                <w:sz w:val="18"/>
                <w:szCs w:val="18"/>
              </w:rPr>
              <w:t>2026 год</w:t>
            </w:r>
          </w:p>
        </w:tc>
        <w:tc>
          <w:tcPr>
            <w:tcW w:w="3333" w:type="dxa"/>
            <w:gridSpan w:val="3"/>
            <w:tcBorders>
              <w:top w:val="single" w:sz="4" w:space="0" w:color="auto"/>
              <w:left w:val="single" w:sz="4" w:space="0" w:color="auto"/>
              <w:bottom w:val="single" w:sz="4" w:space="0" w:color="auto"/>
              <w:right w:val="single" w:sz="4" w:space="0" w:color="auto"/>
            </w:tcBorders>
          </w:tcPr>
          <w:p w:rsidR="00C90A27" w:rsidRPr="00143121" w:rsidRDefault="00C90A27" w:rsidP="00374CD1">
            <w:pPr>
              <w:ind w:left="-57" w:right="-57"/>
              <w:jc w:val="center"/>
              <w:rPr>
                <w:b/>
                <w:bCs/>
                <w:sz w:val="18"/>
                <w:szCs w:val="18"/>
              </w:rPr>
            </w:pPr>
            <w:r w:rsidRPr="00143121">
              <w:rPr>
                <w:b/>
                <w:sz w:val="18"/>
                <w:szCs w:val="18"/>
              </w:rPr>
              <w:t xml:space="preserve">2027 год </w:t>
            </w:r>
          </w:p>
        </w:tc>
      </w:tr>
      <w:tr w:rsidR="00C90A27" w:rsidRPr="00143121" w:rsidTr="003004EB">
        <w:trPr>
          <w:trHeight w:val="510"/>
          <w:tblHeader/>
          <w:jc w:val="center"/>
        </w:trPr>
        <w:tc>
          <w:tcPr>
            <w:tcW w:w="2911" w:type="dxa"/>
            <w:vMerge/>
            <w:tcBorders>
              <w:left w:val="single" w:sz="4" w:space="0" w:color="auto"/>
              <w:right w:val="single" w:sz="4" w:space="0" w:color="auto"/>
            </w:tcBorders>
            <w:vAlign w:val="center"/>
          </w:tcPr>
          <w:p w:rsidR="00C90A27" w:rsidRPr="00143121" w:rsidRDefault="00C90A27" w:rsidP="00374CD1">
            <w:pPr>
              <w:ind w:right="-57"/>
              <w:jc w:val="center"/>
              <w:rPr>
                <w:sz w:val="14"/>
                <w:szCs w:val="18"/>
              </w:rPr>
            </w:pPr>
          </w:p>
        </w:tc>
        <w:tc>
          <w:tcPr>
            <w:tcW w:w="1418" w:type="dxa"/>
            <w:vMerge w:val="restart"/>
            <w:tcBorders>
              <w:top w:val="single" w:sz="4" w:space="0" w:color="auto"/>
              <w:left w:val="nil"/>
              <w:right w:val="single" w:sz="4" w:space="0" w:color="auto"/>
            </w:tcBorders>
          </w:tcPr>
          <w:p w:rsidR="00C90A27" w:rsidRPr="00143121" w:rsidRDefault="00C90A27" w:rsidP="00374CD1">
            <w:pPr>
              <w:ind w:left="-103" w:right="-54"/>
              <w:jc w:val="center"/>
              <w:rPr>
                <w:sz w:val="16"/>
                <w:szCs w:val="18"/>
              </w:rPr>
            </w:pPr>
            <w:r w:rsidRPr="00143121">
              <w:rPr>
                <w:sz w:val="16"/>
                <w:szCs w:val="18"/>
              </w:rPr>
              <w:t>ФЗ № 419-ФЗ</w:t>
            </w:r>
          </w:p>
          <w:p w:rsidR="00C90A27" w:rsidRPr="00143121" w:rsidRDefault="00C90A27" w:rsidP="00374CD1">
            <w:pPr>
              <w:ind w:left="-103" w:right="-54"/>
              <w:jc w:val="center"/>
              <w:rPr>
                <w:sz w:val="16"/>
                <w:szCs w:val="18"/>
              </w:rPr>
            </w:pPr>
            <w:r w:rsidRPr="00143121">
              <w:rPr>
                <w:sz w:val="16"/>
                <w:szCs w:val="18"/>
              </w:rPr>
              <w:t>(с изменениями)</w:t>
            </w:r>
          </w:p>
        </w:tc>
        <w:tc>
          <w:tcPr>
            <w:tcW w:w="2126" w:type="dxa"/>
            <w:gridSpan w:val="2"/>
            <w:tcBorders>
              <w:top w:val="single" w:sz="4" w:space="0" w:color="auto"/>
              <w:left w:val="single" w:sz="4" w:space="0" w:color="auto"/>
              <w:bottom w:val="single" w:sz="4" w:space="0" w:color="auto"/>
              <w:right w:val="single" w:sz="4" w:space="0" w:color="auto"/>
            </w:tcBorders>
          </w:tcPr>
          <w:p w:rsidR="00C90A27" w:rsidRPr="00143121" w:rsidRDefault="00C90A27" w:rsidP="00374CD1">
            <w:pPr>
              <w:jc w:val="center"/>
              <w:rPr>
                <w:sz w:val="16"/>
                <w:szCs w:val="18"/>
              </w:rPr>
            </w:pPr>
            <w:r w:rsidRPr="00143121">
              <w:rPr>
                <w:sz w:val="16"/>
                <w:szCs w:val="18"/>
              </w:rPr>
              <w:t>изменения законопроекта</w:t>
            </w:r>
          </w:p>
          <w:p w:rsidR="00C90A27" w:rsidRDefault="00C90A27" w:rsidP="00374CD1">
            <w:pPr>
              <w:ind w:left="-103" w:right="-54"/>
              <w:jc w:val="center"/>
              <w:rPr>
                <w:sz w:val="16"/>
                <w:szCs w:val="18"/>
              </w:rPr>
            </w:pPr>
            <w:r w:rsidRPr="00143121">
              <w:rPr>
                <w:sz w:val="16"/>
                <w:szCs w:val="18"/>
              </w:rPr>
              <w:t xml:space="preserve">к ФЗ № 419-ФЗ </w:t>
            </w:r>
          </w:p>
          <w:p w:rsidR="00C90A27" w:rsidRPr="00143121" w:rsidRDefault="00C90A27" w:rsidP="00374CD1">
            <w:pPr>
              <w:ind w:left="-103" w:right="-54"/>
              <w:jc w:val="center"/>
              <w:rPr>
                <w:sz w:val="16"/>
                <w:szCs w:val="18"/>
              </w:rPr>
            </w:pPr>
            <w:r w:rsidRPr="00143121">
              <w:rPr>
                <w:sz w:val="16"/>
                <w:szCs w:val="18"/>
              </w:rPr>
              <w:t>(с изменениями)</w:t>
            </w:r>
          </w:p>
        </w:tc>
        <w:tc>
          <w:tcPr>
            <w:tcW w:w="1276" w:type="dxa"/>
            <w:tcBorders>
              <w:top w:val="single" w:sz="4" w:space="0" w:color="auto"/>
              <w:left w:val="single" w:sz="4" w:space="0" w:color="auto"/>
              <w:right w:val="single" w:sz="4" w:space="0" w:color="auto"/>
            </w:tcBorders>
          </w:tcPr>
          <w:p w:rsidR="00C90A27" w:rsidRPr="00143121" w:rsidRDefault="00C90A27" w:rsidP="00374CD1">
            <w:pPr>
              <w:ind w:left="-103" w:right="-54"/>
              <w:jc w:val="center"/>
              <w:rPr>
                <w:sz w:val="16"/>
                <w:szCs w:val="18"/>
              </w:rPr>
            </w:pPr>
            <w:r w:rsidRPr="00143121">
              <w:rPr>
                <w:sz w:val="16"/>
                <w:szCs w:val="18"/>
              </w:rPr>
              <w:t xml:space="preserve">ФЗ № 419-ФЗ </w:t>
            </w:r>
          </w:p>
          <w:p w:rsidR="00C90A27" w:rsidRPr="00143121" w:rsidRDefault="00C90A27" w:rsidP="00374CD1">
            <w:pPr>
              <w:ind w:left="-103" w:right="-54"/>
              <w:jc w:val="center"/>
              <w:rPr>
                <w:bCs/>
                <w:sz w:val="16"/>
                <w:szCs w:val="18"/>
              </w:rPr>
            </w:pPr>
            <w:r w:rsidRPr="00143121">
              <w:rPr>
                <w:sz w:val="16"/>
                <w:szCs w:val="18"/>
              </w:rPr>
              <w:t>(с изменениями)</w:t>
            </w:r>
          </w:p>
        </w:tc>
        <w:tc>
          <w:tcPr>
            <w:tcW w:w="2057" w:type="dxa"/>
            <w:gridSpan w:val="2"/>
            <w:tcBorders>
              <w:top w:val="single" w:sz="4" w:space="0" w:color="auto"/>
              <w:left w:val="single" w:sz="4" w:space="0" w:color="auto"/>
              <w:bottom w:val="single" w:sz="4" w:space="0" w:color="auto"/>
              <w:right w:val="single" w:sz="4" w:space="0" w:color="auto"/>
            </w:tcBorders>
          </w:tcPr>
          <w:p w:rsidR="00C90A27" w:rsidRPr="00143121" w:rsidRDefault="00C90A27" w:rsidP="00374CD1">
            <w:pPr>
              <w:jc w:val="center"/>
              <w:rPr>
                <w:sz w:val="16"/>
                <w:szCs w:val="18"/>
              </w:rPr>
            </w:pPr>
            <w:r w:rsidRPr="00143121">
              <w:rPr>
                <w:sz w:val="16"/>
                <w:szCs w:val="18"/>
              </w:rPr>
              <w:t>изменения законопроекта</w:t>
            </w:r>
          </w:p>
          <w:p w:rsidR="00C90A27" w:rsidRDefault="00C90A27" w:rsidP="00374CD1">
            <w:pPr>
              <w:jc w:val="center"/>
              <w:rPr>
                <w:sz w:val="16"/>
                <w:szCs w:val="18"/>
              </w:rPr>
            </w:pPr>
            <w:r w:rsidRPr="00143121">
              <w:rPr>
                <w:sz w:val="16"/>
                <w:szCs w:val="18"/>
              </w:rPr>
              <w:t xml:space="preserve">к ФЗ № 419-ФЗ </w:t>
            </w:r>
          </w:p>
          <w:p w:rsidR="00C90A27" w:rsidRPr="00143121" w:rsidRDefault="00C90A27" w:rsidP="00374CD1">
            <w:pPr>
              <w:jc w:val="center"/>
              <w:rPr>
                <w:bCs/>
                <w:sz w:val="16"/>
                <w:szCs w:val="18"/>
              </w:rPr>
            </w:pPr>
            <w:r w:rsidRPr="00143121">
              <w:rPr>
                <w:sz w:val="16"/>
                <w:szCs w:val="18"/>
              </w:rPr>
              <w:t>(с изменениями)</w:t>
            </w:r>
          </w:p>
        </w:tc>
      </w:tr>
      <w:tr w:rsidR="00C90A27" w:rsidRPr="00143121" w:rsidTr="00374CD1">
        <w:trPr>
          <w:trHeight w:val="113"/>
          <w:tblHeader/>
          <w:jc w:val="center"/>
        </w:trPr>
        <w:tc>
          <w:tcPr>
            <w:tcW w:w="2911" w:type="dxa"/>
            <w:vMerge/>
            <w:tcBorders>
              <w:left w:val="single" w:sz="4" w:space="0" w:color="auto"/>
              <w:bottom w:val="single" w:sz="4" w:space="0" w:color="auto"/>
              <w:right w:val="single" w:sz="4" w:space="0" w:color="auto"/>
            </w:tcBorders>
            <w:vAlign w:val="center"/>
          </w:tcPr>
          <w:p w:rsidR="00C90A27" w:rsidRPr="00143121" w:rsidRDefault="00C90A27" w:rsidP="00374CD1">
            <w:pPr>
              <w:ind w:right="-57"/>
              <w:jc w:val="center"/>
              <w:rPr>
                <w:sz w:val="14"/>
                <w:szCs w:val="18"/>
              </w:rPr>
            </w:pPr>
          </w:p>
        </w:tc>
        <w:tc>
          <w:tcPr>
            <w:tcW w:w="1418" w:type="dxa"/>
            <w:vMerge/>
            <w:tcBorders>
              <w:left w:val="nil"/>
              <w:bottom w:val="single" w:sz="4" w:space="0" w:color="auto"/>
              <w:right w:val="single" w:sz="4" w:space="0" w:color="auto"/>
            </w:tcBorders>
          </w:tcPr>
          <w:p w:rsidR="00C90A27" w:rsidRPr="00143121" w:rsidRDefault="00C90A27" w:rsidP="00374CD1">
            <w:pPr>
              <w:ind w:left="-103" w:right="-54"/>
              <w:jc w:val="center"/>
              <w:rPr>
                <w:bCs/>
                <w:sz w:val="14"/>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C90A27" w:rsidRPr="00143121" w:rsidRDefault="00C90A27" w:rsidP="00374CD1">
            <w:pPr>
              <w:ind w:left="-103" w:right="-54"/>
              <w:jc w:val="center"/>
              <w:rPr>
                <w:bCs/>
                <w:sz w:val="14"/>
                <w:szCs w:val="18"/>
              </w:rPr>
            </w:pPr>
            <w:r w:rsidRPr="00143121">
              <w:rPr>
                <w:bCs/>
                <w:sz w:val="16"/>
                <w:szCs w:val="18"/>
              </w:rPr>
              <w:t>млн рублей</w:t>
            </w:r>
          </w:p>
        </w:tc>
        <w:tc>
          <w:tcPr>
            <w:tcW w:w="850" w:type="dxa"/>
            <w:tcBorders>
              <w:top w:val="single" w:sz="4" w:space="0" w:color="auto"/>
              <w:left w:val="single" w:sz="4" w:space="0" w:color="auto"/>
              <w:bottom w:val="single" w:sz="4" w:space="0" w:color="auto"/>
              <w:right w:val="single" w:sz="4" w:space="0" w:color="auto"/>
            </w:tcBorders>
          </w:tcPr>
          <w:p w:rsidR="00C90A27" w:rsidRPr="00143121" w:rsidRDefault="00C90A27" w:rsidP="00374CD1">
            <w:pPr>
              <w:ind w:left="-103" w:right="-54"/>
              <w:jc w:val="center"/>
              <w:rPr>
                <w:bCs/>
                <w:sz w:val="14"/>
                <w:szCs w:val="18"/>
              </w:rPr>
            </w:pPr>
            <w:r w:rsidRPr="00143121">
              <w:rPr>
                <w:bCs/>
                <w:sz w:val="14"/>
                <w:szCs w:val="18"/>
              </w:rPr>
              <w:t>%</w:t>
            </w:r>
          </w:p>
        </w:tc>
        <w:tc>
          <w:tcPr>
            <w:tcW w:w="1276" w:type="dxa"/>
            <w:tcBorders>
              <w:left w:val="single" w:sz="4" w:space="0" w:color="auto"/>
              <w:bottom w:val="single" w:sz="4" w:space="0" w:color="auto"/>
              <w:right w:val="single" w:sz="4" w:space="0" w:color="auto"/>
            </w:tcBorders>
          </w:tcPr>
          <w:p w:rsidR="00C90A27" w:rsidRPr="00143121" w:rsidRDefault="00C90A27" w:rsidP="00374CD1">
            <w:pPr>
              <w:ind w:left="-103" w:right="-54"/>
              <w:jc w:val="center"/>
              <w:rPr>
                <w:bCs/>
                <w:sz w:val="14"/>
                <w:szCs w:val="18"/>
              </w:rPr>
            </w:pPr>
          </w:p>
        </w:tc>
        <w:tc>
          <w:tcPr>
            <w:tcW w:w="1248" w:type="dxa"/>
            <w:tcBorders>
              <w:top w:val="single" w:sz="4" w:space="0" w:color="auto"/>
              <w:left w:val="single" w:sz="4" w:space="0" w:color="auto"/>
              <w:bottom w:val="single" w:sz="4" w:space="0" w:color="auto"/>
              <w:right w:val="single" w:sz="4" w:space="0" w:color="auto"/>
            </w:tcBorders>
            <w:vAlign w:val="center"/>
          </w:tcPr>
          <w:p w:rsidR="00C90A27" w:rsidRPr="00143121" w:rsidRDefault="00C90A27" w:rsidP="00374CD1">
            <w:pPr>
              <w:ind w:left="-103" w:right="-54"/>
              <w:jc w:val="center"/>
              <w:rPr>
                <w:bCs/>
                <w:sz w:val="16"/>
                <w:szCs w:val="18"/>
              </w:rPr>
            </w:pPr>
            <w:r w:rsidRPr="00143121">
              <w:rPr>
                <w:bCs/>
                <w:sz w:val="16"/>
                <w:szCs w:val="18"/>
              </w:rPr>
              <w:t>млн рублей</w:t>
            </w:r>
          </w:p>
        </w:tc>
        <w:tc>
          <w:tcPr>
            <w:tcW w:w="809" w:type="dxa"/>
            <w:tcBorders>
              <w:top w:val="nil"/>
              <w:left w:val="single" w:sz="4" w:space="0" w:color="auto"/>
              <w:bottom w:val="single" w:sz="4" w:space="0" w:color="auto"/>
              <w:right w:val="single" w:sz="4" w:space="0" w:color="auto"/>
            </w:tcBorders>
            <w:vAlign w:val="center"/>
          </w:tcPr>
          <w:p w:rsidR="00C90A27" w:rsidRPr="00143121" w:rsidRDefault="00C90A27" w:rsidP="00374CD1">
            <w:pPr>
              <w:jc w:val="center"/>
              <w:rPr>
                <w:bCs/>
                <w:sz w:val="16"/>
                <w:szCs w:val="18"/>
              </w:rPr>
            </w:pPr>
            <w:r w:rsidRPr="00143121">
              <w:rPr>
                <w:bCs/>
                <w:sz w:val="16"/>
                <w:szCs w:val="18"/>
              </w:rPr>
              <w:t>%</w:t>
            </w:r>
          </w:p>
        </w:tc>
      </w:tr>
      <w:tr w:rsidR="00C90A27" w:rsidRPr="00143121" w:rsidTr="003004EB">
        <w:trPr>
          <w:trHeight w:val="340"/>
          <w:jc w:val="center"/>
        </w:trPr>
        <w:tc>
          <w:tcPr>
            <w:tcW w:w="2911" w:type="dxa"/>
            <w:tcBorders>
              <w:top w:val="nil"/>
              <w:left w:val="single" w:sz="4" w:space="0" w:color="auto"/>
              <w:bottom w:val="single" w:sz="4" w:space="0" w:color="auto"/>
              <w:right w:val="single" w:sz="4" w:space="0" w:color="auto"/>
            </w:tcBorders>
            <w:vAlign w:val="center"/>
          </w:tcPr>
          <w:p w:rsidR="00C90A27" w:rsidRPr="00143121" w:rsidRDefault="00C90A27" w:rsidP="00374CD1">
            <w:pPr>
              <w:ind w:right="-113"/>
              <w:rPr>
                <w:b/>
                <w:sz w:val="18"/>
                <w:szCs w:val="18"/>
              </w:rPr>
            </w:pPr>
            <w:r w:rsidRPr="00143121">
              <w:rPr>
                <w:b/>
                <w:sz w:val="18"/>
                <w:szCs w:val="18"/>
              </w:rPr>
              <w:t xml:space="preserve">Межбюджетные трансферты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90A27" w:rsidRPr="001440C2" w:rsidRDefault="00C90A27" w:rsidP="00374CD1">
            <w:pPr>
              <w:ind w:right="57"/>
              <w:jc w:val="center"/>
              <w:rPr>
                <w:b/>
                <w:sz w:val="18"/>
                <w:szCs w:val="16"/>
              </w:rPr>
            </w:pPr>
            <w:r w:rsidRPr="001440C2">
              <w:rPr>
                <w:b/>
                <w:bCs/>
                <w:sz w:val="16"/>
                <w:szCs w:val="16"/>
              </w:rPr>
              <w:t>3 529 613,2</w:t>
            </w:r>
          </w:p>
        </w:tc>
        <w:tc>
          <w:tcPr>
            <w:tcW w:w="1276" w:type="dxa"/>
            <w:tcBorders>
              <w:top w:val="single" w:sz="4" w:space="0" w:color="auto"/>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b/>
                <w:sz w:val="18"/>
                <w:szCs w:val="16"/>
              </w:rPr>
            </w:pPr>
            <w:r w:rsidRPr="001440C2">
              <w:rPr>
                <w:b/>
                <w:bCs/>
                <w:sz w:val="16"/>
                <w:szCs w:val="16"/>
              </w:rPr>
              <w:t>23 166,2</w:t>
            </w:r>
          </w:p>
        </w:tc>
        <w:tc>
          <w:tcPr>
            <w:tcW w:w="850" w:type="dxa"/>
            <w:tcBorders>
              <w:top w:val="single" w:sz="4" w:space="0" w:color="auto"/>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b/>
                <w:sz w:val="18"/>
                <w:szCs w:val="16"/>
              </w:rPr>
            </w:pPr>
            <w:r w:rsidRPr="001440C2">
              <w:rPr>
                <w:b/>
                <w:bCs/>
                <w:sz w:val="16"/>
                <w:szCs w:val="16"/>
              </w:rPr>
              <w:t>100,7</w:t>
            </w:r>
          </w:p>
        </w:tc>
        <w:tc>
          <w:tcPr>
            <w:tcW w:w="1276" w:type="dxa"/>
            <w:tcBorders>
              <w:top w:val="single" w:sz="4" w:space="0" w:color="auto"/>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b/>
                <w:sz w:val="18"/>
                <w:szCs w:val="16"/>
              </w:rPr>
            </w:pPr>
            <w:r w:rsidRPr="001440C2">
              <w:rPr>
                <w:b/>
                <w:bCs/>
                <w:sz w:val="16"/>
                <w:szCs w:val="16"/>
              </w:rPr>
              <w:t>3 587 159,7</w:t>
            </w:r>
          </w:p>
        </w:tc>
        <w:tc>
          <w:tcPr>
            <w:tcW w:w="1248" w:type="dxa"/>
            <w:tcBorders>
              <w:top w:val="single" w:sz="4" w:space="0" w:color="auto"/>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b/>
                <w:sz w:val="18"/>
                <w:szCs w:val="16"/>
              </w:rPr>
            </w:pPr>
            <w:r w:rsidRPr="001440C2">
              <w:rPr>
                <w:b/>
                <w:bCs/>
                <w:sz w:val="16"/>
                <w:szCs w:val="16"/>
              </w:rPr>
              <w:t>170 933,2</w:t>
            </w:r>
          </w:p>
        </w:tc>
        <w:tc>
          <w:tcPr>
            <w:tcW w:w="809" w:type="dxa"/>
            <w:tcBorders>
              <w:top w:val="single" w:sz="4" w:space="0" w:color="auto"/>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b/>
                <w:sz w:val="18"/>
                <w:szCs w:val="16"/>
              </w:rPr>
            </w:pPr>
            <w:r w:rsidRPr="001440C2">
              <w:rPr>
                <w:b/>
                <w:bCs/>
                <w:sz w:val="16"/>
                <w:szCs w:val="16"/>
              </w:rPr>
              <w:t>104,8</w:t>
            </w:r>
          </w:p>
        </w:tc>
      </w:tr>
      <w:tr w:rsidR="00C90A27" w:rsidRPr="00143121" w:rsidTr="00374CD1">
        <w:trPr>
          <w:trHeight w:val="113"/>
          <w:jc w:val="center"/>
        </w:trPr>
        <w:tc>
          <w:tcPr>
            <w:tcW w:w="2911" w:type="dxa"/>
            <w:tcBorders>
              <w:top w:val="nil"/>
              <w:left w:val="single" w:sz="4" w:space="0" w:color="auto"/>
              <w:bottom w:val="single" w:sz="4" w:space="0" w:color="auto"/>
              <w:right w:val="single" w:sz="4" w:space="0" w:color="auto"/>
            </w:tcBorders>
            <w:vAlign w:val="center"/>
          </w:tcPr>
          <w:p w:rsidR="00C90A27" w:rsidRPr="00143121" w:rsidRDefault="00C90A27" w:rsidP="00374CD1">
            <w:pPr>
              <w:rPr>
                <w:sz w:val="16"/>
                <w:szCs w:val="18"/>
              </w:rPr>
            </w:pPr>
            <w:r w:rsidRPr="00143121">
              <w:rPr>
                <w:sz w:val="16"/>
                <w:szCs w:val="18"/>
              </w:rPr>
              <w:t>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
                <w:bCs/>
                <w:sz w:val="16"/>
                <w:szCs w:val="12"/>
              </w:rPr>
            </w:pPr>
            <w:r w:rsidRPr="001440C2">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6"/>
                <w:szCs w:val="12"/>
              </w:rPr>
            </w:pPr>
            <w:r w:rsidRPr="001440C2">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
                <w:bCs/>
                <w:sz w:val="16"/>
                <w:szCs w:val="12"/>
              </w:rPr>
            </w:pPr>
            <w:r w:rsidRPr="001440C2">
              <w:rPr>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
                <w:bCs/>
                <w:sz w:val="16"/>
                <w:szCs w:val="12"/>
              </w:rPr>
            </w:pPr>
            <w:r w:rsidRPr="001440C2">
              <w:rPr>
                <w:sz w:val="16"/>
                <w:szCs w:val="16"/>
              </w:rPr>
              <w:t> </w:t>
            </w:r>
          </w:p>
        </w:tc>
        <w:tc>
          <w:tcPr>
            <w:tcW w:w="1248"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
                <w:bCs/>
                <w:sz w:val="16"/>
                <w:szCs w:val="12"/>
              </w:rPr>
            </w:pPr>
            <w:r w:rsidRPr="001440C2">
              <w:rPr>
                <w:sz w:val="16"/>
                <w:szCs w:val="16"/>
              </w:rPr>
              <w:t> </w:t>
            </w:r>
          </w:p>
        </w:tc>
        <w:tc>
          <w:tcPr>
            <w:tcW w:w="809"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7"/>
              <w:jc w:val="center"/>
              <w:rPr>
                <w:b/>
                <w:bCs/>
                <w:sz w:val="16"/>
                <w:szCs w:val="12"/>
              </w:rPr>
            </w:pPr>
            <w:r w:rsidRPr="001440C2">
              <w:rPr>
                <w:sz w:val="16"/>
                <w:szCs w:val="16"/>
              </w:rPr>
              <w:t> </w:t>
            </w:r>
          </w:p>
        </w:tc>
      </w:tr>
      <w:tr w:rsidR="00C90A27" w:rsidRPr="00143121" w:rsidTr="003004EB">
        <w:trPr>
          <w:trHeight w:val="340"/>
          <w:jc w:val="center"/>
        </w:trPr>
        <w:tc>
          <w:tcPr>
            <w:tcW w:w="2911" w:type="dxa"/>
            <w:tcBorders>
              <w:top w:val="nil"/>
              <w:left w:val="single" w:sz="4" w:space="0" w:color="auto"/>
              <w:bottom w:val="single" w:sz="4" w:space="0" w:color="auto"/>
              <w:right w:val="single" w:sz="4" w:space="0" w:color="auto"/>
            </w:tcBorders>
            <w:vAlign w:val="center"/>
          </w:tcPr>
          <w:p w:rsidR="00C90A27" w:rsidRPr="00143121" w:rsidRDefault="00C90A27" w:rsidP="00374CD1">
            <w:pPr>
              <w:rPr>
                <w:sz w:val="18"/>
                <w:szCs w:val="18"/>
              </w:rPr>
            </w:pPr>
            <w:r w:rsidRPr="00143121">
              <w:rPr>
                <w:sz w:val="18"/>
                <w:szCs w:val="18"/>
              </w:rPr>
              <w:t>Дотации</w:t>
            </w:r>
          </w:p>
        </w:tc>
        <w:tc>
          <w:tcPr>
            <w:tcW w:w="1418" w:type="dxa"/>
            <w:tcBorders>
              <w:top w:val="nil"/>
              <w:left w:val="single" w:sz="4" w:space="0" w:color="auto"/>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8"/>
                <w:szCs w:val="16"/>
              </w:rPr>
            </w:pPr>
            <w:r w:rsidRPr="001440C2">
              <w:rPr>
                <w:sz w:val="16"/>
                <w:szCs w:val="16"/>
              </w:rPr>
              <w:t>1 280 752,2</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8"/>
                <w:szCs w:val="16"/>
              </w:rPr>
            </w:pPr>
            <w:r w:rsidRPr="001440C2">
              <w:rPr>
                <w:sz w:val="16"/>
                <w:szCs w:val="16"/>
              </w:rPr>
              <w:t>92 967,0</w:t>
            </w:r>
          </w:p>
        </w:tc>
        <w:tc>
          <w:tcPr>
            <w:tcW w:w="850"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8"/>
                <w:szCs w:val="16"/>
              </w:rPr>
            </w:pPr>
            <w:r w:rsidRPr="001440C2">
              <w:rPr>
                <w:sz w:val="16"/>
                <w:szCs w:val="16"/>
              </w:rPr>
              <w:t>107,3</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8"/>
                <w:szCs w:val="16"/>
              </w:rPr>
            </w:pPr>
            <w:r w:rsidRPr="001440C2">
              <w:rPr>
                <w:sz w:val="16"/>
                <w:szCs w:val="16"/>
              </w:rPr>
              <w:t>1 294 444,1</w:t>
            </w:r>
          </w:p>
        </w:tc>
        <w:tc>
          <w:tcPr>
            <w:tcW w:w="1248"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8"/>
                <w:szCs w:val="16"/>
              </w:rPr>
            </w:pPr>
            <w:r w:rsidRPr="001440C2">
              <w:rPr>
                <w:sz w:val="16"/>
                <w:szCs w:val="16"/>
              </w:rPr>
              <w:t>43 903,8</w:t>
            </w:r>
          </w:p>
        </w:tc>
        <w:tc>
          <w:tcPr>
            <w:tcW w:w="809"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left="-103" w:right="-54"/>
              <w:jc w:val="center"/>
              <w:rPr>
                <w:bCs/>
                <w:sz w:val="18"/>
                <w:szCs w:val="16"/>
              </w:rPr>
            </w:pPr>
            <w:r w:rsidRPr="001440C2">
              <w:rPr>
                <w:sz w:val="16"/>
                <w:szCs w:val="16"/>
              </w:rPr>
              <w:t>103,4</w:t>
            </w:r>
          </w:p>
        </w:tc>
      </w:tr>
      <w:tr w:rsidR="00C90A27" w:rsidRPr="00143121" w:rsidTr="003004EB">
        <w:trPr>
          <w:trHeight w:val="340"/>
          <w:jc w:val="center"/>
        </w:trPr>
        <w:tc>
          <w:tcPr>
            <w:tcW w:w="2911" w:type="dxa"/>
            <w:tcBorders>
              <w:top w:val="nil"/>
              <w:left w:val="single" w:sz="4" w:space="0" w:color="auto"/>
              <w:bottom w:val="single" w:sz="4" w:space="0" w:color="auto"/>
              <w:right w:val="single" w:sz="4" w:space="0" w:color="auto"/>
            </w:tcBorders>
            <w:vAlign w:val="center"/>
          </w:tcPr>
          <w:p w:rsidR="00C90A27" w:rsidRPr="00143121" w:rsidRDefault="00C90A27" w:rsidP="00374CD1">
            <w:pPr>
              <w:rPr>
                <w:sz w:val="18"/>
                <w:szCs w:val="18"/>
              </w:rPr>
            </w:pPr>
            <w:r w:rsidRPr="00143121">
              <w:rPr>
                <w:sz w:val="18"/>
                <w:szCs w:val="18"/>
              </w:rPr>
              <w:t>Субсидии</w:t>
            </w:r>
          </w:p>
        </w:tc>
        <w:tc>
          <w:tcPr>
            <w:tcW w:w="1418" w:type="dxa"/>
            <w:tcBorders>
              <w:top w:val="nil"/>
              <w:left w:val="single" w:sz="4" w:space="0" w:color="auto"/>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1 746 205,6</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-127 206,4</w:t>
            </w:r>
          </w:p>
        </w:tc>
        <w:tc>
          <w:tcPr>
            <w:tcW w:w="850"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92,7</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1 782 271,8</w:t>
            </w:r>
          </w:p>
        </w:tc>
        <w:tc>
          <w:tcPr>
            <w:tcW w:w="1248"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55 378,5</w:t>
            </w:r>
          </w:p>
        </w:tc>
        <w:tc>
          <w:tcPr>
            <w:tcW w:w="809"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103,1</w:t>
            </w:r>
          </w:p>
        </w:tc>
      </w:tr>
      <w:tr w:rsidR="00C90A27" w:rsidRPr="00143121" w:rsidTr="003004EB">
        <w:trPr>
          <w:trHeight w:val="340"/>
          <w:jc w:val="center"/>
        </w:trPr>
        <w:tc>
          <w:tcPr>
            <w:tcW w:w="2911" w:type="dxa"/>
            <w:tcBorders>
              <w:top w:val="nil"/>
              <w:left w:val="single" w:sz="4" w:space="0" w:color="auto"/>
              <w:bottom w:val="single" w:sz="4" w:space="0" w:color="auto"/>
              <w:right w:val="single" w:sz="4" w:space="0" w:color="auto"/>
            </w:tcBorders>
            <w:vAlign w:val="center"/>
          </w:tcPr>
          <w:p w:rsidR="00C90A27" w:rsidRPr="00143121" w:rsidRDefault="00C90A27" w:rsidP="00374CD1">
            <w:pPr>
              <w:rPr>
                <w:sz w:val="18"/>
                <w:szCs w:val="18"/>
              </w:rPr>
            </w:pPr>
            <w:r w:rsidRPr="00143121">
              <w:rPr>
                <w:sz w:val="18"/>
                <w:szCs w:val="18"/>
              </w:rPr>
              <w:t>Субвенции</w:t>
            </w:r>
          </w:p>
        </w:tc>
        <w:tc>
          <w:tcPr>
            <w:tcW w:w="1418" w:type="dxa"/>
            <w:tcBorders>
              <w:top w:val="nil"/>
              <w:left w:val="single" w:sz="4" w:space="0" w:color="auto"/>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343 690,6</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46 290,4</w:t>
            </w:r>
          </w:p>
        </w:tc>
        <w:tc>
          <w:tcPr>
            <w:tcW w:w="850"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113,5</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351 260,2</w:t>
            </w:r>
          </w:p>
        </w:tc>
        <w:tc>
          <w:tcPr>
            <w:tcW w:w="1248"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54 880,0</w:t>
            </w:r>
          </w:p>
        </w:tc>
        <w:tc>
          <w:tcPr>
            <w:tcW w:w="809"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115,6</w:t>
            </w:r>
          </w:p>
        </w:tc>
      </w:tr>
      <w:tr w:rsidR="00C90A27" w:rsidRPr="00143121" w:rsidTr="003004EB">
        <w:trPr>
          <w:trHeight w:val="340"/>
          <w:jc w:val="center"/>
        </w:trPr>
        <w:tc>
          <w:tcPr>
            <w:tcW w:w="2911" w:type="dxa"/>
            <w:tcBorders>
              <w:top w:val="single" w:sz="4" w:space="0" w:color="auto"/>
              <w:left w:val="single" w:sz="4" w:space="0" w:color="auto"/>
              <w:bottom w:val="single" w:sz="4" w:space="0" w:color="auto"/>
              <w:right w:val="single" w:sz="4" w:space="0" w:color="auto"/>
            </w:tcBorders>
            <w:vAlign w:val="center"/>
          </w:tcPr>
          <w:p w:rsidR="00C90A27" w:rsidRPr="00143121" w:rsidRDefault="00C90A27" w:rsidP="00374CD1">
            <w:pPr>
              <w:ind w:right="-113"/>
              <w:rPr>
                <w:sz w:val="18"/>
                <w:szCs w:val="18"/>
              </w:rPr>
            </w:pPr>
            <w:r w:rsidRPr="00143121">
              <w:rPr>
                <w:sz w:val="18"/>
                <w:szCs w:val="18"/>
              </w:rPr>
              <w:t>Иные межбюджетные трансферты</w:t>
            </w:r>
          </w:p>
        </w:tc>
        <w:tc>
          <w:tcPr>
            <w:tcW w:w="1418" w:type="dxa"/>
            <w:tcBorders>
              <w:top w:val="nil"/>
              <w:left w:val="single" w:sz="4" w:space="0" w:color="auto"/>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158 964,8</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11 115,1</w:t>
            </w:r>
          </w:p>
        </w:tc>
        <w:tc>
          <w:tcPr>
            <w:tcW w:w="850"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107,0</w:t>
            </w:r>
          </w:p>
        </w:tc>
        <w:tc>
          <w:tcPr>
            <w:tcW w:w="1276"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159 183,7</w:t>
            </w:r>
          </w:p>
        </w:tc>
        <w:tc>
          <w:tcPr>
            <w:tcW w:w="1248"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16 770,9</w:t>
            </w:r>
          </w:p>
        </w:tc>
        <w:tc>
          <w:tcPr>
            <w:tcW w:w="809" w:type="dxa"/>
            <w:tcBorders>
              <w:top w:val="nil"/>
              <w:left w:val="nil"/>
              <w:bottom w:val="single" w:sz="4" w:space="0" w:color="auto"/>
              <w:right w:val="single" w:sz="4" w:space="0" w:color="auto"/>
            </w:tcBorders>
            <w:shd w:val="clear" w:color="auto" w:fill="auto"/>
            <w:vAlign w:val="center"/>
          </w:tcPr>
          <w:p w:rsidR="00C90A27" w:rsidRPr="001440C2" w:rsidRDefault="00C90A27" w:rsidP="00374CD1">
            <w:pPr>
              <w:ind w:right="57"/>
              <w:jc w:val="center"/>
              <w:rPr>
                <w:sz w:val="18"/>
                <w:szCs w:val="16"/>
              </w:rPr>
            </w:pPr>
            <w:r w:rsidRPr="001440C2">
              <w:rPr>
                <w:sz w:val="16"/>
                <w:szCs w:val="16"/>
              </w:rPr>
              <w:t>110,5</w:t>
            </w:r>
          </w:p>
        </w:tc>
      </w:tr>
    </w:tbl>
    <w:p w:rsidR="00C90A27" w:rsidRPr="001440C2" w:rsidRDefault="00C90A27" w:rsidP="003004EB">
      <w:pPr>
        <w:spacing w:before="240" w:line="360" w:lineRule="auto"/>
        <w:ind w:firstLine="709"/>
        <w:jc w:val="both"/>
      </w:pPr>
      <w:r w:rsidRPr="00143121">
        <w:t>По сравнению с объемами, утвержденными Федеральным законом № 419-ФЗ (</w:t>
      </w:r>
      <w:r w:rsidRPr="00143121">
        <w:rPr>
          <w:lang w:val="en-US"/>
        </w:rPr>
        <w:t>c</w:t>
      </w:r>
      <w:r w:rsidRPr="00143121">
        <w:t xml:space="preserve"> изменениями) на плановый период, законопроектом на 2026 и 2027 годы предусмотрено </w:t>
      </w:r>
      <w:r w:rsidRPr="001440C2">
        <w:t>увеличение межбюджетных трансфертов</w:t>
      </w:r>
      <w:r>
        <w:t xml:space="preserve">. </w:t>
      </w:r>
      <w:r w:rsidRPr="001440C2">
        <w:t xml:space="preserve"> </w:t>
      </w:r>
    </w:p>
    <w:p w:rsidR="001D7C0C" w:rsidRDefault="00014F19" w:rsidP="003004EB">
      <w:pPr>
        <w:tabs>
          <w:tab w:val="left" w:pos="540"/>
        </w:tabs>
        <w:autoSpaceDE w:val="0"/>
        <w:autoSpaceDN w:val="0"/>
        <w:adjustRightInd w:val="0"/>
        <w:spacing w:line="360" w:lineRule="auto"/>
        <w:ind w:firstLine="709"/>
        <w:jc w:val="both"/>
        <w:rPr>
          <w:szCs w:val="28"/>
        </w:rPr>
      </w:pPr>
      <w:r w:rsidRPr="00014F19">
        <w:rPr>
          <w:b/>
        </w:rPr>
        <w:t>15.7</w:t>
      </w:r>
      <w:r w:rsidRPr="00014F19">
        <w:rPr>
          <w:b/>
          <w:bCs/>
        </w:rPr>
        <w:t>.</w:t>
      </w:r>
      <w:r>
        <w:rPr>
          <w:b/>
          <w:bCs/>
        </w:rPr>
        <w:t>3</w:t>
      </w:r>
      <w:r w:rsidRPr="00014F19">
        <w:rPr>
          <w:b/>
          <w:bCs/>
        </w:rPr>
        <w:t xml:space="preserve">. </w:t>
      </w:r>
      <w:r w:rsidR="002C3051" w:rsidRPr="00143121">
        <w:rPr>
          <w:bCs/>
        </w:rPr>
        <w:t xml:space="preserve">Законопроектом предусмотрены расходы федерального бюджета </w:t>
      </w:r>
      <w:r w:rsidR="003004EB">
        <w:rPr>
          <w:bCs/>
        </w:rPr>
        <w:br/>
      </w:r>
      <w:r w:rsidR="002C3051" w:rsidRPr="00143121">
        <w:rPr>
          <w:bCs/>
        </w:rPr>
        <w:t xml:space="preserve">на предоставление межбюджетных трансфертов бюджетам субъектов Российской Федерации по </w:t>
      </w:r>
      <w:r w:rsidR="002C3051" w:rsidRPr="00143121">
        <w:rPr>
          <w:b/>
          <w:bCs/>
        </w:rPr>
        <w:t>12 разделам классификации расходов бюджета</w:t>
      </w:r>
      <w:r w:rsidR="00615CEA" w:rsidRPr="00143121">
        <w:rPr>
          <w:rFonts w:eastAsia="Calibri"/>
        </w:rPr>
        <w:t>.</w:t>
      </w:r>
      <w:r w:rsidR="001D7C0C">
        <w:rPr>
          <w:rFonts w:eastAsia="Calibri"/>
        </w:rPr>
        <w:t xml:space="preserve"> </w:t>
      </w:r>
      <w:r w:rsidR="001D7C0C" w:rsidRPr="001D7C0C">
        <w:rPr>
          <w:szCs w:val="28"/>
        </w:rPr>
        <w:t xml:space="preserve">В структуре межбюджетных трансфертов наибольший объем </w:t>
      </w:r>
      <w:r w:rsidR="003D385A">
        <w:rPr>
          <w:szCs w:val="28"/>
        </w:rPr>
        <w:t>(91</w:t>
      </w:r>
      <w:r w:rsidR="00954AEC" w:rsidRPr="00143121">
        <w:t>–</w:t>
      </w:r>
      <w:r w:rsidR="0080629F" w:rsidRPr="00A4081C">
        <w:rPr>
          <w:szCs w:val="28"/>
        </w:rPr>
        <w:t>9</w:t>
      </w:r>
      <w:r w:rsidR="001922A0" w:rsidRPr="00A4081C">
        <w:rPr>
          <w:szCs w:val="28"/>
        </w:rPr>
        <w:t>3</w:t>
      </w:r>
      <w:r w:rsidR="001922A0">
        <w:rPr>
          <w:szCs w:val="28"/>
        </w:rPr>
        <w:t xml:space="preserve"> %) </w:t>
      </w:r>
      <w:r w:rsidR="001D7C0C" w:rsidRPr="001D7C0C">
        <w:rPr>
          <w:szCs w:val="28"/>
        </w:rPr>
        <w:t xml:space="preserve">приходится на </w:t>
      </w:r>
      <w:r w:rsidR="003D385A">
        <w:rPr>
          <w:szCs w:val="28"/>
        </w:rPr>
        <w:t>5</w:t>
      </w:r>
      <w:r w:rsidR="001922A0">
        <w:rPr>
          <w:szCs w:val="28"/>
        </w:rPr>
        <w:t xml:space="preserve"> </w:t>
      </w:r>
      <w:r w:rsidR="001D7C0C" w:rsidRPr="001D7C0C">
        <w:rPr>
          <w:szCs w:val="28"/>
        </w:rPr>
        <w:t>раздел</w:t>
      </w:r>
      <w:r w:rsidR="003D385A">
        <w:rPr>
          <w:szCs w:val="28"/>
        </w:rPr>
        <w:t>ов</w:t>
      </w:r>
      <w:r w:rsidR="001922A0">
        <w:rPr>
          <w:szCs w:val="28"/>
        </w:rPr>
        <w:t>:</w:t>
      </w:r>
      <w:r w:rsidR="001D7C0C" w:rsidRPr="001D7C0C">
        <w:rPr>
          <w:szCs w:val="28"/>
        </w:rPr>
        <w:t xml:space="preserve"> </w:t>
      </w:r>
    </w:p>
    <w:p w:rsidR="001D7C0C" w:rsidRDefault="001D7C0C" w:rsidP="003004EB">
      <w:pPr>
        <w:overflowPunct w:val="0"/>
        <w:autoSpaceDE w:val="0"/>
        <w:autoSpaceDN w:val="0"/>
        <w:adjustRightInd w:val="0"/>
        <w:spacing w:line="360" w:lineRule="auto"/>
        <w:ind w:firstLineChars="295" w:firstLine="708"/>
        <w:jc w:val="both"/>
        <w:rPr>
          <w:szCs w:val="28"/>
        </w:rPr>
      </w:pPr>
      <w:r w:rsidRPr="001D7C0C">
        <w:rPr>
          <w:szCs w:val="28"/>
        </w:rPr>
        <w:t xml:space="preserve">14 «Межбюджетные трансферты общего характера бюджетам бюджетной системы Российской Федерации» </w:t>
      </w:r>
      <w:r w:rsidR="001922A0" w:rsidRPr="001D7C0C">
        <w:rPr>
          <w:szCs w:val="28"/>
        </w:rPr>
        <w:t xml:space="preserve">в 2026 году </w:t>
      </w:r>
      <w:r w:rsidR="00CC0C92" w:rsidRPr="001D7C0C">
        <w:rPr>
          <w:szCs w:val="28"/>
        </w:rPr>
        <w:t>–</w:t>
      </w:r>
      <w:r w:rsidRPr="001D7C0C">
        <w:rPr>
          <w:szCs w:val="28"/>
        </w:rPr>
        <w:t xml:space="preserve"> 4</w:t>
      </w:r>
      <w:r w:rsidR="00E236E2">
        <w:rPr>
          <w:szCs w:val="28"/>
        </w:rPr>
        <w:t>0</w:t>
      </w:r>
      <w:r w:rsidRPr="001D7C0C">
        <w:rPr>
          <w:szCs w:val="28"/>
        </w:rPr>
        <w:t>,</w:t>
      </w:r>
      <w:r w:rsidR="00E236E2">
        <w:rPr>
          <w:szCs w:val="28"/>
        </w:rPr>
        <w:t>7 %, в 2027 году – 38,5</w:t>
      </w:r>
      <w:r w:rsidRPr="001D7C0C">
        <w:rPr>
          <w:szCs w:val="28"/>
        </w:rPr>
        <w:t> %, в 2028 году – 36,</w:t>
      </w:r>
      <w:r w:rsidR="00E236E2">
        <w:rPr>
          <w:szCs w:val="28"/>
        </w:rPr>
        <w:t>7 </w:t>
      </w:r>
      <w:r w:rsidRPr="001D7C0C">
        <w:rPr>
          <w:szCs w:val="28"/>
        </w:rPr>
        <w:t>%</w:t>
      </w:r>
    </w:p>
    <w:p w:rsidR="001D7C0C" w:rsidRDefault="001D7C0C" w:rsidP="003004EB">
      <w:pPr>
        <w:overflowPunct w:val="0"/>
        <w:autoSpaceDE w:val="0"/>
        <w:autoSpaceDN w:val="0"/>
        <w:adjustRightInd w:val="0"/>
        <w:spacing w:line="360" w:lineRule="auto"/>
        <w:ind w:firstLineChars="295" w:firstLine="708"/>
        <w:jc w:val="both"/>
        <w:rPr>
          <w:szCs w:val="28"/>
        </w:rPr>
      </w:pPr>
      <w:r w:rsidRPr="001D7C0C">
        <w:rPr>
          <w:szCs w:val="28"/>
        </w:rPr>
        <w:t xml:space="preserve">04 «Национальная экономика» </w:t>
      </w:r>
      <w:r w:rsidR="000E45E6" w:rsidRPr="001D7C0C">
        <w:rPr>
          <w:szCs w:val="28"/>
        </w:rPr>
        <w:t>–</w:t>
      </w:r>
      <w:r w:rsidRPr="001D7C0C">
        <w:rPr>
          <w:szCs w:val="28"/>
        </w:rPr>
        <w:t xml:space="preserve"> 22</w:t>
      </w:r>
      <w:r w:rsidR="00E236E2">
        <w:rPr>
          <w:szCs w:val="28"/>
        </w:rPr>
        <w:t>,3 %, 24,4 </w:t>
      </w:r>
      <w:r w:rsidRPr="001D7C0C">
        <w:rPr>
          <w:szCs w:val="28"/>
        </w:rPr>
        <w:t>% и 2</w:t>
      </w:r>
      <w:r w:rsidR="00E236E2">
        <w:rPr>
          <w:szCs w:val="28"/>
        </w:rPr>
        <w:t>4 </w:t>
      </w:r>
      <w:r>
        <w:rPr>
          <w:szCs w:val="28"/>
        </w:rPr>
        <w:t>% соответственно;</w:t>
      </w:r>
    </w:p>
    <w:p w:rsidR="001D7C0C" w:rsidRDefault="001D7C0C" w:rsidP="003004EB">
      <w:pPr>
        <w:overflowPunct w:val="0"/>
        <w:autoSpaceDE w:val="0"/>
        <w:autoSpaceDN w:val="0"/>
        <w:adjustRightInd w:val="0"/>
        <w:spacing w:line="360" w:lineRule="auto"/>
        <w:ind w:firstLineChars="295" w:firstLine="708"/>
        <w:jc w:val="both"/>
        <w:rPr>
          <w:szCs w:val="28"/>
        </w:rPr>
      </w:pPr>
      <w:r>
        <w:rPr>
          <w:szCs w:val="28"/>
        </w:rPr>
        <w:t xml:space="preserve">07 «Образование» </w:t>
      </w:r>
      <w:r w:rsidR="000E45E6" w:rsidRPr="001D7C0C">
        <w:rPr>
          <w:szCs w:val="28"/>
        </w:rPr>
        <w:t>–</w:t>
      </w:r>
      <w:r>
        <w:rPr>
          <w:szCs w:val="28"/>
        </w:rPr>
        <w:t xml:space="preserve"> 11,</w:t>
      </w:r>
      <w:r w:rsidR="00E236E2">
        <w:rPr>
          <w:szCs w:val="28"/>
        </w:rPr>
        <w:t>9</w:t>
      </w:r>
      <w:r>
        <w:rPr>
          <w:szCs w:val="28"/>
        </w:rPr>
        <w:t> %, 1</w:t>
      </w:r>
      <w:r w:rsidR="00E236E2">
        <w:rPr>
          <w:szCs w:val="28"/>
        </w:rPr>
        <w:t>1,8</w:t>
      </w:r>
      <w:r>
        <w:rPr>
          <w:szCs w:val="28"/>
        </w:rPr>
        <w:t> %, и 12,5 %</w:t>
      </w:r>
      <w:r w:rsidR="001922A0">
        <w:rPr>
          <w:szCs w:val="28"/>
        </w:rPr>
        <w:t xml:space="preserve"> соотве</w:t>
      </w:r>
      <w:r>
        <w:rPr>
          <w:szCs w:val="28"/>
        </w:rPr>
        <w:t>т</w:t>
      </w:r>
      <w:r w:rsidR="001922A0">
        <w:rPr>
          <w:szCs w:val="28"/>
        </w:rPr>
        <w:t>ст</w:t>
      </w:r>
      <w:r>
        <w:rPr>
          <w:szCs w:val="28"/>
        </w:rPr>
        <w:t>венно</w:t>
      </w:r>
      <w:r w:rsidR="001922A0">
        <w:rPr>
          <w:szCs w:val="28"/>
        </w:rPr>
        <w:t>;</w:t>
      </w:r>
    </w:p>
    <w:p w:rsidR="000E45E6" w:rsidRDefault="000E45E6" w:rsidP="003004EB">
      <w:pPr>
        <w:overflowPunct w:val="0"/>
        <w:autoSpaceDE w:val="0"/>
        <w:autoSpaceDN w:val="0"/>
        <w:adjustRightInd w:val="0"/>
        <w:spacing w:line="360" w:lineRule="auto"/>
        <w:ind w:firstLineChars="295" w:firstLine="708"/>
        <w:jc w:val="both"/>
        <w:rPr>
          <w:szCs w:val="28"/>
        </w:rPr>
      </w:pPr>
      <w:r>
        <w:rPr>
          <w:szCs w:val="28"/>
        </w:rPr>
        <w:t xml:space="preserve">10 «Социальная политика» </w:t>
      </w:r>
      <w:r w:rsidR="003D385A" w:rsidRPr="001D7C0C">
        <w:rPr>
          <w:szCs w:val="28"/>
        </w:rPr>
        <w:t>–</w:t>
      </w:r>
      <w:r>
        <w:rPr>
          <w:szCs w:val="28"/>
        </w:rPr>
        <w:t xml:space="preserve"> 10 %, 9,5 %, 9,5 % соответственно;</w:t>
      </w:r>
    </w:p>
    <w:p w:rsidR="001922A0" w:rsidRPr="001D7C0C" w:rsidRDefault="001922A0" w:rsidP="003004EB">
      <w:pPr>
        <w:overflowPunct w:val="0"/>
        <w:autoSpaceDE w:val="0"/>
        <w:autoSpaceDN w:val="0"/>
        <w:adjustRightInd w:val="0"/>
        <w:spacing w:line="360" w:lineRule="auto"/>
        <w:ind w:firstLineChars="295" w:firstLine="708"/>
        <w:jc w:val="both"/>
        <w:rPr>
          <w:szCs w:val="28"/>
        </w:rPr>
      </w:pPr>
      <w:r>
        <w:rPr>
          <w:szCs w:val="28"/>
        </w:rPr>
        <w:t>09 «Здраво</w:t>
      </w:r>
      <w:r w:rsidR="00E236E2">
        <w:rPr>
          <w:szCs w:val="28"/>
        </w:rPr>
        <w:t>охранение</w:t>
      </w:r>
      <w:r w:rsidR="00C12EF1">
        <w:rPr>
          <w:szCs w:val="28"/>
        </w:rPr>
        <w:t>»</w:t>
      </w:r>
      <w:r w:rsidR="00E236E2">
        <w:rPr>
          <w:szCs w:val="28"/>
        </w:rPr>
        <w:t xml:space="preserve"> </w:t>
      </w:r>
      <w:r w:rsidR="000E45E6" w:rsidRPr="001D7C0C">
        <w:rPr>
          <w:szCs w:val="28"/>
        </w:rPr>
        <w:t>–</w:t>
      </w:r>
      <w:r w:rsidR="00E236E2">
        <w:rPr>
          <w:szCs w:val="28"/>
        </w:rPr>
        <w:t xml:space="preserve"> 7,8</w:t>
      </w:r>
      <w:r>
        <w:rPr>
          <w:szCs w:val="28"/>
        </w:rPr>
        <w:t> %, 7,</w:t>
      </w:r>
      <w:r w:rsidR="00E236E2">
        <w:rPr>
          <w:szCs w:val="28"/>
        </w:rPr>
        <w:t>4 %, 8,7</w:t>
      </w:r>
      <w:r>
        <w:rPr>
          <w:szCs w:val="28"/>
        </w:rPr>
        <w:t xml:space="preserve"> % </w:t>
      </w:r>
      <w:r w:rsidRPr="001922A0">
        <w:rPr>
          <w:szCs w:val="28"/>
        </w:rPr>
        <w:t>соответственно</w:t>
      </w:r>
      <w:r w:rsidR="002A66B5">
        <w:rPr>
          <w:szCs w:val="28"/>
        </w:rPr>
        <w:t>.</w:t>
      </w:r>
    </w:p>
    <w:p w:rsidR="003D385A" w:rsidRPr="003D385A" w:rsidRDefault="003D385A" w:rsidP="003004EB">
      <w:pPr>
        <w:overflowPunct w:val="0"/>
        <w:autoSpaceDE w:val="0"/>
        <w:autoSpaceDN w:val="0"/>
        <w:adjustRightInd w:val="0"/>
        <w:spacing w:line="360" w:lineRule="auto"/>
        <w:ind w:firstLineChars="253" w:firstLine="607"/>
        <w:jc w:val="both"/>
      </w:pPr>
      <w:r w:rsidRPr="003D385A">
        <w:t xml:space="preserve">По отношению к показателям 2025 года снижение межбюджетных трансферта </w:t>
      </w:r>
      <w:r w:rsidR="00EC446A">
        <w:br/>
      </w:r>
      <w:r w:rsidRPr="003D385A">
        <w:t xml:space="preserve">в 2026 году отмечается по 6 разделам, из них наибольшее по </w:t>
      </w:r>
      <w:r w:rsidR="003004EB">
        <w:t>разделу</w:t>
      </w:r>
      <w:r w:rsidR="00EC446A">
        <w:t>:</w:t>
      </w:r>
      <w:r w:rsidRPr="003D385A">
        <w:t xml:space="preserve"> 03 «Национальная безопасность и правоохранительная деятельность» – </w:t>
      </w:r>
      <w:r w:rsidR="003004EB">
        <w:t>в 5 раз</w:t>
      </w:r>
      <w:r w:rsidRPr="003D385A">
        <w:t>. Наибольш</w:t>
      </w:r>
      <w:r w:rsidR="00EC446A">
        <w:t>ее</w:t>
      </w:r>
      <w:r w:rsidRPr="003D385A">
        <w:t xml:space="preserve"> </w:t>
      </w:r>
      <w:r w:rsidR="00EC446A">
        <w:t xml:space="preserve">увеличение </w:t>
      </w:r>
      <w:r w:rsidRPr="003D385A">
        <w:t>бюджетных ассигнова</w:t>
      </w:r>
      <w:r>
        <w:t>ний отмечается по разделам 06 </w:t>
      </w:r>
      <w:r w:rsidR="003004EB">
        <w:t>«Охрана окружающей среды» – в  3</w:t>
      </w:r>
      <w:r w:rsidRPr="003D385A">
        <w:t>,2</w:t>
      </w:r>
      <w:r w:rsidR="003004EB">
        <w:t> </w:t>
      </w:r>
      <w:r w:rsidRPr="003D385A">
        <w:t>раза, 08</w:t>
      </w:r>
      <w:r>
        <w:t> </w:t>
      </w:r>
      <w:r w:rsidRPr="003D385A">
        <w:t>«Культура и кинематография» –</w:t>
      </w:r>
      <w:r>
        <w:t xml:space="preserve"> в 1,8 раза, 11 «</w:t>
      </w:r>
      <w:r w:rsidRPr="003D385A">
        <w:t>Физическая культура и спорт» –</w:t>
      </w:r>
      <w:r>
        <w:t xml:space="preserve"> на 29,7 %, 02 </w:t>
      </w:r>
      <w:r w:rsidRPr="003D385A">
        <w:t>«Национальная оборона» –</w:t>
      </w:r>
      <w:r>
        <w:t xml:space="preserve"> </w:t>
      </w:r>
      <w:r w:rsidR="00EC446A">
        <w:t>на 27,3 </w:t>
      </w:r>
      <w:r w:rsidRPr="003D385A">
        <w:t>%.</w:t>
      </w:r>
    </w:p>
    <w:p w:rsidR="00EC446A" w:rsidRDefault="00014F19" w:rsidP="003004EB">
      <w:pPr>
        <w:spacing w:line="360" w:lineRule="auto"/>
        <w:ind w:firstLine="709"/>
        <w:jc w:val="both"/>
      </w:pPr>
      <w:r w:rsidRPr="00014F19">
        <w:rPr>
          <w:b/>
        </w:rPr>
        <w:t>15.7</w:t>
      </w:r>
      <w:r w:rsidRPr="00014F19">
        <w:rPr>
          <w:b/>
          <w:bCs/>
        </w:rPr>
        <w:t>.</w:t>
      </w:r>
      <w:r>
        <w:rPr>
          <w:b/>
          <w:bCs/>
        </w:rPr>
        <w:t>4</w:t>
      </w:r>
      <w:r w:rsidRPr="00014F19">
        <w:rPr>
          <w:b/>
          <w:bCs/>
        </w:rPr>
        <w:t>.</w:t>
      </w:r>
      <w:r w:rsidRPr="00014F19">
        <w:rPr>
          <w:bCs/>
        </w:rPr>
        <w:t xml:space="preserve"> </w:t>
      </w:r>
      <w:r w:rsidR="002C3051" w:rsidRPr="0093419A">
        <w:t xml:space="preserve">В соответствии с законопроектом </w:t>
      </w:r>
      <w:r w:rsidR="00615CEA" w:rsidRPr="0093419A">
        <w:t>м</w:t>
      </w:r>
      <w:r w:rsidR="002C3051" w:rsidRPr="0093419A">
        <w:rPr>
          <w:bCs/>
        </w:rPr>
        <w:t>ежбюджетные трансферты в 202</w:t>
      </w:r>
      <w:r w:rsidR="00772771" w:rsidRPr="0093419A">
        <w:rPr>
          <w:bCs/>
        </w:rPr>
        <w:t>6 и 2027</w:t>
      </w:r>
      <w:r w:rsidR="00954AEC">
        <w:rPr>
          <w:bCs/>
        </w:rPr>
        <w:t> </w:t>
      </w:r>
      <w:r w:rsidR="002C3051" w:rsidRPr="0093419A">
        <w:rPr>
          <w:bCs/>
        </w:rPr>
        <w:t>год</w:t>
      </w:r>
      <w:r w:rsidR="00772771" w:rsidRPr="0093419A">
        <w:rPr>
          <w:bCs/>
        </w:rPr>
        <w:t>ах</w:t>
      </w:r>
      <w:r w:rsidR="002C3051" w:rsidRPr="0093419A">
        <w:rPr>
          <w:bCs/>
        </w:rPr>
        <w:t xml:space="preserve"> </w:t>
      </w:r>
      <w:r w:rsidR="002C3051" w:rsidRPr="0093419A">
        <w:t>предусматриваются по 3</w:t>
      </w:r>
      <w:r w:rsidR="00365E56" w:rsidRPr="0093419A">
        <w:t>5</w:t>
      </w:r>
      <w:r w:rsidR="002C3051" w:rsidRPr="0093419A">
        <w:t xml:space="preserve"> </w:t>
      </w:r>
      <w:r w:rsidR="00484DE7" w:rsidRPr="0093419A">
        <w:t>государственным программам Российской Федерации (далее – госпрограммы)</w:t>
      </w:r>
      <w:r w:rsidR="0093419A">
        <w:t xml:space="preserve">, </w:t>
      </w:r>
      <w:r w:rsidR="0093419A" w:rsidRPr="0093419A">
        <w:t>в 2028 году – по 34 госпрограммам</w:t>
      </w:r>
      <w:r w:rsidR="00EC446A">
        <w:t>.</w:t>
      </w:r>
      <w:r w:rsidR="0093419A" w:rsidRPr="0093419A">
        <w:t xml:space="preserve"> </w:t>
      </w:r>
    </w:p>
    <w:p w:rsidR="0093419A" w:rsidRDefault="00EC446A" w:rsidP="003004EB">
      <w:pPr>
        <w:spacing w:line="360" w:lineRule="auto"/>
        <w:ind w:firstLine="709"/>
        <w:jc w:val="both"/>
      </w:pPr>
      <w:r>
        <w:t>П</w:t>
      </w:r>
      <w:r w:rsidR="0093419A">
        <w:t xml:space="preserve">ри этом </w:t>
      </w:r>
      <w:r w:rsidR="0093419A" w:rsidRPr="0093419A">
        <w:t>по госпрограмме «Национальная система пространственных данных»</w:t>
      </w:r>
      <w:r w:rsidR="0093419A">
        <w:t xml:space="preserve"> </w:t>
      </w:r>
      <w:r w:rsidR="002255F3">
        <w:br/>
      </w:r>
      <w:r w:rsidR="0093419A" w:rsidRPr="0093419A">
        <w:t>не планируются межбюджетные трансферты</w:t>
      </w:r>
      <w:r w:rsidR="0093419A">
        <w:t xml:space="preserve"> на 2026 год, </w:t>
      </w:r>
      <w:r w:rsidR="0093419A" w:rsidRPr="0093419A">
        <w:t>по госпрограмме «Развитие рыбохозяйственного комплекса»</w:t>
      </w:r>
      <w:r w:rsidR="003004EB">
        <w:t xml:space="preserve"> на 2027 и 2028 годы</w:t>
      </w:r>
      <w:r w:rsidR="0093419A">
        <w:t>.</w:t>
      </w:r>
    </w:p>
    <w:p w:rsidR="003004EB" w:rsidRPr="00143121" w:rsidRDefault="00615CEA" w:rsidP="003004EB">
      <w:pPr>
        <w:spacing w:line="360" w:lineRule="auto"/>
        <w:ind w:firstLine="709"/>
        <w:jc w:val="both"/>
        <w:rPr>
          <w:rFonts w:eastAsia="Calibri"/>
        </w:rPr>
      </w:pPr>
      <w:bookmarkStart w:id="1" w:name="OLE_LINK2"/>
      <w:bookmarkStart w:id="2" w:name="OLE_LINK1"/>
      <w:r w:rsidRPr="00143121">
        <w:t>Информация</w:t>
      </w:r>
      <w:r w:rsidRPr="00143121">
        <w:rPr>
          <w:rFonts w:eastAsia="Calibri"/>
        </w:rPr>
        <w:t xml:space="preserve"> о межбюджетных трансферт</w:t>
      </w:r>
      <w:r w:rsidR="00933997" w:rsidRPr="00143121">
        <w:rPr>
          <w:rFonts w:eastAsia="Calibri"/>
        </w:rPr>
        <w:t>ах</w:t>
      </w:r>
      <w:r w:rsidRPr="00143121">
        <w:rPr>
          <w:rFonts w:eastAsia="Calibri"/>
        </w:rPr>
        <w:t xml:space="preserve"> в разрезе </w:t>
      </w:r>
      <w:r w:rsidR="003B69F2" w:rsidRPr="00143121">
        <w:rPr>
          <w:rFonts w:eastAsia="Calibri"/>
        </w:rPr>
        <w:t xml:space="preserve">основных </w:t>
      </w:r>
      <w:r w:rsidRPr="00143121">
        <w:rPr>
          <w:rFonts w:eastAsia="Calibri"/>
        </w:rPr>
        <w:t xml:space="preserve">госпрограмм </w:t>
      </w:r>
      <w:r w:rsidR="003D4500">
        <w:rPr>
          <w:rFonts w:eastAsia="Calibri"/>
        </w:rPr>
        <w:br/>
      </w:r>
      <w:r w:rsidRPr="00143121">
        <w:rPr>
          <w:rFonts w:eastAsia="Calibri"/>
        </w:rPr>
        <w:t>в 202</w:t>
      </w:r>
      <w:r w:rsidR="003D4500" w:rsidRPr="003D4500">
        <w:rPr>
          <w:rFonts w:eastAsia="Calibri"/>
        </w:rPr>
        <w:t>5</w:t>
      </w:r>
      <w:r w:rsidR="00B9628E" w:rsidRPr="00143121">
        <w:rPr>
          <w:rFonts w:eastAsia="Calibri"/>
        </w:rPr>
        <w:t>–</w:t>
      </w:r>
      <w:r w:rsidRPr="00143121">
        <w:rPr>
          <w:rFonts w:eastAsia="Calibri"/>
        </w:rPr>
        <w:t>202</w:t>
      </w:r>
      <w:r w:rsidR="00143121">
        <w:rPr>
          <w:rFonts w:eastAsia="Calibri"/>
        </w:rPr>
        <w:t>8</w:t>
      </w:r>
      <w:r w:rsidRPr="00143121">
        <w:rPr>
          <w:rFonts w:eastAsia="Calibri"/>
        </w:rPr>
        <w:t xml:space="preserve"> годах представлена в следующей таблице.</w:t>
      </w:r>
    </w:p>
    <w:p w:rsidR="00754716" w:rsidRPr="00143121" w:rsidRDefault="00754716" w:rsidP="003004EB">
      <w:pPr>
        <w:spacing w:line="360" w:lineRule="auto"/>
        <w:jc w:val="right"/>
        <w:rPr>
          <w:sz w:val="20"/>
        </w:rPr>
      </w:pPr>
      <w:r w:rsidRPr="00143121">
        <w:rPr>
          <w:sz w:val="20"/>
        </w:rPr>
        <w:lastRenderedPageBreak/>
        <w:t>(млн рублей)</w:t>
      </w:r>
    </w:p>
    <w:tbl>
      <w:tblPr>
        <w:tblW w:w="9639" w:type="dxa"/>
        <w:tblInd w:w="108" w:type="dxa"/>
        <w:tblLayout w:type="fixed"/>
        <w:tblLook w:val="04A0" w:firstRow="1" w:lastRow="0" w:firstColumn="1" w:lastColumn="0" w:noHBand="0" w:noVBand="1"/>
      </w:tblPr>
      <w:tblGrid>
        <w:gridCol w:w="4395"/>
        <w:gridCol w:w="1311"/>
        <w:gridCol w:w="1311"/>
        <w:gridCol w:w="1311"/>
        <w:gridCol w:w="1311"/>
      </w:tblGrid>
      <w:tr w:rsidR="003D4500" w:rsidRPr="00143121" w:rsidTr="003004EB">
        <w:trPr>
          <w:trHeight w:val="555"/>
          <w:tblHead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3D4500" w:rsidRPr="00A42252" w:rsidRDefault="003D4500" w:rsidP="003004EB">
            <w:pPr>
              <w:spacing w:line="360" w:lineRule="auto"/>
              <w:jc w:val="center"/>
              <w:rPr>
                <w:rFonts w:eastAsia="Calibri"/>
                <w:b/>
                <w:sz w:val="16"/>
                <w:szCs w:val="18"/>
              </w:rPr>
            </w:pPr>
            <w:r w:rsidRPr="00A42252">
              <w:rPr>
                <w:b/>
                <w:bCs/>
                <w:sz w:val="16"/>
                <w:szCs w:val="18"/>
              </w:rPr>
              <w:t>Наименование госпрограммы</w:t>
            </w:r>
          </w:p>
        </w:tc>
        <w:tc>
          <w:tcPr>
            <w:tcW w:w="1311" w:type="dxa"/>
            <w:tcBorders>
              <w:top w:val="single" w:sz="4" w:space="0" w:color="auto"/>
              <w:left w:val="single" w:sz="4" w:space="0" w:color="auto"/>
              <w:bottom w:val="single" w:sz="4" w:space="0" w:color="auto"/>
              <w:right w:val="single" w:sz="4" w:space="0" w:color="auto"/>
            </w:tcBorders>
            <w:shd w:val="clear" w:color="auto" w:fill="auto"/>
            <w:noWrap/>
          </w:tcPr>
          <w:p w:rsidR="003D4500" w:rsidRPr="00143121" w:rsidRDefault="003D4500" w:rsidP="003004EB">
            <w:pPr>
              <w:jc w:val="center"/>
              <w:rPr>
                <w:b/>
                <w:bCs/>
                <w:sz w:val="16"/>
                <w:szCs w:val="18"/>
              </w:rPr>
            </w:pPr>
            <w:r w:rsidRPr="00143121">
              <w:rPr>
                <w:b/>
                <w:bCs/>
                <w:sz w:val="16"/>
                <w:szCs w:val="18"/>
              </w:rPr>
              <w:t>2025 год</w:t>
            </w:r>
          </w:p>
          <w:p w:rsidR="003D4500" w:rsidRPr="00143121" w:rsidRDefault="003D4500" w:rsidP="003004EB">
            <w:pPr>
              <w:ind w:left="-168" w:right="-108"/>
              <w:jc w:val="center"/>
              <w:rPr>
                <w:bCs/>
                <w:sz w:val="16"/>
                <w:szCs w:val="18"/>
              </w:rPr>
            </w:pPr>
            <w:r w:rsidRPr="00143121">
              <w:rPr>
                <w:bCs/>
                <w:sz w:val="16"/>
                <w:szCs w:val="18"/>
              </w:rPr>
              <w:t>(сводная роспись на 01.09.2025)</w:t>
            </w:r>
          </w:p>
        </w:tc>
        <w:tc>
          <w:tcPr>
            <w:tcW w:w="1311" w:type="dxa"/>
            <w:tcBorders>
              <w:top w:val="single" w:sz="4" w:space="0" w:color="auto"/>
              <w:left w:val="nil"/>
              <w:bottom w:val="single" w:sz="4" w:space="0" w:color="auto"/>
              <w:right w:val="single" w:sz="4" w:space="0" w:color="auto"/>
            </w:tcBorders>
            <w:shd w:val="clear" w:color="auto" w:fill="auto"/>
            <w:noWrap/>
          </w:tcPr>
          <w:p w:rsidR="003D4500" w:rsidRPr="00143121" w:rsidRDefault="003D4500" w:rsidP="003004EB">
            <w:pPr>
              <w:ind w:left="-168" w:right="-108"/>
              <w:jc w:val="center"/>
              <w:rPr>
                <w:b/>
                <w:bCs/>
                <w:sz w:val="16"/>
                <w:szCs w:val="18"/>
              </w:rPr>
            </w:pPr>
            <w:r w:rsidRPr="00143121">
              <w:rPr>
                <w:b/>
                <w:bCs/>
                <w:sz w:val="16"/>
                <w:szCs w:val="18"/>
              </w:rPr>
              <w:t>2026 год</w:t>
            </w:r>
          </w:p>
          <w:p w:rsidR="003D4500" w:rsidRPr="00143121" w:rsidRDefault="003D4500" w:rsidP="003004EB">
            <w:pPr>
              <w:ind w:left="-57" w:right="-57"/>
              <w:jc w:val="center"/>
              <w:rPr>
                <w:rFonts w:eastAsia="Calibri"/>
                <w:sz w:val="16"/>
                <w:szCs w:val="18"/>
              </w:rPr>
            </w:pPr>
            <w:r w:rsidRPr="00143121">
              <w:rPr>
                <w:bCs/>
                <w:sz w:val="16"/>
                <w:szCs w:val="18"/>
              </w:rPr>
              <w:t>(прогноз)</w:t>
            </w:r>
          </w:p>
        </w:tc>
        <w:tc>
          <w:tcPr>
            <w:tcW w:w="1311" w:type="dxa"/>
            <w:tcBorders>
              <w:top w:val="single" w:sz="4" w:space="0" w:color="auto"/>
              <w:left w:val="nil"/>
              <w:bottom w:val="single" w:sz="4" w:space="0" w:color="auto"/>
              <w:right w:val="single" w:sz="4" w:space="0" w:color="auto"/>
            </w:tcBorders>
            <w:shd w:val="clear" w:color="auto" w:fill="auto"/>
            <w:noWrap/>
          </w:tcPr>
          <w:p w:rsidR="003D4500" w:rsidRPr="00143121" w:rsidRDefault="003D4500" w:rsidP="003004EB">
            <w:pPr>
              <w:ind w:left="-57" w:right="-57"/>
              <w:jc w:val="center"/>
              <w:rPr>
                <w:b/>
                <w:bCs/>
                <w:sz w:val="16"/>
                <w:szCs w:val="18"/>
              </w:rPr>
            </w:pPr>
            <w:r w:rsidRPr="00143121">
              <w:rPr>
                <w:b/>
                <w:bCs/>
                <w:sz w:val="16"/>
                <w:szCs w:val="18"/>
              </w:rPr>
              <w:t>2027 год</w:t>
            </w:r>
          </w:p>
          <w:p w:rsidR="003D4500" w:rsidRPr="00143121" w:rsidRDefault="003D4500" w:rsidP="003004EB">
            <w:pPr>
              <w:ind w:left="-57" w:right="-57"/>
              <w:jc w:val="center"/>
              <w:rPr>
                <w:rFonts w:eastAsia="Calibri"/>
                <w:sz w:val="16"/>
                <w:szCs w:val="18"/>
              </w:rPr>
            </w:pPr>
            <w:r w:rsidRPr="00143121">
              <w:rPr>
                <w:bCs/>
                <w:sz w:val="16"/>
                <w:szCs w:val="18"/>
              </w:rPr>
              <w:t>(прогноз)</w:t>
            </w:r>
          </w:p>
        </w:tc>
        <w:tc>
          <w:tcPr>
            <w:tcW w:w="1311" w:type="dxa"/>
            <w:tcBorders>
              <w:top w:val="single" w:sz="4" w:space="0" w:color="auto"/>
              <w:left w:val="nil"/>
              <w:bottom w:val="single" w:sz="4" w:space="0" w:color="auto"/>
              <w:right w:val="single" w:sz="4" w:space="0" w:color="auto"/>
            </w:tcBorders>
            <w:shd w:val="clear" w:color="auto" w:fill="auto"/>
            <w:noWrap/>
          </w:tcPr>
          <w:p w:rsidR="003D4500" w:rsidRPr="00143121" w:rsidRDefault="003D4500" w:rsidP="003004EB">
            <w:pPr>
              <w:ind w:left="-131" w:right="-108"/>
              <w:jc w:val="center"/>
              <w:rPr>
                <w:b/>
                <w:bCs/>
                <w:sz w:val="16"/>
                <w:szCs w:val="18"/>
              </w:rPr>
            </w:pPr>
            <w:r w:rsidRPr="00143121">
              <w:rPr>
                <w:b/>
                <w:bCs/>
                <w:sz w:val="16"/>
                <w:szCs w:val="18"/>
              </w:rPr>
              <w:t>2028 год</w:t>
            </w:r>
          </w:p>
          <w:p w:rsidR="003D4500" w:rsidRPr="00143121" w:rsidRDefault="003D4500" w:rsidP="003004EB">
            <w:pPr>
              <w:ind w:left="-57" w:right="-57"/>
              <w:jc w:val="center"/>
              <w:rPr>
                <w:rFonts w:eastAsia="Calibri"/>
                <w:sz w:val="16"/>
                <w:szCs w:val="18"/>
              </w:rPr>
            </w:pPr>
            <w:r w:rsidRPr="00143121">
              <w:rPr>
                <w:bCs/>
                <w:sz w:val="16"/>
                <w:szCs w:val="18"/>
              </w:rPr>
              <w:t>(прогноз)</w:t>
            </w:r>
          </w:p>
        </w:tc>
      </w:tr>
      <w:tr w:rsidR="003D4500" w:rsidRPr="00143121" w:rsidTr="003D4500">
        <w:trPr>
          <w:trHeight w:val="283"/>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D4500" w:rsidRPr="00A42252" w:rsidRDefault="003D4500" w:rsidP="00A42252">
            <w:pPr>
              <w:ind w:right="-57"/>
              <w:jc w:val="both"/>
              <w:rPr>
                <w:b/>
                <w:bCs/>
                <w:sz w:val="16"/>
                <w:szCs w:val="16"/>
              </w:rPr>
            </w:pPr>
            <w:r>
              <w:rPr>
                <w:b/>
                <w:bCs/>
                <w:sz w:val="16"/>
                <w:szCs w:val="16"/>
              </w:rPr>
              <w:t xml:space="preserve">Межбюджетные трансферты в рамках госпрограмм </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A42252">
            <w:pPr>
              <w:ind w:left="-50" w:right="-52"/>
              <w:jc w:val="center"/>
              <w:rPr>
                <w:b/>
                <w:bCs/>
                <w:sz w:val="17"/>
                <w:szCs w:val="17"/>
              </w:rPr>
            </w:pPr>
            <w:r w:rsidRPr="00EC446A">
              <w:rPr>
                <w:b/>
                <w:bCs/>
                <w:sz w:val="17"/>
                <w:szCs w:val="17"/>
              </w:rPr>
              <w:t>3 778 772,8</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A42252">
            <w:pPr>
              <w:jc w:val="center"/>
              <w:rPr>
                <w:b/>
                <w:bCs/>
                <w:sz w:val="17"/>
                <w:szCs w:val="17"/>
              </w:rPr>
            </w:pPr>
            <w:r>
              <w:rPr>
                <w:b/>
                <w:bCs/>
                <w:sz w:val="17"/>
                <w:szCs w:val="17"/>
              </w:rPr>
              <w:t>3 546 513,4</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A42252">
            <w:pPr>
              <w:jc w:val="center"/>
              <w:rPr>
                <w:b/>
                <w:bCs/>
                <w:sz w:val="17"/>
                <w:szCs w:val="17"/>
              </w:rPr>
            </w:pPr>
            <w:r>
              <w:rPr>
                <w:b/>
                <w:bCs/>
                <w:sz w:val="17"/>
                <w:szCs w:val="17"/>
              </w:rPr>
              <w:t>3 752 398,9</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A42252">
            <w:pPr>
              <w:jc w:val="center"/>
              <w:rPr>
                <w:b/>
                <w:bCs/>
                <w:sz w:val="17"/>
                <w:szCs w:val="17"/>
              </w:rPr>
            </w:pPr>
            <w:r>
              <w:rPr>
                <w:b/>
                <w:bCs/>
                <w:sz w:val="17"/>
                <w:szCs w:val="17"/>
              </w:rPr>
              <w:t>4 032 753,0</w:t>
            </w:r>
          </w:p>
        </w:tc>
      </w:tr>
      <w:tr w:rsidR="003D4500" w:rsidRPr="00EC446A" w:rsidTr="003D4500">
        <w:trPr>
          <w:trHeight w:val="170"/>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EC446A" w:rsidRDefault="003D4500" w:rsidP="00EC446A">
            <w:pPr>
              <w:ind w:right="-57"/>
              <w:jc w:val="both"/>
              <w:rPr>
                <w:bCs/>
                <w:i/>
                <w:sz w:val="16"/>
                <w:szCs w:val="16"/>
              </w:rPr>
            </w:pPr>
            <w:r w:rsidRPr="00EC446A">
              <w:rPr>
                <w:i/>
                <w:iCs/>
                <w:sz w:val="16"/>
                <w:szCs w:val="16"/>
              </w:rPr>
              <w:t>в % к предыдущему году</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ind w:left="-50" w:right="-52"/>
              <w:jc w:val="center"/>
              <w:rPr>
                <w:bCs/>
                <w:i/>
                <w:sz w:val="17"/>
                <w:szCs w:val="17"/>
              </w:rPr>
            </w:pPr>
            <w:r w:rsidRPr="00EC446A">
              <w:rPr>
                <w:bCs/>
                <w:i/>
                <w:sz w:val="17"/>
                <w:szCs w:val="17"/>
              </w:rPr>
              <w:t>104,8</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jc w:val="center"/>
              <w:rPr>
                <w:bCs/>
                <w:i/>
                <w:sz w:val="17"/>
                <w:szCs w:val="17"/>
              </w:rPr>
            </w:pPr>
            <w:r w:rsidRPr="00EC446A">
              <w:rPr>
                <w:bCs/>
                <w:i/>
                <w:sz w:val="17"/>
                <w:szCs w:val="17"/>
              </w:rPr>
              <w:t>93,9</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jc w:val="center"/>
              <w:rPr>
                <w:bCs/>
                <w:i/>
                <w:sz w:val="17"/>
                <w:szCs w:val="17"/>
              </w:rPr>
            </w:pPr>
            <w:r w:rsidRPr="00EC446A">
              <w:rPr>
                <w:bCs/>
                <w:i/>
                <w:sz w:val="17"/>
                <w:szCs w:val="17"/>
              </w:rPr>
              <w:t>105,8</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jc w:val="center"/>
              <w:rPr>
                <w:bCs/>
                <w:i/>
                <w:sz w:val="17"/>
                <w:szCs w:val="17"/>
              </w:rPr>
            </w:pPr>
            <w:r w:rsidRPr="00EC446A">
              <w:rPr>
                <w:bCs/>
                <w:i/>
                <w:sz w:val="17"/>
                <w:szCs w:val="17"/>
              </w:rPr>
              <w:t>107,5</w:t>
            </w:r>
          </w:p>
        </w:tc>
      </w:tr>
      <w:tr w:rsidR="003D4500" w:rsidRPr="00EC446A" w:rsidTr="003D4500">
        <w:trPr>
          <w:trHeight w:val="1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D4500" w:rsidRPr="00EC446A" w:rsidRDefault="003D4500" w:rsidP="00EC446A">
            <w:pPr>
              <w:ind w:right="-57"/>
              <w:jc w:val="both"/>
              <w:rPr>
                <w:bCs/>
                <w:sz w:val="16"/>
                <w:szCs w:val="16"/>
              </w:rPr>
            </w:pPr>
            <w:r w:rsidRPr="00EC446A">
              <w:rPr>
                <w:bCs/>
                <w:sz w:val="16"/>
                <w:szCs w:val="16"/>
              </w:rPr>
              <w:t xml:space="preserve">    в том числе</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ind w:left="-50" w:right="-52"/>
              <w:jc w:val="center"/>
              <w:rPr>
                <w:bCs/>
                <w:sz w:val="17"/>
                <w:szCs w:val="17"/>
              </w:rPr>
            </w:pP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jc w:val="center"/>
              <w:rPr>
                <w:bCs/>
                <w:sz w:val="17"/>
                <w:szCs w:val="17"/>
              </w:rPr>
            </w:pP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jc w:val="center"/>
              <w:rPr>
                <w:bCs/>
                <w:sz w:val="17"/>
                <w:szCs w:val="17"/>
              </w:rPr>
            </w:pP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EC446A" w:rsidRDefault="003D4500" w:rsidP="00EC446A">
            <w:pPr>
              <w:jc w:val="center"/>
              <w:rPr>
                <w:bCs/>
                <w:sz w:val="17"/>
                <w:szCs w:val="17"/>
              </w:rPr>
            </w:pPr>
          </w:p>
        </w:tc>
      </w:tr>
      <w:tr w:rsidR="003D4500" w:rsidRPr="00143121" w:rsidTr="003D4500">
        <w:trPr>
          <w:trHeight w:val="283"/>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right="-57"/>
              <w:jc w:val="both"/>
              <w:rPr>
                <w:sz w:val="16"/>
                <w:szCs w:val="16"/>
              </w:rPr>
            </w:pPr>
            <w:r w:rsidRPr="00A42252">
              <w:rPr>
                <w:b/>
                <w:bCs/>
                <w:sz w:val="16"/>
                <w:szCs w:val="16"/>
              </w:rPr>
              <w:t>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sidRPr="00A42252">
              <w:rPr>
                <w:b/>
                <w:bCs/>
                <w:sz w:val="17"/>
                <w:szCs w:val="17"/>
              </w:rPr>
              <w:t>1 304 520,0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1 390 455,2</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1 355 775,7</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1 363 075,4</w:t>
            </w:r>
          </w:p>
        </w:tc>
      </w:tr>
      <w:tr w:rsidR="003D4500" w:rsidRPr="00143121" w:rsidTr="003D4500">
        <w:trPr>
          <w:trHeight w:val="227"/>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sz w:val="16"/>
                <w:szCs w:val="16"/>
              </w:rPr>
            </w:pPr>
            <w:r w:rsidRPr="00A42252">
              <w:rPr>
                <w:iCs/>
                <w:sz w:val="16"/>
                <w:szCs w:val="16"/>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Pr>
                <w:i/>
                <w:iCs/>
                <w:sz w:val="17"/>
                <w:szCs w:val="17"/>
              </w:rPr>
              <w:t>102,8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106,6</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97,5</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100,5</w:t>
            </w:r>
          </w:p>
        </w:tc>
      </w:tr>
      <w:tr w:rsidR="003D4500" w:rsidRPr="00143121" w:rsidTr="003D4500">
        <w:trPr>
          <w:trHeight w:val="22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D4500" w:rsidRPr="00A42252" w:rsidRDefault="003D4500" w:rsidP="00EC446A">
            <w:pPr>
              <w:ind w:right="-57"/>
              <w:jc w:val="both"/>
              <w:rPr>
                <w:sz w:val="16"/>
                <w:szCs w:val="16"/>
              </w:rPr>
            </w:pPr>
            <w:r w:rsidRPr="00A42252">
              <w:rPr>
                <w:b/>
                <w:bCs/>
                <w:sz w:val="16"/>
                <w:szCs w:val="16"/>
              </w:rPr>
              <w:t>Развитие образования</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ind w:left="-50" w:right="-52"/>
              <w:jc w:val="center"/>
              <w:rPr>
                <w:sz w:val="16"/>
                <w:szCs w:val="16"/>
              </w:rPr>
            </w:pPr>
            <w:r w:rsidRPr="00A42252">
              <w:rPr>
                <w:b/>
                <w:bCs/>
                <w:sz w:val="17"/>
                <w:szCs w:val="17"/>
              </w:rPr>
              <w:t>378 038,0</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396 268,0</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412 189,0</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492 099,2</w:t>
            </w:r>
          </w:p>
        </w:tc>
      </w:tr>
      <w:tr w:rsidR="003D4500" w:rsidRPr="00143121" w:rsidTr="003D4500">
        <w:trPr>
          <w:trHeight w:val="198"/>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iCs/>
                <w:sz w:val="16"/>
                <w:szCs w:val="18"/>
                <w:lang w:eastAsia="zh-TW"/>
              </w:rPr>
            </w:pPr>
            <w:r w:rsidRPr="00A42252">
              <w:rPr>
                <w:iCs/>
                <w:sz w:val="16"/>
                <w:szCs w:val="16"/>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35633C">
            <w:pPr>
              <w:ind w:left="-50" w:right="-52"/>
              <w:jc w:val="center"/>
              <w:rPr>
                <w:sz w:val="16"/>
                <w:szCs w:val="16"/>
              </w:rPr>
            </w:pPr>
            <w:r>
              <w:rPr>
                <w:i/>
                <w:iCs/>
                <w:sz w:val="17"/>
                <w:szCs w:val="17"/>
              </w:rPr>
              <w:t>87,7</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104,8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104,0</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119,4</w:t>
            </w:r>
          </w:p>
        </w:tc>
      </w:tr>
      <w:tr w:rsidR="003D4500" w:rsidRPr="00143121" w:rsidTr="003D4500">
        <w:trPr>
          <w:trHeight w:val="22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D4500" w:rsidRPr="00A42252" w:rsidRDefault="003D4500" w:rsidP="00EC446A">
            <w:pPr>
              <w:ind w:right="-57"/>
              <w:jc w:val="both"/>
              <w:rPr>
                <w:sz w:val="16"/>
                <w:szCs w:val="16"/>
              </w:rPr>
            </w:pPr>
            <w:r w:rsidRPr="00A42252">
              <w:rPr>
                <w:b/>
                <w:bCs/>
                <w:sz w:val="16"/>
                <w:szCs w:val="16"/>
              </w:rPr>
              <w:t>Развитие транспортной системы</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ind w:left="-50" w:right="-52"/>
              <w:jc w:val="center"/>
              <w:rPr>
                <w:sz w:val="16"/>
                <w:szCs w:val="16"/>
              </w:rPr>
            </w:pPr>
            <w:r w:rsidRPr="00A42252">
              <w:rPr>
                <w:b/>
                <w:bCs/>
                <w:sz w:val="17"/>
                <w:szCs w:val="17"/>
              </w:rPr>
              <w:t>407 095,9</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340 610,3</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429 988,5</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442 281,5</w:t>
            </w:r>
          </w:p>
        </w:tc>
      </w:tr>
      <w:tr w:rsidR="003D4500" w:rsidRPr="00143121" w:rsidTr="003D4500">
        <w:trPr>
          <w:trHeight w:val="198"/>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iCs/>
                <w:sz w:val="16"/>
                <w:szCs w:val="18"/>
                <w:lang w:eastAsia="zh-TW"/>
              </w:rPr>
            </w:pPr>
            <w:r w:rsidRPr="00A42252">
              <w:rPr>
                <w:iCs/>
                <w:sz w:val="16"/>
                <w:szCs w:val="16"/>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Pr>
                <w:i/>
                <w:iCs/>
                <w:sz w:val="17"/>
                <w:szCs w:val="17"/>
              </w:rPr>
              <w:t>116,8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83,7</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126,2</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102,9</w:t>
            </w:r>
          </w:p>
        </w:tc>
      </w:tr>
      <w:tr w:rsidR="003D4500" w:rsidRPr="00143121" w:rsidTr="003D4500">
        <w:trPr>
          <w:trHeight w:val="22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D4500" w:rsidRPr="00A42252" w:rsidRDefault="003D4500" w:rsidP="00EC446A">
            <w:pPr>
              <w:ind w:right="-57"/>
              <w:jc w:val="both"/>
              <w:rPr>
                <w:sz w:val="16"/>
                <w:szCs w:val="16"/>
              </w:rPr>
            </w:pPr>
            <w:r w:rsidRPr="00A42252">
              <w:rPr>
                <w:b/>
                <w:bCs/>
                <w:sz w:val="16"/>
                <w:szCs w:val="16"/>
              </w:rPr>
              <w:t>Развитие здравоохранения</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ind w:left="-50" w:right="-52"/>
              <w:jc w:val="center"/>
              <w:rPr>
                <w:sz w:val="16"/>
                <w:szCs w:val="16"/>
              </w:rPr>
            </w:pPr>
            <w:r w:rsidRPr="00A42252">
              <w:rPr>
                <w:b/>
                <w:bCs/>
                <w:sz w:val="17"/>
                <w:szCs w:val="17"/>
              </w:rPr>
              <w:t>376 502,8</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270 298,2</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271 281,8</w:t>
            </w:r>
          </w:p>
        </w:tc>
        <w:tc>
          <w:tcPr>
            <w:tcW w:w="1311" w:type="dxa"/>
            <w:tcBorders>
              <w:top w:val="nil"/>
              <w:left w:val="nil"/>
              <w:bottom w:val="single" w:sz="4" w:space="0" w:color="auto"/>
              <w:right w:val="single" w:sz="4" w:space="0" w:color="auto"/>
            </w:tcBorders>
            <w:shd w:val="clear" w:color="auto" w:fill="auto"/>
            <w:noWrap/>
            <w:vAlign w:val="center"/>
            <w:hideMark/>
          </w:tcPr>
          <w:p w:rsidR="003D4500" w:rsidRPr="00A42252" w:rsidRDefault="003D4500" w:rsidP="00EC446A">
            <w:pPr>
              <w:jc w:val="center"/>
              <w:rPr>
                <w:sz w:val="16"/>
                <w:szCs w:val="16"/>
              </w:rPr>
            </w:pPr>
            <w:r w:rsidRPr="00A42252">
              <w:rPr>
                <w:b/>
                <w:bCs/>
                <w:sz w:val="17"/>
                <w:szCs w:val="17"/>
              </w:rPr>
              <w:t>351 167,6</w:t>
            </w:r>
          </w:p>
        </w:tc>
      </w:tr>
      <w:tr w:rsidR="003D4500" w:rsidRPr="00143121" w:rsidTr="003D4500">
        <w:trPr>
          <w:trHeight w:val="198"/>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iCs/>
                <w:sz w:val="16"/>
                <w:szCs w:val="18"/>
                <w:lang w:eastAsia="zh-TW"/>
              </w:rPr>
            </w:pPr>
            <w:r w:rsidRPr="00A42252">
              <w:rPr>
                <w:iCs/>
                <w:sz w:val="16"/>
                <w:szCs w:val="16"/>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Pr>
                <w:i/>
                <w:iCs/>
                <w:sz w:val="17"/>
                <w:szCs w:val="17"/>
              </w:rPr>
              <w:t>127,6</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71,8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100,4</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129,4</w:t>
            </w:r>
          </w:p>
        </w:tc>
      </w:tr>
      <w:tr w:rsidR="003D4500" w:rsidRPr="00143121" w:rsidTr="003D4500">
        <w:trPr>
          <w:trHeight w:val="227"/>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right="-57"/>
              <w:jc w:val="both"/>
              <w:rPr>
                <w:sz w:val="16"/>
                <w:szCs w:val="16"/>
              </w:rPr>
            </w:pPr>
            <w:r w:rsidRPr="00A42252">
              <w:rPr>
                <w:b/>
                <w:bCs/>
                <w:sz w:val="16"/>
                <w:szCs w:val="16"/>
              </w:rPr>
              <w:t>Социальная поддержка граждан</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sidRPr="00A42252">
              <w:rPr>
                <w:b/>
                <w:bCs/>
                <w:sz w:val="17"/>
                <w:szCs w:val="17"/>
              </w:rPr>
              <w:t>362 163,4</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263 891,2</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265 738,2</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296 589,0</w:t>
            </w:r>
          </w:p>
        </w:tc>
      </w:tr>
      <w:tr w:rsidR="003D4500" w:rsidRPr="00143121" w:rsidTr="003D4500">
        <w:trPr>
          <w:trHeight w:val="198"/>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iCs/>
                <w:sz w:val="16"/>
                <w:szCs w:val="18"/>
                <w:lang w:eastAsia="zh-TW"/>
              </w:rPr>
            </w:pPr>
            <w:r w:rsidRPr="00A42252">
              <w:rPr>
                <w:iCs/>
                <w:sz w:val="16"/>
                <w:szCs w:val="16"/>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Pr>
                <w:i/>
                <w:iCs/>
                <w:sz w:val="17"/>
                <w:szCs w:val="17"/>
              </w:rPr>
              <w:t>122,6</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72,9</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100,7</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111,6</w:t>
            </w:r>
          </w:p>
        </w:tc>
      </w:tr>
      <w:tr w:rsidR="003D4500" w:rsidRPr="00143121" w:rsidTr="003D4500">
        <w:trPr>
          <w:trHeight w:val="227"/>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right="-57"/>
              <w:jc w:val="both"/>
              <w:rPr>
                <w:sz w:val="16"/>
                <w:szCs w:val="16"/>
              </w:rPr>
            </w:pPr>
            <w:r w:rsidRPr="00A42252">
              <w:rPr>
                <w:b/>
                <w:bCs/>
                <w:sz w:val="16"/>
                <w:szCs w:val="16"/>
              </w:rPr>
              <w:t>Обеспечение доступным и комфортным жильем и коммунальными услугами граждан Российской Федерации</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sidRPr="00A42252">
              <w:rPr>
                <w:b/>
                <w:bCs/>
                <w:sz w:val="17"/>
                <w:szCs w:val="17"/>
              </w:rPr>
              <w:t>212 994,2</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163 429,7</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254 261,4</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b/>
                <w:bCs/>
                <w:sz w:val="17"/>
                <w:szCs w:val="17"/>
              </w:rPr>
              <w:t>301 822,1</w:t>
            </w:r>
          </w:p>
        </w:tc>
      </w:tr>
      <w:tr w:rsidR="003D4500" w:rsidRPr="00143121" w:rsidTr="003D4500">
        <w:trPr>
          <w:trHeight w:val="198"/>
        </w:trPr>
        <w:tc>
          <w:tcPr>
            <w:tcW w:w="4395" w:type="dxa"/>
            <w:tcBorders>
              <w:top w:val="nil"/>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iCs/>
                <w:sz w:val="16"/>
                <w:szCs w:val="18"/>
                <w:lang w:eastAsia="zh-TW"/>
              </w:rPr>
            </w:pPr>
            <w:r w:rsidRPr="00A42252">
              <w:rPr>
                <w:iCs/>
                <w:sz w:val="16"/>
                <w:szCs w:val="16"/>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Pr>
                <w:i/>
                <w:iCs/>
                <w:sz w:val="17"/>
                <w:szCs w:val="17"/>
              </w:rPr>
              <w:t>92,8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76,7</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155,6</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118,7</w:t>
            </w:r>
          </w:p>
        </w:tc>
      </w:tr>
      <w:tr w:rsidR="003D4500" w:rsidRPr="00A42252" w:rsidTr="003D4500">
        <w:trPr>
          <w:trHeight w:val="2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right="-57"/>
              <w:jc w:val="both"/>
              <w:rPr>
                <w:b/>
                <w:sz w:val="16"/>
                <w:szCs w:val="16"/>
              </w:rPr>
            </w:pPr>
            <w:r w:rsidRPr="00A42252">
              <w:rPr>
                <w:rFonts w:eastAsia="Calibri"/>
                <w:b/>
                <w:sz w:val="16"/>
                <w:szCs w:val="18"/>
              </w:rPr>
              <w:t>Другие госпрограммы</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b/>
                <w:bCs/>
                <w:sz w:val="16"/>
                <w:szCs w:val="16"/>
              </w:rPr>
            </w:pPr>
            <w:r w:rsidRPr="00A42252">
              <w:rPr>
                <w:b/>
                <w:bCs/>
                <w:sz w:val="17"/>
                <w:szCs w:val="17"/>
              </w:rPr>
              <w:t>737 458,5</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b/>
                <w:bCs/>
                <w:sz w:val="16"/>
                <w:szCs w:val="16"/>
              </w:rPr>
            </w:pPr>
            <w:r w:rsidRPr="00A42252">
              <w:rPr>
                <w:b/>
                <w:bCs/>
                <w:sz w:val="17"/>
                <w:szCs w:val="17"/>
              </w:rPr>
              <w:t>721 560,8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b/>
                <w:bCs/>
                <w:sz w:val="16"/>
                <w:szCs w:val="16"/>
              </w:rPr>
            </w:pPr>
            <w:r w:rsidRPr="00A42252">
              <w:rPr>
                <w:b/>
                <w:bCs/>
                <w:sz w:val="17"/>
                <w:szCs w:val="17"/>
              </w:rPr>
              <w:t>763 164,4</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b/>
                <w:bCs/>
                <w:sz w:val="16"/>
                <w:szCs w:val="16"/>
              </w:rPr>
            </w:pPr>
            <w:r w:rsidRPr="00A42252">
              <w:rPr>
                <w:b/>
                <w:bCs/>
                <w:sz w:val="17"/>
                <w:szCs w:val="17"/>
              </w:rPr>
              <w:t>785 718,3</w:t>
            </w:r>
          </w:p>
        </w:tc>
      </w:tr>
      <w:tr w:rsidR="003D4500" w:rsidRPr="00143121" w:rsidTr="003D4500">
        <w:trPr>
          <w:trHeight w:val="19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D4500" w:rsidRPr="00A42252" w:rsidRDefault="003D4500" w:rsidP="00EC446A">
            <w:pPr>
              <w:ind w:left="113"/>
              <w:jc w:val="both"/>
              <w:rPr>
                <w:iCs/>
                <w:sz w:val="16"/>
                <w:szCs w:val="18"/>
                <w:lang w:eastAsia="zh-TW"/>
              </w:rPr>
            </w:pPr>
            <w:r w:rsidRPr="00A42252">
              <w:rPr>
                <w:iCs/>
                <w:sz w:val="16"/>
                <w:szCs w:val="18"/>
                <w:lang w:eastAsia="zh-TW"/>
              </w:rPr>
              <w:t>в % к предыдущему году</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ind w:left="-50" w:right="-52"/>
              <w:jc w:val="center"/>
              <w:rPr>
                <w:sz w:val="16"/>
                <w:szCs w:val="16"/>
              </w:rPr>
            </w:pPr>
            <w:r w:rsidRPr="00A42252">
              <w:rPr>
                <w:i/>
                <w:iCs/>
                <w:sz w:val="17"/>
                <w:szCs w:val="17"/>
              </w:rPr>
              <w:t>101,2</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97,8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105,8</w:t>
            </w:r>
          </w:p>
        </w:tc>
        <w:tc>
          <w:tcPr>
            <w:tcW w:w="1311" w:type="dxa"/>
            <w:tcBorders>
              <w:top w:val="nil"/>
              <w:left w:val="nil"/>
              <w:bottom w:val="single" w:sz="4" w:space="0" w:color="auto"/>
              <w:right w:val="single" w:sz="4" w:space="0" w:color="auto"/>
            </w:tcBorders>
            <w:shd w:val="clear" w:color="auto" w:fill="auto"/>
            <w:noWrap/>
            <w:vAlign w:val="center"/>
          </w:tcPr>
          <w:p w:rsidR="003D4500" w:rsidRPr="00A42252" w:rsidRDefault="003D4500" w:rsidP="00EC446A">
            <w:pPr>
              <w:jc w:val="center"/>
              <w:rPr>
                <w:sz w:val="16"/>
                <w:szCs w:val="16"/>
              </w:rPr>
            </w:pPr>
            <w:r w:rsidRPr="00A42252">
              <w:rPr>
                <w:i/>
                <w:iCs/>
                <w:sz w:val="17"/>
                <w:szCs w:val="17"/>
              </w:rPr>
              <w:t>103,0</w:t>
            </w:r>
          </w:p>
        </w:tc>
      </w:tr>
    </w:tbl>
    <w:p w:rsidR="00615CEA" w:rsidRPr="00A42252" w:rsidRDefault="00615CEA" w:rsidP="00D75AAE">
      <w:pPr>
        <w:spacing w:before="120" w:line="360" w:lineRule="auto"/>
        <w:ind w:firstLine="709"/>
        <w:jc w:val="both"/>
      </w:pPr>
      <w:r w:rsidRPr="00A42252">
        <w:t xml:space="preserve">Наибольший объем </w:t>
      </w:r>
      <w:r w:rsidR="003837A7" w:rsidRPr="00A42252">
        <w:t>(</w:t>
      </w:r>
      <w:r w:rsidR="00A42252" w:rsidRPr="00A42252">
        <w:t>80</w:t>
      </w:r>
      <w:r w:rsidR="00A35B25" w:rsidRPr="00A42252">
        <w:t xml:space="preserve"> %) </w:t>
      </w:r>
      <w:r w:rsidR="00634A16" w:rsidRPr="00A42252">
        <w:t xml:space="preserve">бюджетных ассигнований на предоставление </w:t>
      </w:r>
      <w:r w:rsidRPr="00A42252">
        <w:t xml:space="preserve">межбюджетных трансфертов </w:t>
      </w:r>
      <w:r w:rsidR="00343A27" w:rsidRPr="00A42252">
        <w:t>на 202</w:t>
      </w:r>
      <w:r w:rsidR="00A42252" w:rsidRPr="00A42252">
        <w:t>6</w:t>
      </w:r>
      <w:r w:rsidR="00CC2385" w:rsidRPr="00A42252">
        <w:t>–</w:t>
      </w:r>
      <w:r w:rsidR="00343A27" w:rsidRPr="00A42252">
        <w:t>202</w:t>
      </w:r>
      <w:r w:rsidR="00A42252" w:rsidRPr="00A42252">
        <w:t>8</w:t>
      </w:r>
      <w:r w:rsidR="00343A27" w:rsidRPr="00A42252">
        <w:t xml:space="preserve"> годы </w:t>
      </w:r>
      <w:r w:rsidR="00634A16" w:rsidRPr="00A42252">
        <w:t xml:space="preserve">планируется </w:t>
      </w:r>
      <w:r w:rsidRPr="00A42252">
        <w:t xml:space="preserve">по </w:t>
      </w:r>
      <w:r w:rsidR="003837A7" w:rsidRPr="00A42252">
        <w:t>5</w:t>
      </w:r>
      <w:r w:rsidRPr="00A42252">
        <w:t xml:space="preserve"> госпрограммам</w:t>
      </w:r>
      <w:r w:rsidR="00634A16" w:rsidRPr="00A42252">
        <w:t>.</w:t>
      </w:r>
    </w:p>
    <w:p w:rsidR="0032626F" w:rsidRPr="00014F19" w:rsidRDefault="00FC66F8" w:rsidP="0032626F">
      <w:pPr>
        <w:tabs>
          <w:tab w:val="left" w:pos="540"/>
        </w:tabs>
        <w:overflowPunct w:val="0"/>
        <w:autoSpaceDE w:val="0"/>
        <w:autoSpaceDN w:val="0"/>
        <w:adjustRightInd w:val="0"/>
        <w:spacing w:line="360" w:lineRule="auto"/>
        <w:ind w:firstLineChars="295" w:firstLine="708"/>
        <w:jc w:val="both"/>
        <w:rPr>
          <w:bCs/>
          <w:szCs w:val="28"/>
        </w:rPr>
      </w:pPr>
      <w:r w:rsidRPr="00381060">
        <w:rPr>
          <w:bCs/>
        </w:rPr>
        <w:t>В 202</w:t>
      </w:r>
      <w:r w:rsidR="00381060" w:rsidRPr="00381060">
        <w:rPr>
          <w:bCs/>
        </w:rPr>
        <w:t>8</w:t>
      </w:r>
      <w:r w:rsidRPr="00381060">
        <w:rPr>
          <w:bCs/>
        </w:rPr>
        <w:t xml:space="preserve"> году по отношению к показателям 202</w:t>
      </w:r>
      <w:r w:rsidR="00381060" w:rsidRPr="00381060">
        <w:rPr>
          <w:bCs/>
        </w:rPr>
        <w:t>5</w:t>
      </w:r>
      <w:r w:rsidRPr="00381060">
        <w:rPr>
          <w:bCs/>
        </w:rPr>
        <w:t xml:space="preserve"> года </w:t>
      </w:r>
      <w:r w:rsidR="0032626F">
        <w:rPr>
          <w:bCs/>
        </w:rPr>
        <w:t>с</w:t>
      </w:r>
      <w:r w:rsidR="0032626F" w:rsidRPr="00014F19">
        <w:rPr>
          <w:bCs/>
          <w:szCs w:val="28"/>
        </w:rPr>
        <w:t xml:space="preserve">нижение объема межбюджетных трансфертов </w:t>
      </w:r>
      <w:r w:rsidR="0032626F">
        <w:rPr>
          <w:bCs/>
          <w:szCs w:val="28"/>
        </w:rPr>
        <w:t xml:space="preserve">планируется </w:t>
      </w:r>
      <w:r w:rsidR="0032626F" w:rsidRPr="00014F19">
        <w:rPr>
          <w:bCs/>
          <w:szCs w:val="28"/>
        </w:rPr>
        <w:t xml:space="preserve">по 16 госпрограммам, </w:t>
      </w:r>
      <w:r w:rsidR="003004EB">
        <w:rPr>
          <w:bCs/>
          <w:szCs w:val="28"/>
        </w:rPr>
        <w:t>например,</w:t>
      </w:r>
      <w:r w:rsidR="0032626F">
        <w:rPr>
          <w:bCs/>
          <w:szCs w:val="28"/>
        </w:rPr>
        <w:t xml:space="preserve"> </w:t>
      </w:r>
      <w:r w:rsidR="0032626F" w:rsidRPr="00014F19">
        <w:rPr>
          <w:bCs/>
          <w:szCs w:val="28"/>
        </w:rPr>
        <w:t xml:space="preserve">по </w:t>
      </w:r>
      <w:r w:rsidR="0032626F">
        <w:rPr>
          <w:bCs/>
          <w:szCs w:val="28"/>
        </w:rPr>
        <w:t>госпрограммам:</w:t>
      </w:r>
      <w:r w:rsidR="0032626F" w:rsidRPr="00014F19">
        <w:rPr>
          <w:bCs/>
          <w:szCs w:val="28"/>
        </w:rPr>
        <w:t xml:space="preserve"> «Развитие энергетики» </w:t>
      </w:r>
      <w:r w:rsidR="0032626F" w:rsidRPr="00381060">
        <w:t>–</w:t>
      </w:r>
      <w:r w:rsidR="0032626F" w:rsidRPr="00014F19">
        <w:rPr>
          <w:bCs/>
          <w:szCs w:val="28"/>
        </w:rPr>
        <w:t xml:space="preserve"> в 12,6 раз, «Социально-экономическое развитие Арктической зоны Российской Федерации» </w:t>
      </w:r>
      <w:r w:rsidR="0032626F" w:rsidRPr="00381060">
        <w:t>–</w:t>
      </w:r>
      <w:r w:rsidR="0032626F" w:rsidRPr="00014F19">
        <w:rPr>
          <w:bCs/>
          <w:szCs w:val="28"/>
        </w:rPr>
        <w:t xml:space="preserve"> в 8,1 раза, «Развитие Северо-Кавказского федерального округа» </w:t>
      </w:r>
      <w:r w:rsidR="0032626F" w:rsidRPr="00381060">
        <w:t>–</w:t>
      </w:r>
      <w:r w:rsidR="0032626F" w:rsidRPr="00014F19">
        <w:rPr>
          <w:bCs/>
          <w:szCs w:val="28"/>
        </w:rPr>
        <w:t xml:space="preserve"> в 2,6 раза, «Комплексное развитие сельских территорий» </w:t>
      </w:r>
      <w:r w:rsidR="0032626F" w:rsidRPr="00381060">
        <w:t>–</w:t>
      </w:r>
      <w:r w:rsidR="0032626F" w:rsidRPr="00014F19">
        <w:rPr>
          <w:bCs/>
          <w:szCs w:val="28"/>
        </w:rPr>
        <w:t xml:space="preserve"> в </w:t>
      </w:r>
      <w:r w:rsidR="0080629F">
        <w:rPr>
          <w:bCs/>
          <w:szCs w:val="28"/>
        </w:rPr>
        <w:t>1</w:t>
      </w:r>
      <w:r w:rsidR="0032626F" w:rsidRPr="00014F19">
        <w:rPr>
          <w:bCs/>
          <w:szCs w:val="28"/>
        </w:rPr>
        <w:t>,</w:t>
      </w:r>
      <w:r w:rsidR="0080629F">
        <w:rPr>
          <w:bCs/>
          <w:szCs w:val="28"/>
        </w:rPr>
        <w:t>6</w:t>
      </w:r>
      <w:r w:rsidR="0032626F" w:rsidRPr="00014F19">
        <w:rPr>
          <w:bCs/>
          <w:szCs w:val="28"/>
        </w:rPr>
        <w:t xml:space="preserve"> раза.</w:t>
      </w:r>
    </w:p>
    <w:p w:rsidR="005A5F24" w:rsidRPr="005A5F24" w:rsidRDefault="0032626F" w:rsidP="005A5F24">
      <w:pPr>
        <w:tabs>
          <w:tab w:val="left" w:pos="540"/>
        </w:tabs>
        <w:overflowPunct w:val="0"/>
        <w:autoSpaceDE w:val="0"/>
        <w:autoSpaceDN w:val="0"/>
        <w:adjustRightInd w:val="0"/>
        <w:spacing w:line="360" w:lineRule="auto"/>
        <w:ind w:firstLineChars="295" w:firstLine="708"/>
        <w:jc w:val="both"/>
        <w:rPr>
          <w:bCs/>
        </w:rPr>
      </w:pPr>
      <w:r>
        <w:rPr>
          <w:bCs/>
        </w:rPr>
        <w:t>У</w:t>
      </w:r>
      <w:r w:rsidR="003C4F89">
        <w:rPr>
          <w:bCs/>
        </w:rPr>
        <w:t>величение</w:t>
      </w:r>
      <w:r w:rsidR="00FC66F8" w:rsidRPr="00381060">
        <w:rPr>
          <w:bCs/>
        </w:rPr>
        <w:t xml:space="preserve"> межбюджетных трансфертов </w:t>
      </w:r>
      <w:r>
        <w:rPr>
          <w:bCs/>
        </w:rPr>
        <w:t xml:space="preserve">планируется </w:t>
      </w:r>
      <w:r w:rsidR="00FC66F8" w:rsidRPr="00381060">
        <w:rPr>
          <w:bCs/>
        </w:rPr>
        <w:t xml:space="preserve">в рамках </w:t>
      </w:r>
      <w:r w:rsidR="00381060" w:rsidRPr="00381060">
        <w:rPr>
          <w:bCs/>
        </w:rPr>
        <w:t>1</w:t>
      </w:r>
      <w:r w:rsidR="0080629F">
        <w:rPr>
          <w:bCs/>
        </w:rPr>
        <w:t>7</w:t>
      </w:r>
      <w:r w:rsidR="00F85BF0" w:rsidRPr="00381060">
        <w:rPr>
          <w:bCs/>
        </w:rPr>
        <w:t xml:space="preserve"> </w:t>
      </w:r>
      <w:r w:rsidR="00FC66F8" w:rsidRPr="00381060">
        <w:rPr>
          <w:bCs/>
        </w:rPr>
        <w:t>госпрограмм</w:t>
      </w:r>
      <w:r w:rsidR="00AD023F">
        <w:rPr>
          <w:bCs/>
        </w:rPr>
        <w:t>,</w:t>
      </w:r>
      <w:r w:rsidR="003C4F89">
        <w:rPr>
          <w:bCs/>
        </w:rPr>
        <w:t xml:space="preserve"> </w:t>
      </w:r>
      <w:r w:rsidR="003C4F89" w:rsidRPr="00014F19">
        <w:rPr>
          <w:bCs/>
          <w:szCs w:val="28"/>
        </w:rPr>
        <w:t xml:space="preserve">из них </w:t>
      </w:r>
      <w:r w:rsidR="003C4F89">
        <w:rPr>
          <w:bCs/>
          <w:szCs w:val="28"/>
        </w:rPr>
        <w:t xml:space="preserve">более чем в </w:t>
      </w:r>
      <w:r w:rsidR="0075142E">
        <w:rPr>
          <w:bCs/>
          <w:szCs w:val="28"/>
        </w:rPr>
        <w:t xml:space="preserve">2 </w:t>
      </w:r>
      <w:r w:rsidR="003C4F89">
        <w:rPr>
          <w:bCs/>
          <w:szCs w:val="28"/>
        </w:rPr>
        <w:t>раза по госпрограммам:</w:t>
      </w:r>
      <w:r w:rsidR="003C4F89" w:rsidRPr="00014F19">
        <w:rPr>
          <w:bCs/>
          <w:szCs w:val="28"/>
        </w:rPr>
        <w:t xml:space="preserve"> «Информационное общество» </w:t>
      </w:r>
      <w:r w:rsidR="003C4F89" w:rsidRPr="00381060">
        <w:t>–</w:t>
      </w:r>
      <w:r w:rsidR="003C4F89" w:rsidRPr="00014F19">
        <w:rPr>
          <w:bCs/>
          <w:szCs w:val="28"/>
        </w:rPr>
        <w:t xml:space="preserve"> в 5,5 раза, «Воспроизводство и использование природных ресурсов» </w:t>
      </w:r>
      <w:r w:rsidR="003C4F89" w:rsidRPr="00381060">
        <w:t>–</w:t>
      </w:r>
      <w:r w:rsidR="003C4F89" w:rsidRPr="00014F19">
        <w:rPr>
          <w:bCs/>
          <w:szCs w:val="28"/>
        </w:rPr>
        <w:t xml:space="preserve"> в 3,5 раза, «Охрана окружающей среды» </w:t>
      </w:r>
      <w:r w:rsidR="003C4F89" w:rsidRPr="00381060">
        <w:t>–</w:t>
      </w:r>
      <w:r w:rsidR="003C4F89" w:rsidRPr="00014F19">
        <w:rPr>
          <w:bCs/>
          <w:szCs w:val="28"/>
        </w:rPr>
        <w:t xml:space="preserve"> в 2,6 раза, «Развитие туризма» </w:t>
      </w:r>
      <w:r w:rsidR="003C4F89" w:rsidRPr="00381060">
        <w:t>–</w:t>
      </w:r>
      <w:r w:rsidR="003C4F89" w:rsidRPr="00014F19">
        <w:rPr>
          <w:bCs/>
          <w:szCs w:val="28"/>
        </w:rPr>
        <w:t xml:space="preserve"> в 2,3 раза</w:t>
      </w:r>
      <w:r w:rsidR="005A212A" w:rsidRPr="00381060">
        <w:rPr>
          <w:bCs/>
        </w:rPr>
        <w:t>.</w:t>
      </w:r>
      <w:r w:rsidR="003C4F89">
        <w:rPr>
          <w:bCs/>
        </w:rPr>
        <w:t xml:space="preserve"> </w:t>
      </w:r>
      <w:r w:rsidR="005A5F24" w:rsidRPr="005A5F24">
        <w:rPr>
          <w:bCs/>
        </w:rPr>
        <w:t>При этом по отдельным госпрограммам при существенном увеличении бюджетных ассигновании на 2026 год отмечается низкое кассовое исполнение по состоянию на 1 сентября 2025 года (</w:t>
      </w:r>
      <w:r w:rsidR="005A5F24">
        <w:rPr>
          <w:bCs/>
        </w:rPr>
        <w:t>по госпрограмме</w:t>
      </w:r>
      <w:r w:rsidR="005A5F24" w:rsidRPr="005A5F24">
        <w:rPr>
          <w:bCs/>
        </w:rPr>
        <w:t xml:space="preserve"> «Ин</w:t>
      </w:r>
      <w:r w:rsidR="005A5F24">
        <w:rPr>
          <w:bCs/>
        </w:rPr>
        <w:t xml:space="preserve">формационное сообщество» </w:t>
      </w:r>
      <w:r w:rsidR="005A5F24" w:rsidRPr="00381060">
        <w:t>–</w:t>
      </w:r>
      <w:r w:rsidR="005A5F24">
        <w:rPr>
          <w:bCs/>
        </w:rPr>
        <w:t xml:space="preserve"> 15,4 </w:t>
      </w:r>
      <w:r w:rsidR="005A5F24" w:rsidRPr="005A5F24">
        <w:rPr>
          <w:bCs/>
        </w:rPr>
        <w:t xml:space="preserve">% показателя </w:t>
      </w:r>
      <w:r w:rsidR="005A5F24">
        <w:rPr>
          <w:bCs/>
        </w:rPr>
        <w:t>сводной росписи с изменениями</w:t>
      </w:r>
      <w:r w:rsidR="005A5F24" w:rsidRPr="005A5F24">
        <w:rPr>
          <w:bCs/>
        </w:rPr>
        <w:t xml:space="preserve">, </w:t>
      </w:r>
      <w:r w:rsidR="005A5F24">
        <w:rPr>
          <w:bCs/>
        </w:rPr>
        <w:t xml:space="preserve">госпрограмме «Развитие туризма» </w:t>
      </w:r>
      <w:r w:rsidR="005A5F24" w:rsidRPr="00381060">
        <w:t>–</w:t>
      </w:r>
      <w:r w:rsidR="005A5F24">
        <w:rPr>
          <w:bCs/>
        </w:rPr>
        <w:t xml:space="preserve"> 22,7 </w:t>
      </w:r>
      <w:r w:rsidR="005A5F24" w:rsidRPr="005A5F24">
        <w:rPr>
          <w:bCs/>
        </w:rPr>
        <w:t xml:space="preserve">%, </w:t>
      </w:r>
      <w:r w:rsidR="005A5F24">
        <w:rPr>
          <w:bCs/>
        </w:rPr>
        <w:t>госпрограмме</w:t>
      </w:r>
      <w:r w:rsidR="005A5F24" w:rsidRPr="005A5F24">
        <w:rPr>
          <w:bCs/>
        </w:rPr>
        <w:t xml:space="preserve"> «Охрана окружающей среды» </w:t>
      </w:r>
      <w:r w:rsidR="005A5F24" w:rsidRPr="00381060">
        <w:t>–</w:t>
      </w:r>
      <w:r w:rsidR="005A5F24" w:rsidRPr="005A5F24">
        <w:rPr>
          <w:bCs/>
        </w:rPr>
        <w:t xml:space="preserve"> 40,8 %).</w:t>
      </w:r>
    </w:p>
    <w:bookmarkEnd w:id="1"/>
    <w:bookmarkEnd w:id="2"/>
    <w:p w:rsidR="002C3051" w:rsidRPr="00381060" w:rsidRDefault="00014F19" w:rsidP="008B3C95">
      <w:pPr>
        <w:tabs>
          <w:tab w:val="left" w:pos="540"/>
        </w:tabs>
        <w:autoSpaceDE w:val="0"/>
        <w:autoSpaceDN w:val="0"/>
        <w:adjustRightInd w:val="0"/>
        <w:spacing w:line="360" w:lineRule="auto"/>
        <w:ind w:firstLine="709"/>
        <w:jc w:val="both"/>
      </w:pPr>
      <w:r w:rsidRPr="00014F19">
        <w:rPr>
          <w:b/>
        </w:rPr>
        <w:t>15.7</w:t>
      </w:r>
      <w:r w:rsidRPr="00014F19">
        <w:rPr>
          <w:b/>
          <w:bCs/>
        </w:rPr>
        <w:t>.</w:t>
      </w:r>
      <w:r>
        <w:rPr>
          <w:b/>
          <w:bCs/>
        </w:rPr>
        <w:t>5</w:t>
      </w:r>
      <w:r w:rsidRPr="00014F19">
        <w:rPr>
          <w:b/>
          <w:bCs/>
        </w:rPr>
        <w:t>.</w:t>
      </w:r>
      <w:r w:rsidRPr="00014F19">
        <w:rPr>
          <w:bCs/>
        </w:rPr>
        <w:t xml:space="preserve"> </w:t>
      </w:r>
      <w:r w:rsidR="002C3051" w:rsidRPr="00381060">
        <w:t xml:space="preserve">Законопроектом на </w:t>
      </w:r>
      <w:r w:rsidR="00E769BD" w:rsidRPr="00381060">
        <w:t>2026 год</w:t>
      </w:r>
      <w:r w:rsidR="00173CD7" w:rsidRPr="00381060">
        <w:t xml:space="preserve"> </w:t>
      </w:r>
      <w:r w:rsidR="002C3051" w:rsidRPr="00381060">
        <w:t xml:space="preserve">межбюджетные трансферты бюджетам субъектов Российской Федерации предусмотрены </w:t>
      </w:r>
      <w:r w:rsidR="002C3051" w:rsidRPr="00381060">
        <w:rPr>
          <w:b/>
        </w:rPr>
        <w:t>3</w:t>
      </w:r>
      <w:r w:rsidR="00E769BD" w:rsidRPr="00381060">
        <w:rPr>
          <w:b/>
        </w:rPr>
        <w:t>7</w:t>
      </w:r>
      <w:r w:rsidR="002C3051" w:rsidRPr="00381060">
        <w:rPr>
          <w:b/>
        </w:rPr>
        <w:t xml:space="preserve"> </w:t>
      </w:r>
      <w:r w:rsidR="002C3051" w:rsidRPr="00381060">
        <w:t>главным распорядителям средств</w:t>
      </w:r>
      <w:r w:rsidR="00B9628E" w:rsidRPr="00381060">
        <w:t xml:space="preserve"> федерального бюджета</w:t>
      </w:r>
      <w:r w:rsidR="002C3051" w:rsidRPr="00381060">
        <w:t xml:space="preserve">, на </w:t>
      </w:r>
      <w:r w:rsidR="002A010F" w:rsidRPr="00381060">
        <w:t>202</w:t>
      </w:r>
      <w:r w:rsidR="00F661D9" w:rsidRPr="00381060">
        <w:t>7</w:t>
      </w:r>
      <w:r w:rsidR="002A010F" w:rsidRPr="00381060">
        <w:t xml:space="preserve"> </w:t>
      </w:r>
      <w:r w:rsidR="00381060" w:rsidRPr="00381060">
        <w:t xml:space="preserve">и 2028 </w:t>
      </w:r>
      <w:r w:rsidR="002C3051" w:rsidRPr="00381060">
        <w:t>год</w:t>
      </w:r>
      <w:r w:rsidR="00381060" w:rsidRPr="00381060">
        <w:t>ы</w:t>
      </w:r>
      <w:r w:rsidR="002C3051" w:rsidRPr="00381060">
        <w:t xml:space="preserve"> – </w:t>
      </w:r>
      <w:r w:rsidR="00ED66D3" w:rsidRPr="00381060">
        <w:rPr>
          <w:b/>
        </w:rPr>
        <w:t>3</w:t>
      </w:r>
      <w:r w:rsidR="00E769BD" w:rsidRPr="00381060">
        <w:rPr>
          <w:b/>
        </w:rPr>
        <w:t>5</w:t>
      </w:r>
      <w:r w:rsidR="002C3051" w:rsidRPr="00381060">
        <w:rPr>
          <w:b/>
        </w:rPr>
        <w:t xml:space="preserve"> </w:t>
      </w:r>
      <w:r w:rsidR="002C3051" w:rsidRPr="00381060">
        <w:t>главным распорядителям</w:t>
      </w:r>
      <w:r w:rsidR="00381060" w:rsidRPr="00381060">
        <w:t xml:space="preserve">. При этом на 2026 год </w:t>
      </w:r>
      <w:r w:rsidR="002255F3">
        <w:br/>
      </w:r>
      <w:r w:rsidR="00381060" w:rsidRPr="00381060">
        <w:t>не планируются межбюджетные трансферты</w:t>
      </w:r>
      <w:r w:rsidR="00B20C2D">
        <w:t xml:space="preserve"> по</w:t>
      </w:r>
      <w:r w:rsidR="00381060" w:rsidRPr="00381060">
        <w:t xml:space="preserve"> Росреестру, на 2027 и 2028 годы </w:t>
      </w:r>
      <w:r w:rsidR="00E769BD" w:rsidRPr="00381060">
        <w:t>по Росрыболовству</w:t>
      </w:r>
      <w:r w:rsidR="00381060" w:rsidRPr="00381060">
        <w:t>, Росморречфлоту</w:t>
      </w:r>
      <w:r w:rsidR="00E769BD" w:rsidRPr="00381060">
        <w:t xml:space="preserve"> и ФАС России</w:t>
      </w:r>
      <w:r w:rsidR="002C3051" w:rsidRPr="00381060">
        <w:t>.</w:t>
      </w:r>
      <w:r w:rsidR="00381060" w:rsidRPr="00381060">
        <w:t xml:space="preserve"> </w:t>
      </w:r>
    </w:p>
    <w:p w:rsidR="00014F19" w:rsidRPr="00014F19" w:rsidRDefault="00014F19" w:rsidP="00331703">
      <w:pPr>
        <w:spacing w:line="360" w:lineRule="auto"/>
        <w:ind w:firstLine="709"/>
        <w:jc w:val="both"/>
        <w:rPr>
          <w:szCs w:val="28"/>
        </w:rPr>
      </w:pPr>
      <w:r w:rsidRPr="00014F19">
        <w:rPr>
          <w:szCs w:val="28"/>
        </w:rPr>
        <w:lastRenderedPageBreak/>
        <w:t xml:space="preserve">В законопроекте на 2026 год наибольший объем бюджетных ассигнований </w:t>
      </w:r>
      <w:r w:rsidR="002255F3">
        <w:rPr>
          <w:szCs w:val="28"/>
        </w:rPr>
        <w:br/>
      </w:r>
      <w:r w:rsidRPr="00014F19">
        <w:rPr>
          <w:szCs w:val="28"/>
        </w:rPr>
        <w:t>на предоставление межбюджетных трансфертов предусматривается</w:t>
      </w:r>
      <w:r w:rsidR="00BC0828">
        <w:rPr>
          <w:szCs w:val="28"/>
        </w:rPr>
        <w:t xml:space="preserve"> по следующим главным распорядителям</w:t>
      </w:r>
      <w:r w:rsidR="00ED6275">
        <w:rPr>
          <w:szCs w:val="28"/>
        </w:rPr>
        <w:t>:</w:t>
      </w:r>
      <w:r w:rsidRPr="00014F19">
        <w:rPr>
          <w:szCs w:val="28"/>
        </w:rPr>
        <w:t xml:space="preserve"> </w:t>
      </w:r>
      <w:r w:rsidRPr="003C4F89">
        <w:rPr>
          <w:b/>
          <w:szCs w:val="28"/>
        </w:rPr>
        <w:t>Минфину России</w:t>
      </w:r>
      <w:r w:rsidRPr="00014F19">
        <w:rPr>
          <w:szCs w:val="28"/>
        </w:rPr>
        <w:t xml:space="preserve"> – 3</w:t>
      </w:r>
      <w:r w:rsidR="00B20C2D">
        <w:rPr>
          <w:szCs w:val="28"/>
        </w:rPr>
        <w:t>9</w:t>
      </w:r>
      <w:r w:rsidRPr="00014F19">
        <w:rPr>
          <w:szCs w:val="28"/>
        </w:rPr>
        <w:t>,</w:t>
      </w:r>
      <w:r w:rsidR="00B20C2D">
        <w:rPr>
          <w:szCs w:val="28"/>
        </w:rPr>
        <w:t>2</w:t>
      </w:r>
      <w:r w:rsidRPr="00014F19">
        <w:rPr>
          <w:szCs w:val="28"/>
        </w:rPr>
        <w:t xml:space="preserve"> % общего объема межбюджетных трансфертов </w:t>
      </w:r>
      <w:r w:rsidRPr="00014F19">
        <w:t>(бюджетные ассигнования на предоставление дотаций бюджетам субъектов Российской Федерации)</w:t>
      </w:r>
      <w:r w:rsidRPr="00014F19">
        <w:rPr>
          <w:szCs w:val="28"/>
        </w:rPr>
        <w:t>,</w:t>
      </w:r>
      <w:r w:rsidR="003C4F89">
        <w:rPr>
          <w:szCs w:val="28"/>
        </w:rPr>
        <w:t xml:space="preserve"> </w:t>
      </w:r>
      <w:r w:rsidRPr="003C4F89">
        <w:rPr>
          <w:b/>
          <w:bCs/>
          <w:szCs w:val="28"/>
        </w:rPr>
        <w:t>Минпросвещения России</w:t>
      </w:r>
      <w:r w:rsidRPr="00014F19">
        <w:rPr>
          <w:szCs w:val="28"/>
        </w:rPr>
        <w:t xml:space="preserve"> – 1</w:t>
      </w:r>
      <w:r w:rsidR="00B20C2D">
        <w:rPr>
          <w:szCs w:val="28"/>
        </w:rPr>
        <w:t>1</w:t>
      </w:r>
      <w:r w:rsidRPr="00014F19">
        <w:rPr>
          <w:szCs w:val="28"/>
        </w:rPr>
        <w:t> %</w:t>
      </w:r>
      <w:r w:rsidR="00331703">
        <w:rPr>
          <w:szCs w:val="28"/>
        </w:rPr>
        <w:t xml:space="preserve"> </w:t>
      </w:r>
      <w:r w:rsidR="00331703" w:rsidRPr="00331703">
        <w:t>(наибольший объем средств предусмотрен на реализацию мероприятий национального проекта «Молодежь и дети»),</w:t>
      </w:r>
      <w:r w:rsidRPr="00331703">
        <w:rPr>
          <w:szCs w:val="28"/>
        </w:rPr>
        <w:t xml:space="preserve"> </w:t>
      </w:r>
      <w:r w:rsidRPr="003C4F89">
        <w:rPr>
          <w:b/>
          <w:szCs w:val="28"/>
        </w:rPr>
        <w:t>Роставтодору</w:t>
      </w:r>
      <w:r w:rsidRPr="00014F19">
        <w:rPr>
          <w:bCs/>
          <w:szCs w:val="28"/>
        </w:rPr>
        <w:t xml:space="preserve"> – </w:t>
      </w:r>
      <w:r w:rsidR="00B20C2D">
        <w:rPr>
          <w:bCs/>
          <w:szCs w:val="28"/>
        </w:rPr>
        <w:t>10</w:t>
      </w:r>
      <w:r w:rsidRPr="00331703">
        <w:rPr>
          <w:bCs/>
          <w:szCs w:val="28"/>
        </w:rPr>
        <w:t> </w:t>
      </w:r>
      <w:r w:rsidRPr="00014F19">
        <w:rPr>
          <w:bCs/>
          <w:szCs w:val="28"/>
        </w:rPr>
        <w:t>%</w:t>
      </w:r>
      <w:r w:rsidR="00331703" w:rsidRPr="00331703">
        <w:rPr>
          <w:bCs/>
          <w:szCs w:val="28"/>
        </w:rPr>
        <w:t xml:space="preserve"> (</w:t>
      </w:r>
      <w:r w:rsidR="00331703" w:rsidRPr="00331703">
        <w:t>наибольший объем средств предусмотрен на реализацию мероприятий</w:t>
      </w:r>
      <w:r w:rsidR="00331703">
        <w:t xml:space="preserve"> ф</w:t>
      </w:r>
      <w:r w:rsidR="00331703" w:rsidRPr="00331703">
        <w:t>едеральн</w:t>
      </w:r>
      <w:r w:rsidR="00331703">
        <w:t>ого</w:t>
      </w:r>
      <w:r w:rsidR="00331703" w:rsidRPr="00331703">
        <w:t xml:space="preserve"> проект</w:t>
      </w:r>
      <w:r w:rsidR="00331703">
        <w:t>а</w:t>
      </w:r>
      <w:r w:rsidR="00331703" w:rsidRPr="00331703">
        <w:t xml:space="preserve"> </w:t>
      </w:r>
      <w:r w:rsidR="00331703">
        <w:t>«</w:t>
      </w:r>
      <w:r w:rsidR="00331703" w:rsidRPr="00331703">
        <w:t>Региональная и местная дорожная сеть</w:t>
      </w:r>
      <w:r w:rsidR="00331703">
        <w:t>»</w:t>
      </w:r>
      <w:r w:rsidR="00BC0828">
        <w:t>)</w:t>
      </w:r>
      <w:r w:rsidRPr="00014F19">
        <w:rPr>
          <w:bCs/>
          <w:szCs w:val="28"/>
        </w:rPr>
        <w:t xml:space="preserve">, </w:t>
      </w:r>
      <w:r w:rsidR="00331703" w:rsidRPr="003C4F89">
        <w:rPr>
          <w:b/>
          <w:szCs w:val="28"/>
        </w:rPr>
        <w:t>Минздраву России</w:t>
      </w:r>
      <w:r w:rsidR="00331703">
        <w:rPr>
          <w:szCs w:val="28"/>
        </w:rPr>
        <w:t xml:space="preserve"> </w:t>
      </w:r>
      <w:r w:rsidR="00331703" w:rsidRPr="00014F19">
        <w:rPr>
          <w:szCs w:val="28"/>
        </w:rPr>
        <w:t>– 7,</w:t>
      </w:r>
      <w:r w:rsidR="00B20C2D">
        <w:rPr>
          <w:szCs w:val="28"/>
        </w:rPr>
        <w:t>6</w:t>
      </w:r>
      <w:r w:rsidR="00331703" w:rsidRPr="00014F19">
        <w:rPr>
          <w:szCs w:val="28"/>
        </w:rPr>
        <w:t> %</w:t>
      </w:r>
      <w:r w:rsidR="00BC0828">
        <w:rPr>
          <w:szCs w:val="28"/>
        </w:rPr>
        <w:t xml:space="preserve"> (</w:t>
      </w:r>
      <w:r w:rsidR="00BC0828" w:rsidRPr="00331703">
        <w:t>наибольший объем средств предусмотрен на реализацию мероприятий</w:t>
      </w:r>
      <w:r w:rsidR="00BC0828">
        <w:rPr>
          <w:color w:val="000000"/>
          <w:sz w:val="28"/>
        </w:rPr>
        <w:t xml:space="preserve"> </w:t>
      </w:r>
      <w:r w:rsidR="00BC0828" w:rsidRPr="00331703">
        <w:t>национального проекта «</w:t>
      </w:r>
      <w:r w:rsidR="00BC0828">
        <w:t>Продолжительная и активная жизнь</w:t>
      </w:r>
      <w:r w:rsidR="00BC0828" w:rsidRPr="00331703">
        <w:t>»</w:t>
      </w:r>
      <w:r w:rsidR="00BC0828">
        <w:t xml:space="preserve"> и на о</w:t>
      </w:r>
      <w:r w:rsidR="00BC0828" w:rsidRPr="00BC0828">
        <w:t>беспечение отдельных категорий граждан лекарственными препаратами</w:t>
      </w:r>
      <w:r w:rsidR="00BC0828">
        <w:t>)</w:t>
      </w:r>
      <w:r w:rsidR="00331703" w:rsidRPr="00014F19">
        <w:t>,</w:t>
      </w:r>
      <w:r w:rsidR="003C4F89">
        <w:t xml:space="preserve"> </w:t>
      </w:r>
      <w:r w:rsidR="00331703" w:rsidRPr="003C4F89">
        <w:rPr>
          <w:b/>
          <w:szCs w:val="28"/>
        </w:rPr>
        <w:t>Минстрою России</w:t>
      </w:r>
      <w:r w:rsidR="00331703" w:rsidRPr="00014F19">
        <w:rPr>
          <w:szCs w:val="28"/>
        </w:rPr>
        <w:t xml:space="preserve"> – 7,</w:t>
      </w:r>
      <w:r w:rsidR="00B20C2D">
        <w:rPr>
          <w:szCs w:val="28"/>
        </w:rPr>
        <w:t>6</w:t>
      </w:r>
      <w:r w:rsidR="00BC0828">
        <w:rPr>
          <w:szCs w:val="28"/>
        </w:rPr>
        <w:t> % (</w:t>
      </w:r>
      <w:r w:rsidR="00BC0828" w:rsidRPr="00331703">
        <w:t>наибольший объем средств предусмотрен на реализацию мероприятий</w:t>
      </w:r>
      <w:r w:rsidR="00BC0828">
        <w:rPr>
          <w:color w:val="000000"/>
          <w:sz w:val="28"/>
        </w:rPr>
        <w:t xml:space="preserve"> </w:t>
      </w:r>
      <w:r w:rsidR="00BC0828" w:rsidRPr="00331703">
        <w:t>национального проекта «</w:t>
      </w:r>
      <w:r w:rsidR="00BC0828">
        <w:t>Инфраструктура для жизни</w:t>
      </w:r>
      <w:r w:rsidR="00BC0828" w:rsidRPr="00331703">
        <w:t>»</w:t>
      </w:r>
      <w:r w:rsidR="00BC0828">
        <w:rPr>
          <w:szCs w:val="28"/>
        </w:rPr>
        <w:t xml:space="preserve"> и </w:t>
      </w:r>
      <w:r w:rsidR="00BC0828" w:rsidRPr="00BC0828">
        <w:rPr>
          <w:szCs w:val="28"/>
        </w:rPr>
        <w:t>по социально-экономическому развитию Республики Крым и города федерального значения Севастополя</w:t>
      </w:r>
      <w:r w:rsidR="00BC0828">
        <w:rPr>
          <w:szCs w:val="28"/>
        </w:rPr>
        <w:t>),</w:t>
      </w:r>
      <w:r w:rsidR="003C4F89">
        <w:rPr>
          <w:szCs w:val="28"/>
        </w:rPr>
        <w:t xml:space="preserve"> </w:t>
      </w:r>
      <w:r w:rsidRPr="003C4F89">
        <w:rPr>
          <w:b/>
          <w:szCs w:val="28"/>
        </w:rPr>
        <w:t>Минтруду России</w:t>
      </w:r>
      <w:r w:rsidR="00B20C2D" w:rsidRPr="00B20C2D">
        <w:rPr>
          <w:szCs w:val="28"/>
        </w:rPr>
        <w:t xml:space="preserve"> </w:t>
      </w:r>
      <w:r w:rsidR="00B20C2D">
        <w:rPr>
          <w:szCs w:val="28"/>
        </w:rPr>
        <w:t>– 7</w:t>
      </w:r>
      <w:r w:rsidRPr="00014F19">
        <w:rPr>
          <w:szCs w:val="28"/>
        </w:rPr>
        <w:t>,</w:t>
      </w:r>
      <w:r w:rsidR="00B20C2D">
        <w:rPr>
          <w:szCs w:val="28"/>
        </w:rPr>
        <w:t>2</w:t>
      </w:r>
      <w:r w:rsidRPr="00014F19">
        <w:rPr>
          <w:szCs w:val="28"/>
        </w:rPr>
        <w:t xml:space="preserve"> % </w:t>
      </w:r>
      <w:r w:rsidR="00BC0828">
        <w:rPr>
          <w:szCs w:val="28"/>
        </w:rPr>
        <w:t>(</w:t>
      </w:r>
      <w:r w:rsidR="00BC0828" w:rsidRPr="00BC0828">
        <w:rPr>
          <w:szCs w:val="28"/>
        </w:rPr>
        <w:t>наибольший объем средств предусмотрен на реализацию мероприятий национального проекта «</w:t>
      </w:r>
      <w:r w:rsidR="00BC0828">
        <w:rPr>
          <w:szCs w:val="28"/>
        </w:rPr>
        <w:t>Семья</w:t>
      </w:r>
      <w:r w:rsidR="00BC0828" w:rsidRPr="00BC0828">
        <w:rPr>
          <w:szCs w:val="28"/>
        </w:rPr>
        <w:t>»</w:t>
      </w:r>
      <w:r w:rsidR="00BC0828">
        <w:rPr>
          <w:szCs w:val="28"/>
        </w:rPr>
        <w:t xml:space="preserve">, а также </w:t>
      </w:r>
      <w:r w:rsidR="00BC0828" w:rsidRPr="00BC0828">
        <w:rPr>
          <w:szCs w:val="28"/>
        </w:rPr>
        <w:t>на оплату жилищно-коммунальных услуг отдельным категориям граждан</w:t>
      </w:r>
      <w:r w:rsidR="00BC0828">
        <w:rPr>
          <w:szCs w:val="28"/>
        </w:rPr>
        <w:t>).</w:t>
      </w:r>
    </w:p>
    <w:p w:rsidR="00D528D3" w:rsidRPr="00D30F37" w:rsidRDefault="00D528D3" w:rsidP="00E42034">
      <w:pPr>
        <w:spacing w:line="360" w:lineRule="auto"/>
        <w:ind w:firstLine="709"/>
        <w:jc w:val="both"/>
      </w:pPr>
      <w:r w:rsidRPr="00531DA5">
        <w:rPr>
          <w:b/>
        </w:rPr>
        <w:t>15.</w:t>
      </w:r>
      <w:r w:rsidR="00CC4E71">
        <w:rPr>
          <w:b/>
        </w:rPr>
        <w:t>8</w:t>
      </w:r>
      <w:r w:rsidRPr="00531DA5">
        <w:rPr>
          <w:b/>
        </w:rPr>
        <w:t xml:space="preserve">. </w:t>
      </w:r>
      <w:r w:rsidRPr="00531DA5">
        <w:t xml:space="preserve">Приложениями </w:t>
      </w:r>
      <w:r w:rsidR="002255F3">
        <w:t xml:space="preserve">№ </w:t>
      </w:r>
      <w:r w:rsidR="00531DA5" w:rsidRPr="00531DA5">
        <w:t>28</w:t>
      </w:r>
      <w:r w:rsidR="00311AEC" w:rsidRPr="00531DA5">
        <w:t xml:space="preserve"> и </w:t>
      </w:r>
      <w:r w:rsidR="00531DA5" w:rsidRPr="00531DA5">
        <w:t>29</w:t>
      </w:r>
      <w:r w:rsidRPr="00531DA5">
        <w:t xml:space="preserve"> к законопроекту утверждаются бюджетные ассигнования на предоставление межбюджетных трансфертов бюджетам субъектов Российской Федерации и бюджету города Байконура на </w:t>
      </w:r>
      <w:r w:rsidR="00531DA5">
        <w:t>2026</w:t>
      </w:r>
      <w:r w:rsidR="00E42034" w:rsidRPr="00531DA5">
        <w:t xml:space="preserve"> год и на плановый период 202</w:t>
      </w:r>
      <w:r w:rsidR="00531DA5">
        <w:t>7</w:t>
      </w:r>
      <w:r w:rsidR="00E42034" w:rsidRPr="00531DA5">
        <w:t xml:space="preserve"> и 202</w:t>
      </w:r>
      <w:r w:rsidR="00531DA5">
        <w:t>8</w:t>
      </w:r>
      <w:r w:rsidR="00E42034" w:rsidRPr="00531DA5">
        <w:t xml:space="preserve"> годов </w:t>
      </w:r>
      <w:r w:rsidRPr="00531DA5">
        <w:t>в разрезе видов межбюджетных трансфертов, приложением 3</w:t>
      </w:r>
      <w:r w:rsidR="00531DA5">
        <w:t>0</w:t>
      </w:r>
      <w:r w:rsidRPr="00531DA5">
        <w:t xml:space="preserve"> к законопроекту утверждается распределение межбюджетных трансфертов по субъектам Российской Федерации</w:t>
      </w:r>
      <w:r w:rsidR="00470544" w:rsidRPr="00531DA5">
        <w:t>, в состав которого включен</w:t>
      </w:r>
      <w:r w:rsidR="004933ED" w:rsidRPr="00531DA5">
        <w:t>о</w:t>
      </w:r>
      <w:r w:rsidR="00470544" w:rsidRPr="00531DA5">
        <w:t xml:space="preserve"> </w:t>
      </w:r>
      <w:r w:rsidR="00904A85">
        <w:t>2</w:t>
      </w:r>
      <w:r w:rsidR="00531DA5">
        <w:t>14</w:t>
      </w:r>
      <w:r w:rsidR="00470544" w:rsidRPr="00531DA5">
        <w:t xml:space="preserve"> </w:t>
      </w:r>
      <w:r w:rsidR="00470544" w:rsidRPr="00D30F37">
        <w:t>таблиц</w:t>
      </w:r>
      <w:r w:rsidRPr="00D30F37">
        <w:t>.</w:t>
      </w:r>
    </w:p>
    <w:p w:rsidR="0092170B" w:rsidRPr="00531DA5" w:rsidRDefault="0092170B" w:rsidP="0092170B">
      <w:pPr>
        <w:widowControl w:val="0"/>
        <w:autoSpaceDE w:val="0"/>
        <w:autoSpaceDN w:val="0"/>
        <w:adjustRightInd w:val="0"/>
        <w:spacing w:line="360" w:lineRule="auto"/>
        <w:ind w:firstLine="709"/>
        <w:jc w:val="both"/>
      </w:pPr>
      <w:r w:rsidRPr="00531DA5">
        <w:t>Законопроектом на 202</w:t>
      </w:r>
      <w:r w:rsidR="00531DA5" w:rsidRPr="00531DA5">
        <w:t>6</w:t>
      </w:r>
      <w:r w:rsidRPr="00531DA5">
        <w:t xml:space="preserve"> год предусмотрено предоставление 2</w:t>
      </w:r>
      <w:r w:rsidR="00531DA5" w:rsidRPr="00531DA5">
        <w:t>48</w:t>
      </w:r>
      <w:r w:rsidR="00C67EDA" w:rsidRPr="00531DA5">
        <w:t xml:space="preserve"> </w:t>
      </w:r>
      <w:r w:rsidR="00933997" w:rsidRPr="00531DA5">
        <w:t>межбюджетн</w:t>
      </w:r>
      <w:r w:rsidR="00A07753">
        <w:t>ых</w:t>
      </w:r>
      <w:r w:rsidR="00C67EDA" w:rsidRPr="00531DA5">
        <w:t xml:space="preserve"> трансферта</w:t>
      </w:r>
      <w:r w:rsidRPr="00531DA5">
        <w:t xml:space="preserve">, что на </w:t>
      </w:r>
      <w:r w:rsidR="00531DA5" w:rsidRPr="00531DA5">
        <w:t>15</w:t>
      </w:r>
      <w:r w:rsidR="00C21892" w:rsidRPr="00531DA5">
        <w:t xml:space="preserve"> </w:t>
      </w:r>
      <w:r w:rsidRPr="00531DA5">
        <w:t xml:space="preserve">трансфертов меньше, чем предусмотрено Федеральным законом </w:t>
      </w:r>
      <w:r w:rsidR="00933997" w:rsidRPr="00531DA5">
        <w:br/>
      </w:r>
      <w:r w:rsidRPr="00531DA5">
        <w:t xml:space="preserve">№ </w:t>
      </w:r>
      <w:r w:rsidR="00531DA5" w:rsidRPr="00531DA5">
        <w:t>419</w:t>
      </w:r>
      <w:r w:rsidRPr="00531DA5">
        <w:t>-ФЗ</w:t>
      </w:r>
      <w:r w:rsidR="00531DA5" w:rsidRPr="00531DA5">
        <w:t xml:space="preserve"> (с изменениями)</w:t>
      </w:r>
      <w:r w:rsidRPr="00531DA5">
        <w:t xml:space="preserve"> на 202</w:t>
      </w:r>
      <w:r w:rsidR="00531DA5" w:rsidRPr="00531DA5">
        <w:t>5</w:t>
      </w:r>
      <w:r w:rsidRPr="00531DA5">
        <w:t xml:space="preserve"> год</w:t>
      </w:r>
      <w:r w:rsidR="00C21892" w:rsidRPr="00531DA5">
        <w:t xml:space="preserve"> (на 1</w:t>
      </w:r>
      <w:r w:rsidR="00531DA5" w:rsidRPr="00531DA5">
        <w:t>15</w:t>
      </w:r>
      <w:r w:rsidR="00C21892" w:rsidRPr="00531DA5">
        <w:t xml:space="preserve"> трансферта меньше, чем предусмотрено сводной бюдже</w:t>
      </w:r>
      <w:r w:rsidR="00531DA5" w:rsidRPr="00531DA5">
        <w:t>тной росписью на 1 сентября 2025</w:t>
      </w:r>
      <w:r w:rsidR="00C21892" w:rsidRPr="00531DA5">
        <w:t xml:space="preserve"> года)</w:t>
      </w:r>
      <w:r w:rsidRPr="00531DA5">
        <w:t>. На 202</w:t>
      </w:r>
      <w:r w:rsidR="00531DA5" w:rsidRPr="00531DA5">
        <w:t>7</w:t>
      </w:r>
      <w:r w:rsidRPr="00531DA5">
        <w:t xml:space="preserve"> и 202</w:t>
      </w:r>
      <w:r w:rsidR="00531DA5" w:rsidRPr="00531DA5">
        <w:t>8</w:t>
      </w:r>
      <w:r w:rsidRPr="00531DA5">
        <w:t xml:space="preserve"> годы предусмотрено предоставление </w:t>
      </w:r>
      <w:r w:rsidR="00C21892" w:rsidRPr="00531DA5">
        <w:t>2</w:t>
      </w:r>
      <w:r w:rsidR="00531DA5" w:rsidRPr="00531DA5">
        <w:t>3</w:t>
      </w:r>
      <w:r w:rsidR="00C21892" w:rsidRPr="00531DA5">
        <w:t>7 и 2</w:t>
      </w:r>
      <w:r w:rsidR="00531DA5" w:rsidRPr="00531DA5">
        <w:t>22</w:t>
      </w:r>
      <w:r w:rsidRPr="00531DA5">
        <w:t xml:space="preserve"> межбюджетных трансфертов соответственно. </w:t>
      </w:r>
    </w:p>
    <w:p w:rsidR="004036CB" w:rsidRPr="00143121" w:rsidRDefault="002E08E2" w:rsidP="003F4AE6">
      <w:pPr>
        <w:pStyle w:val="af1"/>
        <w:overflowPunct w:val="0"/>
        <w:autoSpaceDE w:val="0"/>
        <w:autoSpaceDN w:val="0"/>
        <w:adjustRightInd w:val="0"/>
        <w:spacing w:line="360" w:lineRule="auto"/>
        <w:ind w:left="0" w:firstLine="709"/>
        <w:jc w:val="both"/>
        <w:textAlignment w:val="baseline"/>
      </w:pPr>
      <w:r w:rsidRPr="00143121">
        <w:t xml:space="preserve">Информация </w:t>
      </w:r>
      <w:r w:rsidR="00AA1054" w:rsidRPr="00143121">
        <w:t>о распределении</w:t>
      </w:r>
      <w:r w:rsidRPr="00143121">
        <w:t xml:space="preserve"> межбюджетных трансфертов </w:t>
      </w:r>
      <w:r w:rsidR="00AA1054" w:rsidRPr="00143121">
        <w:rPr>
          <w:rFonts w:eastAsia="Calibri"/>
        </w:rPr>
        <w:t>в 202</w:t>
      </w:r>
      <w:r w:rsidR="00143121" w:rsidRPr="00143121">
        <w:rPr>
          <w:rFonts w:eastAsia="Calibri"/>
        </w:rPr>
        <w:t>6</w:t>
      </w:r>
      <w:r w:rsidR="00B9628E" w:rsidRPr="00143121">
        <w:rPr>
          <w:rFonts w:eastAsia="Calibri"/>
        </w:rPr>
        <w:t>–</w:t>
      </w:r>
      <w:r w:rsidR="00AA1054" w:rsidRPr="00143121">
        <w:rPr>
          <w:rFonts w:eastAsia="Calibri"/>
        </w:rPr>
        <w:t>202</w:t>
      </w:r>
      <w:r w:rsidR="00143121" w:rsidRPr="00143121">
        <w:rPr>
          <w:rFonts w:eastAsia="Calibri"/>
        </w:rPr>
        <w:t>8</w:t>
      </w:r>
      <w:r w:rsidR="00AA1054" w:rsidRPr="00143121">
        <w:rPr>
          <w:rFonts w:eastAsia="Calibri"/>
        </w:rPr>
        <w:t xml:space="preserve"> годах </w:t>
      </w:r>
      <w:r w:rsidRPr="00143121">
        <w:t>представлена в следующей таблице</w:t>
      </w:r>
      <w:r w:rsidR="004036CB" w:rsidRPr="00143121">
        <w:t>.</w:t>
      </w:r>
    </w:p>
    <w:tbl>
      <w:tblPr>
        <w:tblW w:w="9639" w:type="dxa"/>
        <w:tblInd w:w="108" w:type="dxa"/>
        <w:tblLayout w:type="fixed"/>
        <w:tblLook w:val="04A0" w:firstRow="1" w:lastRow="0" w:firstColumn="1" w:lastColumn="0" w:noHBand="0" w:noVBand="1"/>
      </w:tblPr>
      <w:tblGrid>
        <w:gridCol w:w="3261"/>
        <w:gridCol w:w="1275"/>
        <w:gridCol w:w="1276"/>
        <w:gridCol w:w="1276"/>
        <w:gridCol w:w="850"/>
        <w:gridCol w:w="851"/>
        <w:gridCol w:w="850"/>
      </w:tblGrid>
      <w:tr w:rsidR="00143121" w:rsidRPr="00143121" w:rsidTr="00A07753">
        <w:trPr>
          <w:trHeight w:val="161"/>
          <w:tblHeader/>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43121" w:rsidRPr="00A07753" w:rsidRDefault="00143121" w:rsidP="00143121">
            <w:pPr>
              <w:jc w:val="center"/>
              <w:rPr>
                <w:b/>
                <w:bCs/>
                <w:sz w:val="16"/>
                <w:szCs w:val="18"/>
              </w:rPr>
            </w:pPr>
            <w:r w:rsidRPr="00A07753">
              <w:rPr>
                <w:b/>
                <w:bCs/>
                <w:sz w:val="16"/>
                <w:szCs w:val="18"/>
              </w:rPr>
              <w:t>Наименование</w:t>
            </w:r>
          </w:p>
        </w:tc>
        <w:tc>
          <w:tcPr>
            <w:tcW w:w="1275" w:type="dxa"/>
            <w:tcBorders>
              <w:top w:val="single" w:sz="4" w:space="0" w:color="auto"/>
              <w:left w:val="nil"/>
              <w:bottom w:val="single" w:sz="4" w:space="0" w:color="auto"/>
              <w:right w:val="single" w:sz="4" w:space="0" w:color="auto"/>
            </w:tcBorders>
            <w:shd w:val="clear" w:color="auto" w:fill="auto"/>
            <w:noWrap/>
            <w:hideMark/>
          </w:tcPr>
          <w:p w:rsidR="00143121" w:rsidRPr="00A07753" w:rsidRDefault="00143121" w:rsidP="00143121">
            <w:pPr>
              <w:ind w:left="-108" w:right="-108"/>
              <w:jc w:val="center"/>
              <w:rPr>
                <w:b/>
                <w:bCs/>
                <w:sz w:val="18"/>
                <w:szCs w:val="20"/>
              </w:rPr>
            </w:pPr>
            <w:r w:rsidRPr="00A07753">
              <w:rPr>
                <w:b/>
                <w:bCs/>
                <w:sz w:val="18"/>
                <w:szCs w:val="20"/>
              </w:rPr>
              <w:t>2026 год</w:t>
            </w:r>
          </w:p>
        </w:tc>
        <w:tc>
          <w:tcPr>
            <w:tcW w:w="1276" w:type="dxa"/>
            <w:tcBorders>
              <w:top w:val="single" w:sz="4" w:space="0" w:color="auto"/>
              <w:left w:val="nil"/>
              <w:bottom w:val="single" w:sz="4" w:space="0" w:color="auto"/>
              <w:right w:val="single" w:sz="4" w:space="0" w:color="auto"/>
            </w:tcBorders>
            <w:shd w:val="clear" w:color="auto" w:fill="auto"/>
          </w:tcPr>
          <w:p w:rsidR="00143121" w:rsidRPr="00A07753" w:rsidRDefault="00143121" w:rsidP="00143121">
            <w:pPr>
              <w:ind w:left="-108" w:right="-108"/>
              <w:jc w:val="center"/>
              <w:rPr>
                <w:b/>
                <w:bCs/>
                <w:sz w:val="18"/>
                <w:szCs w:val="20"/>
              </w:rPr>
            </w:pPr>
            <w:r w:rsidRPr="00A07753">
              <w:rPr>
                <w:b/>
                <w:bCs/>
                <w:sz w:val="18"/>
                <w:szCs w:val="20"/>
              </w:rPr>
              <w:t>2027 год</w:t>
            </w:r>
          </w:p>
        </w:tc>
        <w:tc>
          <w:tcPr>
            <w:tcW w:w="1276" w:type="dxa"/>
            <w:tcBorders>
              <w:top w:val="single" w:sz="4" w:space="0" w:color="auto"/>
              <w:left w:val="nil"/>
              <w:bottom w:val="single" w:sz="4" w:space="0" w:color="auto"/>
              <w:right w:val="single" w:sz="4" w:space="0" w:color="auto"/>
            </w:tcBorders>
            <w:shd w:val="clear" w:color="auto" w:fill="auto"/>
          </w:tcPr>
          <w:p w:rsidR="00143121" w:rsidRPr="00A07753" w:rsidRDefault="00143121" w:rsidP="00143121">
            <w:pPr>
              <w:ind w:left="-108" w:right="-108"/>
              <w:jc w:val="center"/>
              <w:rPr>
                <w:b/>
                <w:bCs/>
                <w:sz w:val="18"/>
                <w:szCs w:val="20"/>
              </w:rPr>
            </w:pPr>
            <w:r w:rsidRPr="00A07753">
              <w:rPr>
                <w:b/>
                <w:bCs/>
                <w:sz w:val="18"/>
                <w:szCs w:val="20"/>
              </w:rPr>
              <w:t>2028 год</w:t>
            </w:r>
          </w:p>
        </w:tc>
        <w:tc>
          <w:tcPr>
            <w:tcW w:w="850" w:type="dxa"/>
            <w:tcBorders>
              <w:top w:val="single" w:sz="4" w:space="0" w:color="auto"/>
              <w:left w:val="nil"/>
              <w:bottom w:val="single" w:sz="4" w:space="0" w:color="auto"/>
              <w:right w:val="single" w:sz="4" w:space="0" w:color="auto"/>
            </w:tcBorders>
            <w:shd w:val="clear" w:color="auto" w:fill="auto"/>
            <w:noWrap/>
            <w:hideMark/>
          </w:tcPr>
          <w:p w:rsidR="00143121" w:rsidRPr="00A07753" w:rsidRDefault="00143121" w:rsidP="00143121">
            <w:pPr>
              <w:ind w:left="-108" w:right="-108"/>
              <w:jc w:val="center"/>
              <w:rPr>
                <w:b/>
                <w:bCs/>
                <w:sz w:val="18"/>
                <w:szCs w:val="20"/>
              </w:rPr>
            </w:pPr>
            <w:r w:rsidRPr="00A07753">
              <w:rPr>
                <w:b/>
                <w:bCs/>
                <w:sz w:val="18"/>
                <w:szCs w:val="20"/>
              </w:rPr>
              <w:t>2026 год</w:t>
            </w:r>
          </w:p>
        </w:tc>
        <w:tc>
          <w:tcPr>
            <w:tcW w:w="851" w:type="dxa"/>
            <w:tcBorders>
              <w:top w:val="single" w:sz="4" w:space="0" w:color="auto"/>
              <w:left w:val="nil"/>
              <w:bottom w:val="single" w:sz="4" w:space="0" w:color="auto"/>
              <w:right w:val="single" w:sz="4" w:space="0" w:color="auto"/>
            </w:tcBorders>
            <w:shd w:val="clear" w:color="auto" w:fill="auto"/>
          </w:tcPr>
          <w:p w:rsidR="00143121" w:rsidRPr="00A07753" w:rsidRDefault="00143121" w:rsidP="00143121">
            <w:pPr>
              <w:ind w:left="-108" w:right="-108"/>
              <w:jc w:val="center"/>
              <w:rPr>
                <w:b/>
                <w:bCs/>
                <w:sz w:val="18"/>
                <w:szCs w:val="20"/>
              </w:rPr>
            </w:pPr>
            <w:r w:rsidRPr="00A07753">
              <w:rPr>
                <w:b/>
                <w:bCs/>
                <w:sz w:val="18"/>
                <w:szCs w:val="20"/>
              </w:rPr>
              <w:t>2027 год</w:t>
            </w:r>
          </w:p>
        </w:tc>
        <w:tc>
          <w:tcPr>
            <w:tcW w:w="850" w:type="dxa"/>
            <w:tcBorders>
              <w:top w:val="single" w:sz="4" w:space="0" w:color="auto"/>
              <w:left w:val="nil"/>
              <w:bottom w:val="single" w:sz="4" w:space="0" w:color="auto"/>
              <w:right w:val="single" w:sz="4" w:space="0" w:color="auto"/>
            </w:tcBorders>
            <w:shd w:val="clear" w:color="auto" w:fill="auto"/>
          </w:tcPr>
          <w:p w:rsidR="00143121" w:rsidRPr="00A07753" w:rsidRDefault="00143121" w:rsidP="00143121">
            <w:pPr>
              <w:ind w:left="-108" w:right="-108"/>
              <w:jc w:val="center"/>
              <w:rPr>
                <w:b/>
                <w:bCs/>
                <w:sz w:val="18"/>
                <w:szCs w:val="20"/>
              </w:rPr>
            </w:pPr>
            <w:r w:rsidRPr="00A07753">
              <w:rPr>
                <w:b/>
                <w:bCs/>
                <w:sz w:val="18"/>
                <w:szCs w:val="20"/>
              </w:rPr>
              <w:t>2028 год</w:t>
            </w:r>
          </w:p>
        </w:tc>
      </w:tr>
      <w:tr w:rsidR="00143121" w:rsidRPr="00143121" w:rsidTr="00D550EA">
        <w:trPr>
          <w:trHeight w:val="227"/>
          <w:tblHeader/>
        </w:trPr>
        <w:tc>
          <w:tcPr>
            <w:tcW w:w="32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B5EA5" w:rsidRPr="00A07753" w:rsidRDefault="002B5EA5" w:rsidP="002B5EA5">
            <w:pPr>
              <w:rPr>
                <w:b/>
                <w:bCs/>
                <w:sz w:val="16"/>
                <w:szCs w:val="18"/>
              </w:rPr>
            </w:pPr>
          </w:p>
        </w:tc>
        <w:tc>
          <w:tcPr>
            <w:tcW w:w="3827" w:type="dxa"/>
            <w:gridSpan w:val="3"/>
            <w:tcBorders>
              <w:top w:val="nil"/>
              <w:left w:val="nil"/>
              <w:bottom w:val="single" w:sz="4" w:space="0" w:color="auto"/>
              <w:right w:val="single" w:sz="4" w:space="0" w:color="auto"/>
            </w:tcBorders>
            <w:shd w:val="clear" w:color="auto" w:fill="auto"/>
            <w:noWrap/>
            <w:vAlign w:val="center"/>
          </w:tcPr>
          <w:p w:rsidR="002B5EA5" w:rsidRPr="00A07753" w:rsidRDefault="002B5EA5" w:rsidP="00D550EA">
            <w:pPr>
              <w:ind w:left="-108" w:right="-108"/>
              <w:jc w:val="center"/>
              <w:rPr>
                <w:bCs/>
                <w:sz w:val="16"/>
                <w:szCs w:val="20"/>
              </w:rPr>
            </w:pPr>
            <w:r w:rsidRPr="00A07753">
              <w:rPr>
                <w:bCs/>
                <w:sz w:val="16"/>
                <w:szCs w:val="20"/>
              </w:rPr>
              <w:t>млн рублей</w:t>
            </w:r>
          </w:p>
        </w:tc>
        <w:tc>
          <w:tcPr>
            <w:tcW w:w="2551" w:type="dxa"/>
            <w:gridSpan w:val="3"/>
            <w:tcBorders>
              <w:top w:val="nil"/>
              <w:left w:val="nil"/>
              <w:bottom w:val="single" w:sz="4" w:space="0" w:color="auto"/>
              <w:right w:val="single" w:sz="4" w:space="0" w:color="auto"/>
            </w:tcBorders>
            <w:shd w:val="clear" w:color="auto" w:fill="auto"/>
            <w:noWrap/>
            <w:vAlign w:val="center"/>
          </w:tcPr>
          <w:p w:rsidR="002B5EA5" w:rsidRPr="00A07753" w:rsidRDefault="002B5EA5" w:rsidP="00D550EA">
            <w:pPr>
              <w:ind w:left="-108" w:right="-108"/>
              <w:jc w:val="center"/>
              <w:rPr>
                <w:bCs/>
                <w:sz w:val="16"/>
                <w:szCs w:val="20"/>
              </w:rPr>
            </w:pPr>
            <w:r w:rsidRPr="00A07753">
              <w:rPr>
                <w:bCs/>
                <w:sz w:val="16"/>
                <w:szCs w:val="20"/>
              </w:rPr>
              <w:t>количество</w:t>
            </w:r>
          </w:p>
        </w:tc>
      </w:tr>
      <w:tr w:rsidR="00D550EA" w:rsidRPr="00143121" w:rsidTr="00D550EA">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143121" w:rsidRDefault="00D550EA" w:rsidP="00D550EA">
            <w:pPr>
              <w:ind w:right="-57" w:firstLine="113"/>
              <w:rPr>
                <w:b/>
                <w:bCs/>
                <w:sz w:val="18"/>
                <w:szCs w:val="18"/>
              </w:rPr>
            </w:pPr>
            <w:r w:rsidRPr="00143121">
              <w:rPr>
                <w:b/>
                <w:bCs/>
                <w:sz w:val="18"/>
                <w:szCs w:val="18"/>
              </w:rPr>
              <w:t>Межбюджетные трансферты</w:t>
            </w:r>
            <w:r w:rsidRPr="00143121">
              <w:rPr>
                <w:bCs/>
                <w:sz w:val="18"/>
                <w:szCs w:val="18"/>
              </w:rPr>
              <w:t>,</w:t>
            </w:r>
            <w:r w:rsidRPr="00143121">
              <w:rPr>
                <w:b/>
                <w:bCs/>
                <w:sz w:val="18"/>
                <w:szCs w:val="18"/>
              </w:rPr>
              <w:t xml:space="preserve"> </w:t>
            </w:r>
            <w:r w:rsidRPr="00143121">
              <w:rPr>
                <w:bCs/>
                <w:sz w:val="18"/>
                <w:szCs w:val="18"/>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3 552 779,4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3 758 092,9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4 037 622,3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248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237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222</w:t>
            </w:r>
          </w:p>
        </w:tc>
      </w:tr>
      <w:tr w:rsidR="00D550EA" w:rsidRPr="00143121" w:rsidTr="00D550EA">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550EA" w:rsidRPr="00143121" w:rsidRDefault="00D550EA" w:rsidP="00D550EA">
            <w:pPr>
              <w:ind w:firstLine="113"/>
              <w:rPr>
                <w:b/>
                <w:bCs/>
                <w:sz w:val="18"/>
                <w:szCs w:val="18"/>
              </w:rPr>
            </w:pPr>
            <w:r w:rsidRPr="00143121">
              <w:rPr>
                <w:b/>
                <w:bCs/>
                <w:sz w:val="18"/>
                <w:szCs w:val="18"/>
              </w:rPr>
              <w:t xml:space="preserve">Всего распределено </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3 336 301,2</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3 314 863,3</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3 331 119,3</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235</w:t>
            </w:r>
          </w:p>
        </w:tc>
        <w:tc>
          <w:tcPr>
            <w:tcW w:w="851"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203</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181</w:t>
            </w:r>
          </w:p>
        </w:tc>
      </w:tr>
      <w:tr w:rsidR="00D550EA" w:rsidRPr="00D30F37" w:rsidTr="00A07753">
        <w:trPr>
          <w:trHeight w:val="227"/>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B43A6B" w:rsidRDefault="00D550EA" w:rsidP="00D550EA">
            <w:pPr>
              <w:rPr>
                <w:i/>
                <w:iCs/>
                <w:sz w:val="16"/>
                <w:szCs w:val="18"/>
              </w:rPr>
            </w:pPr>
            <w:r w:rsidRPr="00B43A6B">
              <w:rPr>
                <w:i/>
                <w:iCs/>
                <w:sz w:val="16"/>
                <w:szCs w:val="18"/>
              </w:rPr>
              <w:t>% к общему объему МБТ</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A07753" w:rsidRDefault="00D550EA" w:rsidP="00D550EA">
            <w:pPr>
              <w:ind w:left="-108" w:right="-108"/>
              <w:jc w:val="center"/>
              <w:rPr>
                <w:b/>
                <w:i/>
                <w:iCs/>
                <w:sz w:val="18"/>
                <w:szCs w:val="18"/>
              </w:rPr>
            </w:pPr>
            <w:r w:rsidRPr="00A07753">
              <w:rPr>
                <w:b/>
                <w:i/>
                <w:sz w:val="16"/>
                <w:szCs w:val="16"/>
              </w:rPr>
              <w:t>93,9</w:t>
            </w:r>
          </w:p>
        </w:tc>
        <w:tc>
          <w:tcPr>
            <w:tcW w:w="1276" w:type="dxa"/>
            <w:tcBorders>
              <w:top w:val="nil"/>
              <w:left w:val="nil"/>
              <w:bottom w:val="single" w:sz="4" w:space="0" w:color="auto"/>
              <w:right w:val="single" w:sz="4" w:space="0" w:color="auto"/>
            </w:tcBorders>
            <w:shd w:val="clear" w:color="auto" w:fill="auto"/>
            <w:noWrap/>
            <w:vAlign w:val="center"/>
          </w:tcPr>
          <w:p w:rsidR="00D550EA" w:rsidRPr="00A07753" w:rsidRDefault="00D550EA" w:rsidP="00D550EA">
            <w:pPr>
              <w:ind w:left="-108" w:right="-108"/>
              <w:jc w:val="center"/>
              <w:rPr>
                <w:b/>
                <w:i/>
                <w:iCs/>
                <w:sz w:val="18"/>
                <w:szCs w:val="18"/>
              </w:rPr>
            </w:pPr>
            <w:r w:rsidRPr="00A07753">
              <w:rPr>
                <w:b/>
                <w:i/>
                <w:sz w:val="16"/>
                <w:szCs w:val="16"/>
              </w:rPr>
              <w:t>88,2</w:t>
            </w:r>
          </w:p>
        </w:tc>
        <w:tc>
          <w:tcPr>
            <w:tcW w:w="1276" w:type="dxa"/>
            <w:tcBorders>
              <w:top w:val="nil"/>
              <w:left w:val="nil"/>
              <w:bottom w:val="single" w:sz="4" w:space="0" w:color="auto"/>
              <w:right w:val="single" w:sz="4" w:space="0" w:color="auto"/>
            </w:tcBorders>
            <w:shd w:val="clear" w:color="auto" w:fill="auto"/>
            <w:noWrap/>
            <w:vAlign w:val="center"/>
          </w:tcPr>
          <w:p w:rsidR="00D550EA" w:rsidRPr="00A07753" w:rsidRDefault="00D550EA" w:rsidP="00D550EA">
            <w:pPr>
              <w:ind w:left="-108" w:right="-108"/>
              <w:jc w:val="center"/>
              <w:rPr>
                <w:b/>
                <w:i/>
                <w:iCs/>
                <w:sz w:val="18"/>
                <w:szCs w:val="18"/>
              </w:rPr>
            </w:pPr>
            <w:r w:rsidRPr="00A07753">
              <w:rPr>
                <w:b/>
                <w:i/>
                <w:sz w:val="16"/>
                <w:szCs w:val="16"/>
              </w:rPr>
              <w:t>82,5</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94,8</w:t>
            </w:r>
          </w:p>
        </w:tc>
        <w:tc>
          <w:tcPr>
            <w:tcW w:w="851"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85,7</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81,5</w:t>
            </w:r>
          </w:p>
        </w:tc>
      </w:tr>
      <w:tr w:rsidR="00D550EA" w:rsidRPr="00143121" w:rsidTr="00B43A6B">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550EA" w:rsidRPr="000D4470" w:rsidRDefault="00D550EA" w:rsidP="00D550EA">
            <w:pPr>
              <w:ind w:firstLine="113"/>
              <w:rPr>
                <w:bCs/>
                <w:sz w:val="18"/>
                <w:szCs w:val="18"/>
              </w:rPr>
            </w:pPr>
            <w:r w:rsidRPr="000D4470">
              <w:rPr>
                <w:bCs/>
                <w:sz w:val="18"/>
                <w:szCs w:val="18"/>
              </w:rPr>
              <w:t xml:space="preserve">распределено </w:t>
            </w:r>
            <w:r w:rsidRPr="00531DA5">
              <w:rPr>
                <w:bCs/>
                <w:sz w:val="18"/>
                <w:szCs w:val="18"/>
              </w:rPr>
              <w:t>приложением 30</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8"/>
              </w:rPr>
            </w:pPr>
            <w:r w:rsidRPr="00B43A6B">
              <w:rPr>
                <w:bCs/>
                <w:sz w:val="16"/>
                <w:szCs w:val="18"/>
              </w:rPr>
              <w:t>3 288 984,9</w:t>
            </w:r>
          </w:p>
        </w:tc>
        <w:tc>
          <w:tcPr>
            <w:tcW w:w="1276"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8"/>
              </w:rPr>
            </w:pPr>
            <w:r w:rsidRPr="00B43A6B">
              <w:rPr>
                <w:bCs/>
                <w:sz w:val="16"/>
                <w:szCs w:val="18"/>
              </w:rPr>
              <w:t>3 272 659,4</w:t>
            </w:r>
          </w:p>
        </w:tc>
        <w:tc>
          <w:tcPr>
            <w:tcW w:w="1276"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8"/>
              </w:rPr>
            </w:pPr>
            <w:r w:rsidRPr="00B43A6B">
              <w:rPr>
                <w:bCs/>
                <w:sz w:val="16"/>
                <w:szCs w:val="18"/>
              </w:rPr>
              <w:t>3 280 088,8</w:t>
            </w:r>
          </w:p>
        </w:tc>
        <w:tc>
          <w:tcPr>
            <w:tcW w:w="850"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8"/>
              </w:rPr>
            </w:pPr>
            <w:r w:rsidRPr="00B43A6B">
              <w:rPr>
                <w:bCs/>
                <w:sz w:val="16"/>
                <w:szCs w:val="18"/>
              </w:rPr>
              <w:t>211</w:t>
            </w:r>
          </w:p>
        </w:tc>
        <w:tc>
          <w:tcPr>
            <w:tcW w:w="851"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8"/>
              </w:rPr>
            </w:pPr>
            <w:r w:rsidRPr="00B43A6B">
              <w:rPr>
                <w:bCs/>
                <w:sz w:val="16"/>
                <w:szCs w:val="18"/>
              </w:rPr>
              <w:t>185</w:t>
            </w:r>
          </w:p>
        </w:tc>
        <w:tc>
          <w:tcPr>
            <w:tcW w:w="850"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8"/>
              </w:rPr>
            </w:pPr>
            <w:r w:rsidRPr="00B43A6B">
              <w:rPr>
                <w:bCs/>
                <w:sz w:val="16"/>
                <w:szCs w:val="18"/>
              </w:rPr>
              <w:t>166</w:t>
            </w:r>
          </w:p>
        </w:tc>
      </w:tr>
      <w:tr w:rsidR="00D550EA" w:rsidRPr="00D30F37" w:rsidTr="00D550EA">
        <w:trPr>
          <w:trHeight w:val="227"/>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jc w:val="both"/>
              <w:rPr>
                <w:i/>
                <w:iCs/>
                <w:sz w:val="16"/>
                <w:szCs w:val="16"/>
              </w:rPr>
            </w:pPr>
            <w:r w:rsidRPr="00D30F37">
              <w:rPr>
                <w:i/>
                <w:iCs/>
                <w:sz w:val="16"/>
                <w:szCs w:val="16"/>
              </w:rPr>
              <w:t>% к общему объему МБТ</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92,6</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87,1</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81,2</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85,1</w:t>
            </w:r>
          </w:p>
        </w:tc>
        <w:tc>
          <w:tcPr>
            <w:tcW w:w="851"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78,1</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74,8</w:t>
            </w:r>
          </w:p>
        </w:tc>
      </w:tr>
      <w:tr w:rsidR="00D550EA" w:rsidRPr="00D30F37" w:rsidTr="00D550EA">
        <w:trPr>
          <w:trHeight w:val="22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550EA" w:rsidRPr="00D30F37" w:rsidRDefault="00D550EA" w:rsidP="00D550EA">
            <w:pPr>
              <w:jc w:val="both"/>
              <w:rPr>
                <w:i/>
                <w:iCs/>
                <w:sz w:val="16"/>
                <w:szCs w:val="16"/>
              </w:rPr>
            </w:pPr>
            <w:r w:rsidRPr="00D30F37">
              <w:rPr>
                <w:i/>
                <w:iCs/>
                <w:sz w:val="16"/>
                <w:szCs w:val="16"/>
              </w:rPr>
              <w:t>% к распределенному объему</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98,6</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98,7</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98,5</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89,8</w:t>
            </w:r>
          </w:p>
        </w:tc>
        <w:tc>
          <w:tcPr>
            <w:tcW w:w="851"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91,1</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6"/>
              </w:rPr>
            </w:pPr>
            <w:r w:rsidRPr="00D30F37">
              <w:rPr>
                <w:i/>
                <w:sz w:val="16"/>
                <w:szCs w:val="16"/>
              </w:rPr>
              <w:t>91,7</w:t>
            </w:r>
          </w:p>
        </w:tc>
      </w:tr>
      <w:tr w:rsidR="00D550EA" w:rsidRPr="00B43A6B" w:rsidTr="00B43A6B">
        <w:trPr>
          <w:trHeight w:val="22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550EA" w:rsidRPr="00B43A6B" w:rsidRDefault="00D550EA" w:rsidP="00D550EA">
            <w:pPr>
              <w:ind w:firstLine="113"/>
              <w:rPr>
                <w:bCs/>
                <w:sz w:val="16"/>
                <w:szCs w:val="16"/>
              </w:rPr>
            </w:pPr>
            <w:r w:rsidRPr="00B43A6B">
              <w:rPr>
                <w:bCs/>
                <w:sz w:val="16"/>
                <w:szCs w:val="16"/>
              </w:rPr>
              <w:t>отдельным субъектам</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6"/>
              </w:rPr>
            </w:pPr>
            <w:r w:rsidRPr="00B43A6B">
              <w:rPr>
                <w:bCs/>
                <w:sz w:val="16"/>
                <w:szCs w:val="16"/>
              </w:rPr>
              <w:t>47 316,3</w:t>
            </w:r>
          </w:p>
        </w:tc>
        <w:tc>
          <w:tcPr>
            <w:tcW w:w="1276"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6"/>
              </w:rPr>
            </w:pPr>
            <w:r w:rsidRPr="00B43A6B">
              <w:rPr>
                <w:bCs/>
                <w:sz w:val="16"/>
                <w:szCs w:val="16"/>
              </w:rPr>
              <w:t>42 203,9</w:t>
            </w:r>
          </w:p>
        </w:tc>
        <w:tc>
          <w:tcPr>
            <w:tcW w:w="1276"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6"/>
              </w:rPr>
            </w:pPr>
            <w:r w:rsidRPr="00B43A6B">
              <w:rPr>
                <w:bCs/>
                <w:sz w:val="16"/>
                <w:szCs w:val="16"/>
              </w:rPr>
              <w:t>51 030,5</w:t>
            </w:r>
          </w:p>
        </w:tc>
        <w:tc>
          <w:tcPr>
            <w:tcW w:w="850"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6"/>
              </w:rPr>
            </w:pPr>
            <w:r w:rsidRPr="00B43A6B">
              <w:rPr>
                <w:bCs/>
                <w:sz w:val="16"/>
                <w:szCs w:val="16"/>
              </w:rPr>
              <w:t>24</w:t>
            </w:r>
          </w:p>
        </w:tc>
        <w:tc>
          <w:tcPr>
            <w:tcW w:w="851"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6"/>
              </w:rPr>
            </w:pPr>
            <w:r w:rsidRPr="00B43A6B">
              <w:rPr>
                <w:bCs/>
                <w:sz w:val="16"/>
                <w:szCs w:val="16"/>
              </w:rPr>
              <w:t>18</w:t>
            </w:r>
          </w:p>
        </w:tc>
        <w:tc>
          <w:tcPr>
            <w:tcW w:w="850"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Cs/>
                <w:sz w:val="16"/>
                <w:szCs w:val="16"/>
              </w:rPr>
            </w:pPr>
            <w:r w:rsidRPr="00B43A6B">
              <w:rPr>
                <w:bCs/>
                <w:sz w:val="16"/>
                <w:szCs w:val="16"/>
              </w:rPr>
              <w:t>15</w:t>
            </w:r>
          </w:p>
        </w:tc>
      </w:tr>
      <w:tr w:rsidR="00D550EA" w:rsidRPr="00D30F37" w:rsidTr="00D550EA">
        <w:trPr>
          <w:trHeight w:val="227"/>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jc w:val="both"/>
              <w:rPr>
                <w:i/>
                <w:iCs/>
                <w:sz w:val="16"/>
                <w:szCs w:val="16"/>
              </w:rPr>
            </w:pPr>
            <w:r w:rsidRPr="00D30F37">
              <w:rPr>
                <w:i/>
                <w:iCs/>
                <w:sz w:val="16"/>
                <w:szCs w:val="16"/>
              </w:rPr>
              <w:t>% к общему объему МБТ</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6"/>
              </w:rPr>
              <w:t>1,3</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6"/>
              </w:rPr>
              <w:t>1,1</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6"/>
              </w:rPr>
              <w:t>1,3</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8"/>
              </w:rPr>
              <w:t>9,7</w:t>
            </w:r>
          </w:p>
        </w:tc>
        <w:tc>
          <w:tcPr>
            <w:tcW w:w="851"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8"/>
              </w:rPr>
              <w:t>7,6</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8"/>
              </w:rPr>
              <w:t>6,8</w:t>
            </w:r>
          </w:p>
        </w:tc>
      </w:tr>
      <w:tr w:rsidR="00D550EA" w:rsidRPr="00D30F37" w:rsidTr="00D550EA">
        <w:trPr>
          <w:trHeight w:val="22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550EA" w:rsidRPr="00D30F37" w:rsidRDefault="00D550EA" w:rsidP="00D550EA">
            <w:pPr>
              <w:jc w:val="both"/>
              <w:rPr>
                <w:i/>
                <w:iCs/>
                <w:sz w:val="16"/>
                <w:szCs w:val="18"/>
              </w:rPr>
            </w:pPr>
            <w:r w:rsidRPr="00D30F37">
              <w:rPr>
                <w:i/>
                <w:iCs/>
                <w:sz w:val="16"/>
                <w:szCs w:val="18"/>
              </w:rPr>
              <w:lastRenderedPageBreak/>
              <w:t>% к распределенному объему</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6"/>
              </w:rPr>
              <w:t>1,4</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6"/>
              </w:rPr>
              <w:t>1,3</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6"/>
              </w:rPr>
              <w:t>1,5</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8"/>
              </w:rPr>
              <w:t>10,2</w:t>
            </w:r>
          </w:p>
        </w:tc>
        <w:tc>
          <w:tcPr>
            <w:tcW w:w="851"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8"/>
              </w:rPr>
              <w:t>8,9</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Cs/>
                <w:i/>
                <w:sz w:val="16"/>
                <w:szCs w:val="18"/>
              </w:rPr>
            </w:pPr>
            <w:r w:rsidRPr="00D30F37">
              <w:rPr>
                <w:i/>
                <w:sz w:val="16"/>
                <w:szCs w:val="18"/>
              </w:rPr>
              <w:t>8,3</w:t>
            </w:r>
          </w:p>
        </w:tc>
      </w:tr>
      <w:tr w:rsidR="00D550EA" w:rsidRPr="00143121" w:rsidTr="00D550EA">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550EA" w:rsidRPr="00143121" w:rsidRDefault="00D550EA" w:rsidP="00D550EA">
            <w:pPr>
              <w:ind w:firstLine="113"/>
              <w:rPr>
                <w:b/>
                <w:bCs/>
                <w:sz w:val="18"/>
                <w:szCs w:val="18"/>
              </w:rPr>
            </w:pPr>
            <w:r w:rsidRPr="00143121">
              <w:rPr>
                <w:b/>
                <w:bCs/>
                <w:sz w:val="18"/>
                <w:szCs w:val="18"/>
              </w:rPr>
              <w:t>Не распределено</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216 478,2</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443 229,6</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30F37" w:rsidP="00D550EA">
            <w:pPr>
              <w:ind w:left="-108" w:right="-108"/>
              <w:jc w:val="center"/>
              <w:rPr>
                <w:b/>
                <w:bCs/>
                <w:sz w:val="18"/>
                <w:szCs w:val="18"/>
              </w:rPr>
            </w:pPr>
            <w:r>
              <w:rPr>
                <w:b/>
                <w:bCs/>
                <w:sz w:val="18"/>
                <w:szCs w:val="18"/>
              </w:rPr>
              <w:t>706 503,0</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13</w:t>
            </w:r>
          </w:p>
        </w:tc>
        <w:tc>
          <w:tcPr>
            <w:tcW w:w="851"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34</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bCs/>
                <w:sz w:val="18"/>
                <w:szCs w:val="18"/>
              </w:rPr>
            </w:pPr>
            <w:r w:rsidRPr="00D550EA">
              <w:rPr>
                <w:b/>
                <w:bCs/>
                <w:sz w:val="18"/>
                <w:szCs w:val="18"/>
              </w:rPr>
              <w:t>41</w:t>
            </w:r>
          </w:p>
        </w:tc>
      </w:tr>
      <w:tr w:rsidR="00D550EA" w:rsidRPr="00D30F37" w:rsidTr="00A07753">
        <w:trPr>
          <w:trHeight w:val="227"/>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rPr>
                <w:i/>
                <w:iCs/>
                <w:sz w:val="16"/>
                <w:szCs w:val="18"/>
              </w:rPr>
            </w:pPr>
            <w:r w:rsidRPr="00D30F37">
              <w:rPr>
                <w:i/>
                <w:iCs/>
                <w:sz w:val="16"/>
                <w:szCs w:val="18"/>
              </w:rPr>
              <w:t>% к общему объему</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6,1</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11,8</w:t>
            </w:r>
          </w:p>
        </w:tc>
        <w:tc>
          <w:tcPr>
            <w:tcW w:w="1276"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17,5</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5,2</w:t>
            </w:r>
          </w:p>
        </w:tc>
        <w:tc>
          <w:tcPr>
            <w:tcW w:w="851"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14,3</w:t>
            </w:r>
          </w:p>
        </w:tc>
        <w:tc>
          <w:tcPr>
            <w:tcW w:w="850" w:type="dxa"/>
            <w:tcBorders>
              <w:top w:val="nil"/>
              <w:left w:val="nil"/>
              <w:bottom w:val="single" w:sz="4" w:space="0" w:color="auto"/>
              <w:right w:val="single" w:sz="4" w:space="0" w:color="auto"/>
            </w:tcBorders>
            <w:shd w:val="clear" w:color="auto" w:fill="auto"/>
            <w:noWrap/>
            <w:vAlign w:val="center"/>
          </w:tcPr>
          <w:p w:rsidR="00D550EA" w:rsidRPr="00D30F37" w:rsidRDefault="00D550EA" w:rsidP="00D550EA">
            <w:pPr>
              <w:ind w:left="-108" w:right="-108"/>
              <w:jc w:val="center"/>
              <w:rPr>
                <w:b/>
                <w:i/>
                <w:iCs/>
                <w:sz w:val="18"/>
                <w:szCs w:val="18"/>
              </w:rPr>
            </w:pPr>
            <w:r w:rsidRPr="00D30F37">
              <w:rPr>
                <w:i/>
                <w:sz w:val="16"/>
                <w:szCs w:val="16"/>
              </w:rPr>
              <w:t>18,5</w:t>
            </w:r>
          </w:p>
        </w:tc>
      </w:tr>
      <w:tr w:rsidR="00D550EA" w:rsidRPr="00B43A6B" w:rsidTr="00FC5E64">
        <w:trPr>
          <w:trHeight w:val="170"/>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B43A6B" w:rsidRDefault="00D550EA" w:rsidP="00D550EA">
            <w:pPr>
              <w:rPr>
                <w:iCs/>
                <w:sz w:val="14"/>
                <w:szCs w:val="18"/>
              </w:rPr>
            </w:pPr>
            <w:r w:rsidRPr="00B43A6B">
              <w:rPr>
                <w:bCs/>
                <w:sz w:val="14"/>
                <w:szCs w:val="18"/>
              </w:rPr>
              <w:t>в том числе:</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
                <w:sz w:val="14"/>
                <w:szCs w:val="16"/>
              </w:rPr>
            </w:pPr>
          </w:p>
        </w:tc>
        <w:tc>
          <w:tcPr>
            <w:tcW w:w="1276"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
                <w:sz w:val="14"/>
                <w:szCs w:val="16"/>
              </w:rPr>
            </w:pPr>
          </w:p>
        </w:tc>
        <w:tc>
          <w:tcPr>
            <w:tcW w:w="1276"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
                <w:sz w:val="14"/>
                <w:szCs w:val="16"/>
              </w:rPr>
            </w:pPr>
          </w:p>
        </w:tc>
        <w:tc>
          <w:tcPr>
            <w:tcW w:w="850"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
                <w:sz w:val="14"/>
                <w:szCs w:val="16"/>
              </w:rPr>
            </w:pPr>
          </w:p>
        </w:tc>
        <w:tc>
          <w:tcPr>
            <w:tcW w:w="851"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
                <w:sz w:val="14"/>
                <w:szCs w:val="16"/>
              </w:rPr>
            </w:pPr>
          </w:p>
        </w:tc>
        <w:tc>
          <w:tcPr>
            <w:tcW w:w="850" w:type="dxa"/>
            <w:tcBorders>
              <w:top w:val="nil"/>
              <w:left w:val="nil"/>
              <w:bottom w:val="single" w:sz="4" w:space="0" w:color="auto"/>
              <w:right w:val="single" w:sz="4" w:space="0" w:color="auto"/>
            </w:tcBorders>
            <w:shd w:val="clear" w:color="auto" w:fill="auto"/>
            <w:noWrap/>
            <w:vAlign w:val="center"/>
          </w:tcPr>
          <w:p w:rsidR="00D550EA" w:rsidRPr="00B43A6B" w:rsidRDefault="00D550EA" w:rsidP="00D550EA">
            <w:pPr>
              <w:ind w:left="-108" w:right="-108"/>
              <w:jc w:val="center"/>
              <w:rPr>
                <w:b/>
                <w:sz w:val="14"/>
                <w:szCs w:val="16"/>
              </w:rPr>
            </w:pPr>
          </w:p>
        </w:tc>
      </w:tr>
      <w:tr w:rsidR="00D550EA" w:rsidRPr="00143121" w:rsidTr="004010B4">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143121" w:rsidRDefault="00D550EA" w:rsidP="00D550EA">
            <w:pPr>
              <w:ind w:firstLine="179"/>
              <w:rPr>
                <w:iCs/>
                <w:sz w:val="18"/>
                <w:szCs w:val="18"/>
              </w:rPr>
            </w:pPr>
            <w:r>
              <w:rPr>
                <w:bCs/>
                <w:sz w:val="18"/>
                <w:szCs w:val="18"/>
              </w:rPr>
              <w:t>дотации</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94 321,8</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185 318,2</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191 847,6</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3</w:t>
            </w:r>
          </w:p>
        </w:tc>
        <w:tc>
          <w:tcPr>
            <w:tcW w:w="851"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4</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4</w:t>
            </w:r>
          </w:p>
        </w:tc>
      </w:tr>
      <w:tr w:rsidR="00D550EA" w:rsidRPr="00143121" w:rsidTr="004010B4">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143121" w:rsidRDefault="00D550EA" w:rsidP="00D550EA">
            <w:pPr>
              <w:ind w:firstLine="179"/>
              <w:rPr>
                <w:iCs/>
                <w:sz w:val="18"/>
                <w:szCs w:val="18"/>
              </w:rPr>
            </w:pPr>
            <w:r>
              <w:rPr>
                <w:bCs/>
                <w:sz w:val="18"/>
                <w:szCs w:val="18"/>
              </w:rPr>
              <w:t>субсидии</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105 277,6</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239 189,7</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511 592,3</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7</w:t>
            </w:r>
          </w:p>
        </w:tc>
        <w:tc>
          <w:tcPr>
            <w:tcW w:w="851"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27</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35</w:t>
            </w:r>
          </w:p>
        </w:tc>
      </w:tr>
      <w:tr w:rsidR="00D550EA" w:rsidRPr="00143121" w:rsidTr="004010B4">
        <w:trPr>
          <w:trHeight w:val="283"/>
        </w:trPr>
        <w:tc>
          <w:tcPr>
            <w:tcW w:w="3261" w:type="dxa"/>
            <w:tcBorders>
              <w:top w:val="nil"/>
              <w:left w:val="single" w:sz="4" w:space="0" w:color="auto"/>
              <w:bottom w:val="single" w:sz="4" w:space="0" w:color="auto"/>
              <w:right w:val="single" w:sz="4" w:space="0" w:color="auto"/>
            </w:tcBorders>
            <w:shd w:val="clear" w:color="auto" w:fill="auto"/>
            <w:noWrap/>
            <w:vAlign w:val="center"/>
          </w:tcPr>
          <w:p w:rsidR="00D550EA" w:rsidRPr="00143121" w:rsidRDefault="00D550EA" w:rsidP="00D550EA">
            <w:pPr>
              <w:ind w:firstLine="179"/>
              <w:rPr>
                <w:iCs/>
                <w:sz w:val="18"/>
                <w:szCs w:val="18"/>
              </w:rPr>
            </w:pPr>
            <w:r>
              <w:rPr>
                <w:bCs/>
                <w:sz w:val="18"/>
                <w:szCs w:val="18"/>
              </w:rPr>
              <w:t>иные межбюджетные трансферты</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16 878,8</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18 721,7</w:t>
            </w:r>
          </w:p>
        </w:tc>
        <w:tc>
          <w:tcPr>
            <w:tcW w:w="1276"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3 063,1</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3</w:t>
            </w:r>
          </w:p>
        </w:tc>
        <w:tc>
          <w:tcPr>
            <w:tcW w:w="851"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3</w:t>
            </w:r>
          </w:p>
        </w:tc>
        <w:tc>
          <w:tcPr>
            <w:tcW w:w="850" w:type="dxa"/>
            <w:tcBorders>
              <w:top w:val="nil"/>
              <w:left w:val="nil"/>
              <w:bottom w:val="single" w:sz="4" w:space="0" w:color="auto"/>
              <w:right w:val="single" w:sz="4" w:space="0" w:color="auto"/>
            </w:tcBorders>
            <w:shd w:val="clear" w:color="auto" w:fill="auto"/>
            <w:noWrap/>
            <w:vAlign w:val="center"/>
          </w:tcPr>
          <w:p w:rsidR="00D550EA" w:rsidRPr="00D550EA" w:rsidRDefault="00D550EA" w:rsidP="00D550EA">
            <w:pPr>
              <w:ind w:left="-108" w:right="-108"/>
              <w:jc w:val="center"/>
              <w:rPr>
                <w:b/>
                <w:sz w:val="18"/>
                <w:szCs w:val="16"/>
              </w:rPr>
            </w:pPr>
            <w:r w:rsidRPr="00D550EA">
              <w:rPr>
                <w:sz w:val="16"/>
                <w:szCs w:val="16"/>
              </w:rPr>
              <w:t>2</w:t>
            </w:r>
          </w:p>
        </w:tc>
      </w:tr>
    </w:tbl>
    <w:p w:rsidR="00A323CD" w:rsidRDefault="00A323CD" w:rsidP="00A323CD">
      <w:pPr>
        <w:spacing w:before="120" w:line="360" w:lineRule="auto"/>
        <w:ind w:firstLine="709"/>
        <w:jc w:val="both"/>
      </w:pPr>
      <w:r w:rsidRPr="00A323CD">
        <w:rPr>
          <w:b/>
        </w:rPr>
        <w:t>Распределенный законопроектом объем межбюджетных трансфертов</w:t>
      </w:r>
      <w:r w:rsidRPr="00A323CD">
        <w:t xml:space="preserve"> бюджетам субъектов Российской Федерации в 2026 году составляет </w:t>
      </w:r>
      <w:r w:rsidRPr="00A323CD">
        <w:rPr>
          <w:b/>
        </w:rPr>
        <w:t>93,9 %</w:t>
      </w:r>
      <w:r w:rsidRPr="00A323CD">
        <w:t xml:space="preserve"> общего объема, что значительно </w:t>
      </w:r>
      <w:r w:rsidR="00904A85">
        <w:t>выше</w:t>
      </w:r>
      <w:r w:rsidRPr="00A323CD">
        <w:t xml:space="preserve"> уровня 2025 года </w:t>
      </w:r>
      <w:r w:rsidRPr="00A07753">
        <w:rPr>
          <w:b/>
        </w:rPr>
        <w:t>(12,5 %)</w:t>
      </w:r>
      <w:r w:rsidRPr="00A323CD">
        <w:t xml:space="preserve">, в 2027 и 2028 годах – </w:t>
      </w:r>
      <w:r w:rsidRPr="00A323CD">
        <w:rPr>
          <w:b/>
        </w:rPr>
        <w:t>88,2 % и 82,5 %</w:t>
      </w:r>
      <w:r w:rsidRPr="00A323CD">
        <w:t xml:space="preserve"> соответственно.</w:t>
      </w:r>
    </w:p>
    <w:p w:rsidR="00A323CD" w:rsidRPr="000D60E8" w:rsidRDefault="00A323CD" w:rsidP="000D60E8">
      <w:pPr>
        <w:spacing w:line="360" w:lineRule="auto"/>
        <w:ind w:firstLine="709"/>
        <w:jc w:val="both"/>
        <w:rPr>
          <w:b/>
        </w:rPr>
      </w:pPr>
      <w:r w:rsidRPr="000D60E8">
        <w:t xml:space="preserve">Основной объем нераспределенных трансфертов на 2026 год </w:t>
      </w:r>
      <w:r w:rsidR="003951E5">
        <w:t>(116 704,7 млн рублей</w:t>
      </w:r>
      <w:r w:rsidR="00DA2DB7">
        <w:t xml:space="preserve">) </w:t>
      </w:r>
      <w:r w:rsidRPr="000D60E8">
        <w:t xml:space="preserve">приходится </w:t>
      </w:r>
      <w:r w:rsidR="00DA2DB7">
        <w:t xml:space="preserve">на межбюджетные трансферты, связанные с </w:t>
      </w:r>
      <w:r w:rsidR="00DA2DB7" w:rsidRPr="00DA2DB7">
        <w:t>поступлением доходов федерального бюджета</w:t>
      </w:r>
      <w:r w:rsidR="00DA2DB7">
        <w:t>. Также н</w:t>
      </w:r>
      <w:r w:rsidRPr="000D60E8">
        <w:t>е распределены дотации, связанные с конкурсными процедурами (</w:t>
      </w:r>
      <w:r w:rsidR="00E95FB1">
        <w:t>в общем объеме 14 000,0</w:t>
      </w:r>
      <w:r w:rsidRPr="000D60E8">
        <w:t xml:space="preserve"> мл</w:t>
      </w:r>
      <w:r w:rsidR="00DA2DB7">
        <w:t>н</w:t>
      </w:r>
      <w:r w:rsidRPr="000D60E8">
        <w:t xml:space="preserve"> рублей</w:t>
      </w:r>
      <w:r w:rsidR="00E95FB1">
        <w:t xml:space="preserve">) </w:t>
      </w:r>
      <w:r w:rsidR="00DA2DB7">
        <w:t>и</w:t>
      </w:r>
      <w:r w:rsidRPr="000D60E8">
        <w:t xml:space="preserve"> дотации на поддержку мер по обеспечению сбалансированности бюджетов (</w:t>
      </w:r>
      <w:r w:rsidR="00E95FB1">
        <w:t>80 321,8</w:t>
      </w:r>
      <w:r w:rsidRPr="000D60E8">
        <w:t xml:space="preserve"> мл</w:t>
      </w:r>
      <w:r w:rsidR="00E95FB1">
        <w:t>н рублей</w:t>
      </w:r>
      <w:r w:rsidRPr="000D60E8">
        <w:t>).</w:t>
      </w:r>
    </w:p>
    <w:p w:rsidR="00C9034D" w:rsidRPr="000D4470" w:rsidRDefault="008558B4" w:rsidP="00B3294C">
      <w:pPr>
        <w:widowControl w:val="0"/>
        <w:autoSpaceDE w:val="0"/>
        <w:autoSpaceDN w:val="0"/>
        <w:adjustRightInd w:val="0"/>
        <w:spacing w:line="360" w:lineRule="auto"/>
        <w:ind w:firstLine="709"/>
        <w:jc w:val="both"/>
      </w:pPr>
      <w:r w:rsidRPr="000D4470">
        <w:rPr>
          <w:b/>
        </w:rPr>
        <w:t>15</w:t>
      </w:r>
      <w:r w:rsidR="00CC4E71">
        <w:rPr>
          <w:b/>
        </w:rPr>
        <w:t>.9</w:t>
      </w:r>
      <w:r w:rsidR="00D161E1" w:rsidRPr="000D4470">
        <w:rPr>
          <w:b/>
        </w:rPr>
        <w:t>.</w:t>
      </w:r>
      <w:r w:rsidR="00D161E1" w:rsidRPr="000D4470">
        <w:t xml:space="preserve"> </w:t>
      </w:r>
      <w:r w:rsidR="00EC5F8F" w:rsidRPr="000D4470">
        <w:rPr>
          <w:rFonts w:eastAsia="Calibri"/>
        </w:rPr>
        <w:t>Информация по видам дотаций, предоставляемых бюджетам субъектов Российской Федерации в 202</w:t>
      </w:r>
      <w:r w:rsidR="003D4500" w:rsidRPr="003D4500">
        <w:rPr>
          <w:rFonts w:eastAsia="Calibri"/>
        </w:rPr>
        <w:t>5</w:t>
      </w:r>
      <w:r w:rsidR="00EC5F8F" w:rsidRPr="000D4470">
        <w:rPr>
          <w:rFonts w:eastAsia="Calibri"/>
        </w:rPr>
        <w:t>–202</w:t>
      </w:r>
      <w:r w:rsidR="00143121" w:rsidRPr="000D4470">
        <w:rPr>
          <w:rFonts w:eastAsia="Calibri"/>
        </w:rPr>
        <w:t>8</w:t>
      </w:r>
      <w:r w:rsidR="00EC5F8F" w:rsidRPr="000D4470">
        <w:rPr>
          <w:rFonts w:eastAsia="Calibri"/>
        </w:rPr>
        <w:t xml:space="preserve"> годах, представлена в следующей таблице</w:t>
      </w:r>
      <w:r w:rsidR="00CA6A3C" w:rsidRPr="000D4470">
        <w:t>.</w:t>
      </w:r>
    </w:p>
    <w:p w:rsidR="003D25F8" w:rsidRPr="000D4470" w:rsidRDefault="003D25F8" w:rsidP="003D25F8">
      <w:pPr>
        <w:ind w:left="7787" w:firstLine="1"/>
        <w:jc w:val="both"/>
      </w:pPr>
      <w:r w:rsidRPr="000D4470">
        <w:rPr>
          <w:sz w:val="20"/>
        </w:rPr>
        <w:t xml:space="preserve">       (млн рублей)</w:t>
      </w:r>
    </w:p>
    <w:tbl>
      <w:tblPr>
        <w:tblStyle w:val="af4"/>
        <w:tblW w:w="9606" w:type="dxa"/>
        <w:tblLook w:val="04A0" w:firstRow="1" w:lastRow="0" w:firstColumn="1" w:lastColumn="0" w:noHBand="0" w:noVBand="1"/>
      </w:tblPr>
      <w:tblGrid>
        <w:gridCol w:w="4762"/>
        <w:gridCol w:w="1442"/>
        <w:gridCol w:w="1134"/>
        <w:gridCol w:w="1134"/>
        <w:gridCol w:w="1134"/>
      </w:tblGrid>
      <w:tr w:rsidR="003D4500" w:rsidRPr="00143121" w:rsidTr="003D4500">
        <w:trPr>
          <w:trHeight w:val="227"/>
          <w:tblHeader/>
        </w:trPr>
        <w:tc>
          <w:tcPr>
            <w:tcW w:w="4762" w:type="dxa"/>
          </w:tcPr>
          <w:p w:rsidR="003D4500" w:rsidRPr="00A07753" w:rsidRDefault="003D4500" w:rsidP="000D4470">
            <w:pPr>
              <w:jc w:val="center"/>
              <w:rPr>
                <w:b/>
                <w:spacing w:val="-4"/>
                <w:sz w:val="16"/>
                <w:szCs w:val="18"/>
              </w:rPr>
            </w:pPr>
            <w:r w:rsidRPr="00A07753">
              <w:rPr>
                <w:b/>
                <w:sz w:val="16"/>
                <w:szCs w:val="16"/>
              </w:rPr>
              <w:t>Наименование</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3D4500" w:rsidRPr="00A07753" w:rsidRDefault="003D4500" w:rsidP="000D4470">
            <w:pPr>
              <w:jc w:val="center"/>
              <w:rPr>
                <w:b/>
                <w:bCs/>
                <w:sz w:val="16"/>
                <w:szCs w:val="18"/>
              </w:rPr>
            </w:pPr>
            <w:r w:rsidRPr="00A07753">
              <w:rPr>
                <w:b/>
                <w:bCs/>
                <w:sz w:val="16"/>
                <w:szCs w:val="18"/>
              </w:rPr>
              <w:t>2025 год</w:t>
            </w:r>
          </w:p>
          <w:p w:rsidR="003D4500" w:rsidRPr="00ED7EE8" w:rsidRDefault="003D4500" w:rsidP="000D4470">
            <w:pPr>
              <w:spacing w:before="20"/>
              <w:jc w:val="center"/>
              <w:rPr>
                <w:spacing w:val="-4"/>
                <w:sz w:val="16"/>
                <w:szCs w:val="18"/>
              </w:rPr>
            </w:pPr>
            <w:r w:rsidRPr="00ED7EE8">
              <w:rPr>
                <w:bCs/>
                <w:sz w:val="16"/>
                <w:szCs w:val="18"/>
              </w:rPr>
              <w:t>(сводная роспись на 01.09.2025)</w:t>
            </w:r>
          </w:p>
        </w:tc>
        <w:tc>
          <w:tcPr>
            <w:tcW w:w="1134" w:type="dxa"/>
            <w:tcBorders>
              <w:top w:val="single" w:sz="4" w:space="0" w:color="auto"/>
              <w:left w:val="nil"/>
              <w:bottom w:val="single" w:sz="4" w:space="0" w:color="auto"/>
              <w:right w:val="single" w:sz="4" w:space="0" w:color="auto"/>
            </w:tcBorders>
            <w:shd w:val="clear" w:color="auto" w:fill="auto"/>
          </w:tcPr>
          <w:p w:rsidR="003D4500" w:rsidRPr="00A07753" w:rsidRDefault="003D4500" w:rsidP="000D4470">
            <w:pPr>
              <w:ind w:left="-168" w:right="-108"/>
              <w:jc w:val="center"/>
              <w:rPr>
                <w:b/>
                <w:bCs/>
                <w:sz w:val="16"/>
                <w:szCs w:val="18"/>
              </w:rPr>
            </w:pPr>
            <w:r w:rsidRPr="00A07753">
              <w:rPr>
                <w:b/>
                <w:bCs/>
                <w:sz w:val="16"/>
                <w:szCs w:val="18"/>
              </w:rPr>
              <w:t>2026 год</w:t>
            </w:r>
          </w:p>
          <w:p w:rsidR="003D4500" w:rsidRPr="00ED7EE8" w:rsidRDefault="003D4500" w:rsidP="000D4470">
            <w:pPr>
              <w:spacing w:before="20"/>
              <w:jc w:val="center"/>
              <w:rPr>
                <w:spacing w:val="-4"/>
                <w:sz w:val="16"/>
                <w:szCs w:val="18"/>
              </w:rPr>
            </w:pPr>
            <w:r w:rsidRPr="00ED7EE8">
              <w:rPr>
                <w:bCs/>
                <w:sz w:val="16"/>
                <w:szCs w:val="18"/>
              </w:rPr>
              <w:t>(прогноз)</w:t>
            </w:r>
          </w:p>
        </w:tc>
        <w:tc>
          <w:tcPr>
            <w:tcW w:w="1134" w:type="dxa"/>
            <w:tcBorders>
              <w:top w:val="single" w:sz="4" w:space="0" w:color="auto"/>
              <w:left w:val="nil"/>
              <w:bottom w:val="single" w:sz="4" w:space="0" w:color="auto"/>
              <w:right w:val="single" w:sz="4" w:space="0" w:color="auto"/>
            </w:tcBorders>
            <w:shd w:val="clear" w:color="auto" w:fill="auto"/>
          </w:tcPr>
          <w:p w:rsidR="003D4500" w:rsidRPr="00A07753" w:rsidRDefault="003D4500" w:rsidP="000D4470">
            <w:pPr>
              <w:ind w:left="-57" w:right="-57"/>
              <w:jc w:val="center"/>
              <w:rPr>
                <w:b/>
                <w:bCs/>
                <w:sz w:val="16"/>
                <w:szCs w:val="18"/>
              </w:rPr>
            </w:pPr>
            <w:r w:rsidRPr="00A07753">
              <w:rPr>
                <w:b/>
                <w:bCs/>
                <w:sz w:val="16"/>
                <w:szCs w:val="18"/>
              </w:rPr>
              <w:t>2027 год</w:t>
            </w:r>
          </w:p>
          <w:p w:rsidR="003D4500" w:rsidRPr="00ED7EE8" w:rsidRDefault="003D4500" w:rsidP="000D4470">
            <w:pPr>
              <w:spacing w:before="20"/>
              <w:jc w:val="center"/>
              <w:rPr>
                <w:spacing w:val="-4"/>
                <w:sz w:val="22"/>
                <w:szCs w:val="18"/>
              </w:rPr>
            </w:pPr>
            <w:r w:rsidRPr="00ED7EE8">
              <w:rPr>
                <w:bCs/>
                <w:sz w:val="16"/>
                <w:szCs w:val="18"/>
              </w:rPr>
              <w:t>(прогноз)</w:t>
            </w:r>
          </w:p>
        </w:tc>
        <w:tc>
          <w:tcPr>
            <w:tcW w:w="1134" w:type="dxa"/>
            <w:tcBorders>
              <w:top w:val="single" w:sz="4" w:space="0" w:color="auto"/>
              <w:left w:val="nil"/>
              <w:bottom w:val="single" w:sz="4" w:space="0" w:color="auto"/>
              <w:right w:val="single" w:sz="4" w:space="0" w:color="auto"/>
            </w:tcBorders>
            <w:shd w:val="clear" w:color="auto" w:fill="auto"/>
          </w:tcPr>
          <w:p w:rsidR="003D4500" w:rsidRPr="00A07753" w:rsidRDefault="003D4500" w:rsidP="000D4470">
            <w:pPr>
              <w:ind w:left="-131" w:right="-108"/>
              <w:jc w:val="center"/>
              <w:rPr>
                <w:b/>
                <w:bCs/>
                <w:sz w:val="16"/>
                <w:szCs w:val="18"/>
              </w:rPr>
            </w:pPr>
            <w:r w:rsidRPr="00A07753">
              <w:rPr>
                <w:b/>
                <w:bCs/>
                <w:sz w:val="16"/>
                <w:szCs w:val="18"/>
              </w:rPr>
              <w:t>2028 год</w:t>
            </w:r>
          </w:p>
          <w:p w:rsidR="003D4500" w:rsidRPr="00ED7EE8" w:rsidRDefault="003D4500" w:rsidP="000D4470">
            <w:pPr>
              <w:spacing w:before="20"/>
              <w:jc w:val="center"/>
              <w:rPr>
                <w:spacing w:val="-4"/>
                <w:sz w:val="22"/>
                <w:szCs w:val="18"/>
              </w:rPr>
            </w:pPr>
            <w:r w:rsidRPr="00ED7EE8">
              <w:rPr>
                <w:bCs/>
                <w:sz w:val="16"/>
                <w:szCs w:val="18"/>
              </w:rPr>
              <w:t>(прогноз)</w:t>
            </w:r>
          </w:p>
        </w:tc>
      </w:tr>
      <w:tr w:rsidR="003D4500" w:rsidRPr="00143121" w:rsidTr="003D4500">
        <w:trPr>
          <w:trHeight w:val="283"/>
        </w:trPr>
        <w:tc>
          <w:tcPr>
            <w:tcW w:w="4762" w:type="dxa"/>
            <w:vAlign w:val="center"/>
          </w:tcPr>
          <w:p w:rsidR="003D4500" w:rsidRPr="00ED7EE8" w:rsidRDefault="003D4500" w:rsidP="000648DA">
            <w:pPr>
              <w:rPr>
                <w:b/>
                <w:spacing w:val="-4"/>
                <w:sz w:val="18"/>
                <w:szCs w:val="16"/>
              </w:rPr>
            </w:pPr>
            <w:r w:rsidRPr="00ED7EE8">
              <w:rPr>
                <w:b/>
                <w:bCs/>
                <w:spacing w:val="-4"/>
                <w:sz w:val="18"/>
                <w:szCs w:val="16"/>
              </w:rPr>
              <w:t>Дотации</w:t>
            </w:r>
          </w:p>
        </w:tc>
        <w:tc>
          <w:tcPr>
            <w:tcW w:w="1442" w:type="dxa"/>
            <w:tcBorders>
              <w:top w:val="single" w:sz="4" w:space="0" w:color="auto"/>
              <w:left w:val="nil"/>
              <w:bottom w:val="single" w:sz="4" w:space="0" w:color="auto"/>
              <w:right w:val="single" w:sz="4" w:space="0" w:color="auto"/>
            </w:tcBorders>
            <w:shd w:val="clear" w:color="auto" w:fill="auto"/>
            <w:vAlign w:val="center"/>
          </w:tcPr>
          <w:p w:rsidR="003D4500" w:rsidRPr="00ED7EE8" w:rsidRDefault="003D4500" w:rsidP="000648DA">
            <w:pPr>
              <w:jc w:val="center"/>
              <w:rPr>
                <w:b/>
                <w:spacing w:val="-4"/>
                <w:sz w:val="16"/>
                <w:szCs w:val="16"/>
              </w:rPr>
            </w:pPr>
            <w:r w:rsidRPr="00ED7EE8">
              <w:rPr>
                <w:b/>
                <w:bCs/>
                <w:sz w:val="16"/>
                <w:szCs w:val="16"/>
              </w:rPr>
              <w:t>1 305 501,4</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500" w:rsidRPr="00ED7EE8" w:rsidRDefault="003D4500" w:rsidP="000648DA">
            <w:pPr>
              <w:jc w:val="center"/>
              <w:rPr>
                <w:b/>
                <w:spacing w:val="-4"/>
                <w:sz w:val="16"/>
                <w:szCs w:val="16"/>
              </w:rPr>
            </w:pPr>
            <w:r w:rsidRPr="00ED7EE8">
              <w:rPr>
                <w:b/>
                <w:bCs/>
                <w:sz w:val="16"/>
                <w:szCs w:val="16"/>
              </w:rPr>
              <w:t>1 373 719,3</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500" w:rsidRPr="00ED7EE8" w:rsidRDefault="003D4500" w:rsidP="000648DA">
            <w:pPr>
              <w:jc w:val="center"/>
              <w:rPr>
                <w:b/>
                <w:spacing w:val="-4"/>
                <w:sz w:val="16"/>
                <w:szCs w:val="16"/>
              </w:rPr>
            </w:pPr>
            <w:r w:rsidRPr="00ED7EE8">
              <w:rPr>
                <w:b/>
                <w:bCs/>
                <w:sz w:val="16"/>
                <w:szCs w:val="16"/>
              </w:rPr>
              <w:t>1 338 347,9</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500" w:rsidRPr="00ED7EE8" w:rsidRDefault="003D4500" w:rsidP="000648DA">
            <w:pPr>
              <w:jc w:val="center"/>
              <w:rPr>
                <w:b/>
                <w:sz w:val="16"/>
                <w:szCs w:val="16"/>
              </w:rPr>
            </w:pPr>
            <w:r w:rsidRPr="00ED7EE8">
              <w:rPr>
                <w:b/>
                <w:bCs/>
                <w:sz w:val="16"/>
                <w:szCs w:val="16"/>
              </w:rPr>
              <w:t>1 344 877,3</w:t>
            </w:r>
          </w:p>
        </w:tc>
      </w:tr>
      <w:tr w:rsidR="003D4500" w:rsidRPr="00143121" w:rsidTr="003D4500">
        <w:trPr>
          <w:trHeight w:val="227"/>
        </w:trPr>
        <w:tc>
          <w:tcPr>
            <w:tcW w:w="4762" w:type="dxa"/>
            <w:vAlign w:val="center"/>
          </w:tcPr>
          <w:p w:rsidR="003D4500" w:rsidRPr="00A07753" w:rsidRDefault="003D4500" w:rsidP="000648DA">
            <w:pPr>
              <w:ind w:firstLine="284"/>
              <w:rPr>
                <w:i/>
                <w:spacing w:val="-4"/>
                <w:sz w:val="16"/>
                <w:szCs w:val="18"/>
              </w:rPr>
            </w:pPr>
            <w:r w:rsidRPr="00A07753">
              <w:rPr>
                <w:i/>
                <w:spacing w:val="-4"/>
                <w:sz w:val="16"/>
                <w:szCs w:val="18"/>
              </w:rPr>
              <w:t>отклонение от предыдущего года</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341E6F">
            <w:pPr>
              <w:jc w:val="center"/>
              <w:rPr>
                <w:spacing w:val="-4"/>
                <w:sz w:val="16"/>
                <w:szCs w:val="16"/>
              </w:rPr>
            </w:pPr>
            <w:r w:rsidRPr="00ED7EE8">
              <w:rPr>
                <w:i/>
                <w:iCs/>
                <w:sz w:val="16"/>
                <w:szCs w:val="16"/>
              </w:rPr>
              <w:t>-</w:t>
            </w:r>
            <w:r>
              <w:rPr>
                <w:i/>
                <w:iCs/>
                <w:sz w:val="16"/>
                <w:szCs w:val="16"/>
              </w:rPr>
              <w:t>36 776,1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i/>
                <w:iCs/>
                <w:sz w:val="16"/>
                <w:szCs w:val="16"/>
              </w:rPr>
              <w:t>68 217,9</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i/>
                <w:iCs/>
                <w:sz w:val="16"/>
                <w:szCs w:val="16"/>
              </w:rPr>
              <w:t>-35 371,4</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i/>
                <w:iCs/>
                <w:sz w:val="16"/>
                <w:szCs w:val="16"/>
              </w:rPr>
              <w:t>6 529,4</w:t>
            </w:r>
          </w:p>
        </w:tc>
      </w:tr>
      <w:tr w:rsidR="003D4500" w:rsidRPr="00143121" w:rsidTr="003D4500">
        <w:trPr>
          <w:trHeight w:val="227"/>
        </w:trPr>
        <w:tc>
          <w:tcPr>
            <w:tcW w:w="4762" w:type="dxa"/>
            <w:vAlign w:val="center"/>
          </w:tcPr>
          <w:p w:rsidR="003D4500" w:rsidRPr="00A07753" w:rsidRDefault="003D4500" w:rsidP="000648DA">
            <w:pPr>
              <w:ind w:firstLine="284"/>
              <w:rPr>
                <w:i/>
                <w:spacing w:val="-4"/>
                <w:sz w:val="14"/>
                <w:szCs w:val="18"/>
              </w:rPr>
            </w:pPr>
            <w:r w:rsidRPr="00A07753">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Pr>
                <w:i/>
                <w:iCs/>
                <w:sz w:val="16"/>
                <w:szCs w:val="16"/>
              </w:rPr>
              <w:t>93,3</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i/>
                <w:iCs/>
                <w:sz w:val="16"/>
                <w:szCs w:val="16"/>
              </w:rPr>
              <w:t>105,2</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i/>
                <w:iCs/>
                <w:sz w:val="16"/>
                <w:szCs w:val="16"/>
              </w:rPr>
              <w:t>97,4</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i/>
                <w:iCs/>
                <w:sz w:val="16"/>
                <w:szCs w:val="16"/>
              </w:rPr>
              <w:t>100,5</w:t>
            </w:r>
          </w:p>
        </w:tc>
      </w:tr>
      <w:tr w:rsidR="003D4500" w:rsidRPr="00143121" w:rsidTr="003D4500">
        <w:trPr>
          <w:trHeight w:val="170"/>
        </w:trPr>
        <w:tc>
          <w:tcPr>
            <w:tcW w:w="4762" w:type="dxa"/>
            <w:vAlign w:val="center"/>
          </w:tcPr>
          <w:p w:rsidR="003D4500" w:rsidRPr="00ED7EE8" w:rsidRDefault="003D4500" w:rsidP="000648DA">
            <w:pPr>
              <w:rPr>
                <w:spacing w:val="-4"/>
                <w:sz w:val="14"/>
                <w:szCs w:val="18"/>
              </w:rPr>
            </w:pPr>
            <w:r w:rsidRPr="00ED7EE8">
              <w:rPr>
                <w:spacing w:val="-4"/>
                <w:sz w:val="14"/>
                <w:szCs w:val="18"/>
              </w:rPr>
              <w:t>в том числе:</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sz w:val="16"/>
                <w:szCs w:val="16"/>
              </w:rPr>
              <w:t> </w:t>
            </w:r>
          </w:p>
        </w:tc>
      </w:tr>
      <w:tr w:rsidR="003D4500" w:rsidRPr="00143121" w:rsidTr="003D4500">
        <w:trPr>
          <w:trHeight w:val="283"/>
        </w:trPr>
        <w:tc>
          <w:tcPr>
            <w:tcW w:w="4762" w:type="dxa"/>
            <w:vAlign w:val="center"/>
          </w:tcPr>
          <w:p w:rsidR="003D4500" w:rsidRPr="00ED7EE8" w:rsidRDefault="003D4500" w:rsidP="000648DA">
            <w:pPr>
              <w:rPr>
                <w:spacing w:val="-4"/>
                <w:sz w:val="16"/>
                <w:szCs w:val="18"/>
              </w:rPr>
            </w:pPr>
            <w:r w:rsidRPr="00ED7EE8">
              <w:rPr>
                <w:sz w:val="16"/>
                <w:szCs w:val="16"/>
              </w:rPr>
              <w:t>Дотации на содержание объектов инфраструктуры города Байконура, связанных с арендой космодрома Байконур</w:t>
            </w:r>
            <w:r>
              <w:rPr>
                <w:sz w:val="16"/>
                <w:szCs w:val="16"/>
              </w:rPr>
              <w:t>*</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1 678,1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1 197,6</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1 197,6</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1 197,6</w:t>
            </w:r>
          </w:p>
        </w:tc>
      </w:tr>
      <w:tr w:rsidR="003D4500" w:rsidRPr="00A07753" w:rsidTr="003D4500">
        <w:trPr>
          <w:trHeight w:val="227"/>
        </w:trPr>
        <w:tc>
          <w:tcPr>
            <w:tcW w:w="4762" w:type="dxa"/>
            <w:vAlign w:val="center"/>
          </w:tcPr>
          <w:p w:rsidR="003D4500" w:rsidRPr="00A07753" w:rsidRDefault="003D4500" w:rsidP="000648DA">
            <w:pPr>
              <w:ind w:firstLine="284"/>
              <w:rPr>
                <w:i/>
                <w:sz w:val="16"/>
                <w:szCs w:val="16"/>
              </w:rPr>
            </w:pPr>
            <w:r w:rsidRPr="00A07753">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A07753" w:rsidRDefault="003D4500" w:rsidP="000648DA">
            <w:pPr>
              <w:jc w:val="center"/>
              <w:rPr>
                <w:i/>
                <w:sz w:val="16"/>
                <w:szCs w:val="16"/>
              </w:rPr>
            </w:pPr>
            <w:r>
              <w:rPr>
                <w:i/>
                <w:iCs/>
                <w:sz w:val="16"/>
                <w:szCs w:val="16"/>
              </w:rPr>
              <w:t>83,7</w:t>
            </w:r>
          </w:p>
        </w:tc>
        <w:tc>
          <w:tcPr>
            <w:tcW w:w="1134" w:type="dxa"/>
            <w:tcBorders>
              <w:top w:val="nil"/>
              <w:left w:val="nil"/>
              <w:bottom w:val="single" w:sz="4" w:space="0" w:color="auto"/>
              <w:right w:val="single" w:sz="4" w:space="0" w:color="auto"/>
            </w:tcBorders>
            <w:shd w:val="clear" w:color="auto" w:fill="auto"/>
            <w:vAlign w:val="center"/>
          </w:tcPr>
          <w:p w:rsidR="003D4500" w:rsidRPr="00A07753" w:rsidRDefault="003D4500" w:rsidP="000648DA">
            <w:pPr>
              <w:jc w:val="center"/>
              <w:rPr>
                <w:i/>
                <w:sz w:val="16"/>
                <w:szCs w:val="16"/>
              </w:rPr>
            </w:pPr>
            <w:r w:rsidRPr="00A07753">
              <w:rPr>
                <w:i/>
                <w:iCs/>
                <w:sz w:val="16"/>
                <w:szCs w:val="16"/>
              </w:rPr>
              <w:t>71,4</w:t>
            </w:r>
          </w:p>
        </w:tc>
        <w:tc>
          <w:tcPr>
            <w:tcW w:w="1134" w:type="dxa"/>
            <w:tcBorders>
              <w:top w:val="nil"/>
              <w:left w:val="nil"/>
              <w:bottom w:val="single" w:sz="4" w:space="0" w:color="auto"/>
              <w:right w:val="single" w:sz="4" w:space="0" w:color="auto"/>
            </w:tcBorders>
            <w:shd w:val="clear" w:color="auto" w:fill="auto"/>
            <w:vAlign w:val="center"/>
          </w:tcPr>
          <w:p w:rsidR="003D4500" w:rsidRPr="00A07753" w:rsidRDefault="003D4500" w:rsidP="000648DA">
            <w:pPr>
              <w:jc w:val="center"/>
              <w:rPr>
                <w:i/>
                <w:sz w:val="16"/>
                <w:szCs w:val="16"/>
              </w:rPr>
            </w:pPr>
            <w:r w:rsidRPr="00A07753">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A07753" w:rsidRDefault="003D4500" w:rsidP="000648DA">
            <w:pPr>
              <w:jc w:val="center"/>
              <w:rPr>
                <w:i/>
                <w:sz w:val="16"/>
                <w:szCs w:val="16"/>
              </w:rPr>
            </w:pPr>
            <w:r w:rsidRPr="00A07753">
              <w:rPr>
                <w:i/>
                <w:iCs/>
                <w:sz w:val="16"/>
                <w:szCs w:val="16"/>
              </w:rPr>
              <w:t>100,0</w:t>
            </w:r>
          </w:p>
        </w:tc>
      </w:tr>
      <w:tr w:rsidR="003D4500" w:rsidRPr="00143121" w:rsidTr="003D4500">
        <w:trPr>
          <w:trHeight w:val="283"/>
        </w:trPr>
        <w:tc>
          <w:tcPr>
            <w:tcW w:w="4762" w:type="dxa"/>
            <w:vAlign w:val="center"/>
          </w:tcPr>
          <w:p w:rsidR="003D4500" w:rsidRPr="00ED7EE8" w:rsidRDefault="003D4500" w:rsidP="000648DA">
            <w:pPr>
              <w:rPr>
                <w:spacing w:val="-4"/>
                <w:sz w:val="16"/>
                <w:szCs w:val="18"/>
              </w:rPr>
            </w:pPr>
            <w:r w:rsidRPr="00ED7EE8">
              <w:rPr>
                <w:sz w:val="16"/>
                <w:szCs w:val="16"/>
              </w:rPr>
              <w:t>Дотации на выравнивание бюджетной обеспеченности субъектов Российской Федерации</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ind w:left="-57" w:right="-57"/>
              <w:jc w:val="center"/>
              <w:rPr>
                <w:spacing w:val="-4"/>
                <w:sz w:val="16"/>
                <w:szCs w:val="16"/>
              </w:rPr>
            </w:pPr>
            <w:r w:rsidRPr="00ED7EE8">
              <w:rPr>
                <w:bCs/>
                <w:sz w:val="17"/>
                <w:szCs w:val="17"/>
              </w:rPr>
              <w:t>1 098 923,2</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ind w:left="-57" w:right="-57"/>
              <w:jc w:val="center"/>
              <w:rPr>
                <w:spacing w:val="-4"/>
                <w:sz w:val="16"/>
                <w:szCs w:val="16"/>
              </w:rPr>
            </w:pPr>
            <w:r w:rsidRPr="00ED7EE8">
              <w:rPr>
                <w:bCs/>
                <w:sz w:val="17"/>
                <w:szCs w:val="17"/>
              </w:rPr>
              <w:t>1 142 880,1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ind w:left="-57" w:right="-57"/>
              <w:jc w:val="center"/>
              <w:rPr>
                <w:spacing w:val="-4"/>
                <w:sz w:val="16"/>
                <w:szCs w:val="16"/>
              </w:rPr>
            </w:pPr>
            <w:r w:rsidRPr="00ED7EE8">
              <w:rPr>
                <w:bCs/>
                <w:sz w:val="17"/>
                <w:szCs w:val="17"/>
              </w:rPr>
              <w:t>1 142 880,1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ind w:left="-57" w:right="-57"/>
              <w:jc w:val="center"/>
              <w:rPr>
                <w:spacing w:val="-4"/>
                <w:sz w:val="16"/>
                <w:szCs w:val="16"/>
              </w:rPr>
            </w:pPr>
            <w:r w:rsidRPr="00ED7EE8">
              <w:rPr>
                <w:bCs/>
                <w:sz w:val="17"/>
                <w:szCs w:val="17"/>
              </w:rPr>
              <w:t>1 142 880,1</w:t>
            </w:r>
          </w:p>
        </w:tc>
      </w:tr>
      <w:tr w:rsidR="003D4500" w:rsidRPr="00143121" w:rsidTr="003D4500">
        <w:trPr>
          <w:trHeight w:val="227"/>
        </w:trPr>
        <w:tc>
          <w:tcPr>
            <w:tcW w:w="4762" w:type="dxa"/>
            <w:vAlign w:val="center"/>
          </w:tcPr>
          <w:p w:rsidR="003D4500" w:rsidRPr="00A07753" w:rsidRDefault="003D4500" w:rsidP="000648DA">
            <w:pPr>
              <w:ind w:firstLine="284"/>
              <w:rPr>
                <w:i/>
                <w:sz w:val="16"/>
                <w:szCs w:val="16"/>
              </w:rPr>
            </w:pPr>
            <w:r w:rsidRPr="00A07753">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Pr>
                <w:i/>
                <w:iCs/>
                <w:sz w:val="16"/>
                <w:szCs w:val="16"/>
              </w:rPr>
              <w:t>106,1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104,0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r>
      <w:tr w:rsidR="003D4500" w:rsidRPr="00143121" w:rsidTr="003D4500">
        <w:trPr>
          <w:trHeight w:val="283"/>
        </w:trPr>
        <w:tc>
          <w:tcPr>
            <w:tcW w:w="4762" w:type="dxa"/>
            <w:vAlign w:val="center"/>
          </w:tcPr>
          <w:p w:rsidR="003D4500" w:rsidRPr="00ED7EE8" w:rsidRDefault="003D4500" w:rsidP="000648DA">
            <w:pPr>
              <w:rPr>
                <w:spacing w:val="-4"/>
                <w:sz w:val="16"/>
                <w:szCs w:val="18"/>
              </w:rPr>
            </w:pPr>
            <w:r w:rsidRPr="00ED7EE8">
              <w:rPr>
                <w:sz w:val="16"/>
                <w:szCs w:val="16"/>
              </w:rPr>
              <w:t>Дотации на поддержку мер по обеспечению сбалансированности бюджетов*</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34 048,5</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80 321,8</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52 117,5</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pacing w:val="-4"/>
                <w:sz w:val="16"/>
                <w:szCs w:val="16"/>
              </w:rPr>
            </w:pPr>
            <w:r w:rsidRPr="00ED7EE8">
              <w:rPr>
                <w:bCs/>
                <w:sz w:val="17"/>
                <w:szCs w:val="17"/>
              </w:rPr>
              <w:t>52 117,5</w:t>
            </w:r>
          </w:p>
        </w:tc>
      </w:tr>
      <w:tr w:rsidR="003D4500" w:rsidRPr="00143121" w:rsidTr="003D4500">
        <w:trPr>
          <w:trHeight w:val="227"/>
        </w:trPr>
        <w:tc>
          <w:tcPr>
            <w:tcW w:w="4762" w:type="dxa"/>
            <w:vAlign w:val="center"/>
          </w:tcPr>
          <w:p w:rsidR="003D4500" w:rsidRPr="000648DA" w:rsidRDefault="003D4500" w:rsidP="000648DA">
            <w:pPr>
              <w:ind w:firstLine="284"/>
              <w:rPr>
                <w:i/>
                <w:sz w:val="16"/>
                <w:szCs w:val="16"/>
              </w:rPr>
            </w:pPr>
            <w:r w:rsidRPr="000648DA">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Pr>
                <w:sz w:val="16"/>
                <w:szCs w:val="16"/>
              </w:rPr>
              <w:t>47,4</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235,9</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64,9</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r>
      <w:tr w:rsidR="003D4500" w:rsidRPr="00143121" w:rsidTr="003D4500">
        <w:trPr>
          <w:trHeight w:val="283"/>
        </w:trPr>
        <w:tc>
          <w:tcPr>
            <w:tcW w:w="4762" w:type="dxa"/>
            <w:vAlign w:val="center"/>
          </w:tcPr>
          <w:p w:rsidR="003D4500" w:rsidRPr="00ED7EE8" w:rsidRDefault="003D4500" w:rsidP="000648DA">
            <w:pPr>
              <w:rPr>
                <w:sz w:val="16"/>
                <w:szCs w:val="16"/>
              </w:rPr>
            </w:pPr>
            <w:r w:rsidRPr="00ED7EE8">
              <w:rPr>
                <w:sz w:val="16"/>
                <w:szCs w:val="16"/>
              </w:rPr>
              <w:t>Дотация в целях обеспечения сбалансированности бюджета Чеченской Республики</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7 167,1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7 167,1</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0,0</w:t>
            </w:r>
          </w:p>
        </w:tc>
      </w:tr>
      <w:tr w:rsidR="003D4500" w:rsidRPr="00143121" w:rsidTr="003D4500">
        <w:trPr>
          <w:trHeight w:val="227"/>
        </w:trPr>
        <w:tc>
          <w:tcPr>
            <w:tcW w:w="4762" w:type="dxa"/>
            <w:vAlign w:val="center"/>
          </w:tcPr>
          <w:p w:rsidR="003D4500" w:rsidRPr="000648DA" w:rsidRDefault="003D4500" w:rsidP="000648DA">
            <w:pPr>
              <w:ind w:firstLine="284"/>
              <w:rPr>
                <w:i/>
                <w:sz w:val="16"/>
                <w:szCs w:val="16"/>
              </w:rPr>
            </w:pPr>
            <w:r w:rsidRPr="000648DA">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#ДЕЛ/0!</w:t>
            </w:r>
          </w:p>
        </w:tc>
      </w:tr>
      <w:tr w:rsidR="003D4500" w:rsidRPr="00143121" w:rsidTr="003D4500">
        <w:trPr>
          <w:trHeight w:val="283"/>
        </w:trPr>
        <w:tc>
          <w:tcPr>
            <w:tcW w:w="4762" w:type="dxa"/>
            <w:vAlign w:val="center"/>
          </w:tcPr>
          <w:p w:rsidR="003D4500" w:rsidRPr="00ED7EE8" w:rsidRDefault="003D4500" w:rsidP="000648DA">
            <w:pPr>
              <w:rPr>
                <w:sz w:val="16"/>
                <w:szCs w:val="16"/>
              </w:rPr>
            </w:pPr>
            <w:r w:rsidRPr="00ED7EE8">
              <w:rPr>
                <w:sz w:val="16"/>
                <w:szCs w:val="16"/>
              </w:rPr>
              <w:t>Дотации на частичную компенсацию дополнительных расходов на повышение оплаты труда работников бюджетной сферы и иные цели</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114 616,0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119 200,7</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119 200,7</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125 730,1</w:t>
            </w:r>
          </w:p>
        </w:tc>
      </w:tr>
      <w:tr w:rsidR="003D4500" w:rsidRPr="00143121" w:rsidTr="003D4500">
        <w:trPr>
          <w:trHeight w:val="227"/>
        </w:trPr>
        <w:tc>
          <w:tcPr>
            <w:tcW w:w="4762" w:type="dxa"/>
            <w:vAlign w:val="center"/>
          </w:tcPr>
          <w:p w:rsidR="003D4500" w:rsidRPr="000648DA" w:rsidRDefault="003D4500" w:rsidP="000648DA">
            <w:pPr>
              <w:ind w:firstLine="284"/>
              <w:rPr>
                <w:i/>
                <w:sz w:val="16"/>
                <w:szCs w:val="16"/>
              </w:rPr>
            </w:pPr>
            <w:r w:rsidRPr="000648DA">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Pr>
                <w:i/>
                <w:iCs/>
                <w:sz w:val="16"/>
                <w:szCs w:val="16"/>
              </w:rPr>
              <w:t>106,0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104,0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105,5</w:t>
            </w:r>
          </w:p>
        </w:tc>
      </w:tr>
      <w:tr w:rsidR="003D4500" w:rsidRPr="00143121" w:rsidTr="003D4500">
        <w:trPr>
          <w:trHeight w:val="283"/>
        </w:trPr>
        <w:tc>
          <w:tcPr>
            <w:tcW w:w="4762" w:type="dxa"/>
            <w:vAlign w:val="center"/>
          </w:tcPr>
          <w:p w:rsidR="003D4500" w:rsidRPr="00ED7EE8" w:rsidRDefault="003D4500" w:rsidP="000648DA">
            <w:pPr>
              <w:rPr>
                <w:sz w:val="16"/>
                <w:szCs w:val="16"/>
              </w:rPr>
            </w:pPr>
            <w:r w:rsidRPr="00ED7EE8">
              <w:rPr>
                <w:sz w:val="16"/>
                <w:szCs w:val="16"/>
              </w:rPr>
              <w:t>Дотации, связанные с особым режимом безопасного функционирования ЗАТО</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8 952,0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8 952,0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8 952,0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8 952,0</w:t>
            </w:r>
          </w:p>
        </w:tc>
      </w:tr>
      <w:tr w:rsidR="003D4500" w:rsidRPr="00143121" w:rsidTr="003D4500">
        <w:trPr>
          <w:trHeight w:val="227"/>
        </w:trPr>
        <w:tc>
          <w:tcPr>
            <w:tcW w:w="4762" w:type="dxa"/>
            <w:vAlign w:val="center"/>
          </w:tcPr>
          <w:p w:rsidR="003D4500" w:rsidRPr="00D833F3" w:rsidRDefault="003D4500" w:rsidP="000648DA">
            <w:pPr>
              <w:ind w:firstLine="284"/>
              <w:rPr>
                <w:i/>
                <w:sz w:val="16"/>
                <w:szCs w:val="16"/>
              </w:rPr>
            </w:pPr>
            <w:r w:rsidRPr="00D833F3">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r>
      <w:tr w:rsidR="003D4500" w:rsidRPr="00143121" w:rsidTr="003D4500">
        <w:trPr>
          <w:trHeight w:val="283"/>
        </w:trPr>
        <w:tc>
          <w:tcPr>
            <w:tcW w:w="4762" w:type="dxa"/>
            <w:vAlign w:val="center"/>
          </w:tcPr>
          <w:p w:rsidR="003D4500" w:rsidRPr="00ED7EE8" w:rsidRDefault="003D4500" w:rsidP="000648DA">
            <w:pPr>
              <w:rPr>
                <w:sz w:val="16"/>
                <w:szCs w:val="16"/>
              </w:rPr>
            </w:pPr>
            <w:r w:rsidRPr="00ED7EE8">
              <w:rPr>
                <w:sz w:val="16"/>
                <w:szCs w:val="16"/>
              </w:rPr>
              <w:t>Дотации на премирование победителей Всероссийского конкурса «Лучшая муниципальная практика»</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1 000,0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1 000,0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1 000,0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1 000,0</w:t>
            </w:r>
          </w:p>
        </w:tc>
      </w:tr>
      <w:tr w:rsidR="003D4500" w:rsidRPr="00143121" w:rsidTr="003D4500">
        <w:trPr>
          <w:trHeight w:val="227"/>
        </w:trPr>
        <w:tc>
          <w:tcPr>
            <w:tcW w:w="4762" w:type="dxa"/>
            <w:vAlign w:val="center"/>
          </w:tcPr>
          <w:p w:rsidR="003D4500" w:rsidRPr="000648DA" w:rsidRDefault="003D4500" w:rsidP="000648DA">
            <w:pPr>
              <w:ind w:firstLine="284"/>
              <w:rPr>
                <w:i/>
                <w:sz w:val="16"/>
                <w:szCs w:val="16"/>
              </w:rPr>
            </w:pPr>
            <w:r w:rsidRPr="000648DA">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r>
      <w:tr w:rsidR="003D4500" w:rsidRPr="00143121" w:rsidTr="003D4500">
        <w:trPr>
          <w:trHeight w:val="283"/>
        </w:trPr>
        <w:tc>
          <w:tcPr>
            <w:tcW w:w="4762" w:type="dxa"/>
            <w:vAlign w:val="center"/>
          </w:tcPr>
          <w:p w:rsidR="003D4500" w:rsidRPr="00ED7EE8" w:rsidRDefault="003D4500" w:rsidP="000648DA">
            <w:pPr>
              <w:rPr>
                <w:sz w:val="16"/>
                <w:szCs w:val="16"/>
              </w:rPr>
            </w:pPr>
            <w:r w:rsidRPr="00ED7EE8">
              <w:rPr>
                <w:sz w:val="16"/>
                <w:szCs w:val="16"/>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14 800,0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13 000,0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13 000,0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bCs/>
                <w:sz w:val="17"/>
                <w:szCs w:val="17"/>
              </w:rPr>
              <w:t>13 000,0</w:t>
            </w:r>
          </w:p>
        </w:tc>
      </w:tr>
      <w:tr w:rsidR="003D4500" w:rsidRPr="00143121" w:rsidTr="003D4500">
        <w:trPr>
          <w:trHeight w:val="227"/>
        </w:trPr>
        <w:tc>
          <w:tcPr>
            <w:tcW w:w="4762" w:type="dxa"/>
            <w:vAlign w:val="center"/>
          </w:tcPr>
          <w:p w:rsidR="003D4500" w:rsidRPr="000648DA" w:rsidRDefault="003D4500" w:rsidP="000648DA">
            <w:pPr>
              <w:ind w:firstLine="284"/>
              <w:rPr>
                <w:i/>
                <w:sz w:val="16"/>
                <w:szCs w:val="16"/>
              </w:rPr>
            </w:pPr>
            <w:r w:rsidRPr="000648DA">
              <w:rPr>
                <w:i/>
                <w:iCs/>
                <w:sz w:val="16"/>
                <w:szCs w:val="16"/>
              </w:rPr>
              <w:t>в % к предыдущему году</w:t>
            </w:r>
          </w:p>
        </w:tc>
        <w:tc>
          <w:tcPr>
            <w:tcW w:w="1442" w:type="dxa"/>
            <w:tcBorders>
              <w:top w:val="nil"/>
              <w:left w:val="nil"/>
              <w:bottom w:val="single" w:sz="4" w:space="0" w:color="auto"/>
              <w:right w:val="single" w:sz="4" w:space="0" w:color="auto"/>
            </w:tcBorders>
            <w:shd w:val="clear" w:color="auto" w:fill="auto"/>
            <w:vAlign w:val="center"/>
          </w:tcPr>
          <w:p w:rsidR="003D4500" w:rsidRPr="00ED7EE8" w:rsidRDefault="003D4500" w:rsidP="00341E6F">
            <w:pPr>
              <w:jc w:val="center"/>
              <w:rPr>
                <w:sz w:val="16"/>
                <w:szCs w:val="16"/>
              </w:rPr>
            </w:pPr>
            <w:r w:rsidRPr="00ED7EE8">
              <w:rPr>
                <w:i/>
                <w:iCs/>
                <w:sz w:val="16"/>
                <w:szCs w:val="16"/>
              </w:rPr>
              <w:t>11</w:t>
            </w:r>
            <w:r>
              <w:rPr>
                <w:i/>
                <w:iCs/>
                <w:sz w:val="16"/>
                <w:szCs w:val="16"/>
              </w:rPr>
              <w:t>3</w:t>
            </w:r>
            <w:r w:rsidRPr="00ED7EE8">
              <w:rPr>
                <w:i/>
                <w:iCs/>
                <w:sz w:val="16"/>
                <w:szCs w:val="16"/>
              </w:rPr>
              <w:t>,8</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87,8</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c>
          <w:tcPr>
            <w:tcW w:w="1134" w:type="dxa"/>
            <w:tcBorders>
              <w:top w:val="nil"/>
              <w:left w:val="nil"/>
              <w:bottom w:val="single" w:sz="4" w:space="0" w:color="auto"/>
              <w:right w:val="single" w:sz="4" w:space="0" w:color="auto"/>
            </w:tcBorders>
            <w:shd w:val="clear" w:color="auto" w:fill="auto"/>
            <w:vAlign w:val="center"/>
          </w:tcPr>
          <w:p w:rsidR="003D4500" w:rsidRPr="00ED7EE8" w:rsidRDefault="003D4500" w:rsidP="000648DA">
            <w:pPr>
              <w:jc w:val="center"/>
              <w:rPr>
                <w:sz w:val="16"/>
                <w:szCs w:val="16"/>
              </w:rPr>
            </w:pPr>
            <w:r w:rsidRPr="00ED7EE8">
              <w:rPr>
                <w:i/>
                <w:iCs/>
                <w:sz w:val="16"/>
                <w:szCs w:val="16"/>
              </w:rPr>
              <w:t>100,0</w:t>
            </w:r>
          </w:p>
        </w:tc>
      </w:tr>
    </w:tbl>
    <w:p w:rsidR="00896140" w:rsidRPr="00ED7EE8" w:rsidRDefault="00896140" w:rsidP="003643FA">
      <w:pPr>
        <w:ind w:firstLine="708"/>
        <w:jc w:val="both"/>
        <w:rPr>
          <w:sz w:val="16"/>
        </w:rPr>
      </w:pPr>
      <w:r w:rsidRPr="00ED7EE8">
        <w:rPr>
          <w:sz w:val="18"/>
        </w:rPr>
        <w:t xml:space="preserve">* </w:t>
      </w:r>
      <w:r w:rsidR="004010B4">
        <w:rPr>
          <w:sz w:val="18"/>
        </w:rPr>
        <w:t xml:space="preserve">В </w:t>
      </w:r>
      <w:r w:rsidR="003643FA" w:rsidRPr="00ED7EE8">
        <w:rPr>
          <w:sz w:val="18"/>
        </w:rPr>
        <w:t>202</w:t>
      </w:r>
      <w:r w:rsidR="00ED7EE8" w:rsidRPr="00ED7EE8">
        <w:rPr>
          <w:sz w:val="18"/>
        </w:rPr>
        <w:t>5</w:t>
      </w:r>
      <w:r w:rsidR="004010B4">
        <w:rPr>
          <w:sz w:val="18"/>
        </w:rPr>
        <w:t xml:space="preserve"> году</w:t>
      </w:r>
      <w:r w:rsidR="003643FA" w:rsidRPr="00ED7EE8">
        <w:rPr>
          <w:sz w:val="18"/>
        </w:rPr>
        <w:t xml:space="preserve"> с</w:t>
      </w:r>
      <w:r w:rsidRPr="00ED7EE8">
        <w:rPr>
          <w:sz w:val="16"/>
        </w:rPr>
        <w:t xml:space="preserve"> учетом средств за счет резервного фонда Президента Российской Федерации и Правительства Российской Федерации</w:t>
      </w:r>
      <w:r w:rsidR="003643FA" w:rsidRPr="00ED7EE8">
        <w:rPr>
          <w:sz w:val="16"/>
        </w:rPr>
        <w:t>.</w:t>
      </w:r>
      <w:r w:rsidRPr="00ED7EE8">
        <w:rPr>
          <w:sz w:val="16"/>
        </w:rPr>
        <w:t xml:space="preserve"> </w:t>
      </w:r>
    </w:p>
    <w:p w:rsidR="000B399E" w:rsidRPr="000B399E" w:rsidRDefault="00435240" w:rsidP="000B399E">
      <w:pPr>
        <w:spacing w:before="120" w:line="360" w:lineRule="auto"/>
        <w:ind w:firstLine="709"/>
        <w:jc w:val="both"/>
      </w:pPr>
      <w:r w:rsidRPr="000D4470">
        <w:rPr>
          <w:b/>
        </w:rPr>
        <w:lastRenderedPageBreak/>
        <w:t>15.</w:t>
      </w:r>
      <w:r w:rsidR="00CC4E71">
        <w:rPr>
          <w:b/>
        </w:rPr>
        <w:t>9</w:t>
      </w:r>
      <w:r w:rsidRPr="000D4470">
        <w:rPr>
          <w:b/>
        </w:rPr>
        <w:t>.</w:t>
      </w:r>
      <w:r>
        <w:rPr>
          <w:b/>
        </w:rPr>
        <w:t>1.</w:t>
      </w:r>
      <w:r w:rsidRPr="000D4470">
        <w:t xml:space="preserve"> </w:t>
      </w:r>
      <w:r w:rsidR="00A048BD" w:rsidRPr="00ED7EE8">
        <w:t xml:space="preserve">Наибольший объем дотаций, предоставляемых бюджетам субъектов Российской </w:t>
      </w:r>
      <w:r w:rsidR="00A048BD" w:rsidRPr="000D4470">
        <w:t>Федерации</w:t>
      </w:r>
      <w:r w:rsidR="005B57D9">
        <w:t xml:space="preserve"> (83</w:t>
      </w:r>
      <w:r w:rsidR="00954AEC" w:rsidRPr="00143121">
        <w:t>–</w:t>
      </w:r>
      <w:r w:rsidR="005B57D9">
        <w:t>85 %)</w:t>
      </w:r>
      <w:r w:rsidR="00A048BD" w:rsidRPr="000D4470">
        <w:t xml:space="preserve">, составляют </w:t>
      </w:r>
      <w:r w:rsidR="00D161E1" w:rsidRPr="000D4470">
        <w:rPr>
          <w:b/>
        </w:rPr>
        <w:t>дотации на выравнивание бюджетной обеспеченности субъектов Российской Федерации</w:t>
      </w:r>
      <w:r w:rsidR="00B21DF2">
        <w:rPr>
          <w:b/>
        </w:rPr>
        <w:t xml:space="preserve"> </w:t>
      </w:r>
      <w:r w:rsidR="00B21DF2">
        <w:t xml:space="preserve">(далее – дотации на выравнивание </w:t>
      </w:r>
      <w:r w:rsidR="00B21DF2" w:rsidRPr="000B399E">
        <w:rPr>
          <w:szCs w:val="20"/>
        </w:rPr>
        <w:t>бюджетной обеспеченности</w:t>
      </w:r>
      <w:r w:rsidR="00B21DF2">
        <w:t>)</w:t>
      </w:r>
      <w:r w:rsidR="00815183" w:rsidRPr="000D4470">
        <w:t xml:space="preserve">, </w:t>
      </w:r>
      <w:r w:rsidR="007907C8">
        <w:t xml:space="preserve">объем </w:t>
      </w:r>
      <w:r w:rsidR="00815183" w:rsidRPr="00A90EF9">
        <w:t>которы</w:t>
      </w:r>
      <w:r w:rsidR="007907C8">
        <w:t>х</w:t>
      </w:r>
      <w:r w:rsidR="00815183" w:rsidRPr="00A90EF9">
        <w:t xml:space="preserve"> в 202</w:t>
      </w:r>
      <w:r w:rsidR="000D4470" w:rsidRPr="00A90EF9">
        <w:t>6</w:t>
      </w:r>
      <w:r w:rsidR="00815183" w:rsidRPr="00A90EF9">
        <w:t xml:space="preserve"> году увеличен</w:t>
      </w:r>
      <w:r w:rsidR="00A90EF9" w:rsidRPr="00A90EF9">
        <w:t xml:space="preserve"> по сравнению </w:t>
      </w:r>
      <w:r w:rsidR="000F63AC">
        <w:br/>
      </w:r>
      <w:r w:rsidR="00A90EF9" w:rsidRPr="00A90EF9">
        <w:t>с 2025 годом на 4</w:t>
      </w:r>
      <w:r w:rsidR="00893AF5" w:rsidRPr="00A90EF9">
        <w:t> </w:t>
      </w:r>
      <w:r w:rsidR="00815183" w:rsidRPr="00A90EF9">
        <w:t xml:space="preserve">%, что </w:t>
      </w:r>
      <w:r w:rsidR="00A90EF9" w:rsidRPr="00A90EF9">
        <w:t>соответствует</w:t>
      </w:r>
      <w:r w:rsidR="00815183" w:rsidRPr="00A90EF9">
        <w:t xml:space="preserve"> прогнозно</w:t>
      </w:r>
      <w:r w:rsidR="00A90EF9" w:rsidRPr="00A90EF9">
        <w:t>му</w:t>
      </w:r>
      <w:r w:rsidR="00815183" w:rsidRPr="00A90EF9">
        <w:t xml:space="preserve"> уровн</w:t>
      </w:r>
      <w:r w:rsidR="00A90EF9" w:rsidRPr="00A90EF9">
        <w:t>ю</w:t>
      </w:r>
      <w:r w:rsidR="00893AF5" w:rsidRPr="00A90EF9">
        <w:t xml:space="preserve"> инфляции</w:t>
      </w:r>
      <w:r w:rsidR="00A90EF9" w:rsidRPr="00A90EF9">
        <w:t xml:space="preserve">, </w:t>
      </w:r>
      <w:r w:rsidR="000B399E" w:rsidRPr="000B399E">
        <w:t>заложенно</w:t>
      </w:r>
      <w:r w:rsidR="007907C8">
        <w:t>му</w:t>
      </w:r>
      <w:r w:rsidR="000B399E" w:rsidRPr="000B399E">
        <w:t xml:space="preserve"> </w:t>
      </w:r>
      <w:r w:rsidR="002255F3">
        <w:br/>
      </w:r>
      <w:r w:rsidR="000B399E" w:rsidRPr="000B399E">
        <w:t xml:space="preserve">в </w:t>
      </w:r>
      <w:r w:rsidR="000B399E">
        <w:t>законо</w:t>
      </w:r>
      <w:r w:rsidR="000B399E" w:rsidRPr="000B399E">
        <w:t xml:space="preserve">проекте на 2026 год </w:t>
      </w:r>
      <w:r w:rsidR="000B399E">
        <w:t>(4 </w:t>
      </w:r>
      <w:r w:rsidR="000B399E" w:rsidRPr="000B399E">
        <w:t xml:space="preserve">%), и ниже </w:t>
      </w:r>
      <w:r w:rsidR="00486C55">
        <w:t>оценки показателя</w:t>
      </w:r>
      <w:r w:rsidR="000B399E" w:rsidRPr="000B399E">
        <w:t xml:space="preserve"> на конец 2025 года (6,8</w:t>
      </w:r>
      <w:r w:rsidR="00E95FB1">
        <w:t> </w:t>
      </w:r>
      <w:r w:rsidR="000B399E" w:rsidRPr="000B399E">
        <w:t>%</w:t>
      </w:r>
      <w:r w:rsidR="00E95FB1">
        <w:t>)</w:t>
      </w:r>
      <w:r w:rsidR="000B399E" w:rsidRPr="000B399E">
        <w:t>.</w:t>
      </w:r>
    </w:p>
    <w:p w:rsidR="00F87E84" w:rsidRPr="00F87E84" w:rsidRDefault="00F87E84" w:rsidP="00F87E84">
      <w:pPr>
        <w:overflowPunct w:val="0"/>
        <w:autoSpaceDE w:val="0"/>
        <w:autoSpaceDN w:val="0"/>
        <w:adjustRightInd w:val="0"/>
        <w:spacing w:line="360" w:lineRule="auto"/>
        <w:ind w:firstLine="709"/>
        <w:jc w:val="both"/>
        <w:textAlignment w:val="baseline"/>
      </w:pPr>
      <w:r w:rsidRPr="00F87E84">
        <w:t>Увеличение дотаций на выравнивание бюджетной</w:t>
      </w:r>
      <w:r w:rsidR="00954AEC">
        <w:t xml:space="preserve"> обеспеченности связано также с </w:t>
      </w:r>
      <w:r w:rsidRPr="00F87E84">
        <w:t xml:space="preserve">уточнением прогноза поступления в федеральный бюджет </w:t>
      </w:r>
      <w:r>
        <w:t>1</w:t>
      </w:r>
      <w:r w:rsidRPr="00F87E84">
        <w:t xml:space="preserve"> процентного пункта налога на прибыль организаций, централизованного в федеральный бюджет. По оценке Минфина России, сумма </w:t>
      </w:r>
      <w:r>
        <w:t>1</w:t>
      </w:r>
      <w:r w:rsidRPr="00F87E84">
        <w:t xml:space="preserve"> процентного пункта налога на прибыль организаций, централизованного в федеральный бюджет, рассчитанного от прогноза доходов</w:t>
      </w:r>
      <w:r w:rsidR="00AD023F">
        <w:t>,</w:t>
      </w:r>
      <w:r w:rsidRPr="00F87E84">
        <w:t xml:space="preserve"> заложенного при формировании прогноза бюджета на 2026–2028 годы, составит в 2026 году – 333 430,0 млн</w:t>
      </w:r>
      <w:r w:rsidR="00954AEC">
        <w:t xml:space="preserve"> рублей, в </w:t>
      </w:r>
      <w:r>
        <w:t>2027 </w:t>
      </w:r>
      <w:r w:rsidRPr="00F87E84">
        <w:t xml:space="preserve">году – 360 200,9 млн рублей, в 2028 году – 384 830,6 млн рублей. Таким образом, прирост </w:t>
      </w:r>
      <w:r>
        <w:t>1</w:t>
      </w:r>
      <w:r w:rsidRPr="00F87E84">
        <w:t xml:space="preserve"> процентного пункта налога на прибыль о</w:t>
      </w:r>
      <w:r w:rsidR="00954AEC">
        <w:t>рганизаций, централизованного в </w:t>
      </w:r>
      <w:r w:rsidRPr="00F87E84">
        <w:t>федеральный бюджет в 2028 году по отношению к 2026 году составит 15,4</w:t>
      </w:r>
      <w:r w:rsidR="000F63AC">
        <w:t> </w:t>
      </w:r>
      <w:r w:rsidRPr="00F87E84">
        <w:t>%.</w:t>
      </w:r>
    </w:p>
    <w:p w:rsidR="00893AF5" w:rsidRDefault="00893AF5" w:rsidP="00893AF5">
      <w:pPr>
        <w:spacing w:line="360" w:lineRule="auto"/>
        <w:ind w:firstLine="709"/>
        <w:jc w:val="both"/>
      </w:pPr>
      <w:r w:rsidRPr="009E6868">
        <w:t xml:space="preserve">При этом общий объем бюджетных ассигнований, предусмотренный на предоставление дотаций на выравнивание </w:t>
      </w:r>
      <w:r w:rsidR="00B21DF2" w:rsidRPr="000B399E">
        <w:rPr>
          <w:szCs w:val="20"/>
        </w:rPr>
        <w:t xml:space="preserve">бюджетной обеспеченности </w:t>
      </w:r>
      <w:r w:rsidRPr="009E6868">
        <w:t>в 202</w:t>
      </w:r>
      <w:r w:rsidR="00932E51" w:rsidRPr="009E6868">
        <w:t>6</w:t>
      </w:r>
      <w:r w:rsidRPr="009E6868">
        <w:t>–202</w:t>
      </w:r>
      <w:r w:rsidR="00570395">
        <w:t>8</w:t>
      </w:r>
      <w:r w:rsidRPr="009E6868">
        <w:t xml:space="preserve"> годах, остается неизменным.</w:t>
      </w:r>
    </w:p>
    <w:p w:rsidR="00570395" w:rsidRDefault="000B399E" w:rsidP="000F63AC">
      <w:pPr>
        <w:overflowPunct w:val="0"/>
        <w:autoSpaceDE w:val="0"/>
        <w:autoSpaceDN w:val="0"/>
        <w:adjustRightInd w:val="0"/>
        <w:spacing w:line="360" w:lineRule="auto"/>
        <w:ind w:right="-2" w:firstLine="851"/>
        <w:contextualSpacing/>
        <w:jc w:val="both"/>
        <w:textAlignment w:val="baseline"/>
        <w:rPr>
          <w:szCs w:val="20"/>
        </w:rPr>
      </w:pPr>
      <w:r w:rsidRPr="000B399E">
        <w:rPr>
          <w:szCs w:val="20"/>
        </w:rPr>
        <w:t xml:space="preserve">В 2026 году получателями дотации на выравнивание </w:t>
      </w:r>
      <w:r w:rsidR="00B21DF2" w:rsidRPr="000B399E">
        <w:rPr>
          <w:szCs w:val="20"/>
        </w:rPr>
        <w:t xml:space="preserve">бюджетной обеспеченности </w:t>
      </w:r>
      <w:r w:rsidRPr="000B399E">
        <w:rPr>
          <w:szCs w:val="20"/>
        </w:rPr>
        <w:t>будут являться 65 субъектов Российской Федерации (в 2025 году – 63 региона). В перечень регионов, соответствующих критериям получателей дотации на выравнивание</w:t>
      </w:r>
      <w:r w:rsidR="00B21DF2">
        <w:rPr>
          <w:szCs w:val="20"/>
        </w:rPr>
        <w:t xml:space="preserve"> </w:t>
      </w:r>
      <w:r w:rsidR="00B21DF2" w:rsidRPr="000B399E">
        <w:rPr>
          <w:szCs w:val="20"/>
        </w:rPr>
        <w:t>бюджетной обеспеченности</w:t>
      </w:r>
      <w:r w:rsidRPr="000B399E">
        <w:rPr>
          <w:szCs w:val="20"/>
        </w:rPr>
        <w:t>, включены 2 региона (Республика Коми и Кемеровская область – Кузбасс).</w:t>
      </w:r>
      <w:r w:rsidR="00B21DF2">
        <w:rPr>
          <w:szCs w:val="20"/>
        </w:rPr>
        <w:t xml:space="preserve"> </w:t>
      </w:r>
      <w:r w:rsidR="00954AEC">
        <w:rPr>
          <w:szCs w:val="20"/>
        </w:rPr>
        <w:t>На </w:t>
      </w:r>
      <w:r w:rsidR="00570395">
        <w:rPr>
          <w:szCs w:val="20"/>
        </w:rPr>
        <w:t xml:space="preserve">уровне 2025 года планируются дотации </w:t>
      </w:r>
      <w:r w:rsidR="00570395" w:rsidRPr="000B399E">
        <w:rPr>
          <w:szCs w:val="20"/>
        </w:rPr>
        <w:t>по 14 регионам (в том числе Донецкая Народная Республика и Запорожская область)</w:t>
      </w:r>
      <w:r w:rsidR="00570395">
        <w:rPr>
          <w:szCs w:val="20"/>
        </w:rPr>
        <w:t>.</w:t>
      </w:r>
    </w:p>
    <w:p w:rsidR="000B399E" w:rsidRPr="000B399E" w:rsidRDefault="000B399E" w:rsidP="000F63AC">
      <w:pPr>
        <w:overflowPunct w:val="0"/>
        <w:autoSpaceDE w:val="0"/>
        <w:autoSpaceDN w:val="0"/>
        <w:adjustRightInd w:val="0"/>
        <w:spacing w:line="360" w:lineRule="auto"/>
        <w:ind w:right="-2" w:firstLine="851"/>
        <w:contextualSpacing/>
        <w:jc w:val="both"/>
        <w:textAlignment w:val="baseline"/>
        <w:rPr>
          <w:szCs w:val="20"/>
        </w:rPr>
      </w:pPr>
      <w:r w:rsidRPr="000B399E">
        <w:rPr>
          <w:szCs w:val="20"/>
        </w:rPr>
        <w:t xml:space="preserve">Увеличение дотаций на выравнивание </w:t>
      </w:r>
      <w:r w:rsidR="00B21DF2" w:rsidRPr="000B399E">
        <w:rPr>
          <w:szCs w:val="20"/>
        </w:rPr>
        <w:t xml:space="preserve">бюджетной обеспеченности </w:t>
      </w:r>
      <w:r w:rsidRPr="000B399E">
        <w:rPr>
          <w:szCs w:val="20"/>
        </w:rPr>
        <w:t xml:space="preserve">в 2026 году относительно 2025 года сложилось в 27 регионах (или 41,5 % </w:t>
      </w:r>
      <w:r w:rsidR="007E54F2">
        <w:rPr>
          <w:szCs w:val="20"/>
        </w:rPr>
        <w:t>количества регионов</w:t>
      </w:r>
      <w:r w:rsidRPr="000B399E">
        <w:rPr>
          <w:szCs w:val="20"/>
        </w:rPr>
        <w:t>, являющихся получателями дотаций), из них выше среднего уровня по Российской Федерации (4</w:t>
      </w:r>
      <w:r w:rsidRPr="000B399E">
        <w:rPr>
          <w:szCs w:val="20"/>
          <w:lang w:val="en-US"/>
        </w:rPr>
        <w:t> </w:t>
      </w:r>
      <w:r w:rsidRPr="000B399E">
        <w:rPr>
          <w:szCs w:val="20"/>
        </w:rPr>
        <w:t>%) предусмотрено для 25 регионов.</w:t>
      </w:r>
      <w:r w:rsidR="007E54F2">
        <w:rPr>
          <w:szCs w:val="20"/>
        </w:rPr>
        <w:t xml:space="preserve"> </w:t>
      </w:r>
      <w:r w:rsidRPr="000B399E">
        <w:rPr>
          <w:szCs w:val="20"/>
        </w:rPr>
        <w:t>Для 17 регионов</w:t>
      </w:r>
      <w:r w:rsidRPr="00B21DF2">
        <w:rPr>
          <w:szCs w:val="28"/>
          <w:vertAlign w:val="superscript"/>
          <w:lang w:eastAsia="en-US"/>
        </w:rPr>
        <w:footnoteReference w:id="4"/>
      </w:r>
      <w:r w:rsidR="007E54F2">
        <w:rPr>
          <w:szCs w:val="20"/>
        </w:rPr>
        <w:t xml:space="preserve"> (26,2 %</w:t>
      </w:r>
      <w:r w:rsidRPr="000B399E">
        <w:rPr>
          <w:szCs w:val="20"/>
        </w:rPr>
        <w:t xml:space="preserve">) предусмотрено ограничение прироста объема дотации на выравнивание </w:t>
      </w:r>
      <w:r w:rsidR="00B21DF2" w:rsidRPr="000B399E">
        <w:rPr>
          <w:szCs w:val="20"/>
        </w:rPr>
        <w:t xml:space="preserve">бюджетной обеспеченности </w:t>
      </w:r>
      <w:r w:rsidR="000F63AC">
        <w:rPr>
          <w:szCs w:val="20"/>
        </w:rPr>
        <w:br/>
      </w:r>
      <w:r w:rsidR="007E54F2">
        <w:rPr>
          <w:szCs w:val="20"/>
        </w:rPr>
        <w:t>в 2026 году не более 10 % по отношению к 2025 </w:t>
      </w:r>
      <w:r w:rsidRPr="000B399E">
        <w:rPr>
          <w:szCs w:val="20"/>
        </w:rPr>
        <w:t>году.</w:t>
      </w:r>
      <w:r w:rsidR="00B21DF2">
        <w:rPr>
          <w:szCs w:val="20"/>
        </w:rPr>
        <w:t xml:space="preserve"> </w:t>
      </w:r>
      <w:r w:rsidR="00332D3A" w:rsidRPr="00332D3A">
        <w:rPr>
          <w:szCs w:val="20"/>
        </w:rPr>
        <w:t>В 22 регионах объем дотации снижен, из них в 14 регионах</w:t>
      </w:r>
      <w:r w:rsidR="00332D3A" w:rsidRPr="00332D3A">
        <w:rPr>
          <w:szCs w:val="28"/>
          <w:vertAlign w:val="superscript"/>
          <w:lang w:eastAsia="en-US"/>
        </w:rPr>
        <w:footnoteReference w:id="5"/>
      </w:r>
      <w:r w:rsidR="00332D3A" w:rsidRPr="00332D3A">
        <w:rPr>
          <w:szCs w:val="20"/>
        </w:rPr>
        <w:t xml:space="preserve"> – на 5</w:t>
      </w:r>
      <w:r w:rsidR="00332D3A">
        <w:rPr>
          <w:szCs w:val="20"/>
        </w:rPr>
        <w:t> </w:t>
      </w:r>
      <w:r w:rsidR="00332D3A" w:rsidRPr="00332D3A">
        <w:rPr>
          <w:szCs w:val="20"/>
        </w:rPr>
        <w:t xml:space="preserve">%. Наибольшее снижение дотации отмечено в Приморском </w:t>
      </w:r>
      <w:r w:rsidR="00332D3A" w:rsidRPr="00332D3A">
        <w:rPr>
          <w:szCs w:val="20"/>
        </w:rPr>
        <w:lastRenderedPageBreak/>
        <w:t>крае – на 61,1</w:t>
      </w:r>
      <w:r w:rsidR="000F63AC">
        <w:rPr>
          <w:szCs w:val="20"/>
        </w:rPr>
        <w:t> </w:t>
      </w:r>
      <w:r w:rsidR="00332D3A" w:rsidRPr="00332D3A">
        <w:rPr>
          <w:szCs w:val="20"/>
        </w:rPr>
        <w:t>%, Магаданской области – на 47,</w:t>
      </w:r>
      <w:r w:rsidR="00332D3A">
        <w:rPr>
          <w:szCs w:val="20"/>
        </w:rPr>
        <w:t>5 %, Хабаровском крае – на 34,7 </w:t>
      </w:r>
      <w:r w:rsidR="00332D3A" w:rsidRPr="00332D3A">
        <w:rPr>
          <w:szCs w:val="20"/>
        </w:rPr>
        <w:t>%, Ненецком автономном округе – на 30</w:t>
      </w:r>
      <w:r w:rsidR="00332D3A">
        <w:rPr>
          <w:szCs w:val="20"/>
        </w:rPr>
        <w:t> </w:t>
      </w:r>
      <w:r w:rsidR="00332D3A" w:rsidRPr="00332D3A">
        <w:rPr>
          <w:szCs w:val="20"/>
        </w:rPr>
        <w:t xml:space="preserve">%, </w:t>
      </w:r>
      <w:r w:rsidR="00332D3A">
        <w:rPr>
          <w:szCs w:val="20"/>
        </w:rPr>
        <w:t>Калининградской области – на 29 </w:t>
      </w:r>
      <w:r w:rsidR="00332D3A" w:rsidRPr="00332D3A">
        <w:rPr>
          <w:szCs w:val="20"/>
        </w:rPr>
        <w:t>%.</w:t>
      </w:r>
    </w:p>
    <w:p w:rsidR="000B399E" w:rsidRPr="000B399E" w:rsidRDefault="000B399E" w:rsidP="000F63AC">
      <w:pPr>
        <w:overflowPunct w:val="0"/>
        <w:autoSpaceDE w:val="0"/>
        <w:autoSpaceDN w:val="0"/>
        <w:adjustRightInd w:val="0"/>
        <w:spacing w:line="360" w:lineRule="auto"/>
        <w:ind w:right="-2" w:firstLine="851"/>
        <w:contextualSpacing/>
        <w:jc w:val="both"/>
        <w:textAlignment w:val="baseline"/>
        <w:rPr>
          <w:szCs w:val="20"/>
        </w:rPr>
      </w:pPr>
      <w:r w:rsidRPr="000B399E">
        <w:rPr>
          <w:szCs w:val="20"/>
        </w:rPr>
        <w:t xml:space="preserve">Для </w:t>
      </w:r>
      <w:r w:rsidR="00A07753">
        <w:rPr>
          <w:szCs w:val="20"/>
        </w:rPr>
        <w:t xml:space="preserve">3 </w:t>
      </w:r>
      <w:r w:rsidRPr="000B399E">
        <w:rPr>
          <w:szCs w:val="20"/>
        </w:rPr>
        <w:t>субъектов Российской Федерации, в которых реализуется программа комплексного восстановления территорий до 2030 года</w:t>
      </w:r>
      <w:r w:rsidRPr="00B21DF2">
        <w:rPr>
          <w:szCs w:val="28"/>
          <w:vertAlign w:val="superscript"/>
          <w:lang w:eastAsia="en-US"/>
        </w:rPr>
        <w:footnoteReference w:id="6"/>
      </w:r>
      <w:r w:rsidRPr="000B399E">
        <w:rPr>
          <w:szCs w:val="20"/>
        </w:rPr>
        <w:t xml:space="preserve"> (Белгородская, Брянская, Курская области) объем дотации на выравнивание бюджетной обеспеченности на 2026 год не может быть ниже утвержденного на 2025 год объема </w:t>
      </w:r>
      <w:r w:rsidR="007E54F2">
        <w:rPr>
          <w:szCs w:val="20"/>
        </w:rPr>
        <w:t>указанной</w:t>
      </w:r>
      <w:r w:rsidRPr="000B399E">
        <w:rPr>
          <w:szCs w:val="20"/>
        </w:rPr>
        <w:t xml:space="preserve"> дотации, увеличенного на прогнозный индекс потребительский цен на конец 2026 года, у</w:t>
      </w:r>
      <w:r w:rsidR="00954AEC">
        <w:rPr>
          <w:szCs w:val="20"/>
        </w:rPr>
        <w:t>чте</w:t>
      </w:r>
      <w:r w:rsidRPr="000B399E">
        <w:rPr>
          <w:szCs w:val="20"/>
        </w:rPr>
        <w:t>нный при формировании федерального бюджета на 2026 год и плановый период 2027 и 2028 годов.</w:t>
      </w:r>
    </w:p>
    <w:p w:rsidR="00F02868" w:rsidRPr="00F02868" w:rsidRDefault="00435240" w:rsidP="00435240">
      <w:pPr>
        <w:spacing w:line="360" w:lineRule="auto"/>
        <w:ind w:firstLine="709"/>
        <w:jc w:val="both"/>
        <w:rPr>
          <w:szCs w:val="20"/>
        </w:rPr>
      </w:pPr>
      <w:r w:rsidRPr="000D4470">
        <w:rPr>
          <w:b/>
        </w:rPr>
        <w:t>15.</w:t>
      </w:r>
      <w:r w:rsidR="00CC4E71">
        <w:rPr>
          <w:b/>
        </w:rPr>
        <w:t>9</w:t>
      </w:r>
      <w:r w:rsidRPr="000D4470">
        <w:rPr>
          <w:b/>
        </w:rPr>
        <w:t>.</w:t>
      </w:r>
      <w:r>
        <w:rPr>
          <w:b/>
        </w:rPr>
        <w:t>2.</w:t>
      </w:r>
      <w:r w:rsidRPr="000D4470">
        <w:t xml:space="preserve"> </w:t>
      </w:r>
      <w:r w:rsidR="00CC6BDD" w:rsidRPr="00435240">
        <w:t xml:space="preserve">Дотации </w:t>
      </w:r>
      <w:r w:rsidRPr="00435240">
        <w:t>н</w:t>
      </w:r>
      <w:r w:rsidR="00F02868" w:rsidRPr="00F02868">
        <w:rPr>
          <w:szCs w:val="20"/>
        </w:rPr>
        <w:t xml:space="preserve">а частичную компенсацию дополнительных расходов бюджетов субъектов Российской Федерации на повышение оплаты труда работников бюджетной сферы и иные цели </w:t>
      </w:r>
      <w:r w:rsidR="00FD410E" w:rsidRPr="00F02868">
        <w:rPr>
          <w:szCs w:val="28"/>
        </w:rPr>
        <w:t xml:space="preserve">бюджетам субъектов </w:t>
      </w:r>
      <w:r w:rsidR="00FD410E">
        <w:rPr>
          <w:szCs w:val="28"/>
        </w:rPr>
        <w:t xml:space="preserve">Российской Федерации </w:t>
      </w:r>
      <w:r w:rsidR="00FD410E" w:rsidRPr="00F02868">
        <w:rPr>
          <w:szCs w:val="28"/>
        </w:rPr>
        <w:t>и бюджету г. Байконура</w:t>
      </w:r>
      <w:r w:rsidR="00FD410E">
        <w:rPr>
          <w:szCs w:val="20"/>
        </w:rPr>
        <w:t xml:space="preserve"> (далее </w:t>
      </w:r>
      <w:r w:rsidR="00FD410E" w:rsidRPr="000B399E">
        <w:t>–</w:t>
      </w:r>
      <w:r w:rsidR="00FD410E">
        <w:rPr>
          <w:szCs w:val="20"/>
        </w:rPr>
        <w:t xml:space="preserve"> д</w:t>
      </w:r>
      <w:r w:rsidR="00FD410E" w:rsidRPr="00435240">
        <w:t>отации н</w:t>
      </w:r>
      <w:r w:rsidR="00FD410E" w:rsidRPr="00F02868">
        <w:rPr>
          <w:szCs w:val="20"/>
        </w:rPr>
        <w:t>а частичную компенсацию дополнительных расходов</w:t>
      </w:r>
      <w:r w:rsidR="00FD410E">
        <w:rPr>
          <w:szCs w:val="20"/>
        </w:rPr>
        <w:t>)</w:t>
      </w:r>
      <w:r w:rsidR="00FD410E" w:rsidRPr="00F02868">
        <w:rPr>
          <w:szCs w:val="20"/>
        </w:rPr>
        <w:t xml:space="preserve"> </w:t>
      </w:r>
      <w:r w:rsidR="00F02868" w:rsidRPr="00F02868">
        <w:rPr>
          <w:szCs w:val="20"/>
        </w:rPr>
        <w:t>в 2026</w:t>
      </w:r>
      <w:r w:rsidR="00FD410E">
        <w:rPr>
          <w:szCs w:val="20"/>
        </w:rPr>
        <w:t xml:space="preserve"> и </w:t>
      </w:r>
      <w:r w:rsidR="00F02868" w:rsidRPr="00F02868">
        <w:rPr>
          <w:szCs w:val="20"/>
        </w:rPr>
        <w:t xml:space="preserve">2027 годах </w:t>
      </w:r>
      <w:r w:rsidR="00A07753">
        <w:rPr>
          <w:szCs w:val="20"/>
        </w:rPr>
        <w:t xml:space="preserve">законопроектом </w:t>
      </w:r>
      <w:r w:rsidR="00F02868" w:rsidRPr="00F02868">
        <w:rPr>
          <w:szCs w:val="20"/>
        </w:rPr>
        <w:t>предусматриваются в объеме 119</w:t>
      </w:r>
      <w:r w:rsidRPr="00435240">
        <w:rPr>
          <w:szCs w:val="20"/>
        </w:rPr>
        <w:t> </w:t>
      </w:r>
      <w:r w:rsidR="00F02868" w:rsidRPr="00F02868">
        <w:rPr>
          <w:szCs w:val="20"/>
        </w:rPr>
        <w:t>200</w:t>
      </w:r>
      <w:r w:rsidRPr="00435240">
        <w:rPr>
          <w:szCs w:val="20"/>
        </w:rPr>
        <w:t>,7</w:t>
      </w:r>
      <w:r w:rsidR="00A07753">
        <w:rPr>
          <w:szCs w:val="20"/>
        </w:rPr>
        <w:t> </w:t>
      </w:r>
      <w:r w:rsidRPr="00435240">
        <w:rPr>
          <w:szCs w:val="20"/>
        </w:rPr>
        <w:t>млн</w:t>
      </w:r>
      <w:r w:rsidR="00FD410E">
        <w:rPr>
          <w:szCs w:val="20"/>
        </w:rPr>
        <w:t> </w:t>
      </w:r>
      <w:r w:rsidR="00F02868" w:rsidRPr="00F02868">
        <w:rPr>
          <w:szCs w:val="20"/>
        </w:rPr>
        <w:t xml:space="preserve">рублей ежегодно, что выше уровня 2025 года и объемов, утвержденных </w:t>
      </w:r>
      <w:r w:rsidR="00AF524B">
        <w:rPr>
          <w:szCs w:val="20"/>
        </w:rPr>
        <w:t>Федеральным з</w:t>
      </w:r>
      <w:r w:rsidR="00F02868" w:rsidRPr="00F02868">
        <w:rPr>
          <w:szCs w:val="20"/>
        </w:rPr>
        <w:t xml:space="preserve">аконом № 419-ФЗ на 4 %, </w:t>
      </w:r>
      <w:r w:rsidR="000F63AC">
        <w:rPr>
          <w:szCs w:val="20"/>
        </w:rPr>
        <w:br/>
      </w:r>
      <w:r w:rsidR="00F02868" w:rsidRPr="00F02868">
        <w:rPr>
          <w:szCs w:val="20"/>
        </w:rPr>
        <w:t xml:space="preserve">на 2028 год </w:t>
      </w:r>
      <w:r w:rsidR="004B3B57" w:rsidRPr="004B3B57">
        <w:rPr>
          <w:szCs w:val="20"/>
        </w:rPr>
        <w:t>–</w:t>
      </w:r>
      <w:r w:rsidR="00F02868" w:rsidRPr="00F02868">
        <w:rPr>
          <w:szCs w:val="20"/>
        </w:rPr>
        <w:t xml:space="preserve"> 125</w:t>
      </w:r>
      <w:r w:rsidRPr="00435240">
        <w:rPr>
          <w:szCs w:val="20"/>
        </w:rPr>
        <w:t> </w:t>
      </w:r>
      <w:r w:rsidR="00F02868" w:rsidRPr="00F02868">
        <w:rPr>
          <w:szCs w:val="20"/>
        </w:rPr>
        <w:t>730</w:t>
      </w:r>
      <w:r w:rsidRPr="00435240">
        <w:rPr>
          <w:szCs w:val="20"/>
        </w:rPr>
        <w:t>,1</w:t>
      </w:r>
      <w:r w:rsidR="00F02868" w:rsidRPr="00F02868">
        <w:rPr>
          <w:szCs w:val="20"/>
        </w:rPr>
        <w:t xml:space="preserve"> </w:t>
      </w:r>
      <w:r w:rsidRPr="00435240">
        <w:rPr>
          <w:szCs w:val="20"/>
        </w:rPr>
        <w:t>млн</w:t>
      </w:r>
      <w:r w:rsidR="00F02868" w:rsidRPr="00F02868">
        <w:rPr>
          <w:szCs w:val="20"/>
        </w:rPr>
        <w:t xml:space="preserve"> рубле</w:t>
      </w:r>
      <w:r w:rsidR="00A07753">
        <w:rPr>
          <w:szCs w:val="20"/>
        </w:rPr>
        <w:t>й, что выше уровня 2027 года на </w:t>
      </w:r>
      <w:r w:rsidR="000F63AC">
        <w:rPr>
          <w:szCs w:val="20"/>
        </w:rPr>
        <w:t>5,5 </w:t>
      </w:r>
      <w:r w:rsidR="00F02868" w:rsidRPr="00F02868">
        <w:rPr>
          <w:szCs w:val="20"/>
        </w:rPr>
        <w:t>%.</w:t>
      </w:r>
    </w:p>
    <w:p w:rsidR="00F02868" w:rsidRPr="00F02868" w:rsidRDefault="00F02868" w:rsidP="00435240">
      <w:pPr>
        <w:spacing w:line="360" w:lineRule="auto"/>
        <w:ind w:firstLine="709"/>
        <w:jc w:val="both"/>
        <w:textAlignment w:val="baseline"/>
        <w:rPr>
          <w:szCs w:val="28"/>
        </w:rPr>
      </w:pPr>
      <w:r w:rsidRPr="00F02868">
        <w:rPr>
          <w:szCs w:val="20"/>
        </w:rPr>
        <w:t xml:space="preserve">Увеличение объема указанных дотаций связано с увеличением </w:t>
      </w:r>
      <w:r w:rsidR="00F87E84" w:rsidRPr="00F87E84">
        <w:rPr>
          <w:szCs w:val="20"/>
        </w:rPr>
        <w:t>минимального размера оплаты труда (далее – МРОТ)</w:t>
      </w:r>
      <w:r w:rsidRPr="00F02868">
        <w:rPr>
          <w:szCs w:val="20"/>
        </w:rPr>
        <w:t xml:space="preserve">. </w:t>
      </w:r>
      <w:r w:rsidRPr="00F02868">
        <w:rPr>
          <w:szCs w:val="28"/>
        </w:rPr>
        <w:t xml:space="preserve">При этом в соответствии с </w:t>
      </w:r>
      <w:r w:rsidR="00AF524B">
        <w:rPr>
          <w:szCs w:val="20"/>
        </w:rPr>
        <w:t>проектом федерального закона «О </w:t>
      </w:r>
      <w:r w:rsidRPr="00F02868">
        <w:rPr>
          <w:szCs w:val="20"/>
        </w:rPr>
        <w:t xml:space="preserve">внесении изменения в статью 1 Федерального закона «О минимальном размере оплаты труда» </w:t>
      </w:r>
      <w:r w:rsidRPr="00F02868">
        <w:rPr>
          <w:szCs w:val="28"/>
        </w:rPr>
        <w:t>предусматривается увеличение МР</w:t>
      </w:r>
      <w:r w:rsidR="00435240">
        <w:rPr>
          <w:szCs w:val="28"/>
        </w:rPr>
        <w:t>ОТ с 1 января 2026 года на 20,7 </w:t>
      </w:r>
      <w:r w:rsidRPr="00F02868">
        <w:rPr>
          <w:szCs w:val="28"/>
        </w:rPr>
        <w:t xml:space="preserve">% и установление его в сумме 27 093 рубля в месяц. </w:t>
      </w:r>
    </w:p>
    <w:p w:rsidR="00F87E84" w:rsidRPr="00F87E84" w:rsidRDefault="00F87E84" w:rsidP="00F87E84">
      <w:pPr>
        <w:overflowPunct w:val="0"/>
        <w:autoSpaceDE w:val="0"/>
        <w:autoSpaceDN w:val="0"/>
        <w:adjustRightInd w:val="0"/>
        <w:spacing w:line="360" w:lineRule="auto"/>
        <w:ind w:firstLine="709"/>
        <w:jc w:val="both"/>
        <w:textAlignment w:val="baseline"/>
      </w:pPr>
      <w:r w:rsidRPr="00F87E84">
        <w:t>В 2026 году получателями указанной дотации будут являться 59 субъектов </w:t>
      </w:r>
      <w:r>
        <w:t xml:space="preserve">Российской Федерации </w:t>
      </w:r>
      <w:r w:rsidRPr="00F87E84">
        <w:t xml:space="preserve">и г. Байконур (в соответствии с таблицей 210 приложения 30 к законопроекту) (в 2025 году – 61 субъект </w:t>
      </w:r>
      <w:r>
        <w:t xml:space="preserve">Российской Федерации </w:t>
      </w:r>
      <w:r w:rsidRPr="00F87E84">
        <w:t>и г.</w:t>
      </w:r>
      <w:r>
        <w:t> </w:t>
      </w:r>
      <w:r w:rsidRPr="00F87E84">
        <w:t>Байконур). Объем распределенных средств составил 104 056,0 млн рублей. Кроме того, предусматривается нераспределенный резерв в объеме 15 144,6 млн рублей, что оставляет 12,7 % общего объема дотации. В 2025 году нераспределе</w:t>
      </w:r>
      <w:r w:rsidR="00AF524B">
        <w:t>нный резерв составляет 14 000,0 </w:t>
      </w:r>
      <w:r w:rsidR="000F63AC">
        <w:t>млн рублей (12,2 </w:t>
      </w:r>
      <w:r w:rsidRPr="00F87E84">
        <w:t>%).</w:t>
      </w:r>
    </w:p>
    <w:p w:rsidR="00F87E84" w:rsidRPr="00F87E84" w:rsidRDefault="00F87E84" w:rsidP="00F87E84">
      <w:pPr>
        <w:overflowPunct w:val="0"/>
        <w:autoSpaceDE w:val="0"/>
        <w:autoSpaceDN w:val="0"/>
        <w:adjustRightInd w:val="0"/>
        <w:spacing w:line="360" w:lineRule="auto"/>
        <w:ind w:firstLine="709"/>
        <w:jc w:val="both"/>
        <w:textAlignment w:val="baseline"/>
      </w:pPr>
      <w:r w:rsidRPr="00F87E84">
        <w:t>В 2026 году в число получателей дотации включены Республика Коми, Воронежская, Кемеровская и Новгородская области. При этом из числа получателей исключены 7 регионов (Приморский и Хабаровский края, Калининградская, Магаданская, Смоленская, Ульяновская области, Ненецкий автономный округ).</w:t>
      </w:r>
    </w:p>
    <w:p w:rsidR="00F02868" w:rsidRPr="00F02868" w:rsidRDefault="00F02868" w:rsidP="00F02BC6">
      <w:pPr>
        <w:overflowPunct w:val="0"/>
        <w:autoSpaceDE w:val="0"/>
        <w:autoSpaceDN w:val="0"/>
        <w:adjustRightInd w:val="0"/>
        <w:spacing w:line="336" w:lineRule="auto"/>
        <w:ind w:firstLine="709"/>
        <w:contextualSpacing/>
        <w:jc w:val="both"/>
        <w:textAlignment w:val="baseline"/>
        <w:rPr>
          <w:szCs w:val="28"/>
        </w:rPr>
      </w:pPr>
      <w:r w:rsidRPr="00F02868">
        <w:rPr>
          <w:szCs w:val="28"/>
        </w:rPr>
        <w:lastRenderedPageBreak/>
        <w:t>Увеличение дотации отмечается в 31 регионе, снижение – в 19 регионах. На уровне 2025 года дотации запланированы в Донецкой и Луганской Народных Республиках, Запорожской и Херсонской областях.</w:t>
      </w:r>
    </w:p>
    <w:p w:rsidR="0042143A" w:rsidRPr="0042143A" w:rsidRDefault="00CC4E71" w:rsidP="00F02BC6">
      <w:pPr>
        <w:spacing w:line="336" w:lineRule="auto"/>
        <w:ind w:firstLine="709"/>
        <w:jc w:val="both"/>
      </w:pPr>
      <w:r w:rsidRPr="00954AEC">
        <w:rPr>
          <w:b/>
        </w:rPr>
        <w:t>15.9</w:t>
      </w:r>
      <w:r w:rsidR="005A322C" w:rsidRPr="00954AEC">
        <w:rPr>
          <w:b/>
        </w:rPr>
        <w:t>.</w:t>
      </w:r>
      <w:r w:rsidRPr="00954AEC">
        <w:rPr>
          <w:b/>
        </w:rPr>
        <w:t>3.</w:t>
      </w:r>
      <w:r w:rsidR="005A322C" w:rsidRPr="00954AEC">
        <w:rPr>
          <w:b/>
        </w:rPr>
        <w:t xml:space="preserve"> </w:t>
      </w:r>
      <w:r w:rsidR="00FD410E" w:rsidRPr="00954AEC">
        <w:t>Дотации</w:t>
      </w:r>
      <w:r w:rsidR="00FD410E" w:rsidRPr="00FD410E">
        <w:t xml:space="preserve"> н</w:t>
      </w:r>
      <w:r w:rsidR="0042143A" w:rsidRPr="00FD410E">
        <w:t>а</w:t>
      </w:r>
      <w:r w:rsidR="0042143A" w:rsidRPr="0042143A">
        <w:t xml:space="preserve"> поддержку мер по обеспечению сбалансированности бюджетов законопроектом предусмотрены в 2026 году в объеме 80 321,8 млн ру</w:t>
      </w:r>
      <w:r w:rsidR="00954AEC">
        <w:t xml:space="preserve">блей (больше чем </w:t>
      </w:r>
      <w:r w:rsidR="002255F3">
        <w:br/>
      </w:r>
      <w:r w:rsidR="00954AEC">
        <w:t>в 2025 году в 3</w:t>
      </w:r>
      <w:r w:rsidR="0042143A" w:rsidRPr="0042143A">
        <w:t xml:space="preserve">,1 раза), в 2027 и 2028 годах </w:t>
      </w:r>
      <w:r w:rsidR="00FD410E" w:rsidRPr="00F02868">
        <w:rPr>
          <w:szCs w:val="28"/>
        </w:rPr>
        <w:t>–</w:t>
      </w:r>
      <w:r w:rsidR="0042143A" w:rsidRPr="0042143A">
        <w:t xml:space="preserve"> 52 117,5 млн рублей ежегодно (меньше чем </w:t>
      </w:r>
      <w:r w:rsidR="002255F3">
        <w:br/>
      </w:r>
      <w:r w:rsidR="0042143A" w:rsidRPr="0042143A">
        <w:t xml:space="preserve">в 2026 году </w:t>
      </w:r>
      <w:r w:rsidR="0042143A">
        <w:t>в 1,5 раза</w:t>
      </w:r>
      <w:r w:rsidR="0042143A" w:rsidRPr="0042143A">
        <w:t>).</w:t>
      </w:r>
    </w:p>
    <w:p w:rsidR="00F87E84" w:rsidRPr="00F87E84" w:rsidRDefault="00954AEC" w:rsidP="00F02BC6">
      <w:pPr>
        <w:spacing w:line="336" w:lineRule="auto"/>
        <w:ind w:firstLine="709"/>
        <w:jc w:val="both"/>
      </w:pPr>
      <w:r w:rsidRPr="00954AEC">
        <w:t xml:space="preserve">Предоставление и распределение дотаций на поддержку мер по обеспечению сбалансированности бюджетов осуществляется </w:t>
      </w:r>
      <w:r w:rsidR="00AF524B">
        <w:t>в течение года в соответствии с </w:t>
      </w:r>
      <w:r w:rsidRPr="00954AEC">
        <w:t xml:space="preserve">постановлением Правительства Российской Федерации от 13 апреля 2010 г. № 231 </w:t>
      </w:r>
      <w:r w:rsidR="002255F3">
        <w:br/>
      </w:r>
      <w:r w:rsidRPr="00954AEC">
        <w:t>на основании решений Правительства Российской Федерации. Распределение указанных дотаций в составе материалов к законопроекту, а также в ГИИС «Электронный бюджет» отсутствуют.</w:t>
      </w:r>
    </w:p>
    <w:p w:rsidR="00954AEC" w:rsidRPr="00954AEC" w:rsidRDefault="00954AEC" w:rsidP="00F02BC6">
      <w:pPr>
        <w:widowControl w:val="0"/>
        <w:autoSpaceDE w:val="0"/>
        <w:autoSpaceDN w:val="0"/>
        <w:adjustRightInd w:val="0"/>
        <w:spacing w:line="336" w:lineRule="auto"/>
        <w:ind w:firstLine="708"/>
        <w:jc w:val="both"/>
      </w:pPr>
      <w:r w:rsidRPr="00954AEC">
        <w:t xml:space="preserve">Необходимо отметить, что по состоянию на 1 сентября 2025 года кассовое исполнение по указанной дотации не осуществлялось в связи с отсутствием решений Правительства Российской Федерации. </w:t>
      </w:r>
    </w:p>
    <w:p w:rsidR="00954AEC" w:rsidRDefault="00954AEC" w:rsidP="00F02BC6">
      <w:pPr>
        <w:widowControl w:val="0"/>
        <w:autoSpaceDE w:val="0"/>
        <w:autoSpaceDN w:val="0"/>
        <w:adjustRightInd w:val="0"/>
        <w:spacing w:line="336" w:lineRule="auto"/>
        <w:ind w:firstLine="708"/>
        <w:jc w:val="both"/>
      </w:pPr>
      <w:r w:rsidRPr="00954AEC">
        <w:t xml:space="preserve">Кроме того, по состоянию на 1 июля 2025 года числились остатки средств федерального бюджета по дотации на поддержку мер по обеспечению сбалансированности бюджетов в общем объеме 5 413,5 млн. рублей (по дотации на поддержку мер </w:t>
      </w:r>
      <w:r w:rsidR="002255F3">
        <w:br/>
      </w:r>
      <w:r w:rsidRPr="00954AEC">
        <w:t>по обеспечению сбалансированности бюджетов 2 725,0 млн. рублей</w:t>
      </w:r>
      <w:r>
        <w:rPr>
          <w:rStyle w:val="af7"/>
        </w:rPr>
        <w:footnoteReference w:id="7"/>
      </w:r>
      <w:r w:rsidRPr="00954AEC">
        <w:t xml:space="preserve"> и за счет резервного фонда Правительства Российской Федерации – 2 688,56 млн. рублей</w:t>
      </w:r>
      <w:r>
        <w:rPr>
          <w:rStyle w:val="af7"/>
        </w:rPr>
        <w:footnoteReference w:id="8"/>
      </w:r>
      <w:r w:rsidRPr="00954AEC">
        <w:t xml:space="preserve">. </w:t>
      </w:r>
    </w:p>
    <w:p w:rsidR="00954AEC" w:rsidRPr="00954AEC" w:rsidRDefault="00954AEC" w:rsidP="00F02BC6">
      <w:pPr>
        <w:widowControl w:val="0"/>
        <w:autoSpaceDE w:val="0"/>
        <w:autoSpaceDN w:val="0"/>
        <w:adjustRightInd w:val="0"/>
        <w:spacing w:line="336" w:lineRule="auto"/>
        <w:ind w:firstLine="708"/>
        <w:jc w:val="both"/>
      </w:pPr>
      <w:r w:rsidRPr="00954AEC">
        <w:t xml:space="preserve">Таким образом, </w:t>
      </w:r>
      <w:r w:rsidR="00AF524B">
        <w:t>полагаем</w:t>
      </w:r>
      <w:r w:rsidRPr="00954AEC">
        <w:t xml:space="preserve"> необходимым Минфину России осуществить перераспределение бюджетных ассигнований (сокращение) на сумму остатков неиспользованной субъектами Российской Федерации дотации на поддержку мер по обеспечению сбалансированности бюджетов (в том числе за счет средств резервного фонда Правительства Российской Федерации) по состоянию на 1 июля 2025 года (5 413,5 млн рублей).</w:t>
      </w:r>
    </w:p>
    <w:p w:rsidR="00CA6A3C" w:rsidRDefault="00D161E1" w:rsidP="00F02BC6">
      <w:pPr>
        <w:widowControl w:val="0"/>
        <w:autoSpaceDE w:val="0"/>
        <w:autoSpaceDN w:val="0"/>
        <w:adjustRightInd w:val="0"/>
        <w:spacing w:line="336" w:lineRule="auto"/>
        <w:ind w:firstLine="708"/>
        <w:jc w:val="both"/>
      </w:pPr>
      <w:r w:rsidRPr="000D4470">
        <w:rPr>
          <w:b/>
        </w:rPr>
        <w:t>1</w:t>
      </w:r>
      <w:r w:rsidR="008558B4" w:rsidRPr="000D4470">
        <w:rPr>
          <w:b/>
        </w:rPr>
        <w:t>5</w:t>
      </w:r>
      <w:r w:rsidRPr="000D4470">
        <w:rPr>
          <w:b/>
        </w:rPr>
        <w:t>.1</w:t>
      </w:r>
      <w:r w:rsidR="00CC4E71">
        <w:rPr>
          <w:b/>
        </w:rPr>
        <w:t>0</w:t>
      </w:r>
      <w:r w:rsidRPr="000D4470">
        <w:rPr>
          <w:b/>
        </w:rPr>
        <w:t>.</w:t>
      </w:r>
      <w:r w:rsidRPr="000D4470">
        <w:t xml:space="preserve"> </w:t>
      </w:r>
      <w:r w:rsidR="002308D6" w:rsidRPr="000D4470">
        <w:t>Информация о</w:t>
      </w:r>
      <w:r w:rsidR="00CA6A3C" w:rsidRPr="000D4470">
        <w:t xml:space="preserve"> предоставлени</w:t>
      </w:r>
      <w:r w:rsidR="002308D6" w:rsidRPr="000D4470">
        <w:t>и</w:t>
      </w:r>
      <w:r w:rsidR="00CA6A3C" w:rsidRPr="000D4470">
        <w:t xml:space="preserve"> </w:t>
      </w:r>
      <w:r w:rsidR="00A87E55" w:rsidRPr="000D4470">
        <w:rPr>
          <w:b/>
        </w:rPr>
        <w:t>субсидий</w:t>
      </w:r>
      <w:r w:rsidR="00CA6A3C" w:rsidRPr="000D4470">
        <w:rPr>
          <w:b/>
        </w:rPr>
        <w:t xml:space="preserve"> бюджетам субъектов </w:t>
      </w:r>
      <w:r w:rsidR="00CA6A3C" w:rsidRPr="000D4470">
        <w:t xml:space="preserve">Российской </w:t>
      </w:r>
      <w:r w:rsidR="005D4BAE" w:rsidRPr="000D4470">
        <w:t>Федерации в 202</w:t>
      </w:r>
      <w:r w:rsidR="003D4500" w:rsidRPr="003D4500">
        <w:t>5</w:t>
      </w:r>
      <w:r w:rsidR="00677EC6" w:rsidRPr="000D4470">
        <w:t>–</w:t>
      </w:r>
      <w:r w:rsidR="00CA6A3C" w:rsidRPr="000D4470">
        <w:t>202</w:t>
      </w:r>
      <w:r w:rsidR="000D4470" w:rsidRPr="000D4470">
        <w:t>8</w:t>
      </w:r>
      <w:r w:rsidR="006D654B" w:rsidRPr="000D4470">
        <w:t xml:space="preserve"> годах представлена в</w:t>
      </w:r>
      <w:r w:rsidR="00CA6A3C" w:rsidRPr="000D4470">
        <w:t xml:space="preserve"> следующей </w:t>
      </w:r>
      <w:r w:rsidR="006D654B" w:rsidRPr="000D4470">
        <w:t>таблице</w:t>
      </w:r>
      <w:r w:rsidR="00CA6A3C" w:rsidRPr="000D4470">
        <w:t>.</w:t>
      </w:r>
    </w:p>
    <w:p w:rsidR="005766CE" w:rsidRPr="000D4470" w:rsidRDefault="005766CE" w:rsidP="00F02BC6">
      <w:pPr>
        <w:keepNext/>
        <w:widowControl w:val="0"/>
        <w:autoSpaceDE w:val="0"/>
        <w:autoSpaceDN w:val="0"/>
        <w:adjustRightInd w:val="0"/>
        <w:spacing w:line="360" w:lineRule="auto"/>
        <w:ind w:left="7791"/>
        <w:jc w:val="both"/>
        <w:rPr>
          <w:sz w:val="20"/>
        </w:rPr>
      </w:pPr>
      <w:r w:rsidRPr="000D4470">
        <w:rPr>
          <w:sz w:val="20"/>
        </w:rPr>
        <w:t xml:space="preserve">           (млн рублей)</w:t>
      </w:r>
    </w:p>
    <w:tbl>
      <w:tblPr>
        <w:tblStyle w:val="af4"/>
        <w:tblW w:w="9747" w:type="dxa"/>
        <w:tblLook w:val="04A0" w:firstRow="1" w:lastRow="0" w:firstColumn="1" w:lastColumn="0" w:noHBand="0" w:noVBand="1"/>
      </w:tblPr>
      <w:tblGrid>
        <w:gridCol w:w="4503"/>
        <w:gridCol w:w="1559"/>
        <w:gridCol w:w="1228"/>
        <w:gridCol w:w="1228"/>
        <w:gridCol w:w="1229"/>
      </w:tblGrid>
      <w:tr w:rsidR="003D4500" w:rsidRPr="00143121" w:rsidTr="000F63AC">
        <w:trPr>
          <w:trHeight w:val="227"/>
          <w:tblHeader/>
        </w:trPr>
        <w:tc>
          <w:tcPr>
            <w:tcW w:w="4503" w:type="dxa"/>
          </w:tcPr>
          <w:p w:rsidR="003D4500" w:rsidRPr="000D4470" w:rsidRDefault="003D4500" w:rsidP="000D4470">
            <w:pPr>
              <w:jc w:val="center"/>
              <w:rPr>
                <w:b/>
                <w:spacing w:val="-4"/>
                <w:sz w:val="16"/>
                <w:szCs w:val="18"/>
              </w:rPr>
            </w:pPr>
            <w:r w:rsidRPr="000D4470">
              <w:rPr>
                <w:b/>
                <w:sz w:val="16"/>
                <w:szCs w:val="16"/>
              </w:rPr>
              <w:t>Наименование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4500" w:rsidRPr="000D4470" w:rsidRDefault="003D4500" w:rsidP="000D4470">
            <w:pPr>
              <w:jc w:val="center"/>
              <w:rPr>
                <w:b/>
                <w:bCs/>
                <w:sz w:val="16"/>
                <w:szCs w:val="18"/>
              </w:rPr>
            </w:pPr>
            <w:r w:rsidRPr="000D4470">
              <w:rPr>
                <w:b/>
                <w:bCs/>
                <w:sz w:val="16"/>
                <w:szCs w:val="18"/>
              </w:rPr>
              <w:t>2025 год</w:t>
            </w:r>
          </w:p>
          <w:p w:rsidR="003D4500" w:rsidRPr="000D4470" w:rsidRDefault="003D4500" w:rsidP="000D4470">
            <w:pPr>
              <w:spacing w:before="20"/>
              <w:jc w:val="center"/>
              <w:rPr>
                <w:spacing w:val="-4"/>
                <w:sz w:val="16"/>
                <w:szCs w:val="18"/>
              </w:rPr>
            </w:pPr>
            <w:r w:rsidRPr="000D4470">
              <w:rPr>
                <w:bCs/>
                <w:sz w:val="16"/>
                <w:szCs w:val="18"/>
              </w:rPr>
              <w:t>(сводная роспись на 01.09.2025)</w:t>
            </w:r>
          </w:p>
        </w:tc>
        <w:tc>
          <w:tcPr>
            <w:tcW w:w="1228" w:type="dxa"/>
            <w:tcBorders>
              <w:top w:val="single" w:sz="4" w:space="0" w:color="auto"/>
              <w:left w:val="nil"/>
              <w:bottom w:val="single" w:sz="4" w:space="0" w:color="auto"/>
              <w:right w:val="single" w:sz="4" w:space="0" w:color="auto"/>
            </w:tcBorders>
            <w:shd w:val="clear" w:color="auto" w:fill="auto"/>
          </w:tcPr>
          <w:p w:rsidR="003D4500" w:rsidRPr="000D4470" w:rsidRDefault="003D4500" w:rsidP="000D4470">
            <w:pPr>
              <w:ind w:left="-168" w:right="-108"/>
              <w:jc w:val="center"/>
              <w:rPr>
                <w:b/>
                <w:bCs/>
                <w:sz w:val="16"/>
                <w:szCs w:val="18"/>
              </w:rPr>
            </w:pPr>
            <w:r w:rsidRPr="000D4470">
              <w:rPr>
                <w:b/>
                <w:bCs/>
                <w:sz w:val="16"/>
                <w:szCs w:val="18"/>
              </w:rPr>
              <w:t>2026 год</w:t>
            </w:r>
          </w:p>
          <w:p w:rsidR="003D4500" w:rsidRPr="000D4470" w:rsidRDefault="003D4500" w:rsidP="000D4470">
            <w:pPr>
              <w:spacing w:before="20"/>
              <w:jc w:val="center"/>
              <w:rPr>
                <w:spacing w:val="-4"/>
                <w:sz w:val="16"/>
                <w:szCs w:val="18"/>
              </w:rPr>
            </w:pPr>
            <w:r w:rsidRPr="000D4470">
              <w:rPr>
                <w:bCs/>
                <w:sz w:val="16"/>
                <w:szCs w:val="18"/>
              </w:rPr>
              <w:t>(прогноз)</w:t>
            </w:r>
          </w:p>
        </w:tc>
        <w:tc>
          <w:tcPr>
            <w:tcW w:w="1228" w:type="dxa"/>
            <w:tcBorders>
              <w:top w:val="single" w:sz="4" w:space="0" w:color="auto"/>
              <w:left w:val="nil"/>
              <w:bottom w:val="single" w:sz="4" w:space="0" w:color="auto"/>
              <w:right w:val="single" w:sz="4" w:space="0" w:color="auto"/>
            </w:tcBorders>
            <w:shd w:val="clear" w:color="auto" w:fill="auto"/>
          </w:tcPr>
          <w:p w:rsidR="003D4500" w:rsidRPr="000D4470" w:rsidRDefault="003D4500" w:rsidP="000D4470">
            <w:pPr>
              <w:ind w:left="-57" w:right="-57"/>
              <w:jc w:val="center"/>
              <w:rPr>
                <w:b/>
                <w:bCs/>
                <w:sz w:val="16"/>
                <w:szCs w:val="18"/>
              </w:rPr>
            </w:pPr>
            <w:r w:rsidRPr="000D4470">
              <w:rPr>
                <w:b/>
                <w:bCs/>
                <w:sz w:val="16"/>
                <w:szCs w:val="18"/>
              </w:rPr>
              <w:t>2027 год</w:t>
            </w:r>
          </w:p>
          <w:p w:rsidR="003D4500" w:rsidRPr="000D4470" w:rsidRDefault="003D4500" w:rsidP="000D4470">
            <w:pPr>
              <w:spacing w:before="20"/>
              <w:jc w:val="center"/>
              <w:rPr>
                <w:spacing w:val="-4"/>
                <w:sz w:val="22"/>
                <w:szCs w:val="18"/>
              </w:rPr>
            </w:pPr>
            <w:r w:rsidRPr="000D4470">
              <w:rPr>
                <w:bCs/>
                <w:sz w:val="16"/>
                <w:szCs w:val="18"/>
              </w:rPr>
              <w:t>(прогноз)</w:t>
            </w:r>
          </w:p>
        </w:tc>
        <w:tc>
          <w:tcPr>
            <w:tcW w:w="1229" w:type="dxa"/>
            <w:tcBorders>
              <w:top w:val="single" w:sz="4" w:space="0" w:color="auto"/>
              <w:left w:val="nil"/>
              <w:bottom w:val="single" w:sz="4" w:space="0" w:color="auto"/>
              <w:right w:val="single" w:sz="4" w:space="0" w:color="auto"/>
            </w:tcBorders>
            <w:shd w:val="clear" w:color="auto" w:fill="auto"/>
          </w:tcPr>
          <w:p w:rsidR="003D4500" w:rsidRPr="000D4470" w:rsidRDefault="003D4500" w:rsidP="000D4470">
            <w:pPr>
              <w:ind w:left="-131" w:right="-108"/>
              <w:jc w:val="center"/>
              <w:rPr>
                <w:b/>
                <w:bCs/>
                <w:sz w:val="16"/>
                <w:szCs w:val="18"/>
              </w:rPr>
            </w:pPr>
            <w:r w:rsidRPr="000D4470">
              <w:rPr>
                <w:b/>
                <w:bCs/>
                <w:sz w:val="16"/>
                <w:szCs w:val="18"/>
              </w:rPr>
              <w:t>2028 год</w:t>
            </w:r>
          </w:p>
          <w:p w:rsidR="003D4500" w:rsidRPr="000D4470" w:rsidRDefault="003D4500" w:rsidP="000D4470">
            <w:pPr>
              <w:spacing w:before="20"/>
              <w:jc w:val="center"/>
              <w:rPr>
                <w:spacing w:val="-4"/>
                <w:sz w:val="22"/>
                <w:szCs w:val="18"/>
              </w:rPr>
            </w:pPr>
            <w:r w:rsidRPr="000D4470">
              <w:rPr>
                <w:bCs/>
                <w:sz w:val="16"/>
                <w:szCs w:val="18"/>
              </w:rPr>
              <w:t>(прогноз)</w:t>
            </w:r>
          </w:p>
        </w:tc>
      </w:tr>
      <w:tr w:rsidR="003D4500" w:rsidRPr="00143121" w:rsidTr="000F63AC">
        <w:trPr>
          <w:trHeight w:val="283"/>
        </w:trPr>
        <w:tc>
          <w:tcPr>
            <w:tcW w:w="4503" w:type="dxa"/>
            <w:vAlign w:val="center"/>
          </w:tcPr>
          <w:p w:rsidR="003D4500" w:rsidRPr="000D4470" w:rsidRDefault="003D4500" w:rsidP="00B44296">
            <w:pPr>
              <w:rPr>
                <w:b/>
                <w:spacing w:val="-4"/>
                <w:sz w:val="18"/>
                <w:szCs w:val="16"/>
              </w:rPr>
            </w:pPr>
            <w:r w:rsidRPr="000D4470">
              <w:rPr>
                <w:b/>
                <w:bCs/>
                <w:spacing w:val="-4"/>
                <w:sz w:val="18"/>
                <w:szCs w:val="16"/>
              </w:rPr>
              <w:t>Субсидии</w:t>
            </w:r>
          </w:p>
        </w:tc>
        <w:tc>
          <w:tcPr>
            <w:tcW w:w="1559"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b/>
                <w:spacing w:val="-4"/>
                <w:sz w:val="16"/>
                <w:szCs w:val="16"/>
              </w:rPr>
            </w:pPr>
            <w:r w:rsidRPr="00B44296">
              <w:rPr>
                <w:b/>
                <w:bCs/>
                <w:sz w:val="16"/>
                <w:szCs w:val="16"/>
              </w:rPr>
              <w:t>1 859 882,0</w:t>
            </w:r>
          </w:p>
        </w:tc>
        <w:tc>
          <w:tcPr>
            <w:tcW w:w="1228"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b/>
                <w:spacing w:val="-4"/>
                <w:sz w:val="16"/>
                <w:szCs w:val="16"/>
              </w:rPr>
            </w:pPr>
            <w:r w:rsidRPr="00B44296">
              <w:rPr>
                <w:b/>
                <w:bCs/>
                <w:sz w:val="16"/>
                <w:szCs w:val="16"/>
              </w:rPr>
              <w:t>1 618 999,2</w:t>
            </w:r>
          </w:p>
        </w:tc>
        <w:tc>
          <w:tcPr>
            <w:tcW w:w="1228"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b/>
                <w:spacing w:val="-4"/>
                <w:sz w:val="16"/>
                <w:szCs w:val="16"/>
              </w:rPr>
            </w:pPr>
            <w:r w:rsidRPr="00B44296">
              <w:rPr>
                <w:b/>
                <w:bCs/>
                <w:sz w:val="16"/>
                <w:szCs w:val="16"/>
              </w:rPr>
              <w:t>1 837 650,3</w:t>
            </w:r>
          </w:p>
        </w:tc>
        <w:tc>
          <w:tcPr>
            <w:tcW w:w="1229"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b/>
                <w:sz w:val="16"/>
                <w:szCs w:val="16"/>
              </w:rPr>
            </w:pPr>
            <w:r w:rsidRPr="00B44296">
              <w:rPr>
                <w:b/>
                <w:bCs/>
                <w:sz w:val="16"/>
                <w:szCs w:val="16"/>
              </w:rPr>
              <w:t>2 106 170,9</w:t>
            </w:r>
          </w:p>
        </w:tc>
      </w:tr>
      <w:tr w:rsidR="003D4500" w:rsidRPr="00143121" w:rsidTr="000F63AC">
        <w:trPr>
          <w:trHeight w:val="227"/>
        </w:trPr>
        <w:tc>
          <w:tcPr>
            <w:tcW w:w="4503" w:type="dxa"/>
            <w:vAlign w:val="center"/>
          </w:tcPr>
          <w:p w:rsidR="003D4500" w:rsidRPr="00D833F3" w:rsidRDefault="003D4500" w:rsidP="00B44296">
            <w:pPr>
              <w:ind w:left="113"/>
              <w:rPr>
                <w:i/>
                <w:spacing w:val="-4"/>
                <w:sz w:val="16"/>
                <w:szCs w:val="18"/>
              </w:rPr>
            </w:pPr>
            <w:r w:rsidRPr="00D833F3">
              <w:rPr>
                <w:i/>
                <w:spacing w:val="-4"/>
                <w:sz w:val="16"/>
                <w:szCs w:val="18"/>
              </w:rPr>
              <w:t>отклонение от предыдущего года</w:t>
            </w:r>
          </w:p>
        </w:tc>
        <w:tc>
          <w:tcPr>
            <w:tcW w:w="1559"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108 544,7</w:t>
            </w:r>
          </w:p>
        </w:tc>
        <w:tc>
          <w:tcPr>
            <w:tcW w:w="1228"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-240 882,8</w:t>
            </w:r>
          </w:p>
        </w:tc>
        <w:tc>
          <w:tcPr>
            <w:tcW w:w="1228"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218 651,1</w:t>
            </w:r>
          </w:p>
        </w:tc>
        <w:tc>
          <w:tcPr>
            <w:tcW w:w="1229"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268 520,6</w:t>
            </w:r>
          </w:p>
        </w:tc>
      </w:tr>
      <w:tr w:rsidR="003D4500" w:rsidRPr="00143121" w:rsidTr="000F63AC">
        <w:trPr>
          <w:trHeight w:val="227"/>
        </w:trPr>
        <w:tc>
          <w:tcPr>
            <w:tcW w:w="4503" w:type="dxa"/>
            <w:tcBorders>
              <w:bottom w:val="single" w:sz="4" w:space="0" w:color="auto"/>
            </w:tcBorders>
            <w:vAlign w:val="center"/>
          </w:tcPr>
          <w:p w:rsidR="003D4500" w:rsidRPr="00D833F3" w:rsidRDefault="003D4500" w:rsidP="00B44296">
            <w:pPr>
              <w:ind w:left="113"/>
              <w:rPr>
                <w:i/>
                <w:spacing w:val="-4"/>
                <w:sz w:val="14"/>
                <w:szCs w:val="18"/>
              </w:rPr>
            </w:pPr>
            <w:r w:rsidRPr="00D833F3">
              <w:rPr>
                <w:i/>
                <w:iCs/>
                <w:sz w:val="16"/>
                <w:szCs w:val="16"/>
              </w:rPr>
              <w:t>в % к предыдущему году</w:t>
            </w:r>
          </w:p>
        </w:tc>
        <w:tc>
          <w:tcPr>
            <w:tcW w:w="1559"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106,2</w:t>
            </w:r>
          </w:p>
        </w:tc>
        <w:tc>
          <w:tcPr>
            <w:tcW w:w="1228"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87,0</w:t>
            </w:r>
          </w:p>
        </w:tc>
        <w:tc>
          <w:tcPr>
            <w:tcW w:w="1228"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113,5</w:t>
            </w:r>
          </w:p>
        </w:tc>
        <w:tc>
          <w:tcPr>
            <w:tcW w:w="1229" w:type="dxa"/>
            <w:tcBorders>
              <w:top w:val="nil"/>
              <w:left w:val="nil"/>
              <w:bottom w:val="single" w:sz="4" w:space="0" w:color="auto"/>
              <w:right w:val="single" w:sz="4" w:space="0" w:color="auto"/>
            </w:tcBorders>
            <w:shd w:val="clear" w:color="auto" w:fill="auto"/>
            <w:vAlign w:val="center"/>
          </w:tcPr>
          <w:p w:rsidR="003D4500" w:rsidRPr="00B44296" w:rsidRDefault="003D4500" w:rsidP="00B44296">
            <w:pPr>
              <w:jc w:val="center"/>
              <w:rPr>
                <w:spacing w:val="-4"/>
                <w:sz w:val="16"/>
                <w:szCs w:val="16"/>
              </w:rPr>
            </w:pPr>
            <w:r w:rsidRPr="00B44296">
              <w:rPr>
                <w:i/>
                <w:iCs/>
                <w:sz w:val="16"/>
                <w:szCs w:val="16"/>
              </w:rPr>
              <w:t>114,6</w:t>
            </w:r>
          </w:p>
        </w:tc>
      </w:tr>
      <w:tr w:rsidR="003D4500" w:rsidRPr="00143121" w:rsidTr="000F63AC">
        <w:trPr>
          <w:trHeight w:val="227"/>
        </w:trPr>
        <w:tc>
          <w:tcPr>
            <w:tcW w:w="4503" w:type="dxa"/>
            <w:tcBorders>
              <w:top w:val="single" w:sz="4" w:space="0" w:color="auto"/>
            </w:tcBorders>
            <w:vAlign w:val="center"/>
          </w:tcPr>
          <w:p w:rsidR="003D4500" w:rsidRPr="00B44296" w:rsidRDefault="003D4500" w:rsidP="00B44296">
            <w:pPr>
              <w:ind w:left="113"/>
              <w:rPr>
                <w:iCs/>
                <w:sz w:val="16"/>
                <w:szCs w:val="16"/>
              </w:rPr>
            </w:pPr>
            <w:r>
              <w:rPr>
                <w:iCs/>
                <w:sz w:val="16"/>
                <w:szCs w:val="16"/>
              </w:rPr>
              <w:t>Количество субсидий</w:t>
            </w:r>
          </w:p>
        </w:tc>
        <w:tc>
          <w:tcPr>
            <w:tcW w:w="1559"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iCs/>
                <w:sz w:val="16"/>
                <w:szCs w:val="16"/>
              </w:rPr>
            </w:pPr>
            <w:r>
              <w:rPr>
                <w:iCs/>
                <w:sz w:val="16"/>
                <w:szCs w:val="16"/>
              </w:rPr>
              <w:t>263</w:t>
            </w:r>
          </w:p>
        </w:tc>
        <w:tc>
          <w:tcPr>
            <w:tcW w:w="1228"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iCs/>
                <w:sz w:val="16"/>
                <w:szCs w:val="16"/>
              </w:rPr>
            </w:pPr>
            <w:r>
              <w:rPr>
                <w:iCs/>
                <w:sz w:val="16"/>
                <w:szCs w:val="16"/>
              </w:rPr>
              <w:t>196</w:t>
            </w:r>
          </w:p>
        </w:tc>
        <w:tc>
          <w:tcPr>
            <w:tcW w:w="1228"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iCs/>
                <w:sz w:val="16"/>
                <w:szCs w:val="16"/>
              </w:rPr>
            </w:pPr>
            <w:r>
              <w:rPr>
                <w:iCs/>
                <w:sz w:val="16"/>
                <w:szCs w:val="16"/>
              </w:rPr>
              <w:t>187</w:t>
            </w:r>
          </w:p>
        </w:tc>
        <w:tc>
          <w:tcPr>
            <w:tcW w:w="1229" w:type="dxa"/>
            <w:tcBorders>
              <w:top w:val="single" w:sz="4" w:space="0" w:color="auto"/>
              <w:left w:val="nil"/>
              <w:bottom w:val="single" w:sz="4" w:space="0" w:color="auto"/>
              <w:right w:val="single" w:sz="4" w:space="0" w:color="auto"/>
            </w:tcBorders>
            <w:shd w:val="clear" w:color="auto" w:fill="auto"/>
            <w:vAlign w:val="center"/>
          </w:tcPr>
          <w:p w:rsidR="003D4500" w:rsidRPr="00B44296" w:rsidRDefault="003D4500" w:rsidP="00B44296">
            <w:pPr>
              <w:jc w:val="center"/>
              <w:rPr>
                <w:iCs/>
                <w:sz w:val="16"/>
                <w:szCs w:val="16"/>
              </w:rPr>
            </w:pPr>
            <w:r>
              <w:rPr>
                <w:iCs/>
                <w:sz w:val="16"/>
                <w:szCs w:val="16"/>
              </w:rPr>
              <w:t>173</w:t>
            </w:r>
          </w:p>
        </w:tc>
      </w:tr>
    </w:tbl>
    <w:p w:rsidR="00AE66BD" w:rsidRPr="00AE66BD" w:rsidRDefault="00B44296" w:rsidP="00AE66BD">
      <w:pPr>
        <w:spacing w:before="120" w:line="360" w:lineRule="auto"/>
        <w:ind w:firstLine="709"/>
        <w:jc w:val="both"/>
        <w:rPr>
          <w:b/>
          <w:bCs/>
        </w:rPr>
      </w:pPr>
      <w:r w:rsidRPr="00073AD3">
        <w:rPr>
          <w:b/>
        </w:rPr>
        <w:lastRenderedPageBreak/>
        <w:t>15.1</w:t>
      </w:r>
      <w:r w:rsidR="00CC4E71">
        <w:rPr>
          <w:b/>
        </w:rPr>
        <w:t>0</w:t>
      </w:r>
      <w:r w:rsidRPr="00073AD3">
        <w:rPr>
          <w:b/>
        </w:rPr>
        <w:t>.1.</w:t>
      </w:r>
      <w:r w:rsidRPr="00073AD3">
        <w:t xml:space="preserve"> </w:t>
      </w:r>
      <w:r w:rsidR="0093113B" w:rsidRPr="00073AD3">
        <w:t xml:space="preserve">Уменьшение </w:t>
      </w:r>
      <w:r w:rsidR="00615E03" w:rsidRPr="00073AD3">
        <w:t>субсидий</w:t>
      </w:r>
      <w:r w:rsidR="00073AD3" w:rsidRPr="00073AD3">
        <w:t xml:space="preserve"> в 2026</w:t>
      </w:r>
      <w:r w:rsidR="0093113B" w:rsidRPr="00073AD3">
        <w:t xml:space="preserve"> году по сравнению с 202</w:t>
      </w:r>
      <w:r w:rsidR="00073AD3" w:rsidRPr="00073AD3">
        <w:t>5</w:t>
      </w:r>
      <w:r w:rsidR="0093113B" w:rsidRPr="00073AD3">
        <w:t xml:space="preserve"> годом</w:t>
      </w:r>
      <w:r w:rsidR="00615E03" w:rsidRPr="00073AD3">
        <w:t xml:space="preserve"> </w:t>
      </w:r>
      <w:r w:rsidR="0093113B" w:rsidRPr="00073AD3">
        <w:t>обусловлено</w:t>
      </w:r>
      <w:r w:rsidR="00615E03" w:rsidRPr="00073AD3">
        <w:t xml:space="preserve"> </w:t>
      </w:r>
      <w:r w:rsidR="00374CD1">
        <w:br/>
      </w:r>
      <w:r w:rsidR="00FF48F8" w:rsidRPr="00073AD3">
        <w:t xml:space="preserve">в основном </w:t>
      </w:r>
      <w:r w:rsidR="00073AD3">
        <w:t xml:space="preserve">выделением в 2025 году дополнительных </w:t>
      </w:r>
      <w:r w:rsidR="00132005">
        <w:t xml:space="preserve">бюджетных ассигнований на предоставление субсидий субъектам Российской Федерации </w:t>
      </w:r>
      <w:r w:rsidR="00073AD3">
        <w:t>за счет резервного фонда Правительства Российской Федерации</w:t>
      </w:r>
      <w:r w:rsidR="00073AD3" w:rsidRPr="00E64DB2">
        <w:t xml:space="preserve">, </w:t>
      </w:r>
      <w:r w:rsidR="00E64DB2" w:rsidRPr="00E64DB2">
        <w:t>а</w:t>
      </w:r>
      <w:r w:rsidR="00073AD3" w:rsidRPr="00E64DB2">
        <w:t xml:space="preserve"> </w:t>
      </w:r>
      <w:r w:rsidR="002F33E7" w:rsidRPr="00E64DB2">
        <w:t>также</w:t>
      </w:r>
      <w:r w:rsidR="00132005" w:rsidRPr="00E64DB2">
        <w:t xml:space="preserve"> в связи</w:t>
      </w:r>
      <w:r w:rsidR="00132005">
        <w:t xml:space="preserve"> с</w:t>
      </w:r>
      <w:r w:rsidR="002F33E7">
        <w:t xml:space="preserve"> </w:t>
      </w:r>
      <w:r w:rsidR="00EE1807">
        <w:t>сокращение</w:t>
      </w:r>
      <w:r w:rsidR="00F342C5">
        <w:t>м</w:t>
      </w:r>
      <w:r w:rsidR="00EE1807">
        <w:t xml:space="preserve"> в полном объеме </w:t>
      </w:r>
      <w:r w:rsidR="00E64DB2">
        <w:t xml:space="preserve">расходов </w:t>
      </w:r>
      <w:r w:rsidR="00EE1807">
        <w:t xml:space="preserve">на предоставление </w:t>
      </w:r>
      <w:r w:rsidR="00EE1807" w:rsidRPr="00EE1807">
        <w:t>выплаты региональных социальных доплат к пенсии</w:t>
      </w:r>
      <w:r w:rsidR="00C148D3">
        <w:t xml:space="preserve"> </w:t>
      </w:r>
      <w:r w:rsidR="002F33E7">
        <w:t xml:space="preserve">в связи </w:t>
      </w:r>
      <w:r w:rsidR="00374CD1">
        <w:br/>
      </w:r>
      <w:r w:rsidR="002F33E7">
        <w:t xml:space="preserve">с передачей </w:t>
      </w:r>
      <w:r w:rsidR="00C148D3" w:rsidRPr="00C148D3">
        <w:t xml:space="preserve">полномочий </w:t>
      </w:r>
      <w:r w:rsidR="002F33E7" w:rsidRPr="00C148D3">
        <w:t xml:space="preserve">Социальному фонду России </w:t>
      </w:r>
      <w:r w:rsidR="00C148D3" w:rsidRPr="00C148D3">
        <w:t>по предоставлению</w:t>
      </w:r>
      <w:r w:rsidR="002F33E7" w:rsidRPr="00C148D3">
        <w:t xml:space="preserve"> </w:t>
      </w:r>
      <w:r w:rsidR="00C148D3" w:rsidRPr="00C148D3">
        <w:t xml:space="preserve">указанных </w:t>
      </w:r>
      <w:r w:rsidR="002F33E7" w:rsidRPr="00C148D3">
        <w:t xml:space="preserve">выплат </w:t>
      </w:r>
      <w:r w:rsidR="00C148D3">
        <w:t>(</w:t>
      </w:r>
      <w:r w:rsidR="00EE1807" w:rsidRPr="00C148D3">
        <w:t>в</w:t>
      </w:r>
      <w:r w:rsidR="00F16B68">
        <w:t> </w:t>
      </w:r>
      <w:r w:rsidR="00EE1807">
        <w:t xml:space="preserve">2025 году </w:t>
      </w:r>
      <w:r w:rsidR="00C148D3">
        <w:t xml:space="preserve">финансовое обеспечение осуществлялось за счет </w:t>
      </w:r>
      <w:r w:rsidR="00EE1807">
        <w:t xml:space="preserve">субсидий </w:t>
      </w:r>
      <w:r w:rsidR="00C148D3">
        <w:t>из федерального бюджета</w:t>
      </w:r>
      <w:r w:rsidR="00F16B68">
        <w:t>)</w:t>
      </w:r>
      <w:r w:rsidR="00C148D3">
        <w:t>.</w:t>
      </w:r>
    </w:p>
    <w:p w:rsidR="00615E03" w:rsidRPr="00AF6BE1" w:rsidRDefault="00615E03" w:rsidP="00615E03">
      <w:pPr>
        <w:widowControl w:val="0"/>
        <w:autoSpaceDE w:val="0"/>
        <w:autoSpaceDN w:val="0"/>
        <w:adjustRightInd w:val="0"/>
        <w:spacing w:line="360" w:lineRule="auto"/>
        <w:ind w:firstLine="709"/>
        <w:jc w:val="both"/>
      </w:pPr>
      <w:r w:rsidRPr="00AF6BE1">
        <w:t>Законопроектом на 202</w:t>
      </w:r>
      <w:r w:rsidR="00AF6BE1" w:rsidRPr="00AF6BE1">
        <w:t>6</w:t>
      </w:r>
      <w:r w:rsidRPr="00AF6BE1">
        <w:t xml:space="preserve"> год предусмотрено предоставление 1</w:t>
      </w:r>
      <w:r w:rsidR="00AF6BE1" w:rsidRPr="00AF6BE1">
        <w:t xml:space="preserve">96 субсидий, что </w:t>
      </w:r>
      <w:r w:rsidR="00374CD1">
        <w:br/>
      </w:r>
      <w:r w:rsidR="00AF6BE1" w:rsidRPr="00AF6BE1">
        <w:t>на 11</w:t>
      </w:r>
      <w:r w:rsidRPr="00AF6BE1">
        <w:t xml:space="preserve"> субсидий </w:t>
      </w:r>
      <w:r w:rsidR="00AF63A8" w:rsidRPr="00AF6BE1">
        <w:t>меньше</w:t>
      </w:r>
      <w:r w:rsidRPr="00AF6BE1">
        <w:t xml:space="preserve">, чем предусмотрено </w:t>
      </w:r>
      <w:r w:rsidR="00134612" w:rsidRPr="00AF6BE1">
        <w:t>на 202</w:t>
      </w:r>
      <w:r w:rsidR="00AF6BE1" w:rsidRPr="00AF6BE1">
        <w:t>5</w:t>
      </w:r>
      <w:r w:rsidR="00134612" w:rsidRPr="00AF6BE1">
        <w:t xml:space="preserve"> год </w:t>
      </w:r>
      <w:r w:rsidRPr="00AF6BE1">
        <w:t xml:space="preserve">Федеральным законом № </w:t>
      </w:r>
      <w:r w:rsidR="00AF6BE1" w:rsidRPr="00AF6BE1">
        <w:t>419</w:t>
      </w:r>
      <w:r w:rsidRPr="00AF6BE1">
        <w:t xml:space="preserve">-ФЗ </w:t>
      </w:r>
      <w:r w:rsidR="00134612" w:rsidRPr="00AF6BE1">
        <w:t>(с </w:t>
      </w:r>
      <w:r w:rsidR="00AF63A8" w:rsidRPr="00AF6BE1">
        <w:t>изменениями</w:t>
      </w:r>
      <w:r w:rsidR="00AF6BE1" w:rsidRPr="00AF6BE1">
        <w:t>)</w:t>
      </w:r>
      <w:r w:rsidRPr="00AF6BE1">
        <w:t xml:space="preserve">. </w:t>
      </w:r>
    </w:p>
    <w:p w:rsidR="00B44296" w:rsidRPr="00B44296" w:rsidRDefault="00B44296" w:rsidP="00AD023F">
      <w:pPr>
        <w:spacing w:line="360" w:lineRule="auto"/>
        <w:ind w:firstLineChars="252" w:firstLine="605"/>
        <w:jc w:val="both"/>
        <w:rPr>
          <w:szCs w:val="28"/>
        </w:rPr>
      </w:pPr>
      <w:r w:rsidRPr="00B44296">
        <w:rPr>
          <w:b/>
          <w:szCs w:val="28"/>
        </w:rPr>
        <w:t>15.1</w:t>
      </w:r>
      <w:r w:rsidR="00CC4E71">
        <w:rPr>
          <w:b/>
          <w:szCs w:val="28"/>
        </w:rPr>
        <w:t>0</w:t>
      </w:r>
      <w:r w:rsidRPr="00B44296">
        <w:rPr>
          <w:b/>
          <w:szCs w:val="28"/>
        </w:rPr>
        <w:t>.</w:t>
      </w:r>
      <w:r>
        <w:rPr>
          <w:b/>
          <w:szCs w:val="28"/>
        </w:rPr>
        <w:t>2.</w:t>
      </w:r>
      <w:r w:rsidRPr="00B44296">
        <w:rPr>
          <w:szCs w:val="28"/>
        </w:rPr>
        <w:t xml:space="preserve"> Законопроектом на 2026–2028 годы предусмотре</w:t>
      </w:r>
      <w:r w:rsidR="00F16B68">
        <w:rPr>
          <w:szCs w:val="28"/>
        </w:rPr>
        <w:t xml:space="preserve">ны бюджетные ассигнования на </w:t>
      </w:r>
      <w:r w:rsidRPr="00B44296">
        <w:rPr>
          <w:szCs w:val="28"/>
        </w:rPr>
        <w:t xml:space="preserve">предоставление </w:t>
      </w:r>
      <w:r w:rsidR="00F16B68">
        <w:rPr>
          <w:szCs w:val="28"/>
        </w:rPr>
        <w:t>3</w:t>
      </w:r>
      <w:r w:rsidRPr="00B44296">
        <w:rPr>
          <w:szCs w:val="28"/>
        </w:rPr>
        <w:t xml:space="preserve"> единых субсидий:</w:t>
      </w:r>
      <w:r w:rsidR="00F1296C">
        <w:rPr>
          <w:szCs w:val="28"/>
        </w:rPr>
        <w:t xml:space="preserve"> </w:t>
      </w:r>
      <w:r w:rsidRPr="00B44296">
        <w:rPr>
          <w:szCs w:val="28"/>
        </w:rPr>
        <w:t>на достижение показателей государственной программы Российской Федерации «Реализация государственной национальной политики» в объеме 7</w:t>
      </w:r>
      <w:r w:rsidR="00F1296C">
        <w:rPr>
          <w:szCs w:val="28"/>
        </w:rPr>
        <w:t>43,9 млн рублей ежегодно</w:t>
      </w:r>
      <w:r w:rsidRPr="00B44296">
        <w:rPr>
          <w:szCs w:val="28"/>
        </w:rPr>
        <w:t>;</w:t>
      </w:r>
      <w:r w:rsidR="00F1296C">
        <w:rPr>
          <w:szCs w:val="28"/>
        </w:rPr>
        <w:t xml:space="preserve"> </w:t>
      </w:r>
      <w:r w:rsidRPr="00B44296">
        <w:rPr>
          <w:szCs w:val="28"/>
        </w:rPr>
        <w:t>на достижение показателе</w:t>
      </w:r>
      <w:r w:rsidR="00F1296C">
        <w:rPr>
          <w:szCs w:val="28"/>
        </w:rPr>
        <w:t>й</w:t>
      </w:r>
      <w:r w:rsidRPr="00B44296">
        <w:rPr>
          <w:szCs w:val="28"/>
        </w:rPr>
        <w:t xml:space="preserve"> государственной программы Российской Федерации «Развитие туризма» в объ</w:t>
      </w:r>
      <w:r w:rsidR="00F1296C">
        <w:rPr>
          <w:szCs w:val="28"/>
        </w:rPr>
        <w:t>еме 9 000,0 млн рублей ежегодно</w:t>
      </w:r>
      <w:r w:rsidRPr="00B44296">
        <w:rPr>
          <w:szCs w:val="28"/>
        </w:rPr>
        <w:t>;</w:t>
      </w:r>
      <w:r w:rsidR="00F1296C">
        <w:rPr>
          <w:szCs w:val="28"/>
        </w:rPr>
        <w:t xml:space="preserve"> </w:t>
      </w:r>
      <w:r w:rsidR="00374CD1">
        <w:rPr>
          <w:szCs w:val="28"/>
        </w:rPr>
        <w:br/>
      </w:r>
      <w:r w:rsidRPr="00B44296">
        <w:rPr>
          <w:szCs w:val="28"/>
        </w:rPr>
        <w:t>на реализацию мероприятий индивидуальных программ социально-экономического развития субъектов Российской Федерации в объеме 10 000,0 млн</w:t>
      </w:r>
      <w:r w:rsidR="00F1296C">
        <w:rPr>
          <w:szCs w:val="28"/>
        </w:rPr>
        <w:t xml:space="preserve"> рублей ежегодно</w:t>
      </w:r>
      <w:r w:rsidRPr="00B44296">
        <w:rPr>
          <w:szCs w:val="28"/>
        </w:rPr>
        <w:t xml:space="preserve">. </w:t>
      </w:r>
    </w:p>
    <w:p w:rsidR="00B44296" w:rsidRPr="00B44296" w:rsidRDefault="00B44296" w:rsidP="00B44296">
      <w:pPr>
        <w:overflowPunct w:val="0"/>
        <w:autoSpaceDE w:val="0"/>
        <w:autoSpaceDN w:val="0"/>
        <w:adjustRightInd w:val="0"/>
        <w:spacing w:line="360" w:lineRule="auto"/>
        <w:ind w:firstLineChars="253" w:firstLine="607"/>
        <w:jc w:val="both"/>
        <w:rPr>
          <w:szCs w:val="28"/>
        </w:rPr>
      </w:pPr>
      <w:r w:rsidRPr="00B44296">
        <w:rPr>
          <w:szCs w:val="28"/>
        </w:rPr>
        <w:t>Дальнейшего «масштабирования» механизма единой субсидии на иные госпрограммы законопроектом на 2026–2028 годы не предусмотрено.</w:t>
      </w:r>
    </w:p>
    <w:p w:rsidR="00B44296" w:rsidRPr="00B44296" w:rsidRDefault="00B44296" w:rsidP="00B44296">
      <w:pPr>
        <w:overflowPunct w:val="0"/>
        <w:autoSpaceDE w:val="0"/>
        <w:autoSpaceDN w:val="0"/>
        <w:adjustRightInd w:val="0"/>
        <w:spacing w:line="360" w:lineRule="auto"/>
        <w:ind w:firstLine="709"/>
        <w:jc w:val="both"/>
        <w:textAlignment w:val="baseline"/>
        <w:rPr>
          <w:szCs w:val="28"/>
          <w:highlight w:val="yellow"/>
        </w:rPr>
      </w:pPr>
      <w:r w:rsidRPr="00F16B68">
        <w:rPr>
          <w:b/>
          <w:szCs w:val="28"/>
        </w:rPr>
        <w:t>15.1</w:t>
      </w:r>
      <w:r w:rsidR="00CC4E71">
        <w:rPr>
          <w:b/>
          <w:szCs w:val="28"/>
        </w:rPr>
        <w:t>0</w:t>
      </w:r>
      <w:r w:rsidRPr="00F16B68">
        <w:rPr>
          <w:b/>
          <w:szCs w:val="28"/>
        </w:rPr>
        <w:t>.3.</w:t>
      </w:r>
      <w:r w:rsidRPr="00F16B68">
        <w:rPr>
          <w:szCs w:val="28"/>
        </w:rPr>
        <w:t xml:space="preserve"> </w:t>
      </w:r>
      <w:r w:rsidRPr="00B44296">
        <w:rPr>
          <w:szCs w:val="28"/>
        </w:rPr>
        <w:t>Распоряжением Правительства Российской Федерации от 25 июля 2025 г. № 2006-р утверждены предельные уровни софинансирования расходного обязательства субъекта Российской Федерации, г. Байконура и федеральной территории «Сириус» из федерального бюджета на 2026 год и на плановый период 2027 и 2028 годов.</w:t>
      </w:r>
    </w:p>
    <w:p w:rsidR="00B44296" w:rsidRPr="00B44296" w:rsidRDefault="00B44296" w:rsidP="00B44296">
      <w:pPr>
        <w:overflowPunct w:val="0"/>
        <w:autoSpaceDE w:val="0"/>
        <w:autoSpaceDN w:val="0"/>
        <w:adjustRightInd w:val="0"/>
        <w:spacing w:line="360" w:lineRule="auto"/>
        <w:ind w:firstLine="709"/>
        <w:jc w:val="both"/>
        <w:textAlignment w:val="baseline"/>
        <w:rPr>
          <w:szCs w:val="28"/>
        </w:rPr>
      </w:pPr>
      <w:r w:rsidRPr="00B44296">
        <w:rPr>
          <w:szCs w:val="28"/>
        </w:rPr>
        <w:t xml:space="preserve">Предельные уровни софинансирования на 2026 и 2027 года для субъектов Российской Федерации соответствуют предельным уровням софинансирования, предусмотренным распоряжением Правительства Российской Федерации от 11 сентября 2024 г. № 2475 на плановые 2026 и 2027 годы. </w:t>
      </w:r>
    </w:p>
    <w:p w:rsidR="00B44296" w:rsidRPr="00B44296" w:rsidRDefault="00B44296" w:rsidP="00B44296">
      <w:pPr>
        <w:overflowPunct w:val="0"/>
        <w:autoSpaceDE w:val="0"/>
        <w:autoSpaceDN w:val="0"/>
        <w:adjustRightInd w:val="0"/>
        <w:spacing w:line="360" w:lineRule="auto"/>
        <w:ind w:firstLine="709"/>
        <w:jc w:val="both"/>
        <w:textAlignment w:val="baseline"/>
        <w:rPr>
          <w:szCs w:val="28"/>
          <w:highlight w:val="yellow"/>
        </w:rPr>
      </w:pPr>
      <w:r w:rsidRPr="00B44296">
        <w:rPr>
          <w:szCs w:val="28"/>
        </w:rPr>
        <w:t>Максимальный предельный уровень софинансирования расходного обязательства на 2026</w:t>
      </w:r>
      <w:r w:rsidR="00F1296C" w:rsidRPr="00B44296">
        <w:rPr>
          <w:szCs w:val="28"/>
        </w:rPr>
        <w:t>–</w:t>
      </w:r>
      <w:r w:rsidR="00F1296C">
        <w:rPr>
          <w:szCs w:val="28"/>
        </w:rPr>
        <w:t>2028 годы (99 </w:t>
      </w:r>
      <w:r w:rsidRPr="00B44296">
        <w:rPr>
          <w:szCs w:val="28"/>
        </w:rPr>
        <w:t>%) установлен 14 субъектам Российской Федерации</w:t>
      </w:r>
      <w:r w:rsidR="00F1296C">
        <w:rPr>
          <w:rStyle w:val="af7"/>
          <w:szCs w:val="28"/>
        </w:rPr>
        <w:footnoteReference w:id="9"/>
      </w:r>
      <w:r w:rsidRPr="00B44296">
        <w:rPr>
          <w:szCs w:val="28"/>
        </w:rPr>
        <w:t>.</w:t>
      </w:r>
    </w:p>
    <w:p w:rsidR="00B44296" w:rsidRPr="00B44296" w:rsidRDefault="00B44296" w:rsidP="00F02BC6">
      <w:pPr>
        <w:overflowPunct w:val="0"/>
        <w:autoSpaceDE w:val="0"/>
        <w:autoSpaceDN w:val="0"/>
        <w:adjustRightInd w:val="0"/>
        <w:spacing w:line="336" w:lineRule="auto"/>
        <w:ind w:firstLine="709"/>
        <w:jc w:val="both"/>
        <w:textAlignment w:val="baseline"/>
        <w:rPr>
          <w:szCs w:val="28"/>
          <w:highlight w:val="yellow"/>
        </w:rPr>
      </w:pPr>
      <w:r w:rsidRPr="00B44296">
        <w:rPr>
          <w:szCs w:val="28"/>
        </w:rPr>
        <w:t>Предельные уровни софинансирования менее 80</w:t>
      </w:r>
      <w:r>
        <w:rPr>
          <w:szCs w:val="28"/>
        </w:rPr>
        <w:t> </w:t>
      </w:r>
      <w:r w:rsidR="00CA62FE">
        <w:rPr>
          <w:szCs w:val="28"/>
        </w:rPr>
        <w:t>% на 2026 год установлены 30 </w:t>
      </w:r>
      <w:r w:rsidRPr="00B44296">
        <w:rPr>
          <w:szCs w:val="28"/>
        </w:rPr>
        <w:t>регионам, на 2027 год – 33 региону, в 2028 году – 35</w:t>
      </w:r>
      <w:r w:rsidR="00F1296C">
        <w:rPr>
          <w:szCs w:val="28"/>
        </w:rPr>
        <w:t xml:space="preserve"> регионам</w:t>
      </w:r>
      <w:r w:rsidRPr="00B44296">
        <w:rPr>
          <w:szCs w:val="28"/>
        </w:rPr>
        <w:t>. Минимальные предельные уровни софинансирования предусмотрены г. Москве (5</w:t>
      </w:r>
      <w:r>
        <w:rPr>
          <w:szCs w:val="28"/>
        </w:rPr>
        <w:t> </w:t>
      </w:r>
      <w:r w:rsidRPr="00B44296">
        <w:rPr>
          <w:szCs w:val="28"/>
        </w:rPr>
        <w:t xml:space="preserve">% ежегодно), Ямало-Ненецкому </w:t>
      </w:r>
      <w:r w:rsidRPr="00B44296">
        <w:rPr>
          <w:szCs w:val="28"/>
        </w:rPr>
        <w:lastRenderedPageBreak/>
        <w:t xml:space="preserve">автономному округу (на 2026 год – </w:t>
      </w:r>
      <w:r>
        <w:rPr>
          <w:szCs w:val="28"/>
        </w:rPr>
        <w:t>13</w:t>
      </w:r>
      <w:r w:rsidR="00F1296C">
        <w:rPr>
          <w:szCs w:val="28"/>
        </w:rPr>
        <w:t> %</w:t>
      </w:r>
      <w:r>
        <w:rPr>
          <w:szCs w:val="28"/>
        </w:rPr>
        <w:t>, 2027 год – 12 </w:t>
      </w:r>
      <w:r w:rsidRPr="00B44296">
        <w:rPr>
          <w:szCs w:val="28"/>
        </w:rPr>
        <w:t>%, 2028 год – 11</w:t>
      </w:r>
      <w:r>
        <w:rPr>
          <w:szCs w:val="28"/>
        </w:rPr>
        <w:t> </w:t>
      </w:r>
      <w:r w:rsidRPr="00B44296">
        <w:rPr>
          <w:szCs w:val="28"/>
        </w:rPr>
        <w:t xml:space="preserve">%), Сахалинской области (20 %, 18 %, 16 %), г. Санкт-Петербургу (32 %, 27 %, 22 %), Ханты-Мансийскому автономному округу (39 %, 35 %, 31 %), Ленинградской области (47 %, 43 %, 40 %).  </w:t>
      </w:r>
    </w:p>
    <w:p w:rsidR="00B44296" w:rsidRPr="00B44296" w:rsidRDefault="00B44296" w:rsidP="00F02BC6">
      <w:pPr>
        <w:overflowPunct w:val="0"/>
        <w:autoSpaceDE w:val="0"/>
        <w:autoSpaceDN w:val="0"/>
        <w:adjustRightInd w:val="0"/>
        <w:spacing w:line="336" w:lineRule="auto"/>
        <w:ind w:firstLineChars="253" w:firstLine="607"/>
        <w:jc w:val="both"/>
        <w:rPr>
          <w:szCs w:val="28"/>
        </w:rPr>
      </w:pPr>
      <w:r w:rsidRPr="00B44296">
        <w:rPr>
          <w:szCs w:val="28"/>
        </w:rPr>
        <w:t>Постановлением от 25 июля 2025 г. № 1107 «О внесение изменения в постановление Правительства Российской Федерации от 11 сентября 2024 г. № 1231</w:t>
      </w:r>
      <w:r w:rsidRPr="00B44296">
        <w:rPr>
          <w:szCs w:val="28"/>
          <w:vertAlign w:val="superscript"/>
        </w:rPr>
        <w:footnoteReference w:id="10"/>
      </w:r>
      <w:r w:rsidRPr="00B44296">
        <w:rPr>
          <w:szCs w:val="28"/>
        </w:rPr>
        <w:t xml:space="preserve">» предусматривается уточнение в части определения предельных уровней софинансирования на 2028 год. </w:t>
      </w:r>
    </w:p>
    <w:p w:rsidR="00B44296" w:rsidRPr="00B44296" w:rsidRDefault="00B44296" w:rsidP="00F02BC6">
      <w:pPr>
        <w:overflowPunct w:val="0"/>
        <w:autoSpaceDE w:val="0"/>
        <w:autoSpaceDN w:val="0"/>
        <w:adjustRightInd w:val="0"/>
        <w:spacing w:line="336" w:lineRule="auto"/>
        <w:ind w:firstLineChars="253" w:firstLine="607"/>
        <w:jc w:val="both"/>
        <w:rPr>
          <w:szCs w:val="28"/>
        </w:rPr>
      </w:pPr>
      <w:r w:rsidRPr="00B44296">
        <w:rPr>
          <w:szCs w:val="28"/>
        </w:rPr>
        <w:t>Так, для субъектов Российской Федерации, у которых уровень расчетной бюджетной обеспеченности субъекта Российской Федерации 2025 года снижен к уровню расчетной бюджетной обеспеченности субъекта Российской Федерации 2024 года более чем на 10</w:t>
      </w:r>
      <w:r w:rsidR="00F1296C">
        <w:rPr>
          <w:szCs w:val="28"/>
        </w:rPr>
        <w:t> %</w:t>
      </w:r>
      <w:r w:rsidR="00AF524B">
        <w:rPr>
          <w:szCs w:val="28"/>
        </w:rPr>
        <w:t>, а </w:t>
      </w:r>
      <w:r w:rsidRPr="00B44296">
        <w:rPr>
          <w:szCs w:val="28"/>
        </w:rPr>
        <w:t>также для субъектов Российской Федерации, в состав которых входят приграничные территории, прилегающие к районам проведения специальной военной операции на территории Украины, предельные уровни софинансирования на 2028 год принимаются равными предельным уровням софинансирования, утвержденным на 2027 год.</w:t>
      </w:r>
    </w:p>
    <w:p w:rsidR="00B44296" w:rsidRPr="00B44296" w:rsidRDefault="00B44296" w:rsidP="00F02BC6">
      <w:pPr>
        <w:overflowPunct w:val="0"/>
        <w:autoSpaceDE w:val="0"/>
        <w:autoSpaceDN w:val="0"/>
        <w:adjustRightInd w:val="0"/>
        <w:spacing w:line="336" w:lineRule="auto"/>
        <w:ind w:firstLine="567"/>
        <w:jc w:val="both"/>
        <w:rPr>
          <w:szCs w:val="28"/>
        </w:rPr>
      </w:pPr>
      <w:r w:rsidRPr="00B44296">
        <w:rPr>
          <w:szCs w:val="28"/>
        </w:rPr>
        <w:t xml:space="preserve">Снижение предельного уровня софинансирования </w:t>
      </w:r>
      <w:r w:rsidR="00AF524B">
        <w:rPr>
          <w:szCs w:val="28"/>
        </w:rPr>
        <w:t xml:space="preserve">на 2028 год по сравнению </w:t>
      </w:r>
      <w:r w:rsidR="00AF524B">
        <w:rPr>
          <w:szCs w:val="28"/>
        </w:rPr>
        <w:br/>
        <w:t>с 2027 </w:t>
      </w:r>
      <w:r w:rsidR="00BD5868">
        <w:rPr>
          <w:szCs w:val="28"/>
        </w:rPr>
        <w:t>годом отмечается в 42</w:t>
      </w:r>
      <w:r w:rsidRPr="00B44296">
        <w:rPr>
          <w:szCs w:val="28"/>
        </w:rPr>
        <w:t xml:space="preserve"> регион</w:t>
      </w:r>
      <w:r w:rsidR="00BD5868">
        <w:rPr>
          <w:szCs w:val="28"/>
        </w:rPr>
        <w:t>ах</w:t>
      </w:r>
      <w:r w:rsidRPr="00B44296">
        <w:rPr>
          <w:szCs w:val="28"/>
        </w:rPr>
        <w:t>, из них в Республике Карелия – на 6 процентных пункт</w:t>
      </w:r>
      <w:r w:rsidR="00F16B68">
        <w:rPr>
          <w:szCs w:val="28"/>
        </w:rPr>
        <w:t>а</w:t>
      </w:r>
      <w:r w:rsidRPr="00B44296">
        <w:rPr>
          <w:szCs w:val="28"/>
        </w:rPr>
        <w:t xml:space="preserve">, в Республике Татарстан, Волгоградской области и г. Санкт-Петербурге – </w:t>
      </w:r>
      <w:r w:rsidR="00AF524B">
        <w:rPr>
          <w:szCs w:val="28"/>
        </w:rPr>
        <w:br/>
      </w:r>
      <w:r w:rsidRPr="00B44296">
        <w:rPr>
          <w:szCs w:val="28"/>
        </w:rPr>
        <w:t>на 5 процентных пункт</w:t>
      </w:r>
      <w:r w:rsidR="00F16B68">
        <w:rPr>
          <w:szCs w:val="28"/>
        </w:rPr>
        <w:t>а</w:t>
      </w:r>
      <w:r w:rsidRPr="00B44296">
        <w:rPr>
          <w:szCs w:val="28"/>
        </w:rPr>
        <w:t>, Свер</w:t>
      </w:r>
      <w:r>
        <w:rPr>
          <w:szCs w:val="28"/>
        </w:rPr>
        <w:t>д</w:t>
      </w:r>
      <w:r w:rsidRPr="00B44296">
        <w:rPr>
          <w:szCs w:val="28"/>
        </w:rPr>
        <w:t>ловской области и Ханты-Манс</w:t>
      </w:r>
      <w:r>
        <w:rPr>
          <w:szCs w:val="28"/>
        </w:rPr>
        <w:t>и</w:t>
      </w:r>
      <w:r w:rsidRPr="00B44296">
        <w:rPr>
          <w:szCs w:val="28"/>
        </w:rPr>
        <w:t xml:space="preserve">йском автономном округе </w:t>
      </w:r>
      <w:r w:rsidR="00F16B68" w:rsidRPr="00B44296">
        <w:rPr>
          <w:szCs w:val="28"/>
        </w:rPr>
        <w:t>–</w:t>
      </w:r>
      <w:r w:rsidRPr="00B44296">
        <w:rPr>
          <w:szCs w:val="28"/>
        </w:rPr>
        <w:t xml:space="preserve"> на 4 процентных пункта.</w:t>
      </w:r>
    </w:p>
    <w:p w:rsidR="00CA62FE" w:rsidRPr="00F16B68" w:rsidRDefault="00F1296C" w:rsidP="00F02BC6">
      <w:pPr>
        <w:overflowPunct w:val="0"/>
        <w:autoSpaceDE w:val="0"/>
        <w:autoSpaceDN w:val="0"/>
        <w:adjustRightInd w:val="0"/>
        <w:spacing w:line="336" w:lineRule="auto"/>
        <w:ind w:firstLine="567"/>
        <w:jc w:val="both"/>
        <w:textAlignment w:val="baseline"/>
        <w:rPr>
          <w:szCs w:val="28"/>
        </w:rPr>
      </w:pPr>
      <w:r>
        <w:rPr>
          <w:szCs w:val="28"/>
        </w:rPr>
        <w:t>В 2026 и 2027 годах</w:t>
      </w:r>
      <w:r w:rsidR="00B44296" w:rsidRPr="00B44296">
        <w:rPr>
          <w:szCs w:val="28"/>
        </w:rPr>
        <w:t xml:space="preserve"> планируется предоставлять субсидии бюджетам субъектов Российской Федерации в рамках 30 </w:t>
      </w:r>
      <w:r w:rsidR="00CA62FE">
        <w:rPr>
          <w:szCs w:val="28"/>
        </w:rPr>
        <w:t>госпрограмм</w:t>
      </w:r>
      <w:r w:rsidR="00B44296" w:rsidRPr="00B44296">
        <w:rPr>
          <w:szCs w:val="28"/>
        </w:rPr>
        <w:t>, в 2028 году – в рамках 29 госпрограммы.</w:t>
      </w:r>
      <w:r w:rsidR="00CA62FE" w:rsidRPr="00CA62FE">
        <w:rPr>
          <w:color w:val="FF0000"/>
        </w:rPr>
        <w:t xml:space="preserve"> </w:t>
      </w:r>
      <w:r w:rsidR="00CA62FE" w:rsidRPr="00F16B68">
        <w:rPr>
          <w:szCs w:val="28"/>
        </w:rPr>
        <w:t>Наибольший объем суб</w:t>
      </w:r>
      <w:r w:rsidR="00F16B68" w:rsidRPr="00F16B68">
        <w:rPr>
          <w:szCs w:val="28"/>
        </w:rPr>
        <w:t>сидий (37</w:t>
      </w:r>
      <w:r w:rsidR="00AF524B" w:rsidRPr="00143121">
        <w:t>–</w:t>
      </w:r>
      <w:r w:rsidR="00F16B68" w:rsidRPr="00F16B68">
        <w:rPr>
          <w:szCs w:val="28"/>
        </w:rPr>
        <w:t>38 %) приходится на госпрограммы</w:t>
      </w:r>
      <w:r w:rsidR="00CA62FE" w:rsidRPr="00F16B68">
        <w:rPr>
          <w:szCs w:val="28"/>
        </w:rPr>
        <w:t xml:space="preserve"> «Развитие транспортной системы»</w:t>
      </w:r>
      <w:r w:rsidR="00F16B68" w:rsidRPr="00F16B68">
        <w:rPr>
          <w:szCs w:val="28"/>
        </w:rPr>
        <w:t xml:space="preserve"> и «Развитие образования»</w:t>
      </w:r>
      <w:r w:rsidR="00CA62FE" w:rsidRPr="00F16B68">
        <w:rPr>
          <w:szCs w:val="28"/>
        </w:rPr>
        <w:t>.</w:t>
      </w:r>
    </w:p>
    <w:p w:rsidR="00B44296" w:rsidRPr="00B44296" w:rsidRDefault="00CA62FE" w:rsidP="00F02BC6">
      <w:pPr>
        <w:overflowPunct w:val="0"/>
        <w:autoSpaceDE w:val="0"/>
        <w:autoSpaceDN w:val="0"/>
        <w:adjustRightInd w:val="0"/>
        <w:spacing w:line="336" w:lineRule="auto"/>
        <w:ind w:firstLine="567"/>
        <w:jc w:val="both"/>
        <w:textAlignment w:val="baseline"/>
        <w:rPr>
          <w:szCs w:val="28"/>
        </w:rPr>
      </w:pPr>
      <w:r w:rsidRPr="00941111">
        <w:rPr>
          <w:szCs w:val="28"/>
        </w:rPr>
        <w:t>В 202</w:t>
      </w:r>
      <w:r w:rsidR="00941111">
        <w:rPr>
          <w:szCs w:val="28"/>
        </w:rPr>
        <w:t>6</w:t>
      </w:r>
      <w:r w:rsidRPr="00941111">
        <w:rPr>
          <w:szCs w:val="28"/>
        </w:rPr>
        <w:t>–202</w:t>
      </w:r>
      <w:r w:rsidR="00941111">
        <w:rPr>
          <w:szCs w:val="28"/>
        </w:rPr>
        <w:t>8</w:t>
      </w:r>
      <w:r w:rsidRPr="00941111">
        <w:rPr>
          <w:szCs w:val="28"/>
        </w:rPr>
        <w:t xml:space="preserve"> годах предоставление межбюджетных субсидий предусмотрено </w:t>
      </w:r>
      <w:r w:rsidR="00374CD1">
        <w:rPr>
          <w:szCs w:val="28"/>
        </w:rPr>
        <w:br/>
      </w:r>
      <w:r w:rsidRPr="00941111">
        <w:rPr>
          <w:szCs w:val="28"/>
        </w:rPr>
        <w:t>по 10</w:t>
      </w:r>
      <w:r w:rsidR="00AF524B">
        <w:rPr>
          <w:szCs w:val="28"/>
        </w:rPr>
        <w:t xml:space="preserve"> </w:t>
      </w:r>
      <w:r w:rsidRPr="00941111">
        <w:rPr>
          <w:szCs w:val="28"/>
        </w:rPr>
        <w:t>разделам.</w:t>
      </w:r>
      <w:r w:rsidRPr="00CA62FE">
        <w:rPr>
          <w:szCs w:val="28"/>
        </w:rPr>
        <w:t xml:space="preserve"> </w:t>
      </w:r>
      <w:r w:rsidR="00B44296" w:rsidRPr="00B44296">
        <w:rPr>
          <w:szCs w:val="28"/>
        </w:rPr>
        <w:t xml:space="preserve">Наибольший объем субсидий предусмотрен в 2026 году по разделу 04 Национальная экономика» </w:t>
      </w:r>
      <w:r w:rsidR="00580B52" w:rsidRPr="00B44296">
        <w:rPr>
          <w:szCs w:val="28"/>
        </w:rPr>
        <w:t>–</w:t>
      </w:r>
      <w:r>
        <w:rPr>
          <w:szCs w:val="28"/>
        </w:rPr>
        <w:t xml:space="preserve"> 70</w:t>
      </w:r>
      <w:r w:rsidR="00941111">
        <w:rPr>
          <w:szCs w:val="28"/>
        </w:rPr>
        <w:t>6</w:t>
      </w:r>
      <w:r>
        <w:rPr>
          <w:szCs w:val="28"/>
        </w:rPr>
        <w:t> </w:t>
      </w:r>
      <w:r w:rsidR="00941111">
        <w:rPr>
          <w:szCs w:val="28"/>
        </w:rPr>
        <w:t>836</w:t>
      </w:r>
      <w:r>
        <w:rPr>
          <w:szCs w:val="28"/>
        </w:rPr>
        <w:t>,2 млн рублей, или 43,7 </w:t>
      </w:r>
      <w:r w:rsidR="00B44296" w:rsidRPr="00B44296">
        <w:rPr>
          <w:szCs w:val="28"/>
        </w:rPr>
        <w:t>% объема субсидий, в 2027 году – 8</w:t>
      </w:r>
      <w:r w:rsidR="00941111">
        <w:rPr>
          <w:szCs w:val="28"/>
        </w:rPr>
        <w:t>20</w:t>
      </w:r>
      <w:r w:rsidR="00B44296" w:rsidRPr="00B44296">
        <w:rPr>
          <w:szCs w:val="28"/>
        </w:rPr>
        <w:t> </w:t>
      </w:r>
      <w:r w:rsidR="00941111">
        <w:rPr>
          <w:szCs w:val="28"/>
        </w:rPr>
        <w:t>621</w:t>
      </w:r>
      <w:r w:rsidR="00B44296" w:rsidRPr="00B44296">
        <w:rPr>
          <w:szCs w:val="28"/>
        </w:rPr>
        <w:t>,9 млн рублей, или 4</w:t>
      </w:r>
      <w:r w:rsidR="00941111">
        <w:rPr>
          <w:szCs w:val="28"/>
        </w:rPr>
        <w:t>4</w:t>
      </w:r>
      <w:r w:rsidR="00B44296" w:rsidRPr="00B44296">
        <w:rPr>
          <w:szCs w:val="28"/>
        </w:rPr>
        <w:t>,</w:t>
      </w:r>
      <w:r w:rsidR="00374CD1">
        <w:rPr>
          <w:szCs w:val="28"/>
        </w:rPr>
        <w:t>7 </w:t>
      </w:r>
      <w:r w:rsidR="00941111">
        <w:rPr>
          <w:szCs w:val="28"/>
        </w:rPr>
        <w:t>%, в 2028 году – 860</w:t>
      </w:r>
      <w:r w:rsidR="00B44296" w:rsidRPr="00B44296">
        <w:rPr>
          <w:szCs w:val="28"/>
        </w:rPr>
        <w:t> 0</w:t>
      </w:r>
      <w:r w:rsidR="00941111">
        <w:rPr>
          <w:szCs w:val="28"/>
        </w:rPr>
        <w:t>82</w:t>
      </w:r>
      <w:r w:rsidR="00B44296" w:rsidRPr="00B44296">
        <w:rPr>
          <w:szCs w:val="28"/>
        </w:rPr>
        <w:t>,</w:t>
      </w:r>
      <w:r w:rsidR="00941111">
        <w:rPr>
          <w:szCs w:val="28"/>
        </w:rPr>
        <w:t>5</w:t>
      </w:r>
      <w:r w:rsidR="00B44296" w:rsidRPr="00B44296">
        <w:rPr>
          <w:szCs w:val="28"/>
        </w:rPr>
        <w:t> млн рублей, или 40,</w:t>
      </w:r>
      <w:r w:rsidR="00941111">
        <w:rPr>
          <w:szCs w:val="28"/>
        </w:rPr>
        <w:t>8</w:t>
      </w:r>
      <w:r w:rsidR="00374CD1">
        <w:rPr>
          <w:szCs w:val="28"/>
        </w:rPr>
        <w:t> </w:t>
      </w:r>
      <w:r w:rsidR="00B44296" w:rsidRPr="00B44296">
        <w:rPr>
          <w:szCs w:val="28"/>
        </w:rPr>
        <w:t>%.</w:t>
      </w:r>
    </w:p>
    <w:p w:rsidR="00A87E55" w:rsidRPr="000D4470" w:rsidRDefault="008558B4" w:rsidP="00F02BC6">
      <w:pPr>
        <w:tabs>
          <w:tab w:val="left" w:pos="540"/>
        </w:tabs>
        <w:autoSpaceDE w:val="0"/>
        <w:autoSpaceDN w:val="0"/>
        <w:adjustRightInd w:val="0"/>
        <w:spacing w:line="336" w:lineRule="auto"/>
        <w:ind w:firstLine="720"/>
        <w:jc w:val="both"/>
      </w:pPr>
      <w:r w:rsidRPr="000D4470">
        <w:rPr>
          <w:b/>
        </w:rPr>
        <w:t>15</w:t>
      </w:r>
      <w:r w:rsidR="00F763AF" w:rsidRPr="000D4470">
        <w:rPr>
          <w:b/>
        </w:rPr>
        <w:t>.1</w:t>
      </w:r>
      <w:r w:rsidR="00CC4E71">
        <w:rPr>
          <w:b/>
        </w:rPr>
        <w:t>1</w:t>
      </w:r>
      <w:r w:rsidR="00D161E1" w:rsidRPr="000D4470">
        <w:rPr>
          <w:b/>
        </w:rPr>
        <w:t>.</w:t>
      </w:r>
      <w:r w:rsidR="00D161E1" w:rsidRPr="000D4470">
        <w:t xml:space="preserve"> </w:t>
      </w:r>
      <w:r w:rsidR="003457FF" w:rsidRPr="000D4470">
        <w:t>Информация о</w:t>
      </w:r>
      <w:r w:rsidR="00A87E55" w:rsidRPr="000D4470">
        <w:t xml:space="preserve"> предоставлени</w:t>
      </w:r>
      <w:r w:rsidR="003457FF" w:rsidRPr="000D4470">
        <w:t>и</w:t>
      </w:r>
      <w:r w:rsidR="00A87E55" w:rsidRPr="000D4470">
        <w:t xml:space="preserve"> </w:t>
      </w:r>
      <w:r w:rsidR="00A87E55" w:rsidRPr="000D4470">
        <w:rPr>
          <w:b/>
        </w:rPr>
        <w:t>субвенций бюджетам субъектов</w:t>
      </w:r>
      <w:r w:rsidR="00A87E55" w:rsidRPr="000D4470">
        <w:t xml:space="preserve"> Российской Федерации в 202</w:t>
      </w:r>
      <w:r w:rsidR="003D4500" w:rsidRPr="003D4500">
        <w:t>5</w:t>
      </w:r>
      <w:r w:rsidR="00A53058" w:rsidRPr="000D4470">
        <w:t>–</w:t>
      </w:r>
      <w:r w:rsidR="00A87E55" w:rsidRPr="000D4470">
        <w:t>202</w:t>
      </w:r>
      <w:r w:rsidR="000D4470" w:rsidRPr="000D4470">
        <w:t>8</w:t>
      </w:r>
      <w:r w:rsidR="00A87E55" w:rsidRPr="000D4470">
        <w:t xml:space="preserve"> годах представлена </w:t>
      </w:r>
      <w:r w:rsidR="002242BD" w:rsidRPr="000D4470">
        <w:t>в</w:t>
      </w:r>
      <w:r w:rsidR="00A87E55" w:rsidRPr="000D4470">
        <w:t xml:space="preserve"> следующей </w:t>
      </w:r>
      <w:r w:rsidR="002242BD" w:rsidRPr="000D4470">
        <w:t>таблице</w:t>
      </w:r>
      <w:r w:rsidR="00A87E55" w:rsidRPr="000D4470">
        <w:t>.</w:t>
      </w:r>
    </w:p>
    <w:p w:rsidR="005766CE" w:rsidRPr="000D4470" w:rsidRDefault="005766CE" w:rsidP="00FE5421">
      <w:pPr>
        <w:widowControl w:val="0"/>
        <w:autoSpaceDE w:val="0"/>
        <w:autoSpaceDN w:val="0"/>
        <w:adjustRightInd w:val="0"/>
        <w:spacing w:line="360" w:lineRule="auto"/>
        <w:ind w:left="7791"/>
        <w:jc w:val="both"/>
        <w:rPr>
          <w:sz w:val="20"/>
        </w:rPr>
      </w:pPr>
      <w:r w:rsidRPr="000D4470">
        <w:rPr>
          <w:sz w:val="20"/>
        </w:rPr>
        <w:t xml:space="preserve">           (млн рублей)</w:t>
      </w:r>
    </w:p>
    <w:tbl>
      <w:tblPr>
        <w:tblStyle w:val="af4"/>
        <w:tblW w:w="9606" w:type="dxa"/>
        <w:tblLook w:val="04A0" w:firstRow="1" w:lastRow="0" w:firstColumn="1" w:lastColumn="0" w:noHBand="0" w:noVBand="1"/>
      </w:tblPr>
      <w:tblGrid>
        <w:gridCol w:w="4219"/>
        <w:gridCol w:w="1418"/>
        <w:gridCol w:w="1275"/>
        <w:gridCol w:w="1347"/>
        <w:gridCol w:w="1347"/>
      </w:tblGrid>
      <w:tr w:rsidR="003D4500" w:rsidRPr="000D4470" w:rsidTr="003D4500">
        <w:trPr>
          <w:trHeight w:val="227"/>
          <w:tblHeader/>
        </w:trPr>
        <w:tc>
          <w:tcPr>
            <w:tcW w:w="4219" w:type="dxa"/>
          </w:tcPr>
          <w:p w:rsidR="003D4500" w:rsidRPr="000D4470" w:rsidRDefault="003D4500" w:rsidP="000D4470">
            <w:pPr>
              <w:jc w:val="center"/>
              <w:rPr>
                <w:b/>
                <w:spacing w:val="-4"/>
                <w:sz w:val="16"/>
                <w:szCs w:val="18"/>
              </w:rPr>
            </w:pPr>
            <w:r w:rsidRPr="000D4470">
              <w:rPr>
                <w:b/>
                <w:sz w:val="16"/>
                <w:szCs w:val="16"/>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500" w:rsidRPr="000D4470" w:rsidRDefault="003D4500" w:rsidP="000D4470">
            <w:pPr>
              <w:jc w:val="center"/>
              <w:rPr>
                <w:b/>
                <w:bCs/>
                <w:sz w:val="16"/>
                <w:szCs w:val="18"/>
              </w:rPr>
            </w:pPr>
            <w:r w:rsidRPr="000D4470">
              <w:rPr>
                <w:b/>
                <w:bCs/>
                <w:sz w:val="16"/>
                <w:szCs w:val="18"/>
              </w:rPr>
              <w:t>2025 год</w:t>
            </w:r>
          </w:p>
          <w:p w:rsidR="003D4500" w:rsidRPr="000D4470" w:rsidRDefault="003D4500" w:rsidP="000D4470">
            <w:pPr>
              <w:spacing w:before="20"/>
              <w:jc w:val="center"/>
              <w:rPr>
                <w:spacing w:val="-4"/>
                <w:sz w:val="16"/>
                <w:szCs w:val="18"/>
              </w:rPr>
            </w:pPr>
            <w:r w:rsidRPr="000D4470">
              <w:rPr>
                <w:bCs/>
                <w:sz w:val="16"/>
                <w:szCs w:val="18"/>
              </w:rPr>
              <w:t>(сводная роспись на 01.09.2025)</w:t>
            </w:r>
          </w:p>
        </w:tc>
        <w:tc>
          <w:tcPr>
            <w:tcW w:w="1275" w:type="dxa"/>
            <w:tcBorders>
              <w:top w:val="single" w:sz="4" w:space="0" w:color="auto"/>
              <w:left w:val="nil"/>
              <w:bottom w:val="single" w:sz="4" w:space="0" w:color="auto"/>
              <w:right w:val="single" w:sz="4" w:space="0" w:color="auto"/>
            </w:tcBorders>
            <w:shd w:val="clear" w:color="auto" w:fill="auto"/>
          </w:tcPr>
          <w:p w:rsidR="003D4500" w:rsidRPr="000D4470" w:rsidRDefault="003D4500" w:rsidP="000D4470">
            <w:pPr>
              <w:ind w:left="-168" w:right="-108"/>
              <w:jc w:val="center"/>
              <w:rPr>
                <w:b/>
                <w:bCs/>
                <w:sz w:val="16"/>
                <w:szCs w:val="18"/>
              </w:rPr>
            </w:pPr>
            <w:r w:rsidRPr="000D4470">
              <w:rPr>
                <w:b/>
                <w:bCs/>
                <w:sz w:val="16"/>
                <w:szCs w:val="18"/>
              </w:rPr>
              <w:t>2026 год</w:t>
            </w:r>
          </w:p>
          <w:p w:rsidR="003D4500" w:rsidRPr="000D4470" w:rsidRDefault="003D4500" w:rsidP="000D4470">
            <w:pPr>
              <w:spacing w:before="20"/>
              <w:jc w:val="center"/>
              <w:rPr>
                <w:spacing w:val="-4"/>
                <w:sz w:val="16"/>
                <w:szCs w:val="18"/>
              </w:rPr>
            </w:pPr>
            <w:r w:rsidRPr="000D4470">
              <w:rPr>
                <w:bCs/>
                <w:sz w:val="16"/>
                <w:szCs w:val="18"/>
              </w:rPr>
              <w:t>(прогноз)</w:t>
            </w:r>
          </w:p>
        </w:tc>
        <w:tc>
          <w:tcPr>
            <w:tcW w:w="1347" w:type="dxa"/>
            <w:tcBorders>
              <w:top w:val="single" w:sz="4" w:space="0" w:color="auto"/>
              <w:left w:val="nil"/>
              <w:bottom w:val="single" w:sz="4" w:space="0" w:color="auto"/>
              <w:right w:val="single" w:sz="4" w:space="0" w:color="auto"/>
            </w:tcBorders>
            <w:shd w:val="clear" w:color="auto" w:fill="auto"/>
          </w:tcPr>
          <w:p w:rsidR="003D4500" w:rsidRPr="000D4470" w:rsidRDefault="003D4500" w:rsidP="000D4470">
            <w:pPr>
              <w:ind w:left="-57" w:right="-57"/>
              <w:jc w:val="center"/>
              <w:rPr>
                <w:b/>
                <w:bCs/>
                <w:sz w:val="16"/>
                <w:szCs w:val="18"/>
              </w:rPr>
            </w:pPr>
            <w:r w:rsidRPr="000D4470">
              <w:rPr>
                <w:b/>
                <w:bCs/>
                <w:sz w:val="16"/>
                <w:szCs w:val="18"/>
              </w:rPr>
              <w:t>2027 год</w:t>
            </w:r>
          </w:p>
          <w:p w:rsidR="003D4500" w:rsidRPr="000D4470" w:rsidRDefault="003D4500" w:rsidP="000D4470">
            <w:pPr>
              <w:spacing w:before="20"/>
              <w:jc w:val="center"/>
              <w:rPr>
                <w:spacing w:val="-4"/>
                <w:sz w:val="22"/>
                <w:szCs w:val="18"/>
              </w:rPr>
            </w:pPr>
            <w:r w:rsidRPr="000D4470">
              <w:rPr>
                <w:bCs/>
                <w:sz w:val="16"/>
                <w:szCs w:val="18"/>
              </w:rPr>
              <w:t>(прогноз)</w:t>
            </w:r>
          </w:p>
        </w:tc>
        <w:tc>
          <w:tcPr>
            <w:tcW w:w="1347" w:type="dxa"/>
            <w:tcBorders>
              <w:top w:val="single" w:sz="4" w:space="0" w:color="auto"/>
              <w:left w:val="nil"/>
              <w:bottom w:val="single" w:sz="4" w:space="0" w:color="auto"/>
              <w:right w:val="single" w:sz="4" w:space="0" w:color="auto"/>
            </w:tcBorders>
            <w:shd w:val="clear" w:color="auto" w:fill="auto"/>
          </w:tcPr>
          <w:p w:rsidR="003D4500" w:rsidRPr="000D4470" w:rsidRDefault="003D4500" w:rsidP="000D4470">
            <w:pPr>
              <w:ind w:left="-131" w:right="-108"/>
              <w:jc w:val="center"/>
              <w:rPr>
                <w:b/>
                <w:bCs/>
                <w:sz w:val="16"/>
                <w:szCs w:val="18"/>
              </w:rPr>
            </w:pPr>
            <w:r w:rsidRPr="000D4470">
              <w:rPr>
                <w:b/>
                <w:bCs/>
                <w:sz w:val="16"/>
                <w:szCs w:val="18"/>
              </w:rPr>
              <w:t>2028 год</w:t>
            </w:r>
          </w:p>
          <w:p w:rsidR="003D4500" w:rsidRPr="000D4470" w:rsidRDefault="003D4500" w:rsidP="000D4470">
            <w:pPr>
              <w:spacing w:before="20"/>
              <w:jc w:val="center"/>
              <w:rPr>
                <w:spacing w:val="-4"/>
                <w:sz w:val="22"/>
                <w:szCs w:val="18"/>
              </w:rPr>
            </w:pPr>
            <w:r w:rsidRPr="000D4470">
              <w:rPr>
                <w:bCs/>
                <w:sz w:val="16"/>
                <w:szCs w:val="18"/>
              </w:rPr>
              <w:t>(прогноз)</w:t>
            </w:r>
          </w:p>
        </w:tc>
      </w:tr>
      <w:tr w:rsidR="003D4500" w:rsidRPr="00143121" w:rsidTr="003D4500">
        <w:trPr>
          <w:trHeight w:val="340"/>
        </w:trPr>
        <w:tc>
          <w:tcPr>
            <w:tcW w:w="4219" w:type="dxa"/>
            <w:vAlign w:val="center"/>
          </w:tcPr>
          <w:p w:rsidR="003D4500" w:rsidRPr="000D4470" w:rsidRDefault="003D4500" w:rsidP="00CA62FE">
            <w:pPr>
              <w:rPr>
                <w:b/>
                <w:spacing w:val="-4"/>
                <w:sz w:val="18"/>
                <w:szCs w:val="16"/>
              </w:rPr>
            </w:pPr>
            <w:r w:rsidRPr="000D4470">
              <w:rPr>
                <w:b/>
                <w:bCs/>
                <w:spacing w:val="-4"/>
                <w:sz w:val="18"/>
                <w:szCs w:val="16"/>
              </w:rPr>
              <w:t>Субвенции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pacing w:val="-4"/>
                <w:sz w:val="16"/>
                <w:szCs w:val="16"/>
              </w:rPr>
            </w:pPr>
            <w:r w:rsidRPr="00CA62FE">
              <w:rPr>
                <w:b/>
                <w:bCs/>
                <w:sz w:val="16"/>
                <w:szCs w:val="16"/>
              </w:rPr>
              <w:t>339 814,0</w:t>
            </w:r>
          </w:p>
        </w:tc>
        <w:tc>
          <w:tcPr>
            <w:tcW w:w="1275"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pacing w:val="-4"/>
                <w:sz w:val="16"/>
                <w:szCs w:val="16"/>
              </w:rPr>
            </w:pPr>
            <w:r w:rsidRPr="00CA62FE">
              <w:rPr>
                <w:b/>
                <w:bCs/>
                <w:sz w:val="16"/>
                <w:szCs w:val="16"/>
              </w:rPr>
              <w:t>389 981,1</w:t>
            </w:r>
          </w:p>
        </w:tc>
        <w:tc>
          <w:tcPr>
            <w:tcW w:w="1347"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pacing w:val="-4"/>
                <w:sz w:val="16"/>
                <w:szCs w:val="16"/>
              </w:rPr>
            </w:pPr>
            <w:r w:rsidRPr="00CA62FE">
              <w:rPr>
                <w:b/>
                <w:bCs/>
                <w:sz w:val="16"/>
                <w:szCs w:val="16"/>
              </w:rPr>
              <w:t>406 140,1</w:t>
            </w:r>
          </w:p>
        </w:tc>
        <w:tc>
          <w:tcPr>
            <w:tcW w:w="1347"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z w:val="16"/>
                <w:szCs w:val="16"/>
              </w:rPr>
            </w:pPr>
            <w:r w:rsidRPr="00CA62FE">
              <w:rPr>
                <w:b/>
                <w:bCs/>
                <w:sz w:val="16"/>
                <w:szCs w:val="16"/>
              </w:rPr>
              <w:t>423 869,9</w:t>
            </w:r>
          </w:p>
        </w:tc>
      </w:tr>
      <w:tr w:rsidR="003D4500" w:rsidRPr="00143121" w:rsidTr="003D4500">
        <w:trPr>
          <w:trHeight w:val="227"/>
        </w:trPr>
        <w:tc>
          <w:tcPr>
            <w:tcW w:w="4219" w:type="dxa"/>
            <w:vAlign w:val="center"/>
          </w:tcPr>
          <w:p w:rsidR="003D4500" w:rsidRPr="00D833F3" w:rsidRDefault="003D4500" w:rsidP="00CA62FE">
            <w:pPr>
              <w:ind w:left="113"/>
              <w:rPr>
                <w:i/>
                <w:spacing w:val="-4"/>
                <w:sz w:val="16"/>
                <w:szCs w:val="18"/>
              </w:rPr>
            </w:pPr>
            <w:r w:rsidRPr="00D833F3">
              <w:rPr>
                <w:i/>
                <w:spacing w:val="-4"/>
                <w:sz w:val="16"/>
                <w:szCs w:val="18"/>
              </w:rPr>
              <w:t>отклонение от предыдущего года</w:t>
            </w:r>
          </w:p>
        </w:tc>
        <w:tc>
          <w:tcPr>
            <w:tcW w:w="1418"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39 109,6</w:t>
            </w:r>
          </w:p>
        </w:tc>
        <w:tc>
          <w:tcPr>
            <w:tcW w:w="1275"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50 167,1</w:t>
            </w:r>
          </w:p>
        </w:tc>
        <w:tc>
          <w:tcPr>
            <w:tcW w:w="1347"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16 159,1</w:t>
            </w:r>
          </w:p>
        </w:tc>
        <w:tc>
          <w:tcPr>
            <w:tcW w:w="1347"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17 729,8</w:t>
            </w:r>
          </w:p>
        </w:tc>
      </w:tr>
      <w:tr w:rsidR="003D4500" w:rsidRPr="00143121" w:rsidTr="003D4500">
        <w:trPr>
          <w:trHeight w:val="227"/>
        </w:trPr>
        <w:tc>
          <w:tcPr>
            <w:tcW w:w="4219" w:type="dxa"/>
            <w:tcBorders>
              <w:bottom w:val="single" w:sz="4" w:space="0" w:color="auto"/>
            </w:tcBorders>
            <w:vAlign w:val="center"/>
          </w:tcPr>
          <w:p w:rsidR="003D4500" w:rsidRPr="00D833F3" w:rsidRDefault="003D4500" w:rsidP="00CA62FE">
            <w:pPr>
              <w:ind w:left="113"/>
              <w:rPr>
                <w:i/>
                <w:spacing w:val="-4"/>
                <w:sz w:val="14"/>
                <w:szCs w:val="18"/>
              </w:rPr>
            </w:pPr>
            <w:r w:rsidRPr="00D833F3">
              <w:rPr>
                <w:i/>
                <w:iCs/>
                <w:sz w:val="16"/>
                <w:szCs w:val="16"/>
              </w:rPr>
              <w:t>в % к предыдущему году</w:t>
            </w:r>
          </w:p>
        </w:tc>
        <w:tc>
          <w:tcPr>
            <w:tcW w:w="1418"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113,0</w:t>
            </w:r>
          </w:p>
        </w:tc>
        <w:tc>
          <w:tcPr>
            <w:tcW w:w="1275"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114,8</w:t>
            </w:r>
          </w:p>
        </w:tc>
        <w:tc>
          <w:tcPr>
            <w:tcW w:w="1347"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104,1</w:t>
            </w:r>
          </w:p>
        </w:tc>
        <w:tc>
          <w:tcPr>
            <w:tcW w:w="1347" w:type="dxa"/>
            <w:tcBorders>
              <w:top w:val="nil"/>
              <w:left w:val="nil"/>
              <w:bottom w:val="single" w:sz="4" w:space="0" w:color="auto"/>
              <w:right w:val="single" w:sz="4" w:space="0" w:color="auto"/>
            </w:tcBorders>
            <w:shd w:val="clear" w:color="auto" w:fill="auto"/>
            <w:vAlign w:val="center"/>
          </w:tcPr>
          <w:p w:rsidR="003D4500" w:rsidRPr="00CA62FE" w:rsidRDefault="003D4500" w:rsidP="00CA62FE">
            <w:pPr>
              <w:jc w:val="center"/>
              <w:rPr>
                <w:spacing w:val="-4"/>
                <w:sz w:val="16"/>
                <w:szCs w:val="16"/>
              </w:rPr>
            </w:pPr>
            <w:r w:rsidRPr="00CA62FE">
              <w:rPr>
                <w:i/>
                <w:iCs/>
                <w:sz w:val="16"/>
                <w:szCs w:val="16"/>
              </w:rPr>
              <w:t>104,4</w:t>
            </w:r>
          </w:p>
        </w:tc>
      </w:tr>
      <w:tr w:rsidR="003D4500" w:rsidRPr="00143121" w:rsidTr="003D4500">
        <w:trPr>
          <w:trHeight w:val="283"/>
        </w:trPr>
        <w:tc>
          <w:tcPr>
            <w:tcW w:w="4219" w:type="dxa"/>
            <w:tcBorders>
              <w:top w:val="single" w:sz="4" w:space="0" w:color="auto"/>
            </w:tcBorders>
            <w:vAlign w:val="center"/>
          </w:tcPr>
          <w:p w:rsidR="003D4500" w:rsidRPr="000D4470" w:rsidRDefault="003D4500" w:rsidP="00CA62FE">
            <w:pPr>
              <w:ind w:left="113"/>
              <w:rPr>
                <w:iCs/>
                <w:sz w:val="16"/>
                <w:szCs w:val="16"/>
              </w:rPr>
            </w:pPr>
            <w:r>
              <w:rPr>
                <w:iCs/>
                <w:sz w:val="16"/>
                <w:szCs w:val="16"/>
              </w:rPr>
              <w:t>Количество субвенций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36</w:t>
            </w:r>
          </w:p>
        </w:tc>
        <w:tc>
          <w:tcPr>
            <w:tcW w:w="1275"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34</w:t>
            </w:r>
          </w:p>
        </w:tc>
        <w:tc>
          <w:tcPr>
            <w:tcW w:w="1347"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33</w:t>
            </w:r>
          </w:p>
        </w:tc>
        <w:tc>
          <w:tcPr>
            <w:tcW w:w="1347"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33</w:t>
            </w:r>
          </w:p>
        </w:tc>
      </w:tr>
    </w:tbl>
    <w:p w:rsidR="00CA62FE" w:rsidRPr="00CA62FE" w:rsidRDefault="00CA62FE" w:rsidP="00941111">
      <w:pPr>
        <w:overflowPunct w:val="0"/>
        <w:autoSpaceDE w:val="0"/>
        <w:autoSpaceDN w:val="0"/>
        <w:adjustRightInd w:val="0"/>
        <w:spacing w:before="120" w:line="360" w:lineRule="auto"/>
        <w:ind w:firstLine="709"/>
        <w:jc w:val="both"/>
        <w:textAlignment w:val="baseline"/>
        <w:rPr>
          <w:szCs w:val="28"/>
        </w:rPr>
      </w:pPr>
      <w:r w:rsidRPr="00CA62FE">
        <w:rPr>
          <w:szCs w:val="28"/>
        </w:rPr>
        <w:lastRenderedPageBreak/>
        <w:t>По сравнению с показателями планового периода 2026</w:t>
      </w:r>
      <w:r w:rsidR="00580B52">
        <w:rPr>
          <w:szCs w:val="28"/>
        </w:rPr>
        <w:t xml:space="preserve"> и </w:t>
      </w:r>
      <w:r w:rsidRPr="00CA62FE">
        <w:rPr>
          <w:szCs w:val="28"/>
        </w:rPr>
        <w:t>2027 годов Федерального закона № 419-ФЗ предусмотренный законопроектом объем субвенций в 2026 году</w:t>
      </w:r>
      <w:r w:rsidRPr="00CA62FE">
        <w:rPr>
          <w:b/>
          <w:szCs w:val="28"/>
        </w:rPr>
        <w:t xml:space="preserve"> </w:t>
      </w:r>
      <w:r w:rsidRPr="00CA62FE">
        <w:rPr>
          <w:szCs w:val="28"/>
        </w:rPr>
        <w:t>увеличится на 46 290,4 млн рублей, или на 13,5</w:t>
      </w:r>
      <w:r w:rsidR="00580B52">
        <w:rPr>
          <w:szCs w:val="28"/>
        </w:rPr>
        <w:t> </w:t>
      </w:r>
      <w:r w:rsidRPr="00CA62FE">
        <w:rPr>
          <w:szCs w:val="28"/>
        </w:rPr>
        <w:t xml:space="preserve">%, в 2027 году – на 54 880,0 млн рублей, или на 15,6 %. </w:t>
      </w:r>
    </w:p>
    <w:p w:rsidR="00CA62FE" w:rsidRPr="00CA62FE" w:rsidRDefault="00CA62FE" w:rsidP="00CA62FE">
      <w:pPr>
        <w:overflowPunct w:val="0"/>
        <w:autoSpaceDE w:val="0"/>
        <w:autoSpaceDN w:val="0"/>
        <w:adjustRightInd w:val="0"/>
        <w:spacing w:line="360" w:lineRule="auto"/>
        <w:ind w:firstLine="709"/>
        <w:jc w:val="both"/>
        <w:textAlignment w:val="baseline"/>
        <w:rPr>
          <w:szCs w:val="28"/>
          <w:highlight w:val="yellow"/>
        </w:rPr>
      </w:pPr>
      <w:r w:rsidRPr="00CA62FE">
        <w:rPr>
          <w:szCs w:val="28"/>
        </w:rPr>
        <w:t xml:space="preserve">Увеличение обусловлено </w:t>
      </w:r>
      <w:r w:rsidR="00941111">
        <w:rPr>
          <w:szCs w:val="28"/>
        </w:rPr>
        <w:t xml:space="preserve">в основном увеличением </w:t>
      </w:r>
      <w:r w:rsidRPr="00CA62FE">
        <w:rPr>
          <w:szCs w:val="28"/>
        </w:rPr>
        <w:t>субвенций на оплату жилищно-коммунальных услуг отдельным категориям граждан в 2026 году на 40,3</w:t>
      </w:r>
      <w:r w:rsidR="00580B52">
        <w:rPr>
          <w:szCs w:val="28"/>
        </w:rPr>
        <w:t> </w:t>
      </w:r>
      <w:r w:rsidR="00374CD1">
        <w:rPr>
          <w:szCs w:val="28"/>
        </w:rPr>
        <w:t xml:space="preserve">%, в 2027 году – на  </w:t>
      </w:r>
      <w:r w:rsidRPr="00CA62FE">
        <w:rPr>
          <w:szCs w:val="28"/>
        </w:rPr>
        <w:t>40,4</w:t>
      </w:r>
      <w:r w:rsidR="00580B52">
        <w:rPr>
          <w:szCs w:val="28"/>
        </w:rPr>
        <w:t> </w:t>
      </w:r>
      <w:r w:rsidRPr="00CA62FE">
        <w:rPr>
          <w:szCs w:val="28"/>
        </w:rPr>
        <w:t>%,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w:t>
      </w:r>
      <w:r w:rsidR="00AF524B">
        <w:rPr>
          <w:szCs w:val="28"/>
        </w:rPr>
        <w:t>етей-инвалидов в 2026 году – на </w:t>
      </w:r>
      <w:r w:rsidRPr="00CA62FE">
        <w:rPr>
          <w:szCs w:val="28"/>
        </w:rPr>
        <w:t>15,5 %, в 2027 году – на 14,8 %.</w:t>
      </w:r>
    </w:p>
    <w:p w:rsidR="00CA62FE" w:rsidRPr="00CA62FE" w:rsidRDefault="00CA62FE" w:rsidP="00CA62FE">
      <w:pPr>
        <w:overflowPunct w:val="0"/>
        <w:autoSpaceDE w:val="0"/>
        <w:autoSpaceDN w:val="0"/>
        <w:adjustRightInd w:val="0"/>
        <w:spacing w:line="360" w:lineRule="auto"/>
        <w:ind w:firstLine="567"/>
        <w:jc w:val="both"/>
        <w:textAlignment w:val="baseline"/>
        <w:rPr>
          <w:szCs w:val="28"/>
        </w:rPr>
      </w:pPr>
      <w:r w:rsidRPr="00CA62FE">
        <w:rPr>
          <w:szCs w:val="28"/>
        </w:rPr>
        <w:t xml:space="preserve">В целях повышения эффективности финансового обеспечения переданных полномочий и создания условий для повышения финансовой самостоятельности субъектов Российской Федерации в 2026–2028 годах продолжится предоставление ряда субвенций, предоставляемых бюджетам субъектов Российской Федерации в рамках единой субвенции. </w:t>
      </w:r>
    </w:p>
    <w:p w:rsidR="00CA62FE" w:rsidRPr="00CA62FE" w:rsidRDefault="00CA62FE" w:rsidP="00CA62FE">
      <w:pPr>
        <w:overflowPunct w:val="0"/>
        <w:autoSpaceDE w:val="0"/>
        <w:autoSpaceDN w:val="0"/>
        <w:adjustRightInd w:val="0"/>
        <w:spacing w:line="360" w:lineRule="auto"/>
        <w:ind w:firstLine="567"/>
        <w:jc w:val="both"/>
        <w:textAlignment w:val="baseline"/>
        <w:rPr>
          <w:szCs w:val="28"/>
        </w:rPr>
      </w:pPr>
      <w:r w:rsidRPr="00CA62FE">
        <w:rPr>
          <w:szCs w:val="28"/>
        </w:rPr>
        <w:t>Единая субвенция в соответствии с перечнем, утвержденным распоряжением Правительства Российской Федерации от 15 июля 2014 г. № 1309-р</w:t>
      </w:r>
      <w:r w:rsidRPr="00CA62FE">
        <w:rPr>
          <w:szCs w:val="28"/>
          <w:vertAlign w:val="superscript"/>
          <w:lang w:eastAsia="en-US"/>
        </w:rPr>
        <w:footnoteReference w:id="11"/>
      </w:r>
      <w:r w:rsidR="00953801">
        <w:rPr>
          <w:szCs w:val="28"/>
        </w:rPr>
        <w:t xml:space="preserve">, сформирована </w:t>
      </w:r>
      <w:r w:rsidR="00AF524B">
        <w:rPr>
          <w:szCs w:val="28"/>
        </w:rPr>
        <w:br/>
      </w:r>
      <w:r w:rsidR="00953801">
        <w:rPr>
          <w:szCs w:val="28"/>
        </w:rPr>
        <w:t>из 8</w:t>
      </w:r>
      <w:r w:rsidR="00953801">
        <w:rPr>
          <w:szCs w:val="28"/>
          <w:lang w:val="en-US"/>
        </w:rPr>
        <w:t> </w:t>
      </w:r>
      <w:r w:rsidRPr="00CA62FE">
        <w:rPr>
          <w:szCs w:val="28"/>
        </w:rPr>
        <w:t>субвенций бюджетам субъектов Российской Федерации и направлена на финансовое обеспечение осуществления переданных органам государственной власти субъектов Российской Федерации полномочий Российской Федерации.</w:t>
      </w:r>
    </w:p>
    <w:p w:rsidR="00CA62FE" w:rsidRPr="00CA62FE" w:rsidRDefault="00CA62FE" w:rsidP="00CA62FE">
      <w:pPr>
        <w:overflowPunct w:val="0"/>
        <w:autoSpaceDE w:val="0"/>
        <w:autoSpaceDN w:val="0"/>
        <w:adjustRightInd w:val="0"/>
        <w:spacing w:line="360" w:lineRule="auto"/>
        <w:ind w:firstLine="851"/>
        <w:jc w:val="both"/>
        <w:textAlignment w:val="baseline"/>
        <w:rPr>
          <w:szCs w:val="28"/>
          <w:highlight w:val="yellow"/>
        </w:rPr>
      </w:pPr>
      <w:r w:rsidRPr="00CA62FE">
        <w:rPr>
          <w:szCs w:val="28"/>
        </w:rPr>
        <w:t>На формирование единой субвенции планируется</w:t>
      </w:r>
      <w:r w:rsidR="0061360B">
        <w:rPr>
          <w:szCs w:val="28"/>
        </w:rPr>
        <w:t xml:space="preserve"> направить в 2026 году 17 933,5</w:t>
      </w:r>
      <w:r w:rsidR="0061360B">
        <w:rPr>
          <w:szCs w:val="28"/>
          <w:lang w:val="en-US"/>
        </w:rPr>
        <w:t> </w:t>
      </w:r>
      <w:r w:rsidRPr="00CA62FE">
        <w:rPr>
          <w:szCs w:val="28"/>
        </w:rPr>
        <w:t xml:space="preserve">млн рублей, что больше объема, утвержденного </w:t>
      </w:r>
      <w:r w:rsidR="00374CD1">
        <w:rPr>
          <w:szCs w:val="28"/>
        </w:rPr>
        <w:t xml:space="preserve">Федеральным законом № 419-ФЗ на  </w:t>
      </w:r>
      <w:r w:rsidRPr="00CA62FE">
        <w:rPr>
          <w:szCs w:val="28"/>
        </w:rPr>
        <w:t>3,6</w:t>
      </w:r>
      <w:r w:rsidR="0061360B">
        <w:rPr>
          <w:szCs w:val="28"/>
          <w:lang w:val="en-US"/>
        </w:rPr>
        <w:t> </w:t>
      </w:r>
      <w:r w:rsidRPr="00CA62FE">
        <w:rPr>
          <w:szCs w:val="28"/>
        </w:rPr>
        <w:t>%, в 2027 году – 18 625,3 млн рублей, или с ростом на 4,5</w:t>
      </w:r>
      <w:r>
        <w:rPr>
          <w:szCs w:val="28"/>
        </w:rPr>
        <w:t> </w:t>
      </w:r>
      <w:r w:rsidRPr="00CA62FE">
        <w:rPr>
          <w:szCs w:val="28"/>
        </w:rPr>
        <w:t>%. В 2028 году объем единой субвенции по отношению к пре</w:t>
      </w:r>
      <w:r w:rsidR="001C7A60">
        <w:rPr>
          <w:szCs w:val="28"/>
        </w:rPr>
        <w:t>дыдущему году увеличится на 4,1 </w:t>
      </w:r>
      <w:r w:rsidRPr="00CA62FE">
        <w:rPr>
          <w:szCs w:val="28"/>
        </w:rPr>
        <w:t xml:space="preserve">% и составит 19 395,7 млн рублей. </w:t>
      </w:r>
    </w:p>
    <w:p w:rsidR="00CA62FE" w:rsidRPr="00CA62FE" w:rsidRDefault="00CA62FE" w:rsidP="00CA62FE">
      <w:pPr>
        <w:overflowPunct w:val="0"/>
        <w:autoSpaceDE w:val="0"/>
        <w:autoSpaceDN w:val="0"/>
        <w:adjustRightInd w:val="0"/>
        <w:spacing w:line="360" w:lineRule="auto"/>
        <w:ind w:firstLine="567"/>
        <w:jc w:val="both"/>
        <w:textAlignment w:val="baseline"/>
        <w:rPr>
          <w:szCs w:val="28"/>
        </w:rPr>
      </w:pPr>
      <w:r w:rsidRPr="00CA62FE">
        <w:rPr>
          <w:szCs w:val="28"/>
        </w:rPr>
        <w:t>В 2026</w:t>
      </w:r>
      <w:r>
        <w:rPr>
          <w:szCs w:val="28"/>
        </w:rPr>
        <w:t>–</w:t>
      </w:r>
      <w:r w:rsidRPr="00CA62FE">
        <w:rPr>
          <w:szCs w:val="28"/>
        </w:rPr>
        <w:t xml:space="preserve">2028 годах законопроектом предусматривается предоставление субвенций </w:t>
      </w:r>
      <w:r w:rsidR="00A81AE7">
        <w:rPr>
          <w:szCs w:val="28"/>
          <w:lang w:eastAsia="en-US"/>
        </w:rPr>
        <w:t>по</w:t>
      </w:r>
      <w:r w:rsidR="00A81AE7">
        <w:rPr>
          <w:szCs w:val="28"/>
          <w:lang w:val="en-US" w:eastAsia="en-US"/>
        </w:rPr>
        <w:t> </w:t>
      </w:r>
      <w:r w:rsidRPr="00CA62FE">
        <w:rPr>
          <w:szCs w:val="28"/>
          <w:lang w:eastAsia="en-US"/>
        </w:rPr>
        <w:t>разделам 01 «Общегосударственные вопросы»</w:t>
      </w:r>
      <w:r w:rsidR="004E762D">
        <w:rPr>
          <w:szCs w:val="28"/>
          <w:lang w:eastAsia="en-US"/>
        </w:rPr>
        <w:t>, 02 «Национальная оборона», 04</w:t>
      </w:r>
      <w:r w:rsidR="004E762D">
        <w:rPr>
          <w:szCs w:val="28"/>
          <w:lang w:val="en-US" w:eastAsia="en-US"/>
        </w:rPr>
        <w:t> </w:t>
      </w:r>
      <w:r w:rsidRPr="00CA62FE">
        <w:rPr>
          <w:szCs w:val="28"/>
          <w:lang w:eastAsia="en-US"/>
        </w:rPr>
        <w:t xml:space="preserve">«Национальная экономика, 06 «Окружающей среды», 09 «Здравоохранение» и 10 «Социальная политика» в рамках </w:t>
      </w:r>
      <w:r w:rsidRPr="00CA62FE">
        <w:rPr>
          <w:szCs w:val="28"/>
        </w:rPr>
        <w:t>14 госпрограмм.</w:t>
      </w:r>
    </w:p>
    <w:p w:rsidR="000B697F" w:rsidRPr="000D4470" w:rsidRDefault="008558B4" w:rsidP="000B697F">
      <w:pPr>
        <w:tabs>
          <w:tab w:val="left" w:pos="540"/>
        </w:tabs>
        <w:autoSpaceDE w:val="0"/>
        <w:autoSpaceDN w:val="0"/>
        <w:adjustRightInd w:val="0"/>
        <w:spacing w:line="360" w:lineRule="auto"/>
        <w:ind w:firstLine="720"/>
        <w:jc w:val="both"/>
      </w:pPr>
      <w:r w:rsidRPr="000D4470">
        <w:rPr>
          <w:b/>
        </w:rPr>
        <w:t>15</w:t>
      </w:r>
      <w:r w:rsidR="0006703E" w:rsidRPr="000D4470">
        <w:rPr>
          <w:b/>
        </w:rPr>
        <w:t>.1</w:t>
      </w:r>
      <w:r w:rsidR="00CC4E71">
        <w:rPr>
          <w:b/>
        </w:rPr>
        <w:t>2</w:t>
      </w:r>
      <w:r w:rsidR="00515893" w:rsidRPr="000D4470">
        <w:rPr>
          <w:b/>
        </w:rPr>
        <w:t>.</w:t>
      </w:r>
      <w:r w:rsidR="00D161E1" w:rsidRPr="000D4470">
        <w:t xml:space="preserve"> </w:t>
      </w:r>
      <w:r w:rsidR="00A7749D" w:rsidRPr="000D4470">
        <w:t>Информация о</w:t>
      </w:r>
      <w:r w:rsidR="000B697F" w:rsidRPr="000D4470">
        <w:t xml:space="preserve"> предоставлени</w:t>
      </w:r>
      <w:r w:rsidR="00A7749D" w:rsidRPr="000D4470">
        <w:t>и</w:t>
      </w:r>
      <w:r w:rsidR="000B697F" w:rsidRPr="000D4470">
        <w:t xml:space="preserve"> </w:t>
      </w:r>
      <w:r w:rsidR="000B697F" w:rsidRPr="000D4470">
        <w:rPr>
          <w:b/>
        </w:rPr>
        <w:t xml:space="preserve">иных межбюджетных трансфертов </w:t>
      </w:r>
      <w:r w:rsidR="000B697F" w:rsidRPr="000D4470">
        <w:t>бюджетам субъектов Российской Федерации в 202</w:t>
      </w:r>
      <w:r w:rsidR="003D4500" w:rsidRPr="003D4500">
        <w:t>5</w:t>
      </w:r>
      <w:r w:rsidR="00DA6CD4" w:rsidRPr="000D4470">
        <w:t>–</w:t>
      </w:r>
      <w:r w:rsidR="000B697F" w:rsidRPr="000D4470">
        <w:t>202</w:t>
      </w:r>
      <w:r w:rsidR="000D4470" w:rsidRPr="000D4470">
        <w:t>8</w:t>
      </w:r>
      <w:r w:rsidR="002242BD" w:rsidRPr="000D4470">
        <w:t xml:space="preserve"> годах представлена в</w:t>
      </w:r>
      <w:r w:rsidR="000B697F" w:rsidRPr="000D4470">
        <w:t xml:space="preserve"> следующей </w:t>
      </w:r>
      <w:r w:rsidR="002242BD" w:rsidRPr="000D4470">
        <w:t>таблице</w:t>
      </w:r>
      <w:r w:rsidR="000B697F" w:rsidRPr="000D4470">
        <w:t>.</w:t>
      </w:r>
    </w:p>
    <w:p w:rsidR="002242BD" w:rsidRPr="000D4470" w:rsidRDefault="002242BD" w:rsidP="00F02BC6">
      <w:pPr>
        <w:keepNext/>
        <w:widowControl w:val="0"/>
        <w:autoSpaceDE w:val="0"/>
        <w:autoSpaceDN w:val="0"/>
        <w:adjustRightInd w:val="0"/>
        <w:spacing w:line="360" w:lineRule="auto"/>
        <w:ind w:left="7791"/>
        <w:jc w:val="both"/>
        <w:rPr>
          <w:sz w:val="20"/>
        </w:rPr>
      </w:pPr>
      <w:r w:rsidRPr="000D4470">
        <w:rPr>
          <w:sz w:val="20"/>
        </w:rPr>
        <w:lastRenderedPageBreak/>
        <w:t xml:space="preserve">           (млн рублей)</w:t>
      </w:r>
    </w:p>
    <w:tbl>
      <w:tblPr>
        <w:tblStyle w:val="af4"/>
        <w:tblW w:w="9606" w:type="dxa"/>
        <w:tblLook w:val="04A0" w:firstRow="1" w:lastRow="0" w:firstColumn="1" w:lastColumn="0" w:noHBand="0" w:noVBand="1"/>
      </w:tblPr>
      <w:tblGrid>
        <w:gridCol w:w="4644"/>
        <w:gridCol w:w="1418"/>
        <w:gridCol w:w="1063"/>
        <w:gridCol w:w="1240"/>
        <w:gridCol w:w="1241"/>
      </w:tblGrid>
      <w:tr w:rsidR="003D4500" w:rsidRPr="000D4470" w:rsidTr="003D4500">
        <w:trPr>
          <w:trHeight w:val="227"/>
          <w:tblHeader/>
        </w:trPr>
        <w:tc>
          <w:tcPr>
            <w:tcW w:w="4644" w:type="dxa"/>
          </w:tcPr>
          <w:p w:rsidR="003D4500" w:rsidRPr="000D4470" w:rsidRDefault="003D4500" w:rsidP="000D4470">
            <w:pPr>
              <w:jc w:val="center"/>
              <w:rPr>
                <w:b/>
                <w:spacing w:val="-4"/>
                <w:sz w:val="16"/>
                <w:szCs w:val="18"/>
              </w:rPr>
            </w:pPr>
            <w:r w:rsidRPr="000D4470">
              <w:rPr>
                <w:b/>
                <w:sz w:val="16"/>
                <w:szCs w:val="16"/>
              </w:rPr>
              <w:t>Наименование</w:t>
            </w:r>
          </w:p>
        </w:tc>
        <w:tc>
          <w:tcPr>
            <w:tcW w:w="1418" w:type="dxa"/>
          </w:tcPr>
          <w:p w:rsidR="003D4500" w:rsidRPr="000D4470" w:rsidRDefault="003D4500" w:rsidP="000D4470">
            <w:pPr>
              <w:jc w:val="center"/>
              <w:rPr>
                <w:b/>
                <w:bCs/>
                <w:sz w:val="16"/>
                <w:szCs w:val="18"/>
              </w:rPr>
            </w:pPr>
            <w:r w:rsidRPr="000D4470">
              <w:rPr>
                <w:b/>
                <w:bCs/>
                <w:sz w:val="16"/>
                <w:szCs w:val="18"/>
              </w:rPr>
              <w:t>2025 год</w:t>
            </w:r>
          </w:p>
          <w:p w:rsidR="003D4500" w:rsidRPr="000D4470" w:rsidRDefault="003D4500" w:rsidP="000D4470">
            <w:pPr>
              <w:spacing w:before="20"/>
              <w:jc w:val="center"/>
              <w:rPr>
                <w:spacing w:val="-4"/>
                <w:sz w:val="16"/>
                <w:szCs w:val="18"/>
              </w:rPr>
            </w:pPr>
            <w:r w:rsidRPr="000D4470">
              <w:rPr>
                <w:bCs/>
                <w:sz w:val="16"/>
                <w:szCs w:val="18"/>
              </w:rPr>
              <w:t>(сводная роспись на 01.09.2025)</w:t>
            </w:r>
          </w:p>
        </w:tc>
        <w:tc>
          <w:tcPr>
            <w:tcW w:w="1063" w:type="dxa"/>
          </w:tcPr>
          <w:p w:rsidR="003D4500" w:rsidRPr="000D4470" w:rsidRDefault="003D4500" w:rsidP="000D4470">
            <w:pPr>
              <w:ind w:left="-168" w:right="-108"/>
              <w:jc w:val="center"/>
              <w:rPr>
                <w:b/>
                <w:bCs/>
                <w:sz w:val="16"/>
                <w:szCs w:val="18"/>
              </w:rPr>
            </w:pPr>
            <w:r w:rsidRPr="000D4470">
              <w:rPr>
                <w:b/>
                <w:bCs/>
                <w:sz w:val="16"/>
                <w:szCs w:val="18"/>
              </w:rPr>
              <w:t>2026 год</w:t>
            </w:r>
          </w:p>
          <w:p w:rsidR="003D4500" w:rsidRPr="000D4470" w:rsidRDefault="003D4500" w:rsidP="000D4470">
            <w:pPr>
              <w:spacing w:before="20"/>
              <w:jc w:val="center"/>
              <w:rPr>
                <w:spacing w:val="-4"/>
                <w:sz w:val="16"/>
                <w:szCs w:val="18"/>
              </w:rPr>
            </w:pPr>
            <w:r w:rsidRPr="000D4470">
              <w:rPr>
                <w:bCs/>
                <w:sz w:val="16"/>
                <w:szCs w:val="18"/>
              </w:rPr>
              <w:t>(прогноз)</w:t>
            </w:r>
          </w:p>
        </w:tc>
        <w:tc>
          <w:tcPr>
            <w:tcW w:w="1240" w:type="dxa"/>
          </w:tcPr>
          <w:p w:rsidR="003D4500" w:rsidRPr="000D4470" w:rsidRDefault="003D4500" w:rsidP="000D4470">
            <w:pPr>
              <w:ind w:left="-57" w:right="-57"/>
              <w:jc w:val="center"/>
              <w:rPr>
                <w:b/>
                <w:bCs/>
                <w:sz w:val="16"/>
                <w:szCs w:val="18"/>
              </w:rPr>
            </w:pPr>
            <w:r w:rsidRPr="000D4470">
              <w:rPr>
                <w:b/>
                <w:bCs/>
                <w:sz w:val="16"/>
                <w:szCs w:val="18"/>
              </w:rPr>
              <w:t>2027 год</w:t>
            </w:r>
          </w:p>
          <w:p w:rsidR="003D4500" w:rsidRPr="000D4470" w:rsidRDefault="003D4500" w:rsidP="000D4470">
            <w:pPr>
              <w:spacing w:before="20"/>
              <w:jc w:val="center"/>
              <w:rPr>
                <w:spacing w:val="-4"/>
                <w:sz w:val="22"/>
                <w:szCs w:val="18"/>
              </w:rPr>
            </w:pPr>
            <w:r w:rsidRPr="000D4470">
              <w:rPr>
                <w:bCs/>
                <w:sz w:val="16"/>
                <w:szCs w:val="18"/>
              </w:rPr>
              <w:t>(прогноз)</w:t>
            </w:r>
          </w:p>
        </w:tc>
        <w:tc>
          <w:tcPr>
            <w:tcW w:w="1241" w:type="dxa"/>
          </w:tcPr>
          <w:p w:rsidR="003D4500" w:rsidRPr="000D4470" w:rsidRDefault="003D4500" w:rsidP="000D4470">
            <w:pPr>
              <w:ind w:left="-131" w:right="-108"/>
              <w:jc w:val="center"/>
              <w:rPr>
                <w:b/>
                <w:bCs/>
                <w:sz w:val="16"/>
                <w:szCs w:val="18"/>
              </w:rPr>
            </w:pPr>
            <w:r w:rsidRPr="000D4470">
              <w:rPr>
                <w:b/>
                <w:bCs/>
                <w:sz w:val="16"/>
                <w:szCs w:val="18"/>
              </w:rPr>
              <w:t>2028 год</w:t>
            </w:r>
          </w:p>
          <w:p w:rsidR="003D4500" w:rsidRPr="000D4470" w:rsidRDefault="003D4500" w:rsidP="000D4470">
            <w:pPr>
              <w:spacing w:before="20"/>
              <w:jc w:val="center"/>
              <w:rPr>
                <w:spacing w:val="-4"/>
                <w:sz w:val="22"/>
                <w:szCs w:val="18"/>
              </w:rPr>
            </w:pPr>
            <w:r w:rsidRPr="000D4470">
              <w:rPr>
                <w:bCs/>
                <w:sz w:val="16"/>
                <w:szCs w:val="18"/>
              </w:rPr>
              <w:t>(прогноз)</w:t>
            </w:r>
          </w:p>
        </w:tc>
      </w:tr>
      <w:tr w:rsidR="003D4500" w:rsidRPr="00143121" w:rsidTr="003D4500">
        <w:trPr>
          <w:trHeight w:val="340"/>
        </w:trPr>
        <w:tc>
          <w:tcPr>
            <w:tcW w:w="4644" w:type="dxa"/>
            <w:vAlign w:val="center"/>
          </w:tcPr>
          <w:p w:rsidR="003D4500" w:rsidRPr="000D4470" w:rsidRDefault="003D4500" w:rsidP="00CA62FE">
            <w:pPr>
              <w:rPr>
                <w:b/>
                <w:spacing w:val="-4"/>
                <w:sz w:val="18"/>
                <w:szCs w:val="16"/>
              </w:rPr>
            </w:pPr>
            <w:r w:rsidRPr="000D4470">
              <w:rPr>
                <w:b/>
                <w:bCs/>
                <w:spacing w:val="-4"/>
                <w:sz w:val="18"/>
                <w:szCs w:val="16"/>
              </w:rPr>
              <w:t>Иные межбюджетные трансферты</w:t>
            </w:r>
          </w:p>
        </w:tc>
        <w:tc>
          <w:tcPr>
            <w:tcW w:w="1418"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pacing w:val="-4"/>
                <w:sz w:val="16"/>
                <w:szCs w:val="16"/>
              </w:rPr>
            </w:pPr>
            <w:r w:rsidRPr="00CA62FE">
              <w:rPr>
                <w:b/>
                <w:bCs/>
                <w:sz w:val="16"/>
                <w:szCs w:val="16"/>
              </w:rPr>
              <w:t>302 296,5</w:t>
            </w:r>
          </w:p>
        </w:tc>
        <w:tc>
          <w:tcPr>
            <w:tcW w:w="1063"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pacing w:val="-4"/>
                <w:sz w:val="16"/>
                <w:szCs w:val="16"/>
              </w:rPr>
            </w:pPr>
            <w:r w:rsidRPr="00CA62FE">
              <w:rPr>
                <w:b/>
                <w:bCs/>
                <w:sz w:val="16"/>
                <w:szCs w:val="16"/>
              </w:rPr>
              <w:t>170 079,9</w:t>
            </w:r>
          </w:p>
        </w:tc>
        <w:tc>
          <w:tcPr>
            <w:tcW w:w="1240"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pacing w:val="-4"/>
                <w:sz w:val="16"/>
                <w:szCs w:val="16"/>
              </w:rPr>
            </w:pPr>
            <w:r w:rsidRPr="00CA62FE">
              <w:rPr>
                <w:b/>
                <w:bCs/>
                <w:sz w:val="16"/>
                <w:szCs w:val="16"/>
              </w:rPr>
              <w:t>175 954,6</w:t>
            </w:r>
          </w:p>
        </w:tc>
        <w:tc>
          <w:tcPr>
            <w:tcW w:w="1241"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b/>
                <w:sz w:val="16"/>
                <w:szCs w:val="16"/>
              </w:rPr>
            </w:pPr>
            <w:r w:rsidRPr="00CA62FE">
              <w:rPr>
                <w:b/>
                <w:bCs/>
                <w:sz w:val="16"/>
                <w:szCs w:val="16"/>
              </w:rPr>
              <w:t>162 704,3</w:t>
            </w:r>
          </w:p>
        </w:tc>
      </w:tr>
      <w:tr w:rsidR="003D4500" w:rsidRPr="00143121" w:rsidTr="003D4500">
        <w:trPr>
          <w:trHeight w:val="227"/>
        </w:trPr>
        <w:tc>
          <w:tcPr>
            <w:tcW w:w="4644" w:type="dxa"/>
            <w:vAlign w:val="center"/>
          </w:tcPr>
          <w:p w:rsidR="003D4500" w:rsidRPr="00D833F3" w:rsidRDefault="003D4500" w:rsidP="00CA62FE">
            <w:pPr>
              <w:ind w:left="113"/>
              <w:rPr>
                <w:i/>
                <w:spacing w:val="-4"/>
                <w:sz w:val="16"/>
                <w:szCs w:val="18"/>
              </w:rPr>
            </w:pPr>
            <w:r w:rsidRPr="00D833F3">
              <w:rPr>
                <w:i/>
                <w:spacing w:val="-4"/>
                <w:sz w:val="16"/>
                <w:szCs w:val="18"/>
              </w:rPr>
              <w:t>отклонение от предыдущего года</w:t>
            </w:r>
          </w:p>
        </w:tc>
        <w:tc>
          <w:tcPr>
            <w:tcW w:w="1418" w:type="dxa"/>
            <w:tcBorders>
              <w:top w:val="nil"/>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43 515,8</w:t>
            </w:r>
          </w:p>
        </w:tc>
        <w:tc>
          <w:tcPr>
            <w:tcW w:w="1063" w:type="dxa"/>
            <w:tcBorders>
              <w:top w:val="nil"/>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-132 216,6</w:t>
            </w:r>
          </w:p>
        </w:tc>
        <w:tc>
          <w:tcPr>
            <w:tcW w:w="1240" w:type="dxa"/>
            <w:tcBorders>
              <w:top w:val="nil"/>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5 874,6</w:t>
            </w:r>
          </w:p>
        </w:tc>
        <w:tc>
          <w:tcPr>
            <w:tcW w:w="1241" w:type="dxa"/>
            <w:tcBorders>
              <w:top w:val="nil"/>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-13 250,3</w:t>
            </w:r>
          </w:p>
        </w:tc>
      </w:tr>
      <w:tr w:rsidR="003D4500" w:rsidRPr="00143121" w:rsidTr="003D4500">
        <w:trPr>
          <w:trHeight w:val="227"/>
        </w:trPr>
        <w:tc>
          <w:tcPr>
            <w:tcW w:w="4644" w:type="dxa"/>
            <w:vAlign w:val="center"/>
          </w:tcPr>
          <w:p w:rsidR="003D4500" w:rsidRPr="00D833F3" w:rsidRDefault="003D4500" w:rsidP="00CA62FE">
            <w:pPr>
              <w:ind w:left="113"/>
              <w:rPr>
                <w:i/>
                <w:spacing w:val="-4"/>
                <w:sz w:val="14"/>
                <w:szCs w:val="18"/>
              </w:rPr>
            </w:pPr>
            <w:r w:rsidRPr="00D833F3">
              <w:rPr>
                <w:i/>
                <w:iCs/>
                <w:sz w:val="16"/>
                <w:szCs w:val="16"/>
              </w:rPr>
              <w:t>в % к предыдущему году</w:t>
            </w:r>
          </w:p>
        </w:tc>
        <w:tc>
          <w:tcPr>
            <w:tcW w:w="1418" w:type="dxa"/>
            <w:tcBorders>
              <w:top w:val="single" w:sz="4" w:space="0" w:color="auto"/>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116,8</w:t>
            </w:r>
          </w:p>
        </w:tc>
        <w:tc>
          <w:tcPr>
            <w:tcW w:w="1063" w:type="dxa"/>
            <w:tcBorders>
              <w:top w:val="single" w:sz="4" w:space="0" w:color="auto"/>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56,3</w:t>
            </w:r>
          </w:p>
        </w:tc>
        <w:tc>
          <w:tcPr>
            <w:tcW w:w="1240" w:type="dxa"/>
            <w:tcBorders>
              <w:top w:val="single" w:sz="4" w:space="0" w:color="auto"/>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103,5</w:t>
            </w:r>
          </w:p>
        </w:tc>
        <w:tc>
          <w:tcPr>
            <w:tcW w:w="1241" w:type="dxa"/>
            <w:tcBorders>
              <w:top w:val="single" w:sz="4" w:space="0" w:color="auto"/>
              <w:left w:val="nil"/>
              <w:bottom w:val="single" w:sz="4" w:space="0" w:color="auto"/>
              <w:right w:val="single" w:sz="4" w:space="0" w:color="auto"/>
            </w:tcBorders>
            <w:shd w:val="clear" w:color="auto" w:fill="auto"/>
            <w:vAlign w:val="center"/>
          </w:tcPr>
          <w:p w:rsidR="003D4500" w:rsidRPr="00D833F3" w:rsidRDefault="003D4500" w:rsidP="00CA62FE">
            <w:pPr>
              <w:jc w:val="center"/>
              <w:rPr>
                <w:i/>
                <w:spacing w:val="-4"/>
                <w:sz w:val="16"/>
                <w:szCs w:val="16"/>
              </w:rPr>
            </w:pPr>
            <w:r w:rsidRPr="00D833F3">
              <w:rPr>
                <w:i/>
                <w:iCs/>
                <w:sz w:val="16"/>
                <w:szCs w:val="16"/>
              </w:rPr>
              <w:t>92,5</w:t>
            </w:r>
          </w:p>
        </w:tc>
      </w:tr>
      <w:tr w:rsidR="003D4500" w:rsidRPr="00143121" w:rsidTr="003D4500">
        <w:trPr>
          <w:trHeight w:val="227"/>
        </w:trPr>
        <w:tc>
          <w:tcPr>
            <w:tcW w:w="4644" w:type="dxa"/>
            <w:vAlign w:val="center"/>
          </w:tcPr>
          <w:p w:rsidR="003D4500" w:rsidRPr="000D4470" w:rsidRDefault="003D4500" w:rsidP="00CA62FE">
            <w:pPr>
              <w:ind w:left="113"/>
              <w:rPr>
                <w:iCs/>
                <w:sz w:val="16"/>
                <w:szCs w:val="16"/>
              </w:rPr>
            </w:pPr>
            <w:r>
              <w:rPr>
                <w:iCs/>
                <w:sz w:val="16"/>
                <w:szCs w:val="16"/>
              </w:rPr>
              <w:t>Количество иных межбюджетных трансфертов</w:t>
            </w:r>
          </w:p>
        </w:tc>
        <w:tc>
          <w:tcPr>
            <w:tcW w:w="1418"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49</w:t>
            </w:r>
          </w:p>
        </w:tc>
        <w:tc>
          <w:tcPr>
            <w:tcW w:w="1063"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10</w:t>
            </w:r>
          </w:p>
        </w:tc>
        <w:tc>
          <w:tcPr>
            <w:tcW w:w="1240"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10</w:t>
            </w:r>
          </w:p>
        </w:tc>
        <w:tc>
          <w:tcPr>
            <w:tcW w:w="1241" w:type="dxa"/>
            <w:tcBorders>
              <w:top w:val="single" w:sz="4" w:space="0" w:color="auto"/>
              <w:left w:val="nil"/>
              <w:bottom w:val="single" w:sz="4" w:space="0" w:color="auto"/>
              <w:right w:val="single" w:sz="4" w:space="0" w:color="auto"/>
            </w:tcBorders>
            <w:shd w:val="clear" w:color="auto" w:fill="auto"/>
            <w:vAlign w:val="center"/>
          </w:tcPr>
          <w:p w:rsidR="003D4500" w:rsidRPr="00CA62FE" w:rsidRDefault="003D4500" w:rsidP="00CA62FE">
            <w:pPr>
              <w:jc w:val="center"/>
              <w:rPr>
                <w:iCs/>
                <w:sz w:val="16"/>
                <w:szCs w:val="16"/>
              </w:rPr>
            </w:pPr>
            <w:r>
              <w:rPr>
                <w:iCs/>
                <w:sz w:val="16"/>
                <w:szCs w:val="16"/>
              </w:rPr>
              <w:t>9</w:t>
            </w:r>
          </w:p>
        </w:tc>
      </w:tr>
    </w:tbl>
    <w:p w:rsidR="00D553C4" w:rsidRPr="00656332" w:rsidRDefault="00D553C4" w:rsidP="00656332">
      <w:pPr>
        <w:suppressAutoHyphens/>
        <w:spacing w:before="120" w:line="360" w:lineRule="auto"/>
        <w:ind w:firstLine="709"/>
        <w:jc w:val="both"/>
      </w:pPr>
      <w:r w:rsidRPr="00656332">
        <w:rPr>
          <w:lang w:eastAsia="zh-CN"/>
        </w:rPr>
        <w:t>Основной о</w:t>
      </w:r>
      <w:r w:rsidRPr="00656332">
        <w:t>бъем иных межбюджетных трансфертов (</w:t>
      </w:r>
      <w:r w:rsidR="00656332" w:rsidRPr="00656332">
        <w:t>79</w:t>
      </w:r>
      <w:r w:rsidR="00AF524B" w:rsidRPr="00143121">
        <w:t>–</w:t>
      </w:r>
      <w:r w:rsidR="00656332" w:rsidRPr="00656332">
        <w:t>86</w:t>
      </w:r>
      <w:r w:rsidRPr="00656332">
        <w:t> %) на 202</w:t>
      </w:r>
      <w:r w:rsidR="003E34ED">
        <w:t>5</w:t>
      </w:r>
      <w:r w:rsidRPr="00656332">
        <w:t>–202</w:t>
      </w:r>
      <w:r w:rsidR="00656332" w:rsidRPr="00656332">
        <w:t>8</w:t>
      </w:r>
      <w:r w:rsidRPr="00656332">
        <w:t xml:space="preserve"> годы приходится на иные межбюджетные трансферты на ежемесячное денежное вознаграждение за классное руководство педагогическим работникам педагогическим работникам государственных и муниципальных образовательных организаций.</w:t>
      </w:r>
    </w:p>
    <w:p w:rsidR="00E75C44" w:rsidRPr="003E1B39" w:rsidRDefault="00E75C44" w:rsidP="00E75C44">
      <w:pPr>
        <w:spacing w:line="360" w:lineRule="auto"/>
        <w:ind w:firstLine="567"/>
        <w:jc w:val="both"/>
      </w:pPr>
      <w:r w:rsidRPr="00656332">
        <w:t>В последние годы отмечается существенный рост объема перечисленных иных межбюджетных трансфертов по сравнению с первонача</w:t>
      </w:r>
      <w:r w:rsidR="00AF524B">
        <w:t>льно утвержденными объемами. По </w:t>
      </w:r>
      <w:r w:rsidRPr="00656332">
        <w:t>состоянию на 1 сентября 202</w:t>
      </w:r>
      <w:r w:rsidR="00656332" w:rsidRPr="00656332">
        <w:t>5</w:t>
      </w:r>
      <w:r w:rsidRPr="00656332">
        <w:t xml:space="preserve"> года объем предусмотренных сводной бюджетной роспись иных межбюджетных трансферт</w:t>
      </w:r>
      <w:r w:rsidR="00CE3E3F" w:rsidRPr="00656332">
        <w:t xml:space="preserve">ов в течение года увеличился </w:t>
      </w:r>
      <w:r w:rsidR="00656332" w:rsidRPr="00656332">
        <w:t>в 1,7 раза</w:t>
      </w:r>
      <w:r w:rsidR="00CE3E3F" w:rsidRPr="00656332">
        <w:t xml:space="preserve"> (</w:t>
      </w:r>
      <w:r w:rsidR="00E604FF">
        <w:t>в 2024 году – в 2,1 </w:t>
      </w:r>
      <w:r w:rsidR="00656332" w:rsidRPr="00656332">
        <w:t xml:space="preserve">раза, </w:t>
      </w:r>
      <w:r w:rsidR="00CE3E3F" w:rsidRPr="00656332">
        <w:t>в 2023 году – на 28 </w:t>
      </w:r>
      <w:r w:rsidRPr="00656332">
        <w:t xml:space="preserve">%, 2022 году </w:t>
      </w:r>
      <w:r w:rsidR="00502D7A" w:rsidRPr="00656332">
        <w:t>–</w:t>
      </w:r>
      <w:r w:rsidRPr="00656332">
        <w:t xml:space="preserve"> в 1,7</w:t>
      </w:r>
      <w:r w:rsidR="00E604FF">
        <w:t xml:space="preserve"> раза, в 2021 году – в 2,3 раза</w:t>
      </w:r>
      <w:r w:rsidRPr="003E1B39">
        <w:t xml:space="preserve">). </w:t>
      </w:r>
      <w:r w:rsidR="00E604FF">
        <w:t>Их </w:t>
      </w:r>
      <w:r w:rsidRPr="003E1B39">
        <w:t>количество увеличилось с 1</w:t>
      </w:r>
      <w:r w:rsidR="003E1B39" w:rsidRPr="003E1B39">
        <w:t>3 до 49</w:t>
      </w:r>
      <w:r w:rsidR="00D3084F" w:rsidRPr="003E1B39">
        <w:t xml:space="preserve"> трансферта</w:t>
      </w:r>
      <w:r w:rsidRPr="003E1B39">
        <w:t>.</w:t>
      </w:r>
    </w:p>
    <w:p w:rsidR="00F435DC" w:rsidRPr="00656332" w:rsidRDefault="00250E6C" w:rsidP="00656332">
      <w:pPr>
        <w:spacing w:line="360" w:lineRule="auto"/>
        <w:ind w:firstLine="709"/>
        <w:jc w:val="both"/>
        <w:rPr>
          <w:lang w:bidi="ru-RU"/>
        </w:rPr>
      </w:pPr>
      <w:r w:rsidRPr="00656332">
        <w:rPr>
          <w:b/>
        </w:rPr>
        <w:t>15.1</w:t>
      </w:r>
      <w:r w:rsidR="00CC4E71">
        <w:rPr>
          <w:b/>
        </w:rPr>
        <w:t>3</w:t>
      </w:r>
      <w:r w:rsidRPr="00656332">
        <w:rPr>
          <w:rFonts w:eastAsia="Calibri"/>
          <w:b/>
          <w:lang w:eastAsia="en-US"/>
        </w:rPr>
        <w:t>.</w:t>
      </w:r>
      <w:r w:rsidRPr="00656332">
        <w:rPr>
          <w:rFonts w:eastAsia="Calibri"/>
          <w:lang w:eastAsia="en-US"/>
        </w:rPr>
        <w:t xml:space="preserve"> В ходе проведения контрольных мероприятий установлены </w:t>
      </w:r>
      <w:r w:rsidR="00087090" w:rsidRPr="00656332">
        <w:rPr>
          <w:rFonts w:eastAsia="Calibri"/>
          <w:lang w:eastAsia="en-US"/>
        </w:rPr>
        <w:t xml:space="preserve">отдельные </w:t>
      </w:r>
      <w:r w:rsidR="00D66E0B" w:rsidRPr="00656332">
        <w:rPr>
          <w:rFonts w:eastAsia="Calibri"/>
          <w:b/>
          <w:lang w:eastAsia="en-US"/>
        </w:rPr>
        <w:t>нарушения и</w:t>
      </w:r>
      <w:r w:rsidR="00D66E0B" w:rsidRPr="00656332">
        <w:rPr>
          <w:rFonts w:eastAsia="Calibri"/>
          <w:lang w:eastAsia="en-US"/>
        </w:rPr>
        <w:t xml:space="preserve"> </w:t>
      </w:r>
      <w:r w:rsidRPr="00656332">
        <w:rPr>
          <w:rFonts w:eastAsia="Calibri"/>
          <w:b/>
          <w:lang w:eastAsia="en-US"/>
        </w:rPr>
        <w:t xml:space="preserve">недостатки </w:t>
      </w:r>
      <w:r w:rsidRPr="00656332">
        <w:rPr>
          <w:rFonts w:eastAsia="Calibri"/>
          <w:lang w:eastAsia="en-US"/>
        </w:rPr>
        <w:t xml:space="preserve">планирования бюджетных ассигнований </w:t>
      </w:r>
      <w:r w:rsidRPr="00656332">
        <w:rPr>
          <w:rFonts w:eastAsia="Calibri"/>
          <w:b/>
          <w:lang w:eastAsia="en-US"/>
        </w:rPr>
        <w:t xml:space="preserve">на предоставление межбюджетных трансфертов </w:t>
      </w:r>
      <w:r w:rsidRPr="00656332">
        <w:rPr>
          <w:rFonts w:eastAsia="Calibri"/>
          <w:lang w:eastAsia="en-US"/>
        </w:rPr>
        <w:t>бюджетам субъектов Российской Федерации</w:t>
      </w:r>
      <w:r w:rsidR="00F435DC" w:rsidRPr="00656332">
        <w:rPr>
          <w:rFonts w:eastAsia="Calibri"/>
          <w:lang w:eastAsia="en-US"/>
        </w:rPr>
        <w:t>.</w:t>
      </w:r>
    </w:p>
    <w:p w:rsidR="0034049F" w:rsidRDefault="00F342C5" w:rsidP="0034049F">
      <w:pPr>
        <w:shd w:val="clear" w:color="auto" w:fill="FFFFFF"/>
        <w:spacing w:after="200" w:line="360" w:lineRule="auto"/>
        <w:ind w:firstLine="720"/>
        <w:contextualSpacing/>
        <w:jc w:val="both"/>
        <w:rPr>
          <w:rFonts w:eastAsia="Calibri"/>
          <w:iCs/>
          <w:color w:val="000000"/>
          <w:szCs w:val="28"/>
          <w:lang w:eastAsia="en-US"/>
        </w:rPr>
      </w:pPr>
      <w:r>
        <w:rPr>
          <w:rFonts w:eastAsia="Calibri"/>
          <w:iCs/>
          <w:color w:val="000000"/>
          <w:szCs w:val="28"/>
          <w:lang w:eastAsia="en-US"/>
        </w:rPr>
        <w:t>Установлено несоблюдение положений</w:t>
      </w:r>
      <w:r w:rsidR="0034049F">
        <w:rPr>
          <w:rFonts w:eastAsia="Calibri"/>
          <w:iCs/>
          <w:color w:val="000000"/>
          <w:szCs w:val="28"/>
          <w:lang w:eastAsia="en-US"/>
        </w:rPr>
        <w:t xml:space="preserve"> Бюджетного кодекса Российской Федерации, в том числе</w:t>
      </w:r>
      <w:r w:rsidR="007F3EE1">
        <w:rPr>
          <w:rFonts w:eastAsia="Calibri"/>
          <w:iCs/>
          <w:color w:val="000000"/>
          <w:szCs w:val="28"/>
          <w:lang w:eastAsia="en-US"/>
        </w:rPr>
        <w:t>:</w:t>
      </w:r>
    </w:p>
    <w:p w:rsidR="00A25890" w:rsidRDefault="00A25890" w:rsidP="00A25890">
      <w:pPr>
        <w:shd w:val="clear" w:color="auto" w:fill="FFFFFF"/>
        <w:spacing w:after="200" w:line="360" w:lineRule="auto"/>
        <w:ind w:firstLine="720"/>
        <w:contextualSpacing/>
        <w:jc w:val="both"/>
        <w:rPr>
          <w:rFonts w:eastAsia="Calibri"/>
          <w:iCs/>
          <w:color w:val="000000"/>
          <w:szCs w:val="28"/>
          <w:lang w:eastAsia="en-US"/>
        </w:rPr>
      </w:pPr>
      <w:r w:rsidRPr="00A25890">
        <w:rPr>
          <w:rFonts w:eastAsia="Calibri"/>
          <w:iCs/>
          <w:color w:val="000000"/>
          <w:szCs w:val="28"/>
          <w:lang w:eastAsia="en-US"/>
        </w:rPr>
        <w:t>статьи 132 Бюджетного кодекса Российской Федерации в части</w:t>
      </w:r>
      <w:r>
        <w:rPr>
          <w:rFonts w:eastAsia="Calibri"/>
          <w:iCs/>
          <w:color w:val="000000"/>
          <w:szCs w:val="28"/>
          <w:lang w:eastAsia="en-US"/>
        </w:rPr>
        <w:t xml:space="preserve"> несоблюдения сроков направления меток (проектов методик) распределения межбюджетных субсидий между субъектами Российской Федерации </w:t>
      </w:r>
      <w:r w:rsidR="003E1817">
        <w:rPr>
          <w:rFonts w:eastAsia="Calibri"/>
          <w:iCs/>
          <w:color w:val="000000"/>
          <w:szCs w:val="28"/>
          <w:lang w:eastAsia="en-US"/>
        </w:rPr>
        <w:t>и проекты распределения субсидий между регионами</w:t>
      </w:r>
      <w:r w:rsidR="00FD4011">
        <w:rPr>
          <w:rFonts w:eastAsia="Calibri"/>
          <w:iCs/>
          <w:color w:val="000000"/>
          <w:szCs w:val="28"/>
          <w:lang w:eastAsia="en-US"/>
        </w:rPr>
        <w:t>;</w:t>
      </w:r>
      <w:r w:rsidR="003E1817">
        <w:rPr>
          <w:rFonts w:eastAsia="Calibri"/>
          <w:iCs/>
          <w:color w:val="000000"/>
          <w:szCs w:val="28"/>
          <w:lang w:eastAsia="en-US"/>
        </w:rPr>
        <w:t xml:space="preserve"> </w:t>
      </w:r>
    </w:p>
    <w:p w:rsidR="00A25890" w:rsidRPr="00A25890" w:rsidRDefault="0034049F" w:rsidP="00A25890">
      <w:pPr>
        <w:shd w:val="clear" w:color="auto" w:fill="FFFFFF"/>
        <w:spacing w:line="360" w:lineRule="auto"/>
        <w:ind w:firstLine="720"/>
        <w:contextualSpacing/>
        <w:jc w:val="both"/>
        <w:rPr>
          <w:rFonts w:eastAsia="Calibri"/>
          <w:iCs/>
          <w:color w:val="000000"/>
          <w:szCs w:val="28"/>
          <w:lang w:eastAsia="en-US"/>
        </w:rPr>
      </w:pPr>
      <w:r w:rsidRPr="0034049F">
        <w:rPr>
          <w:rFonts w:eastAsia="Calibri"/>
          <w:iCs/>
          <w:color w:val="000000"/>
          <w:szCs w:val="28"/>
          <w:lang w:eastAsia="en-US"/>
        </w:rPr>
        <w:t xml:space="preserve">абзаца 10 пункта 4 статьи 132 Бюджетного кодекса </w:t>
      </w:r>
      <w:r>
        <w:rPr>
          <w:rFonts w:eastAsia="Calibri"/>
          <w:iCs/>
          <w:color w:val="000000"/>
          <w:szCs w:val="28"/>
          <w:lang w:eastAsia="en-US"/>
        </w:rPr>
        <w:t xml:space="preserve">Российской Федерации </w:t>
      </w:r>
      <w:r w:rsidR="00A25890">
        <w:rPr>
          <w:rFonts w:eastAsia="Calibri"/>
          <w:iCs/>
          <w:color w:val="000000"/>
          <w:szCs w:val="28"/>
          <w:lang w:eastAsia="en-US"/>
        </w:rPr>
        <w:t>в части установления</w:t>
      </w:r>
      <w:r w:rsidR="00A25890" w:rsidRPr="00A25890">
        <w:rPr>
          <w:rFonts w:eastAsia="Calibri"/>
          <w:iCs/>
          <w:color w:val="000000"/>
          <w:szCs w:val="28"/>
          <w:lang w:eastAsia="en-US"/>
        </w:rPr>
        <w:t xml:space="preserve"> </w:t>
      </w:r>
      <w:r w:rsidR="00BB08F8">
        <w:rPr>
          <w:rFonts w:eastAsia="Calibri"/>
          <w:iCs/>
          <w:color w:val="000000"/>
          <w:szCs w:val="28"/>
          <w:lang w:eastAsia="en-US"/>
        </w:rPr>
        <w:t xml:space="preserve">в правилах предоставления и распределения субсидий </w:t>
      </w:r>
      <w:r w:rsidR="00A25890" w:rsidRPr="00A25890">
        <w:rPr>
          <w:rFonts w:eastAsia="Calibri"/>
          <w:iCs/>
          <w:color w:val="000000"/>
          <w:szCs w:val="28"/>
          <w:lang w:eastAsia="en-US"/>
        </w:rPr>
        <w:t>обязательных сроков проведения конкурсных отборов для распределения</w:t>
      </w:r>
      <w:r w:rsidR="00374CD1">
        <w:rPr>
          <w:rFonts w:eastAsia="Calibri"/>
          <w:iCs/>
          <w:color w:val="000000"/>
          <w:szCs w:val="28"/>
          <w:lang w:eastAsia="en-US"/>
        </w:rPr>
        <w:t xml:space="preserve"> на очередной финансовый год не  </w:t>
      </w:r>
      <w:r w:rsidR="00A25890" w:rsidRPr="00A25890">
        <w:rPr>
          <w:rFonts w:eastAsia="Calibri"/>
          <w:iCs/>
          <w:color w:val="000000"/>
          <w:szCs w:val="28"/>
          <w:lang w:eastAsia="en-US"/>
        </w:rPr>
        <w:t>позднее 1 сентября текущего финансового года</w:t>
      </w:r>
      <w:r w:rsidR="00A07753">
        <w:rPr>
          <w:rFonts w:eastAsia="Calibri"/>
          <w:iCs/>
          <w:color w:val="000000"/>
          <w:szCs w:val="28"/>
          <w:lang w:eastAsia="en-US"/>
        </w:rPr>
        <w:t>;</w:t>
      </w:r>
    </w:p>
    <w:p w:rsidR="006926E6" w:rsidRPr="006926E6" w:rsidRDefault="00F342C5" w:rsidP="006926E6">
      <w:pPr>
        <w:shd w:val="clear" w:color="auto" w:fill="FFFFFF"/>
        <w:spacing w:after="200" w:line="360" w:lineRule="auto"/>
        <w:ind w:firstLine="720"/>
        <w:contextualSpacing/>
        <w:jc w:val="both"/>
        <w:rPr>
          <w:rFonts w:eastAsia="Calibri"/>
          <w:iCs/>
          <w:color w:val="000000"/>
          <w:szCs w:val="28"/>
          <w:lang w:eastAsia="en-US"/>
        </w:rPr>
      </w:pPr>
      <w:r>
        <w:rPr>
          <w:rFonts w:eastAsia="Calibri"/>
          <w:iCs/>
          <w:color w:val="000000"/>
          <w:szCs w:val="28"/>
          <w:lang w:eastAsia="en-US"/>
        </w:rPr>
        <w:t>предоставление</w:t>
      </w:r>
      <w:r w:rsidR="006926E6" w:rsidRPr="006926E6">
        <w:rPr>
          <w:rFonts w:eastAsia="Calibri"/>
          <w:iCs/>
          <w:color w:val="000000"/>
          <w:szCs w:val="28"/>
          <w:lang w:eastAsia="en-US"/>
        </w:rPr>
        <w:t xml:space="preserve"> из федерального бюджета бюджетам субъектов Российской Федерации иных межбюджетных трансфертов, </w:t>
      </w:r>
      <w:r w:rsidR="00F414BD">
        <w:rPr>
          <w:rFonts w:eastAsia="Calibri"/>
          <w:iCs/>
          <w:color w:val="000000"/>
          <w:szCs w:val="28"/>
          <w:lang w:eastAsia="en-US"/>
        </w:rPr>
        <w:t xml:space="preserve">не </w:t>
      </w:r>
      <w:r>
        <w:rPr>
          <w:rFonts w:eastAsia="Calibri"/>
          <w:iCs/>
          <w:color w:val="000000"/>
          <w:szCs w:val="28"/>
          <w:lang w:eastAsia="en-US"/>
        </w:rPr>
        <w:t xml:space="preserve">относящихся </w:t>
      </w:r>
      <w:r w:rsidR="00F414BD">
        <w:rPr>
          <w:rFonts w:eastAsia="Calibri"/>
          <w:iCs/>
          <w:color w:val="000000"/>
          <w:szCs w:val="28"/>
          <w:lang w:eastAsia="en-US"/>
        </w:rPr>
        <w:t>к случаям</w:t>
      </w:r>
      <w:r>
        <w:rPr>
          <w:rFonts w:eastAsia="Calibri"/>
          <w:iCs/>
          <w:color w:val="000000"/>
          <w:szCs w:val="28"/>
          <w:lang w:eastAsia="en-US"/>
        </w:rPr>
        <w:t>,</w:t>
      </w:r>
      <w:r w:rsidR="00F414BD">
        <w:rPr>
          <w:rFonts w:eastAsia="Calibri"/>
          <w:iCs/>
          <w:color w:val="000000"/>
          <w:szCs w:val="28"/>
          <w:lang w:eastAsia="en-US"/>
        </w:rPr>
        <w:t xml:space="preserve"> </w:t>
      </w:r>
      <w:r>
        <w:rPr>
          <w:rFonts w:eastAsia="Calibri"/>
          <w:iCs/>
          <w:color w:val="000000"/>
          <w:szCs w:val="28"/>
          <w:lang w:eastAsia="en-US"/>
        </w:rPr>
        <w:t xml:space="preserve">установленным </w:t>
      </w:r>
      <w:r w:rsidR="006926E6">
        <w:rPr>
          <w:rFonts w:eastAsia="Calibri"/>
          <w:iCs/>
          <w:color w:val="000000"/>
          <w:szCs w:val="28"/>
          <w:lang w:eastAsia="en-US"/>
        </w:rPr>
        <w:t>статьей 132</w:t>
      </w:r>
      <w:r w:rsidR="00627836">
        <w:rPr>
          <w:rFonts w:eastAsia="Calibri"/>
          <w:iCs/>
          <w:color w:val="000000"/>
          <w:szCs w:val="28"/>
          <w:vertAlign w:val="superscript"/>
          <w:lang w:eastAsia="en-US"/>
        </w:rPr>
        <w:t>1</w:t>
      </w:r>
      <w:r w:rsidR="006926E6">
        <w:rPr>
          <w:rFonts w:eastAsia="Calibri"/>
          <w:iCs/>
          <w:color w:val="000000"/>
          <w:szCs w:val="28"/>
          <w:lang w:eastAsia="en-US"/>
        </w:rPr>
        <w:t xml:space="preserve"> Бюджетного кодекса Российской Федерации</w:t>
      </w:r>
      <w:r w:rsidR="006926E6" w:rsidRPr="006926E6">
        <w:rPr>
          <w:rFonts w:eastAsia="Calibri"/>
          <w:iCs/>
          <w:color w:val="000000"/>
          <w:szCs w:val="28"/>
          <w:lang w:eastAsia="en-US"/>
        </w:rPr>
        <w:t>.</w:t>
      </w:r>
    </w:p>
    <w:p w:rsidR="00515893" w:rsidRPr="00F414BD" w:rsidRDefault="00087090" w:rsidP="00250E6C">
      <w:pPr>
        <w:spacing w:line="360" w:lineRule="auto"/>
        <w:ind w:firstLine="709"/>
        <w:jc w:val="both"/>
        <w:rPr>
          <w:rFonts w:eastAsiaTheme="minorHAnsi"/>
          <w:lang w:eastAsia="en-US"/>
        </w:rPr>
      </w:pPr>
      <w:r w:rsidRPr="00F414BD">
        <w:rPr>
          <w:rFonts w:eastAsiaTheme="minorHAnsi"/>
          <w:lang w:eastAsia="en-US"/>
        </w:rPr>
        <w:t>Н</w:t>
      </w:r>
      <w:r w:rsidR="002E0622" w:rsidRPr="00F414BD">
        <w:rPr>
          <w:rFonts w:eastAsiaTheme="minorHAnsi"/>
          <w:lang w:eastAsia="en-US"/>
        </w:rPr>
        <w:t>есоблюден</w:t>
      </w:r>
      <w:r w:rsidR="00223FDB" w:rsidRPr="00F414BD">
        <w:rPr>
          <w:rFonts w:eastAsiaTheme="minorHAnsi"/>
          <w:lang w:eastAsia="en-US"/>
        </w:rPr>
        <w:t>ие</w:t>
      </w:r>
      <w:r w:rsidR="006E7B99" w:rsidRPr="00F414BD">
        <w:rPr>
          <w:rFonts w:eastAsiaTheme="minorHAnsi"/>
          <w:lang w:eastAsia="en-US"/>
        </w:rPr>
        <w:t xml:space="preserve"> требовани</w:t>
      </w:r>
      <w:r w:rsidR="00223FDB" w:rsidRPr="00F414BD">
        <w:rPr>
          <w:rFonts w:eastAsiaTheme="minorHAnsi"/>
          <w:lang w:eastAsia="en-US"/>
        </w:rPr>
        <w:t>й</w:t>
      </w:r>
      <w:r w:rsidR="006E7B99" w:rsidRPr="00F414BD">
        <w:rPr>
          <w:rFonts w:eastAsiaTheme="minorHAnsi"/>
          <w:lang w:eastAsia="en-US"/>
        </w:rPr>
        <w:t xml:space="preserve"> </w:t>
      </w:r>
      <w:r w:rsidR="00223FDB" w:rsidRPr="00F414BD">
        <w:rPr>
          <w:rFonts w:eastAsiaTheme="minorHAnsi"/>
          <w:lang w:eastAsia="en-US"/>
        </w:rPr>
        <w:t xml:space="preserve">порядка и </w:t>
      </w:r>
      <w:r w:rsidR="002E0622" w:rsidRPr="00F414BD">
        <w:rPr>
          <w:rFonts w:eastAsiaTheme="minorHAnsi"/>
          <w:lang w:eastAsia="en-US"/>
        </w:rPr>
        <w:t>условий распределения межбюджетных трансфертов бюджетам субъектов Российской Федерации</w:t>
      </w:r>
      <w:r w:rsidR="00D3084F" w:rsidRPr="00F414BD">
        <w:rPr>
          <w:rFonts w:eastAsiaTheme="minorHAnsi"/>
          <w:lang w:eastAsia="en-US"/>
        </w:rPr>
        <w:t xml:space="preserve"> </w:t>
      </w:r>
      <w:r w:rsidR="00515893" w:rsidRPr="00F414BD">
        <w:rPr>
          <w:rFonts w:eastAsiaTheme="minorHAnsi"/>
          <w:lang w:eastAsia="en-US"/>
        </w:rPr>
        <w:t>включает в том числе:</w:t>
      </w:r>
      <w:r w:rsidR="000C664D" w:rsidRPr="00F414BD">
        <w:rPr>
          <w:rFonts w:eastAsiaTheme="minorHAnsi"/>
          <w:lang w:eastAsia="en-US"/>
        </w:rPr>
        <w:t xml:space="preserve"> </w:t>
      </w:r>
    </w:p>
    <w:p w:rsidR="003E1817" w:rsidRDefault="002960B9" w:rsidP="00F414BD">
      <w:pPr>
        <w:spacing w:line="360" w:lineRule="auto"/>
        <w:ind w:firstLine="709"/>
        <w:jc w:val="both"/>
        <w:rPr>
          <w:rFonts w:eastAsiaTheme="minorHAnsi"/>
          <w:lang w:eastAsia="en-US"/>
        </w:rPr>
      </w:pPr>
      <w:r>
        <w:rPr>
          <w:rFonts w:eastAsiaTheme="minorHAnsi"/>
          <w:lang w:eastAsia="en-US"/>
        </w:rPr>
        <w:lastRenderedPageBreak/>
        <w:t>н</w:t>
      </w:r>
      <w:r w:rsidR="0042496A">
        <w:rPr>
          <w:rFonts w:eastAsiaTheme="minorHAnsi"/>
          <w:lang w:eastAsia="en-US"/>
        </w:rPr>
        <w:t>е</w:t>
      </w:r>
      <w:r>
        <w:rPr>
          <w:rFonts w:eastAsiaTheme="minorHAnsi"/>
          <w:lang w:eastAsia="en-US"/>
        </w:rPr>
        <w:t>соответствие методики распределения субсидий требованиям, установленных Правилами № 999</w:t>
      </w:r>
      <w:r>
        <w:rPr>
          <w:rStyle w:val="af7"/>
          <w:rFonts w:eastAsiaTheme="minorHAnsi"/>
          <w:lang w:eastAsia="en-US"/>
        </w:rPr>
        <w:footnoteReference w:id="12"/>
      </w:r>
      <w:r>
        <w:rPr>
          <w:rFonts w:eastAsiaTheme="minorHAnsi"/>
          <w:lang w:eastAsia="en-US"/>
        </w:rPr>
        <w:t>;</w:t>
      </w:r>
    </w:p>
    <w:p w:rsidR="00F414BD" w:rsidRPr="00F414BD" w:rsidRDefault="00F414BD" w:rsidP="00F414BD">
      <w:pPr>
        <w:spacing w:line="360" w:lineRule="auto"/>
        <w:ind w:firstLine="709"/>
        <w:jc w:val="both"/>
        <w:rPr>
          <w:rFonts w:eastAsiaTheme="minorHAnsi"/>
          <w:lang w:eastAsia="en-US"/>
        </w:rPr>
      </w:pPr>
      <w:r w:rsidRPr="00F414BD">
        <w:rPr>
          <w:rFonts w:eastAsiaTheme="minorHAnsi"/>
          <w:lang w:eastAsia="en-US"/>
        </w:rPr>
        <w:t>установление фактов</w:t>
      </w:r>
      <w:r>
        <w:rPr>
          <w:rFonts w:eastAsiaTheme="minorHAnsi"/>
          <w:lang w:eastAsia="en-US"/>
        </w:rPr>
        <w:t xml:space="preserve"> необоснованного </w:t>
      </w:r>
      <w:r w:rsidR="007E0021">
        <w:rPr>
          <w:rFonts w:eastAsiaTheme="minorHAnsi"/>
          <w:lang w:eastAsia="en-US"/>
        </w:rPr>
        <w:t>планирова</w:t>
      </w:r>
      <w:r w:rsidR="00AF524B">
        <w:rPr>
          <w:rFonts w:eastAsiaTheme="minorHAnsi"/>
          <w:lang w:eastAsia="en-US"/>
        </w:rPr>
        <w:t>ния межбюджетных трансфертов, а </w:t>
      </w:r>
      <w:r w:rsidR="007E0021">
        <w:rPr>
          <w:rFonts w:eastAsiaTheme="minorHAnsi"/>
          <w:lang w:eastAsia="en-US"/>
        </w:rPr>
        <w:t xml:space="preserve">также </w:t>
      </w:r>
      <w:r>
        <w:rPr>
          <w:rFonts w:eastAsiaTheme="minorHAnsi"/>
          <w:lang w:eastAsia="en-US"/>
        </w:rPr>
        <w:t xml:space="preserve">увеличения нераспределенного резерва субвенции; </w:t>
      </w:r>
    </w:p>
    <w:p w:rsidR="007E0021" w:rsidRDefault="0022282E" w:rsidP="00250E6C">
      <w:pPr>
        <w:spacing w:line="360" w:lineRule="auto"/>
        <w:ind w:firstLine="709"/>
        <w:jc w:val="both"/>
        <w:rPr>
          <w:rFonts w:eastAsiaTheme="minorHAnsi"/>
          <w:lang w:eastAsia="en-US"/>
        </w:rPr>
      </w:pPr>
      <w:r w:rsidRPr="00680203">
        <w:rPr>
          <w:rFonts w:eastAsiaTheme="minorHAnsi"/>
          <w:lang w:eastAsia="en-US"/>
        </w:rPr>
        <w:t>установлен</w:t>
      </w:r>
      <w:r w:rsidR="000A54E3" w:rsidRPr="00680203">
        <w:rPr>
          <w:rFonts w:eastAsiaTheme="minorHAnsi"/>
          <w:lang w:eastAsia="en-US"/>
        </w:rPr>
        <w:t>ие</w:t>
      </w:r>
      <w:r w:rsidRPr="00680203">
        <w:rPr>
          <w:rFonts w:eastAsiaTheme="minorHAnsi"/>
          <w:lang w:eastAsia="en-US"/>
        </w:rPr>
        <w:t xml:space="preserve"> факт</w:t>
      </w:r>
      <w:r w:rsidR="000A54E3" w:rsidRPr="00680203">
        <w:rPr>
          <w:rFonts w:eastAsiaTheme="minorHAnsi"/>
          <w:lang w:eastAsia="en-US"/>
        </w:rPr>
        <w:t>ов</w:t>
      </w:r>
      <w:r w:rsidRPr="00680203">
        <w:rPr>
          <w:rFonts w:eastAsiaTheme="minorHAnsi"/>
          <w:lang w:eastAsia="en-US"/>
        </w:rPr>
        <w:t xml:space="preserve"> </w:t>
      </w:r>
      <w:r w:rsidR="008E60F7" w:rsidRPr="00680203">
        <w:rPr>
          <w:rFonts w:eastAsiaTheme="minorHAnsi"/>
          <w:lang w:eastAsia="en-US"/>
        </w:rPr>
        <w:t>нарушения методики определения общего объема и порядка расчета межбюджетных трансфертов</w:t>
      </w:r>
      <w:r w:rsidR="000A54E3" w:rsidRPr="00502D7A">
        <w:rPr>
          <w:rFonts w:eastAsiaTheme="minorHAnsi"/>
          <w:lang w:eastAsia="en-US"/>
        </w:rPr>
        <w:t>;</w:t>
      </w:r>
    </w:p>
    <w:p w:rsidR="008E60F7" w:rsidRPr="00502D7A" w:rsidRDefault="007E0021" w:rsidP="00250E6C">
      <w:pPr>
        <w:spacing w:line="360" w:lineRule="auto"/>
        <w:ind w:firstLine="709"/>
        <w:jc w:val="both"/>
        <w:rPr>
          <w:rFonts w:eastAsiaTheme="minorHAnsi"/>
          <w:lang w:eastAsia="en-US"/>
        </w:rPr>
      </w:pPr>
      <w:r>
        <w:rPr>
          <w:rFonts w:eastAsiaTheme="minorHAnsi"/>
          <w:lang w:eastAsia="en-US"/>
        </w:rPr>
        <w:t>отсутствие адресного распределения субсидий;</w:t>
      </w:r>
      <w:r w:rsidR="008E60F7" w:rsidRPr="00502D7A">
        <w:rPr>
          <w:rFonts w:eastAsiaTheme="minorHAnsi"/>
          <w:lang w:eastAsia="en-US"/>
        </w:rPr>
        <w:t xml:space="preserve"> </w:t>
      </w:r>
    </w:p>
    <w:p w:rsidR="007F3EE1" w:rsidRDefault="007F3EE1" w:rsidP="00250E6C">
      <w:pPr>
        <w:spacing w:line="360" w:lineRule="auto"/>
        <w:ind w:firstLine="709"/>
        <w:jc w:val="both"/>
        <w:rPr>
          <w:rFonts w:eastAsiaTheme="minorHAnsi"/>
          <w:lang w:eastAsia="en-US"/>
        </w:rPr>
      </w:pPr>
      <w:r>
        <w:rPr>
          <w:rFonts w:eastAsiaTheme="minorHAnsi"/>
          <w:lang w:eastAsia="en-US"/>
        </w:rPr>
        <w:t>не внесены необходимые изменения в правила предоставления и распределения консолидированных субсидий</w:t>
      </w:r>
      <w:r w:rsidR="00F342C5">
        <w:rPr>
          <w:rFonts w:eastAsiaTheme="minorHAnsi"/>
          <w:lang w:eastAsia="en-US"/>
        </w:rPr>
        <w:t>.</w:t>
      </w:r>
    </w:p>
    <w:p w:rsidR="0042496A" w:rsidRPr="0042496A" w:rsidRDefault="00502D7A" w:rsidP="00A25474">
      <w:pPr>
        <w:spacing w:line="360" w:lineRule="auto"/>
        <w:ind w:firstLine="709"/>
        <w:jc w:val="both"/>
        <w:rPr>
          <w:szCs w:val="28"/>
        </w:rPr>
      </w:pPr>
      <w:r w:rsidRPr="00502D7A">
        <w:rPr>
          <w:szCs w:val="28"/>
        </w:rPr>
        <w:t xml:space="preserve">Отдельным главным распорядителям предложено </w:t>
      </w:r>
      <w:r w:rsidR="00F342C5">
        <w:rPr>
          <w:szCs w:val="28"/>
        </w:rPr>
        <w:t>перераспределить</w:t>
      </w:r>
      <w:r w:rsidRPr="00502D7A">
        <w:rPr>
          <w:szCs w:val="28"/>
        </w:rPr>
        <w:t xml:space="preserve"> </w:t>
      </w:r>
      <w:r w:rsidR="00FE4409" w:rsidRPr="00502D7A">
        <w:rPr>
          <w:szCs w:val="28"/>
        </w:rPr>
        <w:t>бюджетны</w:t>
      </w:r>
      <w:r w:rsidR="00FE4409">
        <w:rPr>
          <w:szCs w:val="28"/>
        </w:rPr>
        <w:t>е</w:t>
      </w:r>
      <w:r w:rsidR="00FE4409" w:rsidRPr="00502D7A">
        <w:rPr>
          <w:szCs w:val="28"/>
        </w:rPr>
        <w:t xml:space="preserve"> </w:t>
      </w:r>
      <w:r w:rsidRPr="00502D7A">
        <w:rPr>
          <w:szCs w:val="28"/>
        </w:rPr>
        <w:t>ассигновани</w:t>
      </w:r>
      <w:r w:rsidR="00FE4409">
        <w:rPr>
          <w:szCs w:val="28"/>
        </w:rPr>
        <w:t>я</w:t>
      </w:r>
      <w:r w:rsidRPr="00502D7A">
        <w:rPr>
          <w:szCs w:val="28"/>
        </w:rPr>
        <w:t xml:space="preserve">, </w:t>
      </w:r>
      <w:r w:rsidR="00FE4409" w:rsidRPr="00502D7A">
        <w:rPr>
          <w:szCs w:val="28"/>
        </w:rPr>
        <w:t>предусмотренны</w:t>
      </w:r>
      <w:r w:rsidR="00FE4409">
        <w:rPr>
          <w:szCs w:val="28"/>
        </w:rPr>
        <w:t>е</w:t>
      </w:r>
      <w:r w:rsidR="00FE4409" w:rsidRPr="00502D7A">
        <w:rPr>
          <w:szCs w:val="28"/>
        </w:rPr>
        <w:t xml:space="preserve"> </w:t>
      </w:r>
      <w:r w:rsidRPr="00502D7A">
        <w:rPr>
          <w:szCs w:val="28"/>
        </w:rPr>
        <w:t xml:space="preserve">на предоставление межбюджетных трансфертов на иные цели, а также </w:t>
      </w:r>
      <w:r w:rsidR="00FE4409">
        <w:rPr>
          <w:szCs w:val="28"/>
        </w:rPr>
        <w:t>сократить объем</w:t>
      </w:r>
      <w:r w:rsidRPr="00502D7A">
        <w:rPr>
          <w:szCs w:val="28"/>
        </w:rPr>
        <w:t xml:space="preserve"> планируемых бюджетных ассигнований на 2026</w:t>
      </w:r>
      <w:r w:rsidRPr="00502D7A">
        <w:t>–</w:t>
      </w:r>
      <w:r w:rsidRPr="00502D7A">
        <w:rPr>
          <w:szCs w:val="28"/>
        </w:rPr>
        <w:t>2028 годы</w:t>
      </w:r>
      <w:r>
        <w:rPr>
          <w:szCs w:val="28"/>
        </w:rPr>
        <w:t>.</w:t>
      </w:r>
    </w:p>
    <w:p w:rsidR="00A11016" w:rsidRDefault="00A11016" w:rsidP="00A11016">
      <w:pPr>
        <w:spacing w:line="360" w:lineRule="auto"/>
        <w:ind w:firstLine="709"/>
        <w:jc w:val="both"/>
        <w:rPr>
          <w:bCs/>
        </w:rPr>
      </w:pPr>
      <w:r w:rsidRPr="0042496A">
        <w:rPr>
          <w:bCs/>
        </w:rPr>
        <w:t>Выявлены нарушения Порядка формирования (внесения изменений) и представления главными распорядителями средств федерального бюджета обоснований бюджетных ассигнований на предоставление межбюджетных трансфертов</w:t>
      </w:r>
      <w:r w:rsidR="009A4F1D" w:rsidRPr="00502D7A">
        <w:rPr>
          <w:bCs/>
        </w:rPr>
        <w:t>.</w:t>
      </w:r>
    </w:p>
    <w:p w:rsidR="001A0A26" w:rsidRPr="00502D7A" w:rsidRDefault="001A0A26" w:rsidP="00A11016">
      <w:pPr>
        <w:spacing w:line="360" w:lineRule="auto"/>
        <w:ind w:firstLine="709"/>
        <w:jc w:val="both"/>
        <w:rPr>
          <w:bCs/>
        </w:rPr>
      </w:pPr>
      <w:r w:rsidRPr="001A0A26">
        <w:rPr>
          <w:bCs/>
        </w:rPr>
        <w:t xml:space="preserve">Примеры отдельных недостатков при </w:t>
      </w:r>
      <w:r>
        <w:rPr>
          <w:bCs/>
        </w:rPr>
        <w:t xml:space="preserve">планировании </w:t>
      </w:r>
      <w:r w:rsidRPr="001A0A26">
        <w:rPr>
          <w:bCs/>
        </w:rPr>
        <w:t xml:space="preserve">бюджетных ассигнований на предоставление межбюджетных трансфертов бюджетам субъектов Российской Федерации приведены в приложениях № 1 и </w:t>
      </w:r>
      <w:r w:rsidR="007A71F9">
        <w:rPr>
          <w:bCs/>
        </w:rPr>
        <w:t xml:space="preserve">№ </w:t>
      </w:r>
      <w:r w:rsidRPr="001A0A26">
        <w:rPr>
          <w:bCs/>
        </w:rPr>
        <w:t>2, содержащем сведения ограниченного распространения с пометкой «Для служебного пользования», к Заключению.</w:t>
      </w:r>
    </w:p>
    <w:sectPr w:rsidR="001A0A26" w:rsidRPr="00502D7A" w:rsidSect="00D9356D">
      <w:headerReference w:type="even" r:id="rId9"/>
      <w:headerReference w:type="default" r:id="rId10"/>
      <w:footnotePr>
        <w:numStart w:val="120"/>
      </w:footnotePr>
      <w:type w:val="continuous"/>
      <w:pgSz w:w="11906" w:h="16838"/>
      <w:pgMar w:top="1134" w:right="851" w:bottom="1134" w:left="1418" w:header="709" w:footer="709" w:gutter="0"/>
      <w:pgNumType w:start="28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EB" w:rsidRDefault="003004EB" w:rsidP="00812C5D">
      <w:r>
        <w:separator/>
      </w:r>
    </w:p>
  </w:endnote>
  <w:endnote w:type="continuationSeparator" w:id="0">
    <w:p w:rsidR="003004EB" w:rsidRDefault="003004EB" w:rsidP="0081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DotumChe">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EB" w:rsidRDefault="003004EB" w:rsidP="00812C5D">
      <w:r>
        <w:separator/>
      </w:r>
    </w:p>
  </w:footnote>
  <w:footnote w:type="continuationSeparator" w:id="0">
    <w:p w:rsidR="003004EB" w:rsidRDefault="003004EB" w:rsidP="00812C5D">
      <w:r>
        <w:continuationSeparator/>
      </w:r>
    </w:p>
  </w:footnote>
  <w:footnote w:id="1">
    <w:p w:rsidR="003004EB" w:rsidRPr="0048296B" w:rsidRDefault="003004EB" w:rsidP="00C76AF1">
      <w:pPr>
        <w:pStyle w:val="af5"/>
        <w:spacing w:line="240" w:lineRule="auto"/>
        <w:rPr>
          <w:sz w:val="18"/>
          <w:szCs w:val="18"/>
        </w:rPr>
      </w:pPr>
      <w:r w:rsidRPr="0048296B">
        <w:rPr>
          <w:rStyle w:val="af7"/>
          <w:sz w:val="18"/>
          <w:szCs w:val="18"/>
        </w:rPr>
        <w:footnoteRef/>
      </w:r>
      <w:r w:rsidRPr="0048296B">
        <w:rPr>
          <w:sz w:val="18"/>
          <w:szCs w:val="18"/>
        </w:rPr>
        <w:t xml:space="preserve"> </w:t>
      </w:r>
      <w:r w:rsidRPr="0048296B">
        <w:rPr>
          <w:sz w:val="18"/>
          <w:szCs w:val="18"/>
          <w:lang w:val="ru-RU"/>
        </w:rPr>
        <w:t xml:space="preserve">Перечень поручений по реализации Послания Президента Федеральному Собранию Российской Федерации </w:t>
      </w:r>
      <w:r>
        <w:rPr>
          <w:sz w:val="18"/>
          <w:szCs w:val="18"/>
          <w:lang w:val="ru-RU"/>
        </w:rPr>
        <w:br/>
      </w:r>
      <w:r w:rsidRPr="0048296B">
        <w:rPr>
          <w:sz w:val="18"/>
          <w:szCs w:val="18"/>
          <w:lang w:val="ru-RU"/>
        </w:rPr>
        <w:t>от 29 февраля 2024 года, утвержденный Президентом Российской Федерации 30 марта 2024 г. № Пр-616 (далее – поручение № Пр-616).</w:t>
      </w:r>
    </w:p>
  </w:footnote>
  <w:footnote w:id="2">
    <w:p w:rsidR="003004EB" w:rsidRPr="0048296B" w:rsidRDefault="003004EB" w:rsidP="00CB7750">
      <w:pPr>
        <w:pStyle w:val="af5"/>
        <w:spacing w:line="240" w:lineRule="auto"/>
        <w:rPr>
          <w:sz w:val="18"/>
          <w:szCs w:val="18"/>
          <w:lang w:val="ru-RU"/>
        </w:rPr>
      </w:pPr>
      <w:r w:rsidRPr="0048296B">
        <w:rPr>
          <w:rStyle w:val="af7"/>
          <w:sz w:val="18"/>
          <w:szCs w:val="18"/>
        </w:rPr>
        <w:footnoteRef/>
      </w:r>
      <w:r w:rsidRPr="0048296B">
        <w:rPr>
          <w:sz w:val="18"/>
          <w:szCs w:val="18"/>
        </w:rPr>
        <w:t xml:space="preserve"> </w:t>
      </w:r>
      <w:r w:rsidRPr="0048296B">
        <w:rPr>
          <w:sz w:val="18"/>
          <w:szCs w:val="18"/>
          <w:lang w:val="ru-RU"/>
        </w:rPr>
        <w:t>Проект</w:t>
      </w:r>
      <w:r w:rsidRPr="0048296B">
        <w:rPr>
          <w:sz w:val="18"/>
          <w:szCs w:val="18"/>
        </w:rPr>
        <w:t xml:space="preserve"> федерального закона № 1026188-2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 (далее – законопроект № 1026188-2), </w:t>
      </w:r>
      <w:r w:rsidRPr="0048296B">
        <w:rPr>
          <w:sz w:val="18"/>
          <w:szCs w:val="18"/>
          <w:lang w:val="ru-RU"/>
        </w:rPr>
        <w:t>направленный</w:t>
      </w:r>
      <w:r w:rsidRPr="0048296B">
        <w:rPr>
          <w:sz w:val="18"/>
          <w:szCs w:val="18"/>
        </w:rPr>
        <w:t xml:space="preserve"> одновременно с </w:t>
      </w:r>
      <w:r w:rsidRPr="0048296B">
        <w:rPr>
          <w:sz w:val="18"/>
          <w:szCs w:val="18"/>
          <w:lang w:val="ru-RU"/>
        </w:rPr>
        <w:t>проектом федерального закона «О федеральном бюджете на 2026 год и на плановый период 2027 и 2028 годов».</w:t>
      </w:r>
    </w:p>
  </w:footnote>
  <w:footnote w:id="3">
    <w:p w:rsidR="003004EB" w:rsidRPr="0048296B" w:rsidRDefault="003004EB">
      <w:pPr>
        <w:pStyle w:val="af5"/>
        <w:rPr>
          <w:sz w:val="18"/>
          <w:szCs w:val="18"/>
        </w:rPr>
      </w:pPr>
      <w:r w:rsidRPr="0048296B">
        <w:rPr>
          <w:rStyle w:val="af7"/>
          <w:sz w:val="18"/>
          <w:szCs w:val="18"/>
        </w:rPr>
        <w:footnoteRef/>
      </w:r>
      <w:r w:rsidRPr="0048296B">
        <w:rPr>
          <w:sz w:val="18"/>
          <w:szCs w:val="18"/>
        </w:rPr>
        <w:t xml:space="preserve"> В соответствии с материалами, представленными одновременно с проектом федерального закона </w:t>
      </w:r>
      <w:r>
        <w:rPr>
          <w:sz w:val="18"/>
          <w:szCs w:val="18"/>
        </w:rPr>
        <w:br/>
      </w:r>
      <w:r w:rsidRPr="0048296B">
        <w:rPr>
          <w:sz w:val="18"/>
          <w:szCs w:val="18"/>
        </w:rPr>
        <w:t>«О федеральном бюджете на 2026 год и на плановый период 2027 и 2028 годов».</w:t>
      </w:r>
    </w:p>
  </w:footnote>
  <w:footnote w:id="4">
    <w:p w:rsidR="003004EB" w:rsidRPr="0048296B" w:rsidRDefault="003004EB" w:rsidP="00F1296C">
      <w:pPr>
        <w:pStyle w:val="af1"/>
        <w:ind w:left="0" w:firstLine="709"/>
        <w:jc w:val="both"/>
        <w:rPr>
          <w:sz w:val="18"/>
          <w:szCs w:val="18"/>
        </w:rPr>
      </w:pPr>
      <w:r w:rsidRPr="0048296B">
        <w:rPr>
          <w:rStyle w:val="af7"/>
          <w:sz w:val="18"/>
          <w:szCs w:val="18"/>
        </w:rPr>
        <w:footnoteRef/>
      </w:r>
      <w:r w:rsidRPr="0048296B">
        <w:rPr>
          <w:sz w:val="18"/>
          <w:szCs w:val="18"/>
        </w:rPr>
        <w:t xml:space="preserve"> </w:t>
      </w:r>
      <w:r w:rsidRPr="0048296B">
        <w:rPr>
          <w:color w:val="000000"/>
          <w:sz w:val="18"/>
          <w:szCs w:val="18"/>
        </w:rPr>
        <w:t>Республика Башкортостан, Республика Бурятия, Республика Дагестан, Республика Ингушетия, Кабардино-Балкарская Республика, Карачаево-Черкесская Республика, Республика Хакасия, Чеченская Республика, Камчатский край, Пермский край, Ставропольский край, Архангельская, Астраханская, Волгоградская, Новгородская, Томская и Херсонская области.</w:t>
      </w:r>
    </w:p>
  </w:footnote>
  <w:footnote w:id="5">
    <w:p w:rsidR="003004EB" w:rsidRPr="0048296B" w:rsidRDefault="003004EB" w:rsidP="00332D3A">
      <w:pPr>
        <w:pStyle w:val="af1"/>
        <w:ind w:left="0" w:firstLine="709"/>
        <w:jc w:val="both"/>
        <w:rPr>
          <w:sz w:val="18"/>
          <w:szCs w:val="18"/>
        </w:rPr>
      </w:pPr>
      <w:r w:rsidRPr="0048296B">
        <w:rPr>
          <w:rStyle w:val="af7"/>
          <w:sz w:val="18"/>
          <w:szCs w:val="18"/>
        </w:rPr>
        <w:footnoteRef/>
      </w:r>
      <w:r w:rsidRPr="0048296B">
        <w:rPr>
          <w:sz w:val="18"/>
          <w:szCs w:val="18"/>
        </w:rPr>
        <w:t xml:space="preserve"> </w:t>
      </w:r>
      <w:r w:rsidRPr="0048296B">
        <w:rPr>
          <w:color w:val="000000"/>
          <w:sz w:val="18"/>
          <w:szCs w:val="18"/>
        </w:rPr>
        <w:t>Республика Карелия, Удмуртская Республика, Забайкальский край, Владимирская, Ивановская, Кировская, Костромская, Омская, Пензенская, Рязанская, Тамбовская, Тверская, Еврейская автономная область, Чукотский автономный округ.</w:t>
      </w:r>
    </w:p>
  </w:footnote>
  <w:footnote w:id="6">
    <w:p w:rsidR="003004EB" w:rsidRPr="0048296B" w:rsidRDefault="003004EB" w:rsidP="00F1296C">
      <w:pPr>
        <w:pStyle w:val="af5"/>
        <w:spacing w:line="240" w:lineRule="auto"/>
        <w:rPr>
          <w:sz w:val="18"/>
          <w:szCs w:val="18"/>
        </w:rPr>
      </w:pPr>
      <w:r w:rsidRPr="0048296B">
        <w:rPr>
          <w:rStyle w:val="af7"/>
          <w:sz w:val="18"/>
          <w:szCs w:val="18"/>
        </w:rPr>
        <w:footnoteRef/>
      </w:r>
      <w:r w:rsidRPr="0048296B">
        <w:rPr>
          <w:sz w:val="18"/>
          <w:szCs w:val="18"/>
        </w:rPr>
        <w:t xml:space="preserve"> В соответствии с поручениями Президента Российской Федерации от 10 июля 2025 г. № Пр-1581 и Правительства Российской Федерации от 26 мая 2025 г. № МД-П16-67пркс.</w:t>
      </w:r>
    </w:p>
  </w:footnote>
  <w:footnote w:id="7">
    <w:p w:rsidR="003004EB" w:rsidRPr="0048296B" w:rsidRDefault="003004EB">
      <w:pPr>
        <w:pStyle w:val="af5"/>
        <w:rPr>
          <w:sz w:val="18"/>
          <w:szCs w:val="18"/>
        </w:rPr>
      </w:pPr>
      <w:r w:rsidRPr="0048296B">
        <w:rPr>
          <w:rStyle w:val="af7"/>
          <w:sz w:val="18"/>
          <w:szCs w:val="18"/>
        </w:rPr>
        <w:footnoteRef/>
      </w:r>
      <w:r w:rsidRPr="0048296B">
        <w:rPr>
          <w:sz w:val="18"/>
          <w:szCs w:val="18"/>
        </w:rPr>
        <w:t xml:space="preserve"> Белгородская область – 523,5 млн рублей, Брянская область – 610,4 млн рублей, Курская область – 1</w:t>
      </w:r>
      <w:r w:rsidRPr="0048296B">
        <w:rPr>
          <w:sz w:val="18"/>
          <w:szCs w:val="18"/>
          <w:lang w:val="ru-RU"/>
        </w:rPr>
        <w:t> </w:t>
      </w:r>
      <w:r w:rsidRPr="0048296B">
        <w:rPr>
          <w:sz w:val="18"/>
          <w:szCs w:val="18"/>
        </w:rPr>
        <w:t>591,1 млн рублей.</w:t>
      </w:r>
    </w:p>
  </w:footnote>
  <w:footnote w:id="8">
    <w:p w:rsidR="003004EB" w:rsidRPr="0048296B" w:rsidRDefault="003004EB">
      <w:pPr>
        <w:pStyle w:val="af5"/>
        <w:rPr>
          <w:sz w:val="18"/>
          <w:szCs w:val="18"/>
        </w:rPr>
      </w:pPr>
      <w:r w:rsidRPr="0048296B">
        <w:rPr>
          <w:rStyle w:val="af7"/>
          <w:sz w:val="18"/>
          <w:szCs w:val="18"/>
        </w:rPr>
        <w:footnoteRef/>
      </w:r>
      <w:r w:rsidRPr="0048296B">
        <w:rPr>
          <w:sz w:val="18"/>
          <w:szCs w:val="18"/>
        </w:rPr>
        <w:t xml:space="preserve"> Белгородская область – 1 325,7 млн рублей, Брянская область – 352,1 млн рублей, Курская область – 767,8 млн рублей, Московская область – 243,0 млн рублей.</w:t>
      </w:r>
    </w:p>
  </w:footnote>
  <w:footnote w:id="9">
    <w:p w:rsidR="003004EB" w:rsidRPr="0048296B" w:rsidRDefault="003004EB" w:rsidP="00F1296C">
      <w:pPr>
        <w:pStyle w:val="af5"/>
        <w:spacing w:line="240" w:lineRule="auto"/>
        <w:rPr>
          <w:sz w:val="18"/>
          <w:szCs w:val="18"/>
        </w:rPr>
      </w:pPr>
      <w:r w:rsidRPr="0048296B">
        <w:rPr>
          <w:rStyle w:val="af7"/>
          <w:sz w:val="18"/>
          <w:szCs w:val="18"/>
        </w:rPr>
        <w:footnoteRef/>
      </w:r>
      <w:r w:rsidRPr="0048296B">
        <w:rPr>
          <w:sz w:val="18"/>
          <w:szCs w:val="18"/>
        </w:rPr>
        <w:t xml:space="preserve"> Республике Адыгея, Республике Алтай, Донецкой Народной Республике, Республике Калмыкия, Луганской Народной Республике, Республике Марий Эл, Республике Тыва, Республике Хакасия, Чувашской Республике, Алтайскому краю, Запорожской, Курганской, Псковской и Херсонской областям.</w:t>
      </w:r>
    </w:p>
  </w:footnote>
  <w:footnote w:id="10">
    <w:p w:rsidR="003004EB" w:rsidRPr="0048296B" w:rsidRDefault="003004EB" w:rsidP="00F1296C">
      <w:pPr>
        <w:pStyle w:val="af5"/>
        <w:spacing w:line="240" w:lineRule="auto"/>
        <w:rPr>
          <w:sz w:val="18"/>
          <w:szCs w:val="18"/>
          <w:lang w:val="ru-RU"/>
        </w:rPr>
      </w:pPr>
      <w:r w:rsidRPr="0048296B">
        <w:rPr>
          <w:rStyle w:val="af7"/>
          <w:sz w:val="18"/>
          <w:szCs w:val="18"/>
        </w:rPr>
        <w:footnoteRef/>
      </w:r>
      <w:r w:rsidRPr="0048296B">
        <w:rPr>
          <w:sz w:val="18"/>
          <w:szCs w:val="18"/>
        </w:rPr>
        <w:t xml:space="preserve"> Постановление Правительства Российской Федерации от 11 сентября 2024 г. № 1231 «Об особенностях определения предельного уровня софинансирования расходного обязательства су</w:t>
      </w:r>
      <w:r>
        <w:rPr>
          <w:sz w:val="18"/>
          <w:szCs w:val="18"/>
        </w:rPr>
        <w:t>бъекта Российской Федерации, г.</w:t>
      </w:r>
      <w:r>
        <w:rPr>
          <w:sz w:val="18"/>
          <w:szCs w:val="18"/>
          <w:lang w:val="ru-RU"/>
        </w:rPr>
        <w:t> </w:t>
      </w:r>
      <w:r w:rsidRPr="0048296B">
        <w:rPr>
          <w:sz w:val="18"/>
          <w:szCs w:val="18"/>
        </w:rPr>
        <w:t>Байконура и федеральной территории «Сириус», о внесении изменений в постановление Правительства Российской Федерации от 30 сентября 2014 г. № 999 и признании утратившими силу некоторых актов Правительства Российской Федерации»</w:t>
      </w:r>
      <w:r w:rsidRPr="0048296B">
        <w:rPr>
          <w:sz w:val="18"/>
          <w:szCs w:val="18"/>
          <w:lang w:val="ru-RU"/>
        </w:rPr>
        <w:t>.</w:t>
      </w:r>
    </w:p>
  </w:footnote>
  <w:footnote w:id="11">
    <w:p w:rsidR="003004EB" w:rsidRPr="0048296B" w:rsidRDefault="003004EB" w:rsidP="00CA62FE">
      <w:pPr>
        <w:pStyle w:val="af5"/>
        <w:spacing w:line="240" w:lineRule="auto"/>
        <w:rPr>
          <w:sz w:val="18"/>
          <w:szCs w:val="18"/>
          <w:lang w:val="ru-RU"/>
        </w:rPr>
      </w:pPr>
      <w:r w:rsidRPr="0048296B">
        <w:rPr>
          <w:rStyle w:val="af7"/>
          <w:sz w:val="18"/>
          <w:szCs w:val="18"/>
        </w:rPr>
        <w:footnoteRef/>
      </w:r>
      <w:r w:rsidRPr="0048296B">
        <w:rPr>
          <w:sz w:val="18"/>
          <w:szCs w:val="18"/>
        </w:rPr>
        <w:t xml:space="preserve"> Распоряжение Правительства Российской Федерации от 15 июля 2014 г. № 1309-р «Об утверждении перечня субвенций из федерального бюджета бюджетам субъектов Российской Федерации и бюджету г.</w:t>
      </w:r>
      <w:r w:rsidRPr="0048296B">
        <w:rPr>
          <w:sz w:val="18"/>
          <w:szCs w:val="18"/>
          <w:lang w:val="ru-RU"/>
        </w:rPr>
        <w:t> </w:t>
      </w:r>
      <w:r w:rsidRPr="0048296B">
        <w:rPr>
          <w:sz w:val="18"/>
          <w:szCs w:val="18"/>
        </w:rPr>
        <w:t>Байконура, формирующих единую субвенцию бюджетам субъектов Российской Федерации и бюджету г.</w:t>
      </w:r>
      <w:r w:rsidRPr="0048296B">
        <w:rPr>
          <w:sz w:val="18"/>
          <w:szCs w:val="18"/>
          <w:lang w:val="ru-RU"/>
        </w:rPr>
        <w:t> </w:t>
      </w:r>
      <w:r w:rsidRPr="0048296B">
        <w:rPr>
          <w:sz w:val="18"/>
          <w:szCs w:val="18"/>
        </w:rPr>
        <w:t>Байконура из федерального бюджета»</w:t>
      </w:r>
      <w:r w:rsidRPr="0048296B">
        <w:rPr>
          <w:sz w:val="18"/>
          <w:szCs w:val="18"/>
          <w:lang w:val="ru-RU"/>
        </w:rPr>
        <w:t>.</w:t>
      </w:r>
    </w:p>
  </w:footnote>
  <w:footnote w:id="12">
    <w:p w:rsidR="003004EB" w:rsidRPr="0048296B" w:rsidRDefault="003004EB" w:rsidP="002960B9">
      <w:pPr>
        <w:pStyle w:val="af5"/>
        <w:spacing w:line="240" w:lineRule="auto"/>
        <w:rPr>
          <w:sz w:val="18"/>
          <w:szCs w:val="18"/>
          <w:lang w:val="ru-RU"/>
        </w:rPr>
      </w:pPr>
      <w:r w:rsidRPr="0048296B">
        <w:rPr>
          <w:rStyle w:val="af7"/>
          <w:sz w:val="18"/>
          <w:szCs w:val="18"/>
        </w:rPr>
        <w:footnoteRef/>
      </w:r>
      <w:r w:rsidRPr="0048296B">
        <w:rPr>
          <w:sz w:val="18"/>
          <w:szCs w:val="18"/>
        </w:rPr>
        <w:t xml:space="preserve"> Правил</w:t>
      </w:r>
      <w:r w:rsidRPr="0048296B">
        <w:rPr>
          <w:sz w:val="18"/>
          <w:szCs w:val="18"/>
          <w:lang w:val="ru-RU"/>
        </w:rPr>
        <w:t>а</w:t>
      </w:r>
      <w:r w:rsidRPr="0048296B">
        <w:rPr>
          <w:sz w:val="18"/>
          <w:szCs w:val="18"/>
        </w:rPr>
        <w:t xml:space="preserve"> формирования, предоставления и распределения субсидий из федерального бюджета бюджетам субъектов Российской Федерации, утвержденны</w:t>
      </w:r>
      <w:r w:rsidRPr="0048296B">
        <w:rPr>
          <w:sz w:val="18"/>
          <w:szCs w:val="18"/>
          <w:lang w:val="ru-RU"/>
        </w:rPr>
        <w:t>е</w:t>
      </w:r>
      <w:r w:rsidRPr="0048296B">
        <w:rPr>
          <w:sz w:val="18"/>
          <w:szCs w:val="18"/>
        </w:rPr>
        <w:t xml:space="preserve"> постановлением Правительства Российской Федерации от 30 сентября 2014 г. № 999</w:t>
      </w:r>
      <w:r w:rsidRPr="0048296B">
        <w:rPr>
          <w:sz w:val="18"/>
          <w:szCs w:val="18"/>
          <w:lang w:val="ru-RU"/>
        </w:rPr>
        <w:t xml:space="preserve"> (далее – Правила № 999).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EB" w:rsidRDefault="003004EB" w:rsidP="00374CD1">
    <w:pPr>
      <w:pStyle w:val="ab"/>
      <w:framePr w:wrap="around" w:vAnchor="text" w:hAnchor="margin" w:xAlign="center" w:y="1"/>
      <w:rPr>
        <w:rStyle w:val="af"/>
      </w:rPr>
    </w:pPr>
    <w:r>
      <w:rPr>
        <w:rStyle w:val="af"/>
      </w:rPr>
      <w:fldChar w:fldCharType="begin"/>
    </w:r>
    <w:r>
      <w:rPr>
        <w:rStyle w:val="af"/>
      </w:rPr>
      <w:instrText xml:space="preserve"> PAGE </w:instrText>
    </w:r>
    <w:r>
      <w:rPr>
        <w:rStyle w:val="af"/>
      </w:rPr>
      <w:fldChar w:fldCharType="end"/>
    </w:r>
  </w:p>
  <w:p w:rsidR="003004EB" w:rsidRPr="00D9356D" w:rsidRDefault="003004EB" w:rsidP="00D9356D">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EB" w:rsidRPr="00D9356D" w:rsidRDefault="003004EB" w:rsidP="00374CD1">
    <w:pPr>
      <w:pStyle w:val="ab"/>
      <w:framePr w:wrap="around" w:vAnchor="text" w:hAnchor="margin" w:xAlign="center" w:y="1"/>
      <w:rPr>
        <w:rStyle w:val="af"/>
      </w:rPr>
    </w:pPr>
    <w:r w:rsidRPr="00D9356D">
      <w:rPr>
        <w:rStyle w:val="af"/>
      </w:rPr>
      <w:fldChar w:fldCharType="begin"/>
    </w:r>
    <w:r w:rsidRPr="00D9356D">
      <w:rPr>
        <w:rStyle w:val="af"/>
      </w:rPr>
      <w:instrText xml:space="preserve"> PAGE </w:instrText>
    </w:r>
    <w:r w:rsidRPr="00D9356D">
      <w:rPr>
        <w:rStyle w:val="af"/>
      </w:rPr>
      <w:fldChar w:fldCharType="separate"/>
    </w:r>
    <w:r w:rsidR="003418D9">
      <w:rPr>
        <w:rStyle w:val="af"/>
        <w:noProof/>
      </w:rPr>
      <w:t>285</w:t>
    </w:r>
    <w:r w:rsidRPr="00D9356D">
      <w:rPr>
        <w:rStyle w:val="af"/>
      </w:rPr>
      <w:fldChar w:fldCharType="end"/>
    </w:r>
  </w:p>
  <w:p w:rsidR="003004EB" w:rsidRPr="00D9356D" w:rsidRDefault="003004EB" w:rsidP="00D9356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540"/>
        </w:tabs>
        <w:ind w:left="3972" w:hanging="432"/>
      </w:pPr>
    </w:lvl>
    <w:lvl w:ilvl="1">
      <w:start w:val="1"/>
      <w:numFmt w:val="none"/>
      <w:suff w:val="nothing"/>
      <w:lvlText w:val=""/>
      <w:lvlJc w:val="left"/>
      <w:pPr>
        <w:tabs>
          <w:tab w:val="num" w:pos="3540"/>
        </w:tabs>
        <w:ind w:left="4116" w:hanging="576"/>
      </w:pPr>
    </w:lvl>
    <w:lvl w:ilvl="2">
      <w:start w:val="1"/>
      <w:numFmt w:val="none"/>
      <w:suff w:val="nothing"/>
      <w:lvlText w:val=""/>
      <w:lvlJc w:val="left"/>
      <w:pPr>
        <w:tabs>
          <w:tab w:val="num" w:pos="3540"/>
        </w:tabs>
        <w:ind w:left="4260" w:hanging="720"/>
      </w:pPr>
    </w:lvl>
    <w:lvl w:ilvl="3">
      <w:start w:val="1"/>
      <w:numFmt w:val="none"/>
      <w:suff w:val="nothing"/>
      <w:lvlText w:val=""/>
      <w:lvlJc w:val="left"/>
      <w:pPr>
        <w:tabs>
          <w:tab w:val="num" w:pos="3540"/>
        </w:tabs>
        <w:ind w:left="4404" w:hanging="864"/>
      </w:pPr>
    </w:lvl>
    <w:lvl w:ilvl="4">
      <w:start w:val="1"/>
      <w:numFmt w:val="none"/>
      <w:suff w:val="nothing"/>
      <w:lvlText w:val=""/>
      <w:lvlJc w:val="left"/>
      <w:pPr>
        <w:tabs>
          <w:tab w:val="num" w:pos="3540"/>
        </w:tabs>
        <w:ind w:left="4548" w:hanging="1008"/>
      </w:pPr>
    </w:lvl>
    <w:lvl w:ilvl="5">
      <w:start w:val="1"/>
      <w:numFmt w:val="none"/>
      <w:suff w:val="nothing"/>
      <w:lvlText w:val=""/>
      <w:lvlJc w:val="left"/>
      <w:pPr>
        <w:tabs>
          <w:tab w:val="num" w:pos="3540"/>
        </w:tabs>
        <w:ind w:left="4692" w:hanging="1152"/>
      </w:pPr>
    </w:lvl>
    <w:lvl w:ilvl="6">
      <w:start w:val="1"/>
      <w:numFmt w:val="none"/>
      <w:suff w:val="nothing"/>
      <w:lvlText w:val=""/>
      <w:lvlJc w:val="left"/>
      <w:pPr>
        <w:tabs>
          <w:tab w:val="num" w:pos="3540"/>
        </w:tabs>
        <w:ind w:left="4836" w:hanging="1296"/>
      </w:pPr>
    </w:lvl>
    <w:lvl w:ilvl="7">
      <w:start w:val="1"/>
      <w:numFmt w:val="none"/>
      <w:suff w:val="nothing"/>
      <w:lvlText w:val=""/>
      <w:lvlJc w:val="left"/>
      <w:pPr>
        <w:tabs>
          <w:tab w:val="num" w:pos="3540"/>
        </w:tabs>
        <w:ind w:left="4980" w:hanging="1440"/>
      </w:pPr>
    </w:lvl>
    <w:lvl w:ilvl="8">
      <w:start w:val="1"/>
      <w:numFmt w:val="none"/>
      <w:suff w:val="nothing"/>
      <w:lvlText w:val=""/>
      <w:lvlJc w:val="left"/>
      <w:pPr>
        <w:tabs>
          <w:tab w:val="num" w:pos="3540"/>
        </w:tabs>
        <w:ind w:left="5124" w:hanging="1584"/>
      </w:pPr>
    </w:lvl>
  </w:abstractNum>
  <w:abstractNum w:abstractNumId="1" w15:restartNumberingAfterBreak="0">
    <w:nsid w:val="02841E69"/>
    <w:multiLevelType w:val="hybridMultilevel"/>
    <w:tmpl w:val="AD5EA096"/>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 w15:restartNumberingAfterBreak="0">
    <w:nsid w:val="02E653C2"/>
    <w:multiLevelType w:val="hybridMultilevel"/>
    <w:tmpl w:val="DF8EFA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460B32"/>
    <w:multiLevelType w:val="hybridMultilevel"/>
    <w:tmpl w:val="690ECF00"/>
    <w:lvl w:ilvl="0" w:tplc="FFFFFFFF">
      <w:start w:val="1"/>
      <w:numFmt w:val="bullet"/>
      <w:lvlText w:val="-"/>
      <w:lvlJc w:val="left"/>
      <w:pPr>
        <w:tabs>
          <w:tab w:val="num" w:pos="0"/>
        </w:tabs>
        <w:ind w:left="0" w:firstLine="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F23F8"/>
    <w:multiLevelType w:val="multilevel"/>
    <w:tmpl w:val="34A04866"/>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EA397E"/>
    <w:multiLevelType w:val="hybridMultilevel"/>
    <w:tmpl w:val="CD8644EC"/>
    <w:lvl w:ilvl="0" w:tplc="04190001">
      <w:start w:val="1"/>
      <w:numFmt w:val="bullet"/>
      <w:lvlText w:val=""/>
      <w:lvlJc w:val="left"/>
      <w:pPr>
        <w:ind w:left="1710" w:hanging="360"/>
      </w:pPr>
      <w:rPr>
        <w:rFonts w:ascii="Symbol" w:hAnsi="Symbol" w:cs="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6" w15:restartNumberingAfterBreak="0">
    <w:nsid w:val="2FAB68E1"/>
    <w:multiLevelType w:val="hybridMultilevel"/>
    <w:tmpl w:val="87E26DF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7709F2"/>
    <w:multiLevelType w:val="hybridMultilevel"/>
    <w:tmpl w:val="CD64EB54"/>
    <w:lvl w:ilvl="0" w:tplc="767046BA">
      <w:start w:val="10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A2B45B3"/>
    <w:multiLevelType w:val="hybridMultilevel"/>
    <w:tmpl w:val="93A8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1030CE"/>
    <w:multiLevelType w:val="hybridMultilevel"/>
    <w:tmpl w:val="CEEA96D8"/>
    <w:lvl w:ilvl="0" w:tplc="AEAA3F40">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58A7DF7"/>
    <w:multiLevelType w:val="hybridMultilevel"/>
    <w:tmpl w:val="5B5E9FB6"/>
    <w:lvl w:ilvl="0" w:tplc="04190001">
      <w:start w:val="1"/>
      <w:numFmt w:val="bullet"/>
      <w:lvlText w:val=""/>
      <w:lvlJc w:val="left"/>
      <w:pPr>
        <w:tabs>
          <w:tab w:val="num" w:pos="1353"/>
        </w:tabs>
        <w:ind w:left="1353" w:hanging="360"/>
      </w:pPr>
      <w:rPr>
        <w:rFonts w:ascii="Symbol" w:hAnsi="Symbol" w:cs="Symbol" w:hint="default"/>
      </w:rPr>
    </w:lvl>
    <w:lvl w:ilvl="1" w:tplc="04190003">
      <w:start w:val="1"/>
      <w:numFmt w:val="bullet"/>
      <w:lvlText w:val="o"/>
      <w:lvlJc w:val="left"/>
      <w:pPr>
        <w:tabs>
          <w:tab w:val="num" w:pos="2743"/>
        </w:tabs>
        <w:ind w:left="2743" w:hanging="360"/>
      </w:pPr>
      <w:rPr>
        <w:rFonts w:ascii="Courier New" w:hAnsi="Courier New" w:cs="Courier New" w:hint="default"/>
      </w:rPr>
    </w:lvl>
    <w:lvl w:ilvl="2" w:tplc="04190005">
      <w:start w:val="1"/>
      <w:numFmt w:val="decimal"/>
      <w:lvlText w:val="%3."/>
      <w:lvlJc w:val="left"/>
      <w:pPr>
        <w:tabs>
          <w:tab w:val="num" w:pos="3463"/>
        </w:tabs>
        <w:ind w:left="3463" w:hanging="360"/>
      </w:pPr>
    </w:lvl>
    <w:lvl w:ilvl="3" w:tplc="04190001">
      <w:start w:val="1"/>
      <w:numFmt w:val="decimal"/>
      <w:lvlText w:val="%4."/>
      <w:lvlJc w:val="left"/>
      <w:pPr>
        <w:tabs>
          <w:tab w:val="num" w:pos="4183"/>
        </w:tabs>
        <w:ind w:left="4183" w:hanging="360"/>
      </w:pPr>
    </w:lvl>
    <w:lvl w:ilvl="4" w:tplc="04190003">
      <w:start w:val="1"/>
      <w:numFmt w:val="decimal"/>
      <w:lvlText w:val="%5."/>
      <w:lvlJc w:val="left"/>
      <w:pPr>
        <w:tabs>
          <w:tab w:val="num" w:pos="4903"/>
        </w:tabs>
        <w:ind w:left="4903" w:hanging="360"/>
      </w:pPr>
    </w:lvl>
    <w:lvl w:ilvl="5" w:tplc="04190005">
      <w:start w:val="1"/>
      <w:numFmt w:val="decimal"/>
      <w:lvlText w:val="%6."/>
      <w:lvlJc w:val="left"/>
      <w:pPr>
        <w:tabs>
          <w:tab w:val="num" w:pos="5623"/>
        </w:tabs>
        <w:ind w:left="5623" w:hanging="360"/>
      </w:pPr>
    </w:lvl>
    <w:lvl w:ilvl="6" w:tplc="04190001">
      <w:start w:val="1"/>
      <w:numFmt w:val="decimal"/>
      <w:lvlText w:val="%7."/>
      <w:lvlJc w:val="left"/>
      <w:pPr>
        <w:tabs>
          <w:tab w:val="num" w:pos="6343"/>
        </w:tabs>
        <w:ind w:left="6343" w:hanging="360"/>
      </w:pPr>
    </w:lvl>
    <w:lvl w:ilvl="7" w:tplc="04190003">
      <w:start w:val="1"/>
      <w:numFmt w:val="decimal"/>
      <w:lvlText w:val="%8."/>
      <w:lvlJc w:val="left"/>
      <w:pPr>
        <w:tabs>
          <w:tab w:val="num" w:pos="7063"/>
        </w:tabs>
        <w:ind w:left="7063" w:hanging="360"/>
      </w:pPr>
    </w:lvl>
    <w:lvl w:ilvl="8" w:tplc="04190005">
      <w:start w:val="1"/>
      <w:numFmt w:val="decimal"/>
      <w:lvlText w:val="%9."/>
      <w:lvlJc w:val="left"/>
      <w:pPr>
        <w:tabs>
          <w:tab w:val="num" w:pos="7783"/>
        </w:tabs>
        <w:ind w:left="7783" w:hanging="360"/>
      </w:pPr>
    </w:lvl>
  </w:abstractNum>
  <w:abstractNum w:abstractNumId="11" w15:restartNumberingAfterBreak="0">
    <w:nsid w:val="4AB549D6"/>
    <w:multiLevelType w:val="hybridMultilevel"/>
    <w:tmpl w:val="9EE0616A"/>
    <w:lvl w:ilvl="0" w:tplc="1AE2D4D6">
      <w:start w:val="1"/>
      <w:numFmt w:val="bullet"/>
      <w:lvlText w:val=""/>
      <w:lvlJc w:val="left"/>
      <w:pPr>
        <w:tabs>
          <w:tab w:val="num" w:pos="1069"/>
        </w:tabs>
        <w:ind w:left="1069" w:hanging="360"/>
      </w:pPr>
      <w:rPr>
        <w:rFonts w:ascii="Symbol" w:hAnsi="Symbol" w:cs="Symbol" w:hint="default"/>
      </w:rPr>
    </w:lvl>
    <w:lvl w:ilvl="1" w:tplc="04190001">
      <w:start w:val="1"/>
      <w:numFmt w:val="bullet"/>
      <w:lvlText w:val=""/>
      <w:lvlJc w:val="left"/>
      <w:pPr>
        <w:tabs>
          <w:tab w:val="num" w:pos="1070"/>
        </w:tabs>
        <w:ind w:left="1070"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52750BAF"/>
    <w:multiLevelType w:val="hybridMultilevel"/>
    <w:tmpl w:val="7E1EEA6C"/>
    <w:lvl w:ilvl="0" w:tplc="9D6252E4">
      <w:start w:val="7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6CF792E"/>
    <w:multiLevelType w:val="hybridMultilevel"/>
    <w:tmpl w:val="D5D86646"/>
    <w:lvl w:ilvl="0" w:tplc="B2CCEEE8">
      <w:start w:val="13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7DA0F3D"/>
    <w:multiLevelType w:val="hybridMultilevel"/>
    <w:tmpl w:val="3D600164"/>
    <w:lvl w:ilvl="0" w:tplc="20F6CC26">
      <w:start w:val="1"/>
      <w:numFmt w:val="bullet"/>
      <w:pStyle w:val="a"/>
      <w:lvlText w:val=""/>
      <w:lvlJc w:val="left"/>
      <w:pPr>
        <w:tabs>
          <w:tab w:val="num" w:pos="2345"/>
        </w:tabs>
        <w:ind w:left="2345" w:hanging="360"/>
      </w:pPr>
      <w:rPr>
        <w:rFonts w:ascii="Symbol" w:hAnsi="Symbol" w:cs="Symbol" w:hint="default"/>
      </w:rPr>
    </w:lvl>
    <w:lvl w:ilvl="1" w:tplc="04190003">
      <w:start w:val="1"/>
      <w:numFmt w:val="decimal"/>
      <w:lvlText w:val="%2."/>
      <w:lvlJc w:val="left"/>
      <w:pPr>
        <w:tabs>
          <w:tab w:val="num" w:pos="2148"/>
        </w:tabs>
        <w:ind w:left="2148" w:hanging="360"/>
      </w:pPr>
    </w:lvl>
    <w:lvl w:ilvl="2" w:tplc="04190005">
      <w:start w:val="1"/>
      <w:numFmt w:val="decimal"/>
      <w:lvlText w:val="%3."/>
      <w:lvlJc w:val="left"/>
      <w:pPr>
        <w:tabs>
          <w:tab w:val="num" w:pos="2868"/>
        </w:tabs>
        <w:ind w:left="2868" w:hanging="360"/>
      </w:pPr>
    </w:lvl>
    <w:lvl w:ilvl="3" w:tplc="04190001">
      <w:start w:val="1"/>
      <w:numFmt w:val="decimal"/>
      <w:lvlText w:val="%4."/>
      <w:lvlJc w:val="left"/>
      <w:pPr>
        <w:tabs>
          <w:tab w:val="num" w:pos="3588"/>
        </w:tabs>
        <w:ind w:left="3588" w:hanging="360"/>
      </w:pPr>
    </w:lvl>
    <w:lvl w:ilvl="4" w:tplc="04190003">
      <w:start w:val="1"/>
      <w:numFmt w:val="decimal"/>
      <w:lvlText w:val="%5."/>
      <w:lvlJc w:val="left"/>
      <w:pPr>
        <w:tabs>
          <w:tab w:val="num" w:pos="4308"/>
        </w:tabs>
        <w:ind w:left="4308" w:hanging="360"/>
      </w:pPr>
    </w:lvl>
    <w:lvl w:ilvl="5" w:tplc="04190005">
      <w:start w:val="1"/>
      <w:numFmt w:val="decimal"/>
      <w:lvlText w:val="%6."/>
      <w:lvlJc w:val="left"/>
      <w:pPr>
        <w:tabs>
          <w:tab w:val="num" w:pos="5028"/>
        </w:tabs>
        <w:ind w:left="5028" w:hanging="360"/>
      </w:pPr>
    </w:lvl>
    <w:lvl w:ilvl="6" w:tplc="04190001">
      <w:start w:val="1"/>
      <w:numFmt w:val="decimal"/>
      <w:lvlText w:val="%7."/>
      <w:lvlJc w:val="left"/>
      <w:pPr>
        <w:tabs>
          <w:tab w:val="num" w:pos="5748"/>
        </w:tabs>
        <w:ind w:left="5748" w:hanging="360"/>
      </w:pPr>
    </w:lvl>
    <w:lvl w:ilvl="7" w:tplc="04190003">
      <w:start w:val="1"/>
      <w:numFmt w:val="decimal"/>
      <w:lvlText w:val="%8."/>
      <w:lvlJc w:val="left"/>
      <w:pPr>
        <w:tabs>
          <w:tab w:val="num" w:pos="6468"/>
        </w:tabs>
        <w:ind w:left="6468" w:hanging="360"/>
      </w:pPr>
    </w:lvl>
    <w:lvl w:ilvl="8" w:tplc="04190005">
      <w:start w:val="1"/>
      <w:numFmt w:val="decimal"/>
      <w:lvlText w:val="%9."/>
      <w:lvlJc w:val="left"/>
      <w:pPr>
        <w:tabs>
          <w:tab w:val="num" w:pos="7188"/>
        </w:tabs>
        <w:ind w:left="7188" w:hanging="360"/>
      </w:pPr>
    </w:lvl>
  </w:abstractNum>
  <w:abstractNum w:abstractNumId="15" w15:restartNumberingAfterBreak="0">
    <w:nsid w:val="5ED847BB"/>
    <w:multiLevelType w:val="hybridMultilevel"/>
    <w:tmpl w:val="38684E88"/>
    <w:lvl w:ilvl="0" w:tplc="052E251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34A6138"/>
    <w:multiLevelType w:val="multilevel"/>
    <w:tmpl w:val="51F0D3A6"/>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6C77716F"/>
    <w:multiLevelType w:val="hybridMultilevel"/>
    <w:tmpl w:val="12D6F6C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4"/>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1"/>
  </w:num>
  <w:num w:numId="15">
    <w:abstractNumId w:val="5"/>
  </w:num>
  <w:num w:numId="16">
    <w:abstractNumId w:val="0"/>
  </w:num>
  <w:num w:numId="17">
    <w:abstractNumId w:val="16"/>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7"/>
  </w:num>
  <w:num w:numId="25">
    <w:abstractNumId w:val="13"/>
  </w:num>
  <w:num w:numId="26">
    <w:abstractNumId w:val="2"/>
  </w:num>
  <w:num w:numId="27">
    <w:abstractNumId w:val="15"/>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53249"/>
  </w:hdrShapeDefaults>
  <w:footnotePr>
    <w:numStart w:val="12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9E"/>
    <w:rsid w:val="0000001F"/>
    <w:rsid w:val="00000099"/>
    <w:rsid w:val="00000379"/>
    <w:rsid w:val="00000A20"/>
    <w:rsid w:val="00000AE3"/>
    <w:rsid w:val="0000126C"/>
    <w:rsid w:val="00001748"/>
    <w:rsid w:val="00001F5D"/>
    <w:rsid w:val="000020F6"/>
    <w:rsid w:val="000028A4"/>
    <w:rsid w:val="00002CAE"/>
    <w:rsid w:val="00002F91"/>
    <w:rsid w:val="00003528"/>
    <w:rsid w:val="00004014"/>
    <w:rsid w:val="00004DF1"/>
    <w:rsid w:val="00004F6F"/>
    <w:rsid w:val="00005F3E"/>
    <w:rsid w:val="00005FE9"/>
    <w:rsid w:val="0000616C"/>
    <w:rsid w:val="00006433"/>
    <w:rsid w:val="00006659"/>
    <w:rsid w:val="00006BCF"/>
    <w:rsid w:val="00007761"/>
    <w:rsid w:val="00010EB9"/>
    <w:rsid w:val="00011056"/>
    <w:rsid w:val="00011438"/>
    <w:rsid w:val="00011555"/>
    <w:rsid w:val="00011C3E"/>
    <w:rsid w:val="00012059"/>
    <w:rsid w:val="00012742"/>
    <w:rsid w:val="00012A1C"/>
    <w:rsid w:val="00012DAE"/>
    <w:rsid w:val="0001324D"/>
    <w:rsid w:val="000136D3"/>
    <w:rsid w:val="000138C4"/>
    <w:rsid w:val="00013BD5"/>
    <w:rsid w:val="00014D0A"/>
    <w:rsid w:val="00014F19"/>
    <w:rsid w:val="00015540"/>
    <w:rsid w:val="00015589"/>
    <w:rsid w:val="00015822"/>
    <w:rsid w:val="00015885"/>
    <w:rsid w:val="000160BC"/>
    <w:rsid w:val="00016768"/>
    <w:rsid w:val="0001686E"/>
    <w:rsid w:val="00016B77"/>
    <w:rsid w:val="000170FC"/>
    <w:rsid w:val="00017255"/>
    <w:rsid w:val="000176E8"/>
    <w:rsid w:val="0001779F"/>
    <w:rsid w:val="0001794C"/>
    <w:rsid w:val="00017C7B"/>
    <w:rsid w:val="00017F03"/>
    <w:rsid w:val="00017F61"/>
    <w:rsid w:val="00020327"/>
    <w:rsid w:val="000205D8"/>
    <w:rsid w:val="00020615"/>
    <w:rsid w:val="00020C7B"/>
    <w:rsid w:val="00020F61"/>
    <w:rsid w:val="00021532"/>
    <w:rsid w:val="00021555"/>
    <w:rsid w:val="00021650"/>
    <w:rsid w:val="000219B7"/>
    <w:rsid w:val="00021CD1"/>
    <w:rsid w:val="00022204"/>
    <w:rsid w:val="0002249E"/>
    <w:rsid w:val="000224CE"/>
    <w:rsid w:val="00022522"/>
    <w:rsid w:val="000230BD"/>
    <w:rsid w:val="000230DD"/>
    <w:rsid w:val="0002357C"/>
    <w:rsid w:val="000240C6"/>
    <w:rsid w:val="000241C3"/>
    <w:rsid w:val="00024630"/>
    <w:rsid w:val="00024ECF"/>
    <w:rsid w:val="0002552D"/>
    <w:rsid w:val="00025772"/>
    <w:rsid w:val="00025F66"/>
    <w:rsid w:val="0002610C"/>
    <w:rsid w:val="000278CA"/>
    <w:rsid w:val="000279D1"/>
    <w:rsid w:val="00030488"/>
    <w:rsid w:val="00031106"/>
    <w:rsid w:val="000315CD"/>
    <w:rsid w:val="000320F4"/>
    <w:rsid w:val="00032A8C"/>
    <w:rsid w:val="00032FD6"/>
    <w:rsid w:val="00033175"/>
    <w:rsid w:val="00033730"/>
    <w:rsid w:val="00033816"/>
    <w:rsid w:val="00034213"/>
    <w:rsid w:val="00034384"/>
    <w:rsid w:val="00034724"/>
    <w:rsid w:val="00034C9F"/>
    <w:rsid w:val="00034D88"/>
    <w:rsid w:val="00034E00"/>
    <w:rsid w:val="000361BD"/>
    <w:rsid w:val="00036A4A"/>
    <w:rsid w:val="00036B5C"/>
    <w:rsid w:val="000370AF"/>
    <w:rsid w:val="000371C8"/>
    <w:rsid w:val="00037554"/>
    <w:rsid w:val="00040A79"/>
    <w:rsid w:val="00040E22"/>
    <w:rsid w:val="00041A64"/>
    <w:rsid w:val="00041ACC"/>
    <w:rsid w:val="00041EC1"/>
    <w:rsid w:val="0004218B"/>
    <w:rsid w:val="00042365"/>
    <w:rsid w:val="00042D3C"/>
    <w:rsid w:val="00043519"/>
    <w:rsid w:val="00043D3B"/>
    <w:rsid w:val="0004450A"/>
    <w:rsid w:val="0004473E"/>
    <w:rsid w:val="0004534E"/>
    <w:rsid w:val="00045BC2"/>
    <w:rsid w:val="00045CBC"/>
    <w:rsid w:val="00045F49"/>
    <w:rsid w:val="00046355"/>
    <w:rsid w:val="000463B1"/>
    <w:rsid w:val="0004661D"/>
    <w:rsid w:val="00046C76"/>
    <w:rsid w:val="00046CAC"/>
    <w:rsid w:val="00046E8B"/>
    <w:rsid w:val="00046EF7"/>
    <w:rsid w:val="000503A4"/>
    <w:rsid w:val="000503E0"/>
    <w:rsid w:val="0005162A"/>
    <w:rsid w:val="00051B67"/>
    <w:rsid w:val="00051FED"/>
    <w:rsid w:val="000521B2"/>
    <w:rsid w:val="000522CA"/>
    <w:rsid w:val="00053257"/>
    <w:rsid w:val="00053973"/>
    <w:rsid w:val="00053AC4"/>
    <w:rsid w:val="00054339"/>
    <w:rsid w:val="00055739"/>
    <w:rsid w:val="00055FCD"/>
    <w:rsid w:val="00056515"/>
    <w:rsid w:val="00056553"/>
    <w:rsid w:val="00056687"/>
    <w:rsid w:val="00057B55"/>
    <w:rsid w:val="0006107E"/>
    <w:rsid w:val="00061E23"/>
    <w:rsid w:val="000622F2"/>
    <w:rsid w:val="0006256F"/>
    <w:rsid w:val="0006296C"/>
    <w:rsid w:val="00063170"/>
    <w:rsid w:val="00064886"/>
    <w:rsid w:val="000648DA"/>
    <w:rsid w:val="000649B8"/>
    <w:rsid w:val="00064D38"/>
    <w:rsid w:val="00065150"/>
    <w:rsid w:val="00065682"/>
    <w:rsid w:val="00066A71"/>
    <w:rsid w:val="00066E32"/>
    <w:rsid w:val="0006703E"/>
    <w:rsid w:val="0006797C"/>
    <w:rsid w:val="00067A76"/>
    <w:rsid w:val="00067C6F"/>
    <w:rsid w:val="000715EA"/>
    <w:rsid w:val="00071CBA"/>
    <w:rsid w:val="00072B84"/>
    <w:rsid w:val="000731A9"/>
    <w:rsid w:val="0007345B"/>
    <w:rsid w:val="00073AD3"/>
    <w:rsid w:val="00073B49"/>
    <w:rsid w:val="00073BE3"/>
    <w:rsid w:val="00073F6E"/>
    <w:rsid w:val="000743E3"/>
    <w:rsid w:val="000743E4"/>
    <w:rsid w:val="000749BD"/>
    <w:rsid w:val="00074CAD"/>
    <w:rsid w:val="00074F29"/>
    <w:rsid w:val="00075A4C"/>
    <w:rsid w:val="00075D0A"/>
    <w:rsid w:val="00076D16"/>
    <w:rsid w:val="000775A7"/>
    <w:rsid w:val="00077721"/>
    <w:rsid w:val="00080281"/>
    <w:rsid w:val="0008061F"/>
    <w:rsid w:val="00080D98"/>
    <w:rsid w:val="00081106"/>
    <w:rsid w:val="00081119"/>
    <w:rsid w:val="0008126A"/>
    <w:rsid w:val="00081294"/>
    <w:rsid w:val="00081375"/>
    <w:rsid w:val="000823B2"/>
    <w:rsid w:val="000824B5"/>
    <w:rsid w:val="000824E2"/>
    <w:rsid w:val="00082B5B"/>
    <w:rsid w:val="00082B7F"/>
    <w:rsid w:val="00082EF6"/>
    <w:rsid w:val="000832A2"/>
    <w:rsid w:val="00083B87"/>
    <w:rsid w:val="00083C40"/>
    <w:rsid w:val="00083D17"/>
    <w:rsid w:val="00084739"/>
    <w:rsid w:val="0008497B"/>
    <w:rsid w:val="00085108"/>
    <w:rsid w:val="000859F9"/>
    <w:rsid w:val="000862EE"/>
    <w:rsid w:val="00086881"/>
    <w:rsid w:val="00086AC3"/>
    <w:rsid w:val="00087090"/>
    <w:rsid w:val="00087363"/>
    <w:rsid w:val="000875B9"/>
    <w:rsid w:val="00087F70"/>
    <w:rsid w:val="0009055C"/>
    <w:rsid w:val="0009119D"/>
    <w:rsid w:val="000914A0"/>
    <w:rsid w:val="00091838"/>
    <w:rsid w:val="00091D37"/>
    <w:rsid w:val="000942CE"/>
    <w:rsid w:val="00094315"/>
    <w:rsid w:val="00094D09"/>
    <w:rsid w:val="00095403"/>
    <w:rsid w:val="000954B0"/>
    <w:rsid w:val="000958A2"/>
    <w:rsid w:val="00095ED9"/>
    <w:rsid w:val="00096010"/>
    <w:rsid w:val="0009606E"/>
    <w:rsid w:val="000960E2"/>
    <w:rsid w:val="000968D1"/>
    <w:rsid w:val="0009699C"/>
    <w:rsid w:val="00096D79"/>
    <w:rsid w:val="00096FC6"/>
    <w:rsid w:val="0009787C"/>
    <w:rsid w:val="00097A36"/>
    <w:rsid w:val="00097B6B"/>
    <w:rsid w:val="000A0B27"/>
    <w:rsid w:val="000A0DAE"/>
    <w:rsid w:val="000A3B65"/>
    <w:rsid w:val="000A4351"/>
    <w:rsid w:val="000A4803"/>
    <w:rsid w:val="000A54E3"/>
    <w:rsid w:val="000A5535"/>
    <w:rsid w:val="000A55E0"/>
    <w:rsid w:val="000A55EC"/>
    <w:rsid w:val="000A5B2B"/>
    <w:rsid w:val="000A5CBF"/>
    <w:rsid w:val="000A5E05"/>
    <w:rsid w:val="000A65D8"/>
    <w:rsid w:val="000A6D58"/>
    <w:rsid w:val="000A6E41"/>
    <w:rsid w:val="000A7044"/>
    <w:rsid w:val="000A79B0"/>
    <w:rsid w:val="000A7D1E"/>
    <w:rsid w:val="000B0D7A"/>
    <w:rsid w:val="000B1396"/>
    <w:rsid w:val="000B1B06"/>
    <w:rsid w:val="000B23C3"/>
    <w:rsid w:val="000B27C5"/>
    <w:rsid w:val="000B36D2"/>
    <w:rsid w:val="000B399E"/>
    <w:rsid w:val="000B3BFE"/>
    <w:rsid w:val="000B3C43"/>
    <w:rsid w:val="000B3E9E"/>
    <w:rsid w:val="000B4219"/>
    <w:rsid w:val="000B455B"/>
    <w:rsid w:val="000B49C9"/>
    <w:rsid w:val="000B4C2D"/>
    <w:rsid w:val="000B4F49"/>
    <w:rsid w:val="000B553D"/>
    <w:rsid w:val="000B5636"/>
    <w:rsid w:val="000B563D"/>
    <w:rsid w:val="000B5A83"/>
    <w:rsid w:val="000B5ABE"/>
    <w:rsid w:val="000B5CE5"/>
    <w:rsid w:val="000B697F"/>
    <w:rsid w:val="000B7CD6"/>
    <w:rsid w:val="000C00BD"/>
    <w:rsid w:val="000C042E"/>
    <w:rsid w:val="000C0AE1"/>
    <w:rsid w:val="000C175C"/>
    <w:rsid w:val="000C1B38"/>
    <w:rsid w:val="000C2363"/>
    <w:rsid w:val="000C2452"/>
    <w:rsid w:val="000C2EDC"/>
    <w:rsid w:val="000C3596"/>
    <w:rsid w:val="000C36A5"/>
    <w:rsid w:val="000C3D35"/>
    <w:rsid w:val="000C52CA"/>
    <w:rsid w:val="000C5337"/>
    <w:rsid w:val="000C54FA"/>
    <w:rsid w:val="000C664D"/>
    <w:rsid w:val="000C6A53"/>
    <w:rsid w:val="000C6D44"/>
    <w:rsid w:val="000C7A13"/>
    <w:rsid w:val="000D04B2"/>
    <w:rsid w:val="000D060B"/>
    <w:rsid w:val="000D06A8"/>
    <w:rsid w:val="000D0929"/>
    <w:rsid w:val="000D0B91"/>
    <w:rsid w:val="000D136E"/>
    <w:rsid w:val="000D158B"/>
    <w:rsid w:val="000D16A2"/>
    <w:rsid w:val="000D1900"/>
    <w:rsid w:val="000D1A1A"/>
    <w:rsid w:val="000D1DFC"/>
    <w:rsid w:val="000D1F32"/>
    <w:rsid w:val="000D2735"/>
    <w:rsid w:val="000D308D"/>
    <w:rsid w:val="000D4470"/>
    <w:rsid w:val="000D473C"/>
    <w:rsid w:val="000D4E53"/>
    <w:rsid w:val="000D55A1"/>
    <w:rsid w:val="000D580E"/>
    <w:rsid w:val="000D59D8"/>
    <w:rsid w:val="000D60E8"/>
    <w:rsid w:val="000D6CCA"/>
    <w:rsid w:val="000D6E73"/>
    <w:rsid w:val="000D7548"/>
    <w:rsid w:val="000E0D44"/>
    <w:rsid w:val="000E1912"/>
    <w:rsid w:val="000E1C7D"/>
    <w:rsid w:val="000E2020"/>
    <w:rsid w:val="000E25AC"/>
    <w:rsid w:val="000E2932"/>
    <w:rsid w:val="000E3FAD"/>
    <w:rsid w:val="000E45E6"/>
    <w:rsid w:val="000E517A"/>
    <w:rsid w:val="000E56B7"/>
    <w:rsid w:val="000E6639"/>
    <w:rsid w:val="000E6EAD"/>
    <w:rsid w:val="000E76DE"/>
    <w:rsid w:val="000E7C8E"/>
    <w:rsid w:val="000F0268"/>
    <w:rsid w:val="000F0745"/>
    <w:rsid w:val="000F07E5"/>
    <w:rsid w:val="000F0A20"/>
    <w:rsid w:val="000F0A89"/>
    <w:rsid w:val="000F194E"/>
    <w:rsid w:val="000F1BB8"/>
    <w:rsid w:val="000F34FF"/>
    <w:rsid w:val="000F42B3"/>
    <w:rsid w:val="000F45F8"/>
    <w:rsid w:val="000F4EF4"/>
    <w:rsid w:val="000F4FD7"/>
    <w:rsid w:val="000F5572"/>
    <w:rsid w:val="000F561A"/>
    <w:rsid w:val="000F63AC"/>
    <w:rsid w:val="000F6493"/>
    <w:rsid w:val="000F7268"/>
    <w:rsid w:val="000F7306"/>
    <w:rsid w:val="000F7BE4"/>
    <w:rsid w:val="001001FF"/>
    <w:rsid w:val="001003BD"/>
    <w:rsid w:val="00100BB0"/>
    <w:rsid w:val="00100DB9"/>
    <w:rsid w:val="00100E84"/>
    <w:rsid w:val="00100F3F"/>
    <w:rsid w:val="00101971"/>
    <w:rsid w:val="00101AC9"/>
    <w:rsid w:val="001023A1"/>
    <w:rsid w:val="001026B7"/>
    <w:rsid w:val="001028B5"/>
    <w:rsid w:val="00103C15"/>
    <w:rsid w:val="001041A0"/>
    <w:rsid w:val="00104217"/>
    <w:rsid w:val="00104377"/>
    <w:rsid w:val="001043E7"/>
    <w:rsid w:val="00104C32"/>
    <w:rsid w:val="00104CCE"/>
    <w:rsid w:val="0010528F"/>
    <w:rsid w:val="00106113"/>
    <w:rsid w:val="0010618F"/>
    <w:rsid w:val="00106D23"/>
    <w:rsid w:val="00106F94"/>
    <w:rsid w:val="00107FF4"/>
    <w:rsid w:val="001100E6"/>
    <w:rsid w:val="00111097"/>
    <w:rsid w:val="00111118"/>
    <w:rsid w:val="00111B72"/>
    <w:rsid w:val="0011234B"/>
    <w:rsid w:val="001130CE"/>
    <w:rsid w:val="00113887"/>
    <w:rsid w:val="00113A0B"/>
    <w:rsid w:val="00113AF3"/>
    <w:rsid w:val="001143F9"/>
    <w:rsid w:val="00115EB3"/>
    <w:rsid w:val="001164A0"/>
    <w:rsid w:val="001168A8"/>
    <w:rsid w:val="00117B34"/>
    <w:rsid w:val="00117F95"/>
    <w:rsid w:val="001202D6"/>
    <w:rsid w:val="00121D9E"/>
    <w:rsid w:val="00121F2F"/>
    <w:rsid w:val="001220F6"/>
    <w:rsid w:val="00122148"/>
    <w:rsid w:val="00122182"/>
    <w:rsid w:val="0012221B"/>
    <w:rsid w:val="00122343"/>
    <w:rsid w:val="00122344"/>
    <w:rsid w:val="00122AEC"/>
    <w:rsid w:val="00122F1F"/>
    <w:rsid w:val="00123F03"/>
    <w:rsid w:val="00124747"/>
    <w:rsid w:val="00124F77"/>
    <w:rsid w:val="001257CB"/>
    <w:rsid w:val="00125D4C"/>
    <w:rsid w:val="001268A6"/>
    <w:rsid w:val="001269F4"/>
    <w:rsid w:val="00126D34"/>
    <w:rsid w:val="00126FE8"/>
    <w:rsid w:val="00127474"/>
    <w:rsid w:val="00130B06"/>
    <w:rsid w:val="00130DB2"/>
    <w:rsid w:val="00131205"/>
    <w:rsid w:val="00131441"/>
    <w:rsid w:val="00132005"/>
    <w:rsid w:val="00132216"/>
    <w:rsid w:val="00132307"/>
    <w:rsid w:val="0013233F"/>
    <w:rsid w:val="0013269F"/>
    <w:rsid w:val="00133239"/>
    <w:rsid w:val="001335DD"/>
    <w:rsid w:val="00133951"/>
    <w:rsid w:val="001340CB"/>
    <w:rsid w:val="00134612"/>
    <w:rsid w:val="001351C1"/>
    <w:rsid w:val="001355C5"/>
    <w:rsid w:val="00135930"/>
    <w:rsid w:val="00136080"/>
    <w:rsid w:val="001368AA"/>
    <w:rsid w:val="001374BB"/>
    <w:rsid w:val="00137721"/>
    <w:rsid w:val="00137C4A"/>
    <w:rsid w:val="00140FA9"/>
    <w:rsid w:val="00141308"/>
    <w:rsid w:val="001416FA"/>
    <w:rsid w:val="001417D6"/>
    <w:rsid w:val="00141C10"/>
    <w:rsid w:val="00141D16"/>
    <w:rsid w:val="00141D5F"/>
    <w:rsid w:val="001427F5"/>
    <w:rsid w:val="00142D19"/>
    <w:rsid w:val="00143121"/>
    <w:rsid w:val="001435E2"/>
    <w:rsid w:val="00143B74"/>
    <w:rsid w:val="00143C63"/>
    <w:rsid w:val="001440C2"/>
    <w:rsid w:val="001440D6"/>
    <w:rsid w:val="0014433C"/>
    <w:rsid w:val="001450E2"/>
    <w:rsid w:val="00145928"/>
    <w:rsid w:val="00145B93"/>
    <w:rsid w:val="00145E0E"/>
    <w:rsid w:val="0014622F"/>
    <w:rsid w:val="00146488"/>
    <w:rsid w:val="001467BC"/>
    <w:rsid w:val="00147070"/>
    <w:rsid w:val="0014725C"/>
    <w:rsid w:val="00147834"/>
    <w:rsid w:val="00147C7C"/>
    <w:rsid w:val="00150001"/>
    <w:rsid w:val="00150041"/>
    <w:rsid w:val="00150056"/>
    <w:rsid w:val="001501ED"/>
    <w:rsid w:val="0015164C"/>
    <w:rsid w:val="001517D5"/>
    <w:rsid w:val="001519B7"/>
    <w:rsid w:val="00151BE2"/>
    <w:rsid w:val="001521EB"/>
    <w:rsid w:val="001522BA"/>
    <w:rsid w:val="0015251C"/>
    <w:rsid w:val="0015270B"/>
    <w:rsid w:val="00153489"/>
    <w:rsid w:val="00153A9E"/>
    <w:rsid w:val="00153C23"/>
    <w:rsid w:val="00154372"/>
    <w:rsid w:val="001543CA"/>
    <w:rsid w:val="001544F8"/>
    <w:rsid w:val="00154797"/>
    <w:rsid w:val="00155212"/>
    <w:rsid w:val="0015599B"/>
    <w:rsid w:val="00155A3D"/>
    <w:rsid w:val="001563C1"/>
    <w:rsid w:val="00156473"/>
    <w:rsid w:val="00156EEE"/>
    <w:rsid w:val="00157639"/>
    <w:rsid w:val="001576FA"/>
    <w:rsid w:val="001604C5"/>
    <w:rsid w:val="00160AE7"/>
    <w:rsid w:val="001613DD"/>
    <w:rsid w:val="00161467"/>
    <w:rsid w:val="00161DC4"/>
    <w:rsid w:val="00162745"/>
    <w:rsid w:val="00163A8B"/>
    <w:rsid w:val="00164097"/>
    <w:rsid w:val="001646F6"/>
    <w:rsid w:val="00164EC4"/>
    <w:rsid w:val="00165686"/>
    <w:rsid w:val="00165738"/>
    <w:rsid w:val="00165B07"/>
    <w:rsid w:val="00165F3F"/>
    <w:rsid w:val="001660D5"/>
    <w:rsid w:val="0016640C"/>
    <w:rsid w:val="00166781"/>
    <w:rsid w:val="00167404"/>
    <w:rsid w:val="00167CF5"/>
    <w:rsid w:val="0017089D"/>
    <w:rsid w:val="00170D53"/>
    <w:rsid w:val="00171B71"/>
    <w:rsid w:val="00172738"/>
    <w:rsid w:val="001728E2"/>
    <w:rsid w:val="00173125"/>
    <w:rsid w:val="001731CC"/>
    <w:rsid w:val="00173456"/>
    <w:rsid w:val="00173CD7"/>
    <w:rsid w:val="00174023"/>
    <w:rsid w:val="00174552"/>
    <w:rsid w:val="00174A5C"/>
    <w:rsid w:val="00174DED"/>
    <w:rsid w:val="00175333"/>
    <w:rsid w:val="001753C7"/>
    <w:rsid w:val="00176376"/>
    <w:rsid w:val="001765A1"/>
    <w:rsid w:val="001767BE"/>
    <w:rsid w:val="001769E3"/>
    <w:rsid w:val="00176D14"/>
    <w:rsid w:val="00176D60"/>
    <w:rsid w:val="001800F3"/>
    <w:rsid w:val="0018029C"/>
    <w:rsid w:val="001808E5"/>
    <w:rsid w:val="00180CF3"/>
    <w:rsid w:val="00181BCE"/>
    <w:rsid w:val="00181E36"/>
    <w:rsid w:val="00182AE0"/>
    <w:rsid w:val="00183088"/>
    <w:rsid w:val="001835C9"/>
    <w:rsid w:val="00183620"/>
    <w:rsid w:val="001840C7"/>
    <w:rsid w:val="0018410F"/>
    <w:rsid w:val="00184127"/>
    <w:rsid w:val="00184166"/>
    <w:rsid w:val="001842EC"/>
    <w:rsid w:val="0018468F"/>
    <w:rsid w:val="001848DA"/>
    <w:rsid w:val="00184915"/>
    <w:rsid w:val="00185365"/>
    <w:rsid w:val="00185A16"/>
    <w:rsid w:val="00185A91"/>
    <w:rsid w:val="00185D66"/>
    <w:rsid w:val="00186578"/>
    <w:rsid w:val="001867B6"/>
    <w:rsid w:val="00186A05"/>
    <w:rsid w:val="00186A69"/>
    <w:rsid w:val="00187802"/>
    <w:rsid w:val="00187D7B"/>
    <w:rsid w:val="0019021D"/>
    <w:rsid w:val="0019040E"/>
    <w:rsid w:val="00190858"/>
    <w:rsid w:val="00190ADA"/>
    <w:rsid w:val="0019106F"/>
    <w:rsid w:val="00191B36"/>
    <w:rsid w:val="001921E1"/>
    <w:rsid w:val="001922A0"/>
    <w:rsid w:val="001928A5"/>
    <w:rsid w:val="00192CA2"/>
    <w:rsid w:val="00193517"/>
    <w:rsid w:val="0019354D"/>
    <w:rsid w:val="001938D3"/>
    <w:rsid w:val="00194F39"/>
    <w:rsid w:val="00194F92"/>
    <w:rsid w:val="001960D9"/>
    <w:rsid w:val="00196915"/>
    <w:rsid w:val="00196E80"/>
    <w:rsid w:val="001979D7"/>
    <w:rsid w:val="001A01BB"/>
    <w:rsid w:val="001A06B5"/>
    <w:rsid w:val="001A09E9"/>
    <w:rsid w:val="001A0A26"/>
    <w:rsid w:val="001A1214"/>
    <w:rsid w:val="001A1278"/>
    <w:rsid w:val="001A1397"/>
    <w:rsid w:val="001A1782"/>
    <w:rsid w:val="001A220D"/>
    <w:rsid w:val="001A236B"/>
    <w:rsid w:val="001A256B"/>
    <w:rsid w:val="001A2C56"/>
    <w:rsid w:val="001A348F"/>
    <w:rsid w:val="001A42DB"/>
    <w:rsid w:val="001A4B0B"/>
    <w:rsid w:val="001A51AA"/>
    <w:rsid w:val="001A5C21"/>
    <w:rsid w:val="001A5C87"/>
    <w:rsid w:val="001A6561"/>
    <w:rsid w:val="001A6D82"/>
    <w:rsid w:val="001A70DC"/>
    <w:rsid w:val="001A7DD3"/>
    <w:rsid w:val="001B0536"/>
    <w:rsid w:val="001B0696"/>
    <w:rsid w:val="001B128D"/>
    <w:rsid w:val="001B1850"/>
    <w:rsid w:val="001B22B2"/>
    <w:rsid w:val="001B39CC"/>
    <w:rsid w:val="001B4242"/>
    <w:rsid w:val="001B4334"/>
    <w:rsid w:val="001B4BAF"/>
    <w:rsid w:val="001B606F"/>
    <w:rsid w:val="001B6382"/>
    <w:rsid w:val="001B64AF"/>
    <w:rsid w:val="001B65E8"/>
    <w:rsid w:val="001C1CE1"/>
    <w:rsid w:val="001C1DE6"/>
    <w:rsid w:val="001C2B5B"/>
    <w:rsid w:val="001C302A"/>
    <w:rsid w:val="001C35F2"/>
    <w:rsid w:val="001C381C"/>
    <w:rsid w:val="001C4488"/>
    <w:rsid w:val="001C5C91"/>
    <w:rsid w:val="001C628D"/>
    <w:rsid w:val="001C6395"/>
    <w:rsid w:val="001C6679"/>
    <w:rsid w:val="001C679B"/>
    <w:rsid w:val="001C6880"/>
    <w:rsid w:val="001C6954"/>
    <w:rsid w:val="001C69A1"/>
    <w:rsid w:val="001C6EB0"/>
    <w:rsid w:val="001C6FAE"/>
    <w:rsid w:val="001C7154"/>
    <w:rsid w:val="001C78B3"/>
    <w:rsid w:val="001C7A60"/>
    <w:rsid w:val="001D04C9"/>
    <w:rsid w:val="001D13B3"/>
    <w:rsid w:val="001D1545"/>
    <w:rsid w:val="001D1C43"/>
    <w:rsid w:val="001D22DA"/>
    <w:rsid w:val="001D2550"/>
    <w:rsid w:val="001D2629"/>
    <w:rsid w:val="001D2C39"/>
    <w:rsid w:val="001D34FF"/>
    <w:rsid w:val="001D36B5"/>
    <w:rsid w:val="001D379B"/>
    <w:rsid w:val="001D3F38"/>
    <w:rsid w:val="001D4A21"/>
    <w:rsid w:val="001D4DBE"/>
    <w:rsid w:val="001D5386"/>
    <w:rsid w:val="001D6166"/>
    <w:rsid w:val="001D64BF"/>
    <w:rsid w:val="001D64DA"/>
    <w:rsid w:val="001D6547"/>
    <w:rsid w:val="001D65F2"/>
    <w:rsid w:val="001D6668"/>
    <w:rsid w:val="001D6763"/>
    <w:rsid w:val="001D69BC"/>
    <w:rsid w:val="001D70B8"/>
    <w:rsid w:val="001D7382"/>
    <w:rsid w:val="001D76D5"/>
    <w:rsid w:val="001D7C0C"/>
    <w:rsid w:val="001E0333"/>
    <w:rsid w:val="001E0524"/>
    <w:rsid w:val="001E0CBF"/>
    <w:rsid w:val="001E0E1D"/>
    <w:rsid w:val="001E1C97"/>
    <w:rsid w:val="001E1DD1"/>
    <w:rsid w:val="001E2550"/>
    <w:rsid w:val="001E25B5"/>
    <w:rsid w:val="001E2746"/>
    <w:rsid w:val="001E279D"/>
    <w:rsid w:val="001E2FC0"/>
    <w:rsid w:val="001E36AB"/>
    <w:rsid w:val="001E3E61"/>
    <w:rsid w:val="001E44CD"/>
    <w:rsid w:val="001E54E3"/>
    <w:rsid w:val="001E55B4"/>
    <w:rsid w:val="001E5FB4"/>
    <w:rsid w:val="001E661A"/>
    <w:rsid w:val="001E66A0"/>
    <w:rsid w:val="001E6718"/>
    <w:rsid w:val="001E68DF"/>
    <w:rsid w:val="001E6ADD"/>
    <w:rsid w:val="001E6B4B"/>
    <w:rsid w:val="001E6D70"/>
    <w:rsid w:val="001E75E0"/>
    <w:rsid w:val="001F042F"/>
    <w:rsid w:val="001F0DE5"/>
    <w:rsid w:val="001F0FBF"/>
    <w:rsid w:val="001F140C"/>
    <w:rsid w:val="001F1B69"/>
    <w:rsid w:val="001F2CD8"/>
    <w:rsid w:val="001F3FC1"/>
    <w:rsid w:val="001F4207"/>
    <w:rsid w:val="001F4543"/>
    <w:rsid w:val="001F490F"/>
    <w:rsid w:val="001F4A4D"/>
    <w:rsid w:val="001F5378"/>
    <w:rsid w:val="001F5605"/>
    <w:rsid w:val="001F63F0"/>
    <w:rsid w:val="001F661F"/>
    <w:rsid w:val="001F6F61"/>
    <w:rsid w:val="00200079"/>
    <w:rsid w:val="00200144"/>
    <w:rsid w:val="00200840"/>
    <w:rsid w:val="00200EAD"/>
    <w:rsid w:val="00200F40"/>
    <w:rsid w:val="00201260"/>
    <w:rsid w:val="0020185C"/>
    <w:rsid w:val="00201AE4"/>
    <w:rsid w:val="00201BC6"/>
    <w:rsid w:val="00201F2A"/>
    <w:rsid w:val="00201F56"/>
    <w:rsid w:val="0020421F"/>
    <w:rsid w:val="00204560"/>
    <w:rsid w:val="0020457E"/>
    <w:rsid w:val="002048EC"/>
    <w:rsid w:val="00204EAC"/>
    <w:rsid w:val="002053AD"/>
    <w:rsid w:val="0020588D"/>
    <w:rsid w:val="00205CA1"/>
    <w:rsid w:val="00206246"/>
    <w:rsid w:val="0020660B"/>
    <w:rsid w:val="002068B4"/>
    <w:rsid w:val="00207AA6"/>
    <w:rsid w:val="00210E94"/>
    <w:rsid w:val="002111CF"/>
    <w:rsid w:val="00211618"/>
    <w:rsid w:val="0021173D"/>
    <w:rsid w:val="002119A9"/>
    <w:rsid w:val="00211ADB"/>
    <w:rsid w:val="00211AFD"/>
    <w:rsid w:val="002122A8"/>
    <w:rsid w:val="00212C40"/>
    <w:rsid w:val="00213309"/>
    <w:rsid w:val="00214020"/>
    <w:rsid w:val="00214B4E"/>
    <w:rsid w:val="00214F31"/>
    <w:rsid w:val="002152E3"/>
    <w:rsid w:val="00215460"/>
    <w:rsid w:val="0021561B"/>
    <w:rsid w:val="002159AA"/>
    <w:rsid w:val="00215C2F"/>
    <w:rsid w:val="00215E87"/>
    <w:rsid w:val="00216025"/>
    <w:rsid w:val="002165C3"/>
    <w:rsid w:val="002168D5"/>
    <w:rsid w:val="002169C1"/>
    <w:rsid w:val="00216AD3"/>
    <w:rsid w:val="002178EC"/>
    <w:rsid w:val="00217C61"/>
    <w:rsid w:val="00217CF2"/>
    <w:rsid w:val="00217EB2"/>
    <w:rsid w:val="0022079E"/>
    <w:rsid w:val="00220ADD"/>
    <w:rsid w:val="002210CA"/>
    <w:rsid w:val="002217D8"/>
    <w:rsid w:val="00221EE6"/>
    <w:rsid w:val="002225EE"/>
    <w:rsid w:val="0022282E"/>
    <w:rsid w:val="00222D1C"/>
    <w:rsid w:val="0022330D"/>
    <w:rsid w:val="00223F70"/>
    <w:rsid w:val="00223FDB"/>
    <w:rsid w:val="0022417E"/>
    <w:rsid w:val="002242BD"/>
    <w:rsid w:val="00224B50"/>
    <w:rsid w:val="002255F3"/>
    <w:rsid w:val="0022607B"/>
    <w:rsid w:val="0022614B"/>
    <w:rsid w:val="00226215"/>
    <w:rsid w:val="00226837"/>
    <w:rsid w:val="00226B51"/>
    <w:rsid w:val="002278D9"/>
    <w:rsid w:val="002278DB"/>
    <w:rsid w:val="00227D63"/>
    <w:rsid w:val="002308D6"/>
    <w:rsid w:val="00230B24"/>
    <w:rsid w:val="00230DF5"/>
    <w:rsid w:val="002311A6"/>
    <w:rsid w:val="00231587"/>
    <w:rsid w:val="002329D2"/>
    <w:rsid w:val="00232D39"/>
    <w:rsid w:val="00232E76"/>
    <w:rsid w:val="00233773"/>
    <w:rsid w:val="00233987"/>
    <w:rsid w:val="00233D57"/>
    <w:rsid w:val="002340E0"/>
    <w:rsid w:val="00234A8A"/>
    <w:rsid w:val="00236608"/>
    <w:rsid w:val="00237E60"/>
    <w:rsid w:val="002400C1"/>
    <w:rsid w:val="0024046B"/>
    <w:rsid w:val="00241520"/>
    <w:rsid w:val="00241E8B"/>
    <w:rsid w:val="00241F77"/>
    <w:rsid w:val="0024261A"/>
    <w:rsid w:val="002426D6"/>
    <w:rsid w:val="002430CA"/>
    <w:rsid w:val="00244042"/>
    <w:rsid w:val="00244519"/>
    <w:rsid w:val="00244564"/>
    <w:rsid w:val="00244A31"/>
    <w:rsid w:val="00245264"/>
    <w:rsid w:val="002455C0"/>
    <w:rsid w:val="0024581E"/>
    <w:rsid w:val="00245E82"/>
    <w:rsid w:val="00245E8A"/>
    <w:rsid w:val="00245EA8"/>
    <w:rsid w:val="00246390"/>
    <w:rsid w:val="00247560"/>
    <w:rsid w:val="00247B90"/>
    <w:rsid w:val="00247C1E"/>
    <w:rsid w:val="002500A2"/>
    <w:rsid w:val="002504FD"/>
    <w:rsid w:val="0025077E"/>
    <w:rsid w:val="00250C91"/>
    <w:rsid w:val="00250CDA"/>
    <w:rsid w:val="00250D37"/>
    <w:rsid w:val="00250E6C"/>
    <w:rsid w:val="002510DB"/>
    <w:rsid w:val="00251276"/>
    <w:rsid w:val="002514CC"/>
    <w:rsid w:val="00252479"/>
    <w:rsid w:val="002527AE"/>
    <w:rsid w:val="002542AB"/>
    <w:rsid w:val="00254B68"/>
    <w:rsid w:val="00254BE2"/>
    <w:rsid w:val="00255A73"/>
    <w:rsid w:val="00255FC5"/>
    <w:rsid w:val="0025628E"/>
    <w:rsid w:val="0025727D"/>
    <w:rsid w:val="002604A2"/>
    <w:rsid w:val="00260589"/>
    <w:rsid w:val="002605B5"/>
    <w:rsid w:val="002606F5"/>
    <w:rsid w:val="00260968"/>
    <w:rsid w:val="00260A2A"/>
    <w:rsid w:val="00261161"/>
    <w:rsid w:val="002621F2"/>
    <w:rsid w:val="00262317"/>
    <w:rsid w:val="00262393"/>
    <w:rsid w:val="00262911"/>
    <w:rsid w:val="0026311F"/>
    <w:rsid w:val="002636BF"/>
    <w:rsid w:val="0026421C"/>
    <w:rsid w:val="0026509C"/>
    <w:rsid w:val="00265151"/>
    <w:rsid w:val="002656B2"/>
    <w:rsid w:val="002657D2"/>
    <w:rsid w:val="00265ABE"/>
    <w:rsid w:val="00266460"/>
    <w:rsid w:val="0026711F"/>
    <w:rsid w:val="00267482"/>
    <w:rsid w:val="00267F59"/>
    <w:rsid w:val="002701BC"/>
    <w:rsid w:val="00270AB1"/>
    <w:rsid w:val="00270C34"/>
    <w:rsid w:val="00270DEE"/>
    <w:rsid w:val="00271536"/>
    <w:rsid w:val="00271FBC"/>
    <w:rsid w:val="0027278B"/>
    <w:rsid w:val="002731BD"/>
    <w:rsid w:val="0027355C"/>
    <w:rsid w:val="00273A14"/>
    <w:rsid w:val="00273F26"/>
    <w:rsid w:val="00273F85"/>
    <w:rsid w:val="00274015"/>
    <w:rsid w:val="002747B7"/>
    <w:rsid w:val="00275806"/>
    <w:rsid w:val="00275D6F"/>
    <w:rsid w:val="002761D8"/>
    <w:rsid w:val="0027627F"/>
    <w:rsid w:val="00277029"/>
    <w:rsid w:val="00277546"/>
    <w:rsid w:val="002775EC"/>
    <w:rsid w:val="00277B67"/>
    <w:rsid w:val="00277D33"/>
    <w:rsid w:val="00277FD1"/>
    <w:rsid w:val="0028060C"/>
    <w:rsid w:val="00280916"/>
    <w:rsid w:val="00280E25"/>
    <w:rsid w:val="00281CF9"/>
    <w:rsid w:val="00281D26"/>
    <w:rsid w:val="0028281D"/>
    <w:rsid w:val="00282850"/>
    <w:rsid w:val="00284F44"/>
    <w:rsid w:val="00284F5A"/>
    <w:rsid w:val="00285EAE"/>
    <w:rsid w:val="00286EC9"/>
    <w:rsid w:val="00287831"/>
    <w:rsid w:val="002902B0"/>
    <w:rsid w:val="00290551"/>
    <w:rsid w:val="00290B4D"/>
    <w:rsid w:val="00290ED0"/>
    <w:rsid w:val="00291228"/>
    <w:rsid w:val="00291CF4"/>
    <w:rsid w:val="00291FFE"/>
    <w:rsid w:val="002929C2"/>
    <w:rsid w:val="00294677"/>
    <w:rsid w:val="00294FC4"/>
    <w:rsid w:val="00294FF0"/>
    <w:rsid w:val="00295253"/>
    <w:rsid w:val="0029587F"/>
    <w:rsid w:val="002960B9"/>
    <w:rsid w:val="002966A2"/>
    <w:rsid w:val="00297102"/>
    <w:rsid w:val="00297166"/>
    <w:rsid w:val="00297598"/>
    <w:rsid w:val="0029761E"/>
    <w:rsid w:val="002979DD"/>
    <w:rsid w:val="002A010F"/>
    <w:rsid w:val="002A1778"/>
    <w:rsid w:val="002A1BF4"/>
    <w:rsid w:val="002A1FC8"/>
    <w:rsid w:val="002A2C90"/>
    <w:rsid w:val="002A2D66"/>
    <w:rsid w:val="002A2E78"/>
    <w:rsid w:val="002A3AAC"/>
    <w:rsid w:val="002A43E2"/>
    <w:rsid w:val="002A5AF4"/>
    <w:rsid w:val="002A66B5"/>
    <w:rsid w:val="002A6852"/>
    <w:rsid w:val="002A7009"/>
    <w:rsid w:val="002A7C45"/>
    <w:rsid w:val="002B19B0"/>
    <w:rsid w:val="002B1F61"/>
    <w:rsid w:val="002B2617"/>
    <w:rsid w:val="002B28B6"/>
    <w:rsid w:val="002B2BEA"/>
    <w:rsid w:val="002B2EDF"/>
    <w:rsid w:val="002B3821"/>
    <w:rsid w:val="002B389D"/>
    <w:rsid w:val="002B3A0D"/>
    <w:rsid w:val="002B4D1A"/>
    <w:rsid w:val="002B4E55"/>
    <w:rsid w:val="002B5403"/>
    <w:rsid w:val="002B54C2"/>
    <w:rsid w:val="002B5C84"/>
    <w:rsid w:val="002B5EA5"/>
    <w:rsid w:val="002B5FC0"/>
    <w:rsid w:val="002B6223"/>
    <w:rsid w:val="002B6866"/>
    <w:rsid w:val="002B73D9"/>
    <w:rsid w:val="002B7A89"/>
    <w:rsid w:val="002C042C"/>
    <w:rsid w:val="002C048E"/>
    <w:rsid w:val="002C0806"/>
    <w:rsid w:val="002C1754"/>
    <w:rsid w:val="002C1F16"/>
    <w:rsid w:val="002C21D6"/>
    <w:rsid w:val="002C2D16"/>
    <w:rsid w:val="002C2D53"/>
    <w:rsid w:val="002C3051"/>
    <w:rsid w:val="002C4269"/>
    <w:rsid w:val="002C4462"/>
    <w:rsid w:val="002C471B"/>
    <w:rsid w:val="002C4B6C"/>
    <w:rsid w:val="002C513F"/>
    <w:rsid w:val="002C64F6"/>
    <w:rsid w:val="002C6555"/>
    <w:rsid w:val="002C6FA4"/>
    <w:rsid w:val="002C72C1"/>
    <w:rsid w:val="002C7848"/>
    <w:rsid w:val="002C7F46"/>
    <w:rsid w:val="002D06B6"/>
    <w:rsid w:val="002D0AF8"/>
    <w:rsid w:val="002D0B47"/>
    <w:rsid w:val="002D11BC"/>
    <w:rsid w:val="002D16E5"/>
    <w:rsid w:val="002D1764"/>
    <w:rsid w:val="002D19A5"/>
    <w:rsid w:val="002D1B2A"/>
    <w:rsid w:val="002D249E"/>
    <w:rsid w:val="002D258E"/>
    <w:rsid w:val="002D3A27"/>
    <w:rsid w:val="002D3FFA"/>
    <w:rsid w:val="002D4AB0"/>
    <w:rsid w:val="002D4C4C"/>
    <w:rsid w:val="002D54AB"/>
    <w:rsid w:val="002D5748"/>
    <w:rsid w:val="002D5BC5"/>
    <w:rsid w:val="002D5C5D"/>
    <w:rsid w:val="002D5D9E"/>
    <w:rsid w:val="002D651D"/>
    <w:rsid w:val="002D6D77"/>
    <w:rsid w:val="002D722D"/>
    <w:rsid w:val="002D7844"/>
    <w:rsid w:val="002D7D83"/>
    <w:rsid w:val="002D7EC4"/>
    <w:rsid w:val="002E0622"/>
    <w:rsid w:val="002E08E2"/>
    <w:rsid w:val="002E1875"/>
    <w:rsid w:val="002E1A90"/>
    <w:rsid w:val="002E1D01"/>
    <w:rsid w:val="002E1E8A"/>
    <w:rsid w:val="002E2A02"/>
    <w:rsid w:val="002E39A5"/>
    <w:rsid w:val="002E41BE"/>
    <w:rsid w:val="002E44B2"/>
    <w:rsid w:val="002E4C3E"/>
    <w:rsid w:val="002E4C7D"/>
    <w:rsid w:val="002E57D5"/>
    <w:rsid w:val="002E5F72"/>
    <w:rsid w:val="002E60F3"/>
    <w:rsid w:val="002E6700"/>
    <w:rsid w:val="002E6CEE"/>
    <w:rsid w:val="002E76C8"/>
    <w:rsid w:val="002E7833"/>
    <w:rsid w:val="002F064A"/>
    <w:rsid w:val="002F0767"/>
    <w:rsid w:val="002F0FE5"/>
    <w:rsid w:val="002F1167"/>
    <w:rsid w:val="002F1191"/>
    <w:rsid w:val="002F1B2D"/>
    <w:rsid w:val="002F1DA8"/>
    <w:rsid w:val="002F1E08"/>
    <w:rsid w:val="002F2380"/>
    <w:rsid w:val="002F2CA6"/>
    <w:rsid w:val="002F33E7"/>
    <w:rsid w:val="002F356F"/>
    <w:rsid w:val="002F36E9"/>
    <w:rsid w:val="002F3B2F"/>
    <w:rsid w:val="002F4F41"/>
    <w:rsid w:val="002F5553"/>
    <w:rsid w:val="002F6410"/>
    <w:rsid w:val="002F6ABC"/>
    <w:rsid w:val="002F74A5"/>
    <w:rsid w:val="002F7AE6"/>
    <w:rsid w:val="002F7D9B"/>
    <w:rsid w:val="003004EB"/>
    <w:rsid w:val="003009C1"/>
    <w:rsid w:val="00300C24"/>
    <w:rsid w:val="0030193E"/>
    <w:rsid w:val="00301B4D"/>
    <w:rsid w:val="003022F7"/>
    <w:rsid w:val="00303285"/>
    <w:rsid w:val="003036D5"/>
    <w:rsid w:val="00303C9C"/>
    <w:rsid w:val="00304066"/>
    <w:rsid w:val="0030486C"/>
    <w:rsid w:val="003049B3"/>
    <w:rsid w:val="00304A60"/>
    <w:rsid w:val="003063EF"/>
    <w:rsid w:val="0030642F"/>
    <w:rsid w:val="003064B7"/>
    <w:rsid w:val="00306954"/>
    <w:rsid w:val="00306B67"/>
    <w:rsid w:val="00306BA9"/>
    <w:rsid w:val="00306BC7"/>
    <w:rsid w:val="00307072"/>
    <w:rsid w:val="0030738B"/>
    <w:rsid w:val="003074F7"/>
    <w:rsid w:val="00307AC8"/>
    <w:rsid w:val="0031040B"/>
    <w:rsid w:val="003105DC"/>
    <w:rsid w:val="00310A97"/>
    <w:rsid w:val="003110B8"/>
    <w:rsid w:val="00311455"/>
    <w:rsid w:val="00311AEC"/>
    <w:rsid w:val="003122AB"/>
    <w:rsid w:val="00312586"/>
    <w:rsid w:val="00312AC4"/>
    <w:rsid w:val="00312EDE"/>
    <w:rsid w:val="00313276"/>
    <w:rsid w:val="003132FA"/>
    <w:rsid w:val="00313362"/>
    <w:rsid w:val="003138BF"/>
    <w:rsid w:val="003139C5"/>
    <w:rsid w:val="00313DF6"/>
    <w:rsid w:val="00315D29"/>
    <w:rsid w:val="00315D82"/>
    <w:rsid w:val="00315E1D"/>
    <w:rsid w:val="00315F79"/>
    <w:rsid w:val="0031636C"/>
    <w:rsid w:val="00316C11"/>
    <w:rsid w:val="0031730C"/>
    <w:rsid w:val="003175E9"/>
    <w:rsid w:val="003201F4"/>
    <w:rsid w:val="003209C4"/>
    <w:rsid w:val="003209C9"/>
    <w:rsid w:val="00321E5B"/>
    <w:rsid w:val="00321EF3"/>
    <w:rsid w:val="0032224C"/>
    <w:rsid w:val="003226A3"/>
    <w:rsid w:val="003226C8"/>
    <w:rsid w:val="00322720"/>
    <w:rsid w:val="00323795"/>
    <w:rsid w:val="00324504"/>
    <w:rsid w:val="00324738"/>
    <w:rsid w:val="0032473D"/>
    <w:rsid w:val="00324D09"/>
    <w:rsid w:val="00325136"/>
    <w:rsid w:val="003253A0"/>
    <w:rsid w:val="0032618A"/>
    <w:rsid w:val="0032626F"/>
    <w:rsid w:val="003266B4"/>
    <w:rsid w:val="00326931"/>
    <w:rsid w:val="00326CEE"/>
    <w:rsid w:val="0032710D"/>
    <w:rsid w:val="00327249"/>
    <w:rsid w:val="003272BE"/>
    <w:rsid w:val="00327A40"/>
    <w:rsid w:val="00330A3C"/>
    <w:rsid w:val="00330BD2"/>
    <w:rsid w:val="00330D97"/>
    <w:rsid w:val="00331703"/>
    <w:rsid w:val="003317F0"/>
    <w:rsid w:val="00332D3A"/>
    <w:rsid w:val="003334F0"/>
    <w:rsid w:val="00333E5C"/>
    <w:rsid w:val="00333EF9"/>
    <w:rsid w:val="00334C6D"/>
    <w:rsid w:val="00334D5D"/>
    <w:rsid w:val="00335ACB"/>
    <w:rsid w:val="00335F88"/>
    <w:rsid w:val="00336689"/>
    <w:rsid w:val="00336A16"/>
    <w:rsid w:val="003374C7"/>
    <w:rsid w:val="00337998"/>
    <w:rsid w:val="00337AC3"/>
    <w:rsid w:val="00337F23"/>
    <w:rsid w:val="0034049F"/>
    <w:rsid w:val="0034164D"/>
    <w:rsid w:val="003418D9"/>
    <w:rsid w:val="00341E6F"/>
    <w:rsid w:val="00342C25"/>
    <w:rsid w:val="00342C5C"/>
    <w:rsid w:val="003439A1"/>
    <w:rsid w:val="00343A27"/>
    <w:rsid w:val="00343F9F"/>
    <w:rsid w:val="00344A53"/>
    <w:rsid w:val="00344CCA"/>
    <w:rsid w:val="003451BD"/>
    <w:rsid w:val="00345748"/>
    <w:rsid w:val="003457FF"/>
    <w:rsid w:val="003459CB"/>
    <w:rsid w:val="00345C14"/>
    <w:rsid w:val="003466C4"/>
    <w:rsid w:val="00347198"/>
    <w:rsid w:val="003473B2"/>
    <w:rsid w:val="0034742E"/>
    <w:rsid w:val="00347DFA"/>
    <w:rsid w:val="0035054F"/>
    <w:rsid w:val="00350D4E"/>
    <w:rsid w:val="0035144C"/>
    <w:rsid w:val="003517A6"/>
    <w:rsid w:val="003525C9"/>
    <w:rsid w:val="00352710"/>
    <w:rsid w:val="00352E7E"/>
    <w:rsid w:val="0035339A"/>
    <w:rsid w:val="0035392A"/>
    <w:rsid w:val="00353BC5"/>
    <w:rsid w:val="003540A1"/>
    <w:rsid w:val="003547D8"/>
    <w:rsid w:val="003551E1"/>
    <w:rsid w:val="003553A1"/>
    <w:rsid w:val="00355424"/>
    <w:rsid w:val="003554F3"/>
    <w:rsid w:val="003557F2"/>
    <w:rsid w:val="00355ADD"/>
    <w:rsid w:val="0035606C"/>
    <w:rsid w:val="0035633C"/>
    <w:rsid w:val="003564FE"/>
    <w:rsid w:val="003565F7"/>
    <w:rsid w:val="003575C2"/>
    <w:rsid w:val="0035794D"/>
    <w:rsid w:val="00357A2F"/>
    <w:rsid w:val="003604A5"/>
    <w:rsid w:val="00360BE2"/>
    <w:rsid w:val="0036186D"/>
    <w:rsid w:val="00362836"/>
    <w:rsid w:val="003632A3"/>
    <w:rsid w:val="00363CE9"/>
    <w:rsid w:val="00363F9B"/>
    <w:rsid w:val="00364151"/>
    <w:rsid w:val="00364210"/>
    <w:rsid w:val="003643FA"/>
    <w:rsid w:val="00364524"/>
    <w:rsid w:val="00364BF5"/>
    <w:rsid w:val="00364CC7"/>
    <w:rsid w:val="00364E71"/>
    <w:rsid w:val="00364F52"/>
    <w:rsid w:val="003656DD"/>
    <w:rsid w:val="0036588A"/>
    <w:rsid w:val="00365B7F"/>
    <w:rsid w:val="00365E56"/>
    <w:rsid w:val="00366B1D"/>
    <w:rsid w:val="003672AD"/>
    <w:rsid w:val="003674B2"/>
    <w:rsid w:val="003674F4"/>
    <w:rsid w:val="003677F0"/>
    <w:rsid w:val="0036783E"/>
    <w:rsid w:val="00370392"/>
    <w:rsid w:val="00370A93"/>
    <w:rsid w:val="00370B0C"/>
    <w:rsid w:val="003711A3"/>
    <w:rsid w:val="00371898"/>
    <w:rsid w:val="00372B62"/>
    <w:rsid w:val="00372CE5"/>
    <w:rsid w:val="003730DE"/>
    <w:rsid w:val="00373C43"/>
    <w:rsid w:val="00373DB9"/>
    <w:rsid w:val="00374685"/>
    <w:rsid w:val="00374CD1"/>
    <w:rsid w:val="003750B8"/>
    <w:rsid w:val="0037533D"/>
    <w:rsid w:val="00375542"/>
    <w:rsid w:val="00375621"/>
    <w:rsid w:val="00375B63"/>
    <w:rsid w:val="00376165"/>
    <w:rsid w:val="00376655"/>
    <w:rsid w:val="00376A06"/>
    <w:rsid w:val="00377699"/>
    <w:rsid w:val="00377850"/>
    <w:rsid w:val="003806DD"/>
    <w:rsid w:val="0038098A"/>
    <w:rsid w:val="003809AE"/>
    <w:rsid w:val="00380FBE"/>
    <w:rsid w:val="00381060"/>
    <w:rsid w:val="00381BFB"/>
    <w:rsid w:val="003824BC"/>
    <w:rsid w:val="003831E3"/>
    <w:rsid w:val="003832E8"/>
    <w:rsid w:val="003834ED"/>
    <w:rsid w:val="003836E5"/>
    <w:rsid w:val="003837A7"/>
    <w:rsid w:val="00384416"/>
    <w:rsid w:val="003844BD"/>
    <w:rsid w:val="00384A44"/>
    <w:rsid w:val="00385F35"/>
    <w:rsid w:val="003863FA"/>
    <w:rsid w:val="0038726D"/>
    <w:rsid w:val="0039019B"/>
    <w:rsid w:val="0039022B"/>
    <w:rsid w:val="003903A4"/>
    <w:rsid w:val="003903BF"/>
    <w:rsid w:val="0039061B"/>
    <w:rsid w:val="00390AF7"/>
    <w:rsid w:val="00392F31"/>
    <w:rsid w:val="003932C7"/>
    <w:rsid w:val="003933D3"/>
    <w:rsid w:val="003934F8"/>
    <w:rsid w:val="00393A2A"/>
    <w:rsid w:val="00394133"/>
    <w:rsid w:val="00394C00"/>
    <w:rsid w:val="00394E38"/>
    <w:rsid w:val="00394EB5"/>
    <w:rsid w:val="00395061"/>
    <w:rsid w:val="00395162"/>
    <w:rsid w:val="003951E5"/>
    <w:rsid w:val="00396751"/>
    <w:rsid w:val="00396D60"/>
    <w:rsid w:val="00396DAE"/>
    <w:rsid w:val="003970F7"/>
    <w:rsid w:val="003977DD"/>
    <w:rsid w:val="003A011C"/>
    <w:rsid w:val="003A0352"/>
    <w:rsid w:val="003A061C"/>
    <w:rsid w:val="003A14BE"/>
    <w:rsid w:val="003A1C75"/>
    <w:rsid w:val="003A1D44"/>
    <w:rsid w:val="003A2236"/>
    <w:rsid w:val="003A2256"/>
    <w:rsid w:val="003A246A"/>
    <w:rsid w:val="003A3462"/>
    <w:rsid w:val="003A40A8"/>
    <w:rsid w:val="003A466C"/>
    <w:rsid w:val="003A481B"/>
    <w:rsid w:val="003A6788"/>
    <w:rsid w:val="003A6F5A"/>
    <w:rsid w:val="003A7368"/>
    <w:rsid w:val="003A7635"/>
    <w:rsid w:val="003A7DCF"/>
    <w:rsid w:val="003B0248"/>
    <w:rsid w:val="003B0A47"/>
    <w:rsid w:val="003B0AC2"/>
    <w:rsid w:val="003B1160"/>
    <w:rsid w:val="003B14DC"/>
    <w:rsid w:val="003B2B62"/>
    <w:rsid w:val="003B2ED0"/>
    <w:rsid w:val="003B3489"/>
    <w:rsid w:val="003B34A3"/>
    <w:rsid w:val="003B37AE"/>
    <w:rsid w:val="003B3D95"/>
    <w:rsid w:val="003B4693"/>
    <w:rsid w:val="003B4E35"/>
    <w:rsid w:val="003B5349"/>
    <w:rsid w:val="003B5B12"/>
    <w:rsid w:val="003B5C5E"/>
    <w:rsid w:val="003B69F2"/>
    <w:rsid w:val="003B6DF5"/>
    <w:rsid w:val="003B79BC"/>
    <w:rsid w:val="003C0061"/>
    <w:rsid w:val="003C00B6"/>
    <w:rsid w:val="003C1108"/>
    <w:rsid w:val="003C15A0"/>
    <w:rsid w:val="003C1F05"/>
    <w:rsid w:val="003C27D8"/>
    <w:rsid w:val="003C2985"/>
    <w:rsid w:val="003C2CBD"/>
    <w:rsid w:val="003C2DEB"/>
    <w:rsid w:val="003C3686"/>
    <w:rsid w:val="003C414A"/>
    <w:rsid w:val="003C464F"/>
    <w:rsid w:val="003C4717"/>
    <w:rsid w:val="003C4F89"/>
    <w:rsid w:val="003C557A"/>
    <w:rsid w:val="003D04F3"/>
    <w:rsid w:val="003D21E5"/>
    <w:rsid w:val="003D25F8"/>
    <w:rsid w:val="003D385A"/>
    <w:rsid w:val="003D3ABF"/>
    <w:rsid w:val="003D402B"/>
    <w:rsid w:val="003D41C6"/>
    <w:rsid w:val="003D44D3"/>
    <w:rsid w:val="003D4500"/>
    <w:rsid w:val="003D4603"/>
    <w:rsid w:val="003D471B"/>
    <w:rsid w:val="003D4E80"/>
    <w:rsid w:val="003D50E4"/>
    <w:rsid w:val="003D56DD"/>
    <w:rsid w:val="003D65CF"/>
    <w:rsid w:val="003D688A"/>
    <w:rsid w:val="003D6DFD"/>
    <w:rsid w:val="003D6F97"/>
    <w:rsid w:val="003D75EA"/>
    <w:rsid w:val="003D78FA"/>
    <w:rsid w:val="003E050C"/>
    <w:rsid w:val="003E0C38"/>
    <w:rsid w:val="003E1817"/>
    <w:rsid w:val="003E1B39"/>
    <w:rsid w:val="003E1CAE"/>
    <w:rsid w:val="003E1E00"/>
    <w:rsid w:val="003E2254"/>
    <w:rsid w:val="003E2353"/>
    <w:rsid w:val="003E2BCE"/>
    <w:rsid w:val="003E2C8D"/>
    <w:rsid w:val="003E2E4E"/>
    <w:rsid w:val="003E32AF"/>
    <w:rsid w:val="003E34ED"/>
    <w:rsid w:val="003E354F"/>
    <w:rsid w:val="003E38EA"/>
    <w:rsid w:val="003E3B6F"/>
    <w:rsid w:val="003E3C3D"/>
    <w:rsid w:val="003E4399"/>
    <w:rsid w:val="003E4664"/>
    <w:rsid w:val="003E4771"/>
    <w:rsid w:val="003E49CE"/>
    <w:rsid w:val="003E4CB2"/>
    <w:rsid w:val="003E59A7"/>
    <w:rsid w:val="003E60B6"/>
    <w:rsid w:val="003E6245"/>
    <w:rsid w:val="003E631E"/>
    <w:rsid w:val="003E77F3"/>
    <w:rsid w:val="003E78BB"/>
    <w:rsid w:val="003E7C14"/>
    <w:rsid w:val="003E7CE3"/>
    <w:rsid w:val="003F0913"/>
    <w:rsid w:val="003F0B58"/>
    <w:rsid w:val="003F101A"/>
    <w:rsid w:val="003F1A04"/>
    <w:rsid w:val="003F1C94"/>
    <w:rsid w:val="003F1F62"/>
    <w:rsid w:val="003F245B"/>
    <w:rsid w:val="003F2BD6"/>
    <w:rsid w:val="003F347E"/>
    <w:rsid w:val="003F360D"/>
    <w:rsid w:val="003F3AA1"/>
    <w:rsid w:val="003F3AA8"/>
    <w:rsid w:val="003F3C93"/>
    <w:rsid w:val="003F44E3"/>
    <w:rsid w:val="003F4AE6"/>
    <w:rsid w:val="003F4C1A"/>
    <w:rsid w:val="003F5ECA"/>
    <w:rsid w:val="003F5F9F"/>
    <w:rsid w:val="003F67FF"/>
    <w:rsid w:val="003F6805"/>
    <w:rsid w:val="003F726D"/>
    <w:rsid w:val="003F79A9"/>
    <w:rsid w:val="003F7CB3"/>
    <w:rsid w:val="00400378"/>
    <w:rsid w:val="0040090D"/>
    <w:rsid w:val="00400EE5"/>
    <w:rsid w:val="00400FE1"/>
    <w:rsid w:val="004010B4"/>
    <w:rsid w:val="00401D5E"/>
    <w:rsid w:val="00401DBB"/>
    <w:rsid w:val="00401FF9"/>
    <w:rsid w:val="004022DF"/>
    <w:rsid w:val="00402376"/>
    <w:rsid w:val="00402AF4"/>
    <w:rsid w:val="00403686"/>
    <w:rsid w:val="004036CB"/>
    <w:rsid w:val="004038CC"/>
    <w:rsid w:val="00404362"/>
    <w:rsid w:val="004044E9"/>
    <w:rsid w:val="00404882"/>
    <w:rsid w:val="00404EAB"/>
    <w:rsid w:val="00405133"/>
    <w:rsid w:val="004059EC"/>
    <w:rsid w:val="00405B12"/>
    <w:rsid w:val="00406C6A"/>
    <w:rsid w:val="004071AE"/>
    <w:rsid w:val="00407ACC"/>
    <w:rsid w:val="004113C2"/>
    <w:rsid w:val="00411534"/>
    <w:rsid w:val="004124B2"/>
    <w:rsid w:val="00412B55"/>
    <w:rsid w:val="00412EE6"/>
    <w:rsid w:val="004131BE"/>
    <w:rsid w:val="004134A0"/>
    <w:rsid w:val="00414025"/>
    <w:rsid w:val="0041431B"/>
    <w:rsid w:val="00414536"/>
    <w:rsid w:val="00414AB9"/>
    <w:rsid w:val="00414B64"/>
    <w:rsid w:val="0041569B"/>
    <w:rsid w:val="0041625B"/>
    <w:rsid w:val="00416343"/>
    <w:rsid w:val="00416A89"/>
    <w:rsid w:val="00416D21"/>
    <w:rsid w:val="004172AC"/>
    <w:rsid w:val="00420263"/>
    <w:rsid w:val="00420A00"/>
    <w:rsid w:val="00420FB0"/>
    <w:rsid w:val="0042133E"/>
    <w:rsid w:val="0042143A"/>
    <w:rsid w:val="00421B06"/>
    <w:rsid w:val="0042364A"/>
    <w:rsid w:val="00423C45"/>
    <w:rsid w:val="004244A2"/>
    <w:rsid w:val="00424946"/>
    <w:rsid w:val="0042496A"/>
    <w:rsid w:val="00424C5E"/>
    <w:rsid w:val="00424E81"/>
    <w:rsid w:val="004257CB"/>
    <w:rsid w:val="0042581F"/>
    <w:rsid w:val="00426908"/>
    <w:rsid w:val="00426A95"/>
    <w:rsid w:val="00427A89"/>
    <w:rsid w:val="00427E13"/>
    <w:rsid w:val="00427F6B"/>
    <w:rsid w:val="0043021D"/>
    <w:rsid w:val="00430691"/>
    <w:rsid w:val="00430E94"/>
    <w:rsid w:val="00431A77"/>
    <w:rsid w:val="00431CB5"/>
    <w:rsid w:val="00432084"/>
    <w:rsid w:val="00433A31"/>
    <w:rsid w:val="00433A68"/>
    <w:rsid w:val="00434305"/>
    <w:rsid w:val="004343FC"/>
    <w:rsid w:val="004350E0"/>
    <w:rsid w:val="00435240"/>
    <w:rsid w:val="00435474"/>
    <w:rsid w:val="00435A71"/>
    <w:rsid w:val="00435DE7"/>
    <w:rsid w:val="00436363"/>
    <w:rsid w:val="00436B8A"/>
    <w:rsid w:val="004378E6"/>
    <w:rsid w:val="00437E09"/>
    <w:rsid w:val="00440DC2"/>
    <w:rsid w:val="0044113B"/>
    <w:rsid w:val="004415D5"/>
    <w:rsid w:val="00441BAF"/>
    <w:rsid w:val="00442961"/>
    <w:rsid w:val="00442DB7"/>
    <w:rsid w:val="004433B8"/>
    <w:rsid w:val="00443BD7"/>
    <w:rsid w:val="004444FA"/>
    <w:rsid w:val="004447D0"/>
    <w:rsid w:val="00444A7A"/>
    <w:rsid w:val="00444C1B"/>
    <w:rsid w:val="004452A3"/>
    <w:rsid w:val="00446D35"/>
    <w:rsid w:val="00446E2B"/>
    <w:rsid w:val="00446E33"/>
    <w:rsid w:val="00447031"/>
    <w:rsid w:val="0044739B"/>
    <w:rsid w:val="004474C1"/>
    <w:rsid w:val="00447BED"/>
    <w:rsid w:val="0045014C"/>
    <w:rsid w:val="004501E7"/>
    <w:rsid w:val="0045076A"/>
    <w:rsid w:val="004508D2"/>
    <w:rsid w:val="00451040"/>
    <w:rsid w:val="0045191D"/>
    <w:rsid w:val="00451A88"/>
    <w:rsid w:val="00451B9E"/>
    <w:rsid w:val="00451E92"/>
    <w:rsid w:val="00452D4F"/>
    <w:rsid w:val="00452E58"/>
    <w:rsid w:val="004542C2"/>
    <w:rsid w:val="0045462D"/>
    <w:rsid w:val="00454EA9"/>
    <w:rsid w:val="0045519E"/>
    <w:rsid w:val="004552F1"/>
    <w:rsid w:val="00455498"/>
    <w:rsid w:val="0045563B"/>
    <w:rsid w:val="00455C6F"/>
    <w:rsid w:val="00456153"/>
    <w:rsid w:val="00456229"/>
    <w:rsid w:val="00456B7D"/>
    <w:rsid w:val="0045782A"/>
    <w:rsid w:val="00457BAE"/>
    <w:rsid w:val="0046052B"/>
    <w:rsid w:val="00460878"/>
    <w:rsid w:val="00460880"/>
    <w:rsid w:val="004617A0"/>
    <w:rsid w:val="004624DF"/>
    <w:rsid w:val="00462534"/>
    <w:rsid w:val="004626EC"/>
    <w:rsid w:val="00462945"/>
    <w:rsid w:val="0046304D"/>
    <w:rsid w:val="00463FA5"/>
    <w:rsid w:val="004644F1"/>
    <w:rsid w:val="004653F1"/>
    <w:rsid w:val="00465522"/>
    <w:rsid w:val="0046591A"/>
    <w:rsid w:val="004659AE"/>
    <w:rsid w:val="00466139"/>
    <w:rsid w:val="00466A48"/>
    <w:rsid w:val="004674DD"/>
    <w:rsid w:val="0046780E"/>
    <w:rsid w:val="004679DD"/>
    <w:rsid w:val="00467D83"/>
    <w:rsid w:val="004700CB"/>
    <w:rsid w:val="00470403"/>
    <w:rsid w:val="00470544"/>
    <w:rsid w:val="00470990"/>
    <w:rsid w:val="004709D6"/>
    <w:rsid w:val="00470BF7"/>
    <w:rsid w:val="00470DBD"/>
    <w:rsid w:val="00471140"/>
    <w:rsid w:val="00471709"/>
    <w:rsid w:val="00471B44"/>
    <w:rsid w:val="004725DF"/>
    <w:rsid w:val="004728CF"/>
    <w:rsid w:val="00472A00"/>
    <w:rsid w:val="0047527A"/>
    <w:rsid w:val="00475874"/>
    <w:rsid w:val="00476042"/>
    <w:rsid w:val="004778E3"/>
    <w:rsid w:val="00477FC0"/>
    <w:rsid w:val="00480133"/>
    <w:rsid w:val="0048055C"/>
    <w:rsid w:val="00481774"/>
    <w:rsid w:val="00481E29"/>
    <w:rsid w:val="00481E78"/>
    <w:rsid w:val="004822A0"/>
    <w:rsid w:val="0048296B"/>
    <w:rsid w:val="0048338B"/>
    <w:rsid w:val="00483440"/>
    <w:rsid w:val="004842CA"/>
    <w:rsid w:val="00484A7B"/>
    <w:rsid w:val="00484DE7"/>
    <w:rsid w:val="004854B0"/>
    <w:rsid w:val="004854D9"/>
    <w:rsid w:val="004859B9"/>
    <w:rsid w:val="00486B27"/>
    <w:rsid w:val="00486C55"/>
    <w:rsid w:val="004870BE"/>
    <w:rsid w:val="004872BE"/>
    <w:rsid w:val="00487959"/>
    <w:rsid w:val="00487A85"/>
    <w:rsid w:val="00487B5A"/>
    <w:rsid w:val="00490373"/>
    <w:rsid w:val="00490965"/>
    <w:rsid w:val="00491977"/>
    <w:rsid w:val="00491B9F"/>
    <w:rsid w:val="00491CF8"/>
    <w:rsid w:val="004923B7"/>
    <w:rsid w:val="00492E20"/>
    <w:rsid w:val="0049302F"/>
    <w:rsid w:val="004933ED"/>
    <w:rsid w:val="00493A63"/>
    <w:rsid w:val="00493DA9"/>
    <w:rsid w:val="004940D5"/>
    <w:rsid w:val="004945D4"/>
    <w:rsid w:val="0049577B"/>
    <w:rsid w:val="00495ECC"/>
    <w:rsid w:val="00496284"/>
    <w:rsid w:val="004962A4"/>
    <w:rsid w:val="00496451"/>
    <w:rsid w:val="0049646A"/>
    <w:rsid w:val="00496BC0"/>
    <w:rsid w:val="00496DA7"/>
    <w:rsid w:val="004972A8"/>
    <w:rsid w:val="004972B5"/>
    <w:rsid w:val="004975AE"/>
    <w:rsid w:val="00497BAE"/>
    <w:rsid w:val="00497F66"/>
    <w:rsid w:val="004A007D"/>
    <w:rsid w:val="004A00EF"/>
    <w:rsid w:val="004A02D8"/>
    <w:rsid w:val="004A140F"/>
    <w:rsid w:val="004A1849"/>
    <w:rsid w:val="004A186C"/>
    <w:rsid w:val="004A2186"/>
    <w:rsid w:val="004A26EB"/>
    <w:rsid w:val="004A29D8"/>
    <w:rsid w:val="004A340A"/>
    <w:rsid w:val="004A34EC"/>
    <w:rsid w:val="004A3CC8"/>
    <w:rsid w:val="004A47B8"/>
    <w:rsid w:val="004A4918"/>
    <w:rsid w:val="004A50D4"/>
    <w:rsid w:val="004A550E"/>
    <w:rsid w:val="004A5569"/>
    <w:rsid w:val="004A5E8C"/>
    <w:rsid w:val="004A6BC1"/>
    <w:rsid w:val="004A79DC"/>
    <w:rsid w:val="004A7A9D"/>
    <w:rsid w:val="004B05E6"/>
    <w:rsid w:val="004B0E31"/>
    <w:rsid w:val="004B112F"/>
    <w:rsid w:val="004B13B4"/>
    <w:rsid w:val="004B18C1"/>
    <w:rsid w:val="004B1AAF"/>
    <w:rsid w:val="004B2479"/>
    <w:rsid w:val="004B2812"/>
    <w:rsid w:val="004B2955"/>
    <w:rsid w:val="004B39A0"/>
    <w:rsid w:val="004B3AFA"/>
    <w:rsid w:val="004B3B57"/>
    <w:rsid w:val="004B42ED"/>
    <w:rsid w:val="004B4333"/>
    <w:rsid w:val="004B485B"/>
    <w:rsid w:val="004B48BA"/>
    <w:rsid w:val="004B4FE8"/>
    <w:rsid w:val="004B582D"/>
    <w:rsid w:val="004B58BA"/>
    <w:rsid w:val="004B5DEA"/>
    <w:rsid w:val="004B6C35"/>
    <w:rsid w:val="004B7311"/>
    <w:rsid w:val="004B7A2F"/>
    <w:rsid w:val="004B7DFE"/>
    <w:rsid w:val="004B7E32"/>
    <w:rsid w:val="004C02BA"/>
    <w:rsid w:val="004C0424"/>
    <w:rsid w:val="004C07D9"/>
    <w:rsid w:val="004C07DE"/>
    <w:rsid w:val="004C0910"/>
    <w:rsid w:val="004C0A55"/>
    <w:rsid w:val="004C0AC2"/>
    <w:rsid w:val="004C1108"/>
    <w:rsid w:val="004C1242"/>
    <w:rsid w:val="004C12DA"/>
    <w:rsid w:val="004C15B8"/>
    <w:rsid w:val="004C187A"/>
    <w:rsid w:val="004C19DD"/>
    <w:rsid w:val="004C238C"/>
    <w:rsid w:val="004C29D5"/>
    <w:rsid w:val="004C2EB3"/>
    <w:rsid w:val="004C3875"/>
    <w:rsid w:val="004C396E"/>
    <w:rsid w:val="004C3B6E"/>
    <w:rsid w:val="004C41B1"/>
    <w:rsid w:val="004C4526"/>
    <w:rsid w:val="004C540B"/>
    <w:rsid w:val="004C552B"/>
    <w:rsid w:val="004C5CCF"/>
    <w:rsid w:val="004C5CE9"/>
    <w:rsid w:val="004C5FA0"/>
    <w:rsid w:val="004C6869"/>
    <w:rsid w:val="004C68B0"/>
    <w:rsid w:val="004C6E1A"/>
    <w:rsid w:val="004C7419"/>
    <w:rsid w:val="004C7455"/>
    <w:rsid w:val="004C75C2"/>
    <w:rsid w:val="004D01F7"/>
    <w:rsid w:val="004D028B"/>
    <w:rsid w:val="004D09EF"/>
    <w:rsid w:val="004D0A51"/>
    <w:rsid w:val="004D0B30"/>
    <w:rsid w:val="004D11D5"/>
    <w:rsid w:val="004D1B03"/>
    <w:rsid w:val="004D2561"/>
    <w:rsid w:val="004D2628"/>
    <w:rsid w:val="004D2926"/>
    <w:rsid w:val="004D29C5"/>
    <w:rsid w:val="004D2A73"/>
    <w:rsid w:val="004D3071"/>
    <w:rsid w:val="004D3773"/>
    <w:rsid w:val="004D4432"/>
    <w:rsid w:val="004D57A3"/>
    <w:rsid w:val="004D5E1F"/>
    <w:rsid w:val="004D5FD0"/>
    <w:rsid w:val="004D689B"/>
    <w:rsid w:val="004D738B"/>
    <w:rsid w:val="004D74F1"/>
    <w:rsid w:val="004D7574"/>
    <w:rsid w:val="004D76EA"/>
    <w:rsid w:val="004D7FFD"/>
    <w:rsid w:val="004E09B3"/>
    <w:rsid w:val="004E1625"/>
    <w:rsid w:val="004E1638"/>
    <w:rsid w:val="004E1ECA"/>
    <w:rsid w:val="004E21A9"/>
    <w:rsid w:val="004E2337"/>
    <w:rsid w:val="004E258B"/>
    <w:rsid w:val="004E25F8"/>
    <w:rsid w:val="004E2631"/>
    <w:rsid w:val="004E3F76"/>
    <w:rsid w:val="004E44C5"/>
    <w:rsid w:val="004E5BDF"/>
    <w:rsid w:val="004E6BD2"/>
    <w:rsid w:val="004E6C50"/>
    <w:rsid w:val="004E7473"/>
    <w:rsid w:val="004E762D"/>
    <w:rsid w:val="004F1317"/>
    <w:rsid w:val="004F1F02"/>
    <w:rsid w:val="004F2A37"/>
    <w:rsid w:val="004F3A4E"/>
    <w:rsid w:val="004F4099"/>
    <w:rsid w:val="004F473D"/>
    <w:rsid w:val="004F4FE5"/>
    <w:rsid w:val="004F5285"/>
    <w:rsid w:val="004F6054"/>
    <w:rsid w:val="004F63D6"/>
    <w:rsid w:val="004F6672"/>
    <w:rsid w:val="004F66D5"/>
    <w:rsid w:val="004F6F4C"/>
    <w:rsid w:val="004F70D0"/>
    <w:rsid w:val="004F7311"/>
    <w:rsid w:val="004F7864"/>
    <w:rsid w:val="00500071"/>
    <w:rsid w:val="0050014B"/>
    <w:rsid w:val="00500B7A"/>
    <w:rsid w:val="0050145F"/>
    <w:rsid w:val="00501656"/>
    <w:rsid w:val="00501B24"/>
    <w:rsid w:val="005022DE"/>
    <w:rsid w:val="00502324"/>
    <w:rsid w:val="005025FA"/>
    <w:rsid w:val="005026A2"/>
    <w:rsid w:val="005026B9"/>
    <w:rsid w:val="005028D3"/>
    <w:rsid w:val="00502D7A"/>
    <w:rsid w:val="00502D81"/>
    <w:rsid w:val="00502E2B"/>
    <w:rsid w:val="0050323E"/>
    <w:rsid w:val="00503BD0"/>
    <w:rsid w:val="005041BC"/>
    <w:rsid w:val="00505681"/>
    <w:rsid w:val="00505692"/>
    <w:rsid w:val="005061DC"/>
    <w:rsid w:val="005066DB"/>
    <w:rsid w:val="00506C6D"/>
    <w:rsid w:val="005070F4"/>
    <w:rsid w:val="005073ED"/>
    <w:rsid w:val="0050761C"/>
    <w:rsid w:val="0050774E"/>
    <w:rsid w:val="00510048"/>
    <w:rsid w:val="005107CC"/>
    <w:rsid w:val="00510CD0"/>
    <w:rsid w:val="00511A37"/>
    <w:rsid w:val="00511AEA"/>
    <w:rsid w:val="00511D20"/>
    <w:rsid w:val="00511EF0"/>
    <w:rsid w:val="00511FE0"/>
    <w:rsid w:val="005127B7"/>
    <w:rsid w:val="005127F8"/>
    <w:rsid w:val="00512DA9"/>
    <w:rsid w:val="00513AE4"/>
    <w:rsid w:val="00513F62"/>
    <w:rsid w:val="00515893"/>
    <w:rsid w:val="00516079"/>
    <w:rsid w:val="00516B47"/>
    <w:rsid w:val="0051712C"/>
    <w:rsid w:val="00517839"/>
    <w:rsid w:val="00520AC9"/>
    <w:rsid w:val="00521AB8"/>
    <w:rsid w:val="00522017"/>
    <w:rsid w:val="00522763"/>
    <w:rsid w:val="005228AA"/>
    <w:rsid w:val="00522BBB"/>
    <w:rsid w:val="00522E41"/>
    <w:rsid w:val="00523096"/>
    <w:rsid w:val="00523BFD"/>
    <w:rsid w:val="00523C38"/>
    <w:rsid w:val="0052425B"/>
    <w:rsid w:val="00524EED"/>
    <w:rsid w:val="00524F97"/>
    <w:rsid w:val="0052500F"/>
    <w:rsid w:val="0052525D"/>
    <w:rsid w:val="00525459"/>
    <w:rsid w:val="0052546D"/>
    <w:rsid w:val="00525560"/>
    <w:rsid w:val="005265C6"/>
    <w:rsid w:val="0052724B"/>
    <w:rsid w:val="00527533"/>
    <w:rsid w:val="005277A0"/>
    <w:rsid w:val="005277D3"/>
    <w:rsid w:val="00527AB3"/>
    <w:rsid w:val="00527B41"/>
    <w:rsid w:val="00527C93"/>
    <w:rsid w:val="00530635"/>
    <w:rsid w:val="00531DA5"/>
    <w:rsid w:val="00532285"/>
    <w:rsid w:val="00532307"/>
    <w:rsid w:val="005329B9"/>
    <w:rsid w:val="00532F2A"/>
    <w:rsid w:val="0053497D"/>
    <w:rsid w:val="00534ED7"/>
    <w:rsid w:val="00535481"/>
    <w:rsid w:val="00536066"/>
    <w:rsid w:val="00540B2D"/>
    <w:rsid w:val="0054117E"/>
    <w:rsid w:val="005412D3"/>
    <w:rsid w:val="0054192D"/>
    <w:rsid w:val="00541B8B"/>
    <w:rsid w:val="00541D39"/>
    <w:rsid w:val="00542656"/>
    <w:rsid w:val="00542915"/>
    <w:rsid w:val="00542AD9"/>
    <w:rsid w:val="00542B85"/>
    <w:rsid w:val="00543DE6"/>
    <w:rsid w:val="00543E35"/>
    <w:rsid w:val="00544357"/>
    <w:rsid w:val="00544703"/>
    <w:rsid w:val="00544BDB"/>
    <w:rsid w:val="00544E50"/>
    <w:rsid w:val="005453DD"/>
    <w:rsid w:val="0054572F"/>
    <w:rsid w:val="00545A94"/>
    <w:rsid w:val="005460F9"/>
    <w:rsid w:val="00546609"/>
    <w:rsid w:val="00546B7A"/>
    <w:rsid w:val="00547115"/>
    <w:rsid w:val="00547308"/>
    <w:rsid w:val="00547CA7"/>
    <w:rsid w:val="00547CAC"/>
    <w:rsid w:val="00547DDB"/>
    <w:rsid w:val="00547F7B"/>
    <w:rsid w:val="0055044F"/>
    <w:rsid w:val="00550A99"/>
    <w:rsid w:val="00550AE4"/>
    <w:rsid w:val="00550EA6"/>
    <w:rsid w:val="00550F15"/>
    <w:rsid w:val="00551635"/>
    <w:rsid w:val="00551B8D"/>
    <w:rsid w:val="0055281F"/>
    <w:rsid w:val="0055315F"/>
    <w:rsid w:val="00553512"/>
    <w:rsid w:val="005536F0"/>
    <w:rsid w:val="005538F3"/>
    <w:rsid w:val="00553DDB"/>
    <w:rsid w:val="00554048"/>
    <w:rsid w:val="0055537E"/>
    <w:rsid w:val="0055672F"/>
    <w:rsid w:val="00557008"/>
    <w:rsid w:val="00557B0C"/>
    <w:rsid w:val="00557B47"/>
    <w:rsid w:val="00557F86"/>
    <w:rsid w:val="005607BB"/>
    <w:rsid w:val="00561224"/>
    <w:rsid w:val="00561DB2"/>
    <w:rsid w:val="0056203A"/>
    <w:rsid w:val="005621D1"/>
    <w:rsid w:val="00562711"/>
    <w:rsid w:val="0056277C"/>
    <w:rsid w:val="005629D1"/>
    <w:rsid w:val="00562FEC"/>
    <w:rsid w:val="0056348D"/>
    <w:rsid w:val="00563AEE"/>
    <w:rsid w:val="0056485D"/>
    <w:rsid w:val="00564879"/>
    <w:rsid w:val="00564FF1"/>
    <w:rsid w:val="0056559F"/>
    <w:rsid w:val="00565D1E"/>
    <w:rsid w:val="00566BC7"/>
    <w:rsid w:val="00566C06"/>
    <w:rsid w:val="00570395"/>
    <w:rsid w:val="00570A9D"/>
    <w:rsid w:val="00570B21"/>
    <w:rsid w:val="00570E05"/>
    <w:rsid w:val="00571A1C"/>
    <w:rsid w:val="00572208"/>
    <w:rsid w:val="0057259E"/>
    <w:rsid w:val="005727B9"/>
    <w:rsid w:val="00572C03"/>
    <w:rsid w:val="00573007"/>
    <w:rsid w:val="00573449"/>
    <w:rsid w:val="005735A5"/>
    <w:rsid w:val="00573AD7"/>
    <w:rsid w:val="00573C9A"/>
    <w:rsid w:val="005742B2"/>
    <w:rsid w:val="00574346"/>
    <w:rsid w:val="00574B6A"/>
    <w:rsid w:val="00574EBF"/>
    <w:rsid w:val="00575BA7"/>
    <w:rsid w:val="00575E32"/>
    <w:rsid w:val="00576326"/>
    <w:rsid w:val="005766CE"/>
    <w:rsid w:val="00576EC9"/>
    <w:rsid w:val="0057701C"/>
    <w:rsid w:val="005777C6"/>
    <w:rsid w:val="005778DC"/>
    <w:rsid w:val="00580460"/>
    <w:rsid w:val="00580B52"/>
    <w:rsid w:val="00581211"/>
    <w:rsid w:val="005815FD"/>
    <w:rsid w:val="00581A46"/>
    <w:rsid w:val="0058311B"/>
    <w:rsid w:val="005832D9"/>
    <w:rsid w:val="0058365F"/>
    <w:rsid w:val="0058525A"/>
    <w:rsid w:val="00585BBF"/>
    <w:rsid w:val="00586331"/>
    <w:rsid w:val="00586C90"/>
    <w:rsid w:val="00586CC6"/>
    <w:rsid w:val="00587478"/>
    <w:rsid w:val="00587B92"/>
    <w:rsid w:val="00587D22"/>
    <w:rsid w:val="00587D56"/>
    <w:rsid w:val="00587DA7"/>
    <w:rsid w:val="0059159C"/>
    <w:rsid w:val="00592668"/>
    <w:rsid w:val="00592AA4"/>
    <w:rsid w:val="00592E48"/>
    <w:rsid w:val="00593147"/>
    <w:rsid w:val="00593B37"/>
    <w:rsid w:val="00593ECE"/>
    <w:rsid w:val="00594008"/>
    <w:rsid w:val="005945DB"/>
    <w:rsid w:val="00595BDC"/>
    <w:rsid w:val="00596285"/>
    <w:rsid w:val="0059630D"/>
    <w:rsid w:val="0059678E"/>
    <w:rsid w:val="00596A4C"/>
    <w:rsid w:val="0059787A"/>
    <w:rsid w:val="00597DF7"/>
    <w:rsid w:val="00597E2E"/>
    <w:rsid w:val="005A180A"/>
    <w:rsid w:val="005A1A18"/>
    <w:rsid w:val="005A1DC4"/>
    <w:rsid w:val="005A212A"/>
    <w:rsid w:val="005A31DF"/>
    <w:rsid w:val="005A322C"/>
    <w:rsid w:val="005A3363"/>
    <w:rsid w:val="005A33FF"/>
    <w:rsid w:val="005A34A4"/>
    <w:rsid w:val="005A39DF"/>
    <w:rsid w:val="005A3FF8"/>
    <w:rsid w:val="005A4801"/>
    <w:rsid w:val="005A4991"/>
    <w:rsid w:val="005A4C5C"/>
    <w:rsid w:val="005A5E0E"/>
    <w:rsid w:val="005A5F24"/>
    <w:rsid w:val="005A5FC7"/>
    <w:rsid w:val="005A6336"/>
    <w:rsid w:val="005A793B"/>
    <w:rsid w:val="005A7ABB"/>
    <w:rsid w:val="005A7CE7"/>
    <w:rsid w:val="005A7EEE"/>
    <w:rsid w:val="005B0333"/>
    <w:rsid w:val="005B08D9"/>
    <w:rsid w:val="005B0938"/>
    <w:rsid w:val="005B1680"/>
    <w:rsid w:val="005B2158"/>
    <w:rsid w:val="005B25ED"/>
    <w:rsid w:val="005B263D"/>
    <w:rsid w:val="005B2C57"/>
    <w:rsid w:val="005B3751"/>
    <w:rsid w:val="005B4644"/>
    <w:rsid w:val="005B4B70"/>
    <w:rsid w:val="005B4DCF"/>
    <w:rsid w:val="005B57D9"/>
    <w:rsid w:val="005B6138"/>
    <w:rsid w:val="005B6871"/>
    <w:rsid w:val="005B6B4F"/>
    <w:rsid w:val="005B72F0"/>
    <w:rsid w:val="005B7D0D"/>
    <w:rsid w:val="005B7FD5"/>
    <w:rsid w:val="005C01BB"/>
    <w:rsid w:val="005C052F"/>
    <w:rsid w:val="005C0BC9"/>
    <w:rsid w:val="005C0EE0"/>
    <w:rsid w:val="005C0FAA"/>
    <w:rsid w:val="005C1CC6"/>
    <w:rsid w:val="005C3179"/>
    <w:rsid w:val="005C31B6"/>
    <w:rsid w:val="005C3578"/>
    <w:rsid w:val="005C3938"/>
    <w:rsid w:val="005C4D49"/>
    <w:rsid w:val="005C569C"/>
    <w:rsid w:val="005C5A09"/>
    <w:rsid w:val="005C5C03"/>
    <w:rsid w:val="005C668D"/>
    <w:rsid w:val="005C7364"/>
    <w:rsid w:val="005C7682"/>
    <w:rsid w:val="005D02F8"/>
    <w:rsid w:val="005D0389"/>
    <w:rsid w:val="005D0596"/>
    <w:rsid w:val="005D0B0C"/>
    <w:rsid w:val="005D0B28"/>
    <w:rsid w:val="005D105A"/>
    <w:rsid w:val="005D1B9F"/>
    <w:rsid w:val="005D22EC"/>
    <w:rsid w:val="005D25CB"/>
    <w:rsid w:val="005D2FDF"/>
    <w:rsid w:val="005D3B03"/>
    <w:rsid w:val="005D4BAE"/>
    <w:rsid w:val="005D5104"/>
    <w:rsid w:val="005D5885"/>
    <w:rsid w:val="005D5DFB"/>
    <w:rsid w:val="005D68A9"/>
    <w:rsid w:val="005D6D8D"/>
    <w:rsid w:val="005D7FBD"/>
    <w:rsid w:val="005E06B6"/>
    <w:rsid w:val="005E0AB9"/>
    <w:rsid w:val="005E0B72"/>
    <w:rsid w:val="005E0CEE"/>
    <w:rsid w:val="005E0EFC"/>
    <w:rsid w:val="005E100C"/>
    <w:rsid w:val="005E12E4"/>
    <w:rsid w:val="005E183D"/>
    <w:rsid w:val="005E1E8B"/>
    <w:rsid w:val="005E2429"/>
    <w:rsid w:val="005E2797"/>
    <w:rsid w:val="005E54F3"/>
    <w:rsid w:val="005E6C4C"/>
    <w:rsid w:val="005E6D49"/>
    <w:rsid w:val="005E70DE"/>
    <w:rsid w:val="005E7D92"/>
    <w:rsid w:val="005F006B"/>
    <w:rsid w:val="005F0BCB"/>
    <w:rsid w:val="005F161B"/>
    <w:rsid w:val="005F1DA3"/>
    <w:rsid w:val="005F1F34"/>
    <w:rsid w:val="005F201A"/>
    <w:rsid w:val="005F4E7D"/>
    <w:rsid w:val="005F58D1"/>
    <w:rsid w:val="005F6682"/>
    <w:rsid w:val="005F6C70"/>
    <w:rsid w:val="005F75B7"/>
    <w:rsid w:val="005F7BC3"/>
    <w:rsid w:val="005F7CC4"/>
    <w:rsid w:val="005F7FBB"/>
    <w:rsid w:val="00600566"/>
    <w:rsid w:val="00600619"/>
    <w:rsid w:val="00600922"/>
    <w:rsid w:val="00600E02"/>
    <w:rsid w:val="00600E80"/>
    <w:rsid w:val="006011CE"/>
    <w:rsid w:val="00602950"/>
    <w:rsid w:val="00602A83"/>
    <w:rsid w:val="00602C2C"/>
    <w:rsid w:val="00602D67"/>
    <w:rsid w:val="006033CA"/>
    <w:rsid w:val="00603954"/>
    <w:rsid w:val="00603D45"/>
    <w:rsid w:val="00604281"/>
    <w:rsid w:val="00604864"/>
    <w:rsid w:val="00605411"/>
    <w:rsid w:val="00605596"/>
    <w:rsid w:val="0060584F"/>
    <w:rsid w:val="00606095"/>
    <w:rsid w:val="006060AD"/>
    <w:rsid w:val="00606DDD"/>
    <w:rsid w:val="00607560"/>
    <w:rsid w:val="00607DA6"/>
    <w:rsid w:val="006100A4"/>
    <w:rsid w:val="00610175"/>
    <w:rsid w:val="006108DD"/>
    <w:rsid w:val="00610C7E"/>
    <w:rsid w:val="006111D0"/>
    <w:rsid w:val="00612EE7"/>
    <w:rsid w:val="0061360B"/>
    <w:rsid w:val="006136DA"/>
    <w:rsid w:val="00613B88"/>
    <w:rsid w:val="00613D00"/>
    <w:rsid w:val="006144AE"/>
    <w:rsid w:val="00614551"/>
    <w:rsid w:val="0061513C"/>
    <w:rsid w:val="0061531A"/>
    <w:rsid w:val="00615338"/>
    <w:rsid w:val="0061545A"/>
    <w:rsid w:val="00615721"/>
    <w:rsid w:val="006158D5"/>
    <w:rsid w:val="00615CEA"/>
    <w:rsid w:val="00615E03"/>
    <w:rsid w:val="0061659A"/>
    <w:rsid w:val="00616815"/>
    <w:rsid w:val="00617F5E"/>
    <w:rsid w:val="00620111"/>
    <w:rsid w:val="006201B7"/>
    <w:rsid w:val="006224A2"/>
    <w:rsid w:val="00622E64"/>
    <w:rsid w:val="00622E84"/>
    <w:rsid w:val="00622F27"/>
    <w:rsid w:val="0062337C"/>
    <w:rsid w:val="006241F7"/>
    <w:rsid w:val="0062508C"/>
    <w:rsid w:val="0062527C"/>
    <w:rsid w:val="0062602A"/>
    <w:rsid w:val="006262E3"/>
    <w:rsid w:val="006268B2"/>
    <w:rsid w:val="00626C8F"/>
    <w:rsid w:val="00627836"/>
    <w:rsid w:val="00627871"/>
    <w:rsid w:val="00627C99"/>
    <w:rsid w:val="00627EAD"/>
    <w:rsid w:val="00630122"/>
    <w:rsid w:val="0063019A"/>
    <w:rsid w:val="00630D9A"/>
    <w:rsid w:val="00631254"/>
    <w:rsid w:val="006324B7"/>
    <w:rsid w:val="00632C41"/>
    <w:rsid w:val="00632F0E"/>
    <w:rsid w:val="00632F4D"/>
    <w:rsid w:val="006331A4"/>
    <w:rsid w:val="006332EB"/>
    <w:rsid w:val="0063354E"/>
    <w:rsid w:val="00633B08"/>
    <w:rsid w:val="006342AE"/>
    <w:rsid w:val="00634A16"/>
    <w:rsid w:val="0063511E"/>
    <w:rsid w:val="00635BA9"/>
    <w:rsid w:val="00635E2F"/>
    <w:rsid w:val="00635E7B"/>
    <w:rsid w:val="00636223"/>
    <w:rsid w:val="006362A0"/>
    <w:rsid w:val="0063707A"/>
    <w:rsid w:val="00637399"/>
    <w:rsid w:val="00637B2E"/>
    <w:rsid w:val="00637F18"/>
    <w:rsid w:val="00640710"/>
    <w:rsid w:val="00640A56"/>
    <w:rsid w:val="00640CB5"/>
    <w:rsid w:val="00640F86"/>
    <w:rsid w:val="0064106A"/>
    <w:rsid w:val="006422FC"/>
    <w:rsid w:val="00643320"/>
    <w:rsid w:val="00643527"/>
    <w:rsid w:val="0064376D"/>
    <w:rsid w:val="00643EB0"/>
    <w:rsid w:val="00644086"/>
    <w:rsid w:val="00644204"/>
    <w:rsid w:val="00644582"/>
    <w:rsid w:val="006445A1"/>
    <w:rsid w:val="00644B5C"/>
    <w:rsid w:val="00645F9C"/>
    <w:rsid w:val="00646091"/>
    <w:rsid w:val="00646467"/>
    <w:rsid w:val="00646774"/>
    <w:rsid w:val="00646B82"/>
    <w:rsid w:val="00647744"/>
    <w:rsid w:val="00647F79"/>
    <w:rsid w:val="0065016D"/>
    <w:rsid w:val="00650A48"/>
    <w:rsid w:val="00650FCC"/>
    <w:rsid w:val="006517C5"/>
    <w:rsid w:val="006519FF"/>
    <w:rsid w:val="00651A9A"/>
    <w:rsid w:val="00651BD2"/>
    <w:rsid w:val="0065239F"/>
    <w:rsid w:val="006531D1"/>
    <w:rsid w:val="0065348F"/>
    <w:rsid w:val="006536F1"/>
    <w:rsid w:val="00654595"/>
    <w:rsid w:val="00654710"/>
    <w:rsid w:val="0065499A"/>
    <w:rsid w:val="00655056"/>
    <w:rsid w:val="0065593A"/>
    <w:rsid w:val="00655A95"/>
    <w:rsid w:val="00656332"/>
    <w:rsid w:val="00656625"/>
    <w:rsid w:val="00656A21"/>
    <w:rsid w:val="00657102"/>
    <w:rsid w:val="006579C6"/>
    <w:rsid w:val="00657E94"/>
    <w:rsid w:val="006602CB"/>
    <w:rsid w:val="00660B41"/>
    <w:rsid w:val="00660EC6"/>
    <w:rsid w:val="00661C4E"/>
    <w:rsid w:val="00661F3C"/>
    <w:rsid w:val="00661F96"/>
    <w:rsid w:val="00662315"/>
    <w:rsid w:val="00662937"/>
    <w:rsid w:val="00663768"/>
    <w:rsid w:val="00663A90"/>
    <w:rsid w:val="00663AA0"/>
    <w:rsid w:val="0066401D"/>
    <w:rsid w:val="0066448F"/>
    <w:rsid w:val="006645F2"/>
    <w:rsid w:val="00664A7D"/>
    <w:rsid w:val="00664E7A"/>
    <w:rsid w:val="00664FBB"/>
    <w:rsid w:val="006655DF"/>
    <w:rsid w:val="00666186"/>
    <w:rsid w:val="00666AA0"/>
    <w:rsid w:val="00667237"/>
    <w:rsid w:val="006702A0"/>
    <w:rsid w:val="006711F1"/>
    <w:rsid w:val="0067152E"/>
    <w:rsid w:val="00671ED6"/>
    <w:rsid w:val="0067397F"/>
    <w:rsid w:val="006741F4"/>
    <w:rsid w:val="00675731"/>
    <w:rsid w:val="006757E5"/>
    <w:rsid w:val="00675C68"/>
    <w:rsid w:val="006763EE"/>
    <w:rsid w:val="006776D7"/>
    <w:rsid w:val="00677E2D"/>
    <w:rsid w:val="00677EC6"/>
    <w:rsid w:val="00680203"/>
    <w:rsid w:val="00680274"/>
    <w:rsid w:val="006808DA"/>
    <w:rsid w:val="00680C72"/>
    <w:rsid w:val="00680CB7"/>
    <w:rsid w:val="00680EF1"/>
    <w:rsid w:val="00681514"/>
    <w:rsid w:val="00681883"/>
    <w:rsid w:val="00681B8E"/>
    <w:rsid w:val="006834E5"/>
    <w:rsid w:val="006842BD"/>
    <w:rsid w:val="0068470E"/>
    <w:rsid w:val="00684CFD"/>
    <w:rsid w:val="00684E05"/>
    <w:rsid w:val="0068520C"/>
    <w:rsid w:val="0068535C"/>
    <w:rsid w:val="0068559F"/>
    <w:rsid w:val="0068681D"/>
    <w:rsid w:val="006874F2"/>
    <w:rsid w:val="00687C08"/>
    <w:rsid w:val="00687EBC"/>
    <w:rsid w:val="0069003A"/>
    <w:rsid w:val="00690CF6"/>
    <w:rsid w:val="00691626"/>
    <w:rsid w:val="00691863"/>
    <w:rsid w:val="00691A08"/>
    <w:rsid w:val="0069269E"/>
    <w:rsid w:val="006926E6"/>
    <w:rsid w:val="00692A97"/>
    <w:rsid w:val="00692F34"/>
    <w:rsid w:val="006933A3"/>
    <w:rsid w:val="00693769"/>
    <w:rsid w:val="00693989"/>
    <w:rsid w:val="00693D49"/>
    <w:rsid w:val="00694070"/>
    <w:rsid w:val="00694091"/>
    <w:rsid w:val="006940F4"/>
    <w:rsid w:val="0069565E"/>
    <w:rsid w:val="0069577D"/>
    <w:rsid w:val="00695D27"/>
    <w:rsid w:val="00696C73"/>
    <w:rsid w:val="00697899"/>
    <w:rsid w:val="006A0008"/>
    <w:rsid w:val="006A017C"/>
    <w:rsid w:val="006A032C"/>
    <w:rsid w:val="006A04E7"/>
    <w:rsid w:val="006A04EE"/>
    <w:rsid w:val="006A0754"/>
    <w:rsid w:val="006A0926"/>
    <w:rsid w:val="006A11BC"/>
    <w:rsid w:val="006A16F0"/>
    <w:rsid w:val="006A19C0"/>
    <w:rsid w:val="006A1CCC"/>
    <w:rsid w:val="006A2635"/>
    <w:rsid w:val="006A299A"/>
    <w:rsid w:val="006A2E1C"/>
    <w:rsid w:val="006A2F88"/>
    <w:rsid w:val="006A3431"/>
    <w:rsid w:val="006A3B2E"/>
    <w:rsid w:val="006A4ED2"/>
    <w:rsid w:val="006A587B"/>
    <w:rsid w:val="006A609F"/>
    <w:rsid w:val="006A6350"/>
    <w:rsid w:val="006A6FC6"/>
    <w:rsid w:val="006A70C5"/>
    <w:rsid w:val="006A7195"/>
    <w:rsid w:val="006A71A8"/>
    <w:rsid w:val="006A771E"/>
    <w:rsid w:val="006A7CAD"/>
    <w:rsid w:val="006B009C"/>
    <w:rsid w:val="006B0A16"/>
    <w:rsid w:val="006B1030"/>
    <w:rsid w:val="006B2356"/>
    <w:rsid w:val="006B294F"/>
    <w:rsid w:val="006B3095"/>
    <w:rsid w:val="006B36FB"/>
    <w:rsid w:val="006B42C6"/>
    <w:rsid w:val="006B49D1"/>
    <w:rsid w:val="006B538A"/>
    <w:rsid w:val="006B59DE"/>
    <w:rsid w:val="006B5D1C"/>
    <w:rsid w:val="006B63CC"/>
    <w:rsid w:val="006B63EC"/>
    <w:rsid w:val="006B6958"/>
    <w:rsid w:val="006B7525"/>
    <w:rsid w:val="006B7934"/>
    <w:rsid w:val="006B79B3"/>
    <w:rsid w:val="006C0277"/>
    <w:rsid w:val="006C0F16"/>
    <w:rsid w:val="006C1085"/>
    <w:rsid w:val="006C19FE"/>
    <w:rsid w:val="006C2281"/>
    <w:rsid w:val="006C2524"/>
    <w:rsid w:val="006C2B4F"/>
    <w:rsid w:val="006C2E42"/>
    <w:rsid w:val="006C3276"/>
    <w:rsid w:val="006C3E15"/>
    <w:rsid w:val="006C413A"/>
    <w:rsid w:val="006C44B3"/>
    <w:rsid w:val="006C4FB5"/>
    <w:rsid w:val="006C547C"/>
    <w:rsid w:val="006C5EEF"/>
    <w:rsid w:val="006C68C0"/>
    <w:rsid w:val="006C68C3"/>
    <w:rsid w:val="006C6A78"/>
    <w:rsid w:val="006C6E35"/>
    <w:rsid w:val="006C7181"/>
    <w:rsid w:val="006D017D"/>
    <w:rsid w:val="006D04C5"/>
    <w:rsid w:val="006D091E"/>
    <w:rsid w:val="006D0B11"/>
    <w:rsid w:val="006D0BAA"/>
    <w:rsid w:val="006D0BB8"/>
    <w:rsid w:val="006D18A4"/>
    <w:rsid w:val="006D19DD"/>
    <w:rsid w:val="006D2D05"/>
    <w:rsid w:val="006D41CF"/>
    <w:rsid w:val="006D4A4A"/>
    <w:rsid w:val="006D4D2D"/>
    <w:rsid w:val="006D530F"/>
    <w:rsid w:val="006D535E"/>
    <w:rsid w:val="006D599B"/>
    <w:rsid w:val="006D5F64"/>
    <w:rsid w:val="006D6007"/>
    <w:rsid w:val="006D654B"/>
    <w:rsid w:val="006D66ED"/>
    <w:rsid w:val="006D6726"/>
    <w:rsid w:val="006D6CBC"/>
    <w:rsid w:val="006D7946"/>
    <w:rsid w:val="006E020E"/>
    <w:rsid w:val="006E026E"/>
    <w:rsid w:val="006E0815"/>
    <w:rsid w:val="006E0D90"/>
    <w:rsid w:val="006E2467"/>
    <w:rsid w:val="006E2D45"/>
    <w:rsid w:val="006E3479"/>
    <w:rsid w:val="006E3E85"/>
    <w:rsid w:val="006E457A"/>
    <w:rsid w:val="006E4634"/>
    <w:rsid w:val="006E4BA9"/>
    <w:rsid w:val="006E4C9A"/>
    <w:rsid w:val="006E4F66"/>
    <w:rsid w:val="006E50AF"/>
    <w:rsid w:val="006E5178"/>
    <w:rsid w:val="006E6476"/>
    <w:rsid w:val="006E65AB"/>
    <w:rsid w:val="006E7019"/>
    <w:rsid w:val="006E767A"/>
    <w:rsid w:val="006E7B47"/>
    <w:rsid w:val="006E7B99"/>
    <w:rsid w:val="006F04A0"/>
    <w:rsid w:val="006F0961"/>
    <w:rsid w:val="006F1166"/>
    <w:rsid w:val="006F19BA"/>
    <w:rsid w:val="006F251B"/>
    <w:rsid w:val="006F2D73"/>
    <w:rsid w:val="006F2DAE"/>
    <w:rsid w:val="006F3465"/>
    <w:rsid w:val="006F35AD"/>
    <w:rsid w:val="006F39A3"/>
    <w:rsid w:val="006F3BDD"/>
    <w:rsid w:val="006F3DA2"/>
    <w:rsid w:val="006F3E10"/>
    <w:rsid w:val="006F3F0A"/>
    <w:rsid w:val="006F4AAD"/>
    <w:rsid w:val="006F4F38"/>
    <w:rsid w:val="006F5638"/>
    <w:rsid w:val="006F5FAF"/>
    <w:rsid w:val="006F645A"/>
    <w:rsid w:val="006F659C"/>
    <w:rsid w:val="006F65B3"/>
    <w:rsid w:val="006F75A4"/>
    <w:rsid w:val="006F79A3"/>
    <w:rsid w:val="006F7B46"/>
    <w:rsid w:val="0070035D"/>
    <w:rsid w:val="00700917"/>
    <w:rsid w:val="00700F9E"/>
    <w:rsid w:val="007016DE"/>
    <w:rsid w:val="0070271B"/>
    <w:rsid w:val="007027FC"/>
    <w:rsid w:val="00702810"/>
    <w:rsid w:val="00702B68"/>
    <w:rsid w:val="007030B3"/>
    <w:rsid w:val="00703223"/>
    <w:rsid w:val="0070343C"/>
    <w:rsid w:val="007035EB"/>
    <w:rsid w:val="007038CF"/>
    <w:rsid w:val="00703ECA"/>
    <w:rsid w:val="00704DB9"/>
    <w:rsid w:val="00705E66"/>
    <w:rsid w:val="00706698"/>
    <w:rsid w:val="007067E7"/>
    <w:rsid w:val="00710056"/>
    <w:rsid w:val="0071014B"/>
    <w:rsid w:val="007110E2"/>
    <w:rsid w:val="00712346"/>
    <w:rsid w:val="00712521"/>
    <w:rsid w:val="00712A90"/>
    <w:rsid w:val="00713925"/>
    <w:rsid w:val="00713D57"/>
    <w:rsid w:val="007141EE"/>
    <w:rsid w:val="007142D6"/>
    <w:rsid w:val="007144DA"/>
    <w:rsid w:val="00714B12"/>
    <w:rsid w:val="00714CFD"/>
    <w:rsid w:val="00714FBD"/>
    <w:rsid w:val="007153AD"/>
    <w:rsid w:val="007156D2"/>
    <w:rsid w:val="0071576C"/>
    <w:rsid w:val="007157F5"/>
    <w:rsid w:val="00715BAE"/>
    <w:rsid w:val="0071733E"/>
    <w:rsid w:val="00717527"/>
    <w:rsid w:val="007177CC"/>
    <w:rsid w:val="00717C5D"/>
    <w:rsid w:val="00717FF3"/>
    <w:rsid w:val="007204FF"/>
    <w:rsid w:val="00720628"/>
    <w:rsid w:val="007208DB"/>
    <w:rsid w:val="007208FA"/>
    <w:rsid w:val="00720974"/>
    <w:rsid w:val="00720976"/>
    <w:rsid w:val="007213D1"/>
    <w:rsid w:val="007218C7"/>
    <w:rsid w:val="0072358B"/>
    <w:rsid w:val="007239BF"/>
    <w:rsid w:val="00724992"/>
    <w:rsid w:val="00725950"/>
    <w:rsid w:val="00725A86"/>
    <w:rsid w:val="00725DEF"/>
    <w:rsid w:val="00726B71"/>
    <w:rsid w:val="007271F2"/>
    <w:rsid w:val="00727DCA"/>
    <w:rsid w:val="00730179"/>
    <w:rsid w:val="007304D7"/>
    <w:rsid w:val="00730537"/>
    <w:rsid w:val="0073120E"/>
    <w:rsid w:val="007313DC"/>
    <w:rsid w:val="00731464"/>
    <w:rsid w:val="0073187A"/>
    <w:rsid w:val="00731E8A"/>
    <w:rsid w:val="0073206B"/>
    <w:rsid w:val="0073217B"/>
    <w:rsid w:val="00732350"/>
    <w:rsid w:val="007328A9"/>
    <w:rsid w:val="00732B7C"/>
    <w:rsid w:val="0073320D"/>
    <w:rsid w:val="007334EF"/>
    <w:rsid w:val="00733D67"/>
    <w:rsid w:val="00734192"/>
    <w:rsid w:val="00735B0A"/>
    <w:rsid w:val="00735EFA"/>
    <w:rsid w:val="00736668"/>
    <w:rsid w:val="00736A30"/>
    <w:rsid w:val="00736FB8"/>
    <w:rsid w:val="007370A4"/>
    <w:rsid w:val="007378A6"/>
    <w:rsid w:val="00737CD8"/>
    <w:rsid w:val="00741099"/>
    <w:rsid w:val="007419DA"/>
    <w:rsid w:val="00741AEA"/>
    <w:rsid w:val="00741C6D"/>
    <w:rsid w:val="00741EA1"/>
    <w:rsid w:val="00742100"/>
    <w:rsid w:val="0074265C"/>
    <w:rsid w:val="00742715"/>
    <w:rsid w:val="007430E1"/>
    <w:rsid w:val="00744068"/>
    <w:rsid w:val="00744B2F"/>
    <w:rsid w:val="00745C0A"/>
    <w:rsid w:val="00745DD1"/>
    <w:rsid w:val="00746034"/>
    <w:rsid w:val="007462B5"/>
    <w:rsid w:val="00746450"/>
    <w:rsid w:val="00746FAC"/>
    <w:rsid w:val="00747C55"/>
    <w:rsid w:val="00750066"/>
    <w:rsid w:val="00750BF9"/>
    <w:rsid w:val="0075142E"/>
    <w:rsid w:val="00752A56"/>
    <w:rsid w:val="0075367B"/>
    <w:rsid w:val="0075370F"/>
    <w:rsid w:val="00753B87"/>
    <w:rsid w:val="00753D70"/>
    <w:rsid w:val="00753F64"/>
    <w:rsid w:val="00754716"/>
    <w:rsid w:val="0075471F"/>
    <w:rsid w:val="00754A81"/>
    <w:rsid w:val="00755CB7"/>
    <w:rsid w:val="007567AC"/>
    <w:rsid w:val="00757060"/>
    <w:rsid w:val="00757503"/>
    <w:rsid w:val="0075783D"/>
    <w:rsid w:val="00757918"/>
    <w:rsid w:val="00760164"/>
    <w:rsid w:val="00760838"/>
    <w:rsid w:val="00760D4D"/>
    <w:rsid w:val="007618D7"/>
    <w:rsid w:val="0076365B"/>
    <w:rsid w:val="00764255"/>
    <w:rsid w:val="007642B5"/>
    <w:rsid w:val="00765DC9"/>
    <w:rsid w:val="0076606B"/>
    <w:rsid w:val="00766A26"/>
    <w:rsid w:val="00766CD2"/>
    <w:rsid w:val="00771559"/>
    <w:rsid w:val="00771DC5"/>
    <w:rsid w:val="007723CE"/>
    <w:rsid w:val="00772771"/>
    <w:rsid w:val="00772F19"/>
    <w:rsid w:val="00773666"/>
    <w:rsid w:val="00773F5F"/>
    <w:rsid w:val="00773F74"/>
    <w:rsid w:val="00774991"/>
    <w:rsid w:val="00775F08"/>
    <w:rsid w:val="007766D3"/>
    <w:rsid w:val="00776B7A"/>
    <w:rsid w:val="0077791B"/>
    <w:rsid w:val="00777E9A"/>
    <w:rsid w:val="007802A8"/>
    <w:rsid w:val="00780D5E"/>
    <w:rsid w:val="00781653"/>
    <w:rsid w:val="0078195C"/>
    <w:rsid w:val="00782F08"/>
    <w:rsid w:val="00783946"/>
    <w:rsid w:val="00783C54"/>
    <w:rsid w:val="00783D61"/>
    <w:rsid w:val="00784920"/>
    <w:rsid w:val="00784A17"/>
    <w:rsid w:val="007852BD"/>
    <w:rsid w:val="00785419"/>
    <w:rsid w:val="00786356"/>
    <w:rsid w:val="00786DC6"/>
    <w:rsid w:val="00787592"/>
    <w:rsid w:val="00787750"/>
    <w:rsid w:val="00787A00"/>
    <w:rsid w:val="00787B56"/>
    <w:rsid w:val="00787BE6"/>
    <w:rsid w:val="007905B7"/>
    <w:rsid w:val="007907C8"/>
    <w:rsid w:val="007908FB"/>
    <w:rsid w:val="007909C0"/>
    <w:rsid w:val="007916B6"/>
    <w:rsid w:val="00791906"/>
    <w:rsid w:val="00791D71"/>
    <w:rsid w:val="007923A4"/>
    <w:rsid w:val="00792D0B"/>
    <w:rsid w:val="00792EDA"/>
    <w:rsid w:val="00793477"/>
    <w:rsid w:val="00794079"/>
    <w:rsid w:val="007949AD"/>
    <w:rsid w:val="0079580F"/>
    <w:rsid w:val="00796357"/>
    <w:rsid w:val="00796504"/>
    <w:rsid w:val="007965B1"/>
    <w:rsid w:val="00796B78"/>
    <w:rsid w:val="007A023B"/>
    <w:rsid w:val="007A141A"/>
    <w:rsid w:val="007A1791"/>
    <w:rsid w:val="007A1A96"/>
    <w:rsid w:val="007A1D66"/>
    <w:rsid w:val="007A1F29"/>
    <w:rsid w:val="007A2494"/>
    <w:rsid w:val="007A31D6"/>
    <w:rsid w:val="007A3260"/>
    <w:rsid w:val="007A4426"/>
    <w:rsid w:val="007A44D5"/>
    <w:rsid w:val="007A4BA4"/>
    <w:rsid w:val="007A5DAB"/>
    <w:rsid w:val="007A6473"/>
    <w:rsid w:val="007A658D"/>
    <w:rsid w:val="007A71F9"/>
    <w:rsid w:val="007A77DA"/>
    <w:rsid w:val="007A783D"/>
    <w:rsid w:val="007A7F17"/>
    <w:rsid w:val="007B0462"/>
    <w:rsid w:val="007B094F"/>
    <w:rsid w:val="007B26FC"/>
    <w:rsid w:val="007B2998"/>
    <w:rsid w:val="007B2C6C"/>
    <w:rsid w:val="007B2F0A"/>
    <w:rsid w:val="007B307E"/>
    <w:rsid w:val="007B3B65"/>
    <w:rsid w:val="007B3BB3"/>
    <w:rsid w:val="007B3F69"/>
    <w:rsid w:val="007B4142"/>
    <w:rsid w:val="007B49E6"/>
    <w:rsid w:val="007B562F"/>
    <w:rsid w:val="007B5F02"/>
    <w:rsid w:val="007B7323"/>
    <w:rsid w:val="007B7E9F"/>
    <w:rsid w:val="007C026A"/>
    <w:rsid w:val="007C02A3"/>
    <w:rsid w:val="007C0E29"/>
    <w:rsid w:val="007C0F74"/>
    <w:rsid w:val="007C1549"/>
    <w:rsid w:val="007C2577"/>
    <w:rsid w:val="007C302E"/>
    <w:rsid w:val="007C3CBC"/>
    <w:rsid w:val="007C3FCB"/>
    <w:rsid w:val="007C4A2E"/>
    <w:rsid w:val="007C5185"/>
    <w:rsid w:val="007C5F89"/>
    <w:rsid w:val="007C64B6"/>
    <w:rsid w:val="007C650C"/>
    <w:rsid w:val="007C6CFC"/>
    <w:rsid w:val="007C7FDD"/>
    <w:rsid w:val="007C7FE4"/>
    <w:rsid w:val="007D0084"/>
    <w:rsid w:val="007D008D"/>
    <w:rsid w:val="007D0824"/>
    <w:rsid w:val="007D0842"/>
    <w:rsid w:val="007D1156"/>
    <w:rsid w:val="007D1B71"/>
    <w:rsid w:val="007D1F0C"/>
    <w:rsid w:val="007D234C"/>
    <w:rsid w:val="007D26AC"/>
    <w:rsid w:val="007D28F0"/>
    <w:rsid w:val="007D3071"/>
    <w:rsid w:val="007D3710"/>
    <w:rsid w:val="007D5D28"/>
    <w:rsid w:val="007D659A"/>
    <w:rsid w:val="007D66AB"/>
    <w:rsid w:val="007D721B"/>
    <w:rsid w:val="007D7272"/>
    <w:rsid w:val="007D7C39"/>
    <w:rsid w:val="007D7CF3"/>
    <w:rsid w:val="007E0021"/>
    <w:rsid w:val="007E033D"/>
    <w:rsid w:val="007E04C6"/>
    <w:rsid w:val="007E0736"/>
    <w:rsid w:val="007E0F00"/>
    <w:rsid w:val="007E138C"/>
    <w:rsid w:val="007E138D"/>
    <w:rsid w:val="007E1C4F"/>
    <w:rsid w:val="007E2076"/>
    <w:rsid w:val="007E30DD"/>
    <w:rsid w:val="007E3191"/>
    <w:rsid w:val="007E3DD6"/>
    <w:rsid w:val="007E404C"/>
    <w:rsid w:val="007E42AA"/>
    <w:rsid w:val="007E50CD"/>
    <w:rsid w:val="007E548A"/>
    <w:rsid w:val="007E54F2"/>
    <w:rsid w:val="007E58EC"/>
    <w:rsid w:val="007E7FBD"/>
    <w:rsid w:val="007F2004"/>
    <w:rsid w:val="007F202F"/>
    <w:rsid w:val="007F2D49"/>
    <w:rsid w:val="007F3363"/>
    <w:rsid w:val="007F3B83"/>
    <w:rsid w:val="007F3EE1"/>
    <w:rsid w:val="007F55F0"/>
    <w:rsid w:val="007F57ED"/>
    <w:rsid w:val="007F67F1"/>
    <w:rsid w:val="007F703A"/>
    <w:rsid w:val="007F730E"/>
    <w:rsid w:val="007F755A"/>
    <w:rsid w:val="007F7639"/>
    <w:rsid w:val="008012B9"/>
    <w:rsid w:val="0080199F"/>
    <w:rsid w:val="008022A3"/>
    <w:rsid w:val="00802446"/>
    <w:rsid w:val="0080266B"/>
    <w:rsid w:val="00802C98"/>
    <w:rsid w:val="008031F6"/>
    <w:rsid w:val="00803229"/>
    <w:rsid w:val="008039B9"/>
    <w:rsid w:val="008039EC"/>
    <w:rsid w:val="00803E96"/>
    <w:rsid w:val="00803EAE"/>
    <w:rsid w:val="00804BB0"/>
    <w:rsid w:val="008053BF"/>
    <w:rsid w:val="008054D0"/>
    <w:rsid w:val="00805FAA"/>
    <w:rsid w:val="00805FBE"/>
    <w:rsid w:val="0080629F"/>
    <w:rsid w:val="00807330"/>
    <w:rsid w:val="008100FD"/>
    <w:rsid w:val="0081037D"/>
    <w:rsid w:val="00810E38"/>
    <w:rsid w:val="00812C5D"/>
    <w:rsid w:val="00812CE1"/>
    <w:rsid w:val="0081368B"/>
    <w:rsid w:val="00814B8C"/>
    <w:rsid w:val="00815183"/>
    <w:rsid w:val="00815CC6"/>
    <w:rsid w:val="0081618D"/>
    <w:rsid w:val="0081661D"/>
    <w:rsid w:val="00816E6E"/>
    <w:rsid w:val="00816F3F"/>
    <w:rsid w:val="00817C04"/>
    <w:rsid w:val="00820091"/>
    <w:rsid w:val="00820B5C"/>
    <w:rsid w:val="008211EC"/>
    <w:rsid w:val="008214B0"/>
    <w:rsid w:val="00821582"/>
    <w:rsid w:val="008218D5"/>
    <w:rsid w:val="00821A0E"/>
    <w:rsid w:val="00822294"/>
    <w:rsid w:val="00823AEC"/>
    <w:rsid w:val="00823C2C"/>
    <w:rsid w:val="008241C4"/>
    <w:rsid w:val="008242D1"/>
    <w:rsid w:val="00824868"/>
    <w:rsid w:val="00824B24"/>
    <w:rsid w:val="00824B78"/>
    <w:rsid w:val="00825283"/>
    <w:rsid w:val="0082546E"/>
    <w:rsid w:val="008256F7"/>
    <w:rsid w:val="00825749"/>
    <w:rsid w:val="00825D4C"/>
    <w:rsid w:val="00825F46"/>
    <w:rsid w:val="0082624E"/>
    <w:rsid w:val="008267E7"/>
    <w:rsid w:val="00826A77"/>
    <w:rsid w:val="0082769F"/>
    <w:rsid w:val="008276BA"/>
    <w:rsid w:val="00827A5D"/>
    <w:rsid w:val="00827B8E"/>
    <w:rsid w:val="00827D68"/>
    <w:rsid w:val="008303B0"/>
    <w:rsid w:val="008303FC"/>
    <w:rsid w:val="00831270"/>
    <w:rsid w:val="00831794"/>
    <w:rsid w:val="00831C86"/>
    <w:rsid w:val="00831EE0"/>
    <w:rsid w:val="00831F68"/>
    <w:rsid w:val="00832320"/>
    <w:rsid w:val="008333D8"/>
    <w:rsid w:val="0083344A"/>
    <w:rsid w:val="008338EA"/>
    <w:rsid w:val="00833BDB"/>
    <w:rsid w:val="00834679"/>
    <w:rsid w:val="00834863"/>
    <w:rsid w:val="00834A08"/>
    <w:rsid w:val="00834E0D"/>
    <w:rsid w:val="00835CA1"/>
    <w:rsid w:val="00835F9B"/>
    <w:rsid w:val="00835FAF"/>
    <w:rsid w:val="008402DD"/>
    <w:rsid w:val="0084082E"/>
    <w:rsid w:val="00840B25"/>
    <w:rsid w:val="00841AF1"/>
    <w:rsid w:val="00842412"/>
    <w:rsid w:val="008426FF"/>
    <w:rsid w:val="00842914"/>
    <w:rsid w:val="0084396C"/>
    <w:rsid w:val="0084417E"/>
    <w:rsid w:val="00844545"/>
    <w:rsid w:val="00844C7A"/>
    <w:rsid w:val="00844D07"/>
    <w:rsid w:val="00844FE4"/>
    <w:rsid w:val="00845D04"/>
    <w:rsid w:val="00846D19"/>
    <w:rsid w:val="00846F98"/>
    <w:rsid w:val="0085091C"/>
    <w:rsid w:val="008509F2"/>
    <w:rsid w:val="00850AF1"/>
    <w:rsid w:val="00850E07"/>
    <w:rsid w:val="008522F1"/>
    <w:rsid w:val="00852EDB"/>
    <w:rsid w:val="0085358A"/>
    <w:rsid w:val="00853761"/>
    <w:rsid w:val="00853B6E"/>
    <w:rsid w:val="00853CE7"/>
    <w:rsid w:val="00853DFD"/>
    <w:rsid w:val="008558B4"/>
    <w:rsid w:val="00855911"/>
    <w:rsid w:val="00856571"/>
    <w:rsid w:val="008569B2"/>
    <w:rsid w:val="0085702B"/>
    <w:rsid w:val="00857945"/>
    <w:rsid w:val="00857B01"/>
    <w:rsid w:val="00857EBB"/>
    <w:rsid w:val="00860C93"/>
    <w:rsid w:val="00860D27"/>
    <w:rsid w:val="00860E4B"/>
    <w:rsid w:val="00860EF2"/>
    <w:rsid w:val="00861727"/>
    <w:rsid w:val="008618C4"/>
    <w:rsid w:val="00861BF1"/>
    <w:rsid w:val="00861E52"/>
    <w:rsid w:val="00862449"/>
    <w:rsid w:val="00862E6B"/>
    <w:rsid w:val="00862F1B"/>
    <w:rsid w:val="00863F9D"/>
    <w:rsid w:val="008640C3"/>
    <w:rsid w:val="0086477E"/>
    <w:rsid w:val="00864DA1"/>
    <w:rsid w:val="00864F39"/>
    <w:rsid w:val="00866A18"/>
    <w:rsid w:val="00867FA6"/>
    <w:rsid w:val="0087081A"/>
    <w:rsid w:val="0087094F"/>
    <w:rsid w:val="00871825"/>
    <w:rsid w:val="00871DD7"/>
    <w:rsid w:val="0087209C"/>
    <w:rsid w:val="0087248E"/>
    <w:rsid w:val="008728AC"/>
    <w:rsid w:val="00872D4C"/>
    <w:rsid w:val="00872DB4"/>
    <w:rsid w:val="00874AD8"/>
    <w:rsid w:val="00874F99"/>
    <w:rsid w:val="00874FC9"/>
    <w:rsid w:val="00875115"/>
    <w:rsid w:val="00875129"/>
    <w:rsid w:val="00875FAE"/>
    <w:rsid w:val="00876074"/>
    <w:rsid w:val="0087747A"/>
    <w:rsid w:val="00877C53"/>
    <w:rsid w:val="00880CE7"/>
    <w:rsid w:val="00882569"/>
    <w:rsid w:val="00882647"/>
    <w:rsid w:val="00883439"/>
    <w:rsid w:val="008847D0"/>
    <w:rsid w:val="00884C85"/>
    <w:rsid w:val="0088542B"/>
    <w:rsid w:val="00885747"/>
    <w:rsid w:val="00885B7C"/>
    <w:rsid w:val="00885BF0"/>
    <w:rsid w:val="00885DE1"/>
    <w:rsid w:val="00885DEB"/>
    <w:rsid w:val="00885EBD"/>
    <w:rsid w:val="00886AE1"/>
    <w:rsid w:val="008870AB"/>
    <w:rsid w:val="00887531"/>
    <w:rsid w:val="008904AB"/>
    <w:rsid w:val="00890EAD"/>
    <w:rsid w:val="00890ED2"/>
    <w:rsid w:val="00890FEC"/>
    <w:rsid w:val="008916E2"/>
    <w:rsid w:val="00892095"/>
    <w:rsid w:val="0089224F"/>
    <w:rsid w:val="00893145"/>
    <w:rsid w:val="00893AF5"/>
    <w:rsid w:val="00894693"/>
    <w:rsid w:val="008946E0"/>
    <w:rsid w:val="00894847"/>
    <w:rsid w:val="00894BFB"/>
    <w:rsid w:val="00895F4B"/>
    <w:rsid w:val="00896140"/>
    <w:rsid w:val="008964BF"/>
    <w:rsid w:val="008969CE"/>
    <w:rsid w:val="00896B36"/>
    <w:rsid w:val="008975AC"/>
    <w:rsid w:val="008A0208"/>
    <w:rsid w:val="008A04FF"/>
    <w:rsid w:val="008A0B18"/>
    <w:rsid w:val="008A193E"/>
    <w:rsid w:val="008A1C42"/>
    <w:rsid w:val="008A2CEB"/>
    <w:rsid w:val="008A2D85"/>
    <w:rsid w:val="008A33D4"/>
    <w:rsid w:val="008A34C7"/>
    <w:rsid w:val="008A35DA"/>
    <w:rsid w:val="008A45C1"/>
    <w:rsid w:val="008A4D46"/>
    <w:rsid w:val="008A5291"/>
    <w:rsid w:val="008A53FF"/>
    <w:rsid w:val="008A5F19"/>
    <w:rsid w:val="008A5FA1"/>
    <w:rsid w:val="008A6333"/>
    <w:rsid w:val="008A6953"/>
    <w:rsid w:val="008A7ACE"/>
    <w:rsid w:val="008A7C47"/>
    <w:rsid w:val="008A7E15"/>
    <w:rsid w:val="008B0FE1"/>
    <w:rsid w:val="008B19A2"/>
    <w:rsid w:val="008B2218"/>
    <w:rsid w:val="008B2313"/>
    <w:rsid w:val="008B260F"/>
    <w:rsid w:val="008B2825"/>
    <w:rsid w:val="008B297B"/>
    <w:rsid w:val="008B2ACF"/>
    <w:rsid w:val="008B2B1F"/>
    <w:rsid w:val="008B30E7"/>
    <w:rsid w:val="008B32C9"/>
    <w:rsid w:val="008B3524"/>
    <w:rsid w:val="008B389D"/>
    <w:rsid w:val="008B3B0F"/>
    <w:rsid w:val="008B3C95"/>
    <w:rsid w:val="008B3D51"/>
    <w:rsid w:val="008B4354"/>
    <w:rsid w:val="008B4915"/>
    <w:rsid w:val="008B4CC2"/>
    <w:rsid w:val="008B4E27"/>
    <w:rsid w:val="008B5C7F"/>
    <w:rsid w:val="008B60F7"/>
    <w:rsid w:val="008B743B"/>
    <w:rsid w:val="008B7A82"/>
    <w:rsid w:val="008B7EFD"/>
    <w:rsid w:val="008C0F88"/>
    <w:rsid w:val="008C205A"/>
    <w:rsid w:val="008C2D6F"/>
    <w:rsid w:val="008C3217"/>
    <w:rsid w:val="008C3BF9"/>
    <w:rsid w:val="008C4635"/>
    <w:rsid w:val="008C4803"/>
    <w:rsid w:val="008C5299"/>
    <w:rsid w:val="008C532C"/>
    <w:rsid w:val="008C5931"/>
    <w:rsid w:val="008C5C9F"/>
    <w:rsid w:val="008C5EDA"/>
    <w:rsid w:val="008C5FD2"/>
    <w:rsid w:val="008C6D87"/>
    <w:rsid w:val="008C7E0A"/>
    <w:rsid w:val="008D0C2A"/>
    <w:rsid w:val="008D0D08"/>
    <w:rsid w:val="008D156E"/>
    <w:rsid w:val="008D1EEF"/>
    <w:rsid w:val="008D2CB0"/>
    <w:rsid w:val="008D3078"/>
    <w:rsid w:val="008D39DA"/>
    <w:rsid w:val="008D3BD5"/>
    <w:rsid w:val="008D4CD0"/>
    <w:rsid w:val="008D51DB"/>
    <w:rsid w:val="008D5E7E"/>
    <w:rsid w:val="008D5F2A"/>
    <w:rsid w:val="008D6DD7"/>
    <w:rsid w:val="008D7471"/>
    <w:rsid w:val="008D7EEA"/>
    <w:rsid w:val="008E1FBE"/>
    <w:rsid w:val="008E22FA"/>
    <w:rsid w:val="008E31D3"/>
    <w:rsid w:val="008E3736"/>
    <w:rsid w:val="008E3BFA"/>
    <w:rsid w:val="008E48C3"/>
    <w:rsid w:val="008E4919"/>
    <w:rsid w:val="008E4CDB"/>
    <w:rsid w:val="008E5D02"/>
    <w:rsid w:val="008E60B5"/>
    <w:rsid w:val="008E60F7"/>
    <w:rsid w:val="008E61FA"/>
    <w:rsid w:val="008E67E4"/>
    <w:rsid w:val="008E67F0"/>
    <w:rsid w:val="008E6DF0"/>
    <w:rsid w:val="008E7181"/>
    <w:rsid w:val="008F015E"/>
    <w:rsid w:val="008F0599"/>
    <w:rsid w:val="008F082E"/>
    <w:rsid w:val="008F0E98"/>
    <w:rsid w:val="008F10B9"/>
    <w:rsid w:val="008F1E11"/>
    <w:rsid w:val="008F25CA"/>
    <w:rsid w:val="008F2BFF"/>
    <w:rsid w:val="008F3C7B"/>
    <w:rsid w:val="008F4E95"/>
    <w:rsid w:val="008F51FE"/>
    <w:rsid w:val="008F6B87"/>
    <w:rsid w:val="008F6DC5"/>
    <w:rsid w:val="008F7160"/>
    <w:rsid w:val="008F7987"/>
    <w:rsid w:val="00900055"/>
    <w:rsid w:val="00900698"/>
    <w:rsid w:val="00900F7F"/>
    <w:rsid w:val="009026A3"/>
    <w:rsid w:val="0090277A"/>
    <w:rsid w:val="00902A6D"/>
    <w:rsid w:val="00903292"/>
    <w:rsid w:val="00903313"/>
    <w:rsid w:val="0090359F"/>
    <w:rsid w:val="0090375E"/>
    <w:rsid w:val="00903FA8"/>
    <w:rsid w:val="00904464"/>
    <w:rsid w:val="00904A85"/>
    <w:rsid w:val="00904CA8"/>
    <w:rsid w:val="009058C9"/>
    <w:rsid w:val="0090598D"/>
    <w:rsid w:val="00906D3A"/>
    <w:rsid w:val="0090731E"/>
    <w:rsid w:val="00907C3C"/>
    <w:rsid w:val="00907E20"/>
    <w:rsid w:val="0091084B"/>
    <w:rsid w:val="00910A9F"/>
    <w:rsid w:val="00911334"/>
    <w:rsid w:val="00911658"/>
    <w:rsid w:val="00912785"/>
    <w:rsid w:val="00912E79"/>
    <w:rsid w:val="00913B34"/>
    <w:rsid w:val="009148E4"/>
    <w:rsid w:val="00914C06"/>
    <w:rsid w:val="00914DE5"/>
    <w:rsid w:val="00914ED2"/>
    <w:rsid w:val="0091561B"/>
    <w:rsid w:val="009156B9"/>
    <w:rsid w:val="0091597B"/>
    <w:rsid w:val="00916130"/>
    <w:rsid w:val="0091686B"/>
    <w:rsid w:val="00916D3F"/>
    <w:rsid w:val="009171DC"/>
    <w:rsid w:val="00920120"/>
    <w:rsid w:val="00920516"/>
    <w:rsid w:val="009209C9"/>
    <w:rsid w:val="00920B76"/>
    <w:rsid w:val="0092170B"/>
    <w:rsid w:val="00921BE7"/>
    <w:rsid w:val="00921CB2"/>
    <w:rsid w:val="00922617"/>
    <w:rsid w:val="00922F56"/>
    <w:rsid w:val="00923B68"/>
    <w:rsid w:val="0092428C"/>
    <w:rsid w:val="0092466F"/>
    <w:rsid w:val="00925EDA"/>
    <w:rsid w:val="009261FB"/>
    <w:rsid w:val="0092620F"/>
    <w:rsid w:val="00926BA4"/>
    <w:rsid w:val="00927735"/>
    <w:rsid w:val="0092774C"/>
    <w:rsid w:val="009277AD"/>
    <w:rsid w:val="00927E08"/>
    <w:rsid w:val="00927F2C"/>
    <w:rsid w:val="00930AED"/>
    <w:rsid w:val="00930CC5"/>
    <w:rsid w:val="00930DA2"/>
    <w:rsid w:val="0093113B"/>
    <w:rsid w:val="0093149F"/>
    <w:rsid w:val="00931C9D"/>
    <w:rsid w:val="00931FA8"/>
    <w:rsid w:val="00932CA9"/>
    <w:rsid w:val="00932E51"/>
    <w:rsid w:val="00932F9B"/>
    <w:rsid w:val="00933065"/>
    <w:rsid w:val="0093372C"/>
    <w:rsid w:val="00933997"/>
    <w:rsid w:val="009339FC"/>
    <w:rsid w:val="00934037"/>
    <w:rsid w:val="0093419A"/>
    <w:rsid w:val="009342C0"/>
    <w:rsid w:val="00934B4D"/>
    <w:rsid w:val="00934D63"/>
    <w:rsid w:val="0093528A"/>
    <w:rsid w:val="009358E0"/>
    <w:rsid w:val="00935A98"/>
    <w:rsid w:val="00935C82"/>
    <w:rsid w:val="00936100"/>
    <w:rsid w:val="00936518"/>
    <w:rsid w:val="00936B23"/>
    <w:rsid w:val="009371FD"/>
    <w:rsid w:val="009372A2"/>
    <w:rsid w:val="00937AE2"/>
    <w:rsid w:val="00937C9F"/>
    <w:rsid w:val="00940341"/>
    <w:rsid w:val="009405AA"/>
    <w:rsid w:val="00940949"/>
    <w:rsid w:val="00940D52"/>
    <w:rsid w:val="00941111"/>
    <w:rsid w:val="00941198"/>
    <w:rsid w:val="00941BFA"/>
    <w:rsid w:val="00943295"/>
    <w:rsid w:val="00943399"/>
    <w:rsid w:val="00943B4D"/>
    <w:rsid w:val="0094415A"/>
    <w:rsid w:val="0094489E"/>
    <w:rsid w:val="00944A8A"/>
    <w:rsid w:val="00944CAD"/>
    <w:rsid w:val="0094501A"/>
    <w:rsid w:val="0094530C"/>
    <w:rsid w:val="00945659"/>
    <w:rsid w:val="00945C63"/>
    <w:rsid w:val="00947366"/>
    <w:rsid w:val="00947FA5"/>
    <w:rsid w:val="0095071E"/>
    <w:rsid w:val="00952458"/>
    <w:rsid w:val="0095277F"/>
    <w:rsid w:val="00952CD0"/>
    <w:rsid w:val="00952F7A"/>
    <w:rsid w:val="009534A7"/>
    <w:rsid w:val="00953801"/>
    <w:rsid w:val="009549EE"/>
    <w:rsid w:val="00954AEC"/>
    <w:rsid w:val="00954E3D"/>
    <w:rsid w:val="00954EB6"/>
    <w:rsid w:val="00954F74"/>
    <w:rsid w:val="00955099"/>
    <w:rsid w:val="00955622"/>
    <w:rsid w:val="00955EE8"/>
    <w:rsid w:val="00956673"/>
    <w:rsid w:val="009570F6"/>
    <w:rsid w:val="00957128"/>
    <w:rsid w:val="00957383"/>
    <w:rsid w:val="00960EFF"/>
    <w:rsid w:val="00961AB1"/>
    <w:rsid w:val="00961B3B"/>
    <w:rsid w:val="0096346B"/>
    <w:rsid w:val="0096369E"/>
    <w:rsid w:val="00963870"/>
    <w:rsid w:val="00963CE4"/>
    <w:rsid w:val="00964193"/>
    <w:rsid w:val="009645D4"/>
    <w:rsid w:val="00964CA6"/>
    <w:rsid w:val="00964F3F"/>
    <w:rsid w:val="00965E7F"/>
    <w:rsid w:val="00966D6F"/>
    <w:rsid w:val="00966F2C"/>
    <w:rsid w:val="00967D98"/>
    <w:rsid w:val="00967DAB"/>
    <w:rsid w:val="009705AC"/>
    <w:rsid w:val="009711F2"/>
    <w:rsid w:val="00971D3D"/>
    <w:rsid w:val="00971EEA"/>
    <w:rsid w:val="0097251E"/>
    <w:rsid w:val="00973A9B"/>
    <w:rsid w:val="00974CB5"/>
    <w:rsid w:val="00975240"/>
    <w:rsid w:val="0097524E"/>
    <w:rsid w:val="00975324"/>
    <w:rsid w:val="009758D6"/>
    <w:rsid w:val="009767F1"/>
    <w:rsid w:val="00977284"/>
    <w:rsid w:val="009804E2"/>
    <w:rsid w:val="00980741"/>
    <w:rsid w:val="009819DA"/>
    <w:rsid w:val="00981CEB"/>
    <w:rsid w:val="00981E0E"/>
    <w:rsid w:val="00981F69"/>
    <w:rsid w:val="00982071"/>
    <w:rsid w:val="00982AED"/>
    <w:rsid w:val="00982CB3"/>
    <w:rsid w:val="00984B87"/>
    <w:rsid w:val="00984C7D"/>
    <w:rsid w:val="00984D7F"/>
    <w:rsid w:val="00984EF4"/>
    <w:rsid w:val="00985549"/>
    <w:rsid w:val="00985734"/>
    <w:rsid w:val="00985A29"/>
    <w:rsid w:val="00985DEF"/>
    <w:rsid w:val="0098749A"/>
    <w:rsid w:val="00987DA8"/>
    <w:rsid w:val="009917C6"/>
    <w:rsid w:val="00992233"/>
    <w:rsid w:val="00992AA7"/>
    <w:rsid w:val="00992B28"/>
    <w:rsid w:val="00992F4A"/>
    <w:rsid w:val="00992F4B"/>
    <w:rsid w:val="00993C3A"/>
    <w:rsid w:val="0099478F"/>
    <w:rsid w:val="009947C9"/>
    <w:rsid w:val="00994B92"/>
    <w:rsid w:val="00994D7E"/>
    <w:rsid w:val="00994F5F"/>
    <w:rsid w:val="00995288"/>
    <w:rsid w:val="009955EC"/>
    <w:rsid w:val="009959F4"/>
    <w:rsid w:val="009960AD"/>
    <w:rsid w:val="00996397"/>
    <w:rsid w:val="0099695A"/>
    <w:rsid w:val="00996EDE"/>
    <w:rsid w:val="009973E6"/>
    <w:rsid w:val="00997EA9"/>
    <w:rsid w:val="009A0CD0"/>
    <w:rsid w:val="009A21D2"/>
    <w:rsid w:val="009A2436"/>
    <w:rsid w:val="009A2AE5"/>
    <w:rsid w:val="009A3BE5"/>
    <w:rsid w:val="009A40DC"/>
    <w:rsid w:val="009A43D8"/>
    <w:rsid w:val="009A4DF5"/>
    <w:rsid w:val="009A4F1D"/>
    <w:rsid w:val="009A5773"/>
    <w:rsid w:val="009A5BB0"/>
    <w:rsid w:val="009A630D"/>
    <w:rsid w:val="009A6425"/>
    <w:rsid w:val="009A6C2F"/>
    <w:rsid w:val="009A6C38"/>
    <w:rsid w:val="009A7002"/>
    <w:rsid w:val="009A7656"/>
    <w:rsid w:val="009A7DC1"/>
    <w:rsid w:val="009A7EE5"/>
    <w:rsid w:val="009A7F0F"/>
    <w:rsid w:val="009B01A7"/>
    <w:rsid w:val="009B2F62"/>
    <w:rsid w:val="009B318A"/>
    <w:rsid w:val="009B35B7"/>
    <w:rsid w:val="009B3813"/>
    <w:rsid w:val="009B3FF6"/>
    <w:rsid w:val="009B4470"/>
    <w:rsid w:val="009B4520"/>
    <w:rsid w:val="009B46DC"/>
    <w:rsid w:val="009B4D2D"/>
    <w:rsid w:val="009B6B22"/>
    <w:rsid w:val="009B7641"/>
    <w:rsid w:val="009B7A6E"/>
    <w:rsid w:val="009C048F"/>
    <w:rsid w:val="009C09A5"/>
    <w:rsid w:val="009C0C8A"/>
    <w:rsid w:val="009C12B9"/>
    <w:rsid w:val="009C12EF"/>
    <w:rsid w:val="009C1B6F"/>
    <w:rsid w:val="009C2A09"/>
    <w:rsid w:val="009C2EC1"/>
    <w:rsid w:val="009C3720"/>
    <w:rsid w:val="009C3B4D"/>
    <w:rsid w:val="009C5113"/>
    <w:rsid w:val="009C6B0B"/>
    <w:rsid w:val="009C6D0C"/>
    <w:rsid w:val="009C6FFA"/>
    <w:rsid w:val="009C7E57"/>
    <w:rsid w:val="009D03B9"/>
    <w:rsid w:val="009D06C2"/>
    <w:rsid w:val="009D079C"/>
    <w:rsid w:val="009D0ADA"/>
    <w:rsid w:val="009D0BEA"/>
    <w:rsid w:val="009D1315"/>
    <w:rsid w:val="009D14BD"/>
    <w:rsid w:val="009D1D45"/>
    <w:rsid w:val="009D2301"/>
    <w:rsid w:val="009D2B3B"/>
    <w:rsid w:val="009D303E"/>
    <w:rsid w:val="009D31E5"/>
    <w:rsid w:val="009D37BA"/>
    <w:rsid w:val="009D3BDC"/>
    <w:rsid w:val="009D456E"/>
    <w:rsid w:val="009D4680"/>
    <w:rsid w:val="009D4F0A"/>
    <w:rsid w:val="009D59A1"/>
    <w:rsid w:val="009D62C2"/>
    <w:rsid w:val="009D67B1"/>
    <w:rsid w:val="009D67C7"/>
    <w:rsid w:val="009D6DA8"/>
    <w:rsid w:val="009D6EAE"/>
    <w:rsid w:val="009D7259"/>
    <w:rsid w:val="009D72B2"/>
    <w:rsid w:val="009D7E52"/>
    <w:rsid w:val="009E018D"/>
    <w:rsid w:val="009E04E4"/>
    <w:rsid w:val="009E17A6"/>
    <w:rsid w:val="009E18E9"/>
    <w:rsid w:val="009E24F0"/>
    <w:rsid w:val="009E2624"/>
    <w:rsid w:val="009E26CA"/>
    <w:rsid w:val="009E2C0A"/>
    <w:rsid w:val="009E2EBB"/>
    <w:rsid w:val="009E3042"/>
    <w:rsid w:val="009E3CE9"/>
    <w:rsid w:val="009E43DC"/>
    <w:rsid w:val="009E4657"/>
    <w:rsid w:val="009E46F5"/>
    <w:rsid w:val="009E4A42"/>
    <w:rsid w:val="009E54C6"/>
    <w:rsid w:val="009E6135"/>
    <w:rsid w:val="009E6559"/>
    <w:rsid w:val="009E6868"/>
    <w:rsid w:val="009E7420"/>
    <w:rsid w:val="009E76AC"/>
    <w:rsid w:val="009E78C6"/>
    <w:rsid w:val="009E7905"/>
    <w:rsid w:val="009E7A29"/>
    <w:rsid w:val="009F0234"/>
    <w:rsid w:val="009F0AF8"/>
    <w:rsid w:val="009F11A7"/>
    <w:rsid w:val="009F12F7"/>
    <w:rsid w:val="009F1670"/>
    <w:rsid w:val="009F22D8"/>
    <w:rsid w:val="009F2C07"/>
    <w:rsid w:val="009F3065"/>
    <w:rsid w:val="009F328E"/>
    <w:rsid w:val="009F35D9"/>
    <w:rsid w:val="009F3C3B"/>
    <w:rsid w:val="009F4236"/>
    <w:rsid w:val="009F4825"/>
    <w:rsid w:val="009F4873"/>
    <w:rsid w:val="009F4950"/>
    <w:rsid w:val="009F4ADE"/>
    <w:rsid w:val="009F5C89"/>
    <w:rsid w:val="009F6026"/>
    <w:rsid w:val="009F68AB"/>
    <w:rsid w:val="009F7115"/>
    <w:rsid w:val="009F750F"/>
    <w:rsid w:val="009F772C"/>
    <w:rsid w:val="009F77AF"/>
    <w:rsid w:val="009F7D13"/>
    <w:rsid w:val="00A007D0"/>
    <w:rsid w:val="00A00C54"/>
    <w:rsid w:val="00A00E15"/>
    <w:rsid w:val="00A01458"/>
    <w:rsid w:val="00A01921"/>
    <w:rsid w:val="00A01F2C"/>
    <w:rsid w:val="00A028EC"/>
    <w:rsid w:val="00A02AC7"/>
    <w:rsid w:val="00A02BF3"/>
    <w:rsid w:val="00A03E53"/>
    <w:rsid w:val="00A048BD"/>
    <w:rsid w:val="00A04AE2"/>
    <w:rsid w:val="00A04CFE"/>
    <w:rsid w:val="00A04D8B"/>
    <w:rsid w:val="00A0512E"/>
    <w:rsid w:val="00A05138"/>
    <w:rsid w:val="00A0519A"/>
    <w:rsid w:val="00A052E5"/>
    <w:rsid w:val="00A05631"/>
    <w:rsid w:val="00A05740"/>
    <w:rsid w:val="00A05A3A"/>
    <w:rsid w:val="00A05F38"/>
    <w:rsid w:val="00A07753"/>
    <w:rsid w:val="00A077EF"/>
    <w:rsid w:val="00A07EEE"/>
    <w:rsid w:val="00A07F31"/>
    <w:rsid w:val="00A1008F"/>
    <w:rsid w:val="00A10253"/>
    <w:rsid w:val="00A10E02"/>
    <w:rsid w:val="00A11016"/>
    <w:rsid w:val="00A11D53"/>
    <w:rsid w:val="00A11EA3"/>
    <w:rsid w:val="00A1257C"/>
    <w:rsid w:val="00A12633"/>
    <w:rsid w:val="00A126CC"/>
    <w:rsid w:val="00A13CC7"/>
    <w:rsid w:val="00A13E3D"/>
    <w:rsid w:val="00A1484B"/>
    <w:rsid w:val="00A148C7"/>
    <w:rsid w:val="00A14964"/>
    <w:rsid w:val="00A14A14"/>
    <w:rsid w:val="00A15BD4"/>
    <w:rsid w:val="00A15C6E"/>
    <w:rsid w:val="00A16F53"/>
    <w:rsid w:val="00A20748"/>
    <w:rsid w:val="00A20B76"/>
    <w:rsid w:val="00A2229B"/>
    <w:rsid w:val="00A22834"/>
    <w:rsid w:val="00A22A2C"/>
    <w:rsid w:val="00A22D1E"/>
    <w:rsid w:val="00A234B1"/>
    <w:rsid w:val="00A23B86"/>
    <w:rsid w:val="00A23DA9"/>
    <w:rsid w:val="00A2403B"/>
    <w:rsid w:val="00A24078"/>
    <w:rsid w:val="00A2415C"/>
    <w:rsid w:val="00A246F5"/>
    <w:rsid w:val="00A24935"/>
    <w:rsid w:val="00A25474"/>
    <w:rsid w:val="00A25890"/>
    <w:rsid w:val="00A25A76"/>
    <w:rsid w:val="00A25AAB"/>
    <w:rsid w:val="00A26410"/>
    <w:rsid w:val="00A272BC"/>
    <w:rsid w:val="00A274D2"/>
    <w:rsid w:val="00A300D8"/>
    <w:rsid w:val="00A30705"/>
    <w:rsid w:val="00A30B6F"/>
    <w:rsid w:val="00A30E85"/>
    <w:rsid w:val="00A31867"/>
    <w:rsid w:val="00A3186E"/>
    <w:rsid w:val="00A31F3C"/>
    <w:rsid w:val="00A323CD"/>
    <w:rsid w:val="00A324DB"/>
    <w:rsid w:val="00A32D16"/>
    <w:rsid w:val="00A33D97"/>
    <w:rsid w:val="00A34375"/>
    <w:rsid w:val="00A344B7"/>
    <w:rsid w:val="00A355EE"/>
    <w:rsid w:val="00A35B25"/>
    <w:rsid w:val="00A35BA7"/>
    <w:rsid w:val="00A35DD6"/>
    <w:rsid w:val="00A36C2C"/>
    <w:rsid w:val="00A36DB4"/>
    <w:rsid w:val="00A370EF"/>
    <w:rsid w:val="00A372C3"/>
    <w:rsid w:val="00A37376"/>
    <w:rsid w:val="00A37BAC"/>
    <w:rsid w:val="00A40156"/>
    <w:rsid w:val="00A4081C"/>
    <w:rsid w:val="00A40DD8"/>
    <w:rsid w:val="00A41222"/>
    <w:rsid w:val="00A4163C"/>
    <w:rsid w:val="00A419CB"/>
    <w:rsid w:val="00A41C1F"/>
    <w:rsid w:val="00A41E29"/>
    <w:rsid w:val="00A42252"/>
    <w:rsid w:val="00A42442"/>
    <w:rsid w:val="00A427DE"/>
    <w:rsid w:val="00A42AE8"/>
    <w:rsid w:val="00A42F15"/>
    <w:rsid w:val="00A442FA"/>
    <w:rsid w:val="00A4449E"/>
    <w:rsid w:val="00A44B18"/>
    <w:rsid w:val="00A44B9F"/>
    <w:rsid w:val="00A44CE3"/>
    <w:rsid w:val="00A450D5"/>
    <w:rsid w:val="00A45425"/>
    <w:rsid w:val="00A46DF3"/>
    <w:rsid w:val="00A46ECE"/>
    <w:rsid w:val="00A47335"/>
    <w:rsid w:val="00A476D3"/>
    <w:rsid w:val="00A478F4"/>
    <w:rsid w:val="00A47BC1"/>
    <w:rsid w:val="00A47F54"/>
    <w:rsid w:val="00A5098A"/>
    <w:rsid w:val="00A509F2"/>
    <w:rsid w:val="00A50B6A"/>
    <w:rsid w:val="00A50B93"/>
    <w:rsid w:val="00A518E8"/>
    <w:rsid w:val="00A51A6A"/>
    <w:rsid w:val="00A51ADE"/>
    <w:rsid w:val="00A51C34"/>
    <w:rsid w:val="00A521A6"/>
    <w:rsid w:val="00A5239D"/>
    <w:rsid w:val="00A524AF"/>
    <w:rsid w:val="00A529E7"/>
    <w:rsid w:val="00A52F2E"/>
    <w:rsid w:val="00A53058"/>
    <w:rsid w:val="00A53315"/>
    <w:rsid w:val="00A536AF"/>
    <w:rsid w:val="00A539D4"/>
    <w:rsid w:val="00A53BB9"/>
    <w:rsid w:val="00A552E9"/>
    <w:rsid w:val="00A55444"/>
    <w:rsid w:val="00A559B5"/>
    <w:rsid w:val="00A56343"/>
    <w:rsid w:val="00A568F0"/>
    <w:rsid w:val="00A56A85"/>
    <w:rsid w:val="00A56C1F"/>
    <w:rsid w:val="00A6010C"/>
    <w:rsid w:val="00A601CA"/>
    <w:rsid w:val="00A618C8"/>
    <w:rsid w:val="00A61B2D"/>
    <w:rsid w:val="00A61C20"/>
    <w:rsid w:val="00A62009"/>
    <w:rsid w:val="00A6247C"/>
    <w:rsid w:val="00A629DB"/>
    <w:rsid w:val="00A62E66"/>
    <w:rsid w:val="00A63A03"/>
    <w:rsid w:val="00A6518D"/>
    <w:rsid w:val="00A65509"/>
    <w:rsid w:val="00A658EC"/>
    <w:rsid w:val="00A65BEB"/>
    <w:rsid w:val="00A65C58"/>
    <w:rsid w:val="00A66729"/>
    <w:rsid w:val="00A671A7"/>
    <w:rsid w:val="00A6730D"/>
    <w:rsid w:val="00A6754B"/>
    <w:rsid w:val="00A67AD8"/>
    <w:rsid w:val="00A67D7C"/>
    <w:rsid w:val="00A70A8A"/>
    <w:rsid w:val="00A71359"/>
    <w:rsid w:val="00A71B0C"/>
    <w:rsid w:val="00A71FE9"/>
    <w:rsid w:val="00A723C2"/>
    <w:rsid w:val="00A729BD"/>
    <w:rsid w:val="00A72E48"/>
    <w:rsid w:val="00A72F0A"/>
    <w:rsid w:val="00A73245"/>
    <w:rsid w:val="00A7385D"/>
    <w:rsid w:val="00A73F37"/>
    <w:rsid w:val="00A74149"/>
    <w:rsid w:val="00A749BD"/>
    <w:rsid w:val="00A751C9"/>
    <w:rsid w:val="00A7545E"/>
    <w:rsid w:val="00A754AA"/>
    <w:rsid w:val="00A757C8"/>
    <w:rsid w:val="00A758BF"/>
    <w:rsid w:val="00A76034"/>
    <w:rsid w:val="00A768C7"/>
    <w:rsid w:val="00A76AF1"/>
    <w:rsid w:val="00A77440"/>
    <w:rsid w:val="00A7749D"/>
    <w:rsid w:val="00A77A5A"/>
    <w:rsid w:val="00A8002F"/>
    <w:rsid w:val="00A80AB4"/>
    <w:rsid w:val="00A80D53"/>
    <w:rsid w:val="00A818D0"/>
    <w:rsid w:val="00A81AE7"/>
    <w:rsid w:val="00A81B34"/>
    <w:rsid w:val="00A81F1F"/>
    <w:rsid w:val="00A82163"/>
    <w:rsid w:val="00A82317"/>
    <w:rsid w:val="00A82587"/>
    <w:rsid w:val="00A829A2"/>
    <w:rsid w:val="00A82EDE"/>
    <w:rsid w:val="00A833F8"/>
    <w:rsid w:val="00A8346B"/>
    <w:rsid w:val="00A83951"/>
    <w:rsid w:val="00A8413D"/>
    <w:rsid w:val="00A853E5"/>
    <w:rsid w:val="00A85878"/>
    <w:rsid w:val="00A86208"/>
    <w:rsid w:val="00A8646D"/>
    <w:rsid w:val="00A86672"/>
    <w:rsid w:val="00A86B78"/>
    <w:rsid w:val="00A873B0"/>
    <w:rsid w:val="00A879F2"/>
    <w:rsid w:val="00A87AFF"/>
    <w:rsid w:val="00A87E55"/>
    <w:rsid w:val="00A901E8"/>
    <w:rsid w:val="00A90EF9"/>
    <w:rsid w:val="00A9121F"/>
    <w:rsid w:val="00A91251"/>
    <w:rsid w:val="00A915B8"/>
    <w:rsid w:val="00A922F3"/>
    <w:rsid w:val="00A92B00"/>
    <w:rsid w:val="00A9308E"/>
    <w:rsid w:val="00A93746"/>
    <w:rsid w:val="00A93FF6"/>
    <w:rsid w:val="00A94B26"/>
    <w:rsid w:val="00A9507D"/>
    <w:rsid w:val="00A95EB5"/>
    <w:rsid w:val="00A961C3"/>
    <w:rsid w:val="00A9675D"/>
    <w:rsid w:val="00A97411"/>
    <w:rsid w:val="00A979A1"/>
    <w:rsid w:val="00AA0FF7"/>
    <w:rsid w:val="00AA1054"/>
    <w:rsid w:val="00AA10FE"/>
    <w:rsid w:val="00AA1565"/>
    <w:rsid w:val="00AA2F25"/>
    <w:rsid w:val="00AA4300"/>
    <w:rsid w:val="00AA4492"/>
    <w:rsid w:val="00AA4597"/>
    <w:rsid w:val="00AA49E8"/>
    <w:rsid w:val="00AA4A80"/>
    <w:rsid w:val="00AA5E9B"/>
    <w:rsid w:val="00AA6856"/>
    <w:rsid w:val="00AA7741"/>
    <w:rsid w:val="00AA77E0"/>
    <w:rsid w:val="00AA7F2A"/>
    <w:rsid w:val="00AB015A"/>
    <w:rsid w:val="00AB1150"/>
    <w:rsid w:val="00AB1F4E"/>
    <w:rsid w:val="00AB2D79"/>
    <w:rsid w:val="00AB3791"/>
    <w:rsid w:val="00AB3F90"/>
    <w:rsid w:val="00AB40FC"/>
    <w:rsid w:val="00AB42A6"/>
    <w:rsid w:val="00AB43E8"/>
    <w:rsid w:val="00AB4796"/>
    <w:rsid w:val="00AB4BDC"/>
    <w:rsid w:val="00AB4F35"/>
    <w:rsid w:val="00AB5055"/>
    <w:rsid w:val="00AB5143"/>
    <w:rsid w:val="00AB5483"/>
    <w:rsid w:val="00AB5CA3"/>
    <w:rsid w:val="00AB6A9E"/>
    <w:rsid w:val="00AB733A"/>
    <w:rsid w:val="00AB7D65"/>
    <w:rsid w:val="00AC0167"/>
    <w:rsid w:val="00AC083A"/>
    <w:rsid w:val="00AC0C6E"/>
    <w:rsid w:val="00AC0CB6"/>
    <w:rsid w:val="00AC1256"/>
    <w:rsid w:val="00AC1E1B"/>
    <w:rsid w:val="00AC2451"/>
    <w:rsid w:val="00AC2639"/>
    <w:rsid w:val="00AC2BF3"/>
    <w:rsid w:val="00AC2D56"/>
    <w:rsid w:val="00AC2EB6"/>
    <w:rsid w:val="00AC2FAA"/>
    <w:rsid w:val="00AC3131"/>
    <w:rsid w:val="00AC315B"/>
    <w:rsid w:val="00AC3C55"/>
    <w:rsid w:val="00AC4B5D"/>
    <w:rsid w:val="00AC4F95"/>
    <w:rsid w:val="00AC51A3"/>
    <w:rsid w:val="00AC54EE"/>
    <w:rsid w:val="00AC61D2"/>
    <w:rsid w:val="00AC671C"/>
    <w:rsid w:val="00AC7423"/>
    <w:rsid w:val="00AC7DF5"/>
    <w:rsid w:val="00AD023F"/>
    <w:rsid w:val="00AD1051"/>
    <w:rsid w:val="00AD11A5"/>
    <w:rsid w:val="00AD11F9"/>
    <w:rsid w:val="00AD1901"/>
    <w:rsid w:val="00AD19D6"/>
    <w:rsid w:val="00AD1D8B"/>
    <w:rsid w:val="00AD2AD3"/>
    <w:rsid w:val="00AD30C2"/>
    <w:rsid w:val="00AD341C"/>
    <w:rsid w:val="00AD3641"/>
    <w:rsid w:val="00AD38C3"/>
    <w:rsid w:val="00AD3972"/>
    <w:rsid w:val="00AD3A9E"/>
    <w:rsid w:val="00AD3DE8"/>
    <w:rsid w:val="00AD43B9"/>
    <w:rsid w:val="00AD4E07"/>
    <w:rsid w:val="00AD4FC1"/>
    <w:rsid w:val="00AD5DAE"/>
    <w:rsid w:val="00AD63FE"/>
    <w:rsid w:val="00AD7540"/>
    <w:rsid w:val="00AD7C0E"/>
    <w:rsid w:val="00AD7E8D"/>
    <w:rsid w:val="00AE0E92"/>
    <w:rsid w:val="00AE11F5"/>
    <w:rsid w:val="00AE20AF"/>
    <w:rsid w:val="00AE26DA"/>
    <w:rsid w:val="00AE3356"/>
    <w:rsid w:val="00AE33E9"/>
    <w:rsid w:val="00AE3663"/>
    <w:rsid w:val="00AE3B90"/>
    <w:rsid w:val="00AE3BCB"/>
    <w:rsid w:val="00AE4AD9"/>
    <w:rsid w:val="00AE584A"/>
    <w:rsid w:val="00AE630B"/>
    <w:rsid w:val="00AE666A"/>
    <w:rsid w:val="00AE66BD"/>
    <w:rsid w:val="00AE6CF7"/>
    <w:rsid w:val="00AE6CF9"/>
    <w:rsid w:val="00AE6D43"/>
    <w:rsid w:val="00AE7015"/>
    <w:rsid w:val="00AE738B"/>
    <w:rsid w:val="00AE76EE"/>
    <w:rsid w:val="00AE7993"/>
    <w:rsid w:val="00AF02C9"/>
    <w:rsid w:val="00AF06B2"/>
    <w:rsid w:val="00AF096F"/>
    <w:rsid w:val="00AF15A0"/>
    <w:rsid w:val="00AF15C2"/>
    <w:rsid w:val="00AF16EB"/>
    <w:rsid w:val="00AF2D40"/>
    <w:rsid w:val="00AF2E75"/>
    <w:rsid w:val="00AF3C63"/>
    <w:rsid w:val="00AF461F"/>
    <w:rsid w:val="00AF46D3"/>
    <w:rsid w:val="00AF48C2"/>
    <w:rsid w:val="00AF4999"/>
    <w:rsid w:val="00AF524B"/>
    <w:rsid w:val="00AF63A8"/>
    <w:rsid w:val="00AF6400"/>
    <w:rsid w:val="00AF65FB"/>
    <w:rsid w:val="00AF694D"/>
    <w:rsid w:val="00AF6965"/>
    <w:rsid w:val="00AF6A2B"/>
    <w:rsid w:val="00AF6BE1"/>
    <w:rsid w:val="00AF6C9B"/>
    <w:rsid w:val="00AF706B"/>
    <w:rsid w:val="00AF710D"/>
    <w:rsid w:val="00AF7498"/>
    <w:rsid w:val="00AF784B"/>
    <w:rsid w:val="00AF78C9"/>
    <w:rsid w:val="00AF7CBE"/>
    <w:rsid w:val="00B00347"/>
    <w:rsid w:val="00B005C9"/>
    <w:rsid w:val="00B010EB"/>
    <w:rsid w:val="00B02890"/>
    <w:rsid w:val="00B02BC1"/>
    <w:rsid w:val="00B02EAE"/>
    <w:rsid w:val="00B042D0"/>
    <w:rsid w:val="00B04857"/>
    <w:rsid w:val="00B04A4E"/>
    <w:rsid w:val="00B05517"/>
    <w:rsid w:val="00B05684"/>
    <w:rsid w:val="00B05ED6"/>
    <w:rsid w:val="00B060FF"/>
    <w:rsid w:val="00B07B6F"/>
    <w:rsid w:val="00B10094"/>
    <w:rsid w:val="00B10E4B"/>
    <w:rsid w:val="00B11616"/>
    <w:rsid w:val="00B11723"/>
    <w:rsid w:val="00B126D2"/>
    <w:rsid w:val="00B131FB"/>
    <w:rsid w:val="00B13267"/>
    <w:rsid w:val="00B13B37"/>
    <w:rsid w:val="00B13B63"/>
    <w:rsid w:val="00B13C90"/>
    <w:rsid w:val="00B14341"/>
    <w:rsid w:val="00B14531"/>
    <w:rsid w:val="00B146B0"/>
    <w:rsid w:val="00B14D89"/>
    <w:rsid w:val="00B15616"/>
    <w:rsid w:val="00B15F0B"/>
    <w:rsid w:val="00B16417"/>
    <w:rsid w:val="00B165B5"/>
    <w:rsid w:val="00B16B0C"/>
    <w:rsid w:val="00B16DB7"/>
    <w:rsid w:val="00B1755C"/>
    <w:rsid w:val="00B179F7"/>
    <w:rsid w:val="00B17D2D"/>
    <w:rsid w:val="00B20C2D"/>
    <w:rsid w:val="00B20D00"/>
    <w:rsid w:val="00B2162E"/>
    <w:rsid w:val="00B218E0"/>
    <w:rsid w:val="00B21DF2"/>
    <w:rsid w:val="00B220C1"/>
    <w:rsid w:val="00B22134"/>
    <w:rsid w:val="00B24FA9"/>
    <w:rsid w:val="00B25126"/>
    <w:rsid w:val="00B2519A"/>
    <w:rsid w:val="00B257F8"/>
    <w:rsid w:val="00B25A00"/>
    <w:rsid w:val="00B25D18"/>
    <w:rsid w:val="00B301AC"/>
    <w:rsid w:val="00B304D4"/>
    <w:rsid w:val="00B30700"/>
    <w:rsid w:val="00B30FF7"/>
    <w:rsid w:val="00B31999"/>
    <w:rsid w:val="00B3294C"/>
    <w:rsid w:val="00B33445"/>
    <w:rsid w:val="00B335A5"/>
    <w:rsid w:val="00B336E2"/>
    <w:rsid w:val="00B34AE2"/>
    <w:rsid w:val="00B351EA"/>
    <w:rsid w:val="00B3531F"/>
    <w:rsid w:val="00B35622"/>
    <w:rsid w:val="00B36913"/>
    <w:rsid w:val="00B36A68"/>
    <w:rsid w:val="00B36C52"/>
    <w:rsid w:val="00B3770C"/>
    <w:rsid w:val="00B37BA4"/>
    <w:rsid w:val="00B40408"/>
    <w:rsid w:val="00B40856"/>
    <w:rsid w:val="00B4150C"/>
    <w:rsid w:val="00B4157F"/>
    <w:rsid w:val="00B41CC2"/>
    <w:rsid w:val="00B422E5"/>
    <w:rsid w:val="00B424B5"/>
    <w:rsid w:val="00B42B6D"/>
    <w:rsid w:val="00B43053"/>
    <w:rsid w:val="00B43A6B"/>
    <w:rsid w:val="00B43B3D"/>
    <w:rsid w:val="00B43FB0"/>
    <w:rsid w:val="00B44296"/>
    <w:rsid w:val="00B4444C"/>
    <w:rsid w:val="00B44E28"/>
    <w:rsid w:val="00B46326"/>
    <w:rsid w:val="00B47E95"/>
    <w:rsid w:val="00B5078C"/>
    <w:rsid w:val="00B5089B"/>
    <w:rsid w:val="00B50B3B"/>
    <w:rsid w:val="00B520A2"/>
    <w:rsid w:val="00B520EF"/>
    <w:rsid w:val="00B528AA"/>
    <w:rsid w:val="00B54C79"/>
    <w:rsid w:val="00B55152"/>
    <w:rsid w:val="00B553EA"/>
    <w:rsid w:val="00B55AF8"/>
    <w:rsid w:val="00B55FFE"/>
    <w:rsid w:val="00B566E1"/>
    <w:rsid w:val="00B56F87"/>
    <w:rsid w:val="00B572B7"/>
    <w:rsid w:val="00B57547"/>
    <w:rsid w:val="00B57B7D"/>
    <w:rsid w:val="00B6040F"/>
    <w:rsid w:val="00B60446"/>
    <w:rsid w:val="00B61353"/>
    <w:rsid w:val="00B62447"/>
    <w:rsid w:val="00B627C9"/>
    <w:rsid w:val="00B62AF0"/>
    <w:rsid w:val="00B636AF"/>
    <w:rsid w:val="00B63E5F"/>
    <w:rsid w:val="00B6444A"/>
    <w:rsid w:val="00B64598"/>
    <w:rsid w:val="00B65BF4"/>
    <w:rsid w:val="00B6792A"/>
    <w:rsid w:val="00B67C63"/>
    <w:rsid w:val="00B704EA"/>
    <w:rsid w:val="00B705F1"/>
    <w:rsid w:val="00B70AD4"/>
    <w:rsid w:val="00B7100B"/>
    <w:rsid w:val="00B71F15"/>
    <w:rsid w:val="00B71F7B"/>
    <w:rsid w:val="00B7248C"/>
    <w:rsid w:val="00B72A58"/>
    <w:rsid w:val="00B72E3E"/>
    <w:rsid w:val="00B7480B"/>
    <w:rsid w:val="00B749BA"/>
    <w:rsid w:val="00B74AE9"/>
    <w:rsid w:val="00B74ECB"/>
    <w:rsid w:val="00B75230"/>
    <w:rsid w:val="00B75415"/>
    <w:rsid w:val="00B76312"/>
    <w:rsid w:val="00B763C8"/>
    <w:rsid w:val="00B77003"/>
    <w:rsid w:val="00B77C48"/>
    <w:rsid w:val="00B80363"/>
    <w:rsid w:val="00B809A2"/>
    <w:rsid w:val="00B80AB2"/>
    <w:rsid w:val="00B80FEE"/>
    <w:rsid w:val="00B819D1"/>
    <w:rsid w:val="00B83F55"/>
    <w:rsid w:val="00B840DA"/>
    <w:rsid w:val="00B84FF0"/>
    <w:rsid w:val="00B86A51"/>
    <w:rsid w:val="00B87382"/>
    <w:rsid w:val="00B8739E"/>
    <w:rsid w:val="00B873BD"/>
    <w:rsid w:val="00B905C5"/>
    <w:rsid w:val="00B90880"/>
    <w:rsid w:val="00B91531"/>
    <w:rsid w:val="00B916CD"/>
    <w:rsid w:val="00B91EBF"/>
    <w:rsid w:val="00B93434"/>
    <w:rsid w:val="00B9354F"/>
    <w:rsid w:val="00B937FE"/>
    <w:rsid w:val="00B93964"/>
    <w:rsid w:val="00B9402F"/>
    <w:rsid w:val="00B9403F"/>
    <w:rsid w:val="00B9434B"/>
    <w:rsid w:val="00B94431"/>
    <w:rsid w:val="00B94D7E"/>
    <w:rsid w:val="00B950FC"/>
    <w:rsid w:val="00B9578F"/>
    <w:rsid w:val="00B9583A"/>
    <w:rsid w:val="00B95B08"/>
    <w:rsid w:val="00B9628E"/>
    <w:rsid w:val="00B9736A"/>
    <w:rsid w:val="00B97FBD"/>
    <w:rsid w:val="00BA06F5"/>
    <w:rsid w:val="00BA0E4C"/>
    <w:rsid w:val="00BA1098"/>
    <w:rsid w:val="00BA1714"/>
    <w:rsid w:val="00BA2BDB"/>
    <w:rsid w:val="00BA2CF6"/>
    <w:rsid w:val="00BA3803"/>
    <w:rsid w:val="00BA418C"/>
    <w:rsid w:val="00BA4C07"/>
    <w:rsid w:val="00BA55CF"/>
    <w:rsid w:val="00BA5ACA"/>
    <w:rsid w:val="00BA5E52"/>
    <w:rsid w:val="00BA6046"/>
    <w:rsid w:val="00BA6127"/>
    <w:rsid w:val="00BA653B"/>
    <w:rsid w:val="00BA7A60"/>
    <w:rsid w:val="00BA7C0C"/>
    <w:rsid w:val="00BA7E99"/>
    <w:rsid w:val="00BA7F21"/>
    <w:rsid w:val="00BB0040"/>
    <w:rsid w:val="00BB013B"/>
    <w:rsid w:val="00BB06D8"/>
    <w:rsid w:val="00BB089B"/>
    <w:rsid w:val="00BB08F8"/>
    <w:rsid w:val="00BB115D"/>
    <w:rsid w:val="00BB215B"/>
    <w:rsid w:val="00BB216A"/>
    <w:rsid w:val="00BB2323"/>
    <w:rsid w:val="00BB2FF3"/>
    <w:rsid w:val="00BB3242"/>
    <w:rsid w:val="00BB3D78"/>
    <w:rsid w:val="00BB4150"/>
    <w:rsid w:val="00BB4789"/>
    <w:rsid w:val="00BB48BA"/>
    <w:rsid w:val="00BB4B4E"/>
    <w:rsid w:val="00BB576E"/>
    <w:rsid w:val="00BB5CED"/>
    <w:rsid w:val="00BB6173"/>
    <w:rsid w:val="00BB6678"/>
    <w:rsid w:val="00BB7813"/>
    <w:rsid w:val="00BB79E6"/>
    <w:rsid w:val="00BB7C2A"/>
    <w:rsid w:val="00BC0828"/>
    <w:rsid w:val="00BC1661"/>
    <w:rsid w:val="00BC19F9"/>
    <w:rsid w:val="00BC2F16"/>
    <w:rsid w:val="00BC3216"/>
    <w:rsid w:val="00BC376A"/>
    <w:rsid w:val="00BC4BA0"/>
    <w:rsid w:val="00BC50C6"/>
    <w:rsid w:val="00BC5527"/>
    <w:rsid w:val="00BC59E8"/>
    <w:rsid w:val="00BC5D0B"/>
    <w:rsid w:val="00BC610C"/>
    <w:rsid w:val="00BC6E34"/>
    <w:rsid w:val="00BD0747"/>
    <w:rsid w:val="00BD0E4D"/>
    <w:rsid w:val="00BD1286"/>
    <w:rsid w:val="00BD1C34"/>
    <w:rsid w:val="00BD227C"/>
    <w:rsid w:val="00BD262E"/>
    <w:rsid w:val="00BD2D89"/>
    <w:rsid w:val="00BD2E51"/>
    <w:rsid w:val="00BD3A10"/>
    <w:rsid w:val="00BD3B28"/>
    <w:rsid w:val="00BD44C7"/>
    <w:rsid w:val="00BD4DA5"/>
    <w:rsid w:val="00BD5013"/>
    <w:rsid w:val="00BD5505"/>
    <w:rsid w:val="00BD56B0"/>
    <w:rsid w:val="00BD5868"/>
    <w:rsid w:val="00BD6065"/>
    <w:rsid w:val="00BD6C34"/>
    <w:rsid w:val="00BD6CF4"/>
    <w:rsid w:val="00BD7F3E"/>
    <w:rsid w:val="00BE01E8"/>
    <w:rsid w:val="00BE03AB"/>
    <w:rsid w:val="00BE0726"/>
    <w:rsid w:val="00BE0A46"/>
    <w:rsid w:val="00BE0EBB"/>
    <w:rsid w:val="00BE1432"/>
    <w:rsid w:val="00BE1A47"/>
    <w:rsid w:val="00BE1D42"/>
    <w:rsid w:val="00BE2304"/>
    <w:rsid w:val="00BE24AE"/>
    <w:rsid w:val="00BE25D8"/>
    <w:rsid w:val="00BE37A4"/>
    <w:rsid w:val="00BE39BA"/>
    <w:rsid w:val="00BE3B52"/>
    <w:rsid w:val="00BE4277"/>
    <w:rsid w:val="00BE49CB"/>
    <w:rsid w:val="00BE4CA3"/>
    <w:rsid w:val="00BE593C"/>
    <w:rsid w:val="00BE60E0"/>
    <w:rsid w:val="00BE65F7"/>
    <w:rsid w:val="00BE69A3"/>
    <w:rsid w:val="00BE6A1F"/>
    <w:rsid w:val="00BE71B6"/>
    <w:rsid w:val="00BE7438"/>
    <w:rsid w:val="00BF06A0"/>
    <w:rsid w:val="00BF206F"/>
    <w:rsid w:val="00BF2FAB"/>
    <w:rsid w:val="00BF31BE"/>
    <w:rsid w:val="00BF36EA"/>
    <w:rsid w:val="00BF4024"/>
    <w:rsid w:val="00BF4E87"/>
    <w:rsid w:val="00BF5FCF"/>
    <w:rsid w:val="00BF61C5"/>
    <w:rsid w:val="00BF620D"/>
    <w:rsid w:val="00BF7D17"/>
    <w:rsid w:val="00C001D3"/>
    <w:rsid w:val="00C00D8A"/>
    <w:rsid w:val="00C015B1"/>
    <w:rsid w:val="00C0213F"/>
    <w:rsid w:val="00C0236C"/>
    <w:rsid w:val="00C028C3"/>
    <w:rsid w:val="00C029E4"/>
    <w:rsid w:val="00C038AF"/>
    <w:rsid w:val="00C03F49"/>
    <w:rsid w:val="00C055E7"/>
    <w:rsid w:val="00C05690"/>
    <w:rsid w:val="00C057A7"/>
    <w:rsid w:val="00C10040"/>
    <w:rsid w:val="00C11AB5"/>
    <w:rsid w:val="00C123D0"/>
    <w:rsid w:val="00C1263A"/>
    <w:rsid w:val="00C1263E"/>
    <w:rsid w:val="00C12E7D"/>
    <w:rsid w:val="00C12EF1"/>
    <w:rsid w:val="00C12F3B"/>
    <w:rsid w:val="00C13B03"/>
    <w:rsid w:val="00C13B0E"/>
    <w:rsid w:val="00C1407F"/>
    <w:rsid w:val="00C145AE"/>
    <w:rsid w:val="00C148D3"/>
    <w:rsid w:val="00C15622"/>
    <w:rsid w:val="00C205DB"/>
    <w:rsid w:val="00C206DD"/>
    <w:rsid w:val="00C206E9"/>
    <w:rsid w:val="00C20D77"/>
    <w:rsid w:val="00C20F18"/>
    <w:rsid w:val="00C21892"/>
    <w:rsid w:val="00C21FA5"/>
    <w:rsid w:val="00C227B3"/>
    <w:rsid w:val="00C22FC6"/>
    <w:rsid w:val="00C23194"/>
    <w:rsid w:val="00C234BD"/>
    <w:rsid w:val="00C236FC"/>
    <w:rsid w:val="00C23CFB"/>
    <w:rsid w:val="00C23E26"/>
    <w:rsid w:val="00C2554E"/>
    <w:rsid w:val="00C25881"/>
    <w:rsid w:val="00C2635F"/>
    <w:rsid w:val="00C26AF4"/>
    <w:rsid w:val="00C26AFE"/>
    <w:rsid w:val="00C26F1E"/>
    <w:rsid w:val="00C26F80"/>
    <w:rsid w:val="00C272E6"/>
    <w:rsid w:val="00C274B3"/>
    <w:rsid w:val="00C27A4D"/>
    <w:rsid w:val="00C307BC"/>
    <w:rsid w:val="00C30DDA"/>
    <w:rsid w:val="00C316D9"/>
    <w:rsid w:val="00C31DCF"/>
    <w:rsid w:val="00C31E37"/>
    <w:rsid w:val="00C32394"/>
    <w:rsid w:val="00C32B2E"/>
    <w:rsid w:val="00C32BD3"/>
    <w:rsid w:val="00C32E67"/>
    <w:rsid w:val="00C33CC0"/>
    <w:rsid w:val="00C34921"/>
    <w:rsid w:val="00C34E29"/>
    <w:rsid w:val="00C34F31"/>
    <w:rsid w:val="00C3507F"/>
    <w:rsid w:val="00C356F9"/>
    <w:rsid w:val="00C35A54"/>
    <w:rsid w:val="00C35DAC"/>
    <w:rsid w:val="00C37CD0"/>
    <w:rsid w:val="00C37F1D"/>
    <w:rsid w:val="00C40B39"/>
    <w:rsid w:val="00C41B49"/>
    <w:rsid w:val="00C42027"/>
    <w:rsid w:val="00C42346"/>
    <w:rsid w:val="00C4235D"/>
    <w:rsid w:val="00C4257D"/>
    <w:rsid w:val="00C42901"/>
    <w:rsid w:val="00C432D3"/>
    <w:rsid w:val="00C43BF0"/>
    <w:rsid w:val="00C43D14"/>
    <w:rsid w:val="00C4422D"/>
    <w:rsid w:val="00C4444C"/>
    <w:rsid w:val="00C444E8"/>
    <w:rsid w:val="00C445A4"/>
    <w:rsid w:val="00C4477E"/>
    <w:rsid w:val="00C44E53"/>
    <w:rsid w:val="00C45303"/>
    <w:rsid w:val="00C456AE"/>
    <w:rsid w:val="00C45778"/>
    <w:rsid w:val="00C45AB2"/>
    <w:rsid w:val="00C46060"/>
    <w:rsid w:val="00C46105"/>
    <w:rsid w:val="00C46277"/>
    <w:rsid w:val="00C46465"/>
    <w:rsid w:val="00C4668C"/>
    <w:rsid w:val="00C467A5"/>
    <w:rsid w:val="00C46C70"/>
    <w:rsid w:val="00C47146"/>
    <w:rsid w:val="00C47A9F"/>
    <w:rsid w:val="00C500AA"/>
    <w:rsid w:val="00C50129"/>
    <w:rsid w:val="00C502F4"/>
    <w:rsid w:val="00C505D2"/>
    <w:rsid w:val="00C5275A"/>
    <w:rsid w:val="00C52813"/>
    <w:rsid w:val="00C534B8"/>
    <w:rsid w:val="00C539DD"/>
    <w:rsid w:val="00C544FB"/>
    <w:rsid w:val="00C5464E"/>
    <w:rsid w:val="00C559D8"/>
    <w:rsid w:val="00C5679A"/>
    <w:rsid w:val="00C6004E"/>
    <w:rsid w:val="00C6098E"/>
    <w:rsid w:val="00C61249"/>
    <w:rsid w:val="00C61B46"/>
    <w:rsid w:val="00C62152"/>
    <w:rsid w:val="00C62302"/>
    <w:rsid w:val="00C6350C"/>
    <w:rsid w:val="00C63A3C"/>
    <w:rsid w:val="00C63D24"/>
    <w:rsid w:val="00C64F1A"/>
    <w:rsid w:val="00C65316"/>
    <w:rsid w:val="00C65C87"/>
    <w:rsid w:val="00C65CA8"/>
    <w:rsid w:val="00C66654"/>
    <w:rsid w:val="00C66B2F"/>
    <w:rsid w:val="00C67EDA"/>
    <w:rsid w:val="00C700D0"/>
    <w:rsid w:val="00C70280"/>
    <w:rsid w:val="00C70562"/>
    <w:rsid w:val="00C709A6"/>
    <w:rsid w:val="00C709DA"/>
    <w:rsid w:val="00C70CAE"/>
    <w:rsid w:val="00C712ED"/>
    <w:rsid w:val="00C72563"/>
    <w:rsid w:val="00C725F5"/>
    <w:rsid w:val="00C72EB0"/>
    <w:rsid w:val="00C72F8F"/>
    <w:rsid w:val="00C735C0"/>
    <w:rsid w:val="00C7394B"/>
    <w:rsid w:val="00C74586"/>
    <w:rsid w:val="00C74594"/>
    <w:rsid w:val="00C74C96"/>
    <w:rsid w:val="00C74E60"/>
    <w:rsid w:val="00C76AF1"/>
    <w:rsid w:val="00C77478"/>
    <w:rsid w:val="00C776FE"/>
    <w:rsid w:val="00C77B1D"/>
    <w:rsid w:val="00C8079D"/>
    <w:rsid w:val="00C80AB0"/>
    <w:rsid w:val="00C80B7A"/>
    <w:rsid w:val="00C8109A"/>
    <w:rsid w:val="00C81248"/>
    <w:rsid w:val="00C8157A"/>
    <w:rsid w:val="00C81859"/>
    <w:rsid w:val="00C82A42"/>
    <w:rsid w:val="00C8388D"/>
    <w:rsid w:val="00C83904"/>
    <w:rsid w:val="00C839C0"/>
    <w:rsid w:val="00C83FE8"/>
    <w:rsid w:val="00C84192"/>
    <w:rsid w:val="00C84A0E"/>
    <w:rsid w:val="00C85E51"/>
    <w:rsid w:val="00C865EF"/>
    <w:rsid w:val="00C867B3"/>
    <w:rsid w:val="00C869FB"/>
    <w:rsid w:val="00C876AD"/>
    <w:rsid w:val="00C87924"/>
    <w:rsid w:val="00C87ABE"/>
    <w:rsid w:val="00C9034D"/>
    <w:rsid w:val="00C90A27"/>
    <w:rsid w:val="00C90B5F"/>
    <w:rsid w:val="00C90C41"/>
    <w:rsid w:val="00C91005"/>
    <w:rsid w:val="00C9192B"/>
    <w:rsid w:val="00C91ED5"/>
    <w:rsid w:val="00C92256"/>
    <w:rsid w:val="00C93CE3"/>
    <w:rsid w:val="00C94C3A"/>
    <w:rsid w:val="00C94E7F"/>
    <w:rsid w:val="00C95C41"/>
    <w:rsid w:val="00C95E45"/>
    <w:rsid w:val="00C95F22"/>
    <w:rsid w:val="00C95F8B"/>
    <w:rsid w:val="00C96FE6"/>
    <w:rsid w:val="00C972CA"/>
    <w:rsid w:val="00C97471"/>
    <w:rsid w:val="00C97CF1"/>
    <w:rsid w:val="00CA105D"/>
    <w:rsid w:val="00CA120E"/>
    <w:rsid w:val="00CA153F"/>
    <w:rsid w:val="00CA1B9D"/>
    <w:rsid w:val="00CA1DA8"/>
    <w:rsid w:val="00CA1E8D"/>
    <w:rsid w:val="00CA20C5"/>
    <w:rsid w:val="00CA28B5"/>
    <w:rsid w:val="00CA29F3"/>
    <w:rsid w:val="00CA362A"/>
    <w:rsid w:val="00CA39D6"/>
    <w:rsid w:val="00CA3AE6"/>
    <w:rsid w:val="00CA3C6B"/>
    <w:rsid w:val="00CA4B40"/>
    <w:rsid w:val="00CA4B48"/>
    <w:rsid w:val="00CA54F7"/>
    <w:rsid w:val="00CA5C5E"/>
    <w:rsid w:val="00CA62FE"/>
    <w:rsid w:val="00CA64DD"/>
    <w:rsid w:val="00CA6A3C"/>
    <w:rsid w:val="00CA78F5"/>
    <w:rsid w:val="00CA7C97"/>
    <w:rsid w:val="00CA7FFB"/>
    <w:rsid w:val="00CB00CB"/>
    <w:rsid w:val="00CB0900"/>
    <w:rsid w:val="00CB0932"/>
    <w:rsid w:val="00CB0D14"/>
    <w:rsid w:val="00CB0D2F"/>
    <w:rsid w:val="00CB1346"/>
    <w:rsid w:val="00CB2339"/>
    <w:rsid w:val="00CB32E4"/>
    <w:rsid w:val="00CB3920"/>
    <w:rsid w:val="00CB3A38"/>
    <w:rsid w:val="00CB3ABD"/>
    <w:rsid w:val="00CB4579"/>
    <w:rsid w:val="00CB4B82"/>
    <w:rsid w:val="00CB4E9A"/>
    <w:rsid w:val="00CB51EC"/>
    <w:rsid w:val="00CB52D6"/>
    <w:rsid w:val="00CB56BB"/>
    <w:rsid w:val="00CB59BB"/>
    <w:rsid w:val="00CB608D"/>
    <w:rsid w:val="00CB6527"/>
    <w:rsid w:val="00CB6908"/>
    <w:rsid w:val="00CB6A47"/>
    <w:rsid w:val="00CB74C0"/>
    <w:rsid w:val="00CB7750"/>
    <w:rsid w:val="00CB7C87"/>
    <w:rsid w:val="00CB7C93"/>
    <w:rsid w:val="00CB7D45"/>
    <w:rsid w:val="00CC005B"/>
    <w:rsid w:val="00CC0C92"/>
    <w:rsid w:val="00CC0E79"/>
    <w:rsid w:val="00CC1125"/>
    <w:rsid w:val="00CC14C1"/>
    <w:rsid w:val="00CC17EA"/>
    <w:rsid w:val="00CC2033"/>
    <w:rsid w:val="00CC208A"/>
    <w:rsid w:val="00CC2385"/>
    <w:rsid w:val="00CC28A7"/>
    <w:rsid w:val="00CC3646"/>
    <w:rsid w:val="00CC3D7D"/>
    <w:rsid w:val="00CC49C2"/>
    <w:rsid w:val="00CC4E71"/>
    <w:rsid w:val="00CC545C"/>
    <w:rsid w:val="00CC5AE1"/>
    <w:rsid w:val="00CC5F3E"/>
    <w:rsid w:val="00CC60B0"/>
    <w:rsid w:val="00CC6BDD"/>
    <w:rsid w:val="00CC7F87"/>
    <w:rsid w:val="00CD091C"/>
    <w:rsid w:val="00CD219B"/>
    <w:rsid w:val="00CD2A82"/>
    <w:rsid w:val="00CD2E37"/>
    <w:rsid w:val="00CD3D64"/>
    <w:rsid w:val="00CD45C5"/>
    <w:rsid w:val="00CD558B"/>
    <w:rsid w:val="00CD558F"/>
    <w:rsid w:val="00CD7DED"/>
    <w:rsid w:val="00CE10A1"/>
    <w:rsid w:val="00CE1EF2"/>
    <w:rsid w:val="00CE1FC6"/>
    <w:rsid w:val="00CE25F0"/>
    <w:rsid w:val="00CE2946"/>
    <w:rsid w:val="00CE2B14"/>
    <w:rsid w:val="00CE2FC0"/>
    <w:rsid w:val="00CE3E3F"/>
    <w:rsid w:val="00CE4238"/>
    <w:rsid w:val="00CE427B"/>
    <w:rsid w:val="00CE436F"/>
    <w:rsid w:val="00CE4C54"/>
    <w:rsid w:val="00CE559A"/>
    <w:rsid w:val="00CE5B4B"/>
    <w:rsid w:val="00CE5E6D"/>
    <w:rsid w:val="00CE686D"/>
    <w:rsid w:val="00CE7CCE"/>
    <w:rsid w:val="00CF0046"/>
    <w:rsid w:val="00CF0324"/>
    <w:rsid w:val="00CF0684"/>
    <w:rsid w:val="00CF137D"/>
    <w:rsid w:val="00CF1953"/>
    <w:rsid w:val="00CF1AA2"/>
    <w:rsid w:val="00CF22DD"/>
    <w:rsid w:val="00CF2A3F"/>
    <w:rsid w:val="00CF2BFF"/>
    <w:rsid w:val="00CF3B2A"/>
    <w:rsid w:val="00CF43E9"/>
    <w:rsid w:val="00CF4673"/>
    <w:rsid w:val="00CF4B6C"/>
    <w:rsid w:val="00CF4D59"/>
    <w:rsid w:val="00CF5082"/>
    <w:rsid w:val="00CF50DB"/>
    <w:rsid w:val="00CF644A"/>
    <w:rsid w:val="00CF67EC"/>
    <w:rsid w:val="00CF722F"/>
    <w:rsid w:val="00CF7552"/>
    <w:rsid w:val="00CF767E"/>
    <w:rsid w:val="00D00AE5"/>
    <w:rsid w:val="00D01EE7"/>
    <w:rsid w:val="00D020FA"/>
    <w:rsid w:val="00D02507"/>
    <w:rsid w:val="00D028A1"/>
    <w:rsid w:val="00D02F5F"/>
    <w:rsid w:val="00D03683"/>
    <w:rsid w:val="00D04C36"/>
    <w:rsid w:val="00D0535B"/>
    <w:rsid w:val="00D0543B"/>
    <w:rsid w:val="00D05A47"/>
    <w:rsid w:val="00D05AA2"/>
    <w:rsid w:val="00D0627A"/>
    <w:rsid w:val="00D06EA2"/>
    <w:rsid w:val="00D07297"/>
    <w:rsid w:val="00D0787D"/>
    <w:rsid w:val="00D079A3"/>
    <w:rsid w:val="00D10056"/>
    <w:rsid w:val="00D1068D"/>
    <w:rsid w:val="00D1140B"/>
    <w:rsid w:val="00D11510"/>
    <w:rsid w:val="00D1153D"/>
    <w:rsid w:val="00D1163A"/>
    <w:rsid w:val="00D120DB"/>
    <w:rsid w:val="00D12E29"/>
    <w:rsid w:val="00D13D84"/>
    <w:rsid w:val="00D141D6"/>
    <w:rsid w:val="00D143EC"/>
    <w:rsid w:val="00D1448F"/>
    <w:rsid w:val="00D1599E"/>
    <w:rsid w:val="00D15D86"/>
    <w:rsid w:val="00D161E1"/>
    <w:rsid w:val="00D162A9"/>
    <w:rsid w:val="00D16428"/>
    <w:rsid w:val="00D16487"/>
    <w:rsid w:val="00D16A6E"/>
    <w:rsid w:val="00D17C45"/>
    <w:rsid w:val="00D2045D"/>
    <w:rsid w:val="00D209E2"/>
    <w:rsid w:val="00D20B81"/>
    <w:rsid w:val="00D20DC7"/>
    <w:rsid w:val="00D21041"/>
    <w:rsid w:val="00D212CD"/>
    <w:rsid w:val="00D21867"/>
    <w:rsid w:val="00D21B0D"/>
    <w:rsid w:val="00D21B47"/>
    <w:rsid w:val="00D22171"/>
    <w:rsid w:val="00D222B2"/>
    <w:rsid w:val="00D22389"/>
    <w:rsid w:val="00D226A8"/>
    <w:rsid w:val="00D227EF"/>
    <w:rsid w:val="00D22FD0"/>
    <w:rsid w:val="00D24402"/>
    <w:rsid w:val="00D24666"/>
    <w:rsid w:val="00D24804"/>
    <w:rsid w:val="00D24989"/>
    <w:rsid w:val="00D24D37"/>
    <w:rsid w:val="00D250F8"/>
    <w:rsid w:val="00D261FA"/>
    <w:rsid w:val="00D265A4"/>
    <w:rsid w:val="00D27A1F"/>
    <w:rsid w:val="00D3053F"/>
    <w:rsid w:val="00D3084F"/>
    <w:rsid w:val="00D30D33"/>
    <w:rsid w:val="00D30F37"/>
    <w:rsid w:val="00D3106D"/>
    <w:rsid w:val="00D3204B"/>
    <w:rsid w:val="00D3226F"/>
    <w:rsid w:val="00D32D3E"/>
    <w:rsid w:val="00D33337"/>
    <w:rsid w:val="00D33A4A"/>
    <w:rsid w:val="00D3424F"/>
    <w:rsid w:val="00D34477"/>
    <w:rsid w:val="00D346DE"/>
    <w:rsid w:val="00D34C4F"/>
    <w:rsid w:val="00D35036"/>
    <w:rsid w:val="00D365E3"/>
    <w:rsid w:val="00D36778"/>
    <w:rsid w:val="00D36958"/>
    <w:rsid w:val="00D3798B"/>
    <w:rsid w:val="00D37C80"/>
    <w:rsid w:val="00D37D6B"/>
    <w:rsid w:val="00D401C7"/>
    <w:rsid w:val="00D40EB3"/>
    <w:rsid w:val="00D410C4"/>
    <w:rsid w:val="00D412B2"/>
    <w:rsid w:val="00D415AC"/>
    <w:rsid w:val="00D41A64"/>
    <w:rsid w:val="00D41C53"/>
    <w:rsid w:val="00D423D4"/>
    <w:rsid w:val="00D427DF"/>
    <w:rsid w:val="00D42D57"/>
    <w:rsid w:val="00D432DE"/>
    <w:rsid w:val="00D439A4"/>
    <w:rsid w:val="00D43B2B"/>
    <w:rsid w:val="00D440FF"/>
    <w:rsid w:val="00D4452C"/>
    <w:rsid w:val="00D44F17"/>
    <w:rsid w:val="00D45319"/>
    <w:rsid w:val="00D46523"/>
    <w:rsid w:val="00D46784"/>
    <w:rsid w:val="00D4697C"/>
    <w:rsid w:val="00D46E90"/>
    <w:rsid w:val="00D46EA9"/>
    <w:rsid w:val="00D46F99"/>
    <w:rsid w:val="00D47224"/>
    <w:rsid w:val="00D47641"/>
    <w:rsid w:val="00D479B1"/>
    <w:rsid w:val="00D479F7"/>
    <w:rsid w:val="00D47BE0"/>
    <w:rsid w:val="00D47EE9"/>
    <w:rsid w:val="00D502A4"/>
    <w:rsid w:val="00D5041F"/>
    <w:rsid w:val="00D5051B"/>
    <w:rsid w:val="00D51A4C"/>
    <w:rsid w:val="00D52211"/>
    <w:rsid w:val="00D528D3"/>
    <w:rsid w:val="00D52A8B"/>
    <w:rsid w:val="00D52E19"/>
    <w:rsid w:val="00D537BE"/>
    <w:rsid w:val="00D53FDC"/>
    <w:rsid w:val="00D5409F"/>
    <w:rsid w:val="00D5417A"/>
    <w:rsid w:val="00D54F3B"/>
    <w:rsid w:val="00D550EA"/>
    <w:rsid w:val="00D553C4"/>
    <w:rsid w:val="00D557C1"/>
    <w:rsid w:val="00D55809"/>
    <w:rsid w:val="00D55877"/>
    <w:rsid w:val="00D569FC"/>
    <w:rsid w:val="00D56E84"/>
    <w:rsid w:val="00D574B3"/>
    <w:rsid w:val="00D57CAE"/>
    <w:rsid w:val="00D57F65"/>
    <w:rsid w:val="00D6038A"/>
    <w:rsid w:val="00D60C9C"/>
    <w:rsid w:val="00D61341"/>
    <w:rsid w:val="00D618C0"/>
    <w:rsid w:val="00D6256F"/>
    <w:rsid w:val="00D6285A"/>
    <w:rsid w:val="00D629DF"/>
    <w:rsid w:val="00D62CE3"/>
    <w:rsid w:val="00D63249"/>
    <w:rsid w:val="00D63A42"/>
    <w:rsid w:val="00D63C52"/>
    <w:rsid w:val="00D63FBE"/>
    <w:rsid w:val="00D6527A"/>
    <w:rsid w:val="00D65BA4"/>
    <w:rsid w:val="00D667A4"/>
    <w:rsid w:val="00D66BE0"/>
    <w:rsid w:val="00D66E0B"/>
    <w:rsid w:val="00D676B7"/>
    <w:rsid w:val="00D67AE2"/>
    <w:rsid w:val="00D67FD9"/>
    <w:rsid w:val="00D70286"/>
    <w:rsid w:val="00D7050F"/>
    <w:rsid w:val="00D70E58"/>
    <w:rsid w:val="00D70F38"/>
    <w:rsid w:val="00D713CB"/>
    <w:rsid w:val="00D7168E"/>
    <w:rsid w:val="00D720E7"/>
    <w:rsid w:val="00D724EF"/>
    <w:rsid w:val="00D7261D"/>
    <w:rsid w:val="00D7263A"/>
    <w:rsid w:val="00D72C08"/>
    <w:rsid w:val="00D7302F"/>
    <w:rsid w:val="00D730AA"/>
    <w:rsid w:val="00D732C5"/>
    <w:rsid w:val="00D7357C"/>
    <w:rsid w:val="00D73743"/>
    <w:rsid w:val="00D73796"/>
    <w:rsid w:val="00D74356"/>
    <w:rsid w:val="00D75A5A"/>
    <w:rsid w:val="00D75AAE"/>
    <w:rsid w:val="00D766BE"/>
    <w:rsid w:val="00D77125"/>
    <w:rsid w:val="00D77560"/>
    <w:rsid w:val="00D77E52"/>
    <w:rsid w:val="00D77E8C"/>
    <w:rsid w:val="00D80432"/>
    <w:rsid w:val="00D8063C"/>
    <w:rsid w:val="00D80C30"/>
    <w:rsid w:val="00D810C6"/>
    <w:rsid w:val="00D81A6A"/>
    <w:rsid w:val="00D81E91"/>
    <w:rsid w:val="00D820CB"/>
    <w:rsid w:val="00D82897"/>
    <w:rsid w:val="00D833F3"/>
    <w:rsid w:val="00D834ED"/>
    <w:rsid w:val="00D83701"/>
    <w:rsid w:val="00D83907"/>
    <w:rsid w:val="00D83FFE"/>
    <w:rsid w:val="00D8429F"/>
    <w:rsid w:val="00D846B0"/>
    <w:rsid w:val="00D848FF"/>
    <w:rsid w:val="00D84FB6"/>
    <w:rsid w:val="00D85535"/>
    <w:rsid w:val="00D856AE"/>
    <w:rsid w:val="00D85912"/>
    <w:rsid w:val="00D86DEE"/>
    <w:rsid w:val="00D87546"/>
    <w:rsid w:val="00D8766E"/>
    <w:rsid w:val="00D879F9"/>
    <w:rsid w:val="00D909D7"/>
    <w:rsid w:val="00D91F5B"/>
    <w:rsid w:val="00D92EF2"/>
    <w:rsid w:val="00D9356D"/>
    <w:rsid w:val="00D937F9"/>
    <w:rsid w:val="00D93CD3"/>
    <w:rsid w:val="00D941C2"/>
    <w:rsid w:val="00D9489A"/>
    <w:rsid w:val="00D954E4"/>
    <w:rsid w:val="00D95BBD"/>
    <w:rsid w:val="00D9771C"/>
    <w:rsid w:val="00D97FC7"/>
    <w:rsid w:val="00DA0445"/>
    <w:rsid w:val="00DA079B"/>
    <w:rsid w:val="00DA0935"/>
    <w:rsid w:val="00DA1358"/>
    <w:rsid w:val="00DA1B3A"/>
    <w:rsid w:val="00DA2521"/>
    <w:rsid w:val="00DA2DB7"/>
    <w:rsid w:val="00DA321E"/>
    <w:rsid w:val="00DA3232"/>
    <w:rsid w:val="00DA33EE"/>
    <w:rsid w:val="00DA34FA"/>
    <w:rsid w:val="00DA3ACC"/>
    <w:rsid w:val="00DA49C8"/>
    <w:rsid w:val="00DA6CD4"/>
    <w:rsid w:val="00DA7A85"/>
    <w:rsid w:val="00DB14B2"/>
    <w:rsid w:val="00DB16DE"/>
    <w:rsid w:val="00DB2074"/>
    <w:rsid w:val="00DB27AE"/>
    <w:rsid w:val="00DB2D3D"/>
    <w:rsid w:val="00DB2F10"/>
    <w:rsid w:val="00DB3145"/>
    <w:rsid w:val="00DB3182"/>
    <w:rsid w:val="00DB34EF"/>
    <w:rsid w:val="00DB351D"/>
    <w:rsid w:val="00DB3FD0"/>
    <w:rsid w:val="00DB50DA"/>
    <w:rsid w:val="00DB522F"/>
    <w:rsid w:val="00DB53DF"/>
    <w:rsid w:val="00DB699F"/>
    <w:rsid w:val="00DB6DED"/>
    <w:rsid w:val="00DB72C6"/>
    <w:rsid w:val="00DB750F"/>
    <w:rsid w:val="00DB775D"/>
    <w:rsid w:val="00DB7BD9"/>
    <w:rsid w:val="00DC0078"/>
    <w:rsid w:val="00DC0683"/>
    <w:rsid w:val="00DC08EF"/>
    <w:rsid w:val="00DC0B54"/>
    <w:rsid w:val="00DC0E52"/>
    <w:rsid w:val="00DC1CC4"/>
    <w:rsid w:val="00DC21E8"/>
    <w:rsid w:val="00DC2F5E"/>
    <w:rsid w:val="00DC334C"/>
    <w:rsid w:val="00DC3526"/>
    <w:rsid w:val="00DC3B8F"/>
    <w:rsid w:val="00DC4EED"/>
    <w:rsid w:val="00DC51F3"/>
    <w:rsid w:val="00DC5D64"/>
    <w:rsid w:val="00DC6447"/>
    <w:rsid w:val="00DD0129"/>
    <w:rsid w:val="00DD04E8"/>
    <w:rsid w:val="00DD08B6"/>
    <w:rsid w:val="00DD1382"/>
    <w:rsid w:val="00DD13FC"/>
    <w:rsid w:val="00DD1B94"/>
    <w:rsid w:val="00DD2386"/>
    <w:rsid w:val="00DD26E2"/>
    <w:rsid w:val="00DD289F"/>
    <w:rsid w:val="00DD3020"/>
    <w:rsid w:val="00DD3D08"/>
    <w:rsid w:val="00DD5035"/>
    <w:rsid w:val="00DD5581"/>
    <w:rsid w:val="00DD580B"/>
    <w:rsid w:val="00DD59A2"/>
    <w:rsid w:val="00DD5B1D"/>
    <w:rsid w:val="00DD6537"/>
    <w:rsid w:val="00DD6E9F"/>
    <w:rsid w:val="00DD764D"/>
    <w:rsid w:val="00DD7CCB"/>
    <w:rsid w:val="00DD7DD1"/>
    <w:rsid w:val="00DE18EC"/>
    <w:rsid w:val="00DE1F05"/>
    <w:rsid w:val="00DE1FF4"/>
    <w:rsid w:val="00DE2E75"/>
    <w:rsid w:val="00DE3397"/>
    <w:rsid w:val="00DE44B7"/>
    <w:rsid w:val="00DE4836"/>
    <w:rsid w:val="00DE4853"/>
    <w:rsid w:val="00DE4AB1"/>
    <w:rsid w:val="00DE4F57"/>
    <w:rsid w:val="00DE590C"/>
    <w:rsid w:val="00DE5C9D"/>
    <w:rsid w:val="00DE7385"/>
    <w:rsid w:val="00DF0990"/>
    <w:rsid w:val="00DF139E"/>
    <w:rsid w:val="00DF25CA"/>
    <w:rsid w:val="00DF39A7"/>
    <w:rsid w:val="00DF3A26"/>
    <w:rsid w:val="00DF460B"/>
    <w:rsid w:val="00DF4D01"/>
    <w:rsid w:val="00DF6401"/>
    <w:rsid w:val="00DF6A4A"/>
    <w:rsid w:val="00DF7118"/>
    <w:rsid w:val="00DF777F"/>
    <w:rsid w:val="00DF7856"/>
    <w:rsid w:val="00DF79B5"/>
    <w:rsid w:val="00DF7C31"/>
    <w:rsid w:val="00DF7F88"/>
    <w:rsid w:val="00E0059B"/>
    <w:rsid w:val="00E00867"/>
    <w:rsid w:val="00E01024"/>
    <w:rsid w:val="00E012B7"/>
    <w:rsid w:val="00E01B9C"/>
    <w:rsid w:val="00E01C04"/>
    <w:rsid w:val="00E02290"/>
    <w:rsid w:val="00E037EF"/>
    <w:rsid w:val="00E03C12"/>
    <w:rsid w:val="00E0483A"/>
    <w:rsid w:val="00E04878"/>
    <w:rsid w:val="00E04AFB"/>
    <w:rsid w:val="00E05259"/>
    <w:rsid w:val="00E0525A"/>
    <w:rsid w:val="00E054B4"/>
    <w:rsid w:val="00E065C2"/>
    <w:rsid w:val="00E07A3E"/>
    <w:rsid w:val="00E10039"/>
    <w:rsid w:val="00E1048D"/>
    <w:rsid w:val="00E11A7D"/>
    <w:rsid w:val="00E12559"/>
    <w:rsid w:val="00E1269B"/>
    <w:rsid w:val="00E12C3D"/>
    <w:rsid w:val="00E12C43"/>
    <w:rsid w:val="00E12E76"/>
    <w:rsid w:val="00E130A0"/>
    <w:rsid w:val="00E146C5"/>
    <w:rsid w:val="00E14F23"/>
    <w:rsid w:val="00E15558"/>
    <w:rsid w:val="00E16D79"/>
    <w:rsid w:val="00E16DD7"/>
    <w:rsid w:val="00E16E8B"/>
    <w:rsid w:val="00E17176"/>
    <w:rsid w:val="00E1726E"/>
    <w:rsid w:val="00E202DF"/>
    <w:rsid w:val="00E21026"/>
    <w:rsid w:val="00E2120D"/>
    <w:rsid w:val="00E21B89"/>
    <w:rsid w:val="00E221BC"/>
    <w:rsid w:val="00E22AFB"/>
    <w:rsid w:val="00E22CC7"/>
    <w:rsid w:val="00E23091"/>
    <w:rsid w:val="00E23403"/>
    <w:rsid w:val="00E236E2"/>
    <w:rsid w:val="00E2374E"/>
    <w:rsid w:val="00E239AC"/>
    <w:rsid w:val="00E23B0B"/>
    <w:rsid w:val="00E23C99"/>
    <w:rsid w:val="00E240A1"/>
    <w:rsid w:val="00E24839"/>
    <w:rsid w:val="00E256EE"/>
    <w:rsid w:val="00E25CC5"/>
    <w:rsid w:val="00E2636C"/>
    <w:rsid w:val="00E2643D"/>
    <w:rsid w:val="00E27916"/>
    <w:rsid w:val="00E3007E"/>
    <w:rsid w:val="00E30D85"/>
    <w:rsid w:val="00E30EAA"/>
    <w:rsid w:val="00E311D9"/>
    <w:rsid w:val="00E3170C"/>
    <w:rsid w:val="00E31CEF"/>
    <w:rsid w:val="00E32710"/>
    <w:rsid w:val="00E3580C"/>
    <w:rsid w:val="00E35DD0"/>
    <w:rsid w:val="00E37032"/>
    <w:rsid w:val="00E37D2F"/>
    <w:rsid w:val="00E37D34"/>
    <w:rsid w:val="00E40282"/>
    <w:rsid w:val="00E403EA"/>
    <w:rsid w:val="00E40A5A"/>
    <w:rsid w:val="00E40DB1"/>
    <w:rsid w:val="00E4121C"/>
    <w:rsid w:val="00E41444"/>
    <w:rsid w:val="00E415F8"/>
    <w:rsid w:val="00E42034"/>
    <w:rsid w:val="00E42E62"/>
    <w:rsid w:val="00E42F10"/>
    <w:rsid w:val="00E43108"/>
    <w:rsid w:val="00E43350"/>
    <w:rsid w:val="00E43C48"/>
    <w:rsid w:val="00E43DE2"/>
    <w:rsid w:val="00E441D1"/>
    <w:rsid w:val="00E4453E"/>
    <w:rsid w:val="00E44C1F"/>
    <w:rsid w:val="00E45E56"/>
    <w:rsid w:val="00E46324"/>
    <w:rsid w:val="00E46774"/>
    <w:rsid w:val="00E469DF"/>
    <w:rsid w:val="00E46ABC"/>
    <w:rsid w:val="00E46E9C"/>
    <w:rsid w:val="00E47C3F"/>
    <w:rsid w:val="00E513E6"/>
    <w:rsid w:val="00E51531"/>
    <w:rsid w:val="00E519FE"/>
    <w:rsid w:val="00E52268"/>
    <w:rsid w:val="00E52AC7"/>
    <w:rsid w:val="00E52F6B"/>
    <w:rsid w:val="00E53196"/>
    <w:rsid w:val="00E534E3"/>
    <w:rsid w:val="00E5368E"/>
    <w:rsid w:val="00E541F7"/>
    <w:rsid w:val="00E55071"/>
    <w:rsid w:val="00E5545B"/>
    <w:rsid w:val="00E55CEB"/>
    <w:rsid w:val="00E55FD6"/>
    <w:rsid w:val="00E5633E"/>
    <w:rsid w:val="00E56359"/>
    <w:rsid w:val="00E56647"/>
    <w:rsid w:val="00E56869"/>
    <w:rsid w:val="00E56E4F"/>
    <w:rsid w:val="00E5746C"/>
    <w:rsid w:val="00E57A4A"/>
    <w:rsid w:val="00E60033"/>
    <w:rsid w:val="00E60109"/>
    <w:rsid w:val="00E604E4"/>
    <w:rsid w:val="00E604FF"/>
    <w:rsid w:val="00E61467"/>
    <w:rsid w:val="00E6147D"/>
    <w:rsid w:val="00E6166F"/>
    <w:rsid w:val="00E61C6C"/>
    <w:rsid w:val="00E622C5"/>
    <w:rsid w:val="00E6265B"/>
    <w:rsid w:val="00E629CD"/>
    <w:rsid w:val="00E62AA6"/>
    <w:rsid w:val="00E62DB9"/>
    <w:rsid w:val="00E63DAE"/>
    <w:rsid w:val="00E64C3A"/>
    <w:rsid w:val="00E64DB2"/>
    <w:rsid w:val="00E66500"/>
    <w:rsid w:val="00E6681B"/>
    <w:rsid w:val="00E6693A"/>
    <w:rsid w:val="00E66CBD"/>
    <w:rsid w:val="00E66E5D"/>
    <w:rsid w:val="00E67499"/>
    <w:rsid w:val="00E675F1"/>
    <w:rsid w:val="00E67729"/>
    <w:rsid w:val="00E677F4"/>
    <w:rsid w:val="00E67FD8"/>
    <w:rsid w:val="00E723BC"/>
    <w:rsid w:val="00E72AB1"/>
    <w:rsid w:val="00E737C5"/>
    <w:rsid w:val="00E753BD"/>
    <w:rsid w:val="00E75474"/>
    <w:rsid w:val="00E75531"/>
    <w:rsid w:val="00E75C44"/>
    <w:rsid w:val="00E7623A"/>
    <w:rsid w:val="00E76265"/>
    <w:rsid w:val="00E76605"/>
    <w:rsid w:val="00E76971"/>
    <w:rsid w:val="00E769BD"/>
    <w:rsid w:val="00E76CBE"/>
    <w:rsid w:val="00E775CD"/>
    <w:rsid w:val="00E7779E"/>
    <w:rsid w:val="00E779BF"/>
    <w:rsid w:val="00E77BF3"/>
    <w:rsid w:val="00E77E38"/>
    <w:rsid w:val="00E80062"/>
    <w:rsid w:val="00E80793"/>
    <w:rsid w:val="00E807BD"/>
    <w:rsid w:val="00E80B75"/>
    <w:rsid w:val="00E80B9C"/>
    <w:rsid w:val="00E81139"/>
    <w:rsid w:val="00E81445"/>
    <w:rsid w:val="00E81459"/>
    <w:rsid w:val="00E81476"/>
    <w:rsid w:val="00E8209A"/>
    <w:rsid w:val="00E820B4"/>
    <w:rsid w:val="00E8213E"/>
    <w:rsid w:val="00E82566"/>
    <w:rsid w:val="00E835B6"/>
    <w:rsid w:val="00E83BCA"/>
    <w:rsid w:val="00E86288"/>
    <w:rsid w:val="00E8665A"/>
    <w:rsid w:val="00E86F6B"/>
    <w:rsid w:val="00E874DE"/>
    <w:rsid w:val="00E87540"/>
    <w:rsid w:val="00E87C6B"/>
    <w:rsid w:val="00E903E7"/>
    <w:rsid w:val="00E90562"/>
    <w:rsid w:val="00E9071C"/>
    <w:rsid w:val="00E90ABA"/>
    <w:rsid w:val="00E90E41"/>
    <w:rsid w:val="00E910AA"/>
    <w:rsid w:val="00E913F1"/>
    <w:rsid w:val="00E938E9"/>
    <w:rsid w:val="00E93A46"/>
    <w:rsid w:val="00E93B1D"/>
    <w:rsid w:val="00E93D70"/>
    <w:rsid w:val="00E9415A"/>
    <w:rsid w:val="00E94664"/>
    <w:rsid w:val="00E946A7"/>
    <w:rsid w:val="00E94BB5"/>
    <w:rsid w:val="00E94DB3"/>
    <w:rsid w:val="00E9548D"/>
    <w:rsid w:val="00E956D4"/>
    <w:rsid w:val="00E95CC0"/>
    <w:rsid w:val="00E95FB1"/>
    <w:rsid w:val="00E96589"/>
    <w:rsid w:val="00E9688A"/>
    <w:rsid w:val="00E969D4"/>
    <w:rsid w:val="00E96B1E"/>
    <w:rsid w:val="00E96BB9"/>
    <w:rsid w:val="00E972B1"/>
    <w:rsid w:val="00E97387"/>
    <w:rsid w:val="00E97E58"/>
    <w:rsid w:val="00EA06AE"/>
    <w:rsid w:val="00EA102E"/>
    <w:rsid w:val="00EA2975"/>
    <w:rsid w:val="00EA3C6E"/>
    <w:rsid w:val="00EA49E0"/>
    <w:rsid w:val="00EA52B2"/>
    <w:rsid w:val="00EA5B54"/>
    <w:rsid w:val="00EA5ED7"/>
    <w:rsid w:val="00EA6385"/>
    <w:rsid w:val="00EA6412"/>
    <w:rsid w:val="00EA68BE"/>
    <w:rsid w:val="00EA7125"/>
    <w:rsid w:val="00EA7502"/>
    <w:rsid w:val="00EA7893"/>
    <w:rsid w:val="00EA7982"/>
    <w:rsid w:val="00EA7CCD"/>
    <w:rsid w:val="00EB0267"/>
    <w:rsid w:val="00EB03A0"/>
    <w:rsid w:val="00EB10CA"/>
    <w:rsid w:val="00EB1259"/>
    <w:rsid w:val="00EB13B4"/>
    <w:rsid w:val="00EB342D"/>
    <w:rsid w:val="00EB3C41"/>
    <w:rsid w:val="00EB3F99"/>
    <w:rsid w:val="00EB3F9F"/>
    <w:rsid w:val="00EB4BAC"/>
    <w:rsid w:val="00EB502E"/>
    <w:rsid w:val="00EB5383"/>
    <w:rsid w:val="00EB5815"/>
    <w:rsid w:val="00EB5D20"/>
    <w:rsid w:val="00EB5FD8"/>
    <w:rsid w:val="00EB651A"/>
    <w:rsid w:val="00EB657D"/>
    <w:rsid w:val="00EC00E8"/>
    <w:rsid w:val="00EC05F9"/>
    <w:rsid w:val="00EC0853"/>
    <w:rsid w:val="00EC184B"/>
    <w:rsid w:val="00EC20BB"/>
    <w:rsid w:val="00EC22CF"/>
    <w:rsid w:val="00EC30CA"/>
    <w:rsid w:val="00EC3ED6"/>
    <w:rsid w:val="00EC446A"/>
    <w:rsid w:val="00EC5A1D"/>
    <w:rsid w:val="00EC5D62"/>
    <w:rsid w:val="00EC5E3C"/>
    <w:rsid w:val="00EC5F8F"/>
    <w:rsid w:val="00EC6A88"/>
    <w:rsid w:val="00EC7521"/>
    <w:rsid w:val="00EC79D7"/>
    <w:rsid w:val="00ED0799"/>
    <w:rsid w:val="00ED0EEE"/>
    <w:rsid w:val="00ED0FAD"/>
    <w:rsid w:val="00ED105C"/>
    <w:rsid w:val="00ED1131"/>
    <w:rsid w:val="00ED1271"/>
    <w:rsid w:val="00ED140B"/>
    <w:rsid w:val="00ED184E"/>
    <w:rsid w:val="00ED1D5B"/>
    <w:rsid w:val="00ED2585"/>
    <w:rsid w:val="00ED41B9"/>
    <w:rsid w:val="00ED4CD6"/>
    <w:rsid w:val="00ED4FCB"/>
    <w:rsid w:val="00ED5CA3"/>
    <w:rsid w:val="00ED60BA"/>
    <w:rsid w:val="00ED6275"/>
    <w:rsid w:val="00ED63EA"/>
    <w:rsid w:val="00ED644E"/>
    <w:rsid w:val="00ED66D3"/>
    <w:rsid w:val="00ED6902"/>
    <w:rsid w:val="00ED6FC2"/>
    <w:rsid w:val="00ED7846"/>
    <w:rsid w:val="00ED7C91"/>
    <w:rsid w:val="00ED7EE8"/>
    <w:rsid w:val="00EE097F"/>
    <w:rsid w:val="00EE0E58"/>
    <w:rsid w:val="00EE10D4"/>
    <w:rsid w:val="00EE1272"/>
    <w:rsid w:val="00EE13B0"/>
    <w:rsid w:val="00EE1807"/>
    <w:rsid w:val="00EE198C"/>
    <w:rsid w:val="00EE244B"/>
    <w:rsid w:val="00EE26E4"/>
    <w:rsid w:val="00EE392B"/>
    <w:rsid w:val="00EE459B"/>
    <w:rsid w:val="00EE5517"/>
    <w:rsid w:val="00EE59A5"/>
    <w:rsid w:val="00EE59D8"/>
    <w:rsid w:val="00EE61DF"/>
    <w:rsid w:val="00EE732D"/>
    <w:rsid w:val="00EE7B13"/>
    <w:rsid w:val="00EF0027"/>
    <w:rsid w:val="00EF0994"/>
    <w:rsid w:val="00EF118B"/>
    <w:rsid w:val="00EF2389"/>
    <w:rsid w:val="00EF2952"/>
    <w:rsid w:val="00EF31C5"/>
    <w:rsid w:val="00EF37FA"/>
    <w:rsid w:val="00EF43CD"/>
    <w:rsid w:val="00EF4568"/>
    <w:rsid w:val="00EF46E6"/>
    <w:rsid w:val="00EF5DCE"/>
    <w:rsid w:val="00EF5F53"/>
    <w:rsid w:val="00EF627A"/>
    <w:rsid w:val="00EF64A6"/>
    <w:rsid w:val="00EF6503"/>
    <w:rsid w:val="00EF6BA9"/>
    <w:rsid w:val="00EF7445"/>
    <w:rsid w:val="00EF7F08"/>
    <w:rsid w:val="00F00875"/>
    <w:rsid w:val="00F009AB"/>
    <w:rsid w:val="00F00ED6"/>
    <w:rsid w:val="00F0105B"/>
    <w:rsid w:val="00F01D56"/>
    <w:rsid w:val="00F02868"/>
    <w:rsid w:val="00F02BC6"/>
    <w:rsid w:val="00F03C51"/>
    <w:rsid w:val="00F0400E"/>
    <w:rsid w:val="00F040CD"/>
    <w:rsid w:val="00F042A5"/>
    <w:rsid w:val="00F043E5"/>
    <w:rsid w:val="00F051A9"/>
    <w:rsid w:val="00F05E0B"/>
    <w:rsid w:val="00F06938"/>
    <w:rsid w:val="00F06C78"/>
    <w:rsid w:val="00F07014"/>
    <w:rsid w:val="00F0783D"/>
    <w:rsid w:val="00F078A6"/>
    <w:rsid w:val="00F101AE"/>
    <w:rsid w:val="00F10DCB"/>
    <w:rsid w:val="00F10E8E"/>
    <w:rsid w:val="00F127A3"/>
    <w:rsid w:val="00F1296C"/>
    <w:rsid w:val="00F12D2B"/>
    <w:rsid w:val="00F12EA5"/>
    <w:rsid w:val="00F12EB4"/>
    <w:rsid w:val="00F13CD4"/>
    <w:rsid w:val="00F141C2"/>
    <w:rsid w:val="00F145B6"/>
    <w:rsid w:val="00F14D6F"/>
    <w:rsid w:val="00F14E40"/>
    <w:rsid w:val="00F15072"/>
    <w:rsid w:val="00F15084"/>
    <w:rsid w:val="00F1509B"/>
    <w:rsid w:val="00F153A2"/>
    <w:rsid w:val="00F15845"/>
    <w:rsid w:val="00F164DD"/>
    <w:rsid w:val="00F16B68"/>
    <w:rsid w:val="00F2026F"/>
    <w:rsid w:val="00F20470"/>
    <w:rsid w:val="00F204DD"/>
    <w:rsid w:val="00F20982"/>
    <w:rsid w:val="00F22304"/>
    <w:rsid w:val="00F22FFD"/>
    <w:rsid w:val="00F237A5"/>
    <w:rsid w:val="00F239B3"/>
    <w:rsid w:val="00F241E7"/>
    <w:rsid w:val="00F24453"/>
    <w:rsid w:val="00F24889"/>
    <w:rsid w:val="00F25C27"/>
    <w:rsid w:val="00F2649E"/>
    <w:rsid w:val="00F26B29"/>
    <w:rsid w:val="00F26F5E"/>
    <w:rsid w:val="00F30050"/>
    <w:rsid w:val="00F30213"/>
    <w:rsid w:val="00F30595"/>
    <w:rsid w:val="00F307A7"/>
    <w:rsid w:val="00F30A2C"/>
    <w:rsid w:val="00F31EBC"/>
    <w:rsid w:val="00F31F56"/>
    <w:rsid w:val="00F324CE"/>
    <w:rsid w:val="00F32B42"/>
    <w:rsid w:val="00F338A5"/>
    <w:rsid w:val="00F34236"/>
    <w:rsid w:val="00F342C5"/>
    <w:rsid w:val="00F34EE7"/>
    <w:rsid w:val="00F35734"/>
    <w:rsid w:val="00F35DD4"/>
    <w:rsid w:val="00F3638D"/>
    <w:rsid w:val="00F36BE6"/>
    <w:rsid w:val="00F36C69"/>
    <w:rsid w:val="00F36D50"/>
    <w:rsid w:val="00F376EA"/>
    <w:rsid w:val="00F3782E"/>
    <w:rsid w:val="00F37D5D"/>
    <w:rsid w:val="00F37E4F"/>
    <w:rsid w:val="00F4011F"/>
    <w:rsid w:val="00F412BE"/>
    <w:rsid w:val="00F4144A"/>
    <w:rsid w:val="00F414BD"/>
    <w:rsid w:val="00F417EE"/>
    <w:rsid w:val="00F41800"/>
    <w:rsid w:val="00F42AE7"/>
    <w:rsid w:val="00F42BCE"/>
    <w:rsid w:val="00F430EC"/>
    <w:rsid w:val="00F435DC"/>
    <w:rsid w:val="00F43A81"/>
    <w:rsid w:val="00F43CF6"/>
    <w:rsid w:val="00F442C8"/>
    <w:rsid w:val="00F4553B"/>
    <w:rsid w:val="00F459AB"/>
    <w:rsid w:val="00F46A0D"/>
    <w:rsid w:val="00F46B4A"/>
    <w:rsid w:val="00F46D05"/>
    <w:rsid w:val="00F46E74"/>
    <w:rsid w:val="00F47290"/>
    <w:rsid w:val="00F478B0"/>
    <w:rsid w:val="00F5024D"/>
    <w:rsid w:val="00F512EC"/>
    <w:rsid w:val="00F51503"/>
    <w:rsid w:val="00F51568"/>
    <w:rsid w:val="00F5170E"/>
    <w:rsid w:val="00F51AC6"/>
    <w:rsid w:val="00F523E5"/>
    <w:rsid w:val="00F53C29"/>
    <w:rsid w:val="00F548F1"/>
    <w:rsid w:val="00F551E5"/>
    <w:rsid w:val="00F55666"/>
    <w:rsid w:val="00F55FBB"/>
    <w:rsid w:val="00F565A9"/>
    <w:rsid w:val="00F57735"/>
    <w:rsid w:val="00F57819"/>
    <w:rsid w:val="00F57FA3"/>
    <w:rsid w:val="00F60FF0"/>
    <w:rsid w:val="00F61264"/>
    <w:rsid w:val="00F6251E"/>
    <w:rsid w:val="00F6294C"/>
    <w:rsid w:val="00F62A71"/>
    <w:rsid w:val="00F633FA"/>
    <w:rsid w:val="00F63AF0"/>
    <w:rsid w:val="00F63F37"/>
    <w:rsid w:val="00F6422E"/>
    <w:rsid w:val="00F645F1"/>
    <w:rsid w:val="00F64760"/>
    <w:rsid w:val="00F647AC"/>
    <w:rsid w:val="00F64C47"/>
    <w:rsid w:val="00F64C7D"/>
    <w:rsid w:val="00F65854"/>
    <w:rsid w:val="00F65909"/>
    <w:rsid w:val="00F65A29"/>
    <w:rsid w:val="00F65C64"/>
    <w:rsid w:val="00F66186"/>
    <w:rsid w:val="00F661D9"/>
    <w:rsid w:val="00F666DF"/>
    <w:rsid w:val="00F66B43"/>
    <w:rsid w:val="00F67B15"/>
    <w:rsid w:val="00F67D90"/>
    <w:rsid w:val="00F67E2A"/>
    <w:rsid w:val="00F70152"/>
    <w:rsid w:val="00F711E9"/>
    <w:rsid w:val="00F7133B"/>
    <w:rsid w:val="00F71447"/>
    <w:rsid w:val="00F7159B"/>
    <w:rsid w:val="00F7194F"/>
    <w:rsid w:val="00F71E56"/>
    <w:rsid w:val="00F72800"/>
    <w:rsid w:val="00F72E6E"/>
    <w:rsid w:val="00F7353D"/>
    <w:rsid w:val="00F73AB0"/>
    <w:rsid w:val="00F741EC"/>
    <w:rsid w:val="00F75882"/>
    <w:rsid w:val="00F75DCB"/>
    <w:rsid w:val="00F75E5E"/>
    <w:rsid w:val="00F763AF"/>
    <w:rsid w:val="00F764D7"/>
    <w:rsid w:val="00F76A2D"/>
    <w:rsid w:val="00F76B81"/>
    <w:rsid w:val="00F7751C"/>
    <w:rsid w:val="00F77836"/>
    <w:rsid w:val="00F77B94"/>
    <w:rsid w:val="00F77E2A"/>
    <w:rsid w:val="00F80A81"/>
    <w:rsid w:val="00F8201F"/>
    <w:rsid w:val="00F821D5"/>
    <w:rsid w:val="00F82498"/>
    <w:rsid w:val="00F82BD1"/>
    <w:rsid w:val="00F83DC3"/>
    <w:rsid w:val="00F8522F"/>
    <w:rsid w:val="00F85643"/>
    <w:rsid w:val="00F85AF4"/>
    <w:rsid w:val="00F85B61"/>
    <w:rsid w:val="00F85BF0"/>
    <w:rsid w:val="00F862CD"/>
    <w:rsid w:val="00F867F8"/>
    <w:rsid w:val="00F875CB"/>
    <w:rsid w:val="00F87E84"/>
    <w:rsid w:val="00F87F7E"/>
    <w:rsid w:val="00F90398"/>
    <w:rsid w:val="00F909DB"/>
    <w:rsid w:val="00F90D54"/>
    <w:rsid w:val="00F90EF7"/>
    <w:rsid w:val="00F918D1"/>
    <w:rsid w:val="00F91CF0"/>
    <w:rsid w:val="00F91F67"/>
    <w:rsid w:val="00F92571"/>
    <w:rsid w:val="00F92930"/>
    <w:rsid w:val="00F929BC"/>
    <w:rsid w:val="00F929DE"/>
    <w:rsid w:val="00F93295"/>
    <w:rsid w:val="00F933F2"/>
    <w:rsid w:val="00F943E2"/>
    <w:rsid w:val="00F944C9"/>
    <w:rsid w:val="00F95202"/>
    <w:rsid w:val="00F95224"/>
    <w:rsid w:val="00F95256"/>
    <w:rsid w:val="00F956C2"/>
    <w:rsid w:val="00F95745"/>
    <w:rsid w:val="00F959FD"/>
    <w:rsid w:val="00F95F39"/>
    <w:rsid w:val="00F96424"/>
    <w:rsid w:val="00F96639"/>
    <w:rsid w:val="00F97337"/>
    <w:rsid w:val="00F97D72"/>
    <w:rsid w:val="00FA033D"/>
    <w:rsid w:val="00FA04F0"/>
    <w:rsid w:val="00FA0541"/>
    <w:rsid w:val="00FA0887"/>
    <w:rsid w:val="00FA0B26"/>
    <w:rsid w:val="00FA0CF4"/>
    <w:rsid w:val="00FA10E9"/>
    <w:rsid w:val="00FA12BB"/>
    <w:rsid w:val="00FA1926"/>
    <w:rsid w:val="00FA342F"/>
    <w:rsid w:val="00FA3B7C"/>
    <w:rsid w:val="00FA4B48"/>
    <w:rsid w:val="00FA5730"/>
    <w:rsid w:val="00FA5D73"/>
    <w:rsid w:val="00FA5E40"/>
    <w:rsid w:val="00FA5F34"/>
    <w:rsid w:val="00FA60B9"/>
    <w:rsid w:val="00FA6536"/>
    <w:rsid w:val="00FA6678"/>
    <w:rsid w:val="00FA6C66"/>
    <w:rsid w:val="00FA6F71"/>
    <w:rsid w:val="00FA7685"/>
    <w:rsid w:val="00FB12B7"/>
    <w:rsid w:val="00FB14ED"/>
    <w:rsid w:val="00FB2412"/>
    <w:rsid w:val="00FB2B74"/>
    <w:rsid w:val="00FB2B79"/>
    <w:rsid w:val="00FB34A7"/>
    <w:rsid w:val="00FB380C"/>
    <w:rsid w:val="00FB3874"/>
    <w:rsid w:val="00FB3963"/>
    <w:rsid w:val="00FB3BF9"/>
    <w:rsid w:val="00FB3E47"/>
    <w:rsid w:val="00FB4285"/>
    <w:rsid w:val="00FB45A6"/>
    <w:rsid w:val="00FB5296"/>
    <w:rsid w:val="00FB5723"/>
    <w:rsid w:val="00FB60AD"/>
    <w:rsid w:val="00FB6126"/>
    <w:rsid w:val="00FB61A3"/>
    <w:rsid w:val="00FB61AA"/>
    <w:rsid w:val="00FB781E"/>
    <w:rsid w:val="00FB7C4F"/>
    <w:rsid w:val="00FC00AC"/>
    <w:rsid w:val="00FC0554"/>
    <w:rsid w:val="00FC05D6"/>
    <w:rsid w:val="00FC0660"/>
    <w:rsid w:val="00FC08EA"/>
    <w:rsid w:val="00FC0B60"/>
    <w:rsid w:val="00FC1953"/>
    <w:rsid w:val="00FC19A7"/>
    <w:rsid w:val="00FC2151"/>
    <w:rsid w:val="00FC21E1"/>
    <w:rsid w:val="00FC273B"/>
    <w:rsid w:val="00FC3540"/>
    <w:rsid w:val="00FC3A3E"/>
    <w:rsid w:val="00FC3AAE"/>
    <w:rsid w:val="00FC40AA"/>
    <w:rsid w:val="00FC4D33"/>
    <w:rsid w:val="00FC579B"/>
    <w:rsid w:val="00FC5E64"/>
    <w:rsid w:val="00FC5FA8"/>
    <w:rsid w:val="00FC5FC2"/>
    <w:rsid w:val="00FC66F8"/>
    <w:rsid w:val="00FC68C2"/>
    <w:rsid w:val="00FC7164"/>
    <w:rsid w:val="00FC7DED"/>
    <w:rsid w:val="00FD0426"/>
    <w:rsid w:val="00FD053D"/>
    <w:rsid w:val="00FD085C"/>
    <w:rsid w:val="00FD122B"/>
    <w:rsid w:val="00FD125B"/>
    <w:rsid w:val="00FD1A40"/>
    <w:rsid w:val="00FD1D82"/>
    <w:rsid w:val="00FD2067"/>
    <w:rsid w:val="00FD2F6C"/>
    <w:rsid w:val="00FD37AB"/>
    <w:rsid w:val="00FD38A6"/>
    <w:rsid w:val="00FD4011"/>
    <w:rsid w:val="00FD410E"/>
    <w:rsid w:val="00FD4434"/>
    <w:rsid w:val="00FD4FEB"/>
    <w:rsid w:val="00FD5A48"/>
    <w:rsid w:val="00FD633E"/>
    <w:rsid w:val="00FD6B78"/>
    <w:rsid w:val="00FD72FD"/>
    <w:rsid w:val="00FD7914"/>
    <w:rsid w:val="00FD798A"/>
    <w:rsid w:val="00FD7FF7"/>
    <w:rsid w:val="00FE180E"/>
    <w:rsid w:val="00FE1CC9"/>
    <w:rsid w:val="00FE1E3B"/>
    <w:rsid w:val="00FE2F0C"/>
    <w:rsid w:val="00FE32B2"/>
    <w:rsid w:val="00FE387D"/>
    <w:rsid w:val="00FE3A02"/>
    <w:rsid w:val="00FE3DF9"/>
    <w:rsid w:val="00FE4002"/>
    <w:rsid w:val="00FE4409"/>
    <w:rsid w:val="00FE49C0"/>
    <w:rsid w:val="00FE4F48"/>
    <w:rsid w:val="00FE5421"/>
    <w:rsid w:val="00FE579F"/>
    <w:rsid w:val="00FE57EE"/>
    <w:rsid w:val="00FE5A40"/>
    <w:rsid w:val="00FE5C69"/>
    <w:rsid w:val="00FE5F52"/>
    <w:rsid w:val="00FE61BC"/>
    <w:rsid w:val="00FE6320"/>
    <w:rsid w:val="00FE632E"/>
    <w:rsid w:val="00FE6AE8"/>
    <w:rsid w:val="00FF01DC"/>
    <w:rsid w:val="00FF059F"/>
    <w:rsid w:val="00FF0A21"/>
    <w:rsid w:val="00FF1CE4"/>
    <w:rsid w:val="00FF2240"/>
    <w:rsid w:val="00FF25BF"/>
    <w:rsid w:val="00FF283B"/>
    <w:rsid w:val="00FF2B5D"/>
    <w:rsid w:val="00FF2C06"/>
    <w:rsid w:val="00FF3887"/>
    <w:rsid w:val="00FF44A2"/>
    <w:rsid w:val="00FF45E4"/>
    <w:rsid w:val="00FF47BF"/>
    <w:rsid w:val="00FF482B"/>
    <w:rsid w:val="00FF48F8"/>
    <w:rsid w:val="00FF4C4D"/>
    <w:rsid w:val="00FF4EC8"/>
    <w:rsid w:val="00FF4F22"/>
    <w:rsid w:val="00FF595A"/>
    <w:rsid w:val="00FF5D4A"/>
    <w:rsid w:val="00FF6525"/>
    <w:rsid w:val="00FF6797"/>
    <w:rsid w:val="00FF68E0"/>
    <w:rsid w:val="00FF6D47"/>
    <w:rsid w:val="00FF6DF3"/>
    <w:rsid w:val="00FF6EB7"/>
    <w:rsid w:val="00FF7464"/>
    <w:rsid w:val="00FF7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ADAED97F-0568-43E9-88DD-DBCB5A8D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399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A46E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21561B"/>
    <w:pPr>
      <w:keepNext/>
      <w:spacing w:before="240" w:after="60" w:line="360" w:lineRule="auto"/>
      <w:jc w:val="both"/>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6EC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21561B"/>
    <w:rPr>
      <w:rFonts w:ascii="Arial" w:eastAsia="Times New Roman" w:hAnsi="Arial" w:cs="Arial"/>
      <w:b/>
      <w:bCs/>
      <w:i/>
      <w:iCs/>
      <w:sz w:val="28"/>
      <w:szCs w:val="28"/>
      <w:lang w:eastAsia="ru-RU"/>
    </w:rPr>
  </w:style>
  <w:style w:type="paragraph" w:styleId="21">
    <w:name w:val="List 2"/>
    <w:basedOn w:val="a0"/>
    <w:uiPriority w:val="99"/>
    <w:semiHidden/>
    <w:unhideWhenUsed/>
    <w:rsid w:val="0094489E"/>
    <w:pPr>
      <w:ind w:left="566" w:hanging="283"/>
    </w:pPr>
  </w:style>
  <w:style w:type="paragraph" w:styleId="a">
    <w:name w:val="Body Text"/>
    <w:basedOn w:val="a0"/>
    <w:link w:val="11"/>
    <w:uiPriority w:val="99"/>
    <w:unhideWhenUsed/>
    <w:rsid w:val="0094489E"/>
    <w:pPr>
      <w:numPr>
        <w:numId w:val="1"/>
      </w:numPr>
      <w:tabs>
        <w:tab w:val="left" w:pos="540"/>
        <w:tab w:val="num" w:pos="1353"/>
      </w:tabs>
      <w:autoSpaceDE w:val="0"/>
      <w:autoSpaceDN w:val="0"/>
      <w:adjustRightInd w:val="0"/>
      <w:ind w:left="1353" w:right="-83"/>
      <w:jc w:val="both"/>
    </w:pPr>
    <w:rPr>
      <w:bCs/>
    </w:rPr>
  </w:style>
  <w:style w:type="character" w:customStyle="1" w:styleId="11">
    <w:name w:val="Основной текст Знак1"/>
    <w:basedOn w:val="a1"/>
    <w:link w:val="a"/>
    <w:uiPriority w:val="99"/>
    <w:locked/>
    <w:rsid w:val="0094489E"/>
    <w:rPr>
      <w:rFonts w:ascii="Times New Roman" w:eastAsia="Times New Roman" w:hAnsi="Times New Roman" w:cs="Times New Roman"/>
      <w:bCs/>
      <w:sz w:val="24"/>
      <w:szCs w:val="24"/>
      <w:lang w:eastAsia="ru-RU"/>
    </w:rPr>
  </w:style>
  <w:style w:type="character" w:customStyle="1" w:styleId="a4">
    <w:name w:val="Основной текст Знак"/>
    <w:basedOn w:val="a1"/>
    <w:uiPriority w:val="99"/>
    <w:rsid w:val="0094489E"/>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1"/>
    <w:link w:val="a6"/>
    <w:uiPriority w:val="99"/>
    <w:locked/>
    <w:rsid w:val="0094489E"/>
    <w:rPr>
      <w:sz w:val="28"/>
      <w:szCs w:val="28"/>
    </w:rPr>
  </w:style>
  <w:style w:type="paragraph" w:styleId="a6">
    <w:name w:val="Body Text Indent"/>
    <w:aliases w:val="Надин стиль,Основной текст 1,Нумерованный список !!,Iniiaiie oaeno 1,Ioia?iaaiiue nienie !!,Iaaei noeeu"/>
    <w:basedOn w:val="a0"/>
    <w:link w:val="a5"/>
    <w:uiPriority w:val="99"/>
    <w:unhideWhenUsed/>
    <w:rsid w:val="0094489E"/>
    <w:pPr>
      <w:ind w:right="-766" w:firstLine="720"/>
      <w:jc w:val="both"/>
    </w:pPr>
    <w:rPr>
      <w:rFonts w:asciiTheme="minorHAnsi" w:eastAsiaTheme="minorHAnsi" w:hAnsiTheme="minorHAnsi" w:cstheme="minorBidi"/>
      <w:sz w:val="28"/>
      <w:szCs w:val="28"/>
      <w:lang w:eastAsia="en-US"/>
    </w:rPr>
  </w:style>
  <w:style w:type="character" w:customStyle="1" w:styleId="12">
    <w:name w:val="Основной текст с отступом Знак1"/>
    <w:aliases w:val="Надин стиль Знак1,Основной текст 1 Знак1,Нумерованный список !! Знак1,Iniiaiie oaeno 1 Знак1,Ioia?iaaiiue nienie !! Знак1,Iaaei noeeu Знак1"/>
    <w:basedOn w:val="a1"/>
    <w:uiPriority w:val="99"/>
    <w:semiHidden/>
    <w:rsid w:val="0094489E"/>
    <w:rPr>
      <w:rFonts w:ascii="Times New Roman" w:eastAsia="Times New Roman" w:hAnsi="Times New Roman" w:cs="Times New Roman"/>
      <w:sz w:val="24"/>
      <w:szCs w:val="24"/>
      <w:lang w:eastAsia="ru-RU"/>
    </w:rPr>
  </w:style>
  <w:style w:type="paragraph" w:customStyle="1" w:styleId="rvps698610">
    <w:name w:val="rvps698610"/>
    <w:basedOn w:val="a0"/>
    <w:rsid w:val="0094489E"/>
    <w:pPr>
      <w:spacing w:after="150"/>
      <w:ind w:right="300"/>
    </w:pPr>
  </w:style>
  <w:style w:type="paragraph" w:styleId="a7">
    <w:name w:val="Balloon Text"/>
    <w:basedOn w:val="a0"/>
    <w:link w:val="a8"/>
    <w:uiPriority w:val="99"/>
    <w:semiHidden/>
    <w:unhideWhenUsed/>
    <w:rsid w:val="0094489E"/>
    <w:rPr>
      <w:rFonts w:ascii="Tahoma" w:hAnsi="Tahoma" w:cs="Tahoma"/>
      <w:sz w:val="16"/>
      <w:szCs w:val="16"/>
    </w:rPr>
  </w:style>
  <w:style w:type="character" w:customStyle="1" w:styleId="a8">
    <w:name w:val="Текст выноски Знак"/>
    <w:basedOn w:val="a1"/>
    <w:link w:val="a7"/>
    <w:uiPriority w:val="99"/>
    <w:semiHidden/>
    <w:rsid w:val="0094489E"/>
    <w:rPr>
      <w:rFonts w:ascii="Tahoma" w:eastAsia="Times New Roman" w:hAnsi="Tahoma" w:cs="Tahoma"/>
      <w:sz w:val="16"/>
      <w:szCs w:val="16"/>
      <w:lang w:eastAsia="ru-RU"/>
    </w:rPr>
  </w:style>
  <w:style w:type="paragraph" w:styleId="22">
    <w:name w:val="Body Text 2"/>
    <w:basedOn w:val="a0"/>
    <w:link w:val="23"/>
    <w:uiPriority w:val="99"/>
    <w:unhideWhenUsed/>
    <w:rsid w:val="0094489E"/>
    <w:pPr>
      <w:spacing w:after="120" w:line="480" w:lineRule="auto"/>
    </w:pPr>
  </w:style>
  <w:style w:type="character" w:customStyle="1" w:styleId="23">
    <w:name w:val="Основной текст 2 Знак"/>
    <w:basedOn w:val="a1"/>
    <w:link w:val="22"/>
    <w:uiPriority w:val="99"/>
    <w:rsid w:val="0094489E"/>
    <w:rPr>
      <w:rFonts w:ascii="Times New Roman" w:eastAsia="Times New Roman" w:hAnsi="Times New Roman" w:cs="Times New Roman"/>
      <w:sz w:val="24"/>
      <w:szCs w:val="24"/>
      <w:lang w:eastAsia="ru-RU"/>
    </w:rPr>
  </w:style>
  <w:style w:type="paragraph" w:styleId="24">
    <w:name w:val="Body Text Indent 2"/>
    <w:basedOn w:val="a0"/>
    <w:link w:val="25"/>
    <w:uiPriority w:val="99"/>
    <w:unhideWhenUsed/>
    <w:rsid w:val="0094489E"/>
    <w:pPr>
      <w:spacing w:after="120" w:line="480" w:lineRule="auto"/>
      <w:ind w:left="283"/>
    </w:pPr>
  </w:style>
  <w:style w:type="character" w:customStyle="1" w:styleId="25">
    <w:name w:val="Основной текст с отступом 2 Знак"/>
    <w:basedOn w:val="a1"/>
    <w:link w:val="24"/>
    <w:uiPriority w:val="99"/>
    <w:rsid w:val="0094489E"/>
    <w:rPr>
      <w:rFonts w:ascii="Times New Roman" w:eastAsia="Times New Roman" w:hAnsi="Times New Roman" w:cs="Times New Roman"/>
      <w:sz w:val="24"/>
      <w:szCs w:val="24"/>
      <w:lang w:eastAsia="ru-RU"/>
    </w:rPr>
  </w:style>
  <w:style w:type="paragraph" w:styleId="a9">
    <w:name w:val="No Spacing"/>
    <w:qFormat/>
    <w:rsid w:val="009448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a">
    <w:name w:val="Справка"/>
    <w:basedOn w:val="a0"/>
    <w:autoRedefine/>
    <w:uiPriority w:val="99"/>
    <w:rsid w:val="0094489E"/>
    <w:pPr>
      <w:spacing w:line="360" w:lineRule="auto"/>
      <w:ind w:firstLine="709"/>
      <w:jc w:val="both"/>
    </w:pPr>
  </w:style>
  <w:style w:type="paragraph" w:styleId="ab">
    <w:name w:val="header"/>
    <w:basedOn w:val="a0"/>
    <w:link w:val="ac"/>
    <w:uiPriority w:val="99"/>
    <w:unhideWhenUsed/>
    <w:rsid w:val="0094489E"/>
    <w:pPr>
      <w:tabs>
        <w:tab w:val="center" w:pos="4677"/>
        <w:tab w:val="right" w:pos="9355"/>
      </w:tabs>
    </w:pPr>
  </w:style>
  <w:style w:type="character" w:customStyle="1" w:styleId="ac">
    <w:name w:val="Верхний колонтитул Знак"/>
    <w:basedOn w:val="a1"/>
    <w:link w:val="ab"/>
    <w:uiPriority w:val="99"/>
    <w:rsid w:val="0094489E"/>
    <w:rPr>
      <w:rFonts w:ascii="Times New Roman" w:eastAsia="Times New Roman" w:hAnsi="Times New Roman" w:cs="Times New Roman"/>
      <w:sz w:val="24"/>
      <w:szCs w:val="24"/>
      <w:lang w:eastAsia="ru-RU"/>
    </w:rPr>
  </w:style>
  <w:style w:type="paragraph" w:styleId="ad">
    <w:name w:val="footer"/>
    <w:basedOn w:val="a0"/>
    <w:link w:val="ae"/>
    <w:uiPriority w:val="99"/>
    <w:unhideWhenUsed/>
    <w:rsid w:val="0094489E"/>
    <w:pPr>
      <w:tabs>
        <w:tab w:val="center" w:pos="4677"/>
        <w:tab w:val="right" w:pos="9355"/>
      </w:tabs>
    </w:pPr>
  </w:style>
  <w:style w:type="character" w:customStyle="1" w:styleId="ae">
    <w:name w:val="Нижний колонтитул Знак"/>
    <w:basedOn w:val="a1"/>
    <w:link w:val="ad"/>
    <w:uiPriority w:val="99"/>
    <w:rsid w:val="0094489E"/>
    <w:rPr>
      <w:rFonts w:ascii="Times New Roman" w:eastAsia="Times New Roman" w:hAnsi="Times New Roman" w:cs="Times New Roman"/>
      <w:sz w:val="24"/>
      <w:szCs w:val="24"/>
      <w:lang w:eastAsia="ru-RU"/>
    </w:rPr>
  </w:style>
  <w:style w:type="paragraph" w:styleId="3">
    <w:name w:val="Body Text Indent 3"/>
    <w:basedOn w:val="a0"/>
    <w:link w:val="30"/>
    <w:uiPriority w:val="99"/>
    <w:unhideWhenUsed/>
    <w:rsid w:val="0094489E"/>
    <w:pPr>
      <w:spacing w:after="120"/>
      <w:ind w:left="283"/>
    </w:pPr>
    <w:rPr>
      <w:sz w:val="16"/>
      <w:szCs w:val="16"/>
    </w:rPr>
  </w:style>
  <w:style w:type="character" w:customStyle="1" w:styleId="30">
    <w:name w:val="Основной текст с отступом 3 Знак"/>
    <w:basedOn w:val="a1"/>
    <w:link w:val="3"/>
    <w:uiPriority w:val="99"/>
    <w:rsid w:val="0094489E"/>
    <w:rPr>
      <w:rFonts w:ascii="Times New Roman" w:eastAsia="Times New Roman" w:hAnsi="Times New Roman" w:cs="Times New Roman"/>
      <w:sz w:val="16"/>
      <w:szCs w:val="16"/>
      <w:lang w:eastAsia="ru-RU"/>
    </w:rPr>
  </w:style>
  <w:style w:type="character" w:styleId="af">
    <w:name w:val="page number"/>
    <w:basedOn w:val="a1"/>
    <w:rsid w:val="0094489E"/>
  </w:style>
  <w:style w:type="paragraph" w:customStyle="1" w:styleId="af0">
    <w:name w:val="адрес"/>
    <w:basedOn w:val="a0"/>
    <w:rsid w:val="0094489E"/>
    <w:pPr>
      <w:overflowPunct w:val="0"/>
      <w:autoSpaceDE w:val="0"/>
      <w:autoSpaceDN w:val="0"/>
      <w:adjustRightInd w:val="0"/>
      <w:jc w:val="center"/>
      <w:textAlignment w:val="baseline"/>
    </w:pPr>
    <w:rPr>
      <w:sz w:val="28"/>
      <w:szCs w:val="28"/>
    </w:rPr>
  </w:style>
  <w:style w:type="paragraph" w:customStyle="1" w:styleId="ConsPlusNormal">
    <w:name w:val="ConsPlusNormal"/>
    <w:link w:val="ConsPlusNormal0"/>
    <w:rsid w:val="009448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66186"/>
    <w:rPr>
      <w:rFonts w:ascii="Arial" w:eastAsia="Times New Roman" w:hAnsi="Arial" w:cs="Arial"/>
      <w:sz w:val="20"/>
      <w:szCs w:val="20"/>
      <w:lang w:eastAsia="ru-RU"/>
    </w:rPr>
  </w:style>
  <w:style w:type="paragraph" w:styleId="af1">
    <w:name w:val="List Paragraph"/>
    <w:aliases w:val="ПАРАГРАФ,Bullet List,FooterText,numbered,Подпись рисунка,Маркированный список_уровень1,Абзац списка3,Абзац списка1,Абзац списка2,Цветной список - Акцент 11,СПИСОК,Второй абзац списка,Абзац списка11,Абзац списка для документа,Нумерация,lp1"/>
    <w:basedOn w:val="a0"/>
    <w:link w:val="af2"/>
    <w:uiPriority w:val="34"/>
    <w:qFormat/>
    <w:rsid w:val="007916B6"/>
    <w:pPr>
      <w:ind w:left="720"/>
      <w:contextualSpacing/>
    </w:pPr>
  </w:style>
  <w:style w:type="paragraph" w:customStyle="1" w:styleId="af3">
    <w:name w:val="Прижатый влево"/>
    <w:basedOn w:val="a0"/>
    <w:next w:val="a0"/>
    <w:uiPriority w:val="99"/>
    <w:rsid w:val="00EC00E8"/>
    <w:pPr>
      <w:autoSpaceDE w:val="0"/>
      <w:autoSpaceDN w:val="0"/>
      <w:adjustRightInd w:val="0"/>
    </w:pPr>
    <w:rPr>
      <w:rFonts w:ascii="Arial" w:eastAsia="Calibri" w:hAnsi="Arial" w:cs="Arial"/>
    </w:rPr>
  </w:style>
  <w:style w:type="table" w:styleId="af4">
    <w:name w:val="Table Grid"/>
    <w:basedOn w:val="a2"/>
    <w:uiPriority w:val="59"/>
    <w:rsid w:val="002F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0"/>
    <w:link w:val="af6"/>
    <w:uiPriority w:val="99"/>
    <w:qFormat/>
    <w:rsid w:val="0068559F"/>
    <w:pPr>
      <w:spacing w:line="276" w:lineRule="auto"/>
      <w:ind w:firstLine="709"/>
      <w:jc w:val="both"/>
    </w:pPr>
    <w:rPr>
      <w:sz w:val="20"/>
      <w:szCs w:val="20"/>
      <w:lang w:val="x-none"/>
    </w:rPr>
  </w:style>
  <w:style w:type="character" w:customStyle="1" w:styleId="af6">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1"/>
    <w:link w:val="af5"/>
    <w:uiPriority w:val="99"/>
    <w:qFormat/>
    <w:rsid w:val="0068559F"/>
    <w:rPr>
      <w:rFonts w:ascii="Times New Roman" w:eastAsia="Times New Roman" w:hAnsi="Times New Roman" w:cs="Times New Roman"/>
      <w:sz w:val="20"/>
      <w:szCs w:val="20"/>
      <w:lang w:val="x-none" w:eastAsia="ru-RU"/>
    </w:rPr>
  </w:style>
  <w:style w:type="character" w:styleId="af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link w:val="13"/>
    <w:uiPriority w:val="99"/>
    <w:qFormat/>
    <w:rsid w:val="0068559F"/>
    <w:rPr>
      <w:vertAlign w:val="superscript"/>
    </w:rPr>
  </w:style>
  <w:style w:type="paragraph" w:customStyle="1" w:styleId="af8">
    <w:name w:val="Документ"/>
    <w:basedOn w:val="a0"/>
    <w:link w:val="af9"/>
    <w:rsid w:val="0019354D"/>
    <w:pPr>
      <w:spacing w:line="360" w:lineRule="auto"/>
      <w:ind w:firstLine="720"/>
      <w:jc w:val="both"/>
    </w:pPr>
    <w:rPr>
      <w:sz w:val="28"/>
      <w:szCs w:val="20"/>
      <w:lang w:val="x-none" w:eastAsia="x-none"/>
    </w:rPr>
  </w:style>
  <w:style w:type="character" w:customStyle="1" w:styleId="af9">
    <w:name w:val="Документ Знак"/>
    <w:link w:val="af8"/>
    <w:rsid w:val="0019354D"/>
    <w:rPr>
      <w:rFonts w:ascii="Times New Roman" w:eastAsia="Times New Roman" w:hAnsi="Times New Roman" w:cs="Times New Roman"/>
      <w:sz w:val="28"/>
      <w:szCs w:val="20"/>
      <w:lang w:val="x-none" w:eastAsia="x-none"/>
    </w:rPr>
  </w:style>
  <w:style w:type="table" w:customStyle="1" w:styleId="14">
    <w:name w:val="Сетка таблицы1"/>
    <w:basedOn w:val="a2"/>
    <w:next w:val="af4"/>
    <w:rsid w:val="00566C0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1"/>
    <w:link w:val="27"/>
    <w:rsid w:val="00C31DCF"/>
    <w:rPr>
      <w:rFonts w:ascii="Times New Roman" w:hAnsi="Times New Roman" w:cs="Times New Roman"/>
      <w:sz w:val="28"/>
      <w:szCs w:val="28"/>
      <w:shd w:val="clear" w:color="auto" w:fill="FFFFFF"/>
    </w:rPr>
  </w:style>
  <w:style w:type="paragraph" w:customStyle="1" w:styleId="27">
    <w:name w:val="Основной текст (2)"/>
    <w:basedOn w:val="a0"/>
    <w:link w:val="26"/>
    <w:rsid w:val="00C31DCF"/>
    <w:pPr>
      <w:widowControl w:val="0"/>
      <w:shd w:val="clear" w:color="auto" w:fill="FFFFFF"/>
      <w:spacing w:after="300" w:line="335" w:lineRule="exact"/>
      <w:jc w:val="center"/>
    </w:pPr>
    <w:rPr>
      <w:rFonts w:eastAsiaTheme="minorHAnsi"/>
      <w:sz w:val="28"/>
      <w:szCs w:val="28"/>
      <w:lang w:eastAsia="en-US"/>
    </w:rPr>
  </w:style>
  <w:style w:type="character" w:customStyle="1" w:styleId="afa">
    <w:name w:val="Текст примечания Знак"/>
    <w:basedOn w:val="a1"/>
    <w:link w:val="afb"/>
    <w:uiPriority w:val="99"/>
    <w:semiHidden/>
    <w:rsid w:val="00AD2AD3"/>
    <w:rPr>
      <w:rFonts w:ascii="Times New Roman" w:eastAsia="Times New Roman" w:hAnsi="Times New Roman" w:cs="Times New Roman"/>
      <w:sz w:val="20"/>
      <w:szCs w:val="20"/>
      <w:lang w:eastAsia="ru-RU"/>
    </w:rPr>
  </w:style>
  <w:style w:type="paragraph" w:styleId="afb">
    <w:name w:val="annotation text"/>
    <w:basedOn w:val="a0"/>
    <w:link w:val="afa"/>
    <w:uiPriority w:val="99"/>
    <w:semiHidden/>
    <w:unhideWhenUsed/>
    <w:rsid w:val="00AD2AD3"/>
    <w:rPr>
      <w:sz w:val="20"/>
      <w:szCs w:val="20"/>
    </w:rPr>
  </w:style>
  <w:style w:type="character" w:customStyle="1" w:styleId="afc">
    <w:name w:val="Тема примечания Знак"/>
    <w:basedOn w:val="afa"/>
    <w:link w:val="afd"/>
    <w:uiPriority w:val="99"/>
    <w:semiHidden/>
    <w:rsid w:val="00AD2AD3"/>
    <w:rPr>
      <w:rFonts w:ascii="Times New Roman" w:eastAsia="Times New Roman" w:hAnsi="Times New Roman" w:cs="Times New Roman"/>
      <w:b/>
      <w:bCs/>
      <w:sz w:val="20"/>
      <w:szCs w:val="20"/>
      <w:lang w:eastAsia="ru-RU"/>
    </w:rPr>
  </w:style>
  <w:style w:type="paragraph" w:styleId="afd">
    <w:name w:val="annotation subject"/>
    <w:basedOn w:val="afb"/>
    <w:next w:val="afb"/>
    <w:link w:val="afc"/>
    <w:uiPriority w:val="99"/>
    <w:semiHidden/>
    <w:unhideWhenUsed/>
    <w:rsid w:val="00AD2AD3"/>
    <w:rPr>
      <w:b/>
      <w:bCs/>
    </w:rPr>
  </w:style>
  <w:style w:type="paragraph" w:customStyle="1" w:styleId="Default">
    <w:name w:val="Default"/>
    <w:rsid w:val="00AD2AD3"/>
    <w:pPr>
      <w:autoSpaceDE w:val="0"/>
      <w:autoSpaceDN w:val="0"/>
      <w:adjustRightInd w:val="0"/>
      <w:spacing w:after="0"/>
      <w:ind w:firstLine="709"/>
      <w:jc w:val="both"/>
    </w:pPr>
    <w:rPr>
      <w:rFonts w:ascii="Times New Roman" w:eastAsia="Calibri" w:hAnsi="Times New Roman" w:cs="Times New Roman"/>
      <w:color w:val="000000"/>
      <w:sz w:val="24"/>
      <w:szCs w:val="24"/>
    </w:rPr>
  </w:style>
  <w:style w:type="character" w:styleId="afe">
    <w:name w:val="annotation reference"/>
    <w:basedOn w:val="a1"/>
    <w:uiPriority w:val="99"/>
    <w:semiHidden/>
    <w:unhideWhenUsed/>
    <w:rsid w:val="00AD2AD3"/>
    <w:rPr>
      <w:sz w:val="16"/>
      <w:szCs w:val="16"/>
    </w:rPr>
  </w:style>
  <w:style w:type="numbering" w:customStyle="1" w:styleId="15">
    <w:name w:val="Нет списка1"/>
    <w:next w:val="a3"/>
    <w:uiPriority w:val="99"/>
    <w:semiHidden/>
    <w:unhideWhenUsed/>
    <w:rsid w:val="00122148"/>
  </w:style>
  <w:style w:type="table" w:customStyle="1" w:styleId="28">
    <w:name w:val="Сетка таблицы2"/>
    <w:basedOn w:val="a2"/>
    <w:next w:val="af4"/>
    <w:uiPriority w:val="59"/>
    <w:rsid w:val="00122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4"/>
    <w:uiPriority w:val="59"/>
    <w:rsid w:val="0012214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1 Знак,Абзац списка2 Знак,Цветной список - Акцент 11 Знак,СПИСОК Знак,Нумерация Знак"/>
    <w:link w:val="af1"/>
    <w:uiPriority w:val="34"/>
    <w:locked/>
    <w:rsid w:val="00122148"/>
    <w:rPr>
      <w:rFonts w:ascii="Times New Roman" w:eastAsia="Times New Roman" w:hAnsi="Times New Roman" w:cs="Times New Roman"/>
      <w:sz w:val="24"/>
      <w:szCs w:val="24"/>
      <w:lang w:eastAsia="ru-RU"/>
    </w:rPr>
  </w:style>
  <w:style w:type="paragraph" w:styleId="aff">
    <w:name w:val="Normal (Web)"/>
    <w:basedOn w:val="a0"/>
    <w:uiPriority w:val="99"/>
    <w:semiHidden/>
    <w:unhideWhenUsed/>
    <w:rsid w:val="00D6285A"/>
    <w:pPr>
      <w:spacing w:before="100" w:beforeAutospacing="1" w:after="100" w:afterAutospacing="1"/>
    </w:pPr>
    <w:rPr>
      <w:rFonts w:eastAsiaTheme="minorEastAsia"/>
    </w:rPr>
  </w:style>
  <w:style w:type="table" w:customStyle="1" w:styleId="31">
    <w:name w:val="Сетка таблицы3"/>
    <w:basedOn w:val="a2"/>
    <w:next w:val="af4"/>
    <w:rsid w:val="00217EB2"/>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f7"/>
    <w:uiPriority w:val="99"/>
    <w:qFormat/>
    <w:rsid w:val="0062337C"/>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6518">
      <w:bodyDiv w:val="1"/>
      <w:marLeft w:val="0"/>
      <w:marRight w:val="0"/>
      <w:marTop w:val="0"/>
      <w:marBottom w:val="0"/>
      <w:divBdr>
        <w:top w:val="none" w:sz="0" w:space="0" w:color="auto"/>
        <w:left w:val="none" w:sz="0" w:space="0" w:color="auto"/>
        <w:bottom w:val="none" w:sz="0" w:space="0" w:color="auto"/>
        <w:right w:val="none" w:sz="0" w:space="0" w:color="auto"/>
      </w:divBdr>
    </w:div>
    <w:div w:id="111678523">
      <w:bodyDiv w:val="1"/>
      <w:marLeft w:val="0"/>
      <w:marRight w:val="0"/>
      <w:marTop w:val="0"/>
      <w:marBottom w:val="0"/>
      <w:divBdr>
        <w:top w:val="none" w:sz="0" w:space="0" w:color="auto"/>
        <w:left w:val="none" w:sz="0" w:space="0" w:color="auto"/>
        <w:bottom w:val="none" w:sz="0" w:space="0" w:color="auto"/>
        <w:right w:val="none" w:sz="0" w:space="0" w:color="auto"/>
      </w:divBdr>
    </w:div>
    <w:div w:id="257758809">
      <w:bodyDiv w:val="1"/>
      <w:marLeft w:val="0"/>
      <w:marRight w:val="0"/>
      <w:marTop w:val="0"/>
      <w:marBottom w:val="0"/>
      <w:divBdr>
        <w:top w:val="none" w:sz="0" w:space="0" w:color="auto"/>
        <w:left w:val="none" w:sz="0" w:space="0" w:color="auto"/>
        <w:bottom w:val="none" w:sz="0" w:space="0" w:color="auto"/>
        <w:right w:val="none" w:sz="0" w:space="0" w:color="auto"/>
      </w:divBdr>
    </w:div>
    <w:div w:id="311297696">
      <w:bodyDiv w:val="1"/>
      <w:marLeft w:val="0"/>
      <w:marRight w:val="0"/>
      <w:marTop w:val="0"/>
      <w:marBottom w:val="0"/>
      <w:divBdr>
        <w:top w:val="none" w:sz="0" w:space="0" w:color="auto"/>
        <w:left w:val="none" w:sz="0" w:space="0" w:color="auto"/>
        <w:bottom w:val="none" w:sz="0" w:space="0" w:color="auto"/>
        <w:right w:val="none" w:sz="0" w:space="0" w:color="auto"/>
      </w:divBdr>
    </w:div>
    <w:div w:id="417336029">
      <w:bodyDiv w:val="1"/>
      <w:marLeft w:val="0"/>
      <w:marRight w:val="0"/>
      <w:marTop w:val="0"/>
      <w:marBottom w:val="0"/>
      <w:divBdr>
        <w:top w:val="none" w:sz="0" w:space="0" w:color="auto"/>
        <w:left w:val="none" w:sz="0" w:space="0" w:color="auto"/>
        <w:bottom w:val="none" w:sz="0" w:space="0" w:color="auto"/>
        <w:right w:val="none" w:sz="0" w:space="0" w:color="auto"/>
      </w:divBdr>
    </w:div>
    <w:div w:id="470365205">
      <w:bodyDiv w:val="1"/>
      <w:marLeft w:val="0"/>
      <w:marRight w:val="0"/>
      <w:marTop w:val="0"/>
      <w:marBottom w:val="0"/>
      <w:divBdr>
        <w:top w:val="none" w:sz="0" w:space="0" w:color="auto"/>
        <w:left w:val="none" w:sz="0" w:space="0" w:color="auto"/>
        <w:bottom w:val="none" w:sz="0" w:space="0" w:color="auto"/>
        <w:right w:val="none" w:sz="0" w:space="0" w:color="auto"/>
      </w:divBdr>
    </w:div>
    <w:div w:id="483274750">
      <w:bodyDiv w:val="1"/>
      <w:marLeft w:val="0"/>
      <w:marRight w:val="0"/>
      <w:marTop w:val="0"/>
      <w:marBottom w:val="0"/>
      <w:divBdr>
        <w:top w:val="none" w:sz="0" w:space="0" w:color="auto"/>
        <w:left w:val="none" w:sz="0" w:space="0" w:color="auto"/>
        <w:bottom w:val="none" w:sz="0" w:space="0" w:color="auto"/>
        <w:right w:val="none" w:sz="0" w:space="0" w:color="auto"/>
      </w:divBdr>
    </w:div>
    <w:div w:id="483358183">
      <w:bodyDiv w:val="1"/>
      <w:marLeft w:val="0"/>
      <w:marRight w:val="0"/>
      <w:marTop w:val="0"/>
      <w:marBottom w:val="0"/>
      <w:divBdr>
        <w:top w:val="none" w:sz="0" w:space="0" w:color="auto"/>
        <w:left w:val="none" w:sz="0" w:space="0" w:color="auto"/>
        <w:bottom w:val="none" w:sz="0" w:space="0" w:color="auto"/>
        <w:right w:val="none" w:sz="0" w:space="0" w:color="auto"/>
      </w:divBdr>
    </w:div>
    <w:div w:id="509834808">
      <w:bodyDiv w:val="1"/>
      <w:marLeft w:val="0"/>
      <w:marRight w:val="0"/>
      <w:marTop w:val="0"/>
      <w:marBottom w:val="0"/>
      <w:divBdr>
        <w:top w:val="none" w:sz="0" w:space="0" w:color="auto"/>
        <w:left w:val="none" w:sz="0" w:space="0" w:color="auto"/>
        <w:bottom w:val="none" w:sz="0" w:space="0" w:color="auto"/>
        <w:right w:val="none" w:sz="0" w:space="0" w:color="auto"/>
      </w:divBdr>
    </w:div>
    <w:div w:id="561916354">
      <w:bodyDiv w:val="1"/>
      <w:marLeft w:val="0"/>
      <w:marRight w:val="0"/>
      <w:marTop w:val="0"/>
      <w:marBottom w:val="0"/>
      <w:divBdr>
        <w:top w:val="none" w:sz="0" w:space="0" w:color="auto"/>
        <w:left w:val="none" w:sz="0" w:space="0" w:color="auto"/>
        <w:bottom w:val="none" w:sz="0" w:space="0" w:color="auto"/>
        <w:right w:val="none" w:sz="0" w:space="0" w:color="auto"/>
      </w:divBdr>
    </w:div>
    <w:div w:id="644699462">
      <w:bodyDiv w:val="1"/>
      <w:marLeft w:val="0"/>
      <w:marRight w:val="0"/>
      <w:marTop w:val="0"/>
      <w:marBottom w:val="0"/>
      <w:divBdr>
        <w:top w:val="none" w:sz="0" w:space="0" w:color="auto"/>
        <w:left w:val="none" w:sz="0" w:space="0" w:color="auto"/>
        <w:bottom w:val="none" w:sz="0" w:space="0" w:color="auto"/>
        <w:right w:val="none" w:sz="0" w:space="0" w:color="auto"/>
      </w:divBdr>
    </w:div>
    <w:div w:id="689377938">
      <w:bodyDiv w:val="1"/>
      <w:marLeft w:val="0"/>
      <w:marRight w:val="0"/>
      <w:marTop w:val="0"/>
      <w:marBottom w:val="0"/>
      <w:divBdr>
        <w:top w:val="none" w:sz="0" w:space="0" w:color="auto"/>
        <w:left w:val="none" w:sz="0" w:space="0" w:color="auto"/>
        <w:bottom w:val="none" w:sz="0" w:space="0" w:color="auto"/>
        <w:right w:val="none" w:sz="0" w:space="0" w:color="auto"/>
      </w:divBdr>
    </w:div>
    <w:div w:id="730889322">
      <w:bodyDiv w:val="1"/>
      <w:marLeft w:val="0"/>
      <w:marRight w:val="0"/>
      <w:marTop w:val="0"/>
      <w:marBottom w:val="0"/>
      <w:divBdr>
        <w:top w:val="none" w:sz="0" w:space="0" w:color="auto"/>
        <w:left w:val="none" w:sz="0" w:space="0" w:color="auto"/>
        <w:bottom w:val="none" w:sz="0" w:space="0" w:color="auto"/>
        <w:right w:val="none" w:sz="0" w:space="0" w:color="auto"/>
      </w:divBdr>
    </w:div>
    <w:div w:id="755905285">
      <w:bodyDiv w:val="1"/>
      <w:marLeft w:val="0"/>
      <w:marRight w:val="0"/>
      <w:marTop w:val="0"/>
      <w:marBottom w:val="0"/>
      <w:divBdr>
        <w:top w:val="none" w:sz="0" w:space="0" w:color="auto"/>
        <w:left w:val="none" w:sz="0" w:space="0" w:color="auto"/>
        <w:bottom w:val="none" w:sz="0" w:space="0" w:color="auto"/>
        <w:right w:val="none" w:sz="0" w:space="0" w:color="auto"/>
      </w:divBdr>
    </w:div>
    <w:div w:id="796218491">
      <w:bodyDiv w:val="1"/>
      <w:marLeft w:val="0"/>
      <w:marRight w:val="0"/>
      <w:marTop w:val="0"/>
      <w:marBottom w:val="0"/>
      <w:divBdr>
        <w:top w:val="none" w:sz="0" w:space="0" w:color="auto"/>
        <w:left w:val="none" w:sz="0" w:space="0" w:color="auto"/>
        <w:bottom w:val="none" w:sz="0" w:space="0" w:color="auto"/>
        <w:right w:val="none" w:sz="0" w:space="0" w:color="auto"/>
      </w:divBdr>
    </w:div>
    <w:div w:id="797257115">
      <w:bodyDiv w:val="1"/>
      <w:marLeft w:val="0"/>
      <w:marRight w:val="0"/>
      <w:marTop w:val="0"/>
      <w:marBottom w:val="0"/>
      <w:divBdr>
        <w:top w:val="none" w:sz="0" w:space="0" w:color="auto"/>
        <w:left w:val="none" w:sz="0" w:space="0" w:color="auto"/>
        <w:bottom w:val="none" w:sz="0" w:space="0" w:color="auto"/>
        <w:right w:val="none" w:sz="0" w:space="0" w:color="auto"/>
      </w:divBdr>
    </w:div>
    <w:div w:id="810560823">
      <w:bodyDiv w:val="1"/>
      <w:marLeft w:val="0"/>
      <w:marRight w:val="0"/>
      <w:marTop w:val="0"/>
      <w:marBottom w:val="0"/>
      <w:divBdr>
        <w:top w:val="none" w:sz="0" w:space="0" w:color="auto"/>
        <w:left w:val="none" w:sz="0" w:space="0" w:color="auto"/>
        <w:bottom w:val="none" w:sz="0" w:space="0" w:color="auto"/>
        <w:right w:val="none" w:sz="0" w:space="0" w:color="auto"/>
      </w:divBdr>
    </w:div>
    <w:div w:id="825052028">
      <w:bodyDiv w:val="1"/>
      <w:marLeft w:val="0"/>
      <w:marRight w:val="0"/>
      <w:marTop w:val="0"/>
      <w:marBottom w:val="0"/>
      <w:divBdr>
        <w:top w:val="none" w:sz="0" w:space="0" w:color="auto"/>
        <w:left w:val="none" w:sz="0" w:space="0" w:color="auto"/>
        <w:bottom w:val="none" w:sz="0" w:space="0" w:color="auto"/>
        <w:right w:val="none" w:sz="0" w:space="0" w:color="auto"/>
      </w:divBdr>
    </w:div>
    <w:div w:id="847325764">
      <w:bodyDiv w:val="1"/>
      <w:marLeft w:val="0"/>
      <w:marRight w:val="0"/>
      <w:marTop w:val="0"/>
      <w:marBottom w:val="0"/>
      <w:divBdr>
        <w:top w:val="none" w:sz="0" w:space="0" w:color="auto"/>
        <w:left w:val="none" w:sz="0" w:space="0" w:color="auto"/>
        <w:bottom w:val="none" w:sz="0" w:space="0" w:color="auto"/>
        <w:right w:val="none" w:sz="0" w:space="0" w:color="auto"/>
      </w:divBdr>
    </w:div>
    <w:div w:id="930511765">
      <w:bodyDiv w:val="1"/>
      <w:marLeft w:val="0"/>
      <w:marRight w:val="0"/>
      <w:marTop w:val="0"/>
      <w:marBottom w:val="0"/>
      <w:divBdr>
        <w:top w:val="none" w:sz="0" w:space="0" w:color="auto"/>
        <w:left w:val="none" w:sz="0" w:space="0" w:color="auto"/>
        <w:bottom w:val="none" w:sz="0" w:space="0" w:color="auto"/>
        <w:right w:val="none" w:sz="0" w:space="0" w:color="auto"/>
      </w:divBdr>
    </w:div>
    <w:div w:id="979648140">
      <w:bodyDiv w:val="1"/>
      <w:marLeft w:val="0"/>
      <w:marRight w:val="0"/>
      <w:marTop w:val="0"/>
      <w:marBottom w:val="0"/>
      <w:divBdr>
        <w:top w:val="none" w:sz="0" w:space="0" w:color="auto"/>
        <w:left w:val="none" w:sz="0" w:space="0" w:color="auto"/>
        <w:bottom w:val="none" w:sz="0" w:space="0" w:color="auto"/>
        <w:right w:val="none" w:sz="0" w:space="0" w:color="auto"/>
      </w:divBdr>
    </w:div>
    <w:div w:id="1016616331">
      <w:bodyDiv w:val="1"/>
      <w:marLeft w:val="0"/>
      <w:marRight w:val="0"/>
      <w:marTop w:val="0"/>
      <w:marBottom w:val="0"/>
      <w:divBdr>
        <w:top w:val="none" w:sz="0" w:space="0" w:color="auto"/>
        <w:left w:val="none" w:sz="0" w:space="0" w:color="auto"/>
        <w:bottom w:val="none" w:sz="0" w:space="0" w:color="auto"/>
        <w:right w:val="none" w:sz="0" w:space="0" w:color="auto"/>
      </w:divBdr>
    </w:div>
    <w:div w:id="1041982494">
      <w:bodyDiv w:val="1"/>
      <w:marLeft w:val="0"/>
      <w:marRight w:val="0"/>
      <w:marTop w:val="0"/>
      <w:marBottom w:val="0"/>
      <w:divBdr>
        <w:top w:val="none" w:sz="0" w:space="0" w:color="auto"/>
        <w:left w:val="none" w:sz="0" w:space="0" w:color="auto"/>
        <w:bottom w:val="none" w:sz="0" w:space="0" w:color="auto"/>
        <w:right w:val="none" w:sz="0" w:space="0" w:color="auto"/>
      </w:divBdr>
    </w:div>
    <w:div w:id="1161894703">
      <w:bodyDiv w:val="1"/>
      <w:marLeft w:val="0"/>
      <w:marRight w:val="0"/>
      <w:marTop w:val="0"/>
      <w:marBottom w:val="0"/>
      <w:divBdr>
        <w:top w:val="none" w:sz="0" w:space="0" w:color="auto"/>
        <w:left w:val="none" w:sz="0" w:space="0" w:color="auto"/>
        <w:bottom w:val="none" w:sz="0" w:space="0" w:color="auto"/>
        <w:right w:val="none" w:sz="0" w:space="0" w:color="auto"/>
      </w:divBdr>
    </w:div>
    <w:div w:id="1262255195">
      <w:bodyDiv w:val="1"/>
      <w:marLeft w:val="0"/>
      <w:marRight w:val="0"/>
      <w:marTop w:val="0"/>
      <w:marBottom w:val="0"/>
      <w:divBdr>
        <w:top w:val="none" w:sz="0" w:space="0" w:color="auto"/>
        <w:left w:val="none" w:sz="0" w:space="0" w:color="auto"/>
        <w:bottom w:val="none" w:sz="0" w:space="0" w:color="auto"/>
        <w:right w:val="none" w:sz="0" w:space="0" w:color="auto"/>
      </w:divBdr>
    </w:div>
    <w:div w:id="1282420312">
      <w:bodyDiv w:val="1"/>
      <w:marLeft w:val="0"/>
      <w:marRight w:val="0"/>
      <w:marTop w:val="0"/>
      <w:marBottom w:val="0"/>
      <w:divBdr>
        <w:top w:val="none" w:sz="0" w:space="0" w:color="auto"/>
        <w:left w:val="none" w:sz="0" w:space="0" w:color="auto"/>
        <w:bottom w:val="none" w:sz="0" w:space="0" w:color="auto"/>
        <w:right w:val="none" w:sz="0" w:space="0" w:color="auto"/>
      </w:divBdr>
    </w:div>
    <w:div w:id="1399284060">
      <w:bodyDiv w:val="1"/>
      <w:marLeft w:val="0"/>
      <w:marRight w:val="0"/>
      <w:marTop w:val="0"/>
      <w:marBottom w:val="0"/>
      <w:divBdr>
        <w:top w:val="none" w:sz="0" w:space="0" w:color="auto"/>
        <w:left w:val="none" w:sz="0" w:space="0" w:color="auto"/>
        <w:bottom w:val="none" w:sz="0" w:space="0" w:color="auto"/>
        <w:right w:val="none" w:sz="0" w:space="0" w:color="auto"/>
      </w:divBdr>
    </w:div>
    <w:div w:id="1423717763">
      <w:bodyDiv w:val="1"/>
      <w:marLeft w:val="0"/>
      <w:marRight w:val="0"/>
      <w:marTop w:val="0"/>
      <w:marBottom w:val="0"/>
      <w:divBdr>
        <w:top w:val="none" w:sz="0" w:space="0" w:color="auto"/>
        <w:left w:val="none" w:sz="0" w:space="0" w:color="auto"/>
        <w:bottom w:val="none" w:sz="0" w:space="0" w:color="auto"/>
        <w:right w:val="none" w:sz="0" w:space="0" w:color="auto"/>
      </w:divBdr>
    </w:div>
    <w:div w:id="1495730062">
      <w:bodyDiv w:val="1"/>
      <w:marLeft w:val="0"/>
      <w:marRight w:val="0"/>
      <w:marTop w:val="0"/>
      <w:marBottom w:val="0"/>
      <w:divBdr>
        <w:top w:val="none" w:sz="0" w:space="0" w:color="auto"/>
        <w:left w:val="none" w:sz="0" w:space="0" w:color="auto"/>
        <w:bottom w:val="none" w:sz="0" w:space="0" w:color="auto"/>
        <w:right w:val="none" w:sz="0" w:space="0" w:color="auto"/>
      </w:divBdr>
    </w:div>
    <w:div w:id="1505437447">
      <w:bodyDiv w:val="1"/>
      <w:marLeft w:val="0"/>
      <w:marRight w:val="0"/>
      <w:marTop w:val="0"/>
      <w:marBottom w:val="0"/>
      <w:divBdr>
        <w:top w:val="none" w:sz="0" w:space="0" w:color="auto"/>
        <w:left w:val="none" w:sz="0" w:space="0" w:color="auto"/>
        <w:bottom w:val="none" w:sz="0" w:space="0" w:color="auto"/>
        <w:right w:val="none" w:sz="0" w:space="0" w:color="auto"/>
      </w:divBdr>
    </w:div>
    <w:div w:id="1590115414">
      <w:bodyDiv w:val="1"/>
      <w:marLeft w:val="0"/>
      <w:marRight w:val="0"/>
      <w:marTop w:val="0"/>
      <w:marBottom w:val="0"/>
      <w:divBdr>
        <w:top w:val="none" w:sz="0" w:space="0" w:color="auto"/>
        <w:left w:val="none" w:sz="0" w:space="0" w:color="auto"/>
        <w:bottom w:val="none" w:sz="0" w:space="0" w:color="auto"/>
        <w:right w:val="none" w:sz="0" w:space="0" w:color="auto"/>
      </w:divBdr>
    </w:div>
    <w:div w:id="1618097686">
      <w:bodyDiv w:val="1"/>
      <w:marLeft w:val="0"/>
      <w:marRight w:val="0"/>
      <w:marTop w:val="0"/>
      <w:marBottom w:val="0"/>
      <w:divBdr>
        <w:top w:val="none" w:sz="0" w:space="0" w:color="auto"/>
        <w:left w:val="none" w:sz="0" w:space="0" w:color="auto"/>
        <w:bottom w:val="none" w:sz="0" w:space="0" w:color="auto"/>
        <w:right w:val="none" w:sz="0" w:space="0" w:color="auto"/>
      </w:divBdr>
    </w:div>
    <w:div w:id="1711146236">
      <w:bodyDiv w:val="1"/>
      <w:marLeft w:val="0"/>
      <w:marRight w:val="0"/>
      <w:marTop w:val="0"/>
      <w:marBottom w:val="0"/>
      <w:divBdr>
        <w:top w:val="none" w:sz="0" w:space="0" w:color="auto"/>
        <w:left w:val="none" w:sz="0" w:space="0" w:color="auto"/>
        <w:bottom w:val="none" w:sz="0" w:space="0" w:color="auto"/>
        <w:right w:val="none" w:sz="0" w:space="0" w:color="auto"/>
      </w:divBdr>
    </w:div>
    <w:div w:id="1750343504">
      <w:bodyDiv w:val="1"/>
      <w:marLeft w:val="0"/>
      <w:marRight w:val="0"/>
      <w:marTop w:val="0"/>
      <w:marBottom w:val="0"/>
      <w:divBdr>
        <w:top w:val="none" w:sz="0" w:space="0" w:color="auto"/>
        <w:left w:val="none" w:sz="0" w:space="0" w:color="auto"/>
        <w:bottom w:val="none" w:sz="0" w:space="0" w:color="auto"/>
        <w:right w:val="none" w:sz="0" w:space="0" w:color="auto"/>
      </w:divBdr>
    </w:div>
    <w:div w:id="1788622221">
      <w:bodyDiv w:val="1"/>
      <w:marLeft w:val="0"/>
      <w:marRight w:val="0"/>
      <w:marTop w:val="0"/>
      <w:marBottom w:val="0"/>
      <w:divBdr>
        <w:top w:val="none" w:sz="0" w:space="0" w:color="auto"/>
        <w:left w:val="none" w:sz="0" w:space="0" w:color="auto"/>
        <w:bottom w:val="none" w:sz="0" w:space="0" w:color="auto"/>
        <w:right w:val="none" w:sz="0" w:space="0" w:color="auto"/>
      </w:divBdr>
    </w:div>
    <w:div w:id="1930844887">
      <w:bodyDiv w:val="1"/>
      <w:marLeft w:val="0"/>
      <w:marRight w:val="0"/>
      <w:marTop w:val="0"/>
      <w:marBottom w:val="0"/>
      <w:divBdr>
        <w:top w:val="none" w:sz="0" w:space="0" w:color="auto"/>
        <w:left w:val="none" w:sz="0" w:space="0" w:color="auto"/>
        <w:bottom w:val="none" w:sz="0" w:space="0" w:color="auto"/>
        <w:right w:val="none" w:sz="0" w:space="0" w:color="auto"/>
      </w:divBdr>
    </w:div>
    <w:div w:id="1992563701">
      <w:bodyDiv w:val="1"/>
      <w:marLeft w:val="0"/>
      <w:marRight w:val="0"/>
      <w:marTop w:val="0"/>
      <w:marBottom w:val="0"/>
      <w:divBdr>
        <w:top w:val="none" w:sz="0" w:space="0" w:color="auto"/>
        <w:left w:val="none" w:sz="0" w:space="0" w:color="auto"/>
        <w:bottom w:val="none" w:sz="0" w:space="0" w:color="auto"/>
        <w:right w:val="none" w:sz="0" w:space="0" w:color="auto"/>
      </w:divBdr>
    </w:div>
    <w:div w:id="21279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35916908576841"/>
          <c:y val="2.8006826399918892E-2"/>
          <c:w val="0.83159363134113085"/>
          <c:h val="0.81128391637314257"/>
        </c:manualLayout>
      </c:layout>
      <c:barChart>
        <c:barDir val="bar"/>
        <c:grouping val="percentStacked"/>
        <c:varyColors val="0"/>
        <c:ser>
          <c:idx val="0"/>
          <c:order val="0"/>
          <c:tx>
            <c:strRef>
              <c:f>Структура!$B$1</c:f>
              <c:strCache>
                <c:ptCount val="1"/>
                <c:pt idx="0">
                  <c:v>Дотации</c:v>
                </c:pt>
              </c:strCache>
            </c:strRef>
          </c:tx>
          <c:spPr>
            <a:solidFill>
              <a:srgbClr val="1F497D"/>
            </a:solidFill>
          </c:spPr>
          <c:invertIfNegative val="0"/>
          <c:dLbls>
            <c:spPr>
              <a:noFill/>
              <a:ln>
                <a:noFill/>
              </a:ln>
              <a:effectLst/>
            </c:spPr>
            <c:txPr>
              <a:bodyPr/>
              <a:lstStyle/>
              <a:p>
                <a:pPr>
                  <a:defRPr>
                    <a:solidFill>
                      <a:schemeClr val="bg1"/>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Структура!$A$2:$A$9</c:f>
              <c:strCache>
                <c:ptCount val="5"/>
                <c:pt idx="0">
                  <c:v>2024 год</c:v>
                </c:pt>
                <c:pt idx="1">
                  <c:v>2025 год</c:v>
                </c:pt>
                <c:pt idx="2">
                  <c:v>2026 год</c:v>
                </c:pt>
                <c:pt idx="3">
                  <c:v>2027 год</c:v>
                </c:pt>
                <c:pt idx="4">
                  <c:v>2028 год</c:v>
                </c:pt>
              </c:strCache>
            </c:strRef>
          </c:cat>
          <c:val>
            <c:numRef>
              <c:f>Структура!$B$2:$B$9</c:f>
              <c:numCache>
                <c:formatCode>0.0</c:formatCode>
                <c:ptCount val="5"/>
                <c:pt idx="0" formatCode="General">
                  <c:v>36.799999999999997</c:v>
                </c:pt>
                <c:pt idx="1">
                  <c:v>34.299999999999997</c:v>
                </c:pt>
                <c:pt idx="2">
                  <c:v>38.700000000000003</c:v>
                </c:pt>
                <c:pt idx="3" formatCode="General">
                  <c:v>35.6</c:v>
                </c:pt>
                <c:pt idx="4" formatCode="General">
                  <c:v>33.299999999999997</c:v>
                </c:pt>
              </c:numCache>
            </c:numRef>
          </c:val>
          <c:extLst>
            <c:ext xmlns:c16="http://schemas.microsoft.com/office/drawing/2014/chart" uri="{C3380CC4-5D6E-409C-BE32-E72D297353CC}">
              <c16:uniqueId val="{00000000-4D0C-4ED8-AB6B-953BB8FBD21B}"/>
            </c:ext>
          </c:extLst>
        </c:ser>
        <c:ser>
          <c:idx val="1"/>
          <c:order val="1"/>
          <c:tx>
            <c:strRef>
              <c:f>Структура!$C$1</c:f>
              <c:strCache>
                <c:ptCount val="1"/>
                <c:pt idx="0">
                  <c:v>Субсидии</c:v>
                </c:pt>
              </c:strCache>
            </c:strRef>
          </c:tx>
          <c:spPr>
            <a:solidFill>
              <a:srgbClr val="21ECE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Структура!$A$2:$A$9</c:f>
              <c:strCache>
                <c:ptCount val="5"/>
                <c:pt idx="0">
                  <c:v>2024 год</c:v>
                </c:pt>
                <c:pt idx="1">
                  <c:v>2025 год</c:v>
                </c:pt>
                <c:pt idx="2">
                  <c:v>2026 год</c:v>
                </c:pt>
                <c:pt idx="3">
                  <c:v>2027 год</c:v>
                </c:pt>
                <c:pt idx="4">
                  <c:v>2028 год</c:v>
                </c:pt>
              </c:strCache>
            </c:strRef>
          </c:cat>
          <c:val>
            <c:numRef>
              <c:f>Структура!$C$2:$C$9</c:f>
              <c:numCache>
                <c:formatCode>0.0</c:formatCode>
                <c:ptCount val="5"/>
                <c:pt idx="0" formatCode="General">
                  <c:v>47.9</c:v>
                </c:pt>
                <c:pt idx="1">
                  <c:v>48.9</c:v>
                </c:pt>
                <c:pt idx="2">
                  <c:v>45.6</c:v>
                </c:pt>
                <c:pt idx="3" formatCode="General">
                  <c:v>48.9</c:v>
                </c:pt>
                <c:pt idx="4" formatCode="General">
                  <c:v>52.2</c:v>
                </c:pt>
              </c:numCache>
            </c:numRef>
          </c:val>
          <c:extLst>
            <c:ext xmlns:c16="http://schemas.microsoft.com/office/drawing/2014/chart" uri="{C3380CC4-5D6E-409C-BE32-E72D297353CC}">
              <c16:uniqueId val="{00000001-4D0C-4ED8-AB6B-953BB8FBD21B}"/>
            </c:ext>
          </c:extLst>
        </c:ser>
        <c:ser>
          <c:idx val="2"/>
          <c:order val="2"/>
          <c:tx>
            <c:strRef>
              <c:f>Структура!$D$1</c:f>
              <c:strCache>
                <c:ptCount val="1"/>
                <c:pt idx="0">
                  <c:v>Субвенции</c:v>
                </c:pt>
              </c:strCache>
            </c:strRef>
          </c:tx>
          <c:spPr>
            <a:solidFill>
              <a:schemeClr val="bg1">
                <a:lumMod val="8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Структура!$A$2:$A$9</c:f>
              <c:strCache>
                <c:ptCount val="5"/>
                <c:pt idx="0">
                  <c:v>2024 год</c:v>
                </c:pt>
                <c:pt idx="1">
                  <c:v>2025 год</c:v>
                </c:pt>
                <c:pt idx="2">
                  <c:v>2026 год</c:v>
                </c:pt>
                <c:pt idx="3">
                  <c:v>2027 год</c:v>
                </c:pt>
                <c:pt idx="4">
                  <c:v>2028 год</c:v>
                </c:pt>
              </c:strCache>
            </c:strRef>
          </c:cat>
          <c:val>
            <c:numRef>
              <c:f>Структура!$D$2:$D$9</c:f>
              <c:numCache>
                <c:formatCode>General</c:formatCode>
                <c:ptCount val="5"/>
                <c:pt idx="0" formatCode="0.0">
                  <c:v>8.1999999999999993</c:v>
                </c:pt>
                <c:pt idx="1">
                  <c:v>8.9</c:v>
                </c:pt>
                <c:pt idx="2" formatCode="0.0">
                  <c:v>10.9</c:v>
                </c:pt>
                <c:pt idx="3">
                  <c:v>10.8</c:v>
                </c:pt>
                <c:pt idx="4">
                  <c:v>10.5</c:v>
                </c:pt>
              </c:numCache>
            </c:numRef>
          </c:val>
          <c:extLst>
            <c:ext xmlns:c16="http://schemas.microsoft.com/office/drawing/2014/chart" uri="{C3380CC4-5D6E-409C-BE32-E72D297353CC}">
              <c16:uniqueId val="{00000002-4D0C-4ED8-AB6B-953BB8FBD21B}"/>
            </c:ext>
          </c:extLst>
        </c:ser>
        <c:ser>
          <c:idx val="3"/>
          <c:order val="3"/>
          <c:tx>
            <c:strRef>
              <c:f>Структура!$E$1</c:f>
              <c:strCache>
                <c:ptCount val="1"/>
                <c:pt idx="0">
                  <c:v>Иные межбюджетные трансферты</c:v>
                </c:pt>
              </c:strCache>
            </c:strRef>
          </c:tx>
          <c:spPr>
            <a:solidFill>
              <a:srgbClr val="3347F2"/>
            </a:solidFill>
          </c:spPr>
          <c:invertIfNegative val="0"/>
          <c:dLbls>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Структура!$A$2:$A$9</c:f>
              <c:strCache>
                <c:ptCount val="5"/>
                <c:pt idx="0">
                  <c:v>2024 год</c:v>
                </c:pt>
                <c:pt idx="1">
                  <c:v>2025 год</c:v>
                </c:pt>
                <c:pt idx="2">
                  <c:v>2026 год</c:v>
                </c:pt>
                <c:pt idx="3">
                  <c:v>2027 год</c:v>
                </c:pt>
                <c:pt idx="4">
                  <c:v>2028 год</c:v>
                </c:pt>
              </c:strCache>
            </c:strRef>
          </c:cat>
          <c:val>
            <c:numRef>
              <c:f>Структура!$E$2:$E$9</c:f>
              <c:numCache>
                <c:formatCode>General</c:formatCode>
                <c:ptCount val="5"/>
                <c:pt idx="0">
                  <c:v>7.1</c:v>
                </c:pt>
                <c:pt idx="1">
                  <c:v>7.9</c:v>
                </c:pt>
                <c:pt idx="2" formatCode="0.0">
                  <c:v>4.8</c:v>
                </c:pt>
                <c:pt idx="3">
                  <c:v>4.7</c:v>
                </c:pt>
                <c:pt idx="4" formatCode="0.0">
                  <c:v>4</c:v>
                </c:pt>
              </c:numCache>
            </c:numRef>
          </c:val>
          <c:extLst>
            <c:ext xmlns:c16="http://schemas.microsoft.com/office/drawing/2014/chart" uri="{C3380CC4-5D6E-409C-BE32-E72D297353CC}">
              <c16:uniqueId val="{00000003-4D0C-4ED8-AB6B-953BB8FBD21B}"/>
            </c:ext>
          </c:extLst>
        </c:ser>
        <c:dLbls>
          <c:dLblPos val="ctr"/>
          <c:showLegendKey val="0"/>
          <c:showVal val="1"/>
          <c:showCatName val="0"/>
          <c:showSerName val="0"/>
          <c:showPercent val="0"/>
          <c:showBubbleSize val="0"/>
        </c:dLbls>
        <c:gapWidth val="78"/>
        <c:overlap val="100"/>
        <c:axId val="77787136"/>
        <c:axId val="128548160"/>
      </c:barChart>
      <c:catAx>
        <c:axId val="77787136"/>
        <c:scaling>
          <c:orientation val="minMax"/>
        </c:scaling>
        <c:delete val="0"/>
        <c:axPos val="l"/>
        <c:numFmt formatCode="General" sourceLinked="0"/>
        <c:majorTickMark val="out"/>
        <c:minorTickMark val="none"/>
        <c:tickLblPos val="nextTo"/>
        <c:txPr>
          <a:bodyPr/>
          <a:lstStyle/>
          <a:p>
            <a:pPr>
              <a:defRPr b="0"/>
            </a:pPr>
            <a:endParaRPr lang="ru-RU"/>
          </a:p>
        </c:txPr>
        <c:crossAx val="128548160"/>
        <c:crosses val="autoZero"/>
        <c:auto val="1"/>
        <c:lblAlgn val="ctr"/>
        <c:lblOffset val="100"/>
        <c:noMultiLvlLbl val="0"/>
      </c:catAx>
      <c:valAx>
        <c:axId val="128548160"/>
        <c:scaling>
          <c:orientation val="minMax"/>
        </c:scaling>
        <c:delete val="0"/>
        <c:axPos val="b"/>
        <c:numFmt formatCode="0%" sourceLinked="1"/>
        <c:majorTickMark val="out"/>
        <c:minorTickMark val="none"/>
        <c:tickLblPos val="nextTo"/>
        <c:txPr>
          <a:bodyPr/>
          <a:lstStyle/>
          <a:p>
            <a:pPr>
              <a:defRPr b="0">
                <a:solidFill>
                  <a:schemeClr val="bg1"/>
                </a:solidFill>
              </a:defRPr>
            </a:pPr>
            <a:endParaRPr lang="ru-RU"/>
          </a:p>
        </c:txPr>
        <c:crossAx val="77787136"/>
        <c:crosses val="autoZero"/>
        <c:crossBetween val="between"/>
        <c:majorUnit val="0.2"/>
      </c:valAx>
    </c:plotArea>
    <c:legend>
      <c:legendPos val="b"/>
      <c:layout>
        <c:manualLayout>
          <c:xMode val="edge"/>
          <c:yMode val="edge"/>
          <c:x val="6.0878579170334755E-2"/>
          <c:y val="0.90146290924160799"/>
          <c:w val="0.89175624392490527"/>
          <c:h val="7.6286292155837973E-2"/>
        </c:manualLayout>
      </c:layout>
      <c:overlay val="0"/>
      <c:txPr>
        <a:bodyPr/>
        <a:lstStyle/>
        <a:p>
          <a:pPr>
            <a:defRPr sz="1050" b="0"/>
          </a:pPr>
          <a:endParaRPr lang="ru-RU"/>
        </a:p>
      </c:txPr>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04B24-355A-48B4-943C-D65450F5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6887</Words>
  <Characters>39260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Mostakov_EV</dc:creator>
  <cp:keywords/>
  <dc:description/>
  <cp:lastModifiedBy>Изотов Сергей Сергеевич</cp:lastModifiedBy>
  <cp:revision>11</cp:revision>
  <cp:lastPrinted>2025-10-06T16:18:00Z</cp:lastPrinted>
  <dcterms:created xsi:type="dcterms:W3CDTF">2025-10-08T16:27:00Z</dcterms:created>
  <dcterms:modified xsi:type="dcterms:W3CDTF">2025-10-10T13:31:00Z</dcterms:modified>
</cp:coreProperties>
</file>