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58" w:rsidRPr="00BE0D95" w:rsidRDefault="007E6558" w:rsidP="007E6558">
      <w:pPr>
        <w:jc w:val="right"/>
        <w:rPr>
          <w:rFonts w:ascii="Times New Roman" w:hAnsi="Times New Roman" w:cs="Times New Roman"/>
          <w:sz w:val="28"/>
        </w:rPr>
      </w:pPr>
      <w:r w:rsidRPr="00BD65CF">
        <w:rPr>
          <w:rFonts w:ascii="Times New Roman" w:hAnsi="Times New Roman" w:cs="Times New Roman"/>
          <w:sz w:val="28"/>
        </w:rPr>
        <w:t>Приложение №</w:t>
      </w:r>
      <w:r>
        <w:rPr>
          <w:rFonts w:ascii="Times New Roman" w:hAnsi="Times New Roman" w:cs="Times New Roman"/>
          <w:sz w:val="28"/>
        </w:rPr>
        <w:t> </w:t>
      </w:r>
      <w:r w:rsidR="00A41C4D">
        <w:rPr>
          <w:rFonts w:ascii="Times New Roman" w:hAnsi="Times New Roman" w:cs="Times New Roman"/>
          <w:sz w:val="28"/>
        </w:rPr>
        <w:t>27</w:t>
      </w:r>
    </w:p>
    <w:p w:rsidR="007E6558" w:rsidRDefault="007E6558" w:rsidP="00D32E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Обоснование подходов к формированию </w:t>
      </w:r>
    </w:p>
    <w:p w:rsidR="00D32E6C" w:rsidRPr="007E6558" w:rsidRDefault="007E6558" w:rsidP="00D32E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опытной и контрольной групп</w:t>
      </w:r>
    </w:p>
    <w:p w:rsidR="00D32E6C" w:rsidRDefault="00D32E6C" w:rsidP="00D32E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E6C" w:rsidRPr="00D32E6C" w:rsidRDefault="00D32E6C" w:rsidP="00D32E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D3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анализа эффективности программ «Комплектующие изделия» и «Проекты развития» были выбраны две группы предприятий: опытная </w:t>
      </w:r>
      <w:r w:rsidRPr="00D32E6C">
        <w:rPr>
          <w:rFonts w:ascii="Times New Roman" w:eastAsia="Calibri" w:hAnsi="Times New Roman" w:cs="Times New Roman"/>
          <w:bCs/>
          <w:color w:val="000000"/>
          <w:sz w:val="28"/>
        </w:rPr>
        <w:t xml:space="preserve">(предприятия, получившие господдержку) </w:t>
      </w:r>
      <w:r w:rsidRPr="00D3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контрольная </w:t>
      </w:r>
      <w:r w:rsidRPr="00D32E6C">
        <w:rPr>
          <w:rFonts w:ascii="Times New Roman" w:eastAsia="Calibri" w:hAnsi="Times New Roman" w:cs="Times New Roman"/>
          <w:bCs/>
          <w:color w:val="000000"/>
          <w:sz w:val="28"/>
        </w:rPr>
        <w:t xml:space="preserve">(предприятия, не входившие в программы господдержки). </w:t>
      </w:r>
      <w:r w:rsidRPr="00D32E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выборки предприятий играют ключевую роль в сравнении результатов реализации программ и определении их влияния на развитие отечественного производства.</w:t>
      </w:r>
    </w:p>
    <w:p w:rsidR="00D32E6C" w:rsidRPr="00D32E6C" w:rsidRDefault="00D32E6C" w:rsidP="00D32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2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опытную группу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вошли предприятия, принявшие участие в программах финансирования «Проекты развития» (утверждена стандартом ФРП № СФ-И-87 от 21.09.2018)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ootnoteReference w:id="1"/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«Комплектующие изделия» (утверждена стандартом ФРП № СФ-И-51 от 21.09.2018)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footnoteReference w:id="2"/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период с 2018 по 2021 гг. В рамках этих программ льготное заёмное финансирование предоставлялось на проекты, направленные на импортозамещение и производство конкурентоспособной продукции, продукции гражданского и двойного назначения, выпуск средств производства, оборудования и станков, внедрение программных и технологических решений (цифровизацию) для оптимизации производственных процессов с целью стимулирования отечественных предприятий к разработке и внедрению инновационных технологий и решений, направленных на импортозамещение и повышение конкурентоспособности производимой продукции. Финансирование в первую очередь нацелено на поддержку проектов по выпуску продукции гражданского и двойного назначения, средств производства, а также на внедрение программных и технологических решений, обеспечивающих цифровизацию и оптимизацию производственных процессов. Эти меры должны способствовать развитию высокотехнологичной индустрии, снижению зависимости от импорта и укреплению позиций России на глобальном рынке в приоритетных отраслях экономики.</w:t>
      </w:r>
    </w:p>
    <w:p w:rsidR="00D32E6C" w:rsidRPr="00D32E6C" w:rsidRDefault="00CF06FA" w:rsidP="00D32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lastRenderedPageBreak/>
        <w:t>В контрольную</w:t>
      </w:r>
      <w:r w:rsidR="00D32E6C" w:rsidRPr="00D32E6C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группу</w:t>
      </w:r>
      <w:r w:rsidR="00D32E6C" w:rsidRPr="00D32E6C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вошли промышленные предприятия, не участвовавшие в программах государственного финансирования и осуществляющие свою деятельность на основе рыночных отношений.</w:t>
      </w:r>
    </w:p>
    <w:p w:rsidR="00D32E6C" w:rsidRPr="00D32E6C" w:rsidRDefault="00D32E6C" w:rsidP="00D32E6C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32E6C">
        <w:rPr>
          <w:rFonts w:ascii="Times New Roman" w:eastAsia="Calibri" w:hAnsi="Times New Roman" w:cs="Times New Roman"/>
          <w:sz w:val="28"/>
          <w:szCs w:val="28"/>
        </w:rPr>
        <w:t>Основные условия программ представлены в таблице 1.</w:t>
      </w:r>
    </w:p>
    <w:p w:rsidR="00D32E6C" w:rsidRPr="00277B27" w:rsidRDefault="00D32E6C" w:rsidP="00277B2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77B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1</w:t>
      </w:r>
      <w:r w:rsidR="00277B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Pr="00277B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Основные условия программ льготного заёмного финансирования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328"/>
        <w:gridCol w:w="641"/>
        <w:gridCol w:w="3254"/>
      </w:tblGrid>
      <w:tr w:rsidR="00D32E6C" w:rsidRPr="00D32E6C" w:rsidTr="00A55ED3">
        <w:trPr>
          <w:tblHeader/>
        </w:trPr>
        <w:tc>
          <w:tcPr>
            <w:tcW w:w="1980" w:type="dxa"/>
            <w:vAlign w:val="center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«Проекты развития»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«Комплектующие изделия»</w:t>
            </w:r>
          </w:p>
        </w:tc>
      </w:tr>
      <w:tr w:rsidR="00D32E6C" w:rsidRPr="00D32E6C" w:rsidTr="00A55ED3">
        <w:tc>
          <w:tcPr>
            <w:tcW w:w="1980" w:type="dxa"/>
            <w:vAlign w:val="center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Льготное заёмное финансирование под 3% и 5% годовых предоставляется на проекты, направленные на импортозамещение, производство конкурентоспособной продукции, продукции гражданского и двойного назначения, выпуск средств производства, оборудования и станков, помощь с внедрением программных и технологических решений (цифровизацию) для оптимизации производственных процессов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Льготное заёмное финансирование предоставляется на проекты, направленные на модернизацию или организацию производства комплектующих изделий, повышающих уровень локализации конечной российской продукции, а также проектов, направленных на импортозамещение критически важной для устойчивого функционирования промышленных предприятий продукции</w:t>
            </w:r>
          </w:p>
        </w:tc>
      </w:tr>
      <w:tr w:rsidR="00D32E6C" w:rsidRPr="00D32E6C" w:rsidTr="00A55ED3">
        <w:tc>
          <w:tcPr>
            <w:tcW w:w="1980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100–1000 млн. руб.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100–1000 млн. руб.</w:t>
            </w:r>
          </w:p>
        </w:tc>
      </w:tr>
      <w:tr w:rsidR="00D32E6C" w:rsidRPr="00D32E6C" w:rsidTr="00A55ED3">
        <w:tc>
          <w:tcPr>
            <w:tcW w:w="1980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Бюджет проекта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От 125 млн. руб.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От 125 млн. руб.</w:t>
            </w:r>
          </w:p>
        </w:tc>
      </w:tr>
      <w:tr w:rsidR="00D32E6C" w:rsidRPr="00D32E6C" w:rsidTr="00A55ED3">
        <w:tc>
          <w:tcPr>
            <w:tcW w:w="1980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Срок займа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Более 5 лет</w:t>
            </w:r>
          </w:p>
        </w:tc>
      </w:tr>
      <w:tr w:rsidR="00D32E6C" w:rsidRPr="00D32E6C" w:rsidTr="00A55ED3">
        <w:tc>
          <w:tcPr>
            <w:tcW w:w="1980" w:type="dxa"/>
            <w:vMerge w:val="restart"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Процентная ставка</w:t>
            </w:r>
          </w:p>
        </w:tc>
        <w:tc>
          <w:tcPr>
            <w:tcW w:w="567" w:type="dxa"/>
            <w:vAlign w:val="center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328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641" w:type="dxa"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254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базовая</w:t>
            </w:r>
          </w:p>
        </w:tc>
      </w:tr>
      <w:tr w:rsidR="00D32E6C" w:rsidRPr="00D32E6C" w:rsidTr="00A55ED3">
        <w:tc>
          <w:tcPr>
            <w:tcW w:w="1980" w:type="dxa"/>
            <w:vMerge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328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при банковской гарантии, а также гарантии ВЭБ. РФ, Федеральной корпорации по поддержке малого и среднего предпринимательства (АО «Корпорация МСП»)</w:t>
            </w:r>
          </w:p>
        </w:tc>
        <w:tc>
          <w:tcPr>
            <w:tcW w:w="641" w:type="dxa"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254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при банковской гарантии, а также гарантии ВЭБ. РФ, Федеральной корпорации по поддержке малого и среднего предпринимательства (АО «Корпорация МСП»)</w:t>
            </w:r>
          </w:p>
        </w:tc>
      </w:tr>
      <w:tr w:rsidR="00D32E6C" w:rsidRPr="00D32E6C" w:rsidTr="00A55ED3">
        <w:tc>
          <w:tcPr>
            <w:tcW w:w="1980" w:type="dxa"/>
            <w:vMerge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2E6C" w:rsidRPr="00D32E6C" w:rsidRDefault="00D32E6C" w:rsidP="00D32E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328" w:type="dxa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При покупке российского оборудования или отечественного ПО (для цифровизации) на сумму ≥ 50% от суммы займа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E6C" w:rsidRPr="00D32E6C" w:rsidTr="00A55ED3">
        <w:tc>
          <w:tcPr>
            <w:tcW w:w="1980" w:type="dxa"/>
            <w:vAlign w:val="center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продаж новой продукции не менее 50% от суммы займа в год, начиная со второго года серийного производства.</w:t>
            </w:r>
          </w:p>
          <w:p w:rsidR="00D32E6C" w:rsidRPr="00D32E6C" w:rsidRDefault="00D32E6C" w:rsidP="00D32E6C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Среднегодовой рост выработки на одного сотрудника в течение срока действия договора займа должен составлять не менее 5% для проектов по повышению уровня автоматизации и цифровизации промышленных предприятий</w:t>
            </w:r>
          </w:p>
        </w:tc>
        <w:tc>
          <w:tcPr>
            <w:tcW w:w="3895" w:type="dxa"/>
            <w:gridSpan w:val="2"/>
          </w:tcPr>
          <w:p w:rsidR="00D32E6C" w:rsidRPr="00D32E6C" w:rsidRDefault="00D32E6C" w:rsidP="00D32E6C">
            <w:pPr>
              <w:shd w:val="clear" w:color="auto" w:fill="FFFFFF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6C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объем продаж новой продукции не менее 30% от суммы займа в год, начиная со 2 года серийного производства</w:t>
            </w:r>
          </w:p>
          <w:p w:rsidR="00D32E6C" w:rsidRPr="00D32E6C" w:rsidRDefault="00D32E6C" w:rsidP="00D32E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E6C" w:rsidRPr="00D32E6C" w:rsidRDefault="00D32E6C" w:rsidP="00D32E6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32E6C" w:rsidRDefault="00D32E6C" w:rsidP="00D32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2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отраслевом разрезе мера поддержки с помощью программ «Проекты развития» и «Комплектующие изделия»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большей степени </w:t>
      </w:r>
      <w:r w:rsidRPr="00D32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охватывала обрабатывающие производства.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Однако в перечне отраслей присутствуют и другие виды экономической деятельности, преимущественно, направленные на внедрение высоких технологий и инноваций.</w:t>
      </w:r>
    </w:p>
    <w:p w:rsidR="00CF06FA" w:rsidRPr="00B23342" w:rsidRDefault="00D32E6C" w:rsidP="003153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большинстве случаев 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заемными средствами воспользовались предприятия, специализирующиеся на производстве готовых металлических изделий (кроме машин и оборудования); резиновых и пластмассовых изделий; прочей неметаллической минеральной продукции; машин и оборудования, не включенных в другие группировки; химических веществ и химических продуктов; автотранспортных средств, прицепов и полуприцепов; электрического оборудования; обработке древесины и производстве изделий из дерева и пробки (кроме мебели); производстве изделий из соломки и материалов для плетения; производстве бумаги и бумажных изделий; производстве компьютеров, электронных и оптических изделий; лекарственных средств и материалов, применяемых в медицинских целях, а также в металлур</w:t>
      </w:r>
      <w:r w:rsidR="002C38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гическом производстве (таблица 2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1030A2" w:rsidRPr="00315363" w:rsidRDefault="002C381C" w:rsidP="003153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1536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2</w:t>
      </w:r>
      <w:r w:rsidR="0031536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="00D32E6C" w:rsidRPr="0031536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Охват организаций по видам экономической деятельности программами льготного финансирования «Проекты развития» и «Комплектующие изделия»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0"/>
      </w:tblGrid>
      <w:tr w:rsidR="001030A2" w:rsidRPr="002C381C" w:rsidTr="001030A2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Наименование раздела</w:t>
            </w:r>
          </w:p>
        </w:tc>
      </w:tr>
      <w:tr w:rsidR="001030A2" w:rsidRPr="002C381C" w:rsidTr="008E3F60">
        <w:trPr>
          <w:trHeight w:val="6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резиновых и пластмассовых изделий</w:t>
            </w:r>
          </w:p>
        </w:tc>
      </w:tr>
      <w:tr w:rsidR="001030A2" w:rsidRPr="002C381C" w:rsidTr="008E3F60">
        <w:trPr>
          <w:trHeight w:val="6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неметаллической минеральной продукции</w:t>
            </w:r>
          </w:p>
        </w:tc>
      </w:tr>
      <w:tr w:rsidR="001030A2" w:rsidRPr="002C381C" w:rsidTr="008E3F60">
        <w:trPr>
          <w:trHeight w:val="6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</w:tr>
      <w:tr w:rsidR="001030A2" w:rsidRPr="002C381C" w:rsidTr="008E3F60">
        <w:trPr>
          <w:trHeight w:val="6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</w:tr>
      <w:tr w:rsidR="001030A2" w:rsidRPr="002C381C" w:rsidTr="008E3F60">
        <w:trPr>
          <w:trHeight w:val="6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автотранспортных средств, прицепов и полуприцепов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электрического оборудования</w:t>
            </w:r>
          </w:p>
        </w:tc>
      </w:tr>
      <w:tr w:rsidR="001030A2" w:rsidRPr="002C381C" w:rsidTr="008E3F60">
        <w:trPr>
          <w:trHeight w:val="90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10" w:type="dxa"/>
            <w:shd w:val="clear" w:color="auto" w:fill="auto"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бумаги и бумажных изделий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компьютеров, электронных и оптических изделий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</w:tr>
      <w:tr w:rsidR="001030A2" w:rsidRPr="002C381C" w:rsidTr="008E3F60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030A2" w:rsidRPr="008E3F60" w:rsidRDefault="001030A2" w:rsidP="00D3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  <w:shd w:val="clear" w:color="auto" w:fill="auto"/>
            <w:noWrap/>
            <w:vAlign w:val="center"/>
            <w:hideMark/>
          </w:tcPr>
          <w:p w:rsidR="001030A2" w:rsidRPr="008E3F60" w:rsidRDefault="001030A2" w:rsidP="008E3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  <w:r w:rsidR="00B23342" w:rsidRPr="008E3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(прилагаются)</w:t>
            </w:r>
          </w:p>
        </w:tc>
      </w:tr>
    </w:tbl>
    <w:p w:rsidR="00D32E6C" w:rsidRPr="002C381C" w:rsidRDefault="00D32E6C" w:rsidP="00D32E6C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</w:p>
    <w:p w:rsidR="00405257" w:rsidRDefault="00D32E6C" w:rsidP="00D32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2E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контрольную группу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предприятий были включены предприят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с аналогичными опытной группе характеристиками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(размер </w:t>
      </w:r>
      <w:r w:rsidR="001030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предприятий </w:t>
      </w:r>
      <w:r w:rsidRPr="00D32E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отраслевой разрез), с целью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22D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оценки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изменения показателей финансово-хозяйственной </w:t>
      </w:r>
      <w:r w:rsidR="00922D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деятельности предприятий, не получивших поддержку в рамках реализации указанных мер поддержки.</w:t>
      </w:r>
    </w:p>
    <w:p w:rsidR="00922DE0" w:rsidRDefault="00922DE0" w:rsidP="00D32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Подробная </w:t>
      </w:r>
      <w:r w:rsidR="002C38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приведена в таблице 3</w:t>
      </w:r>
      <w:r w:rsidR="00F07D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07D30" w:rsidRDefault="002C381C" w:rsidP="00F07D3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07D3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3</w:t>
      </w:r>
      <w:r w:rsidR="00F07D3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 w:rsidR="00F07D30" w:rsidRPr="00F07D3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Структура опытной и контрольной групп в разрезе типов </w:t>
      </w:r>
    </w:p>
    <w:p w:rsidR="00922DE0" w:rsidRPr="00F07D30" w:rsidRDefault="00F07D30" w:rsidP="00F07D3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F07D3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(статусов отнесения) предприятий</w:t>
      </w:r>
    </w:p>
    <w:tbl>
      <w:tblPr>
        <w:tblStyle w:val="61"/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843"/>
        <w:gridCol w:w="1843"/>
      </w:tblGrid>
      <w:tr w:rsidR="00922DE0" w:rsidRPr="00922DE0" w:rsidTr="007963B0">
        <w:trPr>
          <w:trHeight w:val="440"/>
          <w:jc w:val="center"/>
        </w:trPr>
        <w:tc>
          <w:tcPr>
            <w:tcW w:w="2263" w:type="dxa"/>
            <w:vMerge w:val="restart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Тип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Опытная группа</w:t>
            </w:r>
          </w:p>
        </w:tc>
        <w:tc>
          <w:tcPr>
            <w:tcW w:w="3686" w:type="dxa"/>
            <w:gridSpan w:val="2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Контрольная группа</w:t>
            </w:r>
          </w:p>
        </w:tc>
      </w:tr>
      <w:tr w:rsidR="00922DE0" w:rsidRPr="00922DE0" w:rsidTr="007963B0">
        <w:trPr>
          <w:jc w:val="center"/>
        </w:trPr>
        <w:tc>
          <w:tcPr>
            <w:tcW w:w="2263" w:type="dxa"/>
            <w:vMerge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единиц</w:t>
            </w:r>
          </w:p>
        </w:tc>
        <w:tc>
          <w:tcPr>
            <w:tcW w:w="1275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в % к итогу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тыс. единиц</w:t>
            </w:r>
            <w:r w:rsidRPr="00922DE0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 xml:space="preserve">среднее значение в % к среднему итогу </w:t>
            </w:r>
          </w:p>
        </w:tc>
      </w:tr>
      <w:tr w:rsidR="00922DE0" w:rsidRPr="00922DE0" w:rsidTr="007963B0">
        <w:trPr>
          <w:trHeight w:val="454"/>
          <w:jc w:val="center"/>
        </w:trPr>
        <w:tc>
          <w:tcPr>
            <w:tcW w:w="226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Крупные</w:t>
            </w:r>
          </w:p>
        </w:tc>
        <w:tc>
          <w:tcPr>
            <w:tcW w:w="1560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128</w:t>
            </w:r>
          </w:p>
        </w:tc>
        <w:tc>
          <w:tcPr>
            <w:tcW w:w="1275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43,4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13,4 – 23,7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7,1</w:t>
            </w:r>
          </w:p>
        </w:tc>
      </w:tr>
      <w:tr w:rsidR="00922DE0" w:rsidRPr="00922DE0" w:rsidTr="007963B0">
        <w:trPr>
          <w:trHeight w:val="454"/>
          <w:jc w:val="center"/>
        </w:trPr>
        <w:tc>
          <w:tcPr>
            <w:tcW w:w="2263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Средние</w:t>
            </w:r>
          </w:p>
        </w:tc>
        <w:tc>
          <w:tcPr>
            <w:tcW w:w="1560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39</w:t>
            </w:r>
          </w:p>
        </w:tc>
        <w:tc>
          <w:tcPr>
            <w:tcW w:w="1275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13,2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7,2 – 7,6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2,8</w:t>
            </w:r>
          </w:p>
        </w:tc>
      </w:tr>
      <w:tr w:rsidR="00922DE0" w:rsidRPr="00922DE0" w:rsidTr="007963B0">
        <w:trPr>
          <w:trHeight w:val="454"/>
          <w:jc w:val="center"/>
        </w:trPr>
        <w:tc>
          <w:tcPr>
            <w:tcW w:w="2263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Малые</w:t>
            </w:r>
          </w:p>
        </w:tc>
        <w:tc>
          <w:tcPr>
            <w:tcW w:w="1560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17,0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34,8 – 47,1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15,6</w:t>
            </w:r>
          </w:p>
        </w:tc>
      </w:tr>
      <w:tr w:rsidR="00922DE0" w:rsidRPr="00922DE0" w:rsidTr="007963B0">
        <w:trPr>
          <w:trHeight w:val="454"/>
          <w:jc w:val="center"/>
        </w:trPr>
        <w:tc>
          <w:tcPr>
            <w:tcW w:w="2263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Микро</w:t>
            </w:r>
          </w:p>
        </w:tc>
        <w:tc>
          <w:tcPr>
            <w:tcW w:w="1560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78</w:t>
            </w:r>
          </w:p>
        </w:tc>
        <w:tc>
          <w:tcPr>
            <w:tcW w:w="1275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26,4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>150,6 – 240,5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922DE0">
              <w:rPr>
                <w:rFonts w:ascii="Times New Roman" w:hAnsi="Times New Roman"/>
              </w:rPr>
              <w:t xml:space="preserve">74,5 </w:t>
            </w:r>
          </w:p>
        </w:tc>
      </w:tr>
      <w:tr w:rsidR="00922DE0" w:rsidRPr="00922DE0" w:rsidTr="007963B0">
        <w:trPr>
          <w:trHeight w:val="454"/>
          <w:jc w:val="center"/>
        </w:trPr>
        <w:tc>
          <w:tcPr>
            <w:tcW w:w="2263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60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295</w:t>
            </w:r>
          </w:p>
        </w:tc>
        <w:tc>
          <w:tcPr>
            <w:tcW w:w="1275" w:type="dxa"/>
            <w:vAlign w:val="center"/>
            <w:hideMark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206,0 – 318,9</w:t>
            </w:r>
          </w:p>
        </w:tc>
        <w:tc>
          <w:tcPr>
            <w:tcW w:w="1843" w:type="dxa"/>
            <w:vAlign w:val="center"/>
          </w:tcPr>
          <w:p w:rsidR="00922DE0" w:rsidRPr="00922DE0" w:rsidRDefault="00922DE0" w:rsidP="00922DE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922DE0"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922DE0" w:rsidRPr="00D32E6C" w:rsidRDefault="00922DE0" w:rsidP="00B2334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922DE0" w:rsidRPr="00D32E6C" w:rsidSect="007B5EFC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68" w:rsidRDefault="00602968" w:rsidP="00D32E6C">
      <w:pPr>
        <w:spacing w:after="0" w:line="240" w:lineRule="auto"/>
      </w:pPr>
      <w:r>
        <w:separator/>
      </w:r>
    </w:p>
  </w:endnote>
  <w:endnote w:type="continuationSeparator" w:id="0">
    <w:p w:rsidR="00602968" w:rsidRDefault="00602968" w:rsidP="00D3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68" w:rsidRDefault="00602968" w:rsidP="00D32E6C">
      <w:pPr>
        <w:spacing w:after="0" w:line="240" w:lineRule="auto"/>
      </w:pPr>
      <w:r>
        <w:separator/>
      </w:r>
    </w:p>
  </w:footnote>
  <w:footnote w:type="continuationSeparator" w:id="0">
    <w:p w:rsidR="00602968" w:rsidRDefault="00602968" w:rsidP="00D32E6C">
      <w:pPr>
        <w:spacing w:after="0" w:line="240" w:lineRule="auto"/>
      </w:pPr>
      <w:r>
        <w:continuationSeparator/>
      </w:r>
    </w:p>
  </w:footnote>
  <w:footnote w:id="1">
    <w:p w:rsidR="00D32E6C" w:rsidRPr="00091800" w:rsidRDefault="00D32E6C" w:rsidP="00D32E6C">
      <w:pPr>
        <w:pStyle w:val="a3"/>
        <w:rPr>
          <w:rFonts w:ascii="Times New Roman" w:hAnsi="Times New Roman" w:cs="Times New Roman"/>
        </w:rPr>
      </w:pPr>
      <w:r w:rsidRPr="00091800">
        <w:rPr>
          <w:rStyle w:val="a6"/>
          <w:rFonts w:ascii="Times New Roman" w:hAnsi="Times New Roman" w:cs="Times New Roman"/>
        </w:rPr>
        <w:footnoteRef/>
      </w:r>
      <w:r w:rsidRPr="00091800">
        <w:rPr>
          <w:rFonts w:ascii="Times New Roman" w:hAnsi="Times New Roman" w:cs="Times New Roman"/>
        </w:rPr>
        <w:t xml:space="preserve"> </w:t>
      </w:r>
      <w:r w:rsidRPr="00091800">
        <w:rPr>
          <w:rFonts w:ascii="Times New Roman" w:eastAsia="Times New Roman" w:hAnsi="Times New Roman" w:cs="Times New Roman"/>
          <w:iCs/>
          <w:lang w:eastAsia="ru-RU"/>
        </w:rPr>
        <w:t xml:space="preserve">Стандарт ФРП № СФ-И-51 от 21.09.2018 - </w:t>
      </w:r>
      <w:hyperlink r:id="rId1" w:history="1">
        <w:r w:rsidRPr="00091800">
          <w:rPr>
            <w:rStyle w:val="a5"/>
            <w:rFonts w:ascii="Times New Roman" w:eastAsia="Times New Roman" w:hAnsi="Times New Roman" w:cs="Times New Roman"/>
            <w:iCs/>
            <w:color w:val="auto"/>
            <w:u w:val="none"/>
            <w:lang w:eastAsia="ru-RU"/>
          </w:rPr>
          <w:t>https://frprf.ru/download/usloviya-programmy-_proekty-razvitiya.pdf</w:t>
        </w:r>
      </w:hyperlink>
    </w:p>
  </w:footnote>
  <w:footnote w:id="2">
    <w:p w:rsidR="00D32E6C" w:rsidRPr="004301AE" w:rsidRDefault="00D32E6C" w:rsidP="00D32E6C">
      <w:pPr>
        <w:pStyle w:val="a3"/>
      </w:pPr>
      <w:r w:rsidRPr="00091800">
        <w:rPr>
          <w:rStyle w:val="a6"/>
          <w:rFonts w:ascii="Times New Roman" w:hAnsi="Times New Roman" w:cs="Times New Roman"/>
        </w:rPr>
        <w:footnoteRef/>
      </w:r>
      <w:r w:rsidRPr="00091800">
        <w:rPr>
          <w:rFonts w:ascii="Times New Roman" w:hAnsi="Times New Roman" w:cs="Times New Roman"/>
        </w:rPr>
        <w:t xml:space="preserve"> </w:t>
      </w:r>
      <w:r w:rsidRPr="00091800">
        <w:rPr>
          <w:rFonts w:ascii="Times New Roman" w:eastAsia="Times New Roman" w:hAnsi="Times New Roman" w:cs="Times New Roman"/>
          <w:iCs/>
          <w:lang w:eastAsia="ru-RU"/>
        </w:rPr>
        <w:t xml:space="preserve">Стандарт ФРП № СФ-И-87 от 21.09.2018 - </w:t>
      </w:r>
      <w:hyperlink r:id="rId2" w:history="1">
        <w:r w:rsidRPr="00091800">
          <w:rPr>
            <w:rStyle w:val="a5"/>
            <w:rFonts w:ascii="Times New Roman" w:eastAsia="Times New Roman" w:hAnsi="Times New Roman" w:cs="Times New Roman"/>
            <w:iCs/>
            <w:color w:val="auto"/>
            <w:u w:val="none"/>
            <w:lang w:eastAsia="ru-RU"/>
          </w:rPr>
          <w:t>https://frpirk.ru/upload/frpdocs/06.21_Komplektuyushchie_izdeliya.pdf</w:t>
        </w:r>
      </w:hyperlink>
    </w:p>
  </w:footnote>
  <w:footnote w:id="3">
    <w:p w:rsidR="00922DE0" w:rsidRDefault="00922DE0" w:rsidP="00922DE0">
      <w:pPr>
        <w:pStyle w:val="a3"/>
      </w:pPr>
      <w:r>
        <w:rPr>
          <w:rStyle w:val="a6"/>
        </w:rPr>
        <w:footnoteRef/>
      </w:r>
      <w:r>
        <w:t xml:space="preserve"> </w:t>
      </w:r>
      <w:r w:rsidRPr="00091800">
        <w:rPr>
          <w:rFonts w:ascii="Times New Roman" w:hAnsi="Times New Roman" w:cs="Times New Roman"/>
        </w:rPr>
        <w:t>Диапазон указан с учетом постепенного выбытия ряда предприятий</w:t>
      </w:r>
      <w:r w:rsidR="00726120">
        <w:rPr>
          <w:rFonts w:ascii="Times New Roman" w:hAnsi="Times New Roman" w:cs="Times New Roman"/>
        </w:rPr>
        <w:t>,</w:t>
      </w:r>
      <w:r w:rsidRPr="00091800">
        <w:rPr>
          <w:rFonts w:ascii="Times New Roman" w:hAnsi="Times New Roman" w:cs="Times New Roman"/>
        </w:rPr>
        <w:t xml:space="preserve"> начиная с контрольного года (предшествующего указанному году заключения соглашения) </w:t>
      </w:r>
      <w:r w:rsidR="00726120">
        <w:rPr>
          <w:rFonts w:ascii="Times New Roman" w:hAnsi="Times New Roman" w:cs="Times New Roman"/>
        </w:rPr>
        <w:t>и изменения</w:t>
      </w:r>
      <w:bookmarkStart w:id="0" w:name="_GoBack"/>
      <w:bookmarkEnd w:id="0"/>
      <w:r w:rsidRPr="00091800">
        <w:rPr>
          <w:rFonts w:ascii="Times New Roman" w:hAnsi="Times New Roman" w:cs="Times New Roman"/>
        </w:rPr>
        <w:t xml:space="preserve"> их статуса по типу предприятия</w:t>
      </w:r>
      <w:r w:rsidR="0009180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432934"/>
      <w:docPartObj>
        <w:docPartGallery w:val="Page Numbers (Top of Page)"/>
        <w:docPartUnique/>
      </w:docPartObj>
    </w:sdtPr>
    <w:sdtEndPr/>
    <w:sdtContent>
      <w:p w:rsidR="00710EEB" w:rsidRDefault="00710E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3D6">
          <w:rPr>
            <w:noProof/>
          </w:rPr>
          <w:t>4</w:t>
        </w:r>
        <w:r>
          <w:fldChar w:fldCharType="end"/>
        </w:r>
      </w:p>
    </w:sdtContent>
  </w:sdt>
  <w:p w:rsidR="00710EEB" w:rsidRDefault="00710E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3237"/>
    <w:multiLevelType w:val="multilevel"/>
    <w:tmpl w:val="F658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43929"/>
    <w:multiLevelType w:val="multilevel"/>
    <w:tmpl w:val="3FEC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E1F58"/>
    <w:multiLevelType w:val="multilevel"/>
    <w:tmpl w:val="6210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EA"/>
    <w:rsid w:val="00000B93"/>
    <w:rsid w:val="00091800"/>
    <w:rsid w:val="000971EA"/>
    <w:rsid w:val="001030A2"/>
    <w:rsid w:val="00277B27"/>
    <w:rsid w:val="002C381C"/>
    <w:rsid w:val="00315363"/>
    <w:rsid w:val="00405257"/>
    <w:rsid w:val="0056555A"/>
    <w:rsid w:val="00602968"/>
    <w:rsid w:val="006200D7"/>
    <w:rsid w:val="00710EEB"/>
    <w:rsid w:val="00726120"/>
    <w:rsid w:val="007613D6"/>
    <w:rsid w:val="007B5EFC"/>
    <w:rsid w:val="007E6558"/>
    <w:rsid w:val="008E3F60"/>
    <w:rsid w:val="008E7CA1"/>
    <w:rsid w:val="00922DE0"/>
    <w:rsid w:val="00933BC3"/>
    <w:rsid w:val="009C7CBB"/>
    <w:rsid w:val="00A41C4D"/>
    <w:rsid w:val="00AE297B"/>
    <w:rsid w:val="00B23342"/>
    <w:rsid w:val="00BE0D95"/>
    <w:rsid w:val="00CB5163"/>
    <w:rsid w:val="00CF06FA"/>
    <w:rsid w:val="00D32E6C"/>
    <w:rsid w:val="00E64585"/>
    <w:rsid w:val="00F07D30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29B2"/>
  <w15:docId w15:val="{BC34A87A-DED0-4655-BD5A-4D0FAFDB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2E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2E6C"/>
    <w:rPr>
      <w:sz w:val="20"/>
      <w:szCs w:val="20"/>
    </w:rPr>
  </w:style>
  <w:style w:type="character" w:styleId="a5">
    <w:name w:val="Hyperlink"/>
    <w:uiPriority w:val="99"/>
    <w:unhideWhenUsed/>
    <w:rsid w:val="00D32E6C"/>
    <w:rPr>
      <w:color w:val="0563C1"/>
      <w:u w:val="single"/>
    </w:rPr>
  </w:style>
  <w:style w:type="character" w:styleId="a6">
    <w:name w:val="footnote reference"/>
    <w:aliases w:val="Знак сноски-FN,Ciae niinee-FN,Знак сноски 1,SUPERS,текст сноски,ftref,16 Point,Superscript 6 Point,сноска,вески,Referencia nota al pie,СНОСКА,сноска1,fr,Style 49,Used by Word for Help footnote symbols,Avg - Знак сноски,avg-Знак сноски"/>
    <w:uiPriority w:val="99"/>
    <w:unhideWhenUsed/>
    <w:qFormat/>
    <w:rsid w:val="00D32E6C"/>
    <w:rPr>
      <w:vertAlign w:val="superscript"/>
    </w:rPr>
  </w:style>
  <w:style w:type="table" w:customStyle="1" w:styleId="6">
    <w:name w:val="Сетка таблицы6"/>
    <w:basedOn w:val="a1"/>
    <w:next w:val="a7"/>
    <w:uiPriority w:val="39"/>
    <w:rsid w:val="00D3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D3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E6C"/>
    <w:rPr>
      <w:rFonts w:ascii="Tahoma" w:hAnsi="Tahoma" w:cs="Tahoma"/>
      <w:sz w:val="16"/>
      <w:szCs w:val="16"/>
    </w:rPr>
  </w:style>
  <w:style w:type="table" w:customStyle="1" w:styleId="61">
    <w:name w:val="Сетка таблицы61"/>
    <w:basedOn w:val="a1"/>
    <w:next w:val="a7"/>
    <w:uiPriority w:val="39"/>
    <w:rsid w:val="00922DE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1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0EEB"/>
  </w:style>
  <w:style w:type="paragraph" w:styleId="ac">
    <w:name w:val="footer"/>
    <w:basedOn w:val="a"/>
    <w:link w:val="ad"/>
    <w:uiPriority w:val="99"/>
    <w:unhideWhenUsed/>
    <w:rsid w:val="00710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rpirk.ru/upload/frpdocs/06.21_Komplektuyushchie_izdeliya.pdf" TargetMode="External"/><Relationship Id="rId1" Type="http://schemas.openxmlformats.org/officeDocument/2006/relationships/hyperlink" Target="https://frprf.ru/download/usloviya-programmy-_proekty-razvit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BE9859C4</Template>
  <TotalTime>1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Наталия Юрьевна</dc:creator>
  <cp:keywords/>
  <dc:description/>
  <cp:lastModifiedBy>Кузнецова Наталия Юрьевна</cp:lastModifiedBy>
  <cp:revision>2</cp:revision>
  <dcterms:created xsi:type="dcterms:W3CDTF">2024-11-05T14:43:00Z</dcterms:created>
  <dcterms:modified xsi:type="dcterms:W3CDTF">2024-11-05T14:43:00Z</dcterms:modified>
</cp:coreProperties>
</file>