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C12" w:rsidRPr="009E3373" w:rsidRDefault="007A3C12" w:rsidP="00536F69">
      <w:pPr>
        <w:spacing w:after="200" w:line="276" w:lineRule="auto"/>
        <w:ind w:firstLine="709"/>
        <w:jc w:val="center"/>
        <w:rPr>
          <w:rFonts w:eastAsiaTheme="minorHAnsi"/>
          <w:b/>
          <w:lang w:eastAsia="en-US"/>
        </w:rPr>
      </w:pPr>
      <w:r w:rsidRPr="009E3373">
        <w:rPr>
          <w:rFonts w:eastAsia="Calibri"/>
          <w:b/>
          <w:bCs/>
          <w:lang w:eastAsia="en-US"/>
        </w:rPr>
        <w:t xml:space="preserve">2. </w:t>
      </w:r>
      <w:r w:rsidR="005C57F5" w:rsidRPr="009E3373">
        <w:rPr>
          <w:rFonts w:eastAsiaTheme="minorHAnsi"/>
          <w:b/>
          <w:lang w:eastAsia="en-US"/>
        </w:rPr>
        <w:t xml:space="preserve">Анализ параметров прогноза социально-экономического развития Российской Федерации </w:t>
      </w:r>
      <w:r w:rsidR="007237E4" w:rsidRPr="009E3373">
        <w:rPr>
          <w:rFonts w:eastAsiaTheme="minorHAnsi"/>
          <w:b/>
          <w:lang w:eastAsia="en-US"/>
        </w:rPr>
        <w:t>в</w:t>
      </w:r>
      <w:r w:rsidR="005C57F5" w:rsidRPr="009E3373">
        <w:rPr>
          <w:rFonts w:eastAsiaTheme="minorHAnsi"/>
          <w:b/>
          <w:lang w:eastAsia="en-US"/>
        </w:rPr>
        <w:t xml:space="preserve"> 202</w:t>
      </w:r>
      <w:r w:rsidR="009E3373" w:rsidRPr="009E3373">
        <w:rPr>
          <w:rFonts w:eastAsiaTheme="minorHAnsi"/>
          <w:b/>
          <w:lang w:eastAsia="en-US"/>
        </w:rPr>
        <w:t>6</w:t>
      </w:r>
      <w:r w:rsidR="005C57F5" w:rsidRPr="009E3373">
        <w:rPr>
          <w:rFonts w:eastAsiaTheme="minorHAnsi"/>
          <w:b/>
          <w:lang w:eastAsia="en-US"/>
        </w:rPr>
        <w:t xml:space="preserve"> год и на плановый период 202</w:t>
      </w:r>
      <w:r w:rsidR="009E3373" w:rsidRPr="009E3373">
        <w:rPr>
          <w:rFonts w:eastAsiaTheme="minorHAnsi"/>
          <w:b/>
          <w:lang w:eastAsia="en-US"/>
        </w:rPr>
        <w:t>7</w:t>
      </w:r>
      <w:r w:rsidR="005C57F5" w:rsidRPr="009E3373">
        <w:rPr>
          <w:rFonts w:eastAsiaTheme="minorHAnsi"/>
          <w:b/>
          <w:lang w:eastAsia="en-US"/>
        </w:rPr>
        <w:t xml:space="preserve"> и 202</w:t>
      </w:r>
      <w:r w:rsidR="009E3373" w:rsidRPr="009E3373">
        <w:rPr>
          <w:rFonts w:eastAsiaTheme="minorHAnsi"/>
          <w:b/>
          <w:lang w:eastAsia="en-US"/>
        </w:rPr>
        <w:t>8</w:t>
      </w:r>
      <w:r w:rsidR="005C57F5" w:rsidRPr="009E3373">
        <w:rPr>
          <w:rFonts w:eastAsiaTheme="minorHAnsi"/>
          <w:b/>
          <w:lang w:eastAsia="en-US"/>
        </w:rPr>
        <w:t xml:space="preserve"> годов, используемого для составления проекта федерального бюджета на 202</w:t>
      </w:r>
      <w:r w:rsidR="009E3373" w:rsidRPr="009E3373">
        <w:rPr>
          <w:rFonts w:eastAsiaTheme="minorHAnsi"/>
          <w:b/>
          <w:lang w:eastAsia="en-US"/>
        </w:rPr>
        <w:t>6</w:t>
      </w:r>
      <w:r w:rsidR="005C57F5" w:rsidRPr="009E3373">
        <w:rPr>
          <w:rFonts w:eastAsiaTheme="minorHAnsi"/>
          <w:b/>
          <w:lang w:eastAsia="en-US"/>
        </w:rPr>
        <w:t xml:space="preserve"> год и на плановый </w:t>
      </w:r>
      <w:r w:rsidR="004C025B">
        <w:rPr>
          <w:rFonts w:eastAsiaTheme="minorHAnsi"/>
          <w:b/>
          <w:lang w:eastAsia="en-US"/>
        </w:rPr>
        <w:br/>
      </w:r>
      <w:r w:rsidR="005C57F5" w:rsidRPr="009E3373">
        <w:rPr>
          <w:rFonts w:eastAsiaTheme="minorHAnsi"/>
          <w:b/>
          <w:lang w:eastAsia="en-US"/>
        </w:rPr>
        <w:t>период 202</w:t>
      </w:r>
      <w:r w:rsidR="009E3373" w:rsidRPr="009E3373">
        <w:rPr>
          <w:rFonts w:eastAsiaTheme="minorHAnsi"/>
          <w:b/>
          <w:lang w:eastAsia="en-US"/>
        </w:rPr>
        <w:t>7</w:t>
      </w:r>
      <w:r w:rsidR="005C57F5" w:rsidRPr="009E3373">
        <w:rPr>
          <w:rFonts w:eastAsiaTheme="minorHAnsi"/>
          <w:b/>
          <w:lang w:eastAsia="en-US"/>
        </w:rPr>
        <w:t xml:space="preserve"> и 202</w:t>
      </w:r>
      <w:r w:rsidR="009E3373" w:rsidRPr="009E3373">
        <w:rPr>
          <w:rFonts w:eastAsiaTheme="minorHAnsi"/>
          <w:b/>
          <w:lang w:eastAsia="en-US"/>
        </w:rPr>
        <w:t>8</w:t>
      </w:r>
      <w:r w:rsidR="007237E4" w:rsidRPr="009E3373">
        <w:rPr>
          <w:rFonts w:eastAsiaTheme="minorHAnsi"/>
          <w:b/>
          <w:lang w:eastAsia="en-US"/>
        </w:rPr>
        <w:t> </w:t>
      </w:r>
      <w:r w:rsidR="005C57F5" w:rsidRPr="009E3373">
        <w:rPr>
          <w:rFonts w:eastAsiaTheme="minorHAnsi"/>
          <w:b/>
          <w:lang w:eastAsia="en-US"/>
        </w:rPr>
        <w:t>годов</w:t>
      </w:r>
    </w:p>
    <w:p w:rsidR="009E3373" w:rsidRPr="009E3373" w:rsidRDefault="004D6DB1" w:rsidP="009E3373">
      <w:pPr>
        <w:widowControl w:val="0"/>
        <w:overflowPunct w:val="0"/>
        <w:autoSpaceDE w:val="0"/>
        <w:autoSpaceDN w:val="0"/>
        <w:adjustRightInd w:val="0"/>
        <w:spacing w:line="360" w:lineRule="auto"/>
        <w:ind w:firstLine="709"/>
        <w:jc w:val="both"/>
        <w:textAlignment w:val="baseline"/>
        <w:rPr>
          <w:rFonts w:eastAsiaTheme="minorEastAsia"/>
        </w:rPr>
      </w:pPr>
      <w:r w:rsidRPr="009E3373">
        <w:rPr>
          <w:rFonts w:eastAsiaTheme="minorEastAsia"/>
          <w:b/>
        </w:rPr>
        <w:t>2.1.</w:t>
      </w:r>
      <w:r w:rsidRPr="009E3373">
        <w:rPr>
          <w:rFonts w:eastAsiaTheme="minorEastAsia"/>
        </w:rPr>
        <w:t xml:space="preserve"> </w:t>
      </w:r>
      <w:r w:rsidR="009E3373" w:rsidRPr="009E3373">
        <w:rPr>
          <w:rFonts w:eastAsiaTheme="minorEastAsia"/>
        </w:rPr>
        <w:t>Прогноз социально-экономического развития Российской Федерации на 2026</w:t>
      </w:r>
      <w:r w:rsidR="009E3373">
        <w:rPr>
          <w:rFonts w:eastAsiaTheme="minorEastAsia"/>
        </w:rPr>
        <w:t> </w:t>
      </w:r>
      <w:r w:rsidR="009E3373" w:rsidRPr="009E3373">
        <w:rPr>
          <w:rFonts w:eastAsiaTheme="minorEastAsia"/>
        </w:rPr>
        <w:t>год и на плановый период 2027 и 2028 годов (далее – Прогноз) разработан в двух вариантах</w:t>
      </w:r>
      <w:r w:rsidR="009E3373">
        <w:rPr>
          <w:rFonts w:eastAsiaTheme="minorEastAsia"/>
        </w:rPr>
        <w:t> </w:t>
      </w:r>
      <w:r w:rsidR="009E3373" w:rsidRPr="009E3373">
        <w:rPr>
          <w:rFonts w:eastAsiaTheme="minorEastAsia"/>
        </w:rPr>
        <w:t>– базовом и консервативном, что соответствует положениям постановления Правительства Российской Федерации от 14 ноября 2015</w:t>
      </w:r>
      <w:r w:rsidR="009E3373">
        <w:rPr>
          <w:rFonts w:eastAsiaTheme="minorEastAsia"/>
        </w:rPr>
        <w:t> </w:t>
      </w:r>
      <w:r w:rsidR="009E3373" w:rsidRPr="009E3373">
        <w:rPr>
          <w:rFonts w:eastAsiaTheme="minorEastAsia"/>
        </w:rPr>
        <w:t>г</w:t>
      </w:r>
      <w:r w:rsidR="009E3373">
        <w:rPr>
          <w:rFonts w:eastAsiaTheme="minorEastAsia"/>
        </w:rPr>
        <w:t>.</w:t>
      </w:r>
      <w:r w:rsidR="009E3373" w:rsidRPr="009E3373">
        <w:rPr>
          <w:rFonts w:eastAsiaTheme="minorEastAsia"/>
        </w:rPr>
        <w:t xml:space="preserve"> № 1234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утратившими силу некоторых актов Правительства </w:t>
      </w:r>
      <w:r w:rsidR="00794776">
        <w:rPr>
          <w:rFonts w:eastAsiaTheme="minorEastAsia"/>
        </w:rPr>
        <w:t>Российской Федерации» (далее – п</w:t>
      </w:r>
      <w:r w:rsidR="009E3373" w:rsidRPr="009E3373">
        <w:rPr>
          <w:rFonts w:eastAsiaTheme="minorEastAsia"/>
        </w:rPr>
        <w:t>остановление №</w:t>
      </w:r>
      <w:r w:rsidR="009E3373" w:rsidRPr="009E3373">
        <w:rPr>
          <w:rFonts w:eastAsiaTheme="minorEastAsia"/>
          <w:lang w:val="en-US"/>
        </w:rPr>
        <w:t> </w:t>
      </w:r>
      <w:r w:rsidR="009E3373" w:rsidRPr="009E3373">
        <w:rPr>
          <w:rFonts w:eastAsiaTheme="minorEastAsia"/>
        </w:rPr>
        <w:t>1234</w:t>
      </w:r>
      <w:r w:rsidR="004C025B">
        <w:rPr>
          <w:rFonts w:eastAsiaTheme="minorEastAsia"/>
        </w:rPr>
        <w:t>,</w:t>
      </w:r>
      <w:r w:rsidR="009E3373" w:rsidRPr="009E3373">
        <w:rPr>
          <w:rFonts w:eastAsiaTheme="minorEastAsia"/>
        </w:rPr>
        <w:t xml:space="preserve"> Порядок разработки прогноза).</w:t>
      </w:r>
    </w:p>
    <w:p w:rsidR="009E3373" w:rsidRPr="009E3373" w:rsidRDefault="009E3373" w:rsidP="009E3373">
      <w:pPr>
        <w:widowControl w:val="0"/>
        <w:overflowPunct w:val="0"/>
        <w:autoSpaceDE w:val="0"/>
        <w:autoSpaceDN w:val="0"/>
        <w:adjustRightInd w:val="0"/>
        <w:spacing w:line="360" w:lineRule="auto"/>
        <w:ind w:firstLine="709"/>
        <w:jc w:val="both"/>
        <w:textAlignment w:val="baseline"/>
        <w:rPr>
          <w:rFonts w:eastAsiaTheme="minorEastAsia"/>
        </w:rPr>
      </w:pPr>
      <w:r w:rsidRPr="009E3373">
        <w:rPr>
          <w:rFonts w:eastAsiaTheme="minorEastAsia"/>
        </w:rPr>
        <w:t>Прогноз разрабатывался Минэкономразвития России в условиях замедления роста российской экономики на фоне жесткой денежно-кредитной политики, ограничений на рынке труда и продолжающегося действия санкций.</w:t>
      </w:r>
    </w:p>
    <w:p w:rsidR="00E03692" w:rsidRPr="00E03692" w:rsidRDefault="00D046CD" w:rsidP="00E03692">
      <w:pPr>
        <w:widowControl w:val="0"/>
        <w:overflowPunct w:val="0"/>
        <w:autoSpaceDE w:val="0"/>
        <w:autoSpaceDN w:val="0"/>
        <w:adjustRightInd w:val="0"/>
        <w:spacing w:line="360" w:lineRule="auto"/>
        <w:ind w:firstLine="709"/>
        <w:jc w:val="both"/>
        <w:textAlignment w:val="baseline"/>
        <w:rPr>
          <w:rFonts w:eastAsiaTheme="minorEastAsia"/>
        </w:rPr>
      </w:pPr>
      <w:r w:rsidRPr="00794776">
        <w:rPr>
          <w:rFonts w:eastAsiaTheme="minorEastAsia"/>
          <w:b/>
        </w:rPr>
        <w:t>2.2.</w:t>
      </w:r>
      <w:r w:rsidRPr="00794776">
        <w:rPr>
          <w:rFonts w:eastAsiaTheme="minorEastAsia"/>
        </w:rPr>
        <w:t xml:space="preserve"> </w:t>
      </w:r>
      <w:r w:rsidR="00E03692" w:rsidRPr="00E03692">
        <w:rPr>
          <w:rFonts w:eastAsiaTheme="minorEastAsia"/>
        </w:rPr>
        <w:t>В части внешних условий в Прогноз заложены темпы роста мировой экономики, близкие к апрельским оценкам Международного валютного фонда</w:t>
      </w:r>
      <w:r w:rsidR="00E03692" w:rsidRPr="00E03692">
        <w:rPr>
          <w:rFonts w:eastAsiaTheme="minorEastAsia"/>
          <w:vertAlign w:val="superscript"/>
        </w:rPr>
        <w:footnoteReference w:id="1"/>
      </w:r>
      <w:r w:rsidR="00E03692" w:rsidRPr="00E03692">
        <w:rPr>
          <w:rFonts w:eastAsiaTheme="minorEastAsia"/>
        </w:rPr>
        <w:t xml:space="preserve">, которые предусматривают постепенное восстановление темпов </w:t>
      </w:r>
      <w:r w:rsidR="00E03692" w:rsidRPr="00E03692">
        <w:rPr>
          <w:rFonts w:eastAsiaTheme="minorEastAsia"/>
          <w:b/>
        </w:rPr>
        <w:t>роста мировой экономики</w:t>
      </w:r>
      <w:r w:rsidR="00E03692" w:rsidRPr="00E03692">
        <w:rPr>
          <w:rFonts w:eastAsiaTheme="minorEastAsia"/>
        </w:rPr>
        <w:t xml:space="preserve"> до 3,2 % в 2028 году. При этом сами значения в Прогнозе не представлены.</w:t>
      </w:r>
    </w:p>
    <w:p w:rsidR="00E03692" w:rsidRPr="00E03692" w:rsidRDefault="00E03692" w:rsidP="00E03692">
      <w:pPr>
        <w:widowControl w:val="0"/>
        <w:overflowPunct w:val="0"/>
        <w:autoSpaceDE w:val="0"/>
        <w:autoSpaceDN w:val="0"/>
        <w:adjustRightInd w:val="0"/>
        <w:spacing w:line="360" w:lineRule="auto"/>
        <w:ind w:firstLine="709"/>
        <w:jc w:val="both"/>
        <w:textAlignment w:val="baseline"/>
        <w:rPr>
          <w:rFonts w:eastAsiaTheme="minorEastAsia"/>
        </w:rPr>
      </w:pPr>
      <w:r w:rsidRPr="00E03692">
        <w:rPr>
          <w:rFonts w:eastAsiaTheme="minorEastAsia"/>
        </w:rPr>
        <w:t>Наиболее актуальные прогнозы мировой экономики приведены в следующей таблице.</w:t>
      </w:r>
    </w:p>
    <w:p w:rsidR="00794776" w:rsidRPr="00E03692" w:rsidRDefault="00E03692" w:rsidP="00E03692">
      <w:pPr>
        <w:widowControl w:val="0"/>
        <w:overflowPunct w:val="0"/>
        <w:autoSpaceDE w:val="0"/>
        <w:autoSpaceDN w:val="0"/>
        <w:adjustRightInd w:val="0"/>
        <w:spacing w:line="360" w:lineRule="auto"/>
        <w:ind w:firstLine="709"/>
        <w:jc w:val="right"/>
        <w:textAlignment w:val="baseline"/>
        <w:rPr>
          <w:rFonts w:eastAsiaTheme="minorEastAsia"/>
          <w:sz w:val="18"/>
          <w:szCs w:val="18"/>
        </w:rPr>
      </w:pPr>
      <w:r w:rsidRPr="00E03692">
        <w:rPr>
          <w:rFonts w:eastAsiaTheme="minorEastAsia"/>
          <w:sz w:val="18"/>
          <w:szCs w:val="18"/>
        </w:rPr>
        <w:t>(%)</w:t>
      </w:r>
    </w:p>
    <w:tbl>
      <w:tblPr>
        <w:tblStyle w:val="91"/>
        <w:tblW w:w="0" w:type="auto"/>
        <w:jc w:val="center"/>
        <w:tblLook w:val="04A0" w:firstRow="1" w:lastRow="0" w:firstColumn="1" w:lastColumn="0" w:noHBand="0" w:noVBand="1"/>
      </w:tblPr>
      <w:tblGrid>
        <w:gridCol w:w="3750"/>
        <w:gridCol w:w="1207"/>
        <w:gridCol w:w="992"/>
        <w:gridCol w:w="998"/>
        <w:gridCol w:w="994"/>
        <w:gridCol w:w="990"/>
        <w:gridCol w:w="987"/>
      </w:tblGrid>
      <w:tr w:rsidR="00E03692" w:rsidRPr="00E03692" w:rsidTr="00117315">
        <w:trPr>
          <w:tblHeader/>
          <w:jc w:val="center"/>
        </w:trPr>
        <w:tc>
          <w:tcPr>
            <w:tcW w:w="3750" w:type="dxa"/>
          </w:tcPr>
          <w:p w:rsidR="00E03692" w:rsidRPr="00E03692" w:rsidRDefault="00E03692" w:rsidP="002F56C6">
            <w:pPr>
              <w:jc w:val="center"/>
              <w:rPr>
                <w:rFonts w:eastAsiaTheme="minorHAnsi"/>
                <w:b/>
                <w:sz w:val="18"/>
                <w:szCs w:val="18"/>
                <w:lang w:eastAsia="en-US"/>
              </w:rPr>
            </w:pPr>
            <w:r w:rsidRPr="00E03692">
              <w:rPr>
                <w:rFonts w:eastAsiaTheme="minorHAnsi"/>
                <w:b/>
                <w:sz w:val="18"/>
                <w:szCs w:val="18"/>
                <w:lang w:eastAsia="en-US"/>
              </w:rPr>
              <w:t>Организация</w:t>
            </w:r>
          </w:p>
        </w:tc>
        <w:tc>
          <w:tcPr>
            <w:tcW w:w="1207" w:type="dxa"/>
          </w:tcPr>
          <w:p w:rsidR="00E03692" w:rsidRPr="00E03692" w:rsidRDefault="00E03692" w:rsidP="002F56C6">
            <w:pPr>
              <w:jc w:val="center"/>
              <w:rPr>
                <w:rFonts w:eastAsiaTheme="minorHAnsi"/>
                <w:b/>
                <w:sz w:val="18"/>
                <w:szCs w:val="18"/>
                <w:lang w:eastAsia="en-US"/>
              </w:rPr>
            </w:pPr>
            <w:r w:rsidRPr="00E03692">
              <w:rPr>
                <w:rFonts w:eastAsiaTheme="minorHAnsi"/>
                <w:b/>
                <w:sz w:val="18"/>
                <w:szCs w:val="18"/>
                <w:lang w:eastAsia="en-US"/>
              </w:rPr>
              <w:t>Дата</w:t>
            </w:r>
          </w:p>
        </w:tc>
        <w:tc>
          <w:tcPr>
            <w:tcW w:w="992" w:type="dxa"/>
            <w:vAlign w:val="center"/>
          </w:tcPr>
          <w:p w:rsidR="00E03692" w:rsidRPr="00E03692" w:rsidRDefault="00E03692" w:rsidP="002F56C6">
            <w:pPr>
              <w:jc w:val="center"/>
              <w:rPr>
                <w:rFonts w:eastAsiaTheme="minorHAnsi"/>
                <w:b/>
                <w:sz w:val="18"/>
                <w:szCs w:val="18"/>
                <w:lang w:eastAsia="en-US"/>
              </w:rPr>
            </w:pPr>
            <w:r w:rsidRPr="00E03692">
              <w:rPr>
                <w:rFonts w:eastAsiaTheme="minorHAnsi"/>
                <w:b/>
                <w:sz w:val="18"/>
                <w:szCs w:val="18"/>
                <w:lang w:eastAsia="en-US"/>
              </w:rPr>
              <w:t>2024</w:t>
            </w:r>
          </w:p>
        </w:tc>
        <w:tc>
          <w:tcPr>
            <w:tcW w:w="998" w:type="dxa"/>
            <w:vAlign w:val="center"/>
          </w:tcPr>
          <w:p w:rsidR="00E03692" w:rsidRPr="00E03692" w:rsidRDefault="00E03692" w:rsidP="002F56C6">
            <w:pPr>
              <w:jc w:val="center"/>
              <w:rPr>
                <w:rFonts w:eastAsiaTheme="minorHAnsi"/>
                <w:b/>
                <w:sz w:val="18"/>
                <w:szCs w:val="18"/>
                <w:lang w:eastAsia="en-US"/>
              </w:rPr>
            </w:pPr>
            <w:r w:rsidRPr="00E03692">
              <w:rPr>
                <w:rFonts w:eastAsiaTheme="minorHAnsi"/>
                <w:b/>
                <w:sz w:val="18"/>
                <w:szCs w:val="18"/>
                <w:lang w:eastAsia="en-US"/>
              </w:rPr>
              <w:t>2025</w:t>
            </w:r>
          </w:p>
        </w:tc>
        <w:tc>
          <w:tcPr>
            <w:tcW w:w="994" w:type="dxa"/>
          </w:tcPr>
          <w:p w:rsidR="00E03692" w:rsidRPr="00E03692" w:rsidRDefault="00E03692" w:rsidP="002F56C6">
            <w:pPr>
              <w:jc w:val="center"/>
              <w:rPr>
                <w:rFonts w:eastAsiaTheme="minorHAnsi"/>
                <w:b/>
                <w:sz w:val="18"/>
                <w:szCs w:val="18"/>
                <w:lang w:eastAsia="en-US"/>
              </w:rPr>
            </w:pPr>
            <w:r w:rsidRPr="00E03692">
              <w:rPr>
                <w:rFonts w:eastAsiaTheme="minorHAnsi"/>
                <w:b/>
                <w:sz w:val="18"/>
                <w:szCs w:val="18"/>
                <w:lang w:eastAsia="en-US"/>
              </w:rPr>
              <w:t>2026</w:t>
            </w:r>
          </w:p>
        </w:tc>
        <w:tc>
          <w:tcPr>
            <w:tcW w:w="990" w:type="dxa"/>
          </w:tcPr>
          <w:p w:rsidR="00E03692" w:rsidRPr="00E03692" w:rsidRDefault="00E03692" w:rsidP="002F56C6">
            <w:pPr>
              <w:jc w:val="center"/>
              <w:rPr>
                <w:rFonts w:eastAsiaTheme="minorHAnsi"/>
                <w:b/>
                <w:sz w:val="18"/>
                <w:szCs w:val="18"/>
                <w:lang w:eastAsia="en-US"/>
              </w:rPr>
            </w:pPr>
            <w:r w:rsidRPr="00E03692">
              <w:rPr>
                <w:rFonts w:eastAsiaTheme="minorHAnsi"/>
                <w:b/>
                <w:sz w:val="18"/>
                <w:szCs w:val="18"/>
                <w:lang w:val="en-US" w:eastAsia="en-US"/>
              </w:rPr>
              <w:t>202</w:t>
            </w:r>
            <w:r w:rsidRPr="00E03692">
              <w:rPr>
                <w:rFonts w:eastAsiaTheme="minorHAnsi"/>
                <w:b/>
                <w:sz w:val="18"/>
                <w:szCs w:val="18"/>
                <w:lang w:eastAsia="en-US"/>
              </w:rPr>
              <w:t>7</w:t>
            </w:r>
          </w:p>
        </w:tc>
        <w:tc>
          <w:tcPr>
            <w:tcW w:w="987" w:type="dxa"/>
          </w:tcPr>
          <w:p w:rsidR="00E03692" w:rsidRPr="00E03692" w:rsidRDefault="00E03692" w:rsidP="002F56C6">
            <w:pPr>
              <w:jc w:val="center"/>
              <w:rPr>
                <w:rFonts w:eastAsiaTheme="minorHAnsi"/>
                <w:b/>
                <w:sz w:val="18"/>
                <w:szCs w:val="18"/>
                <w:lang w:eastAsia="en-US"/>
              </w:rPr>
            </w:pPr>
            <w:r w:rsidRPr="00E03692">
              <w:rPr>
                <w:rFonts w:eastAsiaTheme="minorHAnsi"/>
                <w:b/>
                <w:sz w:val="18"/>
                <w:szCs w:val="18"/>
                <w:lang w:val="en-US" w:eastAsia="en-US"/>
              </w:rPr>
              <w:t>202</w:t>
            </w:r>
            <w:r w:rsidRPr="00E03692">
              <w:rPr>
                <w:rFonts w:eastAsiaTheme="minorHAnsi"/>
                <w:b/>
                <w:sz w:val="18"/>
                <w:szCs w:val="18"/>
                <w:lang w:eastAsia="en-US"/>
              </w:rPr>
              <w:t>8</w:t>
            </w:r>
          </w:p>
        </w:tc>
      </w:tr>
      <w:tr w:rsidR="00E03692" w:rsidRPr="00E03692" w:rsidTr="00117315">
        <w:trPr>
          <w:jc w:val="center"/>
        </w:trPr>
        <w:tc>
          <w:tcPr>
            <w:tcW w:w="9918" w:type="dxa"/>
            <w:gridSpan w:val="7"/>
          </w:tcPr>
          <w:p w:rsidR="00E03692" w:rsidRPr="00E03692" w:rsidRDefault="00E03692" w:rsidP="002F56C6">
            <w:pPr>
              <w:rPr>
                <w:rFonts w:eastAsiaTheme="minorHAnsi"/>
                <w:b/>
                <w:sz w:val="18"/>
                <w:szCs w:val="18"/>
                <w:lang w:eastAsia="en-US"/>
              </w:rPr>
            </w:pPr>
            <w:r w:rsidRPr="00E03692">
              <w:rPr>
                <w:rFonts w:eastAsiaTheme="minorHAnsi"/>
                <w:b/>
                <w:sz w:val="18"/>
                <w:szCs w:val="18"/>
                <w:lang w:eastAsia="en-US"/>
              </w:rPr>
              <w:t>международные организации</w:t>
            </w:r>
          </w:p>
        </w:tc>
      </w:tr>
      <w:tr w:rsidR="00E03692" w:rsidRPr="00E03692" w:rsidTr="00117315">
        <w:trPr>
          <w:jc w:val="center"/>
        </w:trPr>
        <w:tc>
          <w:tcPr>
            <w:tcW w:w="3750" w:type="dxa"/>
          </w:tcPr>
          <w:p w:rsidR="00E03692" w:rsidRPr="00E03692" w:rsidRDefault="00E03692" w:rsidP="002F56C6">
            <w:pPr>
              <w:jc w:val="both"/>
              <w:rPr>
                <w:rFonts w:eastAsiaTheme="minorHAnsi"/>
                <w:sz w:val="18"/>
                <w:szCs w:val="18"/>
                <w:lang w:eastAsia="en-US"/>
              </w:rPr>
            </w:pPr>
            <w:r w:rsidRPr="00E03692">
              <w:rPr>
                <w:rFonts w:eastAsiaTheme="minorHAnsi"/>
                <w:sz w:val="18"/>
                <w:szCs w:val="18"/>
                <w:lang w:eastAsia="en-US"/>
              </w:rPr>
              <w:t>Всемирный банк</w:t>
            </w:r>
          </w:p>
        </w:tc>
        <w:tc>
          <w:tcPr>
            <w:tcW w:w="1207" w:type="dxa"/>
          </w:tcPr>
          <w:p w:rsidR="00E03692" w:rsidRPr="00E03692" w:rsidRDefault="00E03692" w:rsidP="002F56C6">
            <w:pPr>
              <w:rPr>
                <w:rFonts w:eastAsiaTheme="minorHAnsi"/>
                <w:sz w:val="18"/>
                <w:szCs w:val="18"/>
                <w:lang w:eastAsia="en-US"/>
              </w:rPr>
            </w:pPr>
            <w:r w:rsidRPr="00E03692">
              <w:rPr>
                <w:rFonts w:eastAsiaTheme="minorHAnsi"/>
                <w:sz w:val="18"/>
                <w:szCs w:val="18"/>
                <w:lang w:val="en-US" w:eastAsia="en-US"/>
              </w:rPr>
              <w:t>1</w:t>
            </w:r>
            <w:r w:rsidRPr="00E03692">
              <w:rPr>
                <w:rFonts w:eastAsiaTheme="minorHAnsi"/>
                <w:sz w:val="18"/>
                <w:szCs w:val="18"/>
                <w:lang w:eastAsia="en-US"/>
              </w:rPr>
              <w:t>0.06.2025</w:t>
            </w:r>
          </w:p>
        </w:tc>
        <w:tc>
          <w:tcPr>
            <w:tcW w:w="992"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2,8</w:t>
            </w:r>
          </w:p>
        </w:tc>
        <w:tc>
          <w:tcPr>
            <w:tcW w:w="998"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2,3</w:t>
            </w:r>
          </w:p>
        </w:tc>
        <w:tc>
          <w:tcPr>
            <w:tcW w:w="994"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2,4</w:t>
            </w:r>
          </w:p>
        </w:tc>
        <w:tc>
          <w:tcPr>
            <w:tcW w:w="990"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2,6</w:t>
            </w:r>
          </w:p>
        </w:tc>
        <w:tc>
          <w:tcPr>
            <w:tcW w:w="987" w:type="dxa"/>
            <w:shd w:val="clear" w:color="FFFFFF" w:fill="FFFFFF"/>
          </w:tcPr>
          <w:p w:rsidR="00E03692" w:rsidRPr="00E03692" w:rsidRDefault="00E03692" w:rsidP="002F56C6">
            <w:pPr>
              <w:jc w:val="right"/>
              <w:rPr>
                <w:rFonts w:eastAsiaTheme="minorHAnsi"/>
                <w:color w:val="000000"/>
                <w:sz w:val="18"/>
                <w:szCs w:val="18"/>
                <w:lang w:eastAsia="en-US"/>
              </w:rPr>
            </w:pPr>
          </w:p>
        </w:tc>
      </w:tr>
      <w:tr w:rsidR="00E03692" w:rsidRPr="00E03692" w:rsidTr="00117315">
        <w:trPr>
          <w:jc w:val="center"/>
        </w:trPr>
        <w:tc>
          <w:tcPr>
            <w:tcW w:w="3750" w:type="dxa"/>
          </w:tcPr>
          <w:p w:rsidR="00E03692" w:rsidRPr="00E03692" w:rsidRDefault="00E03692" w:rsidP="002F56C6">
            <w:pPr>
              <w:jc w:val="both"/>
              <w:rPr>
                <w:rFonts w:eastAsiaTheme="minorHAnsi"/>
                <w:sz w:val="18"/>
                <w:szCs w:val="18"/>
                <w:lang w:eastAsia="en-US"/>
              </w:rPr>
            </w:pPr>
            <w:r w:rsidRPr="00E03692">
              <w:rPr>
                <w:rFonts w:eastAsiaTheme="minorHAnsi"/>
                <w:sz w:val="18"/>
                <w:szCs w:val="18"/>
                <w:lang w:eastAsia="en-US"/>
              </w:rPr>
              <w:t>Международный валютный фонд</w:t>
            </w:r>
          </w:p>
        </w:tc>
        <w:tc>
          <w:tcPr>
            <w:tcW w:w="1207" w:type="dxa"/>
          </w:tcPr>
          <w:p w:rsidR="00E03692" w:rsidRPr="00E03692" w:rsidRDefault="00E03692" w:rsidP="002F56C6">
            <w:pPr>
              <w:rPr>
                <w:rFonts w:eastAsiaTheme="minorHAnsi"/>
                <w:color w:val="000000"/>
                <w:sz w:val="18"/>
                <w:szCs w:val="18"/>
                <w:lang w:eastAsia="en-US"/>
              </w:rPr>
            </w:pPr>
            <w:r w:rsidRPr="00E03692">
              <w:rPr>
                <w:rFonts w:eastAsiaTheme="minorHAnsi"/>
                <w:color w:val="000000"/>
                <w:sz w:val="18"/>
                <w:szCs w:val="18"/>
                <w:lang w:val="en-US" w:eastAsia="en-US"/>
              </w:rPr>
              <w:t>22</w:t>
            </w:r>
            <w:r w:rsidRPr="00E03692">
              <w:rPr>
                <w:rFonts w:eastAsiaTheme="minorHAnsi"/>
                <w:color w:val="000000"/>
                <w:sz w:val="18"/>
                <w:szCs w:val="18"/>
                <w:lang w:eastAsia="en-US"/>
              </w:rPr>
              <w:t>.04.2025</w:t>
            </w:r>
          </w:p>
        </w:tc>
        <w:tc>
          <w:tcPr>
            <w:tcW w:w="992" w:type="dxa"/>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3,3</w:t>
            </w:r>
          </w:p>
        </w:tc>
        <w:tc>
          <w:tcPr>
            <w:tcW w:w="998" w:type="dxa"/>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2,8</w:t>
            </w:r>
          </w:p>
        </w:tc>
        <w:tc>
          <w:tcPr>
            <w:tcW w:w="994" w:type="dxa"/>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3,0</w:t>
            </w:r>
          </w:p>
        </w:tc>
        <w:tc>
          <w:tcPr>
            <w:tcW w:w="990" w:type="dxa"/>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3,2</w:t>
            </w:r>
          </w:p>
        </w:tc>
        <w:tc>
          <w:tcPr>
            <w:tcW w:w="987" w:type="dxa"/>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3,2</w:t>
            </w:r>
          </w:p>
        </w:tc>
      </w:tr>
      <w:tr w:rsidR="00E03692" w:rsidRPr="00E03692" w:rsidTr="00117315">
        <w:trPr>
          <w:jc w:val="center"/>
        </w:trPr>
        <w:tc>
          <w:tcPr>
            <w:tcW w:w="3750" w:type="dxa"/>
          </w:tcPr>
          <w:p w:rsidR="00E03692" w:rsidRPr="00E03692" w:rsidRDefault="00E03692" w:rsidP="002F56C6">
            <w:pPr>
              <w:jc w:val="both"/>
              <w:rPr>
                <w:rFonts w:eastAsiaTheme="minorHAnsi"/>
                <w:sz w:val="18"/>
                <w:szCs w:val="18"/>
                <w:lang w:eastAsia="en-US"/>
              </w:rPr>
            </w:pPr>
            <w:r w:rsidRPr="00E03692">
              <w:rPr>
                <w:rFonts w:eastAsiaTheme="minorHAnsi"/>
                <w:sz w:val="18"/>
                <w:szCs w:val="18"/>
                <w:lang w:eastAsia="en-US"/>
              </w:rPr>
              <w:t>ОЭСР</w:t>
            </w:r>
          </w:p>
        </w:tc>
        <w:tc>
          <w:tcPr>
            <w:tcW w:w="1207" w:type="dxa"/>
          </w:tcPr>
          <w:p w:rsidR="00E03692" w:rsidRPr="00E03692" w:rsidRDefault="00E03692" w:rsidP="002F56C6">
            <w:pPr>
              <w:rPr>
                <w:rFonts w:eastAsiaTheme="minorHAnsi"/>
                <w:color w:val="000000"/>
                <w:sz w:val="18"/>
                <w:szCs w:val="18"/>
                <w:lang w:eastAsia="en-US"/>
              </w:rPr>
            </w:pPr>
            <w:r w:rsidRPr="00E03692">
              <w:rPr>
                <w:rFonts w:eastAsiaTheme="minorHAnsi"/>
                <w:color w:val="000000"/>
                <w:sz w:val="18"/>
                <w:szCs w:val="18"/>
                <w:lang w:eastAsia="en-US"/>
              </w:rPr>
              <w:t>23.09.2025</w:t>
            </w:r>
          </w:p>
        </w:tc>
        <w:tc>
          <w:tcPr>
            <w:tcW w:w="992" w:type="dxa"/>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3,3</w:t>
            </w:r>
          </w:p>
        </w:tc>
        <w:tc>
          <w:tcPr>
            <w:tcW w:w="998" w:type="dxa"/>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3,2</w:t>
            </w:r>
          </w:p>
        </w:tc>
        <w:tc>
          <w:tcPr>
            <w:tcW w:w="994" w:type="dxa"/>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2,9</w:t>
            </w:r>
          </w:p>
        </w:tc>
        <w:tc>
          <w:tcPr>
            <w:tcW w:w="990" w:type="dxa"/>
          </w:tcPr>
          <w:p w:rsidR="00E03692" w:rsidRPr="00E03692" w:rsidRDefault="00E03692" w:rsidP="002F56C6">
            <w:pPr>
              <w:jc w:val="right"/>
              <w:rPr>
                <w:rFonts w:eastAsiaTheme="minorHAnsi"/>
                <w:color w:val="000000"/>
                <w:sz w:val="18"/>
                <w:szCs w:val="18"/>
                <w:lang w:eastAsia="en-US"/>
              </w:rPr>
            </w:pPr>
          </w:p>
        </w:tc>
        <w:tc>
          <w:tcPr>
            <w:tcW w:w="987" w:type="dxa"/>
          </w:tcPr>
          <w:p w:rsidR="00E03692" w:rsidRPr="00E03692" w:rsidRDefault="00E03692" w:rsidP="002F56C6">
            <w:pPr>
              <w:jc w:val="right"/>
              <w:rPr>
                <w:rFonts w:eastAsiaTheme="minorHAnsi"/>
                <w:color w:val="000000"/>
                <w:sz w:val="18"/>
                <w:szCs w:val="18"/>
                <w:lang w:eastAsia="en-US"/>
              </w:rPr>
            </w:pPr>
          </w:p>
        </w:tc>
      </w:tr>
      <w:tr w:rsidR="00E03692" w:rsidRPr="00E03692" w:rsidTr="00117315">
        <w:trPr>
          <w:jc w:val="center"/>
        </w:trPr>
        <w:tc>
          <w:tcPr>
            <w:tcW w:w="3750" w:type="dxa"/>
          </w:tcPr>
          <w:p w:rsidR="00E03692" w:rsidRPr="00E03692" w:rsidRDefault="00E03692" w:rsidP="002F56C6">
            <w:pPr>
              <w:jc w:val="both"/>
              <w:rPr>
                <w:rFonts w:eastAsiaTheme="minorHAnsi"/>
                <w:sz w:val="18"/>
                <w:szCs w:val="18"/>
                <w:lang w:eastAsia="en-US"/>
              </w:rPr>
            </w:pPr>
            <w:r w:rsidRPr="00E03692">
              <w:rPr>
                <w:rFonts w:eastAsiaTheme="minorHAnsi"/>
                <w:sz w:val="18"/>
                <w:szCs w:val="18"/>
                <w:lang w:eastAsia="en-US"/>
              </w:rPr>
              <w:t>ООН</w:t>
            </w:r>
          </w:p>
        </w:tc>
        <w:tc>
          <w:tcPr>
            <w:tcW w:w="1207" w:type="dxa"/>
          </w:tcPr>
          <w:p w:rsidR="00E03692" w:rsidRPr="00E03692" w:rsidRDefault="00E03692" w:rsidP="002F56C6">
            <w:pPr>
              <w:rPr>
                <w:rFonts w:eastAsiaTheme="minorHAnsi"/>
                <w:color w:val="000000"/>
                <w:sz w:val="18"/>
                <w:szCs w:val="18"/>
                <w:lang w:eastAsia="en-US"/>
              </w:rPr>
            </w:pPr>
            <w:r w:rsidRPr="00E03692">
              <w:rPr>
                <w:rFonts w:eastAsiaTheme="minorHAnsi"/>
                <w:color w:val="000000"/>
                <w:sz w:val="18"/>
                <w:szCs w:val="18"/>
                <w:lang w:eastAsia="en-US"/>
              </w:rPr>
              <w:t>17.05.2025</w:t>
            </w:r>
          </w:p>
        </w:tc>
        <w:tc>
          <w:tcPr>
            <w:tcW w:w="992"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2,9</w:t>
            </w:r>
          </w:p>
        </w:tc>
        <w:tc>
          <w:tcPr>
            <w:tcW w:w="998"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2,4</w:t>
            </w:r>
          </w:p>
        </w:tc>
        <w:tc>
          <w:tcPr>
            <w:tcW w:w="994"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2,5</w:t>
            </w:r>
          </w:p>
        </w:tc>
        <w:tc>
          <w:tcPr>
            <w:tcW w:w="990" w:type="dxa"/>
          </w:tcPr>
          <w:p w:rsidR="00E03692" w:rsidRPr="00E03692" w:rsidRDefault="00E03692" w:rsidP="002F56C6">
            <w:pPr>
              <w:jc w:val="right"/>
              <w:rPr>
                <w:rFonts w:eastAsiaTheme="minorHAnsi"/>
                <w:color w:val="000000"/>
                <w:sz w:val="18"/>
                <w:szCs w:val="18"/>
                <w:lang w:eastAsia="en-US"/>
              </w:rPr>
            </w:pPr>
          </w:p>
        </w:tc>
        <w:tc>
          <w:tcPr>
            <w:tcW w:w="987" w:type="dxa"/>
          </w:tcPr>
          <w:p w:rsidR="00E03692" w:rsidRPr="00E03692" w:rsidRDefault="00E03692" w:rsidP="002F56C6">
            <w:pPr>
              <w:jc w:val="right"/>
              <w:rPr>
                <w:rFonts w:eastAsiaTheme="minorHAnsi"/>
                <w:color w:val="000000"/>
                <w:sz w:val="18"/>
                <w:szCs w:val="18"/>
                <w:lang w:eastAsia="en-US"/>
              </w:rPr>
            </w:pPr>
          </w:p>
        </w:tc>
      </w:tr>
      <w:tr w:rsidR="00E03692" w:rsidRPr="00E03692" w:rsidTr="00117315">
        <w:trPr>
          <w:jc w:val="center"/>
        </w:trPr>
        <w:tc>
          <w:tcPr>
            <w:tcW w:w="3750" w:type="dxa"/>
          </w:tcPr>
          <w:p w:rsidR="00E03692" w:rsidRPr="00E03692" w:rsidRDefault="00E03692" w:rsidP="002F56C6">
            <w:pPr>
              <w:jc w:val="both"/>
              <w:rPr>
                <w:rFonts w:eastAsiaTheme="minorHAnsi"/>
                <w:sz w:val="18"/>
                <w:szCs w:val="18"/>
                <w:lang w:eastAsia="en-US"/>
              </w:rPr>
            </w:pPr>
            <w:r w:rsidRPr="00E03692">
              <w:rPr>
                <w:rFonts w:eastAsiaTheme="minorHAnsi"/>
                <w:sz w:val="18"/>
                <w:szCs w:val="18"/>
                <w:lang w:eastAsia="en-US"/>
              </w:rPr>
              <w:t>Европейская комиссия</w:t>
            </w:r>
          </w:p>
        </w:tc>
        <w:tc>
          <w:tcPr>
            <w:tcW w:w="1207" w:type="dxa"/>
          </w:tcPr>
          <w:p w:rsidR="00E03692" w:rsidRPr="00E03692" w:rsidRDefault="00E03692" w:rsidP="002F56C6">
            <w:pPr>
              <w:rPr>
                <w:rFonts w:eastAsiaTheme="minorHAnsi"/>
                <w:color w:val="000000"/>
                <w:sz w:val="18"/>
                <w:szCs w:val="18"/>
                <w:lang w:eastAsia="en-US"/>
              </w:rPr>
            </w:pPr>
            <w:r w:rsidRPr="00E03692">
              <w:rPr>
                <w:rFonts w:eastAsiaTheme="minorHAnsi"/>
                <w:color w:val="000000"/>
                <w:sz w:val="18"/>
                <w:szCs w:val="18"/>
                <w:lang w:eastAsia="en-US"/>
              </w:rPr>
              <w:t>19.05.2025</w:t>
            </w:r>
          </w:p>
        </w:tc>
        <w:tc>
          <w:tcPr>
            <w:tcW w:w="992"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3,3</w:t>
            </w:r>
          </w:p>
        </w:tc>
        <w:tc>
          <w:tcPr>
            <w:tcW w:w="998"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2,9</w:t>
            </w:r>
          </w:p>
        </w:tc>
        <w:tc>
          <w:tcPr>
            <w:tcW w:w="994" w:type="dxa"/>
            <w:vAlign w:val="bottom"/>
          </w:tcPr>
          <w:p w:rsidR="00E03692" w:rsidRPr="00E03692" w:rsidRDefault="00E03692" w:rsidP="002F56C6">
            <w:pPr>
              <w:jc w:val="right"/>
              <w:rPr>
                <w:rFonts w:eastAsiaTheme="minorHAnsi"/>
                <w:color w:val="000000"/>
                <w:sz w:val="18"/>
                <w:szCs w:val="18"/>
                <w:lang w:eastAsia="en-US"/>
              </w:rPr>
            </w:pPr>
            <w:r w:rsidRPr="00E03692">
              <w:rPr>
                <w:rFonts w:eastAsiaTheme="minorHAnsi"/>
                <w:color w:val="000000"/>
                <w:sz w:val="18"/>
                <w:szCs w:val="18"/>
                <w:lang w:eastAsia="en-US"/>
              </w:rPr>
              <w:t>3</w:t>
            </w:r>
          </w:p>
        </w:tc>
        <w:tc>
          <w:tcPr>
            <w:tcW w:w="990" w:type="dxa"/>
          </w:tcPr>
          <w:p w:rsidR="00E03692" w:rsidRPr="00E03692" w:rsidRDefault="00E03692" w:rsidP="002F56C6">
            <w:pPr>
              <w:jc w:val="right"/>
              <w:rPr>
                <w:rFonts w:eastAsiaTheme="minorHAnsi"/>
                <w:color w:val="000000"/>
                <w:sz w:val="18"/>
                <w:szCs w:val="18"/>
                <w:lang w:eastAsia="en-US"/>
              </w:rPr>
            </w:pPr>
          </w:p>
        </w:tc>
        <w:tc>
          <w:tcPr>
            <w:tcW w:w="987" w:type="dxa"/>
          </w:tcPr>
          <w:p w:rsidR="00E03692" w:rsidRPr="00E03692" w:rsidRDefault="00E03692" w:rsidP="002F56C6">
            <w:pPr>
              <w:jc w:val="right"/>
              <w:rPr>
                <w:rFonts w:eastAsiaTheme="minorHAnsi"/>
                <w:color w:val="000000"/>
                <w:sz w:val="18"/>
                <w:szCs w:val="18"/>
                <w:lang w:eastAsia="en-US"/>
              </w:rPr>
            </w:pPr>
          </w:p>
        </w:tc>
      </w:tr>
    </w:tbl>
    <w:p w:rsidR="005C57F5" w:rsidRPr="00E03692" w:rsidRDefault="005C57F5" w:rsidP="004D6DB1">
      <w:pPr>
        <w:widowControl w:val="0"/>
        <w:overflowPunct w:val="0"/>
        <w:autoSpaceDE w:val="0"/>
        <w:autoSpaceDN w:val="0"/>
        <w:adjustRightInd w:val="0"/>
        <w:spacing w:line="360" w:lineRule="auto"/>
        <w:ind w:firstLine="709"/>
        <w:jc w:val="both"/>
        <w:textAlignment w:val="baseline"/>
        <w:rPr>
          <w:rFonts w:eastAsiaTheme="minorEastAsia"/>
          <w:sz w:val="10"/>
          <w:szCs w:val="10"/>
        </w:rPr>
      </w:pPr>
    </w:p>
    <w:p w:rsidR="004054D2" w:rsidRPr="004054D2" w:rsidRDefault="004D6DB1" w:rsidP="004054D2">
      <w:pPr>
        <w:widowControl w:val="0"/>
        <w:overflowPunct w:val="0"/>
        <w:autoSpaceDE w:val="0"/>
        <w:autoSpaceDN w:val="0"/>
        <w:adjustRightInd w:val="0"/>
        <w:spacing w:line="360" w:lineRule="auto"/>
        <w:ind w:firstLine="709"/>
        <w:jc w:val="both"/>
        <w:textAlignment w:val="baseline"/>
        <w:rPr>
          <w:rFonts w:eastAsiaTheme="minorEastAsia"/>
        </w:rPr>
      </w:pPr>
      <w:r w:rsidRPr="00E03692">
        <w:rPr>
          <w:rFonts w:eastAsiaTheme="minorEastAsia"/>
          <w:b/>
        </w:rPr>
        <w:t>2.</w:t>
      </w:r>
      <w:r w:rsidR="00D046CD" w:rsidRPr="00E03692">
        <w:rPr>
          <w:rFonts w:eastAsiaTheme="minorEastAsia"/>
          <w:b/>
        </w:rPr>
        <w:t>3</w:t>
      </w:r>
      <w:r w:rsidRPr="00E03692">
        <w:rPr>
          <w:rFonts w:eastAsiaTheme="minorEastAsia"/>
          <w:b/>
        </w:rPr>
        <w:t>.</w:t>
      </w:r>
      <w:r w:rsidRPr="00E03692">
        <w:rPr>
          <w:rFonts w:eastAsiaTheme="minorEastAsia"/>
        </w:rPr>
        <w:t xml:space="preserve"> </w:t>
      </w:r>
      <w:r w:rsidR="004054D2" w:rsidRPr="004054D2">
        <w:rPr>
          <w:rFonts w:eastAsiaTheme="minorEastAsia"/>
        </w:rPr>
        <w:t xml:space="preserve">В Прогнозе впервые с 2022 года представлена </w:t>
      </w:r>
      <w:r w:rsidR="004054D2" w:rsidRPr="004054D2">
        <w:rPr>
          <w:rFonts w:eastAsiaTheme="minorEastAsia"/>
          <w:b/>
        </w:rPr>
        <w:t>цена на нефть марки «Юралс».</w:t>
      </w:r>
      <w:r w:rsidR="004054D2" w:rsidRPr="004054D2">
        <w:rPr>
          <w:rFonts w:eastAsiaTheme="minorEastAsia"/>
        </w:rPr>
        <w:t xml:space="preserve"> В</w:t>
      </w:r>
      <w:r w:rsidR="004054D2">
        <w:rPr>
          <w:rFonts w:eastAsiaTheme="minorEastAsia"/>
        </w:rPr>
        <w:t> </w:t>
      </w:r>
      <w:r w:rsidR="004054D2" w:rsidRPr="004054D2">
        <w:rPr>
          <w:rFonts w:eastAsiaTheme="minorEastAsia"/>
        </w:rPr>
        <w:t xml:space="preserve">2023 и 2024 годах вместо нее использовалась экспортная цена на нефть, динамика которой несопоставима с данными по цене на нефть марки «Юралс» из-за отличий в методологии расчета. </w:t>
      </w:r>
    </w:p>
    <w:p w:rsidR="004054D2" w:rsidRPr="004054D2" w:rsidRDefault="004054D2" w:rsidP="004054D2">
      <w:pPr>
        <w:widowControl w:val="0"/>
        <w:overflowPunct w:val="0"/>
        <w:autoSpaceDE w:val="0"/>
        <w:autoSpaceDN w:val="0"/>
        <w:adjustRightInd w:val="0"/>
        <w:spacing w:line="360" w:lineRule="auto"/>
        <w:ind w:firstLine="709"/>
        <w:jc w:val="both"/>
        <w:textAlignment w:val="baseline"/>
        <w:rPr>
          <w:rFonts w:eastAsiaTheme="minorEastAsia"/>
        </w:rPr>
      </w:pPr>
      <w:r w:rsidRPr="004054D2">
        <w:rPr>
          <w:rFonts w:eastAsiaTheme="minorEastAsia"/>
        </w:rPr>
        <w:t>Возвращение к формированию прогнозной цены на нефть марки «Юралс» соответствует статье 96</w:t>
      </w:r>
      <w:r w:rsidRPr="00304FA2">
        <w:rPr>
          <w:rFonts w:eastAsiaTheme="minorEastAsia"/>
          <w:vertAlign w:val="superscript"/>
        </w:rPr>
        <w:t>6</w:t>
      </w:r>
      <w:r w:rsidRPr="004054D2">
        <w:rPr>
          <w:rFonts w:eastAsiaTheme="minorEastAsia"/>
        </w:rPr>
        <w:t xml:space="preserve"> Бюджетного кодекса Российской Федерации, в которой закреплена необходимость прогнозирования цены на нефть марки «Юралс» в целях расчета нефтегазовых доход</w:t>
      </w:r>
      <w:r w:rsidR="004C025B">
        <w:rPr>
          <w:rFonts w:eastAsiaTheme="minorEastAsia"/>
        </w:rPr>
        <w:t>ов, а также Порядку разработки п</w:t>
      </w:r>
      <w:r w:rsidRPr="004054D2">
        <w:rPr>
          <w:rFonts w:eastAsiaTheme="minorEastAsia"/>
        </w:rPr>
        <w:t>рогноза.</w:t>
      </w:r>
    </w:p>
    <w:p w:rsidR="004054D2" w:rsidRPr="004054D2" w:rsidRDefault="004054D2" w:rsidP="004054D2">
      <w:pPr>
        <w:widowControl w:val="0"/>
        <w:overflowPunct w:val="0"/>
        <w:autoSpaceDE w:val="0"/>
        <w:autoSpaceDN w:val="0"/>
        <w:adjustRightInd w:val="0"/>
        <w:spacing w:line="360" w:lineRule="auto"/>
        <w:ind w:firstLine="709"/>
        <w:jc w:val="both"/>
        <w:textAlignment w:val="baseline"/>
        <w:rPr>
          <w:rFonts w:eastAsiaTheme="minorEastAsia"/>
        </w:rPr>
      </w:pPr>
      <w:r w:rsidRPr="004054D2">
        <w:rPr>
          <w:rFonts w:eastAsiaTheme="minorEastAsia"/>
        </w:rPr>
        <w:t>Следует отметить, что с января 2025</w:t>
      </w:r>
      <w:r>
        <w:rPr>
          <w:rFonts w:eastAsiaTheme="minorEastAsia"/>
        </w:rPr>
        <w:t> </w:t>
      </w:r>
      <w:r w:rsidRPr="004054D2">
        <w:rPr>
          <w:rFonts w:eastAsiaTheme="minorEastAsia"/>
        </w:rPr>
        <w:t xml:space="preserve">года в соответствии со статьей 342 второй части </w:t>
      </w:r>
      <w:r w:rsidRPr="004054D2">
        <w:rPr>
          <w:rFonts w:eastAsiaTheme="minorEastAsia"/>
        </w:rPr>
        <w:lastRenderedPageBreak/>
        <w:t>Налогового кодекса Российской Федерации цена на нефть марки «Юралс» рассчитывается по новой методологии</w:t>
      </w:r>
      <w:r w:rsidRPr="004054D2">
        <w:rPr>
          <w:rFonts w:eastAsiaTheme="minorEastAsia"/>
          <w:vertAlign w:val="superscript"/>
        </w:rPr>
        <w:footnoteReference w:id="2"/>
      </w:r>
      <w:r w:rsidRPr="004054D2">
        <w:rPr>
          <w:rFonts w:eastAsiaTheme="minorEastAsia"/>
        </w:rPr>
        <w:t xml:space="preserve"> на основании стоимости нескольких нефтяных марок («Юралс» и «ESPO»). Представленные в Прогнозе отчетные данные по цене на нефть марки «Юралс» за 2024</w:t>
      </w:r>
      <w:r>
        <w:rPr>
          <w:rFonts w:eastAsiaTheme="minorEastAsia"/>
        </w:rPr>
        <w:t> </w:t>
      </w:r>
      <w:r w:rsidRPr="004054D2">
        <w:rPr>
          <w:rFonts w:eastAsiaTheme="minorEastAsia"/>
        </w:rPr>
        <w:t>год также рассчитаны в соответствии с новыми правилами</w:t>
      </w:r>
      <w:r w:rsidRPr="004054D2">
        <w:rPr>
          <w:rFonts w:eastAsiaTheme="minorEastAsia"/>
          <w:vertAlign w:val="superscript"/>
        </w:rPr>
        <w:footnoteReference w:id="3"/>
      </w:r>
      <w:r w:rsidRPr="004054D2">
        <w:rPr>
          <w:rFonts w:eastAsiaTheme="minorEastAsia"/>
        </w:rPr>
        <w:t xml:space="preserve"> формирования цены на нефть.</w:t>
      </w:r>
    </w:p>
    <w:p w:rsidR="004054D2" w:rsidRPr="004054D2" w:rsidRDefault="004054D2" w:rsidP="004054D2">
      <w:pPr>
        <w:widowControl w:val="0"/>
        <w:overflowPunct w:val="0"/>
        <w:autoSpaceDE w:val="0"/>
        <w:autoSpaceDN w:val="0"/>
        <w:adjustRightInd w:val="0"/>
        <w:spacing w:line="360" w:lineRule="auto"/>
        <w:ind w:firstLine="709"/>
        <w:jc w:val="both"/>
        <w:textAlignment w:val="baseline"/>
        <w:rPr>
          <w:rFonts w:eastAsiaTheme="minorEastAsia"/>
        </w:rPr>
      </w:pPr>
      <w:r w:rsidRPr="006B3655">
        <w:rPr>
          <w:rFonts w:eastAsiaTheme="minorEastAsia"/>
        </w:rPr>
        <w:t>Согласно Прогнозу цена на нефть марки «Юралс» в 2025 году опустится до 58 долларов США за баррель, что ниже базового уровня</w:t>
      </w:r>
      <w:r w:rsidRPr="006B3655">
        <w:rPr>
          <w:rFonts w:eastAsiaTheme="minorEastAsia"/>
          <w:vertAlign w:val="superscript"/>
        </w:rPr>
        <w:footnoteReference w:id="4"/>
      </w:r>
      <w:r w:rsidRPr="006B3655">
        <w:rPr>
          <w:rFonts w:eastAsiaTheme="minorEastAsia"/>
        </w:rPr>
        <w:t>. В среднесрочной перспективе ожидается умеренный рост нефтяных цен до 65 долларов США за баррель к 2028 году. Учитывая планируемое изменение</w:t>
      </w:r>
      <w:r w:rsidRPr="004054D2">
        <w:rPr>
          <w:rFonts w:eastAsiaTheme="minorEastAsia"/>
        </w:rPr>
        <w:t xml:space="preserve"> базовой цены на нефть</w:t>
      </w:r>
      <w:r w:rsidRPr="004054D2">
        <w:rPr>
          <w:rFonts w:eastAsiaTheme="minorEastAsia"/>
          <w:vertAlign w:val="superscript"/>
        </w:rPr>
        <w:footnoteReference w:id="5"/>
      </w:r>
      <w:r w:rsidRPr="004054D2">
        <w:rPr>
          <w:rFonts w:eastAsiaTheme="minorEastAsia"/>
        </w:rPr>
        <w:t xml:space="preserve"> (снижение на 1 доллар США в год в течение пяти лет до 55</w:t>
      </w:r>
      <w:r>
        <w:rPr>
          <w:rFonts w:eastAsiaTheme="minorEastAsia"/>
        </w:rPr>
        <w:t> </w:t>
      </w:r>
      <w:r w:rsidRPr="004054D2">
        <w:rPr>
          <w:rFonts w:eastAsiaTheme="minorEastAsia"/>
        </w:rPr>
        <w:t>долларов США за баррель к 2030 году с дальнейшей индексацией на 2 % ежегодно с 2031</w:t>
      </w:r>
      <w:r>
        <w:rPr>
          <w:rFonts w:eastAsiaTheme="minorEastAsia"/>
        </w:rPr>
        <w:t> </w:t>
      </w:r>
      <w:r w:rsidRPr="004054D2">
        <w:rPr>
          <w:rFonts w:eastAsiaTheme="minorEastAsia"/>
        </w:rPr>
        <w:t>года), прогнозная траектория цены на нефть с 2026</w:t>
      </w:r>
      <w:r>
        <w:rPr>
          <w:rFonts w:eastAsiaTheme="minorEastAsia"/>
        </w:rPr>
        <w:t> </w:t>
      </w:r>
      <w:r w:rsidRPr="004054D2">
        <w:rPr>
          <w:rFonts w:eastAsiaTheme="minorEastAsia"/>
        </w:rPr>
        <w:t>года не будет опускаться ниже цены отсечения. Однако риски недополучения доходов бюджета при неблагоприятном развитии внешнеэкономической конъюнктуры сохраняются.</w:t>
      </w:r>
    </w:p>
    <w:p w:rsidR="004054D2" w:rsidRPr="004054D2" w:rsidRDefault="004054D2" w:rsidP="004054D2">
      <w:pPr>
        <w:widowControl w:val="0"/>
        <w:overflowPunct w:val="0"/>
        <w:autoSpaceDE w:val="0"/>
        <w:autoSpaceDN w:val="0"/>
        <w:adjustRightInd w:val="0"/>
        <w:spacing w:line="360" w:lineRule="auto"/>
        <w:ind w:firstLine="709"/>
        <w:jc w:val="both"/>
        <w:textAlignment w:val="baseline"/>
        <w:rPr>
          <w:rFonts w:eastAsiaTheme="minorEastAsia"/>
        </w:rPr>
      </w:pPr>
      <w:r w:rsidRPr="004054D2">
        <w:rPr>
          <w:rFonts w:eastAsiaTheme="minorEastAsia"/>
        </w:rPr>
        <w:t>Сравнение цены на нефть марки «Юралс» в базовом варианте Прогноза и планируемой базовой цены на нефть представлено в следующей таблице.</w:t>
      </w:r>
    </w:p>
    <w:tbl>
      <w:tblPr>
        <w:tblStyle w:val="ad"/>
        <w:tblW w:w="9923" w:type="dxa"/>
        <w:tblInd w:w="108" w:type="dxa"/>
        <w:tblLook w:val="04A0" w:firstRow="1" w:lastRow="0" w:firstColumn="1" w:lastColumn="0" w:noHBand="0" w:noVBand="1"/>
      </w:tblPr>
      <w:tblGrid>
        <w:gridCol w:w="3856"/>
        <w:gridCol w:w="1389"/>
        <w:gridCol w:w="1276"/>
        <w:gridCol w:w="1134"/>
        <w:gridCol w:w="1134"/>
        <w:gridCol w:w="1134"/>
      </w:tblGrid>
      <w:tr w:rsidR="00576527" w:rsidRPr="00A12290" w:rsidTr="009A0491">
        <w:trPr>
          <w:tblHeader/>
        </w:trPr>
        <w:tc>
          <w:tcPr>
            <w:tcW w:w="3856" w:type="dxa"/>
            <w:vMerge w:val="restart"/>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r>
              <w:rPr>
                <w:rFonts w:eastAsiaTheme="minorEastAsia"/>
                <w:b/>
                <w:sz w:val="18"/>
                <w:szCs w:val="18"/>
              </w:rPr>
              <w:t>Наименование</w:t>
            </w:r>
          </w:p>
        </w:tc>
        <w:tc>
          <w:tcPr>
            <w:tcW w:w="1389" w:type="dxa"/>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r w:rsidRPr="00A12290">
              <w:rPr>
                <w:rFonts w:eastAsiaTheme="minorEastAsia"/>
                <w:b/>
                <w:sz w:val="18"/>
                <w:szCs w:val="18"/>
              </w:rPr>
              <w:t>2024</w:t>
            </w:r>
          </w:p>
        </w:tc>
        <w:tc>
          <w:tcPr>
            <w:tcW w:w="1276" w:type="dxa"/>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r w:rsidRPr="00A12290">
              <w:rPr>
                <w:rFonts w:eastAsiaTheme="minorEastAsia"/>
                <w:b/>
                <w:sz w:val="18"/>
                <w:szCs w:val="18"/>
              </w:rPr>
              <w:t>2025</w:t>
            </w:r>
          </w:p>
        </w:tc>
        <w:tc>
          <w:tcPr>
            <w:tcW w:w="1134" w:type="dxa"/>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r w:rsidRPr="00A12290">
              <w:rPr>
                <w:rFonts w:eastAsiaTheme="minorEastAsia"/>
                <w:b/>
                <w:sz w:val="18"/>
                <w:szCs w:val="18"/>
              </w:rPr>
              <w:t>2026</w:t>
            </w:r>
          </w:p>
        </w:tc>
        <w:tc>
          <w:tcPr>
            <w:tcW w:w="1134" w:type="dxa"/>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r w:rsidRPr="00A12290">
              <w:rPr>
                <w:rFonts w:eastAsiaTheme="minorEastAsia"/>
                <w:b/>
                <w:sz w:val="18"/>
                <w:szCs w:val="18"/>
              </w:rPr>
              <w:t>2027</w:t>
            </w:r>
          </w:p>
        </w:tc>
        <w:tc>
          <w:tcPr>
            <w:tcW w:w="1134" w:type="dxa"/>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r w:rsidRPr="00A12290">
              <w:rPr>
                <w:rFonts w:eastAsiaTheme="minorEastAsia"/>
                <w:b/>
                <w:sz w:val="18"/>
                <w:szCs w:val="18"/>
              </w:rPr>
              <w:t>2028</w:t>
            </w:r>
          </w:p>
        </w:tc>
      </w:tr>
      <w:tr w:rsidR="00576527" w:rsidRPr="00A12290" w:rsidTr="009A0491">
        <w:trPr>
          <w:tblHeader/>
        </w:trPr>
        <w:tc>
          <w:tcPr>
            <w:tcW w:w="3856" w:type="dxa"/>
            <w:vMerge/>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p>
        </w:tc>
        <w:tc>
          <w:tcPr>
            <w:tcW w:w="1389" w:type="dxa"/>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r w:rsidRPr="00A12290">
              <w:rPr>
                <w:rFonts w:eastAsiaTheme="minorEastAsia"/>
                <w:b/>
                <w:sz w:val="18"/>
                <w:szCs w:val="18"/>
              </w:rPr>
              <w:t>отчет</w:t>
            </w:r>
          </w:p>
        </w:tc>
        <w:tc>
          <w:tcPr>
            <w:tcW w:w="1276" w:type="dxa"/>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r w:rsidRPr="00A12290">
              <w:rPr>
                <w:rFonts w:eastAsiaTheme="minorEastAsia"/>
                <w:b/>
                <w:sz w:val="18"/>
                <w:szCs w:val="18"/>
              </w:rPr>
              <w:t>оценка</w:t>
            </w:r>
          </w:p>
        </w:tc>
        <w:tc>
          <w:tcPr>
            <w:tcW w:w="3402" w:type="dxa"/>
            <w:gridSpan w:val="3"/>
            <w:vAlign w:val="center"/>
          </w:tcPr>
          <w:p w:rsidR="00576527" w:rsidRPr="00A12290" w:rsidRDefault="00576527" w:rsidP="003C053A">
            <w:pPr>
              <w:widowControl w:val="0"/>
              <w:overflowPunct w:val="0"/>
              <w:autoSpaceDE w:val="0"/>
              <w:autoSpaceDN w:val="0"/>
              <w:adjustRightInd w:val="0"/>
              <w:jc w:val="center"/>
              <w:textAlignment w:val="baseline"/>
              <w:rPr>
                <w:rFonts w:eastAsiaTheme="minorEastAsia"/>
                <w:b/>
                <w:sz w:val="18"/>
                <w:szCs w:val="18"/>
              </w:rPr>
            </w:pPr>
            <w:r w:rsidRPr="00A12290">
              <w:rPr>
                <w:rFonts w:eastAsiaTheme="minorEastAsia"/>
                <w:b/>
                <w:sz w:val="18"/>
                <w:szCs w:val="18"/>
              </w:rPr>
              <w:t>прогноз</w:t>
            </w:r>
          </w:p>
        </w:tc>
      </w:tr>
      <w:tr w:rsidR="00576527" w:rsidRPr="00A12290" w:rsidTr="00117315">
        <w:tc>
          <w:tcPr>
            <w:tcW w:w="3856" w:type="dxa"/>
            <w:vMerge/>
          </w:tcPr>
          <w:p w:rsidR="00576527" w:rsidRPr="00A12290" w:rsidRDefault="00576527" w:rsidP="006C00E5">
            <w:pPr>
              <w:widowControl w:val="0"/>
              <w:overflowPunct w:val="0"/>
              <w:autoSpaceDE w:val="0"/>
              <w:autoSpaceDN w:val="0"/>
              <w:adjustRightInd w:val="0"/>
              <w:jc w:val="both"/>
              <w:textAlignment w:val="baseline"/>
              <w:rPr>
                <w:rFonts w:eastAsiaTheme="minorEastAsia"/>
                <w:sz w:val="18"/>
                <w:szCs w:val="18"/>
              </w:rPr>
            </w:pPr>
          </w:p>
        </w:tc>
        <w:tc>
          <w:tcPr>
            <w:tcW w:w="2665" w:type="dxa"/>
            <w:gridSpan w:val="2"/>
            <w:vAlign w:val="center"/>
          </w:tcPr>
          <w:p w:rsidR="00576527" w:rsidRPr="00A12290" w:rsidRDefault="00576527" w:rsidP="00576527">
            <w:pPr>
              <w:widowControl w:val="0"/>
              <w:overflowPunct w:val="0"/>
              <w:autoSpaceDE w:val="0"/>
              <w:autoSpaceDN w:val="0"/>
              <w:adjustRightInd w:val="0"/>
              <w:jc w:val="center"/>
              <w:textAlignment w:val="baseline"/>
              <w:rPr>
                <w:sz w:val="18"/>
                <w:szCs w:val="18"/>
              </w:rPr>
            </w:pPr>
            <w:r>
              <w:rPr>
                <w:sz w:val="18"/>
                <w:szCs w:val="18"/>
              </w:rPr>
              <w:t>действующее бюджетное правило</w:t>
            </w:r>
          </w:p>
        </w:tc>
        <w:tc>
          <w:tcPr>
            <w:tcW w:w="3402" w:type="dxa"/>
            <w:gridSpan w:val="3"/>
            <w:shd w:val="clear" w:color="000000" w:fill="FFFFFF"/>
            <w:vAlign w:val="center"/>
          </w:tcPr>
          <w:p w:rsidR="00576527" w:rsidRPr="00A12290" w:rsidRDefault="00576527" w:rsidP="00576527">
            <w:pPr>
              <w:widowControl w:val="0"/>
              <w:overflowPunct w:val="0"/>
              <w:autoSpaceDE w:val="0"/>
              <w:autoSpaceDN w:val="0"/>
              <w:adjustRightInd w:val="0"/>
              <w:jc w:val="center"/>
              <w:textAlignment w:val="baseline"/>
              <w:rPr>
                <w:sz w:val="18"/>
                <w:szCs w:val="18"/>
              </w:rPr>
            </w:pPr>
            <w:r>
              <w:rPr>
                <w:sz w:val="18"/>
                <w:szCs w:val="18"/>
              </w:rPr>
              <w:t>планируемое бюджетное правило</w:t>
            </w:r>
          </w:p>
        </w:tc>
      </w:tr>
      <w:tr w:rsidR="00A12290" w:rsidRPr="00A12290" w:rsidTr="00117315">
        <w:tc>
          <w:tcPr>
            <w:tcW w:w="3856" w:type="dxa"/>
          </w:tcPr>
          <w:p w:rsidR="00A12290" w:rsidRPr="00A12290" w:rsidRDefault="00A12290" w:rsidP="006C00E5">
            <w:pPr>
              <w:widowControl w:val="0"/>
              <w:overflowPunct w:val="0"/>
              <w:autoSpaceDE w:val="0"/>
              <w:autoSpaceDN w:val="0"/>
              <w:adjustRightInd w:val="0"/>
              <w:jc w:val="both"/>
              <w:textAlignment w:val="baseline"/>
              <w:rPr>
                <w:rFonts w:eastAsiaTheme="minorEastAsia"/>
                <w:sz w:val="18"/>
                <w:szCs w:val="18"/>
              </w:rPr>
            </w:pPr>
            <w:r w:rsidRPr="00A12290">
              <w:rPr>
                <w:rFonts w:eastAsiaTheme="minorEastAsia"/>
                <w:sz w:val="18"/>
                <w:szCs w:val="18"/>
              </w:rPr>
              <w:t>Цена на нефть марки «Юралс», долларов США за баррель</w:t>
            </w:r>
          </w:p>
        </w:tc>
        <w:tc>
          <w:tcPr>
            <w:tcW w:w="1389" w:type="dxa"/>
            <w:vAlign w:val="center"/>
          </w:tcPr>
          <w:p w:rsidR="00A12290" w:rsidRPr="00A12290" w:rsidRDefault="00A12290" w:rsidP="006C00E5">
            <w:pPr>
              <w:widowControl w:val="0"/>
              <w:overflowPunct w:val="0"/>
              <w:autoSpaceDE w:val="0"/>
              <w:autoSpaceDN w:val="0"/>
              <w:adjustRightInd w:val="0"/>
              <w:jc w:val="right"/>
              <w:textAlignment w:val="baseline"/>
              <w:rPr>
                <w:sz w:val="18"/>
                <w:szCs w:val="18"/>
              </w:rPr>
            </w:pPr>
            <w:r w:rsidRPr="00A12290">
              <w:rPr>
                <w:sz w:val="18"/>
                <w:szCs w:val="18"/>
              </w:rPr>
              <w:t>66,6</w:t>
            </w:r>
          </w:p>
        </w:tc>
        <w:tc>
          <w:tcPr>
            <w:tcW w:w="1276" w:type="dxa"/>
            <w:shd w:val="clear" w:color="000000" w:fill="FFFFFF"/>
            <w:vAlign w:val="center"/>
          </w:tcPr>
          <w:p w:rsidR="00A12290" w:rsidRPr="00A12290" w:rsidRDefault="00A12290" w:rsidP="006C00E5">
            <w:pPr>
              <w:widowControl w:val="0"/>
              <w:overflowPunct w:val="0"/>
              <w:autoSpaceDE w:val="0"/>
              <w:autoSpaceDN w:val="0"/>
              <w:adjustRightInd w:val="0"/>
              <w:jc w:val="right"/>
              <w:textAlignment w:val="baseline"/>
              <w:rPr>
                <w:rFonts w:eastAsiaTheme="minorEastAsia"/>
                <w:sz w:val="18"/>
                <w:szCs w:val="18"/>
              </w:rPr>
            </w:pPr>
            <w:r w:rsidRPr="00A12290">
              <w:rPr>
                <w:sz w:val="18"/>
                <w:szCs w:val="18"/>
              </w:rPr>
              <w:t>58,0</w:t>
            </w:r>
          </w:p>
        </w:tc>
        <w:tc>
          <w:tcPr>
            <w:tcW w:w="1134" w:type="dxa"/>
            <w:shd w:val="clear" w:color="000000" w:fill="FFFFFF"/>
            <w:vAlign w:val="center"/>
          </w:tcPr>
          <w:p w:rsidR="00A12290" w:rsidRPr="00A12290" w:rsidRDefault="00A12290" w:rsidP="006C00E5">
            <w:pPr>
              <w:widowControl w:val="0"/>
              <w:overflowPunct w:val="0"/>
              <w:autoSpaceDE w:val="0"/>
              <w:autoSpaceDN w:val="0"/>
              <w:adjustRightInd w:val="0"/>
              <w:jc w:val="right"/>
              <w:textAlignment w:val="baseline"/>
              <w:rPr>
                <w:rFonts w:eastAsiaTheme="minorEastAsia"/>
                <w:sz w:val="18"/>
                <w:szCs w:val="18"/>
              </w:rPr>
            </w:pPr>
            <w:r w:rsidRPr="00A12290">
              <w:rPr>
                <w:sz w:val="18"/>
                <w:szCs w:val="18"/>
              </w:rPr>
              <w:t>59,0</w:t>
            </w:r>
          </w:p>
        </w:tc>
        <w:tc>
          <w:tcPr>
            <w:tcW w:w="1134" w:type="dxa"/>
            <w:shd w:val="clear" w:color="000000" w:fill="FFFFFF"/>
            <w:vAlign w:val="center"/>
          </w:tcPr>
          <w:p w:rsidR="00A12290" w:rsidRPr="00A12290" w:rsidRDefault="00A12290" w:rsidP="006C00E5">
            <w:pPr>
              <w:widowControl w:val="0"/>
              <w:overflowPunct w:val="0"/>
              <w:autoSpaceDE w:val="0"/>
              <w:autoSpaceDN w:val="0"/>
              <w:adjustRightInd w:val="0"/>
              <w:jc w:val="right"/>
              <w:textAlignment w:val="baseline"/>
              <w:rPr>
                <w:rFonts w:eastAsiaTheme="minorEastAsia"/>
                <w:sz w:val="18"/>
                <w:szCs w:val="18"/>
              </w:rPr>
            </w:pPr>
            <w:r w:rsidRPr="00A12290">
              <w:rPr>
                <w:sz w:val="18"/>
                <w:szCs w:val="18"/>
              </w:rPr>
              <w:t>61,0</w:t>
            </w:r>
          </w:p>
        </w:tc>
        <w:tc>
          <w:tcPr>
            <w:tcW w:w="1134" w:type="dxa"/>
            <w:shd w:val="clear" w:color="000000" w:fill="FFFFFF"/>
            <w:vAlign w:val="center"/>
          </w:tcPr>
          <w:p w:rsidR="00A12290" w:rsidRPr="00A12290" w:rsidRDefault="00A12290" w:rsidP="006C00E5">
            <w:pPr>
              <w:widowControl w:val="0"/>
              <w:overflowPunct w:val="0"/>
              <w:autoSpaceDE w:val="0"/>
              <w:autoSpaceDN w:val="0"/>
              <w:adjustRightInd w:val="0"/>
              <w:jc w:val="right"/>
              <w:textAlignment w:val="baseline"/>
              <w:rPr>
                <w:rFonts w:eastAsiaTheme="minorEastAsia"/>
                <w:sz w:val="18"/>
                <w:szCs w:val="18"/>
              </w:rPr>
            </w:pPr>
            <w:r w:rsidRPr="00A12290">
              <w:rPr>
                <w:sz w:val="18"/>
                <w:szCs w:val="18"/>
              </w:rPr>
              <w:t>65,0</w:t>
            </w:r>
          </w:p>
        </w:tc>
      </w:tr>
      <w:tr w:rsidR="00A12290" w:rsidRPr="00A12290" w:rsidTr="009A0491">
        <w:tc>
          <w:tcPr>
            <w:tcW w:w="3856" w:type="dxa"/>
          </w:tcPr>
          <w:p w:rsidR="00A12290" w:rsidRPr="00576527" w:rsidRDefault="00A12290" w:rsidP="006C00E5">
            <w:pPr>
              <w:widowControl w:val="0"/>
              <w:overflowPunct w:val="0"/>
              <w:autoSpaceDE w:val="0"/>
              <w:autoSpaceDN w:val="0"/>
              <w:adjustRightInd w:val="0"/>
              <w:jc w:val="both"/>
              <w:textAlignment w:val="baseline"/>
              <w:rPr>
                <w:rFonts w:eastAsiaTheme="minorEastAsia"/>
                <w:sz w:val="18"/>
                <w:szCs w:val="18"/>
              </w:rPr>
            </w:pPr>
            <w:r w:rsidRPr="00576527">
              <w:rPr>
                <w:rFonts w:eastAsiaTheme="minorEastAsia"/>
                <w:sz w:val="18"/>
                <w:szCs w:val="18"/>
              </w:rPr>
              <w:t>Базовая цена на нефть, долларов США за баррель</w:t>
            </w:r>
          </w:p>
        </w:tc>
        <w:tc>
          <w:tcPr>
            <w:tcW w:w="1389" w:type="dxa"/>
            <w:vAlign w:val="center"/>
          </w:tcPr>
          <w:p w:rsidR="00A12290" w:rsidRPr="00576527" w:rsidRDefault="00A12290" w:rsidP="006C00E5">
            <w:pPr>
              <w:widowControl w:val="0"/>
              <w:overflowPunct w:val="0"/>
              <w:autoSpaceDE w:val="0"/>
              <w:autoSpaceDN w:val="0"/>
              <w:adjustRightInd w:val="0"/>
              <w:jc w:val="right"/>
              <w:textAlignment w:val="baseline"/>
              <w:rPr>
                <w:sz w:val="18"/>
                <w:szCs w:val="18"/>
              </w:rPr>
            </w:pPr>
            <w:r w:rsidRPr="00576527">
              <w:rPr>
                <w:sz w:val="18"/>
                <w:szCs w:val="18"/>
              </w:rPr>
              <w:t>60,0</w:t>
            </w:r>
          </w:p>
        </w:tc>
        <w:tc>
          <w:tcPr>
            <w:tcW w:w="1276" w:type="dxa"/>
            <w:vAlign w:val="center"/>
          </w:tcPr>
          <w:p w:rsidR="00A12290" w:rsidRPr="00576527" w:rsidRDefault="00A12290" w:rsidP="006C00E5">
            <w:pPr>
              <w:widowControl w:val="0"/>
              <w:overflowPunct w:val="0"/>
              <w:autoSpaceDE w:val="0"/>
              <w:autoSpaceDN w:val="0"/>
              <w:adjustRightInd w:val="0"/>
              <w:jc w:val="right"/>
              <w:textAlignment w:val="baseline"/>
              <w:rPr>
                <w:sz w:val="18"/>
                <w:szCs w:val="18"/>
              </w:rPr>
            </w:pPr>
            <w:r w:rsidRPr="00576527">
              <w:rPr>
                <w:sz w:val="18"/>
                <w:szCs w:val="18"/>
              </w:rPr>
              <w:t>60,0</w:t>
            </w:r>
          </w:p>
        </w:tc>
        <w:tc>
          <w:tcPr>
            <w:tcW w:w="1134" w:type="dxa"/>
            <w:vAlign w:val="center"/>
          </w:tcPr>
          <w:p w:rsidR="00A12290" w:rsidRPr="00576527" w:rsidRDefault="00A12290" w:rsidP="006C00E5">
            <w:pPr>
              <w:widowControl w:val="0"/>
              <w:overflowPunct w:val="0"/>
              <w:autoSpaceDE w:val="0"/>
              <w:autoSpaceDN w:val="0"/>
              <w:adjustRightInd w:val="0"/>
              <w:jc w:val="right"/>
              <w:textAlignment w:val="baseline"/>
              <w:rPr>
                <w:sz w:val="18"/>
                <w:szCs w:val="18"/>
              </w:rPr>
            </w:pPr>
            <w:r w:rsidRPr="00576527">
              <w:rPr>
                <w:sz w:val="18"/>
                <w:szCs w:val="18"/>
              </w:rPr>
              <w:t>59,0</w:t>
            </w:r>
          </w:p>
        </w:tc>
        <w:tc>
          <w:tcPr>
            <w:tcW w:w="1134" w:type="dxa"/>
            <w:vAlign w:val="center"/>
          </w:tcPr>
          <w:p w:rsidR="00A12290" w:rsidRPr="00576527" w:rsidRDefault="00A12290" w:rsidP="006C00E5">
            <w:pPr>
              <w:widowControl w:val="0"/>
              <w:overflowPunct w:val="0"/>
              <w:autoSpaceDE w:val="0"/>
              <w:autoSpaceDN w:val="0"/>
              <w:adjustRightInd w:val="0"/>
              <w:jc w:val="right"/>
              <w:textAlignment w:val="baseline"/>
              <w:rPr>
                <w:sz w:val="18"/>
                <w:szCs w:val="18"/>
              </w:rPr>
            </w:pPr>
            <w:r w:rsidRPr="00576527">
              <w:rPr>
                <w:sz w:val="18"/>
                <w:szCs w:val="18"/>
              </w:rPr>
              <w:t>58,0</w:t>
            </w:r>
          </w:p>
        </w:tc>
        <w:tc>
          <w:tcPr>
            <w:tcW w:w="1134" w:type="dxa"/>
            <w:vAlign w:val="center"/>
          </w:tcPr>
          <w:p w:rsidR="00A12290" w:rsidRPr="00A12290" w:rsidRDefault="00A12290" w:rsidP="006C00E5">
            <w:pPr>
              <w:widowControl w:val="0"/>
              <w:overflowPunct w:val="0"/>
              <w:autoSpaceDE w:val="0"/>
              <w:autoSpaceDN w:val="0"/>
              <w:adjustRightInd w:val="0"/>
              <w:jc w:val="right"/>
              <w:textAlignment w:val="baseline"/>
              <w:rPr>
                <w:sz w:val="18"/>
                <w:szCs w:val="18"/>
              </w:rPr>
            </w:pPr>
            <w:r w:rsidRPr="00576527">
              <w:rPr>
                <w:sz w:val="18"/>
                <w:szCs w:val="18"/>
              </w:rPr>
              <w:t>57,0</w:t>
            </w:r>
          </w:p>
        </w:tc>
      </w:tr>
    </w:tbl>
    <w:p w:rsidR="00E03692" w:rsidRPr="00A12290" w:rsidRDefault="00E03692" w:rsidP="00FC6D9F">
      <w:pPr>
        <w:widowControl w:val="0"/>
        <w:overflowPunct w:val="0"/>
        <w:autoSpaceDE w:val="0"/>
        <w:autoSpaceDN w:val="0"/>
        <w:adjustRightInd w:val="0"/>
        <w:spacing w:line="360" w:lineRule="auto"/>
        <w:ind w:firstLine="709"/>
        <w:jc w:val="both"/>
        <w:textAlignment w:val="baseline"/>
        <w:rPr>
          <w:rFonts w:eastAsiaTheme="minorEastAsia"/>
          <w:sz w:val="10"/>
          <w:szCs w:val="10"/>
        </w:rPr>
      </w:pPr>
    </w:p>
    <w:p w:rsidR="00A12290" w:rsidRPr="00A12290" w:rsidRDefault="00A12290" w:rsidP="00A12290">
      <w:pPr>
        <w:widowControl w:val="0"/>
        <w:overflowPunct w:val="0"/>
        <w:autoSpaceDE w:val="0"/>
        <w:autoSpaceDN w:val="0"/>
        <w:adjustRightInd w:val="0"/>
        <w:spacing w:line="360" w:lineRule="auto"/>
        <w:ind w:firstLine="709"/>
        <w:jc w:val="both"/>
        <w:textAlignment w:val="baseline"/>
        <w:rPr>
          <w:rFonts w:eastAsiaTheme="minorEastAsia"/>
        </w:rPr>
      </w:pPr>
      <w:r w:rsidRPr="00A12290">
        <w:rPr>
          <w:rFonts w:eastAsiaTheme="minorEastAsia"/>
        </w:rPr>
        <w:t>Представленная в Прогнозе оценка цены на нефть марки «Юралс» в 2025 году в целом соответствует текущим рыночным ожиданиям. Наиболее актуальные прогнозы цены на нефть марки «Юралс» представлены в следующей таблице.</w:t>
      </w:r>
    </w:p>
    <w:p w:rsidR="00A12290" w:rsidRPr="00A12290" w:rsidRDefault="00A12290" w:rsidP="00AB42C8">
      <w:pPr>
        <w:widowControl w:val="0"/>
        <w:overflowPunct w:val="0"/>
        <w:autoSpaceDE w:val="0"/>
        <w:autoSpaceDN w:val="0"/>
        <w:adjustRightInd w:val="0"/>
        <w:ind w:firstLine="709"/>
        <w:jc w:val="right"/>
        <w:textAlignment w:val="baseline"/>
        <w:rPr>
          <w:rFonts w:eastAsiaTheme="minorEastAsia"/>
          <w:sz w:val="18"/>
          <w:szCs w:val="18"/>
        </w:rPr>
      </w:pPr>
      <w:r w:rsidRPr="00A12290">
        <w:rPr>
          <w:rFonts w:eastAsiaTheme="minorEastAsia"/>
          <w:sz w:val="18"/>
          <w:szCs w:val="18"/>
        </w:rPr>
        <w:t>долларов США за баррель</w:t>
      </w:r>
    </w:p>
    <w:tbl>
      <w:tblPr>
        <w:tblStyle w:val="91"/>
        <w:tblW w:w="9918" w:type="dxa"/>
        <w:jc w:val="center"/>
        <w:tblLook w:val="04A0" w:firstRow="1" w:lastRow="0" w:firstColumn="1" w:lastColumn="0" w:noHBand="0" w:noVBand="1"/>
      </w:tblPr>
      <w:tblGrid>
        <w:gridCol w:w="3828"/>
        <w:gridCol w:w="1417"/>
        <w:gridCol w:w="1168"/>
        <w:gridCol w:w="1168"/>
        <w:gridCol w:w="1168"/>
        <w:gridCol w:w="1169"/>
      </w:tblGrid>
      <w:tr w:rsidR="006C00E5" w:rsidRPr="006C00E5" w:rsidTr="006C00E5">
        <w:trPr>
          <w:tblHeader/>
          <w:jc w:val="center"/>
        </w:trPr>
        <w:tc>
          <w:tcPr>
            <w:tcW w:w="3828" w:type="dxa"/>
          </w:tcPr>
          <w:p w:rsidR="006C00E5" w:rsidRPr="006C00E5" w:rsidRDefault="006C00E5" w:rsidP="006C00E5">
            <w:pPr>
              <w:jc w:val="center"/>
              <w:rPr>
                <w:rFonts w:eastAsiaTheme="minorHAnsi"/>
                <w:b/>
                <w:sz w:val="18"/>
                <w:szCs w:val="18"/>
                <w:lang w:eastAsia="en-US"/>
              </w:rPr>
            </w:pPr>
            <w:r w:rsidRPr="006C00E5">
              <w:rPr>
                <w:rFonts w:eastAsiaTheme="minorHAnsi"/>
                <w:b/>
                <w:sz w:val="18"/>
                <w:szCs w:val="18"/>
                <w:lang w:eastAsia="en-US"/>
              </w:rPr>
              <w:t>Организация</w:t>
            </w:r>
          </w:p>
        </w:tc>
        <w:tc>
          <w:tcPr>
            <w:tcW w:w="1417" w:type="dxa"/>
          </w:tcPr>
          <w:p w:rsidR="006C00E5" w:rsidRPr="006C00E5" w:rsidRDefault="006C00E5" w:rsidP="006C00E5">
            <w:pPr>
              <w:jc w:val="center"/>
              <w:rPr>
                <w:rFonts w:eastAsiaTheme="minorHAnsi"/>
                <w:b/>
                <w:sz w:val="18"/>
                <w:szCs w:val="18"/>
                <w:lang w:eastAsia="en-US"/>
              </w:rPr>
            </w:pPr>
            <w:r w:rsidRPr="006C00E5">
              <w:rPr>
                <w:rFonts w:eastAsiaTheme="minorHAnsi"/>
                <w:b/>
                <w:sz w:val="18"/>
                <w:szCs w:val="18"/>
                <w:lang w:eastAsia="en-US"/>
              </w:rPr>
              <w:t>Дата</w:t>
            </w:r>
          </w:p>
        </w:tc>
        <w:tc>
          <w:tcPr>
            <w:tcW w:w="1168" w:type="dxa"/>
            <w:vAlign w:val="center"/>
          </w:tcPr>
          <w:p w:rsidR="006C00E5" w:rsidRPr="006C00E5" w:rsidRDefault="006C00E5" w:rsidP="006C00E5">
            <w:pPr>
              <w:jc w:val="center"/>
              <w:rPr>
                <w:rFonts w:eastAsiaTheme="minorHAnsi"/>
                <w:b/>
                <w:sz w:val="18"/>
                <w:szCs w:val="18"/>
                <w:lang w:eastAsia="en-US"/>
              </w:rPr>
            </w:pPr>
            <w:r w:rsidRPr="006C00E5">
              <w:rPr>
                <w:rFonts w:eastAsiaTheme="minorHAnsi"/>
                <w:b/>
                <w:sz w:val="18"/>
                <w:szCs w:val="18"/>
                <w:lang w:eastAsia="en-US"/>
              </w:rPr>
              <w:t>2025</w:t>
            </w:r>
          </w:p>
        </w:tc>
        <w:tc>
          <w:tcPr>
            <w:tcW w:w="1168" w:type="dxa"/>
          </w:tcPr>
          <w:p w:rsidR="006C00E5" w:rsidRPr="006C00E5" w:rsidRDefault="006C00E5" w:rsidP="006C00E5">
            <w:pPr>
              <w:jc w:val="center"/>
              <w:rPr>
                <w:rFonts w:eastAsiaTheme="minorHAnsi"/>
                <w:b/>
                <w:sz w:val="18"/>
                <w:szCs w:val="18"/>
                <w:lang w:eastAsia="en-US"/>
              </w:rPr>
            </w:pPr>
            <w:r w:rsidRPr="006C00E5">
              <w:rPr>
                <w:rFonts w:eastAsiaTheme="minorHAnsi"/>
                <w:b/>
                <w:sz w:val="18"/>
                <w:szCs w:val="18"/>
                <w:lang w:eastAsia="en-US"/>
              </w:rPr>
              <w:t>2026</w:t>
            </w:r>
          </w:p>
        </w:tc>
        <w:tc>
          <w:tcPr>
            <w:tcW w:w="1168" w:type="dxa"/>
          </w:tcPr>
          <w:p w:rsidR="006C00E5" w:rsidRPr="006C00E5" w:rsidRDefault="006C00E5" w:rsidP="006C00E5">
            <w:pPr>
              <w:jc w:val="center"/>
              <w:rPr>
                <w:rFonts w:eastAsiaTheme="minorHAnsi"/>
                <w:b/>
                <w:sz w:val="18"/>
                <w:szCs w:val="18"/>
                <w:lang w:eastAsia="en-US"/>
              </w:rPr>
            </w:pPr>
            <w:r w:rsidRPr="006C00E5">
              <w:rPr>
                <w:rFonts w:eastAsiaTheme="minorHAnsi"/>
                <w:b/>
                <w:sz w:val="18"/>
                <w:szCs w:val="18"/>
                <w:lang w:val="en-US" w:eastAsia="en-US"/>
              </w:rPr>
              <w:t>202</w:t>
            </w:r>
            <w:r w:rsidRPr="006C00E5">
              <w:rPr>
                <w:rFonts w:eastAsiaTheme="minorHAnsi"/>
                <w:b/>
                <w:sz w:val="18"/>
                <w:szCs w:val="18"/>
                <w:lang w:eastAsia="en-US"/>
              </w:rPr>
              <w:t>7</w:t>
            </w:r>
          </w:p>
        </w:tc>
        <w:tc>
          <w:tcPr>
            <w:tcW w:w="1169" w:type="dxa"/>
          </w:tcPr>
          <w:p w:rsidR="006C00E5" w:rsidRPr="006C00E5" w:rsidRDefault="006C00E5" w:rsidP="006C00E5">
            <w:pPr>
              <w:jc w:val="center"/>
              <w:rPr>
                <w:rFonts w:eastAsiaTheme="minorHAnsi"/>
                <w:b/>
                <w:sz w:val="18"/>
                <w:szCs w:val="18"/>
                <w:lang w:eastAsia="en-US"/>
              </w:rPr>
            </w:pPr>
            <w:r w:rsidRPr="006C00E5">
              <w:rPr>
                <w:rFonts w:eastAsiaTheme="minorHAnsi"/>
                <w:b/>
                <w:sz w:val="18"/>
                <w:szCs w:val="18"/>
                <w:lang w:val="en-US" w:eastAsia="en-US"/>
              </w:rPr>
              <w:t>202</w:t>
            </w:r>
            <w:r w:rsidRPr="006C00E5">
              <w:rPr>
                <w:rFonts w:eastAsiaTheme="minorHAnsi"/>
                <w:b/>
                <w:sz w:val="18"/>
                <w:szCs w:val="18"/>
                <w:lang w:eastAsia="en-US"/>
              </w:rPr>
              <w:t>8</w:t>
            </w:r>
          </w:p>
        </w:tc>
      </w:tr>
      <w:tr w:rsidR="006C00E5" w:rsidRPr="006C00E5" w:rsidTr="00117315">
        <w:trPr>
          <w:jc w:val="center"/>
        </w:trPr>
        <w:tc>
          <w:tcPr>
            <w:tcW w:w="3828" w:type="dxa"/>
          </w:tcPr>
          <w:p w:rsidR="00AF4D22" w:rsidRDefault="006C00E5" w:rsidP="006C00E5">
            <w:pPr>
              <w:rPr>
                <w:rFonts w:eastAsiaTheme="minorHAnsi"/>
                <w:b/>
                <w:sz w:val="18"/>
                <w:szCs w:val="18"/>
                <w:lang w:eastAsia="en-US"/>
              </w:rPr>
            </w:pPr>
            <w:r w:rsidRPr="006C00E5">
              <w:rPr>
                <w:rFonts w:eastAsiaTheme="minorHAnsi"/>
                <w:b/>
                <w:sz w:val="18"/>
                <w:szCs w:val="18"/>
                <w:lang w:eastAsia="en-US"/>
              </w:rPr>
              <w:t xml:space="preserve">Минэкономразвития России </w:t>
            </w:r>
          </w:p>
          <w:p w:rsidR="006C00E5" w:rsidRPr="006C00E5" w:rsidRDefault="006C00E5" w:rsidP="006C00E5">
            <w:pPr>
              <w:rPr>
                <w:rFonts w:eastAsiaTheme="minorHAnsi"/>
                <w:b/>
                <w:sz w:val="18"/>
                <w:szCs w:val="18"/>
                <w:highlight w:val="yellow"/>
                <w:lang w:eastAsia="en-US"/>
              </w:rPr>
            </w:pPr>
            <w:r w:rsidRPr="006C00E5">
              <w:rPr>
                <w:rFonts w:eastAsiaTheme="minorHAnsi"/>
                <w:sz w:val="18"/>
                <w:szCs w:val="18"/>
                <w:lang w:eastAsia="en-US"/>
              </w:rPr>
              <w:t>(базовый вариант Прогноза)</w:t>
            </w:r>
          </w:p>
        </w:tc>
        <w:tc>
          <w:tcPr>
            <w:tcW w:w="1417" w:type="dxa"/>
            <w:vAlign w:val="center"/>
          </w:tcPr>
          <w:p w:rsidR="006C00E5" w:rsidRPr="006C00E5" w:rsidRDefault="006C00E5" w:rsidP="00AF4D22">
            <w:pPr>
              <w:jc w:val="right"/>
              <w:rPr>
                <w:rFonts w:eastAsiaTheme="minorHAnsi"/>
                <w:b/>
                <w:sz w:val="18"/>
                <w:szCs w:val="18"/>
                <w:highlight w:val="yellow"/>
                <w:lang w:eastAsia="en-US"/>
              </w:rPr>
            </w:pPr>
            <w:r w:rsidRPr="006C00E5">
              <w:rPr>
                <w:rFonts w:eastAsiaTheme="minorHAnsi"/>
                <w:b/>
                <w:sz w:val="18"/>
                <w:szCs w:val="18"/>
                <w:lang w:eastAsia="en-US"/>
              </w:rPr>
              <w:t>26.09.2025</w:t>
            </w:r>
          </w:p>
        </w:tc>
        <w:tc>
          <w:tcPr>
            <w:tcW w:w="1168" w:type="dxa"/>
            <w:shd w:val="clear" w:color="auto" w:fill="auto"/>
            <w:vAlign w:val="center"/>
          </w:tcPr>
          <w:p w:rsidR="006C00E5" w:rsidRPr="006C00E5" w:rsidRDefault="006C00E5" w:rsidP="006C00E5">
            <w:pPr>
              <w:jc w:val="right"/>
              <w:rPr>
                <w:rFonts w:eastAsiaTheme="minorHAnsi"/>
                <w:color w:val="000000"/>
                <w:sz w:val="18"/>
                <w:szCs w:val="18"/>
                <w:lang w:eastAsia="en-US"/>
              </w:rPr>
            </w:pPr>
            <w:r w:rsidRPr="006C00E5">
              <w:rPr>
                <w:rFonts w:eastAsiaTheme="minorHAnsi"/>
                <w:color w:val="000000"/>
                <w:sz w:val="18"/>
                <w:szCs w:val="18"/>
                <w:lang w:eastAsia="en-US"/>
              </w:rPr>
              <w:t>58,0</w:t>
            </w:r>
          </w:p>
        </w:tc>
        <w:tc>
          <w:tcPr>
            <w:tcW w:w="1168" w:type="dxa"/>
            <w:shd w:val="clear" w:color="auto" w:fill="auto"/>
            <w:vAlign w:val="center"/>
          </w:tcPr>
          <w:p w:rsidR="006C00E5" w:rsidRPr="006C00E5" w:rsidRDefault="006C00E5" w:rsidP="006C00E5">
            <w:pPr>
              <w:jc w:val="right"/>
              <w:rPr>
                <w:rFonts w:eastAsiaTheme="minorHAnsi"/>
                <w:color w:val="000000"/>
                <w:sz w:val="18"/>
                <w:szCs w:val="18"/>
                <w:lang w:eastAsia="en-US"/>
              </w:rPr>
            </w:pPr>
            <w:r w:rsidRPr="006C00E5">
              <w:rPr>
                <w:rFonts w:eastAsiaTheme="minorHAnsi"/>
                <w:color w:val="000000"/>
                <w:sz w:val="18"/>
                <w:szCs w:val="18"/>
                <w:lang w:eastAsia="en-US"/>
              </w:rPr>
              <w:t>59,0</w:t>
            </w:r>
          </w:p>
        </w:tc>
        <w:tc>
          <w:tcPr>
            <w:tcW w:w="1168" w:type="dxa"/>
            <w:shd w:val="clear" w:color="auto" w:fill="auto"/>
            <w:vAlign w:val="center"/>
          </w:tcPr>
          <w:p w:rsidR="006C00E5" w:rsidRPr="006C00E5" w:rsidRDefault="006C00E5" w:rsidP="006C00E5">
            <w:pPr>
              <w:jc w:val="right"/>
              <w:rPr>
                <w:rFonts w:eastAsiaTheme="minorHAnsi"/>
                <w:color w:val="000000"/>
                <w:sz w:val="18"/>
                <w:szCs w:val="18"/>
                <w:lang w:eastAsia="en-US"/>
              </w:rPr>
            </w:pPr>
            <w:r w:rsidRPr="006C00E5">
              <w:rPr>
                <w:rFonts w:eastAsiaTheme="minorHAnsi"/>
                <w:color w:val="000000"/>
                <w:sz w:val="18"/>
                <w:szCs w:val="18"/>
                <w:lang w:eastAsia="en-US"/>
              </w:rPr>
              <w:t>61,0</w:t>
            </w:r>
          </w:p>
        </w:tc>
        <w:tc>
          <w:tcPr>
            <w:tcW w:w="1169" w:type="dxa"/>
            <w:shd w:val="clear" w:color="auto" w:fill="auto"/>
            <w:vAlign w:val="center"/>
          </w:tcPr>
          <w:p w:rsidR="006C00E5" w:rsidRPr="006C00E5" w:rsidRDefault="006C00E5" w:rsidP="006C00E5">
            <w:pPr>
              <w:jc w:val="right"/>
              <w:rPr>
                <w:rFonts w:eastAsiaTheme="minorHAnsi"/>
                <w:color w:val="000000"/>
                <w:sz w:val="18"/>
                <w:szCs w:val="18"/>
                <w:lang w:eastAsia="en-US"/>
              </w:rPr>
            </w:pPr>
            <w:r w:rsidRPr="006C00E5">
              <w:rPr>
                <w:rFonts w:eastAsiaTheme="minorHAnsi"/>
                <w:color w:val="000000"/>
                <w:sz w:val="18"/>
                <w:szCs w:val="18"/>
                <w:lang w:eastAsia="en-US"/>
              </w:rPr>
              <w:t>65,0</w:t>
            </w:r>
          </w:p>
        </w:tc>
      </w:tr>
      <w:tr w:rsidR="006C00E5" w:rsidRPr="006C00E5" w:rsidTr="00117315">
        <w:trPr>
          <w:jc w:val="center"/>
        </w:trPr>
        <w:tc>
          <w:tcPr>
            <w:tcW w:w="3828" w:type="dxa"/>
          </w:tcPr>
          <w:p w:rsidR="006C00E5" w:rsidRPr="006C00E5" w:rsidRDefault="006C00E5" w:rsidP="006C00E5">
            <w:pPr>
              <w:rPr>
                <w:rFonts w:eastAsiaTheme="minorHAnsi"/>
                <w:sz w:val="18"/>
                <w:szCs w:val="18"/>
                <w:lang w:eastAsia="en-US"/>
              </w:rPr>
            </w:pPr>
            <w:r w:rsidRPr="006C00E5">
              <w:rPr>
                <w:rFonts w:eastAsiaTheme="minorHAnsi"/>
                <w:sz w:val="18"/>
                <w:szCs w:val="18"/>
                <w:lang w:eastAsia="en-US"/>
              </w:rPr>
              <w:t>ОПЕК</w:t>
            </w:r>
          </w:p>
        </w:tc>
        <w:tc>
          <w:tcPr>
            <w:tcW w:w="1417" w:type="dxa"/>
            <w:vAlign w:val="center"/>
          </w:tcPr>
          <w:p w:rsidR="006C00E5" w:rsidRPr="006C00E5" w:rsidRDefault="006C00E5" w:rsidP="00AF4D22">
            <w:pPr>
              <w:jc w:val="right"/>
              <w:rPr>
                <w:rFonts w:eastAsiaTheme="minorHAnsi"/>
                <w:color w:val="000000"/>
                <w:sz w:val="18"/>
                <w:szCs w:val="18"/>
                <w:lang w:eastAsia="en-US"/>
              </w:rPr>
            </w:pPr>
            <w:r w:rsidRPr="006C00E5">
              <w:rPr>
                <w:rFonts w:eastAsiaTheme="minorHAnsi"/>
                <w:color w:val="000000"/>
                <w:sz w:val="18"/>
                <w:szCs w:val="18"/>
                <w:lang w:eastAsia="en-US"/>
              </w:rPr>
              <w:t>11.09.2025</w:t>
            </w:r>
          </w:p>
        </w:tc>
        <w:tc>
          <w:tcPr>
            <w:tcW w:w="1168" w:type="dxa"/>
            <w:shd w:val="clear" w:color="auto" w:fill="auto"/>
            <w:vAlign w:val="center"/>
          </w:tcPr>
          <w:p w:rsidR="006C00E5" w:rsidRPr="006C00E5" w:rsidRDefault="006C00E5" w:rsidP="006C00E5">
            <w:pPr>
              <w:jc w:val="right"/>
              <w:rPr>
                <w:rFonts w:eastAsiaTheme="minorHAnsi"/>
                <w:color w:val="000000"/>
                <w:sz w:val="18"/>
                <w:szCs w:val="18"/>
                <w:lang w:eastAsia="en-US"/>
              </w:rPr>
            </w:pPr>
            <w:r w:rsidRPr="006C00E5">
              <w:rPr>
                <w:rFonts w:eastAsiaTheme="minorHAnsi"/>
                <w:color w:val="000000"/>
                <w:sz w:val="18"/>
                <w:szCs w:val="18"/>
                <w:lang w:eastAsia="en-US"/>
              </w:rPr>
              <w:t>58,1</w:t>
            </w:r>
          </w:p>
        </w:tc>
        <w:tc>
          <w:tcPr>
            <w:tcW w:w="1168" w:type="dxa"/>
            <w:shd w:val="clear" w:color="auto" w:fill="auto"/>
            <w:vAlign w:val="center"/>
          </w:tcPr>
          <w:p w:rsidR="006C00E5" w:rsidRPr="006C00E5" w:rsidRDefault="006C00E5" w:rsidP="006C00E5">
            <w:pPr>
              <w:jc w:val="right"/>
              <w:rPr>
                <w:rFonts w:eastAsiaTheme="minorHAnsi"/>
                <w:color w:val="000000"/>
                <w:sz w:val="18"/>
                <w:szCs w:val="18"/>
                <w:lang w:eastAsia="en-US"/>
              </w:rPr>
            </w:pPr>
          </w:p>
        </w:tc>
        <w:tc>
          <w:tcPr>
            <w:tcW w:w="1168" w:type="dxa"/>
            <w:shd w:val="clear" w:color="auto" w:fill="auto"/>
            <w:vAlign w:val="center"/>
          </w:tcPr>
          <w:p w:rsidR="006C00E5" w:rsidRPr="006C00E5" w:rsidRDefault="006C00E5" w:rsidP="006C00E5">
            <w:pPr>
              <w:jc w:val="right"/>
              <w:rPr>
                <w:rFonts w:eastAsiaTheme="minorHAnsi"/>
                <w:color w:val="000000"/>
                <w:sz w:val="18"/>
                <w:szCs w:val="18"/>
                <w:lang w:eastAsia="en-US"/>
              </w:rPr>
            </w:pPr>
          </w:p>
        </w:tc>
        <w:tc>
          <w:tcPr>
            <w:tcW w:w="1169" w:type="dxa"/>
            <w:shd w:val="clear" w:color="auto" w:fill="auto"/>
            <w:vAlign w:val="center"/>
          </w:tcPr>
          <w:p w:rsidR="006C00E5" w:rsidRPr="006C00E5" w:rsidRDefault="006C00E5" w:rsidP="006C00E5">
            <w:pPr>
              <w:jc w:val="right"/>
              <w:rPr>
                <w:rFonts w:eastAsiaTheme="minorHAnsi"/>
                <w:color w:val="000000"/>
                <w:sz w:val="18"/>
                <w:szCs w:val="18"/>
                <w:lang w:eastAsia="en-US"/>
              </w:rPr>
            </w:pPr>
          </w:p>
        </w:tc>
      </w:tr>
      <w:tr w:rsidR="006C00E5" w:rsidRPr="006C00E5" w:rsidTr="00117315">
        <w:trPr>
          <w:jc w:val="center"/>
        </w:trPr>
        <w:tc>
          <w:tcPr>
            <w:tcW w:w="3828" w:type="dxa"/>
          </w:tcPr>
          <w:p w:rsidR="006C00E5" w:rsidRPr="006C00E5" w:rsidRDefault="006C00E5" w:rsidP="006C00E5">
            <w:pPr>
              <w:rPr>
                <w:rFonts w:eastAsiaTheme="minorHAnsi"/>
                <w:sz w:val="18"/>
                <w:szCs w:val="18"/>
                <w:lang w:eastAsia="en-US"/>
              </w:rPr>
            </w:pPr>
            <w:r w:rsidRPr="006C00E5">
              <w:rPr>
                <w:rFonts w:eastAsiaTheme="minorHAnsi"/>
                <w:sz w:val="18"/>
                <w:szCs w:val="18"/>
                <w:lang w:eastAsia="en-US"/>
              </w:rPr>
              <w:t>НИУ ВШЭ (консенсус-прогноз)</w:t>
            </w:r>
          </w:p>
        </w:tc>
        <w:tc>
          <w:tcPr>
            <w:tcW w:w="1417" w:type="dxa"/>
            <w:vAlign w:val="center"/>
          </w:tcPr>
          <w:p w:rsidR="006C00E5" w:rsidRPr="006C00E5" w:rsidRDefault="006C00E5" w:rsidP="00AF4D22">
            <w:pPr>
              <w:jc w:val="right"/>
              <w:rPr>
                <w:rFonts w:eastAsiaTheme="minorHAnsi"/>
                <w:color w:val="000000"/>
                <w:sz w:val="18"/>
                <w:szCs w:val="18"/>
                <w:lang w:eastAsia="en-US"/>
              </w:rPr>
            </w:pPr>
            <w:r w:rsidRPr="006C00E5">
              <w:rPr>
                <w:rFonts w:eastAsiaTheme="minorHAnsi"/>
                <w:color w:val="000000"/>
                <w:sz w:val="18"/>
                <w:szCs w:val="18"/>
                <w:lang w:eastAsia="en-US"/>
              </w:rPr>
              <w:t>19.08.2025</w:t>
            </w:r>
          </w:p>
        </w:tc>
        <w:tc>
          <w:tcPr>
            <w:tcW w:w="1168" w:type="dxa"/>
            <w:shd w:val="clear" w:color="auto" w:fill="auto"/>
            <w:vAlign w:val="center"/>
          </w:tcPr>
          <w:p w:rsidR="006C00E5" w:rsidRPr="006C00E5" w:rsidRDefault="006C00E5" w:rsidP="006C00E5">
            <w:pPr>
              <w:jc w:val="right"/>
              <w:rPr>
                <w:rFonts w:eastAsiaTheme="minorHAnsi"/>
                <w:color w:val="000000"/>
                <w:sz w:val="18"/>
                <w:szCs w:val="18"/>
                <w:lang w:eastAsia="en-US"/>
              </w:rPr>
            </w:pPr>
            <w:r w:rsidRPr="006C00E5">
              <w:rPr>
                <w:rFonts w:eastAsiaTheme="minorHAnsi"/>
                <w:color w:val="000000"/>
                <w:sz w:val="18"/>
                <w:szCs w:val="18"/>
                <w:lang w:eastAsia="en-US"/>
              </w:rPr>
              <w:t>58,6</w:t>
            </w:r>
          </w:p>
        </w:tc>
        <w:tc>
          <w:tcPr>
            <w:tcW w:w="1168" w:type="dxa"/>
            <w:shd w:val="clear" w:color="auto" w:fill="auto"/>
            <w:vAlign w:val="center"/>
          </w:tcPr>
          <w:p w:rsidR="006C00E5" w:rsidRPr="006C00E5" w:rsidRDefault="006C00E5" w:rsidP="006C00E5">
            <w:pPr>
              <w:jc w:val="right"/>
              <w:rPr>
                <w:rFonts w:eastAsiaTheme="minorHAnsi"/>
                <w:color w:val="000000"/>
                <w:sz w:val="18"/>
                <w:szCs w:val="18"/>
                <w:lang w:eastAsia="en-US"/>
              </w:rPr>
            </w:pPr>
            <w:r w:rsidRPr="006C00E5">
              <w:rPr>
                <w:rFonts w:eastAsiaTheme="minorHAnsi"/>
                <w:color w:val="000000"/>
                <w:sz w:val="18"/>
                <w:szCs w:val="18"/>
                <w:lang w:eastAsia="en-US"/>
              </w:rPr>
              <w:t>58</w:t>
            </w:r>
          </w:p>
        </w:tc>
        <w:tc>
          <w:tcPr>
            <w:tcW w:w="1168" w:type="dxa"/>
            <w:shd w:val="clear" w:color="auto" w:fill="auto"/>
            <w:vAlign w:val="center"/>
          </w:tcPr>
          <w:p w:rsidR="006C00E5" w:rsidRPr="006C00E5" w:rsidRDefault="006C00E5" w:rsidP="006C00E5">
            <w:pPr>
              <w:jc w:val="right"/>
              <w:rPr>
                <w:rFonts w:eastAsiaTheme="minorHAnsi"/>
                <w:color w:val="000000"/>
                <w:sz w:val="18"/>
                <w:szCs w:val="18"/>
                <w:lang w:eastAsia="en-US"/>
              </w:rPr>
            </w:pPr>
            <w:r w:rsidRPr="006C00E5">
              <w:rPr>
                <w:rFonts w:eastAsiaTheme="minorHAnsi"/>
                <w:color w:val="000000"/>
                <w:sz w:val="18"/>
                <w:szCs w:val="18"/>
                <w:lang w:eastAsia="en-US"/>
              </w:rPr>
              <w:t>59,6</w:t>
            </w:r>
          </w:p>
        </w:tc>
        <w:tc>
          <w:tcPr>
            <w:tcW w:w="1169" w:type="dxa"/>
            <w:shd w:val="clear" w:color="auto" w:fill="auto"/>
            <w:vAlign w:val="center"/>
          </w:tcPr>
          <w:p w:rsidR="006C00E5" w:rsidRPr="006C00E5" w:rsidRDefault="006C00E5" w:rsidP="006C00E5">
            <w:pPr>
              <w:jc w:val="right"/>
              <w:rPr>
                <w:rFonts w:eastAsiaTheme="minorHAnsi"/>
                <w:color w:val="000000"/>
                <w:sz w:val="18"/>
                <w:szCs w:val="18"/>
                <w:lang w:eastAsia="en-US"/>
              </w:rPr>
            </w:pPr>
            <w:r w:rsidRPr="006C00E5">
              <w:rPr>
                <w:rFonts w:eastAsiaTheme="minorHAnsi"/>
                <w:color w:val="000000"/>
                <w:sz w:val="18"/>
                <w:szCs w:val="18"/>
                <w:lang w:eastAsia="en-US"/>
              </w:rPr>
              <w:t>60,7</w:t>
            </w:r>
          </w:p>
        </w:tc>
      </w:tr>
    </w:tbl>
    <w:p w:rsidR="00E03692" w:rsidRPr="00D95433" w:rsidRDefault="00E03692" w:rsidP="00FC6D9F">
      <w:pPr>
        <w:widowControl w:val="0"/>
        <w:overflowPunct w:val="0"/>
        <w:autoSpaceDE w:val="0"/>
        <w:autoSpaceDN w:val="0"/>
        <w:adjustRightInd w:val="0"/>
        <w:spacing w:line="360" w:lineRule="auto"/>
        <w:ind w:firstLine="709"/>
        <w:jc w:val="both"/>
        <w:textAlignment w:val="baseline"/>
        <w:rPr>
          <w:rFonts w:eastAsiaTheme="minorEastAsia"/>
          <w:sz w:val="10"/>
          <w:szCs w:val="10"/>
        </w:rPr>
      </w:pPr>
    </w:p>
    <w:p w:rsidR="00393E8E" w:rsidRPr="00393E8E" w:rsidRDefault="00393E8E" w:rsidP="00393E8E">
      <w:pPr>
        <w:widowControl w:val="0"/>
        <w:overflowPunct w:val="0"/>
        <w:autoSpaceDE w:val="0"/>
        <w:autoSpaceDN w:val="0"/>
        <w:adjustRightInd w:val="0"/>
        <w:spacing w:line="360" w:lineRule="auto"/>
        <w:ind w:firstLine="709"/>
        <w:jc w:val="both"/>
        <w:textAlignment w:val="baseline"/>
        <w:rPr>
          <w:rFonts w:eastAsiaTheme="minorEastAsia"/>
        </w:rPr>
      </w:pPr>
      <w:r w:rsidRPr="00393E8E">
        <w:rPr>
          <w:rFonts w:eastAsiaTheme="minorEastAsia"/>
        </w:rPr>
        <w:t xml:space="preserve">Одновременно в соответствии с Прогнозом ожидается, что разница между ценой на нефть марки «Юралс» и «Брент» по мере «оптимизации логистики и дальнейшей </w:t>
      </w:r>
      <w:r w:rsidRPr="00393E8E">
        <w:rPr>
          <w:rFonts w:eastAsiaTheme="minorEastAsia"/>
        </w:rPr>
        <w:lastRenderedPageBreak/>
        <w:t>переориентации экспортных потоков» постепенно сократится с 12 долларов США в 2025 году до 7 долларов США в 2028 году.</w:t>
      </w:r>
    </w:p>
    <w:p w:rsidR="00393E8E" w:rsidRPr="00393E8E" w:rsidRDefault="00457809" w:rsidP="004C025B">
      <w:pPr>
        <w:widowControl w:val="0"/>
        <w:overflowPunct w:val="0"/>
        <w:autoSpaceDE w:val="0"/>
        <w:autoSpaceDN w:val="0"/>
        <w:adjustRightInd w:val="0"/>
        <w:spacing w:line="408" w:lineRule="auto"/>
        <w:ind w:firstLine="709"/>
        <w:jc w:val="both"/>
        <w:textAlignment w:val="baseline"/>
        <w:rPr>
          <w:rFonts w:eastAsiaTheme="minorEastAsia"/>
        </w:rPr>
      </w:pPr>
      <w:r>
        <w:rPr>
          <w:noProof/>
        </w:rPr>
        <w:drawing>
          <wp:anchor distT="0" distB="0" distL="114300" distR="114300" simplePos="0" relativeHeight="251677696" behindDoc="0" locked="0" layoutInCell="1" allowOverlap="1" wp14:anchorId="551A21A8" wp14:editId="668A0B96">
            <wp:simplePos x="0" y="0"/>
            <wp:positionH relativeFrom="column">
              <wp:posOffset>68580</wp:posOffset>
            </wp:positionH>
            <wp:positionV relativeFrom="paragraph">
              <wp:posOffset>44450</wp:posOffset>
            </wp:positionV>
            <wp:extent cx="3451225" cy="2563495"/>
            <wp:effectExtent l="0" t="0" r="0" b="8255"/>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393E8E" w:rsidRPr="00393E8E">
        <w:rPr>
          <w:rFonts w:eastAsiaTheme="minorEastAsia"/>
        </w:rPr>
        <w:t>Консервативный вариант Прогноза предполагает, что цена на нефть марки «Юралс» на прогнозном горизонте будет значительно ниже показателей 2025</w:t>
      </w:r>
      <w:r w:rsidR="006112B7">
        <w:rPr>
          <w:rFonts w:eastAsiaTheme="minorEastAsia"/>
        </w:rPr>
        <w:t> </w:t>
      </w:r>
      <w:r w:rsidR="00393E8E" w:rsidRPr="00393E8E">
        <w:rPr>
          <w:rFonts w:eastAsiaTheme="minorEastAsia"/>
        </w:rPr>
        <w:t>года, в том числе за счет менее выраженного сокращения дисконта. При реализации заложенных в консервативный вариант Прогноза рисков цена на нефть марки «Юралс» будет ниже планируемой базовой цены на нефть, что приведет к недополучению нефтегазовых доходов.</w:t>
      </w:r>
    </w:p>
    <w:p w:rsidR="00393E8E" w:rsidRDefault="00393E8E" w:rsidP="004C025B">
      <w:pPr>
        <w:widowControl w:val="0"/>
        <w:overflowPunct w:val="0"/>
        <w:autoSpaceDE w:val="0"/>
        <w:autoSpaceDN w:val="0"/>
        <w:adjustRightInd w:val="0"/>
        <w:spacing w:line="432" w:lineRule="auto"/>
        <w:ind w:firstLine="709"/>
        <w:jc w:val="both"/>
        <w:textAlignment w:val="baseline"/>
        <w:rPr>
          <w:rFonts w:eastAsiaTheme="minorEastAsia"/>
        </w:rPr>
      </w:pPr>
      <w:r w:rsidRPr="00393E8E">
        <w:rPr>
          <w:rFonts w:eastAsiaTheme="minorEastAsia"/>
        </w:rPr>
        <w:t xml:space="preserve">Также следует отметить, </w:t>
      </w:r>
      <w:r w:rsidRPr="00576527">
        <w:rPr>
          <w:rFonts w:eastAsiaTheme="minorEastAsia"/>
        </w:rPr>
        <w:t>что в пояснительной записке к проекту федерального закона</w:t>
      </w:r>
      <w:r w:rsidRPr="00393E8E">
        <w:rPr>
          <w:rFonts w:eastAsiaTheme="minorEastAsia"/>
        </w:rPr>
        <w:t xml:space="preserve"> «О федеральном бюджете на 2026 год и на плановый период 2027 и 2028</w:t>
      </w:r>
      <w:r w:rsidR="002023A7">
        <w:rPr>
          <w:rFonts w:eastAsiaTheme="minorEastAsia"/>
        </w:rPr>
        <w:t> </w:t>
      </w:r>
      <w:r w:rsidRPr="00393E8E">
        <w:rPr>
          <w:rFonts w:eastAsiaTheme="minorEastAsia"/>
        </w:rPr>
        <w:t>годов» в</w:t>
      </w:r>
      <w:r w:rsidR="004C025B">
        <w:rPr>
          <w:rFonts w:eastAsiaTheme="minorEastAsia"/>
        </w:rPr>
        <w:t> </w:t>
      </w:r>
      <w:r w:rsidRPr="00393E8E">
        <w:rPr>
          <w:rFonts w:eastAsiaTheme="minorEastAsia"/>
        </w:rPr>
        <w:t>таблице</w:t>
      </w:r>
      <w:r w:rsidR="0027089F">
        <w:rPr>
          <w:rFonts w:eastAsiaTheme="minorEastAsia"/>
        </w:rPr>
        <w:t> </w:t>
      </w:r>
      <w:r w:rsidRPr="00393E8E">
        <w:rPr>
          <w:rFonts w:eastAsiaTheme="minorEastAsia"/>
        </w:rPr>
        <w:t>2.1</w:t>
      </w:r>
      <w:r w:rsidR="0027089F">
        <w:rPr>
          <w:rFonts w:eastAsiaTheme="minorEastAsia"/>
        </w:rPr>
        <w:t> </w:t>
      </w:r>
      <w:r w:rsidRPr="00393E8E">
        <w:rPr>
          <w:rFonts w:eastAsiaTheme="minorEastAsia"/>
        </w:rPr>
        <w:t>«Основные макроэкономические показатели на 2026 год и на плановый период 2027 и 2028</w:t>
      </w:r>
      <w:r w:rsidR="002023A7">
        <w:rPr>
          <w:rFonts w:eastAsiaTheme="minorEastAsia"/>
        </w:rPr>
        <w:t> </w:t>
      </w:r>
      <w:r w:rsidR="007B79A5">
        <w:rPr>
          <w:rFonts w:eastAsiaTheme="minorEastAsia"/>
        </w:rPr>
        <w:t>годов»</w:t>
      </w:r>
      <w:r w:rsidRPr="00393E8E">
        <w:rPr>
          <w:rFonts w:eastAsiaTheme="minorEastAsia"/>
        </w:rPr>
        <w:t xml:space="preserve"> указана «экспортная цена на российскую нефть», тогда как приведены данные по цене на нефть марки «Юралс». </w:t>
      </w:r>
    </w:p>
    <w:p w:rsidR="0014650A" w:rsidRPr="0014650A" w:rsidRDefault="0014650A" w:rsidP="004C025B">
      <w:pPr>
        <w:widowControl w:val="0"/>
        <w:overflowPunct w:val="0"/>
        <w:autoSpaceDE w:val="0"/>
        <w:autoSpaceDN w:val="0"/>
        <w:adjustRightInd w:val="0"/>
        <w:spacing w:line="432" w:lineRule="auto"/>
        <w:ind w:firstLine="709"/>
        <w:jc w:val="both"/>
        <w:textAlignment w:val="baseline"/>
        <w:rPr>
          <w:rFonts w:eastAsiaTheme="minorEastAsia"/>
        </w:rPr>
      </w:pPr>
      <w:r w:rsidRPr="00576527">
        <w:rPr>
          <w:rFonts w:eastAsiaTheme="minorEastAsia"/>
        </w:rPr>
        <w:t>Аналогичное несоответствие содержится в таблице 2.2.1</w:t>
      </w:r>
      <w:r w:rsidRPr="0014650A">
        <w:rPr>
          <w:rFonts w:eastAsiaTheme="minorEastAsia"/>
        </w:rPr>
        <w:t xml:space="preserve"> Основных направлени</w:t>
      </w:r>
      <w:r>
        <w:rPr>
          <w:rFonts w:eastAsiaTheme="minorEastAsia"/>
        </w:rPr>
        <w:t>й</w:t>
      </w:r>
      <w:r w:rsidRPr="0014650A">
        <w:rPr>
          <w:rFonts w:eastAsiaTheme="minorEastAsia"/>
        </w:rPr>
        <w:t xml:space="preserve"> бюджетной, налоговой и таможенно-тарифной политики на 2026 год и на плановый период</w:t>
      </w:r>
      <w:r w:rsidR="00E83621">
        <w:rPr>
          <w:rFonts w:eastAsiaTheme="minorEastAsia"/>
        </w:rPr>
        <w:t> </w:t>
      </w:r>
      <w:r w:rsidRPr="0014650A">
        <w:rPr>
          <w:rFonts w:eastAsiaTheme="minorEastAsia"/>
        </w:rPr>
        <w:t xml:space="preserve">2027 и 2028 годов, внесенных в Государственную Думу </w:t>
      </w:r>
      <w:r w:rsidR="007B79A5">
        <w:rPr>
          <w:rFonts w:eastAsiaTheme="minorEastAsia"/>
        </w:rPr>
        <w:t>одновременно с</w:t>
      </w:r>
      <w:r w:rsidR="00E83621">
        <w:rPr>
          <w:rFonts w:eastAsiaTheme="minorEastAsia"/>
        </w:rPr>
        <w:t> </w:t>
      </w:r>
      <w:r w:rsidR="007B79A5">
        <w:rPr>
          <w:rFonts w:eastAsiaTheme="minorEastAsia"/>
        </w:rPr>
        <w:t>з</w:t>
      </w:r>
      <w:r w:rsidRPr="0014650A">
        <w:rPr>
          <w:rFonts w:eastAsiaTheme="minorEastAsia"/>
        </w:rPr>
        <w:t>аконопроектом.</w:t>
      </w:r>
    </w:p>
    <w:p w:rsidR="007B79A5" w:rsidRPr="007B79A5" w:rsidRDefault="00D046CD" w:rsidP="004C025B">
      <w:pPr>
        <w:widowControl w:val="0"/>
        <w:overflowPunct w:val="0"/>
        <w:autoSpaceDE w:val="0"/>
        <w:autoSpaceDN w:val="0"/>
        <w:adjustRightInd w:val="0"/>
        <w:spacing w:line="432" w:lineRule="auto"/>
        <w:ind w:firstLine="709"/>
        <w:jc w:val="both"/>
        <w:textAlignment w:val="baseline"/>
        <w:rPr>
          <w:rFonts w:eastAsiaTheme="minorEastAsia"/>
        </w:rPr>
      </w:pPr>
      <w:r w:rsidRPr="00304FA2">
        <w:rPr>
          <w:rFonts w:eastAsiaTheme="minorEastAsia"/>
          <w:b/>
        </w:rPr>
        <w:t>2.4.</w:t>
      </w:r>
      <w:r w:rsidRPr="00304FA2">
        <w:rPr>
          <w:rFonts w:eastAsiaTheme="minorEastAsia"/>
        </w:rPr>
        <w:t xml:space="preserve"> </w:t>
      </w:r>
      <w:r w:rsidR="007B79A5" w:rsidRPr="007B79A5">
        <w:rPr>
          <w:rFonts w:eastAsiaTheme="minorEastAsia"/>
        </w:rPr>
        <w:t xml:space="preserve">В соответствии с Прогнозом в 2025 году </w:t>
      </w:r>
      <w:r w:rsidR="007B79A5" w:rsidRPr="007B79A5">
        <w:rPr>
          <w:rFonts w:eastAsiaTheme="minorEastAsia"/>
          <w:b/>
        </w:rPr>
        <w:t>курс рубля</w:t>
      </w:r>
      <w:r w:rsidR="007B79A5" w:rsidRPr="007B79A5">
        <w:rPr>
          <w:rFonts w:eastAsiaTheme="minorEastAsia"/>
        </w:rPr>
        <w:t xml:space="preserve"> </w:t>
      </w:r>
      <w:r w:rsidR="008E5BBB">
        <w:rPr>
          <w:rFonts w:eastAsiaTheme="minorEastAsia"/>
        </w:rPr>
        <w:t>по сравнению с предыдущим годом</w:t>
      </w:r>
      <w:r w:rsidR="008E5BBB" w:rsidRPr="00B97216">
        <w:rPr>
          <w:rFonts w:eastAsiaTheme="minorEastAsia"/>
        </w:rPr>
        <w:t xml:space="preserve"> </w:t>
      </w:r>
      <w:r w:rsidR="007B79A5" w:rsidRPr="00B97216">
        <w:rPr>
          <w:rFonts w:eastAsiaTheme="minorEastAsia"/>
        </w:rPr>
        <w:t>укрепится на 6,9 %</w:t>
      </w:r>
      <w:r w:rsidR="007B79A5" w:rsidRPr="007B79A5">
        <w:rPr>
          <w:rFonts w:eastAsiaTheme="minorEastAsia"/>
        </w:rPr>
        <w:t xml:space="preserve"> до</w:t>
      </w:r>
      <w:r w:rsidR="007B79A5">
        <w:rPr>
          <w:rFonts w:eastAsiaTheme="minorEastAsia"/>
        </w:rPr>
        <w:t> </w:t>
      </w:r>
      <w:r w:rsidR="007B79A5" w:rsidRPr="007B79A5">
        <w:rPr>
          <w:rFonts w:eastAsiaTheme="minorEastAsia"/>
        </w:rPr>
        <w:t>86,1</w:t>
      </w:r>
      <w:r w:rsidR="007B79A5">
        <w:rPr>
          <w:rFonts w:eastAsiaTheme="minorEastAsia"/>
        </w:rPr>
        <w:t> </w:t>
      </w:r>
      <w:r w:rsidR="007B79A5" w:rsidRPr="007B79A5">
        <w:rPr>
          <w:rFonts w:eastAsiaTheme="minorEastAsia"/>
        </w:rPr>
        <w:t>рубля за доллар США. При этом ожидается, что во второй половине года курс рубля начнет ослабевать. Вероятно, до конца 2025 года на курс рубля будет оказывать давление турбулентная геополитическая ситуация, отмена правила обязательной продажи валютной выручки и начавшийся цикл смягчения денежно-кредитной политики.</w:t>
      </w:r>
    </w:p>
    <w:p w:rsidR="003A31D8" w:rsidRPr="003A31D8" w:rsidRDefault="003A31D8" w:rsidP="004C025B">
      <w:pPr>
        <w:widowControl w:val="0"/>
        <w:overflowPunct w:val="0"/>
        <w:autoSpaceDE w:val="0"/>
        <w:autoSpaceDN w:val="0"/>
        <w:adjustRightInd w:val="0"/>
        <w:spacing w:line="408" w:lineRule="auto"/>
        <w:ind w:firstLine="709"/>
        <w:jc w:val="both"/>
        <w:textAlignment w:val="baseline"/>
        <w:rPr>
          <w:rFonts w:eastAsiaTheme="minorEastAsia"/>
        </w:rPr>
      </w:pPr>
      <w:r w:rsidRPr="003A31D8">
        <w:rPr>
          <w:rFonts w:eastAsiaTheme="minorEastAsia"/>
        </w:rPr>
        <w:t xml:space="preserve">В дальнейшем на всем прогнозном горизонте предполагается поступательное ослабление </w:t>
      </w:r>
      <w:r w:rsidRPr="003A31D8">
        <w:rPr>
          <w:rFonts w:eastAsiaTheme="minorEastAsia"/>
          <w:bCs/>
        </w:rPr>
        <w:t>курса рубля</w:t>
      </w:r>
      <w:r w:rsidRPr="003A31D8">
        <w:rPr>
          <w:rFonts w:eastAsiaTheme="minorEastAsia"/>
        </w:rPr>
        <w:t>: на 16,3 % за три года до 100,1 рубля за доллар США в 2028 году.</w:t>
      </w:r>
    </w:p>
    <w:p w:rsidR="00304FA2" w:rsidRPr="00304FA2" w:rsidRDefault="00457809" w:rsidP="004C025B">
      <w:pPr>
        <w:widowControl w:val="0"/>
        <w:overflowPunct w:val="0"/>
        <w:autoSpaceDE w:val="0"/>
        <w:autoSpaceDN w:val="0"/>
        <w:adjustRightInd w:val="0"/>
        <w:spacing w:line="408" w:lineRule="auto"/>
        <w:ind w:firstLine="709"/>
        <w:jc w:val="both"/>
        <w:textAlignment w:val="baseline"/>
        <w:rPr>
          <w:rFonts w:eastAsiaTheme="minorEastAsia"/>
        </w:rPr>
      </w:pPr>
      <w:r w:rsidRPr="00457809">
        <w:rPr>
          <w:rFonts w:eastAsiaTheme="minorEastAsia"/>
        </w:rPr>
        <w:t xml:space="preserve">Следует отметить, что Прогноз не </w:t>
      </w:r>
      <w:r w:rsidR="00B77B20">
        <w:rPr>
          <w:rFonts w:eastAsiaTheme="minorEastAsia"/>
        </w:rPr>
        <w:t>содержит</w:t>
      </w:r>
      <w:r w:rsidR="00B77B20" w:rsidRPr="00457809">
        <w:rPr>
          <w:rFonts w:eastAsiaTheme="minorEastAsia"/>
        </w:rPr>
        <w:t xml:space="preserve"> </w:t>
      </w:r>
      <w:r w:rsidRPr="00457809">
        <w:rPr>
          <w:rFonts w:eastAsiaTheme="minorEastAsia"/>
        </w:rPr>
        <w:t xml:space="preserve">описание факторов, влияющих на динамику </w:t>
      </w:r>
      <w:r w:rsidRPr="00457809">
        <w:rPr>
          <w:rFonts w:eastAsiaTheme="minorEastAsia"/>
        </w:rPr>
        <w:lastRenderedPageBreak/>
        <w:t xml:space="preserve">курса национальной валюты. Однако, учитывая приведенные в Прогнозе данные, можно </w:t>
      </w:r>
      <w:r w:rsidR="00E83621">
        <w:rPr>
          <w:noProof/>
        </w:rPr>
        <w:drawing>
          <wp:anchor distT="0" distB="0" distL="114300" distR="114300" simplePos="0" relativeHeight="251679744" behindDoc="0" locked="0" layoutInCell="1" allowOverlap="1" wp14:anchorId="78BEB325" wp14:editId="46EB84B5">
            <wp:simplePos x="0" y="0"/>
            <wp:positionH relativeFrom="margin">
              <wp:posOffset>5715</wp:posOffset>
            </wp:positionH>
            <wp:positionV relativeFrom="paragraph">
              <wp:posOffset>104140</wp:posOffset>
            </wp:positionV>
            <wp:extent cx="3227070" cy="2276475"/>
            <wp:effectExtent l="0" t="0" r="0" b="0"/>
            <wp:wrapSquare wrapText="bothSides"/>
            <wp:docPr id="8" name="Диаграмма 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457809">
        <w:rPr>
          <w:rFonts w:eastAsiaTheme="minorEastAsia"/>
        </w:rPr>
        <w:t>предположить, что поддержку национальной валюте может оказать укрепление торгового баланса с</w:t>
      </w:r>
      <w:r w:rsidR="00E83621">
        <w:rPr>
          <w:rFonts w:eastAsiaTheme="minorEastAsia"/>
        </w:rPr>
        <w:t> </w:t>
      </w:r>
      <w:r w:rsidRPr="00457809">
        <w:rPr>
          <w:rFonts w:eastAsiaTheme="minorEastAsia"/>
        </w:rPr>
        <w:t>учетом предпосылки, что «спрос на товары традиционного экспорта России будет сохранятся со стороны основных торговых партнеров». Так, в соответствии с</w:t>
      </w:r>
      <w:r w:rsidR="00E83621">
        <w:rPr>
          <w:rFonts w:eastAsiaTheme="minorEastAsia"/>
        </w:rPr>
        <w:t> </w:t>
      </w:r>
      <w:r w:rsidRPr="00457809">
        <w:rPr>
          <w:rFonts w:eastAsiaTheme="minorEastAsia"/>
        </w:rPr>
        <w:t>Прогнозом размер торгового баланса вырастет с 4,2 % ВВП в 2025 году до 5,9 % в</w:t>
      </w:r>
      <w:r w:rsidR="00E83621">
        <w:rPr>
          <w:rFonts w:eastAsiaTheme="minorEastAsia"/>
        </w:rPr>
        <w:t> </w:t>
      </w:r>
      <w:r w:rsidRPr="00457809">
        <w:rPr>
          <w:rFonts w:eastAsiaTheme="minorEastAsia"/>
        </w:rPr>
        <w:t>2028 году на фоне опережающего рост</w:t>
      </w:r>
      <w:r w:rsidR="00FB0101">
        <w:rPr>
          <w:rFonts w:eastAsiaTheme="minorEastAsia"/>
        </w:rPr>
        <w:t xml:space="preserve">а экспорта товаров (на 13,3 % </w:t>
      </w:r>
      <w:r w:rsidR="00FB0101">
        <w:rPr>
          <w:rFonts w:eastAsiaTheme="minorEastAsia"/>
        </w:rPr>
        <w:br/>
        <w:t xml:space="preserve">в </w:t>
      </w:r>
      <w:r w:rsidRPr="00457809">
        <w:rPr>
          <w:rFonts w:eastAsiaTheme="minorEastAsia"/>
        </w:rPr>
        <w:t>реальном выражении за 2026–2028</w:t>
      </w:r>
      <w:r w:rsidR="00C16DE4">
        <w:rPr>
          <w:rFonts w:eastAsiaTheme="minorEastAsia"/>
        </w:rPr>
        <w:t> </w:t>
      </w:r>
      <w:r w:rsidRPr="00457809">
        <w:rPr>
          <w:rFonts w:eastAsiaTheme="minorEastAsia"/>
        </w:rPr>
        <w:t>годы), в</w:t>
      </w:r>
      <w:r w:rsidR="00E83621">
        <w:rPr>
          <w:rFonts w:eastAsiaTheme="minorEastAsia"/>
        </w:rPr>
        <w:t> </w:t>
      </w:r>
      <w:r w:rsidRPr="00457809">
        <w:rPr>
          <w:rFonts w:eastAsiaTheme="minorEastAsia"/>
        </w:rPr>
        <w:t>том числе ненефтегазовой составляющей (на 15,7 %). При этом следует отметить, что усиление санкционного давления может оказать сдерживающее влияние на динамику экспорта</w:t>
      </w:r>
      <w:r w:rsidR="00B77B20">
        <w:rPr>
          <w:rFonts w:eastAsiaTheme="minorEastAsia"/>
        </w:rPr>
        <w:t>.</w:t>
      </w:r>
    </w:p>
    <w:p w:rsidR="00C16DE4" w:rsidRPr="00FE1CB6" w:rsidRDefault="00C16DE4" w:rsidP="00C16DE4">
      <w:pPr>
        <w:widowControl w:val="0"/>
        <w:overflowPunct w:val="0"/>
        <w:autoSpaceDE w:val="0"/>
        <w:autoSpaceDN w:val="0"/>
        <w:adjustRightInd w:val="0"/>
        <w:spacing w:line="360" w:lineRule="auto"/>
        <w:ind w:firstLine="709"/>
        <w:jc w:val="both"/>
        <w:textAlignment w:val="baseline"/>
        <w:rPr>
          <w:rFonts w:eastAsiaTheme="minorEastAsia"/>
        </w:rPr>
      </w:pPr>
      <w:r w:rsidRPr="00C16DE4">
        <w:rPr>
          <w:rFonts w:eastAsiaTheme="minorEastAsia"/>
        </w:rPr>
        <w:t xml:space="preserve">Таким образом, по мнению Счетной палаты, приведенная в прогнозе динамика национальной валюты требует дополнительных обоснований, в том числе описания ключевых </w:t>
      </w:r>
      <w:r w:rsidRPr="00FE1CB6">
        <w:rPr>
          <w:rFonts w:eastAsiaTheme="minorEastAsia"/>
        </w:rPr>
        <w:t>факторов, которые будут оказывать влияние на курс рубля в среднесрочной перспективе.</w:t>
      </w:r>
    </w:p>
    <w:p w:rsidR="00FE1CB6" w:rsidRPr="00FE1CB6" w:rsidRDefault="006C5A27" w:rsidP="00FE1CB6">
      <w:pPr>
        <w:widowControl w:val="0"/>
        <w:overflowPunct w:val="0"/>
        <w:autoSpaceDE w:val="0"/>
        <w:autoSpaceDN w:val="0"/>
        <w:adjustRightInd w:val="0"/>
        <w:spacing w:line="360" w:lineRule="auto"/>
        <w:ind w:firstLine="709"/>
        <w:jc w:val="both"/>
        <w:textAlignment w:val="baseline"/>
      </w:pPr>
      <w:r w:rsidRPr="00FE1CB6">
        <w:rPr>
          <w:b/>
        </w:rPr>
        <w:t>2.5.</w:t>
      </w:r>
      <w:r w:rsidRPr="00FE1CB6">
        <w:t xml:space="preserve"> </w:t>
      </w:r>
      <w:r w:rsidR="00FE1CB6" w:rsidRPr="00FE1CB6">
        <w:t>В Прогнозе предполагается, что к концу 2025</w:t>
      </w:r>
      <w:r w:rsidR="00FE1CB6">
        <w:t> </w:t>
      </w:r>
      <w:r w:rsidR="00FE1CB6" w:rsidRPr="00FE1CB6">
        <w:t xml:space="preserve">года </w:t>
      </w:r>
      <w:r w:rsidR="00FE1CB6" w:rsidRPr="00FE1CB6">
        <w:rPr>
          <w:b/>
          <w:bCs/>
        </w:rPr>
        <w:t>инфляция</w:t>
      </w:r>
      <w:r w:rsidR="00FE1CB6" w:rsidRPr="00FE1CB6">
        <w:t xml:space="preserve"> замедлится до 6,8 % с</w:t>
      </w:r>
      <w:r w:rsidR="00FE1CB6">
        <w:t> </w:t>
      </w:r>
      <w:r w:rsidR="00FE1CB6" w:rsidRPr="00FE1CB6">
        <w:t>уровня 8,0 %</w:t>
      </w:r>
      <w:r w:rsidR="00FE1CB6" w:rsidRPr="00FE1CB6">
        <w:rPr>
          <w:vertAlign w:val="superscript"/>
        </w:rPr>
        <w:footnoteReference w:id="6"/>
      </w:r>
      <w:r w:rsidR="00FE1CB6" w:rsidRPr="00FE1CB6">
        <w:t xml:space="preserve"> в годовом выражении по состоянию на 22 сентября </w:t>
      </w:r>
      <w:r w:rsidR="00FE1CB6">
        <w:t xml:space="preserve">2025 года </w:t>
      </w:r>
      <w:r w:rsidR="00FE1CB6" w:rsidRPr="00FE1CB6">
        <w:t>(8,1 % в августе в годовом выражении). С учетом отчетных данных и сезонного ускорения роста цен в конце года для достижения прогнозного показателя ежемесячная инфляция в сентябре</w:t>
      </w:r>
      <w:r w:rsidR="00FE1CB6">
        <w:t> </w:t>
      </w:r>
      <w:r w:rsidR="00FE1CB6" w:rsidRPr="00FE1CB6">
        <w:t>–</w:t>
      </w:r>
      <w:r w:rsidR="00FE1CB6">
        <w:t> </w:t>
      </w:r>
      <w:r w:rsidR="00FE1CB6" w:rsidRPr="00FE1CB6">
        <w:t>декабре 2025</w:t>
      </w:r>
      <w:r w:rsidR="00FE1CB6">
        <w:t> </w:t>
      </w:r>
      <w:r w:rsidR="00FE1CB6" w:rsidRPr="00FE1CB6">
        <w:t>года в среднем не должна превышать 0,7 %, что представляется реалистичным при отсутствии внешних шоков и резкого изменения исходных условий. В конце года дополнительное давление на инфляцию может оказать перенос индексации пассажирских перевозок железнодорожным транспортом с</w:t>
      </w:r>
      <w:r w:rsidR="00FE1CB6">
        <w:t> </w:t>
      </w:r>
      <w:r w:rsidR="00FE1CB6" w:rsidRPr="00FE1CB6">
        <w:t>1</w:t>
      </w:r>
      <w:r w:rsidR="00FE1CB6">
        <w:t> </w:t>
      </w:r>
      <w:r w:rsidR="00FE1CB6" w:rsidRPr="00FE1CB6">
        <w:t>января 2026</w:t>
      </w:r>
      <w:r w:rsidR="00FE1CB6">
        <w:t> </w:t>
      </w:r>
      <w:r w:rsidR="00FE1CB6" w:rsidRPr="00FE1CB6">
        <w:t>года на</w:t>
      </w:r>
      <w:r w:rsidR="00FE1CB6">
        <w:t> </w:t>
      </w:r>
      <w:r w:rsidR="00FE1CB6" w:rsidRPr="00FE1CB6">
        <w:t>1</w:t>
      </w:r>
      <w:r w:rsidR="00FE1CB6">
        <w:t> </w:t>
      </w:r>
      <w:r w:rsidR="00FE1CB6" w:rsidRPr="00FE1CB6">
        <w:t>декабря 2025</w:t>
      </w:r>
      <w:r w:rsidR="00FE1CB6">
        <w:t> </w:t>
      </w:r>
      <w:r w:rsidR="00FE1CB6" w:rsidRPr="00FE1CB6">
        <w:t>года (на 11,4 %).</w:t>
      </w:r>
    </w:p>
    <w:p w:rsidR="00FE1CB6" w:rsidRPr="00FE1CB6" w:rsidRDefault="00FE1CB6" w:rsidP="00FE1CB6">
      <w:pPr>
        <w:widowControl w:val="0"/>
        <w:overflowPunct w:val="0"/>
        <w:autoSpaceDE w:val="0"/>
        <w:autoSpaceDN w:val="0"/>
        <w:adjustRightInd w:val="0"/>
        <w:spacing w:line="360" w:lineRule="auto"/>
        <w:ind w:firstLine="709"/>
        <w:jc w:val="both"/>
        <w:textAlignment w:val="baseline"/>
      </w:pPr>
      <w:r w:rsidRPr="00FE1CB6">
        <w:t>Согласно Прогнозу инфляция достигнет целевого уровня (4,0 %) уже по итогам 2026</w:t>
      </w:r>
      <w:r>
        <w:t> </w:t>
      </w:r>
      <w:r w:rsidRPr="00FE1CB6">
        <w:t>года и сохранится на этом уровне до конца прогнозного горизонта, что соответствует базовому сценарию прогноза Банка России в составе Основных направлений единой государственной денежно-кредитной политики на 2026 год и период 2027 и 2028 годов (далее</w:t>
      </w:r>
      <w:r>
        <w:t> </w:t>
      </w:r>
      <w:r w:rsidRPr="00FE1CB6">
        <w:t>– ОНЕГДКП 2026</w:t>
      </w:r>
      <w:r w:rsidR="00E83621">
        <w:t>–</w:t>
      </w:r>
      <w:r w:rsidRPr="00FE1CB6">
        <w:t xml:space="preserve">2028). Счетная палата неоднократно отмечала, что подобная динамика инфляции свидетельствует </w:t>
      </w:r>
      <w:r w:rsidRPr="00B97216">
        <w:t>о</w:t>
      </w:r>
      <w:r w:rsidRPr="00FE1CB6">
        <w:t xml:space="preserve"> ее целевом характере, не зависящем от текущей ситуации и варианта прогноза.</w:t>
      </w:r>
    </w:p>
    <w:p w:rsidR="00677D1F" w:rsidRPr="00677D1F" w:rsidRDefault="00677D1F" w:rsidP="00AE425B">
      <w:pPr>
        <w:overflowPunct w:val="0"/>
        <w:autoSpaceDE w:val="0"/>
        <w:autoSpaceDN w:val="0"/>
        <w:adjustRightInd w:val="0"/>
        <w:spacing w:line="360" w:lineRule="auto"/>
        <w:ind w:firstLine="709"/>
        <w:jc w:val="both"/>
        <w:textAlignment w:val="baseline"/>
      </w:pPr>
      <w:r w:rsidRPr="00677D1F">
        <w:lastRenderedPageBreak/>
        <w:t>В структуре инфляции ожидается опережающий рост цен на услуги (на 14,9 % за три года) при менее выраженном удорожании продовольственных и непродовольственных товаров (на 11,4 % и 11,6 % соответственно).</w:t>
      </w:r>
    </w:p>
    <w:p w:rsidR="00FE1CB6" w:rsidRPr="00FE1CB6" w:rsidRDefault="00EF4AFF" w:rsidP="00EF4AFF">
      <w:pPr>
        <w:widowControl w:val="0"/>
        <w:overflowPunct w:val="0"/>
        <w:autoSpaceDE w:val="0"/>
        <w:autoSpaceDN w:val="0"/>
        <w:adjustRightInd w:val="0"/>
        <w:spacing w:line="360" w:lineRule="auto"/>
        <w:jc w:val="both"/>
        <w:textAlignment w:val="baseline"/>
      </w:pPr>
      <w:r>
        <w:rPr>
          <w:noProof/>
        </w:rPr>
        <w:drawing>
          <wp:inline distT="0" distB="0" distL="0" distR="0" wp14:anchorId="19858306" wp14:editId="32004F27">
            <wp:extent cx="6297433" cy="3299791"/>
            <wp:effectExtent l="0" t="0" r="8255" b="0"/>
            <wp:docPr id="527916543" name="Диаграмма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F4AFF" w:rsidRPr="00EF4AFF" w:rsidRDefault="00EF4AFF" w:rsidP="00EF4AFF">
      <w:pPr>
        <w:widowControl w:val="0"/>
        <w:overflowPunct w:val="0"/>
        <w:autoSpaceDE w:val="0"/>
        <w:autoSpaceDN w:val="0"/>
        <w:adjustRightInd w:val="0"/>
        <w:spacing w:line="360" w:lineRule="auto"/>
        <w:ind w:firstLine="709"/>
        <w:jc w:val="both"/>
        <w:textAlignment w:val="baseline"/>
      </w:pPr>
      <w:r w:rsidRPr="00EF4AFF">
        <w:t>Существенный рост цен на услуги связан с удорожанием жилищно-коммунальных услуг</w:t>
      </w:r>
      <w:r>
        <w:t> </w:t>
      </w:r>
      <w:r w:rsidRPr="00EF4AFF">
        <w:t>– на 25,6 % за три года из-за роста тарифов на товары и услуги хозяйствующих субъектов, осуществляющих регулируемые виды деятельности в инфраструктурном секторе, и, по мнению Счетной палаты, является фактором риска для снижения инфляция до 4 % к концу 2026</w:t>
      </w:r>
      <w:r>
        <w:t> </w:t>
      </w:r>
      <w:r w:rsidRPr="00EF4AFF">
        <w:t xml:space="preserve">года. Альтернативные прогнозы российских научных организаций также предполагают более плавное замедление динамики потребительских цен, чем это предусмотрено в Прогнозе. </w:t>
      </w:r>
    </w:p>
    <w:p w:rsidR="00EF4AFF" w:rsidRPr="00EF4AFF" w:rsidRDefault="00EF4AFF" w:rsidP="00EF4AFF">
      <w:pPr>
        <w:widowControl w:val="0"/>
        <w:overflowPunct w:val="0"/>
        <w:autoSpaceDE w:val="0"/>
        <w:autoSpaceDN w:val="0"/>
        <w:adjustRightInd w:val="0"/>
        <w:spacing w:line="360" w:lineRule="auto"/>
        <w:ind w:firstLine="709"/>
        <w:jc w:val="both"/>
        <w:textAlignment w:val="baseline"/>
      </w:pPr>
      <w:r w:rsidRPr="00EF4AFF">
        <w:t>Наиболее актуальные прогнозы инфляции в России приведены в следующей таблице.</w:t>
      </w:r>
    </w:p>
    <w:p w:rsidR="00EF4AFF" w:rsidRPr="00EF4AFF" w:rsidRDefault="00EF4AFF" w:rsidP="00A41FDB">
      <w:pPr>
        <w:widowControl w:val="0"/>
        <w:overflowPunct w:val="0"/>
        <w:autoSpaceDE w:val="0"/>
        <w:autoSpaceDN w:val="0"/>
        <w:adjustRightInd w:val="0"/>
        <w:ind w:firstLine="709"/>
        <w:jc w:val="right"/>
        <w:textAlignment w:val="baseline"/>
        <w:rPr>
          <w:sz w:val="18"/>
          <w:szCs w:val="18"/>
        </w:rPr>
      </w:pPr>
      <w:r w:rsidRPr="00EF4AFF">
        <w:rPr>
          <w:sz w:val="18"/>
          <w:szCs w:val="18"/>
        </w:rPr>
        <w:t>(%)</w:t>
      </w:r>
    </w:p>
    <w:tbl>
      <w:tblPr>
        <w:tblStyle w:val="913"/>
        <w:tblW w:w="0" w:type="auto"/>
        <w:jc w:val="center"/>
        <w:tblLook w:val="04A0" w:firstRow="1" w:lastRow="0" w:firstColumn="1" w:lastColumn="0" w:noHBand="0" w:noVBand="1"/>
      </w:tblPr>
      <w:tblGrid>
        <w:gridCol w:w="3256"/>
        <w:gridCol w:w="1417"/>
        <w:gridCol w:w="1047"/>
        <w:gridCol w:w="1048"/>
        <w:gridCol w:w="1048"/>
        <w:gridCol w:w="1048"/>
        <w:gridCol w:w="1048"/>
      </w:tblGrid>
      <w:tr w:rsidR="00EF4AFF" w:rsidRPr="00EF4AFF" w:rsidTr="00EF4AFF">
        <w:trPr>
          <w:tblHeader/>
          <w:jc w:val="center"/>
        </w:trPr>
        <w:tc>
          <w:tcPr>
            <w:tcW w:w="3256" w:type="dxa"/>
          </w:tcPr>
          <w:p w:rsidR="00EF4AFF" w:rsidRPr="00EF4AFF" w:rsidRDefault="00EF4AFF" w:rsidP="00A41FDB">
            <w:pPr>
              <w:jc w:val="center"/>
              <w:rPr>
                <w:rFonts w:eastAsiaTheme="minorHAnsi"/>
                <w:b/>
                <w:sz w:val="18"/>
                <w:szCs w:val="18"/>
                <w:lang w:eastAsia="en-US"/>
              </w:rPr>
            </w:pPr>
            <w:r w:rsidRPr="00EF4AFF">
              <w:rPr>
                <w:rFonts w:eastAsiaTheme="minorHAnsi"/>
                <w:b/>
                <w:sz w:val="18"/>
                <w:szCs w:val="18"/>
                <w:lang w:eastAsia="en-US"/>
              </w:rPr>
              <w:t>Организация</w:t>
            </w:r>
          </w:p>
        </w:tc>
        <w:tc>
          <w:tcPr>
            <w:tcW w:w="1417" w:type="dxa"/>
          </w:tcPr>
          <w:p w:rsidR="00EF4AFF" w:rsidRPr="00EF4AFF" w:rsidRDefault="00EF4AFF" w:rsidP="00A41FDB">
            <w:pPr>
              <w:jc w:val="center"/>
              <w:rPr>
                <w:rFonts w:eastAsiaTheme="minorHAnsi"/>
                <w:b/>
                <w:sz w:val="18"/>
                <w:szCs w:val="18"/>
                <w:lang w:eastAsia="en-US"/>
              </w:rPr>
            </w:pPr>
            <w:r w:rsidRPr="00EF4AFF">
              <w:rPr>
                <w:rFonts w:eastAsiaTheme="minorHAnsi"/>
                <w:b/>
                <w:sz w:val="18"/>
                <w:szCs w:val="18"/>
                <w:lang w:eastAsia="en-US"/>
              </w:rPr>
              <w:t>Дата</w:t>
            </w:r>
          </w:p>
        </w:tc>
        <w:tc>
          <w:tcPr>
            <w:tcW w:w="1047" w:type="dxa"/>
            <w:vAlign w:val="center"/>
          </w:tcPr>
          <w:p w:rsidR="00EF4AFF" w:rsidRPr="00EF4AFF" w:rsidRDefault="00EF4AFF" w:rsidP="00A41FDB">
            <w:pPr>
              <w:jc w:val="center"/>
              <w:rPr>
                <w:rFonts w:eastAsiaTheme="minorHAnsi"/>
                <w:b/>
                <w:sz w:val="18"/>
                <w:szCs w:val="18"/>
                <w:lang w:eastAsia="en-US"/>
              </w:rPr>
            </w:pPr>
            <w:r w:rsidRPr="00EF4AFF">
              <w:rPr>
                <w:rFonts w:eastAsiaTheme="minorHAnsi"/>
                <w:b/>
                <w:sz w:val="18"/>
                <w:szCs w:val="18"/>
                <w:lang w:eastAsia="en-US"/>
              </w:rPr>
              <w:t>2024</w:t>
            </w:r>
          </w:p>
        </w:tc>
        <w:tc>
          <w:tcPr>
            <w:tcW w:w="1048" w:type="dxa"/>
            <w:vAlign w:val="center"/>
          </w:tcPr>
          <w:p w:rsidR="00EF4AFF" w:rsidRPr="00EF4AFF" w:rsidRDefault="00EF4AFF" w:rsidP="00A41FDB">
            <w:pPr>
              <w:jc w:val="center"/>
              <w:rPr>
                <w:rFonts w:eastAsiaTheme="minorHAnsi"/>
                <w:b/>
                <w:sz w:val="18"/>
                <w:szCs w:val="18"/>
                <w:lang w:eastAsia="en-US"/>
              </w:rPr>
            </w:pPr>
            <w:r w:rsidRPr="00EF4AFF">
              <w:rPr>
                <w:rFonts w:eastAsiaTheme="minorHAnsi"/>
                <w:b/>
                <w:sz w:val="18"/>
                <w:szCs w:val="18"/>
                <w:lang w:eastAsia="en-US"/>
              </w:rPr>
              <w:t>2025</w:t>
            </w:r>
          </w:p>
        </w:tc>
        <w:tc>
          <w:tcPr>
            <w:tcW w:w="1048" w:type="dxa"/>
          </w:tcPr>
          <w:p w:rsidR="00EF4AFF" w:rsidRPr="00EF4AFF" w:rsidRDefault="00EF4AFF" w:rsidP="00A41FDB">
            <w:pPr>
              <w:jc w:val="center"/>
              <w:rPr>
                <w:rFonts w:eastAsiaTheme="minorHAnsi"/>
                <w:b/>
                <w:sz w:val="18"/>
                <w:szCs w:val="18"/>
                <w:lang w:eastAsia="en-US"/>
              </w:rPr>
            </w:pPr>
            <w:r w:rsidRPr="00EF4AFF">
              <w:rPr>
                <w:rFonts w:eastAsiaTheme="minorHAnsi"/>
                <w:b/>
                <w:sz w:val="18"/>
                <w:szCs w:val="18"/>
                <w:lang w:eastAsia="en-US"/>
              </w:rPr>
              <w:t>2026</w:t>
            </w:r>
          </w:p>
        </w:tc>
        <w:tc>
          <w:tcPr>
            <w:tcW w:w="1048" w:type="dxa"/>
          </w:tcPr>
          <w:p w:rsidR="00EF4AFF" w:rsidRPr="00EF4AFF" w:rsidRDefault="00EF4AFF" w:rsidP="00A41FDB">
            <w:pPr>
              <w:jc w:val="center"/>
              <w:rPr>
                <w:rFonts w:eastAsiaTheme="minorHAnsi"/>
                <w:b/>
                <w:sz w:val="18"/>
                <w:szCs w:val="18"/>
                <w:lang w:eastAsia="en-US"/>
              </w:rPr>
            </w:pPr>
            <w:r w:rsidRPr="00EF4AFF">
              <w:rPr>
                <w:rFonts w:eastAsiaTheme="minorHAnsi"/>
                <w:b/>
                <w:sz w:val="18"/>
                <w:szCs w:val="18"/>
                <w:lang w:val="en-US" w:eastAsia="en-US"/>
              </w:rPr>
              <w:t>202</w:t>
            </w:r>
            <w:r w:rsidRPr="00EF4AFF">
              <w:rPr>
                <w:rFonts w:eastAsiaTheme="minorHAnsi"/>
                <w:b/>
                <w:sz w:val="18"/>
                <w:szCs w:val="18"/>
                <w:lang w:eastAsia="en-US"/>
              </w:rPr>
              <w:t>7</w:t>
            </w:r>
          </w:p>
        </w:tc>
        <w:tc>
          <w:tcPr>
            <w:tcW w:w="1048" w:type="dxa"/>
          </w:tcPr>
          <w:p w:rsidR="00EF4AFF" w:rsidRPr="00EF4AFF" w:rsidRDefault="00EF4AFF" w:rsidP="00A41FDB">
            <w:pPr>
              <w:jc w:val="center"/>
              <w:rPr>
                <w:rFonts w:eastAsiaTheme="minorHAnsi"/>
                <w:b/>
                <w:sz w:val="18"/>
                <w:szCs w:val="18"/>
                <w:lang w:eastAsia="en-US"/>
              </w:rPr>
            </w:pPr>
            <w:r w:rsidRPr="00EF4AFF">
              <w:rPr>
                <w:rFonts w:eastAsiaTheme="minorHAnsi"/>
                <w:b/>
                <w:sz w:val="18"/>
                <w:szCs w:val="18"/>
                <w:lang w:val="en-US" w:eastAsia="en-US"/>
              </w:rPr>
              <w:t>202</w:t>
            </w:r>
            <w:r w:rsidRPr="00EF4AFF">
              <w:rPr>
                <w:rFonts w:eastAsiaTheme="minorHAnsi"/>
                <w:b/>
                <w:sz w:val="18"/>
                <w:szCs w:val="18"/>
                <w:lang w:eastAsia="en-US"/>
              </w:rPr>
              <w:t>8</w:t>
            </w:r>
          </w:p>
        </w:tc>
      </w:tr>
      <w:tr w:rsidR="00EF4AFF" w:rsidRPr="00EF4AFF" w:rsidTr="00117315">
        <w:trPr>
          <w:jc w:val="center"/>
        </w:trPr>
        <w:tc>
          <w:tcPr>
            <w:tcW w:w="3256" w:type="dxa"/>
          </w:tcPr>
          <w:p w:rsidR="00EF4AFF" w:rsidRPr="00EF4AFF" w:rsidRDefault="00EF4AFF" w:rsidP="00EF4AFF">
            <w:pPr>
              <w:rPr>
                <w:rFonts w:eastAsiaTheme="minorHAnsi"/>
                <w:b/>
                <w:sz w:val="18"/>
                <w:szCs w:val="18"/>
                <w:highlight w:val="yellow"/>
                <w:lang w:eastAsia="en-US"/>
              </w:rPr>
            </w:pPr>
            <w:r w:rsidRPr="00EF4AFF">
              <w:rPr>
                <w:rFonts w:eastAsiaTheme="minorHAnsi"/>
                <w:b/>
                <w:sz w:val="18"/>
                <w:szCs w:val="18"/>
                <w:lang w:eastAsia="en-US"/>
              </w:rPr>
              <w:t xml:space="preserve">Минэкономразвития России </w:t>
            </w:r>
            <w:r w:rsidRPr="00EF4AFF">
              <w:rPr>
                <w:rFonts w:eastAsiaTheme="minorHAnsi"/>
                <w:sz w:val="18"/>
                <w:szCs w:val="18"/>
                <w:lang w:eastAsia="en-US"/>
              </w:rPr>
              <w:t>(базовый вариант Прогноза)</w:t>
            </w:r>
          </w:p>
        </w:tc>
        <w:tc>
          <w:tcPr>
            <w:tcW w:w="1417" w:type="dxa"/>
            <w:vAlign w:val="center"/>
          </w:tcPr>
          <w:p w:rsidR="00EF4AFF" w:rsidRPr="00EF4AFF" w:rsidRDefault="00EF4AFF" w:rsidP="00EF4AFF">
            <w:pPr>
              <w:jc w:val="center"/>
              <w:rPr>
                <w:rFonts w:eastAsiaTheme="minorHAnsi"/>
                <w:b/>
                <w:sz w:val="18"/>
                <w:szCs w:val="18"/>
                <w:highlight w:val="yellow"/>
                <w:lang w:eastAsia="en-US"/>
              </w:rPr>
            </w:pPr>
            <w:r w:rsidRPr="00EF4AFF">
              <w:rPr>
                <w:rFonts w:eastAsiaTheme="minorHAnsi"/>
                <w:b/>
                <w:sz w:val="18"/>
                <w:szCs w:val="18"/>
                <w:lang w:eastAsia="en-US"/>
              </w:rPr>
              <w:t>26.09.2025</w:t>
            </w:r>
          </w:p>
        </w:tc>
        <w:tc>
          <w:tcPr>
            <w:tcW w:w="1047" w:type="dxa"/>
            <w:vMerge w:val="restart"/>
            <w:vAlign w:val="center"/>
          </w:tcPr>
          <w:p w:rsidR="00EF4AFF" w:rsidRPr="00EF4AFF" w:rsidRDefault="00EF4AFF" w:rsidP="00EF4AFF">
            <w:pPr>
              <w:jc w:val="center"/>
              <w:rPr>
                <w:rFonts w:eastAsiaTheme="minorHAnsi"/>
                <w:color w:val="000000"/>
                <w:sz w:val="18"/>
                <w:szCs w:val="18"/>
                <w:lang w:eastAsia="en-US"/>
              </w:rPr>
            </w:pPr>
            <w:r w:rsidRPr="00EF4AFF">
              <w:rPr>
                <w:rFonts w:eastAsiaTheme="minorHAnsi"/>
                <w:color w:val="000000"/>
                <w:sz w:val="18"/>
                <w:szCs w:val="18"/>
                <w:lang w:eastAsia="en-US"/>
              </w:rPr>
              <w:t>9,5</w:t>
            </w:r>
          </w:p>
        </w:tc>
        <w:tc>
          <w:tcPr>
            <w:tcW w:w="1048" w:type="dxa"/>
            <w:vAlign w:val="center"/>
          </w:tcPr>
          <w:p w:rsidR="00EF4AFF" w:rsidRPr="00EF4AFF" w:rsidRDefault="00EF4AFF" w:rsidP="00EF4AFF">
            <w:pPr>
              <w:jc w:val="right"/>
              <w:rPr>
                <w:rFonts w:eastAsiaTheme="minorHAnsi"/>
                <w:b/>
                <w:color w:val="000000"/>
                <w:sz w:val="18"/>
                <w:szCs w:val="18"/>
                <w:lang w:eastAsia="en-US"/>
              </w:rPr>
            </w:pPr>
            <w:r w:rsidRPr="00EF4AFF">
              <w:rPr>
                <w:rFonts w:eastAsiaTheme="minorHAnsi"/>
                <w:b/>
                <w:color w:val="000000"/>
                <w:sz w:val="18"/>
                <w:szCs w:val="18"/>
                <w:lang w:eastAsia="en-US"/>
              </w:rPr>
              <w:t>6,8</w:t>
            </w:r>
          </w:p>
        </w:tc>
        <w:tc>
          <w:tcPr>
            <w:tcW w:w="1048" w:type="dxa"/>
            <w:vAlign w:val="center"/>
          </w:tcPr>
          <w:p w:rsidR="00EF4AFF" w:rsidRPr="00EF4AFF" w:rsidRDefault="00EF4AFF" w:rsidP="00EF4AFF">
            <w:pPr>
              <w:jc w:val="right"/>
              <w:rPr>
                <w:rFonts w:eastAsiaTheme="minorHAnsi"/>
                <w:b/>
                <w:color w:val="000000"/>
                <w:sz w:val="18"/>
                <w:szCs w:val="18"/>
                <w:lang w:eastAsia="en-US"/>
              </w:rPr>
            </w:pPr>
            <w:r w:rsidRPr="00EF4AFF">
              <w:rPr>
                <w:rFonts w:eastAsiaTheme="minorHAnsi"/>
                <w:b/>
                <w:color w:val="000000"/>
                <w:sz w:val="18"/>
                <w:szCs w:val="18"/>
                <w:lang w:eastAsia="en-US"/>
              </w:rPr>
              <w:t>4,0</w:t>
            </w:r>
          </w:p>
        </w:tc>
        <w:tc>
          <w:tcPr>
            <w:tcW w:w="1048" w:type="dxa"/>
            <w:vAlign w:val="center"/>
          </w:tcPr>
          <w:p w:rsidR="00EF4AFF" w:rsidRPr="00EF4AFF" w:rsidRDefault="00EF4AFF" w:rsidP="00EF4AFF">
            <w:pPr>
              <w:jc w:val="right"/>
              <w:rPr>
                <w:rFonts w:eastAsiaTheme="minorHAnsi"/>
                <w:b/>
                <w:color w:val="000000"/>
                <w:sz w:val="18"/>
                <w:szCs w:val="18"/>
                <w:lang w:eastAsia="en-US"/>
              </w:rPr>
            </w:pPr>
            <w:r w:rsidRPr="00EF4AFF">
              <w:rPr>
                <w:rFonts w:eastAsiaTheme="minorHAnsi"/>
                <w:b/>
                <w:color w:val="000000"/>
                <w:sz w:val="18"/>
                <w:szCs w:val="18"/>
                <w:lang w:eastAsia="en-US"/>
              </w:rPr>
              <w:t>4,0</w:t>
            </w:r>
          </w:p>
        </w:tc>
        <w:tc>
          <w:tcPr>
            <w:tcW w:w="1048" w:type="dxa"/>
            <w:vAlign w:val="center"/>
          </w:tcPr>
          <w:p w:rsidR="00EF4AFF" w:rsidRPr="00EF4AFF" w:rsidRDefault="00EF4AFF" w:rsidP="00EF4AFF">
            <w:pPr>
              <w:jc w:val="right"/>
              <w:rPr>
                <w:rFonts w:eastAsiaTheme="minorHAnsi"/>
                <w:b/>
                <w:color w:val="000000"/>
                <w:sz w:val="18"/>
                <w:szCs w:val="18"/>
                <w:lang w:eastAsia="en-US"/>
              </w:rPr>
            </w:pPr>
            <w:r w:rsidRPr="00EF4AFF">
              <w:rPr>
                <w:rFonts w:eastAsiaTheme="minorHAnsi"/>
                <w:b/>
                <w:color w:val="000000"/>
                <w:sz w:val="18"/>
                <w:szCs w:val="18"/>
                <w:lang w:eastAsia="en-US"/>
              </w:rPr>
              <w:t>4,0</w:t>
            </w:r>
          </w:p>
        </w:tc>
      </w:tr>
      <w:tr w:rsidR="00EF4AFF" w:rsidRPr="00EF4AFF" w:rsidTr="00117315">
        <w:trPr>
          <w:jc w:val="center"/>
        </w:trPr>
        <w:tc>
          <w:tcPr>
            <w:tcW w:w="3256" w:type="dxa"/>
          </w:tcPr>
          <w:p w:rsidR="00EF4AFF" w:rsidRPr="00EF4AFF" w:rsidRDefault="00EF4AFF" w:rsidP="00EF4AFF">
            <w:pPr>
              <w:rPr>
                <w:rFonts w:eastAsiaTheme="minorHAnsi"/>
                <w:sz w:val="18"/>
                <w:szCs w:val="18"/>
                <w:lang w:eastAsia="en-US"/>
              </w:rPr>
            </w:pPr>
            <w:r w:rsidRPr="00EF4AFF">
              <w:rPr>
                <w:rFonts w:eastAsiaTheme="minorHAnsi"/>
                <w:sz w:val="18"/>
                <w:szCs w:val="18"/>
                <w:lang w:eastAsia="en-US"/>
              </w:rPr>
              <w:t xml:space="preserve">Банк России (базовый сценарий ОНЕГДКП 2026-2028) </w:t>
            </w:r>
          </w:p>
        </w:tc>
        <w:tc>
          <w:tcPr>
            <w:tcW w:w="1417" w:type="dxa"/>
            <w:vAlign w:val="center"/>
          </w:tcPr>
          <w:p w:rsidR="00EF4AFF" w:rsidRPr="00EF4AFF" w:rsidRDefault="00EF4AFF" w:rsidP="00EF4AFF">
            <w:pPr>
              <w:jc w:val="center"/>
              <w:rPr>
                <w:rFonts w:eastAsiaTheme="minorHAnsi"/>
                <w:color w:val="000000"/>
                <w:sz w:val="18"/>
                <w:szCs w:val="18"/>
                <w:lang w:eastAsia="en-US"/>
              </w:rPr>
            </w:pPr>
            <w:r w:rsidRPr="00EF4AFF">
              <w:rPr>
                <w:rFonts w:eastAsiaTheme="minorHAnsi"/>
                <w:color w:val="000000"/>
                <w:sz w:val="18"/>
                <w:szCs w:val="18"/>
                <w:lang w:eastAsia="en-US"/>
              </w:rPr>
              <w:t>26.09.2025</w:t>
            </w:r>
          </w:p>
        </w:tc>
        <w:tc>
          <w:tcPr>
            <w:tcW w:w="1047" w:type="dxa"/>
            <w:vMerge/>
          </w:tcPr>
          <w:p w:rsidR="00EF4AFF" w:rsidRPr="00EF4AFF" w:rsidRDefault="00EF4AFF" w:rsidP="00EF4AFF">
            <w:pPr>
              <w:jc w:val="center"/>
              <w:rPr>
                <w:rFonts w:eastAsiaTheme="minorHAnsi"/>
                <w:color w:val="000000"/>
                <w:sz w:val="18"/>
                <w:szCs w:val="18"/>
                <w:lang w:eastAsia="en-US"/>
              </w:rPr>
            </w:pP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6,0-7,0</w:t>
            </w: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4,0</w:t>
            </w: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4,0</w:t>
            </w: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4,0</w:t>
            </w:r>
          </w:p>
        </w:tc>
      </w:tr>
      <w:tr w:rsidR="00EF4AFF" w:rsidRPr="00EF4AFF" w:rsidTr="00117315">
        <w:trPr>
          <w:jc w:val="center"/>
        </w:trPr>
        <w:tc>
          <w:tcPr>
            <w:tcW w:w="3256" w:type="dxa"/>
          </w:tcPr>
          <w:p w:rsidR="00EF4AFF" w:rsidRPr="00EF4AFF" w:rsidRDefault="00EF4AFF" w:rsidP="00EF4AFF">
            <w:pPr>
              <w:rPr>
                <w:rFonts w:eastAsiaTheme="minorHAnsi"/>
                <w:sz w:val="18"/>
                <w:szCs w:val="18"/>
                <w:lang w:eastAsia="en-US"/>
              </w:rPr>
            </w:pPr>
            <w:r w:rsidRPr="00EF4AFF">
              <w:rPr>
                <w:rFonts w:eastAsiaTheme="minorHAnsi"/>
                <w:sz w:val="18"/>
                <w:szCs w:val="18"/>
                <w:lang w:eastAsia="en-US"/>
              </w:rPr>
              <w:t>ИНП РАН</w:t>
            </w:r>
          </w:p>
        </w:tc>
        <w:tc>
          <w:tcPr>
            <w:tcW w:w="1417" w:type="dxa"/>
            <w:vAlign w:val="center"/>
          </w:tcPr>
          <w:p w:rsidR="00EF4AFF" w:rsidRPr="00EF4AFF" w:rsidRDefault="00EF4AFF" w:rsidP="00EF4AFF">
            <w:pPr>
              <w:jc w:val="center"/>
              <w:rPr>
                <w:rFonts w:eastAsiaTheme="minorHAnsi"/>
                <w:color w:val="000000"/>
                <w:sz w:val="18"/>
                <w:szCs w:val="18"/>
                <w:lang w:eastAsia="en-US"/>
              </w:rPr>
            </w:pPr>
            <w:r w:rsidRPr="00EF4AFF">
              <w:rPr>
                <w:rFonts w:eastAsiaTheme="minorHAnsi"/>
                <w:color w:val="000000"/>
                <w:sz w:val="18"/>
                <w:szCs w:val="18"/>
                <w:lang w:eastAsia="en-US"/>
              </w:rPr>
              <w:t>15.09.2025</w:t>
            </w:r>
          </w:p>
        </w:tc>
        <w:tc>
          <w:tcPr>
            <w:tcW w:w="1047" w:type="dxa"/>
            <w:vMerge/>
          </w:tcPr>
          <w:p w:rsidR="00EF4AFF" w:rsidRPr="00EF4AFF" w:rsidRDefault="00EF4AFF" w:rsidP="00EF4AFF">
            <w:pPr>
              <w:jc w:val="center"/>
              <w:rPr>
                <w:rFonts w:eastAsiaTheme="minorHAnsi"/>
                <w:color w:val="000000"/>
                <w:sz w:val="18"/>
                <w:szCs w:val="18"/>
                <w:lang w:val="en-US" w:eastAsia="en-US"/>
              </w:rPr>
            </w:pP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6,7</w:t>
            </w: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5,6</w:t>
            </w: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5,6</w:t>
            </w: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5,7</w:t>
            </w:r>
          </w:p>
        </w:tc>
      </w:tr>
      <w:tr w:rsidR="00EF4AFF" w:rsidRPr="00EF4AFF" w:rsidTr="00117315">
        <w:trPr>
          <w:jc w:val="center"/>
        </w:trPr>
        <w:tc>
          <w:tcPr>
            <w:tcW w:w="3256" w:type="dxa"/>
          </w:tcPr>
          <w:p w:rsidR="00EF4AFF" w:rsidRPr="00EF4AFF" w:rsidRDefault="00EF4AFF" w:rsidP="00EF4AFF">
            <w:pPr>
              <w:rPr>
                <w:rFonts w:eastAsiaTheme="minorHAnsi"/>
                <w:sz w:val="18"/>
                <w:szCs w:val="18"/>
                <w:lang w:eastAsia="en-US"/>
              </w:rPr>
            </w:pPr>
            <w:r w:rsidRPr="00EF4AFF">
              <w:rPr>
                <w:rFonts w:eastAsiaTheme="minorHAnsi"/>
                <w:sz w:val="18"/>
                <w:szCs w:val="18"/>
                <w:lang w:eastAsia="en-US"/>
              </w:rPr>
              <w:t>ЦМАКП</w:t>
            </w:r>
          </w:p>
        </w:tc>
        <w:tc>
          <w:tcPr>
            <w:tcW w:w="1417" w:type="dxa"/>
            <w:vAlign w:val="center"/>
          </w:tcPr>
          <w:p w:rsidR="00EF4AFF" w:rsidRPr="00EF4AFF" w:rsidRDefault="00EF4AFF" w:rsidP="00EF4AFF">
            <w:pPr>
              <w:jc w:val="center"/>
              <w:rPr>
                <w:rFonts w:eastAsiaTheme="minorHAnsi"/>
                <w:color w:val="000000"/>
                <w:sz w:val="18"/>
                <w:szCs w:val="18"/>
                <w:lang w:eastAsia="en-US"/>
              </w:rPr>
            </w:pPr>
            <w:r w:rsidRPr="00EF4AFF">
              <w:rPr>
                <w:rFonts w:eastAsiaTheme="minorHAnsi"/>
                <w:color w:val="000000"/>
                <w:sz w:val="18"/>
                <w:szCs w:val="18"/>
                <w:lang w:eastAsia="en-US"/>
              </w:rPr>
              <w:t>28.08.2025</w:t>
            </w:r>
          </w:p>
        </w:tc>
        <w:tc>
          <w:tcPr>
            <w:tcW w:w="1047" w:type="dxa"/>
            <w:vMerge/>
          </w:tcPr>
          <w:p w:rsidR="00EF4AFF" w:rsidRPr="00EF4AFF" w:rsidRDefault="00EF4AFF" w:rsidP="00EF4AFF">
            <w:pPr>
              <w:jc w:val="center"/>
              <w:rPr>
                <w:rFonts w:eastAsiaTheme="minorHAnsi"/>
                <w:color w:val="000000"/>
                <w:sz w:val="18"/>
                <w:szCs w:val="18"/>
                <w:lang w:eastAsia="en-US"/>
              </w:rPr>
            </w:pPr>
          </w:p>
        </w:tc>
        <w:tc>
          <w:tcPr>
            <w:tcW w:w="1048" w:type="dxa"/>
            <w:shd w:val="clear" w:color="000000" w:fill="FFFFFF"/>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7,05-7,5</w:t>
            </w:r>
          </w:p>
        </w:tc>
        <w:tc>
          <w:tcPr>
            <w:tcW w:w="1048" w:type="dxa"/>
            <w:shd w:val="clear" w:color="000000" w:fill="FFFFFF"/>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4,5-4,7</w:t>
            </w:r>
          </w:p>
        </w:tc>
        <w:tc>
          <w:tcPr>
            <w:tcW w:w="1048" w:type="dxa"/>
            <w:shd w:val="clear" w:color="000000" w:fill="FFFFFF"/>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3,85-4,2</w:t>
            </w:r>
          </w:p>
        </w:tc>
        <w:tc>
          <w:tcPr>
            <w:tcW w:w="1048" w:type="dxa"/>
            <w:shd w:val="clear" w:color="000000" w:fill="FFFFFF"/>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3,7-4,1</w:t>
            </w:r>
          </w:p>
        </w:tc>
      </w:tr>
      <w:tr w:rsidR="00EF4AFF" w:rsidRPr="00EF4AFF" w:rsidTr="00117315">
        <w:trPr>
          <w:jc w:val="center"/>
        </w:trPr>
        <w:tc>
          <w:tcPr>
            <w:tcW w:w="3256" w:type="dxa"/>
          </w:tcPr>
          <w:p w:rsidR="00EF4AFF" w:rsidRPr="00EF4AFF" w:rsidRDefault="00EF4AFF" w:rsidP="00EF4AFF">
            <w:pPr>
              <w:jc w:val="both"/>
              <w:rPr>
                <w:rFonts w:eastAsiaTheme="minorHAnsi"/>
                <w:sz w:val="18"/>
                <w:szCs w:val="18"/>
                <w:lang w:eastAsia="en-US"/>
              </w:rPr>
            </w:pPr>
            <w:r w:rsidRPr="00EF4AFF">
              <w:rPr>
                <w:rFonts w:eastAsiaTheme="minorHAnsi"/>
                <w:sz w:val="18"/>
                <w:szCs w:val="18"/>
                <w:lang w:eastAsia="en-US"/>
              </w:rPr>
              <w:t>НИУ ВШЭ (консенсус-прогноз)</w:t>
            </w:r>
          </w:p>
        </w:tc>
        <w:tc>
          <w:tcPr>
            <w:tcW w:w="1417" w:type="dxa"/>
            <w:vAlign w:val="center"/>
          </w:tcPr>
          <w:p w:rsidR="00EF4AFF" w:rsidRPr="00EF4AFF" w:rsidRDefault="00EF4AFF" w:rsidP="00EF4AFF">
            <w:pPr>
              <w:jc w:val="center"/>
              <w:rPr>
                <w:rFonts w:eastAsiaTheme="minorHAnsi"/>
                <w:color w:val="000000"/>
                <w:sz w:val="18"/>
                <w:szCs w:val="18"/>
                <w:lang w:eastAsia="en-US"/>
              </w:rPr>
            </w:pPr>
            <w:r w:rsidRPr="00EF4AFF">
              <w:rPr>
                <w:rFonts w:eastAsiaTheme="minorHAnsi"/>
                <w:color w:val="000000"/>
                <w:sz w:val="18"/>
                <w:szCs w:val="18"/>
                <w:lang w:eastAsia="en-US"/>
              </w:rPr>
              <w:t>19.08.2025</w:t>
            </w:r>
          </w:p>
        </w:tc>
        <w:tc>
          <w:tcPr>
            <w:tcW w:w="1047" w:type="dxa"/>
            <w:vMerge/>
            <w:vAlign w:val="bottom"/>
          </w:tcPr>
          <w:p w:rsidR="00EF4AFF" w:rsidRPr="00EF4AFF" w:rsidRDefault="00EF4AFF" w:rsidP="00EF4AFF">
            <w:pPr>
              <w:rPr>
                <w:rFonts w:eastAsiaTheme="minorHAnsi"/>
                <w:color w:val="000000"/>
                <w:sz w:val="18"/>
                <w:szCs w:val="18"/>
                <w:lang w:eastAsia="en-US"/>
              </w:rPr>
            </w:pP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6,7</w:t>
            </w: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4,7</w:t>
            </w: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4,3</w:t>
            </w:r>
          </w:p>
        </w:tc>
        <w:tc>
          <w:tcPr>
            <w:tcW w:w="1048" w:type="dxa"/>
            <w:vAlign w:val="center"/>
          </w:tcPr>
          <w:p w:rsidR="00EF4AFF" w:rsidRPr="00EF4AFF" w:rsidRDefault="00EF4AFF" w:rsidP="00EF4AFF">
            <w:pPr>
              <w:jc w:val="right"/>
              <w:rPr>
                <w:rFonts w:eastAsiaTheme="minorHAnsi"/>
                <w:color w:val="000000"/>
                <w:sz w:val="18"/>
                <w:szCs w:val="18"/>
                <w:lang w:eastAsia="en-US"/>
              </w:rPr>
            </w:pPr>
            <w:r w:rsidRPr="00EF4AFF">
              <w:rPr>
                <w:rFonts w:eastAsiaTheme="minorHAnsi"/>
                <w:color w:val="000000"/>
                <w:sz w:val="18"/>
                <w:szCs w:val="18"/>
                <w:lang w:eastAsia="en-US"/>
              </w:rPr>
              <w:t>4,1</w:t>
            </w:r>
          </w:p>
        </w:tc>
      </w:tr>
    </w:tbl>
    <w:p w:rsidR="00FE1CB6" w:rsidRPr="00EF4AFF" w:rsidRDefault="00FE1CB6" w:rsidP="00F353EB">
      <w:pPr>
        <w:widowControl w:val="0"/>
        <w:overflowPunct w:val="0"/>
        <w:autoSpaceDE w:val="0"/>
        <w:autoSpaceDN w:val="0"/>
        <w:adjustRightInd w:val="0"/>
        <w:spacing w:line="360" w:lineRule="auto"/>
        <w:ind w:firstLine="709"/>
        <w:jc w:val="both"/>
        <w:textAlignment w:val="baseline"/>
        <w:rPr>
          <w:sz w:val="10"/>
          <w:szCs w:val="10"/>
        </w:rPr>
      </w:pPr>
    </w:p>
    <w:p w:rsidR="00EF4AFF" w:rsidRDefault="00F326F4" w:rsidP="003E5FB2">
      <w:pPr>
        <w:autoSpaceDE w:val="0"/>
        <w:autoSpaceDN w:val="0"/>
        <w:adjustRightInd w:val="0"/>
        <w:spacing w:line="384" w:lineRule="auto"/>
        <w:ind w:firstLine="709"/>
        <w:jc w:val="both"/>
      </w:pPr>
      <w:r w:rsidRPr="00EF4AFF">
        <w:rPr>
          <w:b/>
        </w:rPr>
        <w:t>2.</w:t>
      </w:r>
      <w:r w:rsidR="00A7507B" w:rsidRPr="00EF4AFF">
        <w:rPr>
          <w:b/>
        </w:rPr>
        <w:t>6</w:t>
      </w:r>
      <w:r w:rsidRPr="00EF4AFF">
        <w:rPr>
          <w:b/>
        </w:rPr>
        <w:t>.</w:t>
      </w:r>
      <w:r w:rsidRPr="00EF4AFF">
        <w:t xml:space="preserve"> </w:t>
      </w:r>
      <w:r w:rsidR="00EF4AFF" w:rsidRPr="00EF4AFF">
        <w:t>В Прогноз заложена индексация цен и тарифов на товары и услуги хозяйствующих субъектов, осуществляющих регулируемые виды деятельности в инфраструктурном секторе, которая превышает как прогнозируемую инфляцию</w:t>
      </w:r>
      <w:r w:rsidR="00EF4AFF" w:rsidRPr="00B97216">
        <w:t xml:space="preserve">, так и параметры индексации цен и тарифов на 2026 и 2027 годы, предусматриваемые в прошлогоднем среднесрочном прогнозе </w:t>
      </w:r>
      <w:r w:rsidR="0078406F">
        <w:br/>
      </w:r>
      <w:r w:rsidR="00EF4AFF" w:rsidRPr="00B97216">
        <w:t>на</w:t>
      </w:r>
      <w:r w:rsidR="0078406F">
        <w:t> </w:t>
      </w:r>
      <w:r w:rsidR="00EF4AFF" w:rsidRPr="00B97216">
        <w:t>2025–2027 годы.</w:t>
      </w:r>
    </w:p>
    <w:p w:rsidR="00EF4AFF" w:rsidRPr="00EF4AFF" w:rsidRDefault="00451876" w:rsidP="003E5FB2">
      <w:pPr>
        <w:autoSpaceDE w:val="0"/>
        <w:autoSpaceDN w:val="0"/>
        <w:adjustRightInd w:val="0"/>
        <w:spacing w:line="384" w:lineRule="auto"/>
        <w:ind w:firstLine="709"/>
        <w:jc w:val="both"/>
      </w:pPr>
      <w:r w:rsidRPr="00451876">
        <w:t>Так, оптовые цены на газ для населения будут проиндексированы на 9,6</w:t>
      </w:r>
      <w:r>
        <w:t> </w:t>
      </w:r>
      <w:r w:rsidRPr="00451876">
        <w:t>% в</w:t>
      </w:r>
      <w:r>
        <w:t> </w:t>
      </w:r>
      <w:r w:rsidRPr="00451876">
        <w:t>2026</w:t>
      </w:r>
      <w:r>
        <w:t> </w:t>
      </w:r>
      <w:r w:rsidRPr="00451876">
        <w:t>году, 9,1</w:t>
      </w:r>
      <w:r>
        <w:t> </w:t>
      </w:r>
      <w:r w:rsidRPr="00451876">
        <w:t>% в</w:t>
      </w:r>
      <w:r>
        <w:t> </w:t>
      </w:r>
      <w:r w:rsidRPr="00451876">
        <w:t>2027</w:t>
      </w:r>
      <w:r>
        <w:t> году</w:t>
      </w:r>
      <w:r w:rsidRPr="00451876">
        <w:t>, 7</w:t>
      </w:r>
      <w:r>
        <w:t> </w:t>
      </w:r>
      <w:r w:rsidRPr="00451876">
        <w:t>% в</w:t>
      </w:r>
      <w:r>
        <w:t> </w:t>
      </w:r>
      <w:r w:rsidRPr="00451876">
        <w:t>2028</w:t>
      </w:r>
      <w:r>
        <w:t> </w:t>
      </w:r>
      <w:r w:rsidRPr="00451876">
        <w:t xml:space="preserve">году, тарифы сетевых компаний на электроэнергию для </w:t>
      </w:r>
      <w:r w:rsidRPr="00451876">
        <w:lastRenderedPageBreak/>
        <w:t>населения</w:t>
      </w:r>
      <w:r>
        <w:t> </w:t>
      </w:r>
      <w:r w:rsidRPr="00451876">
        <w:t>– будут проиндексированы на 15,2</w:t>
      </w:r>
      <w:r>
        <w:t> </w:t>
      </w:r>
      <w:r w:rsidRPr="00451876">
        <w:t>% в</w:t>
      </w:r>
      <w:r>
        <w:t> </w:t>
      </w:r>
      <w:r w:rsidRPr="00451876">
        <w:t>2026</w:t>
      </w:r>
      <w:r>
        <w:t> </w:t>
      </w:r>
      <w:r w:rsidRPr="00451876">
        <w:t>году, 15,3 %</w:t>
      </w:r>
      <w:r>
        <w:t xml:space="preserve"> </w:t>
      </w:r>
      <w:r w:rsidRPr="00451876">
        <w:t>в</w:t>
      </w:r>
      <w:r>
        <w:t> </w:t>
      </w:r>
      <w:r w:rsidRPr="00451876">
        <w:t>2027</w:t>
      </w:r>
      <w:r>
        <w:t> </w:t>
      </w:r>
      <w:r w:rsidRPr="00451876">
        <w:t>году, 11,2 % в</w:t>
      </w:r>
      <w:r>
        <w:t> </w:t>
      </w:r>
      <w:r w:rsidRPr="00451876">
        <w:t>2028</w:t>
      </w:r>
      <w:r>
        <w:t> </w:t>
      </w:r>
      <w:r w:rsidRPr="00451876">
        <w:t>году, при росте инфляции за период 2026–2028 годов на</w:t>
      </w:r>
      <w:r>
        <w:t> </w:t>
      </w:r>
      <w:r w:rsidRPr="00451876">
        <w:t>12,4 %.</w:t>
      </w:r>
    </w:p>
    <w:p w:rsidR="00EF4AFF" w:rsidRPr="00EF4AFF" w:rsidRDefault="00EF4AFF" w:rsidP="003E5FB2">
      <w:pPr>
        <w:autoSpaceDE w:val="0"/>
        <w:autoSpaceDN w:val="0"/>
        <w:adjustRightInd w:val="0"/>
        <w:spacing w:line="384" w:lineRule="auto"/>
        <w:ind w:firstLine="709"/>
        <w:jc w:val="both"/>
      </w:pPr>
      <w:r w:rsidRPr="00EF4AFF">
        <w:t xml:space="preserve">В соответствии с текстом Прогноза рост цен на газ объясняется «долгосрочными решениями, направленными на обеспечение надежности поставок природного газа всем категориям потребителей, а также </w:t>
      </w:r>
      <w:r w:rsidR="00B97216" w:rsidRPr="00576527">
        <w:t>продолжени</w:t>
      </w:r>
      <w:r w:rsidR="00B97216">
        <w:t>ем</w:t>
      </w:r>
      <w:r w:rsidR="00B97216" w:rsidRPr="00EF4AFF">
        <w:t xml:space="preserve"> </w:t>
      </w:r>
      <w:r w:rsidRPr="00EF4AFF">
        <w:t>реализации программ социальной газификации и соединения новых регионов с Единой системой газоснабжения». В</w:t>
      </w:r>
      <w:r w:rsidR="00793E57">
        <w:t> </w:t>
      </w:r>
      <w:r w:rsidRPr="00EF4AFF">
        <w:t>электроэнергетике давление на цены оказывает реализация крупных инвестиционных проектов (строительство и реконструкция магистральных объектов электросетевого хозяйства для развития Московской энергосистемы, строительство систем накопления электрической энергии на</w:t>
      </w:r>
      <w:r w:rsidR="009A6739">
        <w:t xml:space="preserve"> ю</w:t>
      </w:r>
      <w:r w:rsidRPr="00EF4AFF">
        <w:t>ге России).</w:t>
      </w:r>
    </w:p>
    <w:p w:rsidR="00EF4AFF" w:rsidRPr="00EF4AFF" w:rsidRDefault="00EF4AFF" w:rsidP="003E5FB2">
      <w:pPr>
        <w:autoSpaceDE w:val="0"/>
        <w:autoSpaceDN w:val="0"/>
        <w:adjustRightInd w:val="0"/>
        <w:spacing w:line="384" w:lineRule="auto"/>
        <w:ind w:firstLine="709"/>
        <w:jc w:val="both"/>
      </w:pPr>
      <w:r w:rsidRPr="00EF4AFF">
        <w:t xml:space="preserve">Одновременно с учетом доведения «тарифов на пассажирские перевозки в дальнем следовании в регулируемом сегменте до их экономически обоснованного уровня» с 2026 года </w:t>
      </w:r>
      <w:r w:rsidRPr="00B97216">
        <w:t>начнет замедляться рост</w:t>
      </w:r>
      <w:r w:rsidRPr="00EF4AFF">
        <w:t xml:space="preserve"> тарифов на пассажирские перевозки железнодорожным транспортом.</w:t>
      </w:r>
    </w:p>
    <w:p w:rsidR="00EF4AFF" w:rsidRPr="00EF4AFF" w:rsidRDefault="00EF4AFF" w:rsidP="003E5FB2">
      <w:pPr>
        <w:autoSpaceDE w:val="0"/>
        <w:autoSpaceDN w:val="0"/>
        <w:adjustRightInd w:val="0"/>
        <w:spacing w:line="384" w:lineRule="auto"/>
        <w:ind w:firstLine="709"/>
        <w:jc w:val="both"/>
      </w:pPr>
      <w:r w:rsidRPr="00EF4AFF">
        <w:t>Информация о росте тарифов для населения в 2025–2028 годах приведена в следующей таблице.</w:t>
      </w:r>
    </w:p>
    <w:p w:rsidR="009A6739" w:rsidRPr="009A6739" w:rsidRDefault="009A6739" w:rsidP="00A41FDB">
      <w:pPr>
        <w:autoSpaceDE w:val="0"/>
        <w:autoSpaceDN w:val="0"/>
        <w:adjustRightInd w:val="0"/>
        <w:ind w:firstLine="709"/>
        <w:jc w:val="right"/>
        <w:rPr>
          <w:sz w:val="18"/>
          <w:szCs w:val="18"/>
        </w:rPr>
      </w:pPr>
      <w:r>
        <w:rPr>
          <w:sz w:val="18"/>
          <w:szCs w:val="18"/>
        </w:rPr>
        <w:t>(</w:t>
      </w:r>
      <w:r w:rsidRPr="009A6739">
        <w:rPr>
          <w:sz w:val="18"/>
          <w:szCs w:val="18"/>
        </w:rPr>
        <w:t>%</w:t>
      </w:r>
      <w:r>
        <w:rPr>
          <w:sz w:val="18"/>
          <w:szCs w:val="1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1418"/>
        <w:gridCol w:w="1276"/>
        <w:gridCol w:w="1417"/>
        <w:gridCol w:w="1276"/>
      </w:tblGrid>
      <w:tr w:rsidR="0078406F" w:rsidRPr="009A6739" w:rsidTr="0078406F">
        <w:trPr>
          <w:trHeight w:val="525"/>
          <w:tblHeader/>
        </w:trPr>
        <w:tc>
          <w:tcPr>
            <w:tcW w:w="3119" w:type="dxa"/>
            <w:noWrap/>
            <w:vAlign w:val="center"/>
            <w:hideMark/>
          </w:tcPr>
          <w:p w:rsidR="0078406F" w:rsidRPr="009A6739" w:rsidRDefault="0078406F" w:rsidP="009A6739">
            <w:pPr>
              <w:jc w:val="center"/>
              <w:rPr>
                <w:b/>
                <w:bCs/>
                <w:sz w:val="18"/>
                <w:szCs w:val="18"/>
              </w:rPr>
            </w:pPr>
            <w:r>
              <w:rPr>
                <w:b/>
                <w:bCs/>
                <w:sz w:val="18"/>
                <w:szCs w:val="18"/>
              </w:rPr>
              <w:t>Наименование</w:t>
            </w:r>
          </w:p>
        </w:tc>
        <w:tc>
          <w:tcPr>
            <w:tcW w:w="1417" w:type="dxa"/>
            <w:vAlign w:val="center"/>
            <w:hideMark/>
          </w:tcPr>
          <w:p w:rsidR="0078406F" w:rsidRPr="009A6739" w:rsidRDefault="0078406F" w:rsidP="009A6739">
            <w:pPr>
              <w:jc w:val="center"/>
              <w:rPr>
                <w:b/>
                <w:bCs/>
                <w:sz w:val="18"/>
                <w:szCs w:val="18"/>
              </w:rPr>
            </w:pPr>
            <w:r w:rsidRPr="009A6739">
              <w:rPr>
                <w:b/>
                <w:bCs/>
                <w:sz w:val="18"/>
                <w:szCs w:val="18"/>
              </w:rPr>
              <w:t>2024</w:t>
            </w:r>
          </w:p>
        </w:tc>
        <w:tc>
          <w:tcPr>
            <w:tcW w:w="1418" w:type="dxa"/>
            <w:vAlign w:val="center"/>
            <w:hideMark/>
          </w:tcPr>
          <w:p w:rsidR="0078406F" w:rsidRPr="009A6739" w:rsidRDefault="0078406F" w:rsidP="009A6739">
            <w:pPr>
              <w:jc w:val="center"/>
              <w:rPr>
                <w:b/>
                <w:bCs/>
                <w:sz w:val="18"/>
                <w:szCs w:val="18"/>
              </w:rPr>
            </w:pPr>
            <w:r w:rsidRPr="009A6739">
              <w:rPr>
                <w:b/>
                <w:bCs/>
                <w:sz w:val="18"/>
                <w:szCs w:val="18"/>
              </w:rPr>
              <w:t>2025 год</w:t>
            </w:r>
            <w:r w:rsidRPr="009A6739">
              <w:rPr>
                <w:b/>
                <w:bCs/>
                <w:sz w:val="18"/>
                <w:szCs w:val="18"/>
              </w:rPr>
              <w:br/>
            </w:r>
            <w:r w:rsidRPr="009A6739">
              <w:rPr>
                <w:bCs/>
                <w:sz w:val="18"/>
                <w:szCs w:val="18"/>
              </w:rPr>
              <w:t>(оценка)</w:t>
            </w:r>
          </w:p>
        </w:tc>
        <w:tc>
          <w:tcPr>
            <w:tcW w:w="1276" w:type="dxa"/>
            <w:vAlign w:val="center"/>
            <w:hideMark/>
          </w:tcPr>
          <w:p w:rsidR="0078406F" w:rsidRPr="009A6739" w:rsidRDefault="0078406F" w:rsidP="009A6739">
            <w:pPr>
              <w:jc w:val="center"/>
              <w:rPr>
                <w:b/>
                <w:bCs/>
                <w:sz w:val="18"/>
                <w:szCs w:val="18"/>
              </w:rPr>
            </w:pPr>
            <w:r w:rsidRPr="009A6739">
              <w:rPr>
                <w:b/>
                <w:bCs/>
                <w:sz w:val="18"/>
                <w:szCs w:val="18"/>
              </w:rPr>
              <w:t>2026 год</w:t>
            </w:r>
            <w:r w:rsidRPr="009A6739">
              <w:rPr>
                <w:b/>
                <w:bCs/>
                <w:sz w:val="18"/>
                <w:szCs w:val="18"/>
              </w:rPr>
              <w:br/>
            </w:r>
            <w:r w:rsidRPr="009A6739">
              <w:rPr>
                <w:bCs/>
                <w:sz w:val="18"/>
                <w:szCs w:val="18"/>
              </w:rPr>
              <w:t>(прогноз)</w:t>
            </w:r>
          </w:p>
        </w:tc>
        <w:tc>
          <w:tcPr>
            <w:tcW w:w="1417" w:type="dxa"/>
            <w:vAlign w:val="center"/>
            <w:hideMark/>
          </w:tcPr>
          <w:p w:rsidR="0078406F" w:rsidRPr="009A6739" w:rsidRDefault="0078406F" w:rsidP="009A6739">
            <w:pPr>
              <w:jc w:val="center"/>
              <w:rPr>
                <w:b/>
                <w:bCs/>
                <w:sz w:val="18"/>
                <w:szCs w:val="18"/>
              </w:rPr>
            </w:pPr>
            <w:r w:rsidRPr="009A6739">
              <w:rPr>
                <w:b/>
                <w:bCs/>
                <w:sz w:val="18"/>
                <w:szCs w:val="18"/>
              </w:rPr>
              <w:t>2027 год</w:t>
            </w:r>
            <w:r w:rsidRPr="009A6739">
              <w:rPr>
                <w:b/>
                <w:bCs/>
                <w:sz w:val="18"/>
                <w:szCs w:val="18"/>
              </w:rPr>
              <w:br/>
            </w:r>
            <w:r w:rsidRPr="009A6739">
              <w:rPr>
                <w:bCs/>
                <w:sz w:val="18"/>
                <w:szCs w:val="18"/>
              </w:rPr>
              <w:t>(прогноз)</w:t>
            </w:r>
          </w:p>
        </w:tc>
        <w:tc>
          <w:tcPr>
            <w:tcW w:w="1276" w:type="dxa"/>
            <w:vAlign w:val="center"/>
            <w:hideMark/>
          </w:tcPr>
          <w:p w:rsidR="0078406F" w:rsidRPr="009A6739" w:rsidRDefault="0078406F" w:rsidP="009A6739">
            <w:pPr>
              <w:jc w:val="center"/>
              <w:rPr>
                <w:b/>
                <w:bCs/>
                <w:sz w:val="18"/>
                <w:szCs w:val="18"/>
              </w:rPr>
            </w:pPr>
            <w:r w:rsidRPr="009A6739">
              <w:rPr>
                <w:b/>
                <w:bCs/>
                <w:sz w:val="18"/>
                <w:szCs w:val="18"/>
              </w:rPr>
              <w:t>2028 год</w:t>
            </w:r>
            <w:r w:rsidRPr="009A6739">
              <w:rPr>
                <w:b/>
                <w:bCs/>
                <w:sz w:val="18"/>
                <w:szCs w:val="18"/>
              </w:rPr>
              <w:br/>
            </w:r>
            <w:r w:rsidRPr="009A6739">
              <w:rPr>
                <w:bCs/>
                <w:sz w:val="18"/>
                <w:szCs w:val="18"/>
              </w:rPr>
              <w:t>(прогноз)</w:t>
            </w:r>
          </w:p>
        </w:tc>
      </w:tr>
      <w:tr w:rsidR="0078406F" w:rsidRPr="009A6739" w:rsidTr="0078406F">
        <w:trPr>
          <w:trHeight w:val="300"/>
        </w:trPr>
        <w:tc>
          <w:tcPr>
            <w:tcW w:w="3119" w:type="dxa"/>
            <w:noWrap/>
            <w:vAlign w:val="center"/>
            <w:hideMark/>
          </w:tcPr>
          <w:p w:rsidR="0078406F" w:rsidRPr="009A6739" w:rsidRDefault="0078406F" w:rsidP="009A6739">
            <w:pPr>
              <w:rPr>
                <w:b/>
                <w:bCs/>
                <w:color w:val="000000"/>
                <w:sz w:val="18"/>
                <w:szCs w:val="18"/>
              </w:rPr>
            </w:pPr>
            <w:r w:rsidRPr="009A6739">
              <w:rPr>
                <w:b/>
                <w:bCs/>
                <w:color w:val="000000"/>
                <w:sz w:val="18"/>
                <w:szCs w:val="18"/>
              </w:rPr>
              <w:t xml:space="preserve">Инфляция </w:t>
            </w:r>
            <w:r w:rsidRPr="009A6739">
              <w:rPr>
                <w:bCs/>
                <w:color w:val="000000"/>
                <w:sz w:val="18"/>
                <w:szCs w:val="18"/>
              </w:rPr>
              <w:t>(декабрь к декабрю предыдущего года)</w:t>
            </w:r>
          </w:p>
        </w:tc>
        <w:tc>
          <w:tcPr>
            <w:tcW w:w="1417" w:type="dxa"/>
            <w:vAlign w:val="center"/>
          </w:tcPr>
          <w:p w:rsidR="0078406F" w:rsidRPr="009A6739" w:rsidRDefault="0078406F" w:rsidP="009A6739">
            <w:pPr>
              <w:jc w:val="center"/>
              <w:rPr>
                <w:b/>
                <w:bCs/>
                <w:sz w:val="18"/>
                <w:szCs w:val="18"/>
              </w:rPr>
            </w:pPr>
            <w:r w:rsidRPr="009A6739">
              <w:rPr>
                <w:b/>
                <w:bCs/>
                <w:sz w:val="18"/>
                <w:szCs w:val="18"/>
              </w:rPr>
              <w:t>9,5</w:t>
            </w:r>
          </w:p>
        </w:tc>
        <w:tc>
          <w:tcPr>
            <w:tcW w:w="1418" w:type="dxa"/>
            <w:vAlign w:val="center"/>
          </w:tcPr>
          <w:p w:rsidR="0078406F" w:rsidRPr="009A6739" w:rsidRDefault="0078406F" w:rsidP="009A6739">
            <w:pPr>
              <w:jc w:val="center"/>
              <w:rPr>
                <w:b/>
                <w:bCs/>
                <w:sz w:val="18"/>
                <w:szCs w:val="18"/>
              </w:rPr>
            </w:pPr>
            <w:r w:rsidRPr="009A6739">
              <w:rPr>
                <w:b/>
                <w:bCs/>
                <w:sz w:val="18"/>
                <w:szCs w:val="18"/>
              </w:rPr>
              <w:t>6,8</w:t>
            </w:r>
          </w:p>
        </w:tc>
        <w:tc>
          <w:tcPr>
            <w:tcW w:w="1276" w:type="dxa"/>
            <w:vAlign w:val="center"/>
          </w:tcPr>
          <w:p w:rsidR="0078406F" w:rsidRPr="009A6739" w:rsidRDefault="0078406F" w:rsidP="009A6739">
            <w:pPr>
              <w:jc w:val="center"/>
              <w:rPr>
                <w:b/>
                <w:bCs/>
                <w:sz w:val="18"/>
                <w:szCs w:val="18"/>
              </w:rPr>
            </w:pPr>
            <w:r w:rsidRPr="009A6739">
              <w:rPr>
                <w:b/>
                <w:bCs/>
                <w:sz w:val="18"/>
                <w:szCs w:val="18"/>
              </w:rPr>
              <w:t>4,0</w:t>
            </w:r>
          </w:p>
        </w:tc>
        <w:tc>
          <w:tcPr>
            <w:tcW w:w="1417" w:type="dxa"/>
            <w:vAlign w:val="center"/>
          </w:tcPr>
          <w:p w:rsidR="0078406F" w:rsidRPr="009A6739" w:rsidRDefault="0078406F" w:rsidP="009A6739">
            <w:pPr>
              <w:jc w:val="center"/>
              <w:rPr>
                <w:b/>
                <w:bCs/>
                <w:sz w:val="18"/>
                <w:szCs w:val="18"/>
              </w:rPr>
            </w:pPr>
            <w:r w:rsidRPr="009A6739">
              <w:rPr>
                <w:b/>
                <w:bCs/>
                <w:sz w:val="18"/>
                <w:szCs w:val="18"/>
              </w:rPr>
              <w:t>4,0</w:t>
            </w:r>
          </w:p>
        </w:tc>
        <w:tc>
          <w:tcPr>
            <w:tcW w:w="1276" w:type="dxa"/>
            <w:vAlign w:val="center"/>
          </w:tcPr>
          <w:p w:rsidR="0078406F" w:rsidRPr="009A6739" w:rsidRDefault="0078406F" w:rsidP="009A6739">
            <w:pPr>
              <w:jc w:val="center"/>
              <w:rPr>
                <w:b/>
                <w:bCs/>
                <w:sz w:val="18"/>
                <w:szCs w:val="18"/>
              </w:rPr>
            </w:pPr>
            <w:r w:rsidRPr="009A6739">
              <w:rPr>
                <w:b/>
                <w:bCs/>
                <w:sz w:val="18"/>
                <w:szCs w:val="18"/>
              </w:rPr>
              <w:t>4,0</w:t>
            </w:r>
          </w:p>
        </w:tc>
      </w:tr>
      <w:tr w:rsidR="0078406F" w:rsidRPr="009A6739" w:rsidTr="0078406F">
        <w:trPr>
          <w:trHeight w:val="300"/>
        </w:trPr>
        <w:tc>
          <w:tcPr>
            <w:tcW w:w="3119" w:type="dxa"/>
            <w:vAlign w:val="center"/>
            <w:hideMark/>
          </w:tcPr>
          <w:p w:rsidR="0078406F" w:rsidRPr="009A6739" w:rsidRDefault="0078406F" w:rsidP="009A6739">
            <w:pPr>
              <w:rPr>
                <w:sz w:val="18"/>
                <w:szCs w:val="18"/>
              </w:rPr>
            </w:pPr>
            <w:r w:rsidRPr="009A6739">
              <w:rPr>
                <w:color w:val="000000"/>
                <w:sz w:val="18"/>
                <w:szCs w:val="18"/>
              </w:rPr>
              <w:t>Газ (индексация оптовых цен для населения)</w:t>
            </w:r>
          </w:p>
        </w:tc>
        <w:tc>
          <w:tcPr>
            <w:tcW w:w="1417" w:type="dxa"/>
            <w:vAlign w:val="center"/>
          </w:tcPr>
          <w:p w:rsidR="0078406F" w:rsidRPr="009A6739" w:rsidRDefault="0078406F" w:rsidP="009A6739">
            <w:pPr>
              <w:jc w:val="center"/>
              <w:rPr>
                <w:sz w:val="18"/>
                <w:szCs w:val="18"/>
              </w:rPr>
            </w:pPr>
            <w:r w:rsidRPr="009A6739">
              <w:rPr>
                <w:sz w:val="18"/>
                <w:szCs w:val="18"/>
              </w:rPr>
              <w:t>11,2</w:t>
            </w:r>
          </w:p>
          <w:p w:rsidR="0078406F" w:rsidRPr="009A6739" w:rsidRDefault="0078406F" w:rsidP="009A6739">
            <w:pPr>
              <w:jc w:val="center"/>
              <w:rPr>
                <w:sz w:val="18"/>
                <w:szCs w:val="18"/>
              </w:rPr>
            </w:pPr>
            <w:r w:rsidRPr="009A6739">
              <w:rPr>
                <w:sz w:val="18"/>
                <w:szCs w:val="18"/>
              </w:rPr>
              <w:t>с 1 июля</w:t>
            </w:r>
          </w:p>
        </w:tc>
        <w:tc>
          <w:tcPr>
            <w:tcW w:w="1418" w:type="dxa"/>
            <w:vAlign w:val="center"/>
          </w:tcPr>
          <w:p w:rsidR="0078406F" w:rsidRPr="009A6739" w:rsidRDefault="0078406F" w:rsidP="009A6739">
            <w:pPr>
              <w:jc w:val="center"/>
              <w:rPr>
                <w:sz w:val="18"/>
                <w:szCs w:val="18"/>
              </w:rPr>
            </w:pPr>
            <w:r w:rsidRPr="009A6739">
              <w:rPr>
                <w:sz w:val="18"/>
                <w:szCs w:val="18"/>
              </w:rPr>
              <w:t>10,3</w:t>
            </w:r>
          </w:p>
          <w:p w:rsidR="0078406F" w:rsidRPr="009A6739" w:rsidRDefault="0078406F" w:rsidP="009A6739">
            <w:pPr>
              <w:jc w:val="center"/>
              <w:rPr>
                <w:sz w:val="18"/>
                <w:szCs w:val="18"/>
              </w:rPr>
            </w:pPr>
            <w:r w:rsidRPr="009A6739">
              <w:rPr>
                <w:sz w:val="18"/>
                <w:szCs w:val="18"/>
              </w:rPr>
              <w:t>с 1 июля</w:t>
            </w:r>
          </w:p>
        </w:tc>
        <w:tc>
          <w:tcPr>
            <w:tcW w:w="1276" w:type="dxa"/>
            <w:vAlign w:val="center"/>
          </w:tcPr>
          <w:p w:rsidR="0078406F" w:rsidRPr="009A6739" w:rsidRDefault="0078406F" w:rsidP="009A6739">
            <w:pPr>
              <w:jc w:val="center"/>
              <w:rPr>
                <w:sz w:val="18"/>
                <w:szCs w:val="18"/>
              </w:rPr>
            </w:pPr>
            <w:r w:rsidRPr="009A6739">
              <w:rPr>
                <w:sz w:val="18"/>
                <w:szCs w:val="18"/>
              </w:rPr>
              <w:t>9,6</w:t>
            </w:r>
          </w:p>
          <w:p w:rsidR="0078406F" w:rsidRPr="009A6739" w:rsidRDefault="0078406F" w:rsidP="009A6739">
            <w:pPr>
              <w:jc w:val="center"/>
              <w:rPr>
                <w:sz w:val="18"/>
                <w:szCs w:val="18"/>
              </w:rPr>
            </w:pPr>
            <w:r w:rsidRPr="009A6739">
              <w:rPr>
                <w:sz w:val="18"/>
                <w:szCs w:val="18"/>
              </w:rPr>
              <w:t>с 1 октября</w:t>
            </w:r>
          </w:p>
        </w:tc>
        <w:tc>
          <w:tcPr>
            <w:tcW w:w="1417" w:type="dxa"/>
            <w:vAlign w:val="center"/>
          </w:tcPr>
          <w:p w:rsidR="0078406F" w:rsidRPr="009A6739" w:rsidRDefault="0078406F" w:rsidP="009A6739">
            <w:pPr>
              <w:jc w:val="center"/>
              <w:rPr>
                <w:sz w:val="18"/>
                <w:szCs w:val="18"/>
              </w:rPr>
            </w:pPr>
            <w:r w:rsidRPr="009A6739">
              <w:rPr>
                <w:sz w:val="18"/>
                <w:szCs w:val="18"/>
              </w:rPr>
              <w:t>9,1</w:t>
            </w:r>
          </w:p>
          <w:p w:rsidR="0078406F" w:rsidRPr="009A6739" w:rsidRDefault="0078406F" w:rsidP="009A6739">
            <w:pPr>
              <w:jc w:val="center"/>
              <w:rPr>
                <w:sz w:val="18"/>
                <w:szCs w:val="18"/>
              </w:rPr>
            </w:pPr>
            <w:r w:rsidRPr="009A6739">
              <w:rPr>
                <w:sz w:val="18"/>
                <w:szCs w:val="18"/>
              </w:rPr>
              <w:t>с 1 июля</w:t>
            </w:r>
          </w:p>
        </w:tc>
        <w:tc>
          <w:tcPr>
            <w:tcW w:w="1276" w:type="dxa"/>
            <w:vAlign w:val="center"/>
          </w:tcPr>
          <w:p w:rsidR="0078406F" w:rsidRPr="009A6739" w:rsidRDefault="0078406F" w:rsidP="009A6739">
            <w:pPr>
              <w:jc w:val="center"/>
              <w:rPr>
                <w:sz w:val="18"/>
                <w:szCs w:val="18"/>
              </w:rPr>
            </w:pPr>
            <w:r w:rsidRPr="009A6739">
              <w:rPr>
                <w:sz w:val="18"/>
                <w:szCs w:val="18"/>
              </w:rPr>
              <w:t>7,0</w:t>
            </w:r>
          </w:p>
          <w:p w:rsidR="0078406F" w:rsidRPr="009A6739" w:rsidRDefault="0078406F" w:rsidP="009A6739">
            <w:pPr>
              <w:jc w:val="center"/>
              <w:rPr>
                <w:sz w:val="18"/>
                <w:szCs w:val="18"/>
              </w:rPr>
            </w:pPr>
            <w:r w:rsidRPr="009A6739">
              <w:rPr>
                <w:sz w:val="18"/>
                <w:szCs w:val="18"/>
              </w:rPr>
              <w:t>с 1 июля</w:t>
            </w:r>
          </w:p>
        </w:tc>
      </w:tr>
      <w:tr w:rsidR="0078406F" w:rsidRPr="009A6739" w:rsidTr="0078406F">
        <w:trPr>
          <w:trHeight w:val="300"/>
        </w:trPr>
        <w:tc>
          <w:tcPr>
            <w:tcW w:w="3119" w:type="dxa"/>
            <w:vAlign w:val="center"/>
            <w:hideMark/>
          </w:tcPr>
          <w:p w:rsidR="0078406F" w:rsidRPr="009A6739" w:rsidRDefault="0078406F" w:rsidP="009A6739">
            <w:pPr>
              <w:rPr>
                <w:sz w:val="18"/>
                <w:szCs w:val="18"/>
                <w:highlight w:val="yellow"/>
              </w:rPr>
            </w:pPr>
            <w:r w:rsidRPr="009A6739">
              <w:rPr>
                <w:color w:val="000000"/>
                <w:sz w:val="18"/>
                <w:szCs w:val="18"/>
              </w:rPr>
              <w:t>Электроэнергия (индексация тарифов сетевых компаний для населения)</w:t>
            </w:r>
          </w:p>
        </w:tc>
        <w:tc>
          <w:tcPr>
            <w:tcW w:w="1417" w:type="dxa"/>
            <w:vAlign w:val="center"/>
          </w:tcPr>
          <w:p w:rsidR="0078406F" w:rsidRPr="009A6739" w:rsidRDefault="0078406F" w:rsidP="009A6739">
            <w:pPr>
              <w:jc w:val="center"/>
              <w:rPr>
                <w:sz w:val="18"/>
                <w:szCs w:val="18"/>
              </w:rPr>
            </w:pPr>
            <w:r w:rsidRPr="009A6739">
              <w:rPr>
                <w:sz w:val="18"/>
                <w:szCs w:val="18"/>
              </w:rPr>
              <w:t>9,1</w:t>
            </w:r>
          </w:p>
          <w:p w:rsidR="0078406F" w:rsidRPr="009A6739" w:rsidRDefault="0078406F" w:rsidP="009A6739">
            <w:pPr>
              <w:jc w:val="center"/>
              <w:rPr>
                <w:sz w:val="18"/>
                <w:szCs w:val="18"/>
              </w:rPr>
            </w:pPr>
            <w:r w:rsidRPr="009A6739">
              <w:rPr>
                <w:sz w:val="18"/>
                <w:szCs w:val="18"/>
              </w:rPr>
              <w:t>с 1 июля</w:t>
            </w:r>
          </w:p>
        </w:tc>
        <w:tc>
          <w:tcPr>
            <w:tcW w:w="1418" w:type="dxa"/>
            <w:vAlign w:val="center"/>
          </w:tcPr>
          <w:p w:rsidR="0078406F" w:rsidRPr="009A6739" w:rsidRDefault="0078406F" w:rsidP="009A6739">
            <w:pPr>
              <w:jc w:val="center"/>
              <w:rPr>
                <w:sz w:val="18"/>
                <w:szCs w:val="18"/>
              </w:rPr>
            </w:pPr>
            <w:r w:rsidRPr="009A6739">
              <w:rPr>
                <w:sz w:val="18"/>
                <w:szCs w:val="18"/>
              </w:rPr>
              <w:t>11,6</w:t>
            </w:r>
          </w:p>
          <w:p w:rsidR="0078406F" w:rsidRPr="009A6739" w:rsidRDefault="0078406F" w:rsidP="009A6739">
            <w:pPr>
              <w:jc w:val="center"/>
              <w:rPr>
                <w:sz w:val="18"/>
                <w:szCs w:val="18"/>
              </w:rPr>
            </w:pPr>
            <w:r w:rsidRPr="009A6739">
              <w:rPr>
                <w:sz w:val="18"/>
                <w:szCs w:val="18"/>
              </w:rPr>
              <w:t>с 1 июля</w:t>
            </w:r>
          </w:p>
        </w:tc>
        <w:tc>
          <w:tcPr>
            <w:tcW w:w="1276" w:type="dxa"/>
            <w:vAlign w:val="center"/>
          </w:tcPr>
          <w:p w:rsidR="0078406F" w:rsidRPr="009A6739" w:rsidRDefault="0078406F" w:rsidP="009A6739">
            <w:pPr>
              <w:jc w:val="center"/>
              <w:rPr>
                <w:sz w:val="18"/>
                <w:szCs w:val="18"/>
              </w:rPr>
            </w:pPr>
            <w:r w:rsidRPr="009A6739">
              <w:rPr>
                <w:sz w:val="18"/>
                <w:szCs w:val="18"/>
              </w:rPr>
              <w:t>15,2</w:t>
            </w:r>
          </w:p>
          <w:p w:rsidR="0078406F" w:rsidRPr="009A6739" w:rsidRDefault="0078406F" w:rsidP="009A6739">
            <w:pPr>
              <w:jc w:val="center"/>
              <w:rPr>
                <w:sz w:val="18"/>
                <w:szCs w:val="18"/>
              </w:rPr>
            </w:pPr>
            <w:r w:rsidRPr="009A6739">
              <w:rPr>
                <w:sz w:val="18"/>
                <w:szCs w:val="18"/>
              </w:rPr>
              <w:t>с 1 октября</w:t>
            </w:r>
          </w:p>
        </w:tc>
        <w:tc>
          <w:tcPr>
            <w:tcW w:w="1417" w:type="dxa"/>
            <w:vAlign w:val="center"/>
          </w:tcPr>
          <w:p w:rsidR="0078406F" w:rsidRPr="009A6739" w:rsidRDefault="0078406F" w:rsidP="009A6739">
            <w:pPr>
              <w:jc w:val="center"/>
              <w:rPr>
                <w:sz w:val="18"/>
                <w:szCs w:val="18"/>
              </w:rPr>
            </w:pPr>
            <w:r w:rsidRPr="009A6739">
              <w:rPr>
                <w:sz w:val="18"/>
                <w:szCs w:val="18"/>
              </w:rPr>
              <w:t>15,3</w:t>
            </w:r>
          </w:p>
          <w:p w:rsidR="0078406F" w:rsidRPr="009A6739" w:rsidRDefault="0078406F" w:rsidP="009A6739">
            <w:pPr>
              <w:jc w:val="center"/>
              <w:rPr>
                <w:sz w:val="18"/>
                <w:szCs w:val="18"/>
              </w:rPr>
            </w:pPr>
            <w:r w:rsidRPr="009A6739">
              <w:rPr>
                <w:sz w:val="18"/>
                <w:szCs w:val="18"/>
              </w:rPr>
              <w:t>с 1 июля</w:t>
            </w:r>
          </w:p>
        </w:tc>
        <w:tc>
          <w:tcPr>
            <w:tcW w:w="1276" w:type="dxa"/>
            <w:vAlign w:val="center"/>
          </w:tcPr>
          <w:p w:rsidR="0078406F" w:rsidRPr="009A6739" w:rsidRDefault="0078406F" w:rsidP="009A6739">
            <w:pPr>
              <w:jc w:val="center"/>
              <w:rPr>
                <w:sz w:val="18"/>
                <w:szCs w:val="18"/>
              </w:rPr>
            </w:pPr>
            <w:r w:rsidRPr="009A6739">
              <w:rPr>
                <w:sz w:val="18"/>
                <w:szCs w:val="18"/>
              </w:rPr>
              <w:t>11,2</w:t>
            </w:r>
          </w:p>
          <w:p w:rsidR="0078406F" w:rsidRPr="009A6739" w:rsidRDefault="0078406F" w:rsidP="009A6739">
            <w:pPr>
              <w:jc w:val="center"/>
              <w:rPr>
                <w:sz w:val="18"/>
                <w:szCs w:val="18"/>
              </w:rPr>
            </w:pPr>
            <w:r w:rsidRPr="009A6739">
              <w:rPr>
                <w:sz w:val="18"/>
                <w:szCs w:val="18"/>
              </w:rPr>
              <w:t>с 1 июля</w:t>
            </w:r>
          </w:p>
        </w:tc>
      </w:tr>
      <w:tr w:rsidR="0078406F" w:rsidRPr="009A6739" w:rsidTr="0078406F">
        <w:trPr>
          <w:trHeight w:val="525"/>
        </w:trPr>
        <w:tc>
          <w:tcPr>
            <w:tcW w:w="3119" w:type="dxa"/>
            <w:vAlign w:val="center"/>
            <w:hideMark/>
          </w:tcPr>
          <w:p w:rsidR="0078406F" w:rsidRPr="009A6739" w:rsidRDefault="0078406F" w:rsidP="009A6739">
            <w:pPr>
              <w:rPr>
                <w:sz w:val="18"/>
                <w:szCs w:val="18"/>
                <w:highlight w:val="yellow"/>
              </w:rPr>
            </w:pPr>
            <w:r w:rsidRPr="009A6739">
              <w:rPr>
                <w:sz w:val="18"/>
                <w:szCs w:val="18"/>
              </w:rPr>
              <w:t>Совокупный платеж граждан за коммунальные услуги</w:t>
            </w:r>
          </w:p>
        </w:tc>
        <w:tc>
          <w:tcPr>
            <w:tcW w:w="1417" w:type="dxa"/>
            <w:vAlign w:val="center"/>
          </w:tcPr>
          <w:p w:rsidR="0078406F" w:rsidRPr="009A6739" w:rsidRDefault="0078406F" w:rsidP="009A6739">
            <w:pPr>
              <w:jc w:val="center"/>
              <w:rPr>
                <w:sz w:val="18"/>
                <w:szCs w:val="18"/>
              </w:rPr>
            </w:pPr>
            <w:r w:rsidRPr="009A6739">
              <w:rPr>
                <w:sz w:val="18"/>
                <w:szCs w:val="18"/>
              </w:rPr>
              <w:t>9,8</w:t>
            </w:r>
          </w:p>
          <w:p w:rsidR="0078406F" w:rsidRPr="009A6739" w:rsidRDefault="0078406F" w:rsidP="009A6739">
            <w:pPr>
              <w:jc w:val="center"/>
              <w:rPr>
                <w:sz w:val="18"/>
                <w:szCs w:val="18"/>
              </w:rPr>
            </w:pPr>
            <w:r w:rsidRPr="009A6739">
              <w:rPr>
                <w:sz w:val="18"/>
                <w:szCs w:val="18"/>
              </w:rPr>
              <w:t>с 1 июля</w:t>
            </w:r>
          </w:p>
        </w:tc>
        <w:tc>
          <w:tcPr>
            <w:tcW w:w="1418" w:type="dxa"/>
            <w:vAlign w:val="center"/>
          </w:tcPr>
          <w:p w:rsidR="0078406F" w:rsidRPr="009A6739" w:rsidRDefault="0078406F" w:rsidP="009A6739">
            <w:pPr>
              <w:jc w:val="center"/>
              <w:rPr>
                <w:sz w:val="18"/>
                <w:szCs w:val="18"/>
              </w:rPr>
            </w:pPr>
            <w:r w:rsidRPr="009A6739">
              <w:rPr>
                <w:sz w:val="18"/>
                <w:szCs w:val="18"/>
              </w:rPr>
              <w:t>11,9</w:t>
            </w:r>
          </w:p>
          <w:p w:rsidR="0078406F" w:rsidRPr="009A6739" w:rsidRDefault="0078406F" w:rsidP="009A6739">
            <w:pPr>
              <w:jc w:val="center"/>
              <w:rPr>
                <w:sz w:val="18"/>
                <w:szCs w:val="18"/>
              </w:rPr>
            </w:pPr>
            <w:r w:rsidRPr="009A6739">
              <w:rPr>
                <w:sz w:val="18"/>
                <w:szCs w:val="18"/>
              </w:rPr>
              <w:t>с 1 июля</w:t>
            </w:r>
          </w:p>
        </w:tc>
        <w:tc>
          <w:tcPr>
            <w:tcW w:w="1276" w:type="dxa"/>
            <w:vAlign w:val="center"/>
          </w:tcPr>
          <w:p w:rsidR="0078406F" w:rsidRPr="009A6739" w:rsidRDefault="0078406F" w:rsidP="009A6739">
            <w:pPr>
              <w:jc w:val="center"/>
              <w:rPr>
                <w:sz w:val="18"/>
                <w:szCs w:val="18"/>
              </w:rPr>
            </w:pPr>
            <w:r w:rsidRPr="009A6739">
              <w:rPr>
                <w:sz w:val="18"/>
                <w:szCs w:val="18"/>
              </w:rPr>
              <w:t>9,9</w:t>
            </w:r>
          </w:p>
          <w:p w:rsidR="0078406F" w:rsidRPr="009A6739" w:rsidRDefault="0078406F" w:rsidP="009A6739">
            <w:pPr>
              <w:jc w:val="center"/>
              <w:rPr>
                <w:sz w:val="18"/>
                <w:szCs w:val="18"/>
              </w:rPr>
            </w:pPr>
            <w:r w:rsidRPr="009A6739">
              <w:rPr>
                <w:sz w:val="18"/>
                <w:szCs w:val="18"/>
              </w:rPr>
              <w:t>с 1 октября</w:t>
            </w:r>
          </w:p>
        </w:tc>
        <w:tc>
          <w:tcPr>
            <w:tcW w:w="1417" w:type="dxa"/>
            <w:vAlign w:val="center"/>
          </w:tcPr>
          <w:p w:rsidR="0078406F" w:rsidRPr="009A6739" w:rsidRDefault="0078406F" w:rsidP="009A6739">
            <w:pPr>
              <w:jc w:val="center"/>
              <w:rPr>
                <w:sz w:val="18"/>
                <w:szCs w:val="18"/>
              </w:rPr>
            </w:pPr>
            <w:r w:rsidRPr="009A6739">
              <w:rPr>
                <w:sz w:val="18"/>
                <w:szCs w:val="18"/>
              </w:rPr>
              <w:t>8,7</w:t>
            </w:r>
          </w:p>
          <w:p w:rsidR="0078406F" w:rsidRPr="009A6739" w:rsidRDefault="0078406F" w:rsidP="009A6739">
            <w:pPr>
              <w:jc w:val="center"/>
              <w:rPr>
                <w:sz w:val="18"/>
                <w:szCs w:val="18"/>
              </w:rPr>
            </w:pPr>
            <w:r w:rsidRPr="009A6739">
              <w:rPr>
                <w:sz w:val="18"/>
                <w:szCs w:val="18"/>
              </w:rPr>
              <w:t>с 1 июля</w:t>
            </w:r>
          </w:p>
        </w:tc>
        <w:tc>
          <w:tcPr>
            <w:tcW w:w="1276" w:type="dxa"/>
            <w:vAlign w:val="center"/>
          </w:tcPr>
          <w:p w:rsidR="0078406F" w:rsidRPr="009A6739" w:rsidRDefault="0078406F" w:rsidP="009A6739">
            <w:pPr>
              <w:jc w:val="center"/>
              <w:rPr>
                <w:sz w:val="18"/>
                <w:szCs w:val="18"/>
              </w:rPr>
            </w:pPr>
            <w:r w:rsidRPr="009A6739">
              <w:rPr>
                <w:sz w:val="18"/>
                <w:szCs w:val="18"/>
              </w:rPr>
              <w:t>7,1</w:t>
            </w:r>
          </w:p>
          <w:p w:rsidR="0078406F" w:rsidRPr="009A6739" w:rsidRDefault="0078406F" w:rsidP="009A6739">
            <w:pPr>
              <w:jc w:val="center"/>
              <w:rPr>
                <w:sz w:val="18"/>
                <w:szCs w:val="18"/>
              </w:rPr>
            </w:pPr>
            <w:r w:rsidRPr="009A6739">
              <w:rPr>
                <w:sz w:val="18"/>
                <w:szCs w:val="18"/>
              </w:rPr>
              <w:t>с 1 июля</w:t>
            </w:r>
          </w:p>
        </w:tc>
      </w:tr>
      <w:tr w:rsidR="0078406F" w:rsidRPr="009A6739" w:rsidTr="0078406F">
        <w:trPr>
          <w:trHeight w:val="525"/>
        </w:trPr>
        <w:tc>
          <w:tcPr>
            <w:tcW w:w="3119" w:type="dxa"/>
            <w:vAlign w:val="center"/>
            <w:hideMark/>
          </w:tcPr>
          <w:p w:rsidR="0078406F" w:rsidRPr="009A6739" w:rsidRDefault="0078406F" w:rsidP="009A6739">
            <w:pPr>
              <w:rPr>
                <w:sz w:val="18"/>
                <w:szCs w:val="18"/>
                <w:highlight w:val="yellow"/>
              </w:rPr>
            </w:pPr>
            <w:r w:rsidRPr="009A6739">
              <w:rPr>
                <w:sz w:val="18"/>
                <w:szCs w:val="18"/>
              </w:rPr>
              <w:t>Пассажирские перевозки железнодорожным транспортом</w:t>
            </w:r>
          </w:p>
        </w:tc>
        <w:tc>
          <w:tcPr>
            <w:tcW w:w="1417" w:type="dxa"/>
            <w:vAlign w:val="center"/>
          </w:tcPr>
          <w:p w:rsidR="0078406F" w:rsidRPr="009A6739" w:rsidRDefault="0078406F" w:rsidP="009A6739">
            <w:pPr>
              <w:jc w:val="center"/>
              <w:rPr>
                <w:sz w:val="18"/>
                <w:szCs w:val="18"/>
              </w:rPr>
            </w:pPr>
            <w:r w:rsidRPr="009A6739">
              <w:rPr>
                <w:sz w:val="18"/>
                <w:szCs w:val="18"/>
              </w:rPr>
              <w:t>11,6</w:t>
            </w:r>
          </w:p>
          <w:p w:rsidR="0078406F" w:rsidRPr="009A6739" w:rsidRDefault="0078406F" w:rsidP="009A6739">
            <w:pPr>
              <w:jc w:val="center"/>
              <w:rPr>
                <w:sz w:val="18"/>
                <w:szCs w:val="18"/>
              </w:rPr>
            </w:pPr>
            <w:r w:rsidRPr="009A6739">
              <w:rPr>
                <w:sz w:val="18"/>
                <w:szCs w:val="18"/>
              </w:rPr>
              <w:t>с 1 декабря</w:t>
            </w:r>
          </w:p>
        </w:tc>
        <w:tc>
          <w:tcPr>
            <w:tcW w:w="1418" w:type="dxa"/>
            <w:vAlign w:val="center"/>
          </w:tcPr>
          <w:p w:rsidR="0078406F" w:rsidRPr="009A6739" w:rsidRDefault="0078406F" w:rsidP="009A6739">
            <w:pPr>
              <w:jc w:val="center"/>
              <w:rPr>
                <w:sz w:val="18"/>
                <w:szCs w:val="18"/>
              </w:rPr>
            </w:pPr>
            <w:r w:rsidRPr="009A6739">
              <w:rPr>
                <w:sz w:val="18"/>
                <w:szCs w:val="18"/>
              </w:rPr>
              <w:t>11,4</w:t>
            </w:r>
          </w:p>
          <w:p w:rsidR="0078406F" w:rsidRPr="009A6739" w:rsidRDefault="0078406F" w:rsidP="009A6739">
            <w:pPr>
              <w:jc w:val="center"/>
              <w:rPr>
                <w:sz w:val="18"/>
                <w:szCs w:val="18"/>
              </w:rPr>
            </w:pPr>
            <w:r w:rsidRPr="009A6739">
              <w:rPr>
                <w:sz w:val="18"/>
                <w:szCs w:val="18"/>
              </w:rPr>
              <w:t>с 1 декабря</w:t>
            </w:r>
          </w:p>
        </w:tc>
        <w:tc>
          <w:tcPr>
            <w:tcW w:w="1276" w:type="dxa"/>
            <w:vAlign w:val="center"/>
          </w:tcPr>
          <w:p w:rsidR="0078406F" w:rsidRPr="009A6739" w:rsidRDefault="0078406F" w:rsidP="009A6739">
            <w:pPr>
              <w:jc w:val="center"/>
              <w:rPr>
                <w:sz w:val="18"/>
                <w:szCs w:val="18"/>
              </w:rPr>
            </w:pPr>
            <w:r w:rsidRPr="009A6739">
              <w:rPr>
                <w:sz w:val="18"/>
                <w:szCs w:val="18"/>
              </w:rPr>
              <w:t>0</w:t>
            </w:r>
          </w:p>
        </w:tc>
        <w:tc>
          <w:tcPr>
            <w:tcW w:w="1417" w:type="dxa"/>
            <w:vAlign w:val="center"/>
          </w:tcPr>
          <w:p w:rsidR="0078406F" w:rsidRPr="009A6739" w:rsidRDefault="0078406F" w:rsidP="009A6739">
            <w:pPr>
              <w:jc w:val="center"/>
              <w:rPr>
                <w:sz w:val="18"/>
                <w:szCs w:val="18"/>
              </w:rPr>
            </w:pPr>
            <w:r w:rsidRPr="009A6739">
              <w:rPr>
                <w:sz w:val="18"/>
                <w:szCs w:val="18"/>
              </w:rPr>
              <w:t>5,9</w:t>
            </w:r>
          </w:p>
          <w:p w:rsidR="0078406F" w:rsidRPr="009A6739" w:rsidRDefault="0078406F" w:rsidP="009A6739">
            <w:pPr>
              <w:jc w:val="center"/>
              <w:rPr>
                <w:sz w:val="18"/>
                <w:szCs w:val="18"/>
              </w:rPr>
            </w:pPr>
            <w:r w:rsidRPr="009A6739">
              <w:rPr>
                <w:sz w:val="18"/>
                <w:szCs w:val="18"/>
              </w:rPr>
              <w:t>с 1 января</w:t>
            </w:r>
          </w:p>
        </w:tc>
        <w:tc>
          <w:tcPr>
            <w:tcW w:w="1276" w:type="dxa"/>
            <w:vAlign w:val="center"/>
          </w:tcPr>
          <w:p w:rsidR="0078406F" w:rsidRPr="009A6739" w:rsidRDefault="0078406F" w:rsidP="009A6739">
            <w:pPr>
              <w:jc w:val="center"/>
              <w:rPr>
                <w:sz w:val="18"/>
                <w:szCs w:val="18"/>
              </w:rPr>
            </w:pPr>
            <w:r w:rsidRPr="009A6739">
              <w:rPr>
                <w:sz w:val="18"/>
                <w:szCs w:val="18"/>
              </w:rPr>
              <w:t>5,9</w:t>
            </w:r>
          </w:p>
          <w:p w:rsidR="0078406F" w:rsidRPr="009A6739" w:rsidRDefault="0078406F" w:rsidP="009A6739">
            <w:pPr>
              <w:jc w:val="center"/>
              <w:rPr>
                <w:sz w:val="18"/>
                <w:szCs w:val="18"/>
              </w:rPr>
            </w:pPr>
            <w:r w:rsidRPr="009A6739">
              <w:rPr>
                <w:sz w:val="18"/>
                <w:szCs w:val="18"/>
              </w:rPr>
              <w:t>с 1 января</w:t>
            </w:r>
          </w:p>
        </w:tc>
      </w:tr>
    </w:tbl>
    <w:p w:rsidR="00EF4AFF" w:rsidRPr="00C903FF" w:rsidRDefault="00EF4AFF" w:rsidP="007D349B">
      <w:pPr>
        <w:autoSpaceDE w:val="0"/>
        <w:autoSpaceDN w:val="0"/>
        <w:adjustRightInd w:val="0"/>
        <w:spacing w:line="360" w:lineRule="auto"/>
        <w:ind w:firstLine="709"/>
        <w:jc w:val="both"/>
        <w:rPr>
          <w:sz w:val="10"/>
          <w:szCs w:val="10"/>
        </w:rPr>
      </w:pPr>
    </w:p>
    <w:p w:rsidR="00C903FF" w:rsidRPr="00C903FF" w:rsidRDefault="00C903FF" w:rsidP="003E5FB2">
      <w:pPr>
        <w:autoSpaceDE w:val="0"/>
        <w:autoSpaceDN w:val="0"/>
        <w:adjustRightInd w:val="0"/>
        <w:spacing w:line="384" w:lineRule="auto"/>
        <w:ind w:firstLine="709"/>
        <w:jc w:val="both"/>
      </w:pPr>
      <w:r w:rsidRPr="00C903FF">
        <w:t xml:space="preserve">Счетная палата неоднократно отмечала, что </w:t>
      </w:r>
      <w:r w:rsidR="00451876" w:rsidRPr="00451876">
        <w:t>увеличение стоимости</w:t>
      </w:r>
      <w:r w:rsidR="0078406F">
        <w:t xml:space="preserve"> </w:t>
      </w:r>
      <w:r w:rsidRPr="00C903FF">
        <w:t>жилищно-коммунальных услуг, формирующих около 10 % всех потребительских расходов (в 2025 году</w:t>
      </w:r>
      <w:r w:rsidR="00990CA9">
        <w:t> </w:t>
      </w:r>
      <w:r w:rsidRPr="00C903FF">
        <w:t>– 9,6 %), может оказать давление на инфляцию. Сопоставимый рост цен на газ и электроэнергию для иных категорий потребителей окажет дополнительное косвенное влияние на</w:t>
      </w:r>
      <w:r w:rsidR="0078406F">
        <w:t> </w:t>
      </w:r>
      <w:r w:rsidRPr="00C903FF">
        <w:t>потребительскую инфляцию через увеличение стоимости производимой продукции или оказываемых услуг.</w:t>
      </w:r>
    </w:p>
    <w:p w:rsidR="00C903FF" w:rsidRPr="00C903FF" w:rsidRDefault="00C903FF" w:rsidP="003E5FB2">
      <w:pPr>
        <w:autoSpaceDE w:val="0"/>
        <w:autoSpaceDN w:val="0"/>
        <w:adjustRightInd w:val="0"/>
        <w:spacing w:line="384" w:lineRule="auto"/>
        <w:ind w:firstLine="709"/>
        <w:jc w:val="both"/>
      </w:pPr>
      <w:r w:rsidRPr="00C903FF">
        <w:t xml:space="preserve">По мнению Счетной палаты, параметры индексации тарифов на товары и услуги компаний инфраструктурного сектора, заложенные в Прогнозе, являются фактором </w:t>
      </w:r>
      <w:r w:rsidR="00451876" w:rsidRPr="00451876">
        <w:t xml:space="preserve">возможного не достижения цели по снижению </w:t>
      </w:r>
      <w:r w:rsidRPr="00C903FF">
        <w:t>инфляции до</w:t>
      </w:r>
      <w:r w:rsidR="00990CA9">
        <w:t> </w:t>
      </w:r>
      <w:r w:rsidRPr="00C903FF">
        <w:t>4 % уже к концу 2026</w:t>
      </w:r>
      <w:r w:rsidR="00990CA9">
        <w:t> </w:t>
      </w:r>
      <w:r w:rsidRPr="00C903FF">
        <w:t>года и сохранения ее на указанном уровне в</w:t>
      </w:r>
      <w:r w:rsidR="00990CA9">
        <w:t> </w:t>
      </w:r>
      <w:r w:rsidRPr="00C903FF">
        <w:t>2027–2028 годах.</w:t>
      </w:r>
    </w:p>
    <w:p w:rsidR="00C903FF" w:rsidRPr="00C903FF" w:rsidRDefault="00C903FF" w:rsidP="003E5FB2">
      <w:pPr>
        <w:autoSpaceDE w:val="0"/>
        <w:autoSpaceDN w:val="0"/>
        <w:adjustRightInd w:val="0"/>
        <w:spacing w:line="384" w:lineRule="auto"/>
        <w:ind w:firstLine="709"/>
        <w:jc w:val="both"/>
      </w:pPr>
      <w:r w:rsidRPr="00C903FF">
        <w:lastRenderedPageBreak/>
        <w:t xml:space="preserve">Более позднее возвращение инфляции к целевому уровню означает сохранение жесткой денежно-кредитной политики более длительное время, что в Прогнозе обозначено в качестве риска для базового варианта. Счетная палата отмечает высокую вероятность реализации указанного риска, что приведет к замедлению экономической активности и, как следствие, негативно отразится </w:t>
      </w:r>
      <w:r w:rsidR="007615E9">
        <w:t xml:space="preserve">на </w:t>
      </w:r>
      <w:r w:rsidRPr="00C903FF">
        <w:t xml:space="preserve">доходных поступлениях в бюджет, </w:t>
      </w:r>
      <w:r w:rsidR="00576527" w:rsidRPr="00576527">
        <w:t>а также потребует дополнительных расходов на субсидирование процентных ставок и обслуживание государственного долга (по</w:t>
      </w:r>
      <w:r w:rsidR="00793E57">
        <w:t> </w:t>
      </w:r>
      <w:r w:rsidR="00576527" w:rsidRPr="00576527">
        <w:t>ОФЗ-ПК) и более высокую индексацию социальных обязательств.</w:t>
      </w:r>
    </w:p>
    <w:p w:rsidR="00CE2CE7" w:rsidRPr="00CE2CE7" w:rsidRDefault="00451640" w:rsidP="003E5FB2">
      <w:pPr>
        <w:autoSpaceDE w:val="0"/>
        <w:autoSpaceDN w:val="0"/>
        <w:adjustRightInd w:val="0"/>
        <w:spacing w:line="384" w:lineRule="auto"/>
        <w:ind w:firstLine="709"/>
        <w:jc w:val="both"/>
        <w:rPr>
          <w:bCs/>
        </w:rPr>
      </w:pPr>
      <w:r w:rsidRPr="007615E9">
        <w:rPr>
          <w:b/>
        </w:rPr>
        <w:t>2.</w:t>
      </w:r>
      <w:r w:rsidR="00A7507B" w:rsidRPr="007615E9">
        <w:rPr>
          <w:b/>
        </w:rPr>
        <w:t>7</w:t>
      </w:r>
      <w:r w:rsidRPr="007615E9">
        <w:rPr>
          <w:b/>
        </w:rPr>
        <w:t>.</w:t>
      </w:r>
      <w:r w:rsidRPr="007615E9">
        <w:t xml:space="preserve"> </w:t>
      </w:r>
      <w:r w:rsidR="00CE2CE7" w:rsidRPr="00CE2CE7">
        <w:rPr>
          <w:bCs/>
        </w:rPr>
        <w:t xml:space="preserve">Согласно Прогнозу в 2025 году динамика </w:t>
      </w:r>
      <w:r w:rsidR="00CE2CE7" w:rsidRPr="00CE2CE7">
        <w:rPr>
          <w:b/>
        </w:rPr>
        <w:t>ВВП</w:t>
      </w:r>
      <w:r w:rsidR="00CE2CE7" w:rsidRPr="00CE2CE7">
        <w:rPr>
          <w:bCs/>
        </w:rPr>
        <w:t xml:space="preserve"> замедлится до 1,0 % после двух лет интенсивного роста (на 4,1 % в 2023 году и 4,3 % в 2024</w:t>
      </w:r>
      <w:r w:rsidR="00CE2CE7">
        <w:rPr>
          <w:bCs/>
        </w:rPr>
        <w:t> </w:t>
      </w:r>
      <w:r w:rsidR="00CE2CE7" w:rsidRPr="00CE2CE7">
        <w:rPr>
          <w:bCs/>
        </w:rPr>
        <w:t>году). С учетом отчетных данных (рост</w:t>
      </w:r>
      <w:r w:rsidR="00CE2CE7">
        <w:rPr>
          <w:bCs/>
        </w:rPr>
        <w:t> </w:t>
      </w:r>
      <w:r w:rsidR="00CE2CE7" w:rsidRPr="00CE2CE7">
        <w:rPr>
          <w:bCs/>
        </w:rPr>
        <w:t xml:space="preserve">в </w:t>
      </w:r>
      <w:r w:rsidR="00CE2CE7" w:rsidRPr="00CE2CE7">
        <w:rPr>
          <w:bCs/>
          <w:lang w:val="en-US"/>
        </w:rPr>
        <w:t>I</w:t>
      </w:r>
      <w:r w:rsidR="00CE2CE7" w:rsidRPr="00CE2CE7">
        <w:rPr>
          <w:bCs/>
        </w:rPr>
        <w:t xml:space="preserve"> и </w:t>
      </w:r>
      <w:r w:rsidR="00CE2CE7" w:rsidRPr="00CE2CE7">
        <w:rPr>
          <w:bCs/>
          <w:lang w:val="en-US"/>
        </w:rPr>
        <w:t>II</w:t>
      </w:r>
      <w:r w:rsidR="00CE2CE7" w:rsidRPr="00CE2CE7">
        <w:rPr>
          <w:bCs/>
        </w:rPr>
        <w:t xml:space="preserve"> кварталах 2025</w:t>
      </w:r>
      <w:r w:rsidR="00CE2CE7">
        <w:rPr>
          <w:bCs/>
        </w:rPr>
        <w:t> </w:t>
      </w:r>
      <w:r w:rsidR="00CE2CE7" w:rsidRPr="00CE2CE7">
        <w:rPr>
          <w:bCs/>
        </w:rPr>
        <w:t>года по сравнению с аналогичным периодом 2024 года на 1,4 % и</w:t>
      </w:r>
      <w:r w:rsidR="00CE2CE7">
        <w:rPr>
          <w:bCs/>
        </w:rPr>
        <w:t> </w:t>
      </w:r>
      <w:r w:rsidR="00CE2CE7" w:rsidRPr="00CE2CE7">
        <w:rPr>
          <w:bCs/>
        </w:rPr>
        <w:t>1,1 % соответственно) для достижения прогнозного значения в целом за 2025 год прирост ВВП во втором полугодии не должен превысить 0,8 %.</w:t>
      </w:r>
    </w:p>
    <w:p w:rsidR="007615E9" w:rsidRPr="007615E9" w:rsidRDefault="00864035" w:rsidP="006C6883">
      <w:pPr>
        <w:autoSpaceDE w:val="0"/>
        <w:autoSpaceDN w:val="0"/>
        <w:adjustRightInd w:val="0"/>
        <w:spacing w:line="353" w:lineRule="auto"/>
        <w:ind w:firstLine="709"/>
        <w:jc w:val="both"/>
      </w:pPr>
      <w:r w:rsidRPr="00D420E3">
        <w:rPr>
          <w:noProof/>
        </w:rPr>
        <w:drawing>
          <wp:anchor distT="0" distB="0" distL="114300" distR="114300" simplePos="0" relativeHeight="251681792" behindDoc="0" locked="0" layoutInCell="1" allowOverlap="1" wp14:anchorId="470188E8" wp14:editId="20EDF770">
            <wp:simplePos x="0" y="0"/>
            <wp:positionH relativeFrom="margin">
              <wp:posOffset>50800</wp:posOffset>
            </wp:positionH>
            <wp:positionV relativeFrom="paragraph">
              <wp:posOffset>75565</wp:posOffset>
            </wp:positionV>
            <wp:extent cx="3097530" cy="2080895"/>
            <wp:effectExtent l="0" t="0" r="7620" b="0"/>
            <wp:wrapSquare wrapText="bothSides"/>
            <wp:docPr id="2091061027" name="Диаграмма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AD5D01" w:rsidRPr="00D420E3">
        <w:rPr>
          <w:bCs/>
        </w:rPr>
        <w:t>В 2026 году динамика ВВП начнет ускоряться, но прирост составит только 1,3 %. Столь низких темпов роста в российской экономике не отмечалось с 2016 года (за исключением 2020 и 2022</w:t>
      </w:r>
      <w:r w:rsidR="00D420E3" w:rsidRPr="00D420E3">
        <w:rPr>
          <w:bCs/>
        </w:rPr>
        <w:t> </w:t>
      </w:r>
      <w:r w:rsidR="00AD5D01" w:rsidRPr="00D420E3">
        <w:rPr>
          <w:bCs/>
        </w:rPr>
        <w:t>годов, когда отмечалось снижение ВВП во время локдауна и санкционного кризиса). В 2027 и 2028</w:t>
      </w:r>
      <w:r w:rsidR="00146124" w:rsidRPr="00D420E3">
        <w:rPr>
          <w:bCs/>
        </w:rPr>
        <w:t> </w:t>
      </w:r>
      <w:r w:rsidR="00AD5D01" w:rsidRPr="00D420E3">
        <w:rPr>
          <w:bCs/>
        </w:rPr>
        <w:t xml:space="preserve">годах прирост ВВП ускорится </w:t>
      </w:r>
      <w:r w:rsidR="00AD5D01" w:rsidRPr="00AD5D01">
        <w:rPr>
          <w:bCs/>
        </w:rPr>
        <w:t>до 2,8 % и 2,5 % соответственно</w:t>
      </w:r>
      <w:r w:rsidR="00146124">
        <w:rPr>
          <w:bCs/>
        </w:rPr>
        <w:t>.</w:t>
      </w:r>
    </w:p>
    <w:p w:rsidR="00B42D96" w:rsidRPr="00D420E3" w:rsidRDefault="00B42D96" w:rsidP="003E5FB2">
      <w:pPr>
        <w:autoSpaceDE w:val="0"/>
        <w:autoSpaceDN w:val="0"/>
        <w:adjustRightInd w:val="0"/>
        <w:spacing w:line="384" w:lineRule="auto"/>
        <w:ind w:firstLine="709"/>
        <w:jc w:val="both"/>
        <w:rPr>
          <w:bCs/>
        </w:rPr>
      </w:pPr>
      <w:r w:rsidRPr="00D420E3">
        <w:rPr>
          <w:bCs/>
        </w:rPr>
        <w:t>По мнению Счетной палаты, жесткая денежно-кредитная политика оказала существенное влияние на замедление экономики. По оценке Банка России, приведенной в</w:t>
      </w:r>
      <w:r w:rsidR="00793E57">
        <w:rPr>
          <w:bCs/>
        </w:rPr>
        <w:t> </w:t>
      </w:r>
      <w:r w:rsidRPr="00D420E3">
        <w:rPr>
          <w:bCs/>
        </w:rPr>
        <w:t xml:space="preserve">ОНЕГДКП </w:t>
      </w:r>
      <w:r w:rsidRPr="00D420E3">
        <w:t>2026</w:t>
      </w:r>
      <w:r w:rsidR="004E4A8B">
        <w:t>–</w:t>
      </w:r>
      <w:r w:rsidRPr="00D420E3">
        <w:t>2028</w:t>
      </w:r>
      <w:r w:rsidRPr="00D420E3">
        <w:rPr>
          <w:bCs/>
        </w:rPr>
        <w:t>, импульс от изменения ключевой ставки в полной мере проявляется через 3</w:t>
      </w:r>
      <w:r w:rsidR="00793E57">
        <w:rPr>
          <w:bCs/>
        </w:rPr>
        <w:t>–</w:t>
      </w:r>
      <w:r w:rsidRPr="00D420E3">
        <w:rPr>
          <w:bCs/>
        </w:rPr>
        <w:t xml:space="preserve">6 кварталов. Соответственно, эффект от смягчения денежно-кредитной политики ожидается только с 2027 года. </w:t>
      </w:r>
    </w:p>
    <w:p w:rsidR="007615E9" w:rsidRPr="00D420E3" w:rsidRDefault="00B42D96" w:rsidP="003E5FB2">
      <w:pPr>
        <w:autoSpaceDE w:val="0"/>
        <w:autoSpaceDN w:val="0"/>
        <w:adjustRightInd w:val="0"/>
        <w:spacing w:line="384" w:lineRule="auto"/>
        <w:ind w:firstLine="709"/>
        <w:jc w:val="both"/>
      </w:pPr>
      <w:r w:rsidRPr="00D420E3">
        <w:rPr>
          <w:bCs/>
        </w:rPr>
        <w:t xml:space="preserve">В предыдущие годы в прогнозах Минэкономразвития России представлялись довольно оптимистичные оценки темпов роста ВВП России, которые находились выше или по верхней границе прогнозов российских и международных организаций, что делало базовый вариант прогноза близким к целевому. В текущем году Минэкономразвития России представило умеренно пессимистичную динамику ВВП на ближайшие два года, что, по мнению Счетной палаты, в большей степени соответствует текущим условиям функционирования экономики. </w:t>
      </w:r>
      <w:r w:rsidRPr="00D420E3">
        <w:rPr>
          <w:bCs/>
        </w:rPr>
        <w:lastRenderedPageBreak/>
        <w:t>Однако для достижения поставленных национальных целей</w:t>
      </w:r>
      <w:r w:rsidRPr="00D420E3">
        <w:rPr>
          <w:bCs/>
          <w:vertAlign w:val="superscript"/>
        </w:rPr>
        <w:footnoteReference w:id="7"/>
      </w:r>
      <w:r w:rsidRPr="00D420E3">
        <w:rPr>
          <w:bCs/>
        </w:rPr>
        <w:t xml:space="preserve"> необходимо обеспечить более высокую экономическую динамику в последующие годы, чем предусматривается в Прогнозе.</w:t>
      </w:r>
    </w:p>
    <w:p w:rsidR="002E7C28" w:rsidRPr="00D420E3" w:rsidRDefault="002E7C28" w:rsidP="003E5FB2">
      <w:pPr>
        <w:autoSpaceDE w:val="0"/>
        <w:autoSpaceDN w:val="0"/>
        <w:adjustRightInd w:val="0"/>
        <w:spacing w:line="384" w:lineRule="auto"/>
        <w:ind w:firstLine="709"/>
        <w:jc w:val="both"/>
      </w:pPr>
      <w:r w:rsidRPr="00D420E3">
        <w:t>Наиболее актуальные прогнозы российского ВВП представлены в следующей таблице.</w:t>
      </w:r>
    </w:p>
    <w:p w:rsidR="00D420E3" w:rsidRPr="00D420E3" w:rsidRDefault="00D420E3" w:rsidP="000F3C8E">
      <w:pPr>
        <w:ind w:firstLine="709"/>
        <w:jc w:val="right"/>
        <w:rPr>
          <w:sz w:val="18"/>
          <w:szCs w:val="18"/>
        </w:rPr>
      </w:pPr>
      <w:r w:rsidRPr="00D420E3">
        <w:rPr>
          <w:sz w:val="18"/>
          <w:szCs w:val="1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60"/>
        <w:gridCol w:w="992"/>
        <w:gridCol w:w="992"/>
        <w:gridCol w:w="992"/>
        <w:gridCol w:w="992"/>
        <w:gridCol w:w="993"/>
      </w:tblGrid>
      <w:tr w:rsidR="00864035" w:rsidRPr="00864035" w:rsidTr="00DD1C1F">
        <w:trPr>
          <w:trHeight w:val="375"/>
          <w:tblHeader/>
        </w:trPr>
        <w:tc>
          <w:tcPr>
            <w:tcW w:w="3402" w:type="dxa"/>
            <w:noWrap/>
            <w:vAlign w:val="center"/>
            <w:hideMark/>
          </w:tcPr>
          <w:p w:rsidR="00864035" w:rsidRPr="00864035" w:rsidRDefault="00864035" w:rsidP="00864035">
            <w:pPr>
              <w:jc w:val="center"/>
              <w:rPr>
                <w:b/>
                <w:bCs/>
                <w:sz w:val="18"/>
                <w:szCs w:val="18"/>
              </w:rPr>
            </w:pPr>
            <w:r w:rsidRPr="00864035">
              <w:rPr>
                <w:b/>
                <w:bCs/>
                <w:sz w:val="18"/>
                <w:szCs w:val="18"/>
              </w:rPr>
              <w:t>Источник</w:t>
            </w:r>
          </w:p>
        </w:tc>
        <w:tc>
          <w:tcPr>
            <w:tcW w:w="1560" w:type="dxa"/>
            <w:vAlign w:val="center"/>
          </w:tcPr>
          <w:p w:rsidR="00864035" w:rsidRPr="00864035" w:rsidRDefault="00864035" w:rsidP="00864035">
            <w:pPr>
              <w:jc w:val="center"/>
              <w:rPr>
                <w:b/>
                <w:bCs/>
                <w:sz w:val="18"/>
                <w:szCs w:val="18"/>
              </w:rPr>
            </w:pPr>
            <w:r w:rsidRPr="00864035">
              <w:rPr>
                <w:b/>
                <w:bCs/>
                <w:sz w:val="18"/>
                <w:szCs w:val="18"/>
              </w:rPr>
              <w:t>Дата публикации</w:t>
            </w:r>
          </w:p>
        </w:tc>
        <w:tc>
          <w:tcPr>
            <w:tcW w:w="992" w:type="dxa"/>
            <w:noWrap/>
            <w:vAlign w:val="center"/>
            <w:hideMark/>
          </w:tcPr>
          <w:p w:rsidR="00864035" w:rsidRPr="00864035" w:rsidRDefault="00864035" w:rsidP="00864035">
            <w:pPr>
              <w:jc w:val="center"/>
              <w:rPr>
                <w:b/>
                <w:bCs/>
                <w:sz w:val="18"/>
                <w:szCs w:val="18"/>
              </w:rPr>
            </w:pPr>
            <w:r w:rsidRPr="00864035">
              <w:rPr>
                <w:b/>
                <w:bCs/>
                <w:sz w:val="18"/>
                <w:szCs w:val="18"/>
              </w:rPr>
              <w:t>2024</w:t>
            </w:r>
          </w:p>
        </w:tc>
        <w:tc>
          <w:tcPr>
            <w:tcW w:w="992" w:type="dxa"/>
            <w:noWrap/>
            <w:vAlign w:val="center"/>
            <w:hideMark/>
          </w:tcPr>
          <w:p w:rsidR="00864035" w:rsidRPr="00864035" w:rsidRDefault="00864035" w:rsidP="00864035">
            <w:pPr>
              <w:jc w:val="center"/>
              <w:rPr>
                <w:b/>
                <w:bCs/>
                <w:sz w:val="18"/>
                <w:szCs w:val="18"/>
              </w:rPr>
            </w:pPr>
            <w:r w:rsidRPr="00864035">
              <w:rPr>
                <w:b/>
                <w:bCs/>
                <w:sz w:val="18"/>
                <w:szCs w:val="18"/>
              </w:rPr>
              <w:t>2025</w:t>
            </w:r>
          </w:p>
        </w:tc>
        <w:tc>
          <w:tcPr>
            <w:tcW w:w="992" w:type="dxa"/>
            <w:noWrap/>
            <w:vAlign w:val="center"/>
            <w:hideMark/>
          </w:tcPr>
          <w:p w:rsidR="00864035" w:rsidRPr="00864035" w:rsidRDefault="00864035" w:rsidP="00864035">
            <w:pPr>
              <w:jc w:val="center"/>
              <w:rPr>
                <w:b/>
                <w:bCs/>
                <w:sz w:val="18"/>
                <w:szCs w:val="18"/>
              </w:rPr>
            </w:pPr>
            <w:r w:rsidRPr="00864035">
              <w:rPr>
                <w:b/>
                <w:bCs/>
                <w:sz w:val="18"/>
                <w:szCs w:val="18"/>
              </w:rPr>
              <w:t>2026</w:t>
            </w:r>
          </w:p>
        </w:tc>
        <w:tc>
          <w:tcPr>
            <w:tcW w:w="992" w:type="dxa"/>
            <w:noWrap/>
            <w:vAlign w:val="center"/>
            <w:hideMark/>
          </w:tcPr>
          <w:p w:rsidR="00864035" w:rsidRPr="00864035" w:rsidRDefault="00864035" w:rsidP="00864035">
            <w:pPr>
              <w:jc w:val="center"/>
              <w:rPr>
                <w:b/>
                <w:bCs/>
                <w:sz w:val="18"/>
                <w:szCs w:val="18"/>
              </w:rPr>
            </w:pPr>
            <w:r w:rsidRPr="00864035">
              <w:rPr>
                <w:b/>
                <w:bCs/>
                <w:sz w:val="18"/>
                <w:szCs w:val="18"/>
              </w:rPr>
              <w:t>2027</w:t>
            </w:r>
          </w:p>
        </w:tc>
        <w:tc>
          <w:tcPr>
            <w:tcW w:w="993" w:type="dxa"/>
            <w:noWrap/>
            <w:vAlign w:val="center"/>
            <w:hideMark/>
          </w:tcPr>
          <w:p w:rsidR="00864035" w:rsidRPr="00864035" w:rsidRDefault="00864035" w:rsidP="00864035">
            <w:pPr>
              <w:jc w:val="center"/>
              <w:rPr>
                <w:b/>
                <w:bCs/>
                <w:sz w:val="18"/>
                <w:szCs w:val="18"/>
              </w:rPr>
            </w:pPr>
            <w:r w:rsidRPr="00864035">
              <w:rPr>
                <w:b/>
                <w:bCs/>
                <w:sz w:val="18"/>
                <w:szCs w:val="18"/>
              </w:rPr>
              <w:t>2028</w:t>
            </w:r>
          </w:p>
        </w:tc>
      </w:tr>
      <w:tr w:rsidR="00864035" w:rsidRPr="00864035" w:rsidTr="00DD1C1F">
        <w:trPr>
          <w:trHeight w:val="20"/>
        </w:trPr>
        <w:tc>
          <w:tcPr>
            <w:tcW w:w="9923" w:type="dxa"/>
            <w:gridSpan w:val="7"/>
            <w:noWrap/>
            <w:vAlign w:val="bottom"/>
          </w:tcPr>
          <w:p w:rsidR="00864035" w:rsidRPr="00864035" w:rsidRDefault="00864035" w:rsidP="00864035">
            <w:pPr>
              <w:jc w:val="center"/>
              <w:rPr>
                <w:b/>
                <w:bCs/>
                <w:sz w:val="18"/>
                <w:szCs w:val="18"/>
              </w:rPr>
            </w:pPr>
            <w:r w:rsidRPr="00864035">
              <w:rPr>
                <w:b/>
                <w:bCs/>
                <w:sz w:val="18"/>
                <w:szCs w:val="18"/>
              </w:rPr>
              <w:t>международные организации</w:t>
            </w:r>
          </w:p>
        </w:tc>
      </w:tr>
      <w:tr w:rsidR="00864035" w:rsidRPr="00864035" w:rsidTr="00DD1C1F">
        <w:trPr>
          <w:trHeight w:val="20"/>
        </w:trPr>
        <w:tc>
          <w:tcPr>
            <w:tcW w:w="3402" w:type="dxa"/>
            <w:vAlign w:val="bottom"/>
            <w:hideMark/>
          </w:tcPr>
          <w:p w:rsidR="00864035" w:rsidRPr="00864035" w:rsidRDefault="00547BD3" w:rsidP="00864035">
            <w:pPr>
              <w:rPr>
                <w:sz w:val="18"/>
                <w:szCs w:val="18"/>
              </w:rPr>
            </w:pPr>
            <w:hyperlink r:id="rId12" w:history="1">
              <w:r w:rsidR="00864035" w:rsidRPr="00864035">
                <w:rPr>
                  <w:sz w:val="18"/>
                  <w:szCs w:val="18"/>
                </w:rPr>
                <w:t>ООН</w:t>
              </w:r>
            </w:hyperlink>
          </w:p>
        </w:tc>
        <w:tc>
          <w:tcPr>
            <w:tcW w:w="1560" w:type="dxa"/>
          </w:tcPr>
          <w:p w:rsidR="00864035" w:rsidRPr="00864035" w:rsidRDefault="00864035" w:rsidP="00864035">
            <w:pPr>
              <w:jc w:val="center"/>
              <w:rPr>
                <w:sz w:val="18"/>
                <w:szCs w:val="18"/>
              </w:rPr>
            </w:pPr>
            <w:r w:rsidRPr="00864035">
              <w:rPr>
                <w:sz w:val="18"/>
                <w:szCs w:val="18"/>
              </w:rPr>
              <w:t>17.05.2025</w:t>
            </w:r>
          </w:p>
        </w:tc>
        <w:tc>
          <w:tcPr>
            <w:tcW w:w="992" w:type="dxa"/>
            <w:vAlign w:val="bottom"/>
            <w:hideMark/>
          </w:tcPr>
          <w:p w:rsidR="00864035" w:rsidRPr="00864035" w:rsidRDefault="00864035" w:rsidP="00864035">
            <w:pPr>
              <w:jc w:val="center"/>
              <w:rPr>
                <w:sz w:val="18"/>
                <w:szCs w:val="18"/>
              </w:rPr>
            </w:pPr>
            <w:r w:rsidRPr="00864035">
              <w:rPr>
                <w:sz w:val="18"/>
                <w:szCs w:val="18"/>
              </w:rPr>
              <w:t>4,3</w:t>
            </w:r>
          </w:p>
        </w:tc>
        <w:tc>
          <w:tcPr>
            <w:tcW w:w="992" w:type="dxa"/>
            <w:vAlign w:val="bottom"/>
            <w:hideMark/>
          </w:tcPr>
          <w:p w:rsidR="00864035" w:rsidRPr="00864035" w:rsidRDefault="00864035" w:rsidP="00864035">
            <w:pPr>
              <w:jc w:val="center"/>
              <w:rPr>
                <w:sz w:val="18"/>
                <w:szCs w:val="18"/>
              </w:rPr>
            </w:pPr>
            <w:r w:rsidRPr="00864035">
              <w:rPr>
                <w:sz w:val="18"/>
                <w:szCs w:val="18"/>
              </w:rPr>
              <w:t>1,5</w:t>
            </w:r>
          </w:p>
        </w:tc>
        <w:tc>
          <w:tcPr>
            <w:tcW w:w="992" w:type="dxa"/>
            <w:vAlign w:val="bottom"/>
            <w:hideMark/>
          </w:tcPr>
          <w:p w:rsidR="00864035" w:rsidRPr="00864035" w:rsidRDefault="00864035" w:rsidP="00864035">
            <w:pPr>
              <w:jc w:val="center"/>
              <w:rPr>
                <w:sz w:val="18"/>
                <w:szCs w:val="18"/>
              </w:rPr>
            </w:pPr>
            <w:r w:rsidRPr="00864035">
              <w:rPr>
                <w:sz w:val="18"/>
                <w:szCs w:val="18"/>
              </w:rPr>
              <w:t>1,5</w:t>
            </w:r>
          </w:p>
        </w:tc>
        <w:tc>
          <w:tcPr>
            <w:tcW w:w="992" w:type="dxa"/>
            <w:noWrap/>
            <w:vAlign w:val="bottom"/>
            <w:hideMark/>
          </w:tcPr>
          <w:p w:rsidR="00864035" w:rsidRPr="00864035" w:rsidRDefault="00864035" w:rsidP="00864035">
            <w:pPr>
              <w:jc w:val="center"/>
              <w:rPr>
                <w:sz w:val="18"/>
                <w:szCs w:val="18"/>
              </w:rPr>
            </w:pPr>
            <w:r w:rsidRPr="00864035">
              <w:rPr>
                <w:sz w:val="18"/>
                <w:szCs w:val="18"/>
              </w:rPr>
              <w:t> </w:t>
            </w:r>
          </w:p>
        </w:tc>
        <w:tc>
          <w:tcPr>
            <w:tcW w:w="993" w:type="dxa"/>
            <w:noWrap/>
            <w:vAlign w:val="bottom"/>
            <w:hideMark/>
          </w:tcPr>
          <w:p w:rsidR="00864035" w:rsidRPr="00864035" w:rsidRDefault="00864035" w:rsidP="00864035">
            <w:pPr>
              <w:jc w:val="center"/>
              <w:rPr>
                <w:sz w:val="18"/>
                <w:szCs w:val="18"/>
              </w:rPr>
            </w:pPr>
            <w:r w:rsidRPr="00864035">
              <w:rPr>
                <w:sz w:val="18"/>
                <w:szCs w:val="18"/>
              </w:rPr>
              <w:t> </w:t>
            </w:r>
          </w:p>
        </w:tc>
      </w:tr>
      <w:tr w:rsidR="00864035" w:rsidRPr="00864035" w:rsidTr="00DD1C1F">
        <w:trPr>
          <w:trHeight w:val="20"/>
        </w:trPr>
        <w:tc>
          <w:tcPr>
            <w:tcW w:w="3402" w:type="dxa"/>
            <w:vAlign w:val="bottom"/>
            <w:hideMark/>
          </w:tcPr>
          <w:p w:rsidR="00864035" w:rsidRPr="00864035" w:rsidRDefault="00547BD3" w:rsidP="00864035">
            <w:pPr>
              <w:rPr>
                <w:sz w:val="18"/>
                <w:szCs w:val="18"/>
              </w:rPr>
            </w:pPr>
            <w:hyperlink r:id="rId13" w:history="1">
              <w:r w:rsidR="00864035" w:rsidRPr="00864035">
                <w:rPr>
                  <w:sz w:val="18"/>
                  <w:szCs w:val="18"/>
                </w:rPr>
                <w:t>Всемирный банк</w:t>
              </w:r>
            </w:hyperlink>
          </w:p>
        </w:tc>
        <w:tc>
          <w:tcPr>
            <w:tcW w:w="1560" w:type="dxa"/>
          </w:tcPr>
          <w:p w:rsidR="00864035" w:rsidRPr="00864035" w:rsidRDefault="00864035" w:rsidP="00864035">
            <w:pPr>
              <w:jc w:val="center"/>
              <w:rPr>
                <w:sz w:val="18"/>
                <w:szCs w:val="18"/>
              </w:rPr>
            </w:pPr>
            <w:r w:rsidRPr="00864035">
              <w:rPr>
                <w:sz w:val="18"/>
                <w:szCs w:val="18"/>
              </w:rPr>
              <w:t>10.06.2025</w:t>
            </w:r>
          </w:p>
        </w:tc>
        <w:tc>
          <w:tcPr>
            <w:tcW w:w="992" w:type="dxa"/>
            <w:noWrap/>
            <w:vAlign w:val="bottom"/>
            <w:hideMark/>
          </w:tcPr>
          <w:p w:rsidR="00864035" w:rsidRPr="00864035" w:rsidRDefault="00864035" w:rsidP="00864035">
            <w:pPr>
              <w:jc w:val="center"/>
              <w:rPr>
                <w:sz w:val="18"/>
                <w:szCs w:val="18"/>
              </w:rPr>
            </w:pPr>
            <w:r w:rsidRPr="00864035">
              <w:rPr>
                <w:sz w:val="18"/>
                <w:szCs w:val="18"/>
              </w:rPr>
              <w:t>4,3</w:t>
            </w:r>
          </w:p>
        </w:tc>
        <w:tc>
          <w:tcPr>
            <w:tcW w:w="992" w:type="dxa"/>
            <w:noWrap/>
            <w:vAlign w:val="bottom"/>
            <w:hideMark/>
          </w:tcPr>
          <w:p w:rsidR="00864035" w:rsidRPr="00864035" w:rsidRDefault="00864035" w:rsidP="00864035">
            <w:pPr>
              <w:jc w:val="center"/>
              <w:rPr>
                <w:sz w:val="18"/>
                <w:szCs w:val="18"/>
              </w:rPr>
            </w:pPr>
            <w:r w:rsidRPr="00864035">
              <w:rPr>
                <w:sz w:val="18"/>
                <w:szCs w:val="18"/>
              </w:rPr>
              <w:t>1,4</w:t>
            </w:r>
          </w:p>
        </w:tc>
        <w:tc>
          <w:tcPr>
            <w:tcW w:w="992" w:type="dxa"/>
            <w:noWrap/>
            <w:vAlign w:val="bottom"/>
            <w:hideMark/>
          </w:tcPr>
          <w:p w:rsidR="00864035" w:rsidRPr="00864035" w:rsidRDefault="00864035" w:rsidP="00864035">
            <w:pPr>
              <w:jc w:val="center"/>
              <w:rPr>
                <w:sz w:val="18"/>
                <w:szCs w:val="18"/>
              </w:rPr>
            </w:pPr>
            <w:r w:rsidRPr="00864035">
              <w:rPr>
                <w:sz w:val="18"/>
                <w:szCs w:val="18"/>
              </w:rPr>
              <w:t>1,2</w:t>
            </w:r>
          </w:p>
        </w:tc>
        <w:tc>
          <w:tcPr>
            <w:tcW w:w="992" w:type="dxa"/>
            <w:noWrap/>
            <w:vAlign w:val="bottom"/>
            <w:hideMark/>
          </w:tcPr>
          <w:p w:rsidR="00864035" w:rsidRPr="00864035" w:rsidRDefault="00864035" w:rsidP="00864035">
            <w:pPr>
              <w:jc w:val="center"/>
              <w:rPr>
                <w:sz w:val="18"/>
                <w:szCs w:val="18"/>
              </w:rPr>
            </w:pPr>
            <w:r w:rsidRPr="00864035">
              <w:rPr>
                <w:sz w:val="18"/>
                <w:szCs w:val="18"/>
              </w:rPr>
              <w:t>1,2</w:t>
            </w:r>
          </w:p>
        </w:tc>
        <w:tc>
          <w:tcPr>
            <w:tcW w:w="993" w:type="dxa"/>
            <w:noWrap/>
            <w:vAlign w:val="bottom"/>
            <w:hideMark/>
          </w:tcPr>
          <w:p w:rsidR="00864035" w:rsidRPr="00864035" w:rsidRDefault="00864035" w:rsidP="00864035">
            <w:pPr>
              <w:jc w:val="center"/>
              <w:rPr>
                <w:sz w:val="18"/>
                <w:szCs w:val="18"/>
              </w:rPr>
            </w:pPr>
            <w:r w:rsidRPr="00864035">
              <w:rPr>
                <w:sz w:val="18"/>
                <w:szCs w:val="18"/>
              </w:rPr>
              <w:t> </w:t>
            </w:r>
          </w:p>
        </w:tc>
      </w:tr>
      <w:tr w:rsidR="00864035" w:rsidRPr="00864035" w:rsidTr="00DD1C1F">
        <w:trPr>
          <w:trHeight w:val="20"/>
        </w:trPr>
        <w:tc>
          <w:tcPr>
            <w:tcW w:w="3402" w:type="dxa"/>
            <w:vAlign w:val="bottom"/>
          </w:tcPr>
          <w:p w:rsidR="00864035" w:rsidRPr="00864035" w:rsidRDefault="00864035" w:rsidP="00864035">
            <w:pPr>
              <w:rPr>
                <w:sz w:val="18"/>
                <w:szCs w:val="18"/>
              </w:rPr>
            </w:pPr>
            <w:r w:rsidRPr="00864035">
              <w:rPr>
                <w:sz w:val="18"/>
                <w:szCs w:val="18"/>
              </w:rPr>
              <w:t>Международный валютный фонд</w:t>
            </w:r>
          </w:p>
        </w:tc>
        <w:tc>
          <w:tcPr>
            <w:tcW w:w="1560" w:type="dxa"/>
          </w:tcPr>
          <w:p w:rsidR="00864035" w:rsidRPr="00864035" w:rsidRDefault="00864035" w:rsidP="00864035">
            <w:pPr>
              <w:jc w:val="center"/>
              <w:rPr>
                <w:sz w:val="18"/>
                <w:szCs w:val="18"/>
              </w:rPr>
            </w:pPr>
            <w:r w:rsidRPr="00864035">
              <w:rPr>
                <w:sz w:val="18"/>
                <w:szCs w:val="18"/>
              </w:rPr>
              <w:t>29.07.2025</w:t>
            </w:r>
          </w:p>
        </w:tc>
        <w:tc>
          <w:tcPr>
            <w:tcW w:w="992" w:type="dxa"/>
            <w:noWrap/>
            <w:vAlign w:val="bottom"/>
          </w:tcPr>
          <w:p w:rsidR="00864035" w:rsidRPr="00864035" w:rsidRDefault="00864035" w:rsidP="00864035">
            <w:pPr>
              <w:jc w:val="center"/>
              <w:rPr>
                <w:sz w:val="18"/>
                <w:szCs w:val="18"/>
              </w:rPr>
            </w:pPr>
            <w:r w:rsidRPr="00864035">
              <w:rPr>
                <w:sz w:val="18"/>
                <w:szCs w:val="18"/>
              </w:rPr>
              <w:t>4,3</w:t>
            </w:r>
          </w:p>
        </w:tc>
        <w:tc>
          <w:tcPr>
            <w:tcW w:w="992" w:type="dxa"/>
            <w:noWrap/>
            <w:vAlign w:val="bottom"/>
          </w:tcPr>
          <w:p w:rsidR="00864035" w:rsidRPr="00864035" w:rsidRDefault="00864035" w:rsidP="00864035">
            <w:pPr>
              <w:jc w:val="center"/>
              <w:rPr>
                <w:sz w:val="18"/>
                <w:szCs w:val="18"/>
              </w:rPr>
            </w:pPr>
            <w:r w:rsidRPr="00864035">
              <w:rPr>
                <w:sz w:val="18"/>
                <w:szCs w:val="18"/>
              </w:rPr>
              <w:t>0,9</w:t>
            </w:r>
          </w:p>
        </w:tc>
        <w:tc>
          <w:tcPr>
            <w:tcW w:w="992" w:type="dxa"/>
            <w:noWrap/>
            <w:vAlign w:val="bottom"/>
          </w:tcPr>
          <w:p w:rsidR="00864035" w:rsidRPr="00864035" w:rsidRDefault="00864035" w:rsidP="00864035">
            <w:pPr>
              <w:jc w:val="center"/>
              <w:rPr>
                <w:sz w:val="18"/>
                <w:szCs w:val="18"/>
              </w:rPr>
            </w:pPr>
            <w:r w:rsidRPr="00864035">
              <w:rPr>
                <w:sz w:val="18"/>
                <w:szCs w:val="18"/>
              </w:rPr>
              <w:t>1,0</w:t>
            </w:r>
          </w:p>
        </w:tc>
        <w:tc>
          <w:tcPr>
            <w:tcW w:w="992" w:type="dxa"/>
            <w:noWrap/>
            <w:vAlign w:val="bottom"/>
          </w:tcPr>
          <w:p w:rsidR="00864035" w:rsidRPr="00864035" w:rsidRDefault="00864035" w:rsidP="00864035">
            <w:pPr>
              <w:jc w:val="center"/>
              <w:rPr>
                <w:sz w:val="18"/>
                <w:szCs w:val="18"/>
              </w:rPr>
            </w:pPr>
          </w:p>
        </w:tc>
        <w:tc>
          <w:tcPr>
            <w:tcW w:w="993" w:type="dxa"/>
            <w:noWrap/>
            <w:vAlign w:val="bottom"/>
          </w:tcPr>
          <w:p w:rsidR="00864035" w:rsidRPr="00864035" w:rsidRDefault="00864035" w:rsidP="00864035">
            <w:pPr>
              <w:jc w:val="center"/>
              <w:rPr>
                <w:sz w:val="18"/>
                <w:szCs w:val="18"/>
              </w:rPr>
            </w:pPr>
          </w:p>
        </w:tc>
      </w:tr>
      <w:tr w:rsidR="00864035" w:rsidRPr="00864035" w:rsidTr="00DD1C1F">
        <w:trPr>
          <w:trHeight w:val="20"/>
        </w:trPr>
        <w:tc>
          <w:tcPr>
            <w:tcW w:w="3402" w:type="dxa"/>
            <w:vAlign w:val="bottom"/>
          </w:tcPr>
          <w:p w:rsidR="00864035" w:rsidRPr="00864035" w:rsidRDefault="00864035" w:rsidP="00864035">
            <w:pPr>
              <w:rPr>
                <w:sz w:val="18"/>
                <w:szCs w:val="18"/>
              </w:rPr>
            </w:pPr>
            <w:r w:rsidRPr="00864035">
              <w:rPr>
                <w:sz w:val="18"/>
                <w:szCs w:val="18"/>
              </w:rPr>
              <w:t>ОЭСР</w:t>
            </w:r>
          </w:p>
        </w:tc>
        <w:tc>
          <w:tcPr>
            <w:tcW w:w="1560" w:type="dxa"/>
          </w:tcPr>
          <w:p w:rsidR="00864035" w:rsidRPr="00864035" w:rsidRDefault="00864035" w:rsidP="00864035">
            <w:pPr>
              <w:jc w:val="center"/>
              <w:rPr>
                <w:sz w:val="18"/>
                <w:szCs w:val="18"/>
              </w:rPr>
            </w:pPr>
            <w:r w:rsidRPr="00864035">
              <w:rPr>
                <w:sz w:val="18"/>
                <w:szCs w:val="18"/>
              </w:rPr>
              <w:t>23.09.2025</w:t>
            </w:r>
          </w:p>
        </w:tc>
        <w:tc>
          <w:tcPr>
            <w:tcW w:w="992" w:type="dxa"/>
            <w:noWrap/>
            <w:vAlign w:val="bottom"/>
          </w:tcPr>
          <w:p w:rsidR="00864035" w:rsidRPr="00864035" w:rsidRDefault="00864035" w:rsidP="00864035">
            <w:pPr>
              <w:jc w:val="center"/>
              <w:rPr>
                <w:sz w:val="18"/>
                <w:szCs w:val="18"/>
              </w:rPr>
            </w:pPr>
            <w:r w:rsidRPr="00864035">
              <w:rPr>
                <w:sz w:val="18"/>
                <w:szCs w:val="18"/>
              </w:rPr>
              <w:t>4,3</w:t>
            </w:r>
          </w:p>
        </w:tc>
        <w:tc>
          <w:tcPr>
            <w:tcW w:w="992" w:type="dxa"/>
            <w:noWrap/>
            <w:vAlign w:val="bottom"/>
          </w:tcPr>
          <w:p w:rsidR="00864035" w:rsidRPr="00864035" w:rsidRDefault="00864035" w:rsidP="00864035">
            <w:pPr>
              <w:jc w:val="center"/>
              <w:rPr>
                <w:sz w:val="18"/>
                <w:szCs w:val="18"/>
              </w:rPr>
            </w:pPr>
            <w:r w:rsidRPr="00864035">
              <w:rPr>
                <w:sz w:val="18"/>
                <w:szCs w:val="18"/>
              </w:rPr>
              <w:t>1,0</w:t>
            </w:r>
          </w:p>
        </w:tc>
        <w:tc>
          <w:tcPr>
            <w:tcW w:w="992" w:type="dxa"/>
            <w:noWrap/>
            <w:vAlign w:val="bottom"/>
          </w:tcPr>
          <w:p w:rsidR="00864035" w:rsidRPr="00864035" w:rsidRDefault="00864035" w:rsidP="00864035">
            <w:pPr>
              <w:jc w:val="center"/>
              <w:rPr>
                <w:sz w:val="18"/>
                <w:szCs w:val="18"/>
              </w:rPr>
            </w:pPr>
            <w:r w:rsidRPr="00864035">
              <w:rPr>
                <w:sz w:val="18"/>
                <w:szCs w:val="18"/>
              </w:rPr>
              <w:t>0,7</w:t>
            </w:r>
          </w:p>
        </w:tc>
        <w:tc>
          <w:tcPr>
            <w:tcW w:w="992" w:type="dxa"/>
            <w:noWrap/>
            <w:vAlign w:val="bottom"/>
          </w:tcPr>
          <w:p w:rsidR="00864035" w:rsidRPr="00864035" w:rsidRDefault="00864035" w:rsidP="00864035">
            <w:pPr>
              <w:jc w:val="center"/>
              <w:rPr>
                <w:sz w:val="18"/>
                <w:szCs w:val="18"/>
              </w:rPr>
            </w:pPr>
          </w:p>
        </w:tc>
        <w:tc>
          <w:tcPr>
            <w:tcW w:w="993" w:type="dxa"/>
            <w:noWrap/>
            <w:vAlign w:val="bottom"/>
          </w:tcPr>
          <w:p w:rsidR="00864035" w:rsidRPr="00864035" w:rsidRDefault="00864035" w:rsidP="00864035">
            <w:pPr>
              <w:jc w:val="center"/>
              <w:rPr>
                <w:sz w:val="18"/>
                <w:szCs w:val="18"/>
              </w:rPr>
            </w:pPr>
          </w:p>
        </w:tc>
      </w:tr>
      <w:tr w:rsidR="00864035" w:rsidRPr="00864035" w:rsidTr="00DD1C1F">
        <w:trPr>
          <w:trHeight w:val="20"/>
        </w:trPr>
        <w:tc>
          <w:tcPr>
            <w:tcW w:w="3402" w:type="dxa"/>
            <w:vAlign w:val="center"/>
            <w:hideMark/>
          </w:tcPr>
          <w:p w:rsidR="00864035" w:rsidRPr="00864035" w:rsidRDefault="00547BD3" w:rsidP="00864035">
            <w:pPr>
              <w:rPr>
                <w:sz w:val="18"/>
                <w:szCs w:val="18"/>
              </w:rPr>
            </w:pPr>
            <w:hyperlink r:id="rId14" w:history="1">
              <w:r w:rsidR="00864035" w:rsidRPr="00864035">
                <w:rPr>
                  <w:sz w:val="18"/>
                  <w:szCs w:val="18"/>
                </w:rPr>
                <w:t>ОПЕК</w:t>
              </w:r>
            </w:hyperlink>
          </w:p>
        </w:tc>
        <w:tc>
          <w:tcPr>
            <w:tcW w:w="1560" w:type="dxa"/>
          </w:tcPr>
          <w:p w:rsidR="00864035" w:rsidRPr="00864035" w:rsidRDefault="00864035" w:rsidP="00864035">
            <w:pPr>
              <w:jc w:val="center"/>
              <w:rPr>
                <w:sz w:val="18"/>
                <w:szCs w:val="18"/>
              </w:rPr>
            </w:pPr>
            <w:r w:rsidRPr="00864035">
              <w:rPr>
                <w:sz w:val="18"/>
                <w:szCs w:val="18"/>
              </w:rPr>
              <w:t>11.09.2025</w:t>
            </w:r>
          </w:p>
        </w:tc>
        <w:tc>
          <w:tcPr>
            <w:tcW w:w="992" w:type="dxa"/>
            <w:vAlign w:val="center"/>
            <w:hideMark/>
          </w:tcPr>
          <w:p w:rsidR="00864035" w:rsidRPr="00864035" w:rsidRDefault="00864035" w:rsidP="00864035">
            <w:pPr>
              <w:jc w:val="center"/>
              <w:rPr>
                <w:sz w:val="18"/>
                <w:szCs w:val="18"/>
              </w:rPr>
            </w:pPr>
            <w:r w:rsidRPr="00864035">
              <w:rPr>
                <w:sz w:val="18"/>
                <w:szCs w:val="18"/>
              </w:rPr>
              <w:t> </w:t>
            </w:r>
          </w:p>
        </w:tc>
        <w:tc>
          <w:tcPr>
            <w:tcW w:w="992" w:type="dxa"/>
            <w:vAlign w:val="bottom"/>
            <w:hideMark/>
          </w:tcPr>
          <w:p w:rsidR="00864035" w:rsidRPr="00864035" w:rsidRDefault="00864035" w:rsidP="00864035">
            <w:pPr>
              <w:jc w:val="center"/>
              <w:rPr>
                <w:sz w:val="18"/>
                <w:szCs w:val="18"/>
              </w:rPr>
            </w:pPr>
            <w:r w:rsidRPr="00864035">
              <w:rPr>
                <w:sz w:val="18"/>
                <w:szCs w:val="18"/>
              </w:rPr>
              <w:t>1,8</w:t>
            </w:r>
          </w:p>
        </w:tc>
        <w:tc>
          <w:tcPr>
            <w:tcW w:w="992" w:type="dxa"/>
            <w:vAlign w:val="bottom"/>
            <w:hideMark/>
          </w:tcPr>
          <w:p w:rsidR="00864035" w:rsidRPr="00864035" w:rsidRDefault="00864035" w:rsidP="00864035">
            <w:pPr>
              <w:jc w:val="center"/>
              <w:rPr>
                <w:sz w:val="18"/>
                <w:szCs w:val="18"/>
              </w:rPr>
            </w:pPr>
            <w:r w:rsidRPr="00864035">
              <w:rPr>
                <w:sz w:val="18"/>
                <w:szCs w:val="18"/>
              </w:rPr>
              <w:t>1,5</w:t>
            </w:r>
          </w:p>
        </w:tc>
        <w:tc>
          <w:tcPr>
            <w:tcW w:w="992" w:type="dxa"/>
            <w:noWrap/>
            <w:vAlign w:val="center"/>
            <w:hideMark/>
          </w:tcPr>
          <w:p w:rsidR="00864035" w:rsidRPr="00864035" w:rsidRDefault="00864035" w:rsidP="00864035">
            <w:pPr>
              <w:jc w:val="center"/>
              <w:rPr>
                <w:sz w:val="18"/>
                <w:szCs w:val="18"/>
              </w:rPr>
            </w:pPr>
            <w:r w:rsidRPr="00864035">
              <w:rPr>
                <w:sz w:val="18"/>
                <w:szCs w:val="18"/>
              </w:rPr>
              <w:t> </w:t>
            </w:r>
          </w:p>
        </w:tc>
        <w:tc>
          <w:tcPr>
            <w:tcW w:w="993" w:type="dxa"/>
            <w:noWrap/>
            <w:vAlign w:val="center"/>
            <w:hideMark/>
          </w:tcPr>
          <w:p w:rsidR="00864035" w:rsidRPr="00864035" w:rsidRDefault="00864035" w:rsidP="00864035">
            <w:pPr>
              <w:jc w:val="center"/>
              <w:rPr>
                <w:sz w:val="18"/>
                <w:szCs w:val="18"/>
              </w:rPr>
            </w:pPr>
            <w:r w:rsidRPr="00864035">
              <w:rPr>
                <w:sz w:val="18"/>
                <w:szCs w:val="18"/>
              </w:rPr>
              <w:t> </w:t>
            </w:r>
          </w:p>
        </w:tc>
      </w:tr>
      <w:tr w:rsidR="00864035" w:rsidRPr="00864035" w:rsidTr="00DD1C1F">
        <w:trPr>
          <w:trHeight w:val="20"/>
        </w:trPr>
        <w:tc>
          <w:tcPr>
            <w:tcW w:w="3402" w:type="dxa"/>
            <w:vAlign w:val="bottom"/>
            <w:hideMark/>
          </w:tcPr>
          <w:p w:rsidR="00864035" w:rsidRPr="00864035" w:rsidRDefault="00547BD3" w:rsidP="00864035">
            <w:pPr>
              <w:rPr>
                <w:sz w:val="18"/>
                <w:szCs w:val="18"/>
              </w:rPr>
            </w:pPr>
            <w:hyperlink r:id="rId15" w:history="1">
              <w:r w:rsidR="00864035" w:rsidRPr="00864035">
                <w:rPr>
                  <w:sz w:val="18"/>
                  <w:szCs w:val="18"/>
                </w:rPr>
                <w:t>Европейская комиссия</w:t>
              </w:r>
            </w:hyperlink>
          </w:p>
        </w:tc>
        <w:tc>
          <w:tcPr>
            <w:tcW w:w="1560" w:type="dxa"/>
          </w:tcPr>
          <w:p w:rsidR="00864035" w:rsidRPr="00864035" w:rsidRDefault="00864035" w:rsidP="00864035">
            <w:pPr>
              <w:jc w:val="center"/>
              <w:rPr>
                <w:sz w:val="18"/>
                <w:szCs w:val="18"/>
              </w:rPr>
            </w:pPr>
            <w:r w:rsidRPr="00864035">
              <w:rPr>
                <w:sz w:val="18"/>
                <w:szCs w:val="18"/>
              </w:rPr>
              <w:t>19.05.2025</w:t>
            </w:r>
          </w:p>
        </w:tc>
        <w:tc>
          <w:tcPr>
            <w:tcW w:w="992" w:type="dxa"/>
            <w:vAlign w:val="bottom"/>
            <w:hideMark/>
          </w:tcPr>
          <w:p w:rsidR="00864035" w:rsidRPr="00864035" w:rsidRDefault="00864035" w:rsidP="00864035">
            <w:pPr>
              <w:jc w:val="center"/>
              <w:rPr>
                <w:sz w:val="18"/>
                <w:szCs w:val="18"/>
              </w:rPr>
            </w:pPr>
            <w:r w:rsidRPr="00864035">
              <w:rPr>
                <w:sz w:val="18"/>
                <w:szCs w:val="18"/>
              </w:rPr>
              <w:t>4,3</w:t>
            </w:r>
          </w:p>
        </w:tc>
        <w:tc>
          <w:tcPr>
            <w:tcW w:w="992" w:type="dxa"/>
            <w:vAlign w:val="bottom"/>
            <w:hideMark/>
          </w:tcPr>
          <w:p w:rsidR="00864035" w:rsidRPr="00864035" w:rsidRDefault="00864035" w:rsidP="00864035">
            <w:pPr>
              <w:jc w:val="center"/>
              <w:rPr>
                <w:sz w:val="18"/>
                <w:szCs w:val="18"/>
              </w:rPr>
            </w:pPr>
            <w:r w:rsidRPr="00864035">
              <w:rPr>
                <w:sz w:val="18"/>
                <w:szCs w:val="18"/>
              </w:rPr>
              <w:t>1,7</w:t>
            </w:r>
          </w:p>
        </w:tc>
        <w:tc>
          <w:tcPr>
            <w:tcW w:w="992" w:type="dxa"/>
            <w:vAlign w:val="bottom"/>
            <w:hideMark/>
          </w:tcPr>
          <w:p w:rsidR="00864035" w:rsidRPr="00864035" w:rsidRDefault="00864035" w:rsidP="00864035">
            <w:pPr>
              <w:jc w:val="center"/>
              <w:rPr>
                <w:sz w:val="18"/>
                <w:szCs w:val="18"/>
              </w:rPr>
            </w:pPr>
            <w:r w:rsidRPr="00864035">
              <w:rPr>
                <w:sz w:val="18"/>
                <w:szCs w:val="18"/>
              </w:rPr>
              <w:t>1,2</w:t>
            </w:r>
          </w:p>
        </w:tc>
        <w:tc>
          <w:tcPr>
            <w:tcW w:w="992" w:type="dxa"/>
            <w:noWrap/>
            <w:vAlign w:val="bottom"/>
            <w:hideMark/>
          </w:tcPr>
          <w:p w:rsidR="00864035" w:rsidRPr="00864035" w:rsidRDefault="00864035" w:rsidP="00864035">
            <w:pPr>
              <w:jc w:val="center"/>
              <w:rPr>
                <w:sz w:val="18"/>
                <w:szCs w:val="18"/>
              </w:rPr>
            </w:pPr>
            <w:r w:rsidRPr="00864035">
              <w:rPr>
                <w:sz w:val="18"/>
                <w:szCs w:val="18"/>
              </w:rPr>
              <w:t> </w:t>
            </w:r>
          </w:p>
        </w:tc>
        <w:tc>
          <w:tcPr>
            <w:tcW w:w="993" w:type="dxa"/>
            <w:noWrap/>
            <w:vAlign w:val="bottom"/>
            <w:hideMark/>
          </w:tcPr>
          <w:p w:rsidR="00864035" w:rsidRPr="00864035" w:rsidRDefault="00864035" w:rsidP="00864035">
            <w:pPr>
              <w:jc w:val="center"/>
              <w:rPr>
                <w:sz w:val="18"/>
                <w:szCs w:val="18"/>
              </w:rPr>
            </w:pPr>
            <w:r w:rsidRPr="00864035">
              <w:rPr>
                <w:sz w:val="18"/>
                <w:szCs w:val="18"/>
              </w:rPr>
              <w:t> </w:t>
            </w:r>
          </w:p>
        </w:tc>
      </w:tr>
      <w:tr w:rsidR="00864035" w:rsidRPr="00864035" w:rsidTr="00DD1C1F">
        <w:trPr>
          <w:trHeight w:val="20"/>
        </w:trPr>
        <w:tc>
          <w:tcPr>
            <w:tcW w:w="9923" w:type="dxa"/>
            <w:gridSpan w:val="7"/>
            <w:vAlign w:val="bottom"/>
          </w:tcPr>
          <w:p w:rsidR="00864035" w:rsidRPr="00864035" w:rsidRDefault="00864035" w:rsidP="00864035">
            <w:pPr>
              <w:jc w:val="center"/>
              <w:rPr>
                <w:sz w:val="18"/>
                <w:szCs w:val="18"/>
              </w:rPr>
            </w:pPr>
            <w:r w:rsidRPr="00864035">
              <w:rPr>
                <w:b/>
                <w:bCs/>
                <w:sz w:val="18"/>
                <w:szCs w:val="18"/>
              </w:rPr>
              <w:t>российские организации</w:t>
            </w:r>
          </w:p>
        </w:tc>
      </w:tr>
      <w:tr w:rsidR="00864035" w:rsidRPr="00864035" w:rsidTr="00DD1C1F">
        <w:trPr>
          <w:trHeight w:val="20"/>
        </w:trPr>
        <w:tc>
          <w:tcPr>
            <w:tcW w:w="3402" w:type="dxa"/>
            <w:vAlign w:val="bottom"/>
          </w:tcPr>
          <w:p w:rsidR="00864035" w:rsidRPr="00864035" w:rsidRDefault="00864035" w:rsidP="00864035">
            <w:pPr>
              <w:rPr>
                <w:b/>
                <w:bCs/>
                <w:sz w:val="18"/>
                <w:szCs w:val="18"/>
              </w:rPr>
            </w:pPr>
            <w:r w:rsidRPr="00864035">
              <w:rPr>
                <w:b/>
                <w:bCs/>
                <w:sz w:val="18"/>
                <w:szCs w:val="18"/>
              </w:rPr>
              <w:t>Минэкономразвития России</w:t>
            </w:r>
          </w:p>
          <w:p w:rsidR="00864035" w:rsidRPr="00864035" w:rsidRDefault="00864035" w:rsidP="00864035">
            <w:pPr>
              <w:rPr>
                <w:bCs/>
                <w:sz w:val="18"/>
                <w:szCs w:val="18"/>
              </w:rPr>
            </w:pPr>
            <w:r w:rsidRPr="00864035">
              <w:rPr>
                <w:bCs/>
                <w:sz w:val="18"/>
                <w:szCs w:val="18"/>
              </w:rPr>
              <w:t>(базовый вариант Прогноза)</w:t>
            </w:r>
          </w:p>
        </w:tc>
        <w:tc>
          <w:tcPr>
            <w:tcW w:w="1560" w:type="dxa"/>
          </w:tcPr>
          <w:p w:rsidR="00864035" w:rsidRPr="00864035" w:rsidRDefault="00864035" w:rsidP="00864035">
            <w:pPr>
              <w:jc w:val="center"/>
              <w:rPr>
                <w:bCs/>
                <w:sz w:val="18"/>
                <w:szCs w:val="18"/>
              </w:rPr>
            </w:pPr>
            <w:r w:rsidRPr="00864035">
              <w:rPr>
                <w:bCs/>
                <w:sz w:val="18"/>
                <w:szCs w:val="18"/>
              </w:rPr>
              <w:t>26.09.2025</w:t>
            </w:r>
          </w:p>
        </w:tc>
        <w:tc>
          <w:tcPr>
            <w:tcW w:w="992" w:type="dxa"/>
            <w:vAlign w:val="bottom"/>
          </w:tcPr>
          <w:p w:rsidR="00864035" w:rsidRPr="00864035" w:rsidRDefault="00864035" w:rsidP="00864035">
            <w:pPr>
              <w:jc w:val="center"/>
              <w:rPr>
                <w:b/>
                <w:bCs/>
                <w:sz w:val="18"/>
                <w:szCs w:val="18"/>
              </w:rPr>
            </w:pPr>
            <w:r w:rsidRPr="00864035">
              <w:rPr>
                <w:b/>
                <w:bCs/>
                <w:sz w:val="18"/>
                <w:szCs w:val="18"/>
              </w:rPr>
              <w:t>4,3</w:t>
            </w:r>
          </w:p>
        </w:tc>
        <w:tc>
          <w:tcPr>
            <w:tcW w:w="992" w:type="dxa"/>
            <w:vAlign w:val="bottom"/>
          </w:tcPr>
          <w:p w:rsidR="00864035" w:rsidRPr="00864035" w:rsidRDefault="00864035" w:rsidP="00864035">
            <w:pPr>
              <w:jc w:val="center"/>
              <w:rPr>
                <w:b/>
                <w:bCs/>
                <w:sz w:val="18"/>
                <w:szCs w:val="18"/>
              </w:rPr>
            </w:pPr>
            <w:r w:rsidRPr="00864035">
              <w:rPr>
                <w:b/>
                <w:bCs/>
                <w:sz w:val="18"/>
                <w:szCs w:val="18"/>
              </w:rPr>
              <w:t>1,0</w:t>
            </w:r>
          </w:p>
        </w:tc>
        <w:tc>
          <w:tcPr>
            <w:tcW w:w="992" w:type="dxa"/>
            <w:vAlign w:val="bottom"/>
          </w:tcPr>
          <w:p w:rsidR="00864035" w:rsidRPr="00864035" w:rsidRDefault="00864035" w:rsidP="00864035">
            <w:pPr>
              <w:jc w:val="center"/>
              <w:rPr>
                <w:b/>
                <w:bCs/>
                <w:sz w:val="18"/>
                <w:szCs w:val="18"/>
              </w:rPr>
            </w:pPr>
            <w:r w:rsidRPr="00864035">
              <w:rPr>
                <w:b/>
                <w:bCs/>
                <w:sz w:val="18"/>
                <w:szCs w:val="18"/>
              </w:rPr>
              <w:t>1,3</w:t>
            </w:r>
          </w:p>
        </w:tc>
        <w:tc>
          <w:tcPr>
            <w:tcW w:w="992" w:type="dxa"/>
            <w:noWrap/>
            <w:vAlign w:val="bottom"/>
          </w:tcPr>
          <w:p w:rsidR="00864035" w:rsidRPr="00864035" w:rsidRDefault="00864035" w:rsidP="00864035">
            <w:pPr>
              <w:jc w:val="center"/>
              <w:rPr>
                <w:b/>
                <w:bCs/>
                <w:sz w:val="18"/>
                <w:szCs w:val="18"/>
              </w:rPr>
            </w:pPr>
            <w:r w:rsidRPr="00864035">
              <w:rPr>
                <w:b/>
                <w:bCs/>
                <w:sz w:val="18"/>
                <w:szCs w:val="18"/>
              </w:rPr>
              <w:t>2,8</w:t>
            </w:r>
          </w:p>
        </w:tc>
        <w:tc>
          <w:tcPr>
            <w:tcW w:w="993" w:type="dxa"/>
            <w:noWrap/>
            <w:vAlign w:val="bottom"/>
          </w:tcPr>
          <w:p w:rsidR="00864035" w:rsidRPr="00864035" w:rsidRDefault="00864035" w:rsidP="00864035">
            <w:pPr>
              <w:jc w:val="center"/>
              <w:rPr>
                <w:b/>
                <w:bCs/>
                <w:sz w:val="18"/>
                <w:szCs w:val="18"/>
              </w:rPr>
            </w:pPr>
            <w:r w:rsidRPr="00864035">
              <w:rPr>
                <w:b/>
                <w:bCs/>
                <w:sz w:val="18"/>
                <w:szCs w:val="18"/>
              </w:rPr>
              <w:t>2,5</w:t>
            </w:r>
          </w:p>
        </w:tc>
      </w:tr>
      <w:tr w:rsidR="00864035" w:rsidRPr="00864035" w:rsidTr="00DD1C1F">
        <w:trPr>
          <w:trHeight w:val="20"/>
        </w:trPr>
        <w:tc>
          <w:tcPr>
            <w:tcW w:w="3402" w:type="dxa"/>
            <w:vAlign w:val="bottom"/>
          </w:tcPr>
          <w:p w:rsidR="00864035" w:rsidRPr="00864035" w:rsidRDefault="00547BD3" w:rsidP="00864035">
            <w:pPr>
              <w:rPr>
                <w:sz w:val="18"/>
                <w:szCs w:val="18"/>
              </w:rPr>
            </w:pPr>
            <w:hyperlink r:id="rId16" w:history="1">
              <w:r w:rsidR="00864035" w:rsidRPr="00864035">
                <w:rPr>
                  <w:sz w:val="18"/>
                  <w:szCs w:val="18"/>
                </w:rPr>
                <w:t>Банк России</w:t>
              </w:r>
            </w:hyperlink>
          </w:p>
          <w:p w:rsidR="00864035" w:rsidRPr="00864035" w:rsidRDefault="00864035" w:rsidP="00864035">
            <w:pPr>
              <w:rPr>
                <w:sz w:val="18"/>
                <w:szCs w:val="18"/>
              </w:rPr>
            </w:pPr>
            <w:r w:rsidRPr="00864035">
              <w:rPr>
                <w:sz w:val="18"/>
                <w:szCs w:val="18"/>
              </w:rPr>
              <w:t>(базовый сценарий  ОНЕГДКП 2026-2028)</w:t>
            </w:r>
          </w:p>
        </w:tc>
        <w:tc>
          <w:tcPr>
            <w:tcW w:w="1560" w:type="dxa"/>
          </w:tcPr>
          <w:p w:rsidR="00864035" w:rsidRPr="00864035" w:rsidRDefault="00864035" w:rsidP="00864035">
            <w:pPr>
              <w:jc w:val="center"/>
              <w:rPr>
                <w:sz w:val="18"/>
                <w:szCs w:val="18"/>
              </w:rPr>
            </w:pPr>
            <w:r w:rsidRPr="00864035">
              <w:rPr>
                <w:sz w:val="18"/>
                <w:szCs w:val="18"/>
              </w:rPr>
              <w:t>26.09.2025</w:t>
            </w:r>
          </w:p>
        </w:tc>
        <w:tc>
          <w:tcPr>
            <w:tcW w:w="992" w:type="dxa"/>
            <w:noWrap/>
            <w:vAlign w:val="bottom"/>
          </w:tcPr>
          <w:p w:rsidR="00864035" w:rsidRPr="00864035" w:rsidRDefault="00864035" w:rsidP="00864035">
            <w:pPr>
              <w:jc w:val="center"/>
              <w:rPr>
                <w:sz w:val="18"/>
                <w:szCs w:val="18"/>
              </w:rPr>
            </w:pPr>
            <w:r w:rsidRPr="00864035">
              <w:rPr>
                <w:sz w:val="18"/>
                <w:szCs w:val="18"/>
              </w:rPr>
              <w:t>4,3</w:t>
            </w:r>
          </w:p>
        </w:tc>
        <w:tc>
          <w:tcPr>
            <w:tcW w:w="992" w:type="dxa"/>
            <w:noWrap/>
            <w:vAlign w:val="bottom"/>
          </w:tcPr>
          <w:p w:rsidR="00864035" w:rsidRPr="00864035" w:rsidRDefault="00864035" w:rsidP="00864035">
            <w:pPr>
              <w:jc w:val="center"/>
              <w:rPr>
                <w:sz w:val="18"/>
                <w:szCs w:val="18"/>
              </w:rPr>
            </w:pPr>
            <w:r w:rsidRPr="00864035">
              <w:rPr>
                <w:sz w:val="18"/>
                <w:szCs w:val="18"/>
              </w:rPr>
              <w:t>1,0-2,0</w:t>
            </w:r>
          </w:p>
        </w:tc>
        <w:tc>
          <w:tcPr>
            <w:tcW w:w="992" w:type="dxa"/>
            <w:noWrap/>
            <w:vAlign w:val="bottom"/>
          </w:tcPr>
          <w:p w:rsidR="00864035" w:rsidRPr="00864035" w:rsidRDefault="00864035" w:rsidP="00864035">
            <w:pPr>
              <w:jc w:val="center"/>
              <w:rPr>
                <w:sz w:val="18"/>
                <w:szCs w:val="18"/>
              </w:rPr>
            </w:pPr>
            <w:r w:rsidRPr="00864035">
              <w:rPr>
                <w:sz w:val="18"/>
                <w:szCs w:val="18"/>
              </w:rPr>
              <w:t>0,5-1,5</w:t>
            </w:r>
          </w:p>
        </w:tc>
        <w:tc>
          <w:tcPr>
            <w:tcW w:w="992" w:type="dxa"/>
            <w:noWrap/>
            <w:vAlign w:val="bottom"/>
          </w:tcPr>
          <w:p w:rsidR="00864035" w:rsidRPr="00864035" w:rsidRDefault="00864035" w:rsidP="00864035">
            <w:pPr>
              <w:jc w:val="center"/>
              <w:rPr>
                <w:sz w:val="18"/>
                <w:szCs w:val="18"/>
              </w:rPr>
            </w:pPr>
            <w:r w:rsidRPr="00864035">
              <w:rPr>
                <w:sz w:val="18"/>
                <w:szCs w:val="18"/>
              </w:rPr>
              <w:t>1,5-2,5</w:t>
            </w:r>
          </w:p>
        </w:tc>
        <w:tc>
          <w:tcPr>
            <w:tcW w:w="993" w:type="dxa"/>
            <w:noWrap/>
            <w:vAlign w:val="bottom"/>
          </w:tcPr>
          <w:p w:rsidR="00864035" w:rsidRPr="00864035" w:rsidRDefault="00864035" w:rsidP="00864035">
            <w:pPr>
              <w:jc w:val="center"/>
              <w:rPr>
                <w:sz w:val="18"/>
                <w:szCs w:val="18"/>
              </w:rPr>
            </w:pPr>
            <w:r w:rsidRPr="00864035">
              <w:rPr>
                <w:sz w:val="18"/>
                <w:szCs w:val="18"/>
              </w:rPr>
              <w:t>1,5-2,5</w:t>
            </w:r>
          </w:p>
        </w:tc>
      </w:tr>
      <w:tr w:rsidR="00864035" w:rsidRPr="00864035" w:rsidTr="00DD1C1F">
        <w:trPr>
          <w:trHeight w:val="20"/>
        </w:trPr>
        <w:tc>
          <w:tcPr>
            <w:tcW w:w="3402" w:type="dxa"/>
            <w:vAlign w:val="bottom"/>
            <w:hideMark/>
          </w:tcPr>
          <w:p w:rsidR="00864035" w:rsidRPr="00864035" w:rsidRDefault="00547BD3" w:rsidP="00864035">
            <w:pPr>
              <w:rPr>
                <w:sz w:val="18"/>
                <w:szCs w:val="18"/>
              </w:rPr>
            </w:pPr>
            <w:hyperlink r:id="rId17" w:history="1">
              <w:r w:rsidR="00864035" w:rsidRPr="00864035">
                <w:rPr>
                  <w:sz w:val="18"/>
                  <w:szCs w:val="18"/>
                </w:rPr>
                <w:t>Евразийский банк развития</w:t>
              </w:r>
            </w:hyperlink>
          </w:p>
        </w:tc>
        <w:tc>
          <w:tcPr>
            <w:tcW w:w="1560" w:type="dxa"/>
          </w:tcPr>
          <w:p w:rsidR="00864035" w:rsidRPr="00864035" w:rsidRDefault="00864035" w:rsidP="00864035">
            <w:pPr>
              <w:jc w:val="center"/>
              <w:rPr>
                <w:sz w:val="18"/>
                <w:szCs w:val="18"/>
              </w:rPr>
            </w:pPr>
            <w:r w:rsidRPr="00864035">
              <w:rPr>
                <w:sz w:val="18"/>
                <w:szCs w:val="18"/>
              </w:rPr>
              <w:t>24.06.2025</w:t>
            </w:r>
          </w:p>
        </w:tc>
        <w:tc>
          <w:tcPr>
            <w:tcW w:w="992" w:type="dxa"/>
            <w:vAlign w:val="bottom"/>
            <w:hideMark/>
          </w:tcPr>
          <w:p w:rsidR="00864035" w:rsidRPr="00864035" w:rsidRDefault="00864035" w:rsidP="00864035">
            <w:pPr>
              <w:jc w:val="center"/>
              <w:rPr>
                <w:sz w:val="18"/>
                <w:szCs w:val="18"/>
              </w:rPr>
            </w:pPr>
            <w:r w:rsidRPr="00864035">
              <w:rPr>
                <w:sz w:val="18"/>
                <w:szCs w:val="18"/>
              </w:rPr>
              <w:t>4,3</w:t>
            </w:r>
          </w:p>
        </w:tc>
        <w:tc>
          <w:tcPr>
            <w:tcW w:w="992" w:type="dxa"/>
            <w:vAlign w:val="bottom"/>
            <w:hideMark/>
          </w:tcPr>
          <w:p w:rsidR="00864035" w:rsidRPr="00864035" w:rsidRDefault="00864035" w:rsidP="00864035">
            <w:pPr>
              <w:jc w:val="center"/>
              <w:rPr>
                <w:sz w:val="18"/>
                <w:szCs w:val="18"/>
              </w:rPr>
            </w:pPr>
            <w:r w:rsidRPr="00864035">
              <w:rPr>
                <w:sz w:val="18"/>
                <w:szCs w:val="18"/>
              </w:rPr>
              <w:t>2</w:t>
            </w:r>
          </w:p>
        </w:tc>
        <w:tc>
          <w:tcPr>
            <w:tcW w:w="992" w:type="dxa"/>
            <w:vAlign w:val="bottom"/>
            <w:hideMark/>
          </w:tcPr>
          <w:p w:rsidR="00864035" w:rsidRPr="00864035" w:rsidRDefault="00864035" w:rsidP="00864035">
            <w:pPr>
              <w:jc w:val="center"/>
              <w:rPr>
                <w:sz w:val="18"/>
                <w:szCs w:val="18"/>
              </w:rPr>
            </w:pPr>
            <w:r w:rsidRPr="00864035">
              <w:rPr>
                <w:sz w:val="18"/>
                <w:szCs w:val="18"/>
              </w:rPr>
              <w:t>1,7</w:t>
            </w:r>
          </w:p>
        </w:tc>
        <w:tc>
          <w:tcPr>
            <w:tcW w:w="992" w:type="dxa"/>
            <w:noWrap/>
            <w:vAlign w:val="bottom"/>
            <w:hideMark/>
          </w:tcPr>
          <w:p w:rsidR="00864035" w:rsidRPr="00864035" w:rsidRDefault="00864035" w:rsidP="00864035">
            <w:pPr>
              <w:jc w:val="center"/>
              <w:rPr>
                <w:sz w:val="18"/>
                <w:szCs w:val="18"/>
              </w:rPr>
            </w:pPr>
            <w:r w:rsidRPr="00864035">
              <w:rPr>
                <w:sz w:val="18"/>
                <w:szCs w:val="18"/>
              </w:rPr>
              <w:t>1,5</w:t>
            </w:r>
          </w:p>
        </w:tc>
        <w:tc>
          <w:tcPr>
            <w:tcW w:w="993" w:type="dxa"/>
            <w:noWrap/>
            <w:vAlign w:val="bottom"/>
            <w:hideMark/>
          </w:tcPr>
          <w:p w:rsidR="00864035" w:rsidRPr="00864035" w:rsidRDefault="00864035" w:rsidP="00864035">
            <w:pPr>
              <w:jc w:val="center"/>
              <w:rPr>
                <w:sz w:val="18"/>
                <w:szCs w:val="18"/>
              </w:rPr>
            </w:pPr>
            <w:r w:rsidRPr="00864035">
              <w:rPr>
                <w:sz w:val="18"/>
                <w:szCs w:val="18"/>
              </w:rPr>
              <w:t> </w:t>
            </w:r>
          </w:p>
        </w:tc>
      </w:tr>
      <w:tr w:rsidR="00864035" w:rsidRPr="00864035" w:rsidTr="00DD1C1F">
        <w:trPr>
          <w:trHeight w:val="20"/>
        </w:trPr>
        <w:tc>
          <w:tcPr>
            <w:tcW w:w="3402" w:type="dxa"/>
            <w:vAlign w:val="bottom"/>
            <w:hideMark/>
          </w:tcPr>
          <w:p w:rsidR="00864035" w:rsidRPr="00864035" w:rsidRDefault="00547BD3" w:rsidP="00864035">
            <w:pPr>
              <w:rPr>
                <w:sz w:val="18"/>
                <w:szCs w:val="18"/>
              </w:rPr>
            </w:pPr>
            <w:hyperlink r:id="rId18" w:history="1">
              <w:r w:rsidR="00864035" w:rsidRPr="00864035">
                <w:rPr>
                  <w:sz w:val="18"/>
                  <w:szCs w:val="18"/>
                </w:rPr>
                <w:t>ВЭБ.РФ</w:t>
              </w:r>
            </w:hyperlink>
          </w:p>
        </w:tc>
        <w:tc>
          <w:tcPr>
            <w:tcW w:w="1560" w:type="dxa"/>
          </w:tcPr>
          <w:p w:rsidR="00864035" w:rsidRPr="00864035" w:rsidRDefault="00864035" w:rsidP="00864035">
            <w:pPr>
              <w:jc w:val="center"/>
              <w:rPr>
                <w:sz w:val="18"/>
                <w:szCs w:val="18"/>
              </w:rPr>
            </w:pPr>
            <w:r w:rsidRPr="00864035">
              <w:rPr>
                <w:sz w:val="18"/>
                <w:szCs w:val="18"/>
              </w:rPr>
              <w:t>27.06.2025</w:t>
            </w:r>
          </w:p>
        </w:tc>
        <w:tc>
          <w:tcPr>
            <w:tcW w:w="992" w:type="dxa"/>
            <w:noWrap/>
            <w:vAlign w:val="bottom"/>
            <w:hideMark/>
          </w:tcPr>
          <w:p w:rsidR="00864035" w:rsidRPr="00864035" w:rsidRDefault="00864035" w:rsidP="00864035">
            <w:pPr>
              <w:jc w:val="center"/>
              <w:rPr>
                <w:sz w:val="18"/>
                <w:szCs w:val="18"/>
              </w:rPr>
            </w:pPr>
            <w:r w:rsidRPr="00864035">
              <w:rPr>
                <w:sz w:val="18"/>
                <w:szCs w:val="18"/>
              </w:rPr>
              <w:t>2,8</w:t>
            </w:r>
          </w:p>
        </w:tc>
        <w:tc>
          <w:tcPr>
            <w:tcW w:w="992" w:type="dxa"/>
            <w:noWrap/>
            <w:vAlign w:val="bottom"/>
            <w:hideMark/>
          </w:tcPr>
          <w:p w:rsidR="00864035" w:rsidRPr="00864035" w:rsidRDefault="00864035" w:rsidP="00864035">
            <w:pPr>
              <w:jc w:val="center"/>
              <w:rPr>
                <w:sz w:val="18"/>
                <w:szCs w:val="18"/>
              </w:rPr>
            </w:pPr>
            <w:r w:rsidRPr="00864035">
              <w:rPr>
                <w:sz w:val="18"/>
                <w:szCs w:val="18"/>
              </w:rPr>
              <w:t>1,6</w:t>
            </w:r>
          </w:p>
        </w:tc>
        <w:tc>
          <w:tcPr>
            <w:tcW w:w="992" w:type="dxa"/>
            <w:noWrap/>
            <w:vAlign w:val="bottom"/>
            <w:hideMark/>
          </w:tcPr>
          <w:p w:rsidR="00864035" w:rsidRPr="00864035" w:rsidRDefault="00864035" w:rsidP="00864035">
            <w:pPr>
              <w:jc w:val="center"/>
              <w:rPr>
                <w:sz w:val="18"/>
                <w:szCs w:val="18"/>
              </w:rPr>
            </w:pPr>
            <w:r w:rsidRPr="00864035">
              <w:rPr>
                <w:sz w:val="18"/>
                <w:szCs w:val="18"/>
              </w:rPr>
              <w:t>1,2</w:t>
            </w:r>
          </w:p>
        </w:tc>
        <w:tc>
          <w:tcPr>
            <w:tcW w:w="992" w:type="dxa"/>
            <w:noWrap/>
            <w:vAlign w:val="bottom"/>
            <w:hideMark/>
          </w:tcPr>
          <w:p w:rsidR="00864035" w:rsidRPr="00864035" w:rsidRDefault="00864035" w:rsidP="00864035">
            <w:pPr>
              <w:jc w:val="center"/>
              <w:rPr>
                <w:sz w:val="18"/>
                <w:szCs w:val="18"/>
              </w:rPr>
            </w:pPr>
            <w:r w:rsidRPr="00864035">
              <w:rPr>
                <w:sz w:val="18"/>
                <w:szCs w:val="18"/>
              </w:rPr>
              <w:t>1,8</w:t>
            </w:r>
          </w:p>
        </w:tc>
        <w:tc>
          <w:tcPr>
            <w:tcW w:w="993" w:type="dxa"/>
            <w:noWrap/>
            <w:vAlign w:val="bottom"/>
            <w:hideMark/>
          </w:tcPr>
          <w:p w:rsidR="00864035" w:rsidRPr="00864035" w:rsidRDefault="00864035" w:rsidP="00864035">
            <w:pPr>
              <w:jc w:val="center"/>
              <w:rPr>
                <w:sz w:val="18"/>
                <w:szCs w:val="18"/>
              </w:rPr>
            </w:pPr>
            <w:r w:rsidRPr="00864035">
              <w:rPr>
                <w:sz w:val="18"/>
                <w:szCs w:val="18"/>
              </w:rPr>
              <w:t>1,9</w:t>
            </w:r>
          </w:p>
        </w:tc>
      </w:tr>
      <w:tr w:rsidR="00864035" w:rsidRPr="00864035" w:rsidTr="00DD1C1F">
        <w:trPr>
          <w:trHeight w:val="20"/>
        </w:trPr>
        <w:tc>
          <w:tcPr>
            <w:tcW w:w="3402" w:type="dxa"/>
            <w:noWrap/>
            <w:vAlign w:val="center"/>
            <w:hideMark/>
          </w:tcPr>
          <w:p w:rsidR="00864035" w:rsidRPr="00864035" w:rsidRDefault="00547BD3" w:rsidP="00864035">
            <w:pPr>
              <w:rPr>
                <w:sz w:val="18"/>
                <w:szCs w:val="18"/>
              </w:rPr>
            </w:pPr>
            <w:hyperlink r:id="rId19" w:history="1">
              <w:r w:rsidR="00864035" w:rsidRPr="00864035">
                <w:rPr>
                  <w:sz w:val="18"/>
                  <w:szCs w:val="18"/>
                </w:rPr>
                <w:t>ЦМАКП</w:t>
              </w:r>
            </w:hyperlink>
          </w:p>
        </w:tc>
        <w:tc>
          <w:tcPr>
            <w:tcW w:w="1560" w:type="dxa"/>
          </w:tcPr>
          <w:p w:rsidR="00864035" w:rsidRPr="00864035" w:rsidRDefault="00864035" w:rsidP="00864035">
            <w:pPr>
              <w:jc w:val="center"/>
              <w:rPr>
                <w:sz w:val="18"/>
                <w:szCs w:val="18"/>
              </w:rPr>
            </w:pPr>
            <w:r w:rsidRPr="00864035">
              <w:rPr>
                <w:sz w:val="18"/>
                <w:szCs w:val="18"/>
              </w:rPr>
              <w:t>28.08.2025</w:t>
            </w:r>
          </w:p>
        </w:tc>
        <w:tc>
          <w:tcPr>
            <w:tcW w:w="992" w:type="dxa"/>
            <w:noWrap/>
            <w:vAlign w:val="bottom"/>
            <w:hideMark/>
          </w:tcPr>
          <w:p w:rsidR="00864035" w:rsidRPr="00864035" w:rsidRDefault="00864035" w:rsidP="00864035">
            <w:pPr>
              <w:jc w:val="center"/>
              <w:rPr>
                <w:sz w:val="18"/>
                <w:szCs w:val="18"/>
              </w:rPr>
            </w:pPr>
            <w:r w:rsidRPr="00864035">
              <w:rPr>
                <w:sz w:val="18"/>
                <w:szCs w:val="18"/>
              </w:rPr>
              <w:t>4,3</w:t>
            </w:r>
          </w:p>
        </w:tc>
        <w:tc>
          <w:tcPr>
            <w:tcW w:w="992" w:type="dxa"/>
            <w:noWrap/>
            <w:vAlign w:val="bottom"/>
            <w:hideMark/>
          </w:tcPr>
          <w:p w:rsidR="00864035" w:rsidRPr="00864035" w:rsidRDefault="00864035" w:rsidP="00864035">
            <w:pPr>
              <w:jc w:val="center"/>
              <w:rPr>
                <w:sz w:val="18"/>
                <w:szCs w:val="18"/>
              </w:rPr>
            </w:pPr>
            <w:r w:rsidRPr="00864035">
              <w:rPr>
                <w:sz w:val="18"/>
                <w:szCs w:val="18"/>
              </w:rPr>
              <w:t>1,0-1,4</w:t>
            </w:r>
          </w:p>
        </w:tc>
        <w:tc>
          <w:tcPr>
            <w:tcW w:w="992" w:type="dxa"/>
            <w:noWrap/>
            <w:vAlign w:val="bottom"/>
            <w:hideMark/>
          </w:tcPr>
          <w:p w:rsidR="00864035" w:rsidRPr="00864035" w:rsidRDefault="00864035" w:rsidP="00864035">
            <w:pPr>
              <w:jc w:val="center"/>
              <w:rPr>
                <w:sz w:val="18"/>
                <w:szCs w:val="18"/>
              </w:rPr>
            </w:pPr>
            <w:r w:rsidRPr="00864035">
              <w:rPr>
                <w:sz w:val="18"/>
                <w:szCs w:val="18"/>
              </w:rPr>
              <w:t>1,5-1,8</w:t>
            </w:r>
          </w:p>
        </w:tc>
        <w:tc>
          <w:tcPr>
            <w:tcW w:w="992" w:type="dxa"/>
            <w:noWrap/>
            <w:vAlign w:val="bottom"/>
            <w:hideMark/>
          </w:tcPr>
          <w:p w:rsidR="00864035" w:rsidRPr="00864035" w:rsidRDefault="00864035" w:rsidP="00864035">
            <w:pPr>
              <w:jc w:val="center"/>
              <w:rPr>
                <w:sz w:val="18"/>
                <w:szCs w:val="18"/>
              </w:rPr>
            </w:pPr>
            <w:r w:rsidRPr="00864035">
              <w:rPr>
                <w:sz w:val="18"/>
                <w:szCs w:val="18"/>
              </w:rPr>
              <w:t>1,8-2,2</w:t>
            </w:r>
          </w:p>
        </w:tc>
        <w:tc>
          <w:tcPr>
            <w:tcW w:w="993" w:type="dxa"/>
            <w:noWrap/>
            <w:vAlign w:val="bottom"/>
            <w:hideMark/>
          </w:tcPr>
          <w:p w:rsidR="00864035" w:rsidRPr="00864035" w:rsidRDefault="00864035" w:rsidP="00864035">
            <w:pPr>
              <w:jc w:val="center"/>
              <w:rPr>
                <w:sz w:val="18"/>
                <w:szCs w:val="18"/>
              </w:rPr>
            </w:pPr>
            <w:r w:rsidRPr="00864035">
              <w:rPr>
                <w:sz w:val="18"/>
                <w:szCs w:val="18"/>
              </w:rPr>
              <w:t>1,9-2,3</w:t>
            </w:r>
          </w:p>
        </w:tc>
      </w:tr>
      <w:tr w:rsidR="00864035" w:rsidRPr="00864035" w:rsidTr="00DD1C1F">
        <w:trPr>
          <w:trHeight w:val="20"/>
        </w:trPr>
        <w:tc>
          <w:tcPr>
            <w:tcW w:w="3402" w:type="dxa"/>
            <w:vAlign w:val="bottom"/>
            <w:hideMark/>
          </w:tcPr>
          <w:p w:rsidR="00864035" w:rsidRPr="00864035" w:rsidRDefault="00547BD3" w:rsidP="00864035">
            <w:pPr>
              <w:rPr>
                <w:sz w:val="18"/>
                <w:szCs w:val="18"/>
              </w:rPr>
            </w:pPr>
            <w:hyperlink r:id="rId20" w:history="1">
              <w:r w:rsidR="00864035" w:rsidRPr="00864035">
                <w:rPr>
                  <w:sz w:val="18"/>
                  <w:szCs w:val="18"/>
                </w:rPr>
                <w:t>ИНП РАН</w:t>
              </w:r>
            </w:hyperlink>
          </w:p>
        </w:tc>
        <w:tc>
          <w:tcPr>
            <w:tcW w:w="1560" w:type="dxa"/>
          </w:tcPr>
          <w:p w:rsidR="00864035" w:rsidRPr="00864035" w:rsidRDefault="00864035" w:rsidP="00864035">
            <w:pPr>
              <w:jc w:val="center"/>
              <w:rPr>
                <w:sz w:val="18"/>
                <w:szCs w:val="18"/>
              </w:rPr>
            </w:pPr>
            <w:r w:rsidRPr="00864035">
              <w:rPr>
                <w:sz w:val="18"/>
                <w:szCs w:val="18"/>
              </w:rPr>
              <w:t>15.09.2025</w:t>
            </w:r>
          </w:p>
        </w:tc>
        <w:tc>
          <w:tcPr>
            <w:tcW w:w="992" w:type="dxa"/>
            <w:vAlign w:val="bottom"/>
            <w:hideMark/>
          </w:tcPr>
          <w:p w:rsidR="00864035" w:rsidRPr="00864035" w:rsidRDefault="00864035" w:rsidP="00864035">
            <w:pPr>
              <w:jc w:val="center"/>
              <w:rPr>
                <w:sz w:val="18"/>
                <w:szCs w:val="18"/>
              </w:rPr>
            </w:pPr>
            <w:r w:rsidRPr="00864035">
              <w:rPr>
                <w:sz w:val="18"/>
                <w:szCs w:val="18"/>
              </w:rPr>
              <w:t>4,3</w:t>
            </w:r>
          </w:p>
        </w:tc>
        <w:tc>
          <w:tcPr>
            <w:tcW w:w="992" w:type="dxa"/>
            <w:vAlign w:val="bottom"/>
            <w:hideMark/>
          </w:tcPr>
          <w:p w:rsidR="00864035" w:rsidRPr="00864035" w:rsidRDefault="00864035" w:rsidP="00864035">
            <w:pPr>
              <w:jc w:val="center"/>
              <w:rPr>
                <w:sz w:val="18"/>
                <w:szCs w:val="18"/>
              </w:rPr>
            </w:pPr>
            <w:r w:rsidRPr="00864035">
              <w:rPr>
                <w:sz w:val="18"/>
                <w:szCs w:val="18"/>
              </w:rPr>
              <w:t>1,2</w:t>
            </w:r>
          </w:p>
        </w:tc>
        <w:tc>
          <w:tcPr>
            <w:tcW w:w="992" w:type="dxa"/>
            <w:vAlign w:val="bottom"/>
          </w:tcPr>
          <w:p w:rsidR="00864035" w:rsidRPr="00864035" w:rsidRDefault="00864035" w:rsidP="00864035">
            <w:pPr>
              <w:jc w:val="center"/>
              <w:rPr>
                <w:sz w:val="18"/>
                <w:szCs w:val="18"/>
              </w:rPr>
            </w:pPr>
            <w:r w:rsidRPr="00864035">
              <w:rPr>
                <w:sz w:val="18"/>
                <w:szCs w:val="18"/>
              </w:rPr>
              <w:t>2,1</w:t>
            </w:r>
          </w:p>
        </w:tc>
        <w:tc>
          <w:tcPr>
            <w:tcW w:w="992" w:type="dxa"/>
            <w:noWrap/>
            <w:vAlign w:val="bottom"/>
          </w:tcPr>
          <w:p w:rsidR="00864035" w:rsidRPr="00864035" w:rsidRDefault="00864035" w:rsidP="00864035">
            <w:pPr>
              <w:jc w:val="center"/>
              <w:rPr>
                <w:sz w:val="18"/>
                <w:szCs w:val="18"/>
              </w:rPr>
            </w:pPr>
            <w:r w:rsidRPr="00864035">
              <w:rPr>
                <w:sz w:val="18"/>
                <w:szCs w:val="18"/>
              </w:rPr>
              <w:t>2,5</w:t>
            </w:r>
          </w:p>
        </w:tc>
        <w:tc>
          <w:tcPr>
            <w:tcW w:w="993" w:type="dxa"/>
            <w:noWrap/>
            <w:vAlign w:val="bottom"/>
          </w:tcPr>
          <w:p w:rsidR="00864035" w:rsidRPr="00864035" w:rsidRDefault="00864035" w:rsidP="00864035">
            <w:pPr>
              <w:jc w:val="center"/>
              <w:rPr>
                <w:sz w:val="18"/>
                <w:szCs w:val="18"/>
              </w:rPr>
            </w:pPr>
            <w:r w:rsidRPr="00864035">
              <w:rPr>
                <w:sz w:val="18"/>
                <w:szCs w:val="18"/>
              </w:rPr>
              <w:t>2,3</w:t>
            </w:r>
          </w:p>
        </w:tc>
      </w:tr>
      <w:tr w:rsidR="00864035" w:rsidRPr="00864035" w:rsidTr="00DD1C1F">
        <w:trPr>
          <w:trHeight w:val="20"/>
        </w:trPr>
        <w:tc>
          <w:tcPr>
            <w:tcW w:w="3402" w:type="dxa"/>
            <w:vAlign w:val="bottom"/>
            <w:hideMark/>
          </w:tcPr>
          <w:p w:rsidR="00864035" w:rsidRPr="00864035" w:rsidRDefault="00547BD3" w:rsidP="00864035">
            <w:pPr>
              <w:rPr>
                <w:sz w:val="18"/>
                <w:szCs w:val="18"/>
              </w:rPr>
            </w:pPr>
            <w:hyperlink r:id="rId21" w:history="1">
              <w:r w:rsidR="00864035" w:rsidRPr="00864035">
                <w:rPr>
                  <w:sz w:val="18"/>
                  <w:szCs w:val="18"/>
                </w:rPr>
                <w:t>НИУ</w:t>
              </w:r>
            </w:hyperlink>
            <w:r w:rsidR="00864035" w:rsidRPr="00864035">
              <w:rPr>
                <w:sz w:val="18"/>
                <w:szCs w:val="18"/>
              </w:rPr>
              <w:t xml:space="preserve"> ВШЭ (консенсус-прогноз)</w:t>
            </w:r>
          </w:p>
        </w:tc>
        <w:tc>
          <w:tcPr>
            <w:tcW w:w="1560" w:type="dxa"/>
          </w:tcPr>
          <w:p w:rsidR="00864035" w:rsidRPr="00864035" w:rsidRDefault="00864035" w:rsidP="00864035">
            <w:pPr>
              <w:jc w:val="center"/>
              <w:rPr>
                <w:sz w:val="18"/>
                <w:szCs w:val="18"/>
              </w:rPr>
            </w:pPr>
            <w:r w:rsidRPr="00864035">
              <w:rPr>
                <w:sz w:val="18"/>
                <w:szCs w:val="18"/>
              </w:rPr>
              <w:t>19.08.2025</w:t>
            </w:r>
          </w:p>
        </w:tc>
        <w:tc>
          <w:tcPr>
            <w:tcW w:w="992" w:type="dxa"/>
            <w:noWrap/>
            <w:vAlign w:val="bottom"/>
            <w:hideMark/>
          </w:tcPr>
          <w:p w:rsidR="00864035" w:rsidRPr="00864035" w:rsidRDefault="00864035" w:rsidP="00864035">
            <w:pPr>
              <w:jc w:val="center"/>
              <w:rPr>
                <w:sz w:val="18"/>
                <w:szCs w:val="18"/>
              </w:rPr>
            </w:pPr>
            <w:r w:rsidRPr="00864035">
              <w:rPr>
                <w:sz w:val="18"/>
                <w:szCs w:val="18"/>
              </w:rPr>
              <w:t>4,3</w:t>
            </w:r>
          </w:p>
        </w:tc>
        <w:tc>
          <w:tcPr>
            <w:tcW w:w="992" w:type="dxa"/>
            <w:noWrap/>
            <w:vAlign w:val="bottom"/>
            <w:hideMark/>
          </w:tcPr>
          <w:p w:rsidR="00864035" w:rsidRPr="00864035" w:rsidRDefault="00864035" w:rsidP="00864035">
            <w:pPr>
              <w:jc w:val="center"/>
              <w:rPr>
                <w:sz w:val="18"/>
                <w:szCs w:val="18"/>
              </w:rPr>
            </w:pPr>
            <w:r w:rsidRPr="00864035">
              <w:rPr>
                <w:sz w:val="18"/>
                <w:szCs w:val="18"/>
              </w:rPr>
              <w:t>1,2</w:t>
            </w:r>
          </w:p>
        </w:tc>
        <w:tc>
          <w:tcPr>
            <w:tcW w:w="992" w:type="dxa"/>
            <w:noWrap/>
            <w:vAlign w:val="bottom"/>
            <w:hideMark/>
          </w:tcPr>
          <w:p w:rsidR="00864035" w:rsidRPr="00864035" w:rsidRDefault="00864035" w:rsidP="00864035">
            <w:pPr>
              <w:jc w:val="center"/>
              <w:rPr>
                <w:sz w:val="18"/>
                <w:szCs w:val="18"/>
              </w:rPr>
            </w:pPr>
            <w:r w:rsidRPr="00864035">
              <w:rPr>
                <w:sz w:val="18"/>
                <w:szCs w:val="18"/>
              </w:rPr>
              <w:t>1,4</w:t>
            </w:r>
          </w:p>
        </w:tc>
        <w:tc>
          <w:tcPr>
            <w:tcW w:w="992" w:type="dxa"/>
            <w:noWrap/>
            <w:vAlign w:val="bottom"/>
            <w:hideMark/>
          </w:tcPr>
          <w:p w:rsidR="00864035" w:rsidRPr="00864035" w:rsidRDefault="00864035" w:rsidP="00864035">
            <w:pPr>
              <w:jc w:val="center"/>
              <w:rPr>
                <w:sz w:val="18"/>
                <w:szCs w:val="18"/>
              </w:rPr>
            </w:pPr>
            <w:r w:rsidRPr="00864035">
              <w:rPr>
                <w:sz w:val="18"/>
                <w:szCs w:val="18"/>
              </w:rPr>
              <w:t>1,7</w:t>
            </w:r>
          </w:p>
        </w:tc>
        <w:tc>
          <w:tcPr>
            <w:tcW w:w="993" w:type="dxa"/>
            <w:noWrap/>
            <w:vAlign w:val="bottom"/>
            <w:hideMark/>
          </w:tcPr>
          <w:p w:rsidR="00864035" w:rsidRPr="00864035" w:rsidRDefault="00864035" w:rsidP="00864035">
            <w:pPr>
              <w:jc w:val="center"/>
              <w:rPr>
                <w:sz w:val="18"/>
                <w:szCs w:val="18"/>
              </w:rPr>
            </w:pPr>
            <w:r w:rsidRPr="00864035">
              <w:rPr>
                <w:sz w:val="18"/>
                <w:szCs w:val="18"/>
              </w:rPr>
              <w:t>1,7</w:t>
            </w:r>
          </w:p>
        </w:tc>
      </w:tr>
    </w:tbl>
    <w:p w:rsidR="007615E9" w:rsidRPr="00D420E3" w:rsidRDefault="007615E9" w:rsidP="006C6883">
      <w:pPr>
        <w:autoSpaceDE w:val="0"/>
        <w:autoSpaceDN w:val="0"/>
        <w:adjustRightInd w:val="0"/>
        <w:spacing w:line="353" w:lineRule="auto"/>
        <w:ind w:firstLine="709"/>
        <w:jc w:val="both"/>
        <w:rPr>
          <w:sz w:val="10"/>
          <w:szCs w:val="10"/>
        </w:rPr>
      </w:pPr>
    </w:p>
    <w:p w:rsidR="00016D27" w:rsidRPr="00016D27" w:rsidRDefault="007118C5" w:rsidP="003E5FB2">
      <w:pPr>
        <w:autoSpaceDE w:val="0"/>
        <w:autoSpaceDN w:val="0"/>
        <w:adjustRightInd w:val="0"/>
        <w:spacing w:line="384" w:lineRule="auto"/>
        <w:ind w:firstLine="709"/>
        <w:jc w:val="both"/>
      </w:pPr>
      <w:r w:rsidRPr="00D420E3">
        <w:rPr>
          <w:b/>
        </w:rPr>
        <w:t>2.</w:t>
      </w:r>
      <w:r w:rsidR="00A7507B" w:rsidRPr="00D420E3">
        <w:rPr>
          <w:b/>
        </w:rPr>
        <w:t>8</w:t>
      </w:r>
      <w:r w:rsidRPr="00D420E3">
        <w:rPr>
          <w:b/>
        </w:rPr>
        <w:t>.</w:t>
      </w:r>
      <w:r w:rsidR="00701272" w:rsidRPr="00D420E3">
        <w:t> </w:t>
      </w:r>
      <w:r w:rsidR="00016D27" w:rsidRPr="00016D27">
        <w:t xml:space="preserve">Одной из характеристик инвестиционного спроса выступает динамика </w:t>
      </w:r>
      <w:r w:rsidR="00016D27" w:rsidRPr="00016D27">
        <w:rPr>
          <w:b/>
          <w:bCs/>
        </w:rPr>
        <w:t>инвестиций в основной капитал</w:t>
      </w:r>
      <w:r w:rsidR="00016D27" w:rsidRPr="00016D27">
        <w:t>, которая согласно Прогнозу в 2025</w:t>
      </w:r>
      <w:r w:rsidR="00016D27">
        <w:t> </w:t>
      </w:r>
      <w:r w:rsidR="00016D27" w:rsidRPr="00016D27">
        <w:t xml:space="preserve">году замедлится до 1,7 % после четырех лет интенсивного роста (за 2021–2024 год прирост составил 36,6 %). </w:t>
      </w:r>
    </w:p>
    <w:p w:rsidR="00016D27" w:rsidRPr="00016D27" w:rsidRDefault="00016D27" w:rsidP="003E5FB2">
      <w:pPr>
        <w:autoSpaceDE w:val="0"/>
        <w:autoSpaceDN w:val="0"/>
        <w:adjustRightInd w:val="0"/>
        <w:spacing w:line="384" w:lineRule="auto"/>
        <w:ind w:firstLine="709"/>
        <w:jc w:val="both"/>
      </w:pPr>
      <w:r w:rsidRPr="00016D27">
        <w:t xml:space="preserve">С учетом имеющихся статистических данных (прирост за </w:t>
      </w:r>
      <w:r>
        <w:t xml:space="preserve">первое </w:t>
      </w:r>
      <w:r w:rsidRPr="00016D27">
        <w:t>полугодие 2025 года к соответствующему периоду 2024 года на 4,3 %) для достижения прогнозного показателя во</w:t>
      </w:r>
      <w:r>
        <w:t> втором</w:t>
      </w:r>
      <w:r w:rsidRPr="00016D27">
        <w:t> полугодии 2025 года динамика инвестиций в основной капитал должна еще больше замедлиться</w:t>
      </w:r>
      <w:r>
        <w:t> </w:t>
      </w:r>
      <w:r w:rsidRPr="00016D27">
        <w:t xml:space="preserve">– до околонулевого роста. </w:t>
      </w:r>
    </w:p>
    <w:p w:rsidR="00D420E3" w:rsidRDefault="00C02464" w:rsidP="00241298">
      <w:pPr>
        <w:autoSpaceDE w:val="0"/>
        <w:autoSpaceDN w:val="0"/>
        <w:adjustRightInd w:val="0"/>
        <w:spacing w:line="360" w:lineRule="auto"/>
        <w:ind w:firstLine="709"/>
        <w:jc w:val="both"/>
      </w:pPr>
      <w:r>
        <w:rPr>
          <w:noProof/>
        </w:rPr>
        <w:drawing>
          <wp:anchor distT="0" distB="0" distL="114300" distR="114300" simplePos="0" relativeHeight="251683840" behindDoc="0" locked="0" layoutInCell="1" allowOverlap="1" wp14:anchorId="24BAA1C4" wp14:editId="26DCA2A3">
            <wp:simplePos x="0" y="0"/>
            <wp:positionH relativeFrom="margin">
              <wp:posOffset>35560</wp:posOffset>
            </wp:positionH>
            <wp:positionV relativeFrom="paragraph">
              <wp:posOffset>83820</wp:posOffset>
            </wp:positionV>
            <wp:extent cx="2879725" cy="1799590"/>
            <wp:effectExtent l="0" t="0" r="0" b="0"/>
            <wp:wrapSquare wrapText="bothSides"/>
            <wp:docPr id="646952570" name="Диаграмма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6045AD" w:rsidRPr="006045AD">
        <w:t xml:space="preserve">В 2026 году вследствие лагов влияния жесткой денежно-кредитной политики инвестиции в основной капитал снизятся на 0,5 %. В 2027 и 2028 годах по мере исчерпания эффекта жесткой денежно-кредитной политики прирост инвестиций в основной капитал ускорится до 3,8 % и 3,3 % соответственно, но останется значительно ниже, чем </w:t>
      </w:r>
      <w:r w:rsidR="00106323">
        <w:br/>
      </w:r>
      <w:r w:rsidR="006045AD" w:rsidRPr="006045AD">
        <w:t>в</w:t>
      </w:r>
      <w:r w:rsidR="00106323">
        <w:t> </w:t>
      </w:r>
      <w:r w:rsidR="006045AD" w:rsidRPr="006045AD">
        <w:t>2021–2024</w:t>
      </w:r>
      <w:r w:rsidR="006045AD">
        <w:t> </w:t>
      </w:r>
      <w:r w:rsidR="006045AD" w:rsidRPr="006045AD">
        <w:t xml:space="preserve">годах (средний темп прироста – 8,1 %). В Прогнозе не приводится обоснования подобной динамики и не описываются факторы, которые окажут влияние на восстановление </w:t>
      </w:r>
      <w:r w:rsidR="006045AD" w:rsidRPr="006045AD">
        <w:lastRenderedPageBreak/>
        <w:t>роста инвестиций в основной капитал. При этом российской экономике необходим стабильный рост инвестиций в основной капитал для продолжения модернизации основных фондов (в</w:t>
      </w:r>
      <w:r>
        <w:t> </w:t>
      </w:r>
      <w:r w:rsidR="006045AD" w:rsidRPr="006045AD">
        <w:t>обрабатывающих производствах износ основных фондов вырос с 49,6 % в 2017 году до</w:t>
      </w:r>
      <w:r>
        <w:t> </w:t>
      </w:r>
      <w:r w:rsidR="006045AD" w:rsidRPr="006045AD">
        <w:t>54,5 % в</w:t>
      </w:r>
      <w:r w:rsidR="001B0896">
        <w:t xml:space="preserve"> </w:t>
      </w:r>
      <w:r w:rsidR="006045AD" w:rsidRPr="006045AD">
        <w:t>2024</w:t>
      </w:r>
      <w:r>
        <w:t> </w:t>
      </w:r>
      <w:r w:rsidR="006045AD" w:rsidRPr="006045AD">
        <w:t>году), проведения импортозамещения и формирования экономики предложения, а также достижения национальных целей</w:t>
      </w:r>
      <w:r>
        <w:t>.</w:t>
      </w:r>
    </w:p>
    <w:p w:rsidR="007D5C4F" w:rsidRPr="007D5C4F" w:rsidRDefault="00EC792E" w:rsidP="00AE425B">
      <w:pPr>
        <w:spacing w:line="348" w:lineRule="auto"/>
        <w:ind w:firstLine="709"/>
        <w:jc w:val="both"/>
      </w:pPr>
      <w:r w:rsidRPr="001B0896">
        <w:rPr>
          <w:b/>
        </w:rPr>
        <w:t>2.</w:t>
      </w:r>
      <w:r w:rsidR="00A7507B" w:rsidRPr="001B0896">
        <w:rPr>
          <w:b/>
        </w:rPr>
        <w:t>9</w:t>
      </w:r>
      <w:r w:rsidRPr="001B0896">
        <w:rPr>
          <w:b/>
        </w:rPr>
        <w:t>.</w:t>
      </w:r>
      <w:r w:rsidR="003D1628" w:rsidRPr="007D5C4F">
        <w:t> </w:t>
      </w:r>
      <w:bookmarkStart w:id="1" w:name="_Hlk85029174"/>
      <w:r w:rsidR="007D5C4F" w:rsidRPr="007D5C4F">
        <w:t>Вторая составляющая внутреннего спроса – потребительский спрос. В соответстви</w:t>
      </w:r>
      <w:r w:rsidR="00A00BB2">
        <w:t>и</w:t>
      </w:r>
      <w:r w:rsidR="007D5C4F" w:rsidRPr="007D5C4F">
        <w:t xml:space="preserve"> с Прогнозом </w:t>
      </w:r>
      <w:r w:rsidR="007D5C4F" w:rsidRPr="007D5C4F">
        <w:rPr>
          <w:b/>
          <w:bCs/>
        </w:rPr>
        <w:t>оборот розничной торговли</w:t>
      </w:r>
      <w:r w:rsidR="007D5C4F" w:rsidRPr="007D5C4F">
        <w:t>, который является основным показателем потребительского спроса, в 2025 году замедлится до 2,5 %, что с учетом отчетных данных за январь – июль (прирост на 2,1 %) предполагает ускорение среднемесячного прироста до 3 %. Подобные темпы роста на фоне прогнозируемого дальнейшего охлаждения экономики и замедления темпов роста заработной платы и доходов населения представляются излишне оптимистичными.</w:t>
      </w:r>
    </w:p>
    <w:p w:rsidR="007D5C4F" w:rsidRPr="007D5C4F" w:rsidRDefault="007D5C4F" w:rsidP="00AE425B">
      <w:pPr>
        <w:spacing w:line="348" w:lineRule="auto"/>
        <w:ind w:firstLine="709"/>
        <w:jc w:val="both"/>
      </w:pPr>
      <w:r w:rsidRPr="007D5C4F">
        <w:t>В 2026 году динамика оборота розничной торговли продолжит замедляться (до 1,1 %), а</w:t>
      </w:r>
      <w:r>
        <w:t> </w:t>
      </w:r>
      <w:r w:rsidRPr="007D5C4F">
        <w:t xml:space="preserve">в дальнейшем ускорится до 3,9 % в 2027 году и 3,6 % в 2028 году – в совокупности за три года прирост составит 8,8 %. Рост потребительского спроса будет происходить на фоне схожей динамики реальных располагаемых денежных доходов населения. Кроме того, согласно Прогнозу поддержку потреблению окажет снижение нормы сбережения населения </w:t>
      </w:r>
      <w:r w:rsidR="00106323">
        <w:br/>
      </w:r>
      <w:r w:rsidRPr="007D5C4F">
        <w:t>с 10 % в 2024</w:t>
      </w:r>
      <w:r>
        <w:t> </w:t>
      </w:r>
      <w:r w:rsidRPr="007D5C4F">
        <w:t>году до менее 7 % к 2028 году. Следует отметить, что резкое ускорение динамики оборота розничной торговли в 2027</w:t>
      </w:r>
      <w:r>
        <w:t>–</w:t>
      </w:r>
      <w:r w:rsidRPr="007D5C4F">
        <w:t>2028</w:t>
      </w:r>
      <w:r>
        <w:t> </w:t>
      </w:r>
      <w:r w:rsidRPr="007D5C4F">
        <w:t>годах является риском для удержания инфляции на уровне таргета (4 %) и может привести к более жесткой денежно-кредитной политике, чем предусмотрено в базовом варианте Прогноза.</w:t>
      </w:r>
    </w:p>
    <w:p w:rsidR="007D5C4F" w:rsidRDefault="007D5C4F" w:rsidP="00AE425B">
      <w:pPr>
        <w:spacing w:line="348" w:lineRule="auto"/>
        <w:ind w:firstLine="709"/>
        <w:jc w:val="both"/>
      </w:pPr>
      <w:r w:rsidRPr="007D5C4F">
        <w:t>В то же время прогнозная динамика платных услуг населению представляется излишне заниженной, особенно с учетом реализации программ по развитию внутреннего туризма и креативных индустрий.</w:t>
      </w:r>
    </w:p>
    <w:p w:rsidR="007D5C4F" w:rsidRPr="007D5C4F" w:rsidRDefault="007D5C4F" w:rsidP="00AE425B">
      <w:pPr>
        <w:spacing w:line="348" w:lineRule="auto"/>
        <w:ind w:firstLine="709"/>
        <w:jc w:val="both"/>
      </w:pPr>
      <w:r w:rsidRPr="007D5C4F">
        <w:t xml:space="preserve">Ожидается, что в 2025 году </w:t>
      </w:r>
      <w:r w:rsidRPr="007D5C4F">
        <w:rPr>
          <w:b/>
          <w:bCs/>
        </w:rPr>
        <w:t xml:space="preserve">реальные располагаемые денежные доходы населения </w:t>
      </w:r>
      <w:r w:rsidRPr="007D5C4F">
        <w:rPr>
          <w:bCs/>
        </w:rPr>
        <w:t>увеличатся на 3,8 %, что с учетом отчетных данных (рост за 6</w:t>
      </w:r>
      <w:r>
        <w:rPr>
          <w:bCs/>
        </w:rPr>
        <w:t> </w:t>
      </w:r>
      <w:r w:rsidRPr="007D5C4F">
        <w:rPr>
          <w:bCs/>
        </w:rPr>
        <w:t>месяцев 2025</w:t>
      </w:r>
      <w:r>
        <w:rPr>
          <w:bCs/>
        </w:rPr>
        <w:t> </w:t>
      </w:r>
      <w:r w:rsidRPr="007D5C4F">
        <w:rPr>
          <w:bCs/>
        </w:rPr>
        <w:t>года на 7,8 %) предполагает резкое замедление во втором полугодии на фоне высокой базы 2024</w:t>
      </w:r>
      <w:r>
        <w:rPr>
          <w:bCs/>
        </w:rPr>
        <w:t> </w:t>
      </w:r>
      <w:r w:rsidRPr="007D5C4F">
        <w:rPr>
          <w:bCs/>
        </w:rPr>
        <w:t xml:space="preserve">года. </w:t>
      </w:r>
      <w:r>
        <w:rPr>
          <w:bCs/>
        </w:rPr>
        <w:br/>
      </w:r>
      <w:r w:rsidRPr="007D5C4F">
        <w:rPr>
          <w:bCs/>
        </w:rPr>
        <w:t>В 2026–2028</w:t>
      </w:r>
      <w:r>
        <w:rPr>
          <w:bCs/>
        </w:rPr>
        <w:t> </w:t>
      </w:r>
      <w:r w:rsidRPr="007D5C4F">
        <w:rPr>
          <w:bCs/>
        </w:rPr>
        <w:t xml:space="preserve">годах </w:t>
      </w:r>
      <w:r w:rsidRPr="007D5C4F">
        <w:t xml:space="preserve">реальные располагаемые денежные доходы населения будут расти умеренными темпами в диапазоне 2,1–3,5 %, что ниже показателей последних трех лет. В целом за три года прирост составит 8,8 %, в том числе за счет роста </w:t>
      </w:r>
      <w:r w:rsidRPr="007D5C4F">
        <w:rPr>
          <w:b/>
          <w:bCs/>
        </w:rPr>
        <w:t>реальной заработной платы</w:t>
      </w:r>
      <w:r w:rsidRPr="007D5C4F">
        <w:t xml:space="preserve">. </w:t>
      </w:r>
    </w:p>
    <w:p w:rsidR="007D5C4F" w:rsidRPr="007D5C4F" w:rsidRDefault="007D5C4F" w:rsidP="00AE425B">
      <w:pPr>
        <w:spacing w:line="348" w:lineRule="auto"/>
        <w:ind w:firstLine="709"/>
        <w:jc w:val="both"/>
      </w:pPr>
      <w:r w:rsidRPr="007D5C4F">
        <w:t>В соответствии с прогнозным балансом денежных доходов и расходов населения в</w:t>
      </w:r>
      <w:r w:rsidR="00793E57">
        <w:t> </w:t>
      </w:r>
      <w:r w:rsidRPr="007D5C4F">
        <w:t>структуре денежных доходов населения будет умеренно расти доля оплаты труда наемных работников (с</w:t>
      </w:r>
      <w:r>
        <w:t> </w:t>
      </w:r>
      <w:r w:rsidRPr="007D5C4F">
        <w:t>60,5 % в 2025</w:t>
      </w:r>
      <w:r>
        <w:t> </w:t>
      </w:r>
      <w:r w:rsidRPr="007D5C4F">
        <w:t>году до 61,1 % в 2028</w:t>
      </w:r>
      <w:r w:rsidR="001E0089">
        <w:t> </w:t>
      </w:r>
      <w:r w:rsidRPr="007D5C4F">
        <w:t>году)</w:t>
      </w:r>
      <w:r w:rsidRPr="007D5C4F">
        <w:rPr>
          <w:vertAlign w:val="superscript"/>
        </w:rPr>
        <w:footnoteReference w:id="8"/>
      </w:r>
      <w:r w:rsidRPr="007D5C4F">
        <w:t xml:space="preserve">, чему будет способствовать </w:t>
      </w:r>
      <w:r w:rsidRPr="007D5C4F">
        <w:lastRenderedPageBreak/>
        <w:t>продолжающийся рост заработной платы. Вклад предпринимательских доходов будет стабильным (6,4–6,7 %). Их динамика –</w:t>
      </w:r>
      <w:r w:rsidR="000A6962">
        <w:t xml:space="preserve"> </w:t>
      </w:r>
      <w:r w:rsidRPr="007D5C4F">
        <w:t>замедление в 2026 году до 0,8 % с дальнейшим ускорением к 2028 году до 6,2 % – симметрична динамике развития экономики в целом с</w:t>
      </w:r>
      <w:r w:rsidR="00793E57">
        <w:t> </w:t>
      </w:r>
      <w:r w:rsidRPr="007D5C4F">
        <w:t>учетом инерционного характера прибыли организаций. Доля социальных выплат сократится с</w:t>
      </w:r>
      <w:r w:rsidR="001E0089">
        <w:t> </w:t>
      </w:r>
      <w:r w:rsidRPr="007D5C4F">
        <w:t>16,2 % в 2025 году до 15,8 % в 2028 году. По мере снижения ключевой ставки будет замедляться темп роста доходов от собственности (с 18,5 % в 2025 году до 1,9 % в 2028 году), которые «определяются как поступления, связанные с получением дохода на финансовые активы»</w:t>
      </w:r>
      <w:r w:rsidRPr="007D5C4F">
        <w:rPr>
          <w:vertAlign w:val="superscript"/>
        </w:rPr>
        <w:footnoteReference w:id="9"/>
      </w:r>
      <w:r w:rsidRPr="007D5C4F">
        <w:t>.</w:t>
      </w:r>
    </w:p>
    <w:p w:rsidR="00346078" w:rsidRPr="00346078" w:rsidRDefault="00346078" w:rsidP="00AE425B">
      <w:pPr>
        <w:spacing w:line="348" w:lineRule="auto"/>
        <w:ind w:firstLine="709"/>
        <w:jc w:val="both"/>
      </w:pPr>
      <w:r w:rsidRPr="00346078">
        <w:t xml:space="preserve">Прирост </w:t>
      </w:r>
      <w:r w:rsidRPr="00346078">
        <w:rPr>
          <w:b/>
          <w:bCs/>
        </w:rPr>
        <w:t>реальной заработной платы</w:t>
      </w:r>
      <w:r w:rsidRPr="00346078">
        <w:t xml:space="preserve"> составит 9,7 % за три года. Росту заработной платы будут способствовать меры по повышению МРОТ. Также Прогнозом предусматривается, что по-прежнему будет обеспечиваться поддержание целевых соотношений заработной платы отдельных категорий работников бюджетной сферы в соответствии с указами</w:t>
      </w:r>
      <w:r w:rsidRPr="00346078">
        <w:rPr>
          <w:vertAlign w:val="superscript"/>
        </w:rPr>
        <w:footnoteReference w:id="10"/>
      </w:r>
      <w:r w:rsidRPr="00346078">
        <w:t xml:space="preserve"> Президента Российской Федерации. Кроме того, в соответствии с Прогнозом в 2026–2028</w:t>
      </w:r>
      <w:r>
        <w:t> </w:t>
      </w:r>
      <w:r w:rsidRPr="00346078">
        <w:t xml:space="preserve">годах предусматривается проведение индексации заработной платы работников федеральных государственных учреждений, не относящихся к «указным» категориям, выше темпа роста индекса потребительских цен. Учитывая </w:t>
      </w:r>
      <w:r w:rsidR="00451876" w:rsidRPr="00451876">
        <w:t xml:space="preserve">обозначенную </w:t>
      </w:r>
      <w:r w:rsidRPr="00346078">
        <w:t xml:space="preserve">Счетной палатой </w:t>
      </w:r>
      <w:r w:rsidR="00451876" w:rsidRPr="00451876">
        <w:t xml:space="preserve">вероятность </w:t>
      </w:r>
      <w:r w:rsidRPr="00346078">
        <w:t>более медленного снижения инфляции в 2026 году, чем ожидается в Прогнозе, а также превышения инфляцией уровня в 4 % в 2027</w:t>
      </w:r>
      <w:r>
        <w:t>–</w:t>
      </w:r>
      <w:r w:rsidRPr="00346078">
        <w:t>2028</w:t>
      </w:r>
      <w:r>
        <w:t> </w:t>
      </w:r>
      <w:r w:rsidRPr="00346078">
        <w:t xml:space="preserve">годах, на реализацию заявленной инициативы </w:t>
      </w:r>
      <w:r w:rsidR="006612D1">
        <w:t>могут потребоваться</w:t>
      </w:r>
      <w:r w:rsidRPr="00346078">
        <w:t xml:space="preserve"> дополнительные финансовые ресурсы. </w:t>
      </w:r>
    </w:p>
    <w:p w:rsidR="00346078" w:rsidRPr="00346078" w:rsidRDefault="00346078" w:rsidP="00AE425B">
      <w:pPr>
        <w:spacing w:line="348" w:lineRule="auto"/>
        <w:ind w:firstLine="709"/>
        <w:jc w:val="both"/>
      </w:pPr>
      <w:r w:rsidRPr="00346078">
        <w:t>Ситуация на рынке труда будет сохраняться стабильно жесткой, в том числе</w:t>
      </w:r>
      <w:r w:rsidR="00793E57">
        <w:t>,</w:t>
      </w:r>
      <w:r w:rsidRPr="00346078">
        <w:t xml:space="preserve"> как следствие</w:t>
      </w:r>
      <w:r w:rsidR="00793E57">
        <w:t>,</w:t>
      </w:r>
      <w:r w:rsidRPr="00346078">
        <w:t xml:space="preserve"> негативных демографических трендов. В</w:t>
      </w:r>
      <w:r w:rsidR="00DC43A5">
        <w:t> </w:t>
      </w:r>
      <w:r w:rsidRPr="00346078">
        <w:t>2026</w:t>
      </w:r>
      <w:r w:rsidR="00DC43A5">
        <w:t> </w:t>
      </w:r>
      <w:r w:rsidRPr="00346078">
        <w:t xml:space="preserve">году на фоне низких темпов роста экономики уровень </w:t>
      </w:r>
      <w:r w:rsidRPr="00346078">
        <w:rPr>
          <w:b/>
          <w:bCs/>
        </w:rPr>
        <w:t>безработицы</w:t>
      </w:r>
      <w:r w:rsidRPr="00346078">
        <w:t xml:space="preserve"> вырастет на 0,3</w:t>
      </w:r>
      <w:r w:rsidR="00DC43A5">
        <w:t> </w:t>
      </w:r>
      <w:r w:rsidRPr="00346078">
        <w:t>процентного пункта до 2,6 %, но затем вновь снизится до 2,3 % в 2028 году. В подобных условиях обеспечение ускоренных темпов роста экономики, необходимых для достижения национальных целей, возможно только за счет повышения производительности труда. Однако прогнозируемый рост производительности труда за три года на 6,4 % (при росте экономики на 6,8 %) представляется недостаточным для компенсации дефицита предложения на рынке труда и перехода экономики к интенсивной модели развития.</w:t>
      </w:r>
    </w:p>
    <w:p w:rsidR="00942CE9" w:rsidRPr="00942CE9" w:rsidRDefault="00942CE9" w:rsidP="00AE425B">
      <w:pPr>
        <w:spacing w:line="348" w:lineRule="auto"/>
        <w:ind w:firstLine="709"/>
        <w:jc w:val="both"/>
      </w:pPr>
      <w:r w:rsidRPr="001B0896">
        <w:rPr>
          <w:b/>
        </w:rPr>
        <w:t>2.</w:t>
      </w:r>
      <w:r>
        <w:rPr>
          <w:b/>
        </w:rPr>
        <w:t>10</w:t>
      </w:r>
      <w:r w:rsidRPr="001B0896">
        <w:rPr>
          <w:b/>
        </w:rPr>
        <w:t>.</w:t>
      </w:r>
      <w:r w:rsidRPr="007D5C4F">
        <w:t> </w:t>
      </w:r>
      <w:r w:rsidRPr="00942CE9">
        <w:t xml:space="preserve">Согласно Прогнозу поступательный рост доходов населения при одновременной реализации программ по поддержке отдельных категорий граждан позволит снижать уровень </w:t>
      </w:r>
      <w:r w:rsidRPr="00942CE9">
        <w:lastRenderedPageBreak/>
        <w:t>бедности населения, который по итогам 2024 года сократился до 7,2</w:t>
      </w:r>
      <w:r w:rsidRPr="00942CE9">
        <w:rPr>
          <w:lang w:val="en-US"/>
        </w:rPr>
        <w:t> </w:t>
      </w:r>
      <w:r w:rsidRPr="00942CE9">
        <w:t>%. В то же время необходимо обратить внимание, что разница между величиной прожиточного минимума в</w:t>
      </w:r>
      <w:r w:rsidR="00793E57">
        <w:t> </w:t>
      </w:r>
      <w:r w:rsidRPr="00942CE9">
        <w:t xml:space="preserve">расчете на душу населения и границей бедности в прогнозном периоде увеличивается, что </w:t>
      </w:r>
      <w:r w:rsidR="00451876" w:rsidRPr="00451876">
        <w:t xml:space="preserve">может отразиться на корректности </w:t>
      </w:r>
      <w:r w:rsidRPr="00942CE9">
        <w:t>оценки уровня бедности и принятия соответствующих управленческих решений.</w:t>
      </w:r>
      <w:r>
        <w:t xml:space="preserve"> </w:t>
      </w:r>
    </w:p>
    <w:p w:rsidR="00942CE9" w:rsidRPr="00942CE9" w:rsidRDefault="00942CE9" w:rsidP="00AE425B">
      <w:pPr>
        <w:spacing w:line="348" w:lineRule="auto"/>
        <w:ind w:firstLine="709"/>
        <w:jc w:val="both"/>
      </w:pPr>
      <w:r w:rsidRPr="00942CE9">
        <w:t>Данные по ожидаемой динамике прожиточного минимума и границы бедности</w:t>
      </w:r>
      <w:r w:rsidRPr="00942CE9">
        <w:rPr>
          <w:vertAlign w:val="superscript"/>
        </w:rPr>
        <w:footnoteReference w:id="11"/>
      </w:r>
      <w:r w:rsidRPr="00942CE9">
        <w:t xml:space="preserve"> приведены в следующей таблице.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992"/>
        <w:gridCol w:w="992"/>
        <w:gridCol w:w="992"/>
        <w:gridCol w:w="993"/>
        <w:gridCol w:w="850"/>
        <w:gridCol w:w="1276"/>
      </w:tblGrid>
      <w:tr w:rsidR="006C53B9" w:rsidRPr="006C53B9" w:rsidTr="006C53B9">
        <w:trPr>
          <w:trHeight w:val="315"/>
        </w:trPr>
        <w:tc>
          <w:tcPr>
            <w:tcW w:w="3828" w:type="dxa"/>
            <w:noWrap/>
            <w:vAlign w:val="center"/>
            <w:hideMark/>
          </w:tcPr>
          <w:p w:rsidR="006C53B9" w:rsidRPr="006C53B9" w:rsidRDefault="006C53B9" w:rsidP="006C53B9">
            <w:pPr>
              <w:jc w:val="center"/>
              <w:rPr>
                <w:b/>
                <w:sz w:val="18"/>
                <w:szCs w:val="18"/>
              </w:rPr>
            </w:pPr>
            <w:r w:rsidRPr="006C53B9">
              <w:rPr>
                <w:b/>
                <w:sz w:val="18"/>
                <w:szCs w:val="18"/>
              </w:rPr>
              <w:t>Наименование показателя</w:t>
            </w:r>
          </w:p>
        </w:tc>
        <w:tc>
          <w:tcPr>
            <w:tcW w:w="992" w:type="dxa"/>
            <w:tcBorders>
              <w:bottom w:val="single" w:sz="4" w:space="0" w:color="auto"/>
            </w:tcBorders>
            <w:noWrap/>
            <w:vAlign w:val="center"/>
            <w:hideMark/>
          </w:tcPr>
          <w:p w:rsidR="006C53B9" w:rsidRPr="006C53B9" w:rsidRDefault="006C53B9" w:rsidP="006C53B9">
            <w:pPr>
              <w:jc w:val="center"/>
              <w:rPr>
                <w:b/>
                <w:bCs/>
                <w:sz w:val="18"/>
                <w:szCs w:val="18"/>
              </w:rPr>
            </w:pPr>
            <w:r w:rsidRPr="006C53B9">
              <w:rPr>
                <w:b/>
                <w:bCs/>
                <w:sz w:val="18"/>
                <w:szCs w:val="18"/>
              </w:rPr>
              <w:t>2024</w:t>
            </w:r>
          </w:p>
        </w:tc>
        <w:tc>
          <w:tcPr>
            <w:tcW w:w="992" w:type="dxa"/>
            <w:tcBorders>
              <w:bottom w:val="single" w:sz="4" w:space="0" w:color="auto"/>
            </w:tcBorders>
            <w:noWrap/>
            <w:vAlign w:val="center"/>
            <w:hideMark/>
          </w:tcPr>
          <w:p w:rsidR="006C53B9" w:rsidRPr="006C53B9" w:rsidRDefault="006C53B9" w:rsidP="006C53B9">
            <w:pPr>
              <w:jc w:val="center"/>
              <w:rPr>
                <w:b/>
                <w:bCs/>
                <w:sz w:val="18"/>
                <w:szCs w:val="18"/>
              </w:rPr>
            </w:pPr>
            <w:r w:rsidRPr="006C53B9">
              <w:rPr>
                <w:b/>
                <w:bCs/>
                <w:sz w:val="18"/>
                <w:szCs w:val="18"/>
              </w:rPr>
              <w:t>2025</w:t>
            </w:r>
          </w:p>
        </w:tc>
        <w:tc>
          <w:tcPr>
            <w:tcW w:w="992" w:type="dxa"/>
            <w:tcBorders>
              <w:bottom w:val="single" w:sz="4" w:space="0" w:color="auto"/>
            </w:tcBorders>
            <w:noWrap/>
            <w:vAlign w:val="center"/>
            <w:hideMark/>
          </w:tcPr>
          <w:p w:rsidR="006C53B9" w:rsidRPr="006C53B9" w:rsidRDefault="006C53B9" w:rsidP="006C53B9">
            <w:pPr>
              <w:jc w:val="center"/>
              <w:rPr>
                <w:b/>
                <w:bCs/>
                <w:sz w:val="18"/>
                <w:szCs w:val="18"/>
              </w:rPr>
            </w:pPr>
            <w:r w:rsidRPr="006C53B9">
              <w:rPr>
                <w:b/>
                <w:bCs/>
                <w:sz w:val="18"/>
                <w:szCs w:val="18"/>
              </w:rPr>
              <w:t>2026</w:t>
            </w:r>
          </w:p>
        </w:tc>
        <w:tc>
          <w:tcPr>
            <w:tcW w:w="993" w:type="dxa"/>
            <w:tcBorders>
              <w:bottom w:val="single" w:sz="4" w:space="0" w:color="auto"/>
            </w:tcBorders>
            <w:noWrap/>
            <w:vAlign w:val="center"/>
            <w:hideMark/>
          </w:tcPr>
          <w:p w:rsidR="006C53B9" w:rsidRPr="006C53B9" w:rsidRDefault="006C53B9" w:rsidP="006C53B9">
            <w:pPr>
              <w:jc w:val="center"/>
              <w:rPr>
                <w:b/>
                <w:bCs/>
                <w:sz w:val="18"/>
                <w:szCs w:val="18"/>
              </w:rPr>
            </w:pPr>
            <w:r w:rsidRPr="006C53B9">
              <w:rPr>
                <w:b/>
                <w:bCs/>
                <w:sz w:val="18"/>
                <w:szCs w:val="18"/>
              </w:rPr>
              <w:t>2027</w:t>
            </w:r>
          </w:p>
        </w:tc>
        <w:tc>
          <w:tcPr>
            <w:tcW w:w="850" w:type="dxa"/>
            <w:tcBorders>
              <w:bottom w:val="single" w:sz="4" w:space="0" w:color="auto"/>
            </w:tcBorders>
            <w:noWrap/>
            <w:vAlign w:val="center"/>
            <w:hideMark/>
          </w:tcPr>
          <w:p w:rsidR="006C53B9" w:rsidRPr="006C53B9" w:rsidRDefault="006C53B9" w:rsidP="006C53B9">
            <w:pPr>
              <w:jc w:val="center"/>
              <w:rPr>
                <w:b/>
                <w:bCs/>
                <w:sz w:val="18"/>
                <w:szCs w:val="18"/>
              </w:rPr>
            </w:pPr>
            <w:r w:rsidRPr="006C53B9">
              <w:rPr>
                <w:b/>
                <w:bCs/>
                <w:sz w:val="18"/>
                <w:szCs w:val="18"/>
              </w:rPr>
              <w:t>2028</w:t>
            </w:r>
          </w:p>
        </w:tc>
        <w:tc>
          <w:tcPr>
            <w:tcW w:w="1276" w:type="dxa"/>
            <w:tcBorders>
              <w:bottom w:val="single" w:sz="4" w:space="0" w:color="auto"/>
            </w:tcBorders>
            <w:noWrap/>
            <w:vAlign w:val="bottom"/>
            <w:hideMark/>
          </w:tcPr>
          <w:p w:rsidR="006C53B9" w:rsidRPr="006C53B9" w:rsidRDefault="006C53B9" w:rsidP="006C53B9">
            <w:pPr>
              <w:jc w:val="center"/>
              <w:rPr>
                <w:b/>
                <w:bCs/>
                <w:sz w:val="18"/>
                <w:szCs w:val="18"/>
              </w:rPr>
            </w:pPr>
            <w:r w:rsidRPr="006C53B9">
              <w:rPr>
                <w:b/>
                <w:bCs/>
                <w:sz w:val="18"/>
                <w:szCs w:val="18"/>
              </w:rPr>
              <w:t>2028/2025</w:t>
            </w:r>
          </w:p>
          <w:p w:rsidR="006C53B9" w:rsidRPr="006C53B9" w:rsidRDefault="006C53B9" w:rsidP="006C53B9">
            <w:pPr>
              <w:jc w:val="center"/>
              <w:rPr>
                <w:b/>
                <w:bCs/>
                <w:sz w:val="18"/>
                <w:szCs w:val="18"/>
              </w:rPr>
            </w:pPr>
            <w:r w:rsidRPr="006C53B9">
              <w:rPr>
                <w:b/>
                <w:bCs/>
                <w:sz w:val="18"/>
                <w:szCs w:val="18"/>
              </w:rPr>
              <w:t>прирост, %</w:t>
            </w:r>
          </w:p>
        </w:tc>
      </w:tr>
      <w:tr w:rsidR="006C53B9" w:rsidRPr="006C53B9" w:rsidTr="006C53B9">
        <w:trPr>
          <w:trHeight w:val="315"/>
        </w:trPr>
        <w:tc>
          <w:tcPr>
            <w:tcW w:w="3828" w:type="dxa"/>
            <w:tcBorders>
              <w:right w:val="single" w:sz="4" w:space="0" w:color="auto"/>
            </w:tcBorders>
            <w:noWrap/>
            <w:vAlign w:val="center"/>
            <w:hideMark/>
          </w:tcPr>
          <w:p w:rsidR="006C53B9" w:rsidRPr="006C53B9" w:rsidRDefault="006C53B9" w:rsidP="006C53B9">
            <w:pPr>
              <w:rPr>
                <w:sz w:val="18"/>
                <w:szCs w:val="18"/>
              </w:rPr>
            </w:pPr>
            <w:r w:rsidRPr="006C53B9">
              <w:rPr>
                <w:sz w:val="18"/>
                <w:szCs w:val="18"/>
              </w:rPr>
              <w:t>Величина прожиточного минимума в расчете на душу населения (в среднем за год), рублей</w:t>
            </w:r>
          </w:p>
        </w:tc>
        <w:tc>
          <w:tcPr>
            <w:tcW w:w="992" w:type="dxa"/>
            <w:tcBorders>
              <w:top w:val="single" w:sz="4" w:space="0" w:color="auto"/>
              <w:left w:val="single" w:sz="4" w:space="0" w:color="auto"/>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15 453</w:t>
            </w:r>
          </w:p>
        </w:tc>
        <w:tc>
          <w:tcPr>
            <w:tcW w:w="992" w:type="dxa"/>
            <w:tcBorders>
              <w:top w:val="single" w:sz="4" w:space="0" w:color="auto"/>
              <w:left w:val="single" w:sz="4" w:space="0" w:color="auto"/>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17 733</w:t>
            </w:r>
          </w:p>
        </w:tc>
        <w:tc>
          <w:tcPr>
            <w:tcW w:w="992" w:type="dxa"/>
            <w:tcBorders>
              <w:top w:val="single" w:sz="4" w:space="0" w:color="auto"/>
              <w:left w:val="single" w:sz="4" w:space="0" w:color="auto"/>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18 939</w:t>
            </w:r>
          </w:p>
        </w:tc>
        <w:tc>
          <w:tcPr>
            <w:tcW w:w="993" w:type="dxa"/>
            <w:tcBorders>
              <w:top w:val="single" w:sz="4" w:space="0" w:color="auto"/>
              <w:left w:val="single" w:sz="4" w:space="0" w:color="auto"/>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19 697</w:t>
            </w:r>
          </w:p>
        </w:tc>
        <w:tc>
          <w:tcPr>
            <w:tcW w:w="850" w:type="dxa"/>
            <w:tcBorders>
              <w:top w:val="single" w:sz="4" w:space="0" w:color="auto"/>
              <w:left w:val="single" w:sz="4" w:space="0" w:color="auto"/>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20 485</w:t>
            </w:r>
          </w:p>
        </w:tc>
        <w:tc>
          <w:tcPr>
            <w:tcW w:w="1276" w:type="dxa"/>
            <w:tcBorders>
              <w:left w:val="single" w:sz="4" w:space="0" w:color="auto"/>
            </w:tcBorders>
            <w:noWrap/>
            <w:vAlign w:val="center"/>
            <w:hideMark/>
          </w:tcPr>
          <w:p w:rsidR="006C53B9" w:rsidRPr="006C53B9" w:rsidRDefault="006C53B9" w:rsidP="006C53B9">
            <w:pPr>
              <w:jc w:val="right"/>
              <w:rPr>
                <w:sz w:val="18"/>
                <w:szCs w:val="18"/>
              </w:rPr>
            </w:pPr>
            <w:r w:rsidRPr="006C53B9">
              <w:rPr>
                <w:sz w:val="18"/>
                <w:szCs w:val="18"/>
              </w:rPr>
              <w:t>15,5</w:t>
            </w:r>
          </w:p>
        </w:tc>
      </w:tr>
      <w:tr w:rsidR="006C53B9" w:rsidRPr="006C53B9" w:rsidTr="006C53B9">
        <w:trPr>
          <w:trHeight w:val="315"/>
        </w:trPr>
        <w:tc>
          <w:tcPr>
            <w:tcW w:w="3828" w:type="dxa"/>
            <w:tcBorders>
              <w:right w:val="single" w:sz="4" w:space="0" w:color="auto"/>
            </w:tcBorders>
            <w:noWrap/>
            <w:vAlign w:val="center"/>
            <w:hideMark/>
          </w:tcPr>
          <w:p w:rsidR="006C53B9" w:rsidRPr="006C53B9" w:rsidRDefault="006C53B9" w:rsidP="006C53B9">
            <w:pPr>
              <w:rPr>
                <w:sz w:val="18"/>
                <w:szCs w:val="18"/>
              </w:rPr>
            </w:pPr>
            <w:r w:rsidRPr="006C53B9">
              <w:rPr>
                <w:sz w:val="18"/>
                <w:szCs w:val="18"/>
              </w:rPr>
              <w:t>Граница бедности, рублей</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C53B9" w:rsidRPr="006C53B9" w:rsidRDefault="006C53B9" w:rsidP="006C53B9">
            <w:pPr>
              <w:jc w:val="right"/>
              <w:rPr>
                <w:sz w:val="18"/>
                <w:szCs w:val="18"/>
                <w:highlight w:val="yellow"/>
              </w:rPr>
            </w:pPr>
            <w:r w:rsidRPr="006C53B9">
              <w:rPr>
                <w:sz w:val="18"/>
                <w:szCs w:val="18"/>
              </w:rPr>
              <w:t>15 552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C53B9" w:rsidRPr="006C53B9" w:rsidRDefault="006C53B9" w:rsidP="006C53B9">
            <w:pPr>
              <w:jc w:val="right"/>
              <w:rPr>
                <w:sz w:val="18"/>
                <w:szCs w:val="18"/>
                <w:highlight w:val="yellow"/>
              </w:rPr>
            </w:pPr>
            <w:r w:rsidRPr="006C53B9">
              <w:rPr>
                <w:sz w:val="18"/>
                <w:szCs w:val="18"/>
              </w:rPr>
              <w:t>16 946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C53B9" w:rsidRPr="006C53B9" w:rsidRDefault="006C53B9" w:rsidP="006C53B9">
            <w:pPr>
              <w:jc w:val="right"/>
              <w:rPr>
                <w:sz w:val="18"/>
                <w:szCs w:val="18"/>
                <w:highlight w:val="yellow"/>
              </w:rPr>
            </w:pPr>
            <w:r w:rsidRPr="006C53B9">
              <w:rPr>
                <w:sz w:val="18"/>
                <w:szCs w:val="18"/>
              </w:rPr>
              <w:t>17 814</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6C53B9" w:rsidRPr="006C53B9" w:rsidRDefault="006C53B9" w:rsidP="006C53B9">
            <w:pPr>
              <w:jc w:val="right"/>
              <w:rPr>
                <w:sz w:val="18"/>
                <w:szCs w:val="18"/>
                <w:highlight w:val="yellow"/>
              </w:rPr>
            </w:pPr>
            <w:r w:rsidRPr="006C53B9">
              <w:rPr>
                <w:sz w:val="18"/>
                <w:szCs w:val="18"/>
              </w:rPr>
              <w:t>18 528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6C53B9" w:rsidRPr="006C53B9" w:rsidRDefault="006C53B9" w:rsidP="006C53B9">
            <w:pPr>
              <w:jc w:val="right"/>
              <w:rPr>
                <w:sz w:val="18"/>
                <w:szCs w:val="18"/>
                <w:highlight w:val="yellow"/>
              </w:rPr>
            </w:pPr>
            <w:r w:rsidRPr="006C53B9">
              <w:rPr>
                <w:sz w:val="18"/>
                <w:szCs w:val="18"/>
              </w:rPr>
              <w:t>19 268</w:t>
            </w:r>
          </w:p>
        </w:tc>
        <w:tc>
          <w:tcPr>
            <w:tcW w:w="1276" w:type="dxa"/>
            <w:tcBorders>
              <w:left w:val="single" w:sz="4" w:space="0" w:color="auto"/>
            </w:tcBorders>
            <w:noWrap/>
            <w:vAlign w:val="center"/>
            <w:hideMark/>
          </w:tcPr>
          <w:p w:rsidR="006C53B9" w:rsidRPr="006C53B9" w:rsidRDefault="006C53B9" w:rsidP="006C53B9">
            <w:pPr>
              <w:jc w:val="right"/>
              <w:rPr>
                <w:sz w:val="18"/>
                <w:szCs w:val="18"/>
              </w:rPr>
            </w:pPr>
            <w:r w:rsidRPr="006C53B9">
              <w:rPr>
                <w:sz w:val="18"/>
                <w:szCs w:val="18"/>
              </w:rPr>
              <w:t>13,7</w:t>
            </w:r>
          </w:p>
        </w:tc>
      </w:tr>
      <w:tr w:rsidR="006C53B9" w:rsidRPr="006C53B9" w:rsidTr="006C53B9">
        <w:trPr>
          <w:trHeight w:val="300"/>
        </w:trPr>
        <w:tc>
          <w:tcPr>
            <w:tcW w:w="3828" w:type="dxa"/>
            <w:noWrap/>
            <w:vAlign w:val="center"/>
            <w:hideMark/>
          </w:tcPr>
          <w:p w:rsidR="006C53B9" w:rsidRPr="006C53B9" w:rsidRDefault="006C53B9" w:rsidP="00DD1C1F">
            <w:pPr>
              <w:rPr>
                <w:sz w:val="18"/>
                <w:szCs w:val="18"/>
              </w:rPr>
            </w:pPr>
            <w:r w:rsidRPr="006C53B9">
              <w:rPr>
                <w:sz w:val="18"/>
                <w:szCs w:val="18"/>
              </w:rPr>
              <w:t>Разница между прожиточным минимумом и границей бедности, руб</w:t>
            </w:r>
            <w:r w:rsidR="00DD1C1F">
              <w:rPr>
                <w:sz w:val="18"/>
                <w:szCs w:val="18"/>
              </w:rPr>
              <w:t>лей</w:t>
            </w:r>
          </w:p>
        </w:tc>
        <w:tc>
          <w:tcPr>
            <w:tcW w:w="992" w:type="dxa"/>
            <w:tcBorders>
              <w:top w:val="single" w:sz="4" w:space="0" w:color="auto"/>
              <w:left w:val="nil"/>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 xml:space="preserve">-99 </w:t>
            </w:r>
          </w:p>
        </w:tc>
        <w:tc>
          <w:tcPr>
            <w:tcW w:w="992" w:type="dxa"/>
            <w:tcBorders>
              <w:top w:val="single" w:sz="4" w:space="0" w:color="auto"/>
              <w:left w:val="single" w:sz="4" w:space="0" w:color="auto"/>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787</w:t>
            </w:r>
          </w:p>
        </w:tc>
        <w:tc>
          <w:tcPr>
            <w:tcW w:w="992" w:type="dxa"/>
            <w:tcBorders>
              <w:top w:val="single" w:sz="4" w:space="0" w:color="auto"/>
              <w:left w:val="single" w:sz="4" w:space="0" w:color="auto"/>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1 125</w:t>
            </w:r>
          </w:p>
        </w:tc>
        <w:tc>
          <w:tcPr>
            <w:tcW w:w="993" w:type="dxa"/>
            <w:tcBorders>
              <w:top w:val="single" w:sz="4" w:space="0" w:color="auto"/>
              <w:left w:val="single" w:sz="4" w:space="0" w:color="auto"/>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1 169</w:t>
            </w:r>
          </w:p>
        </w:tc>
        <w:tc>
          <w:tcPr>
            <w:tcW w:w="850" w:type="dxa"/>
            <w:tcBorders>
              <w:top w:val="single" w:sz="4" w:space="0" w:color="auto"/>
              <w:left w:val="single" w:sz="4" w:space="0" w:color="auto"/>
              <w:bottom w:val="single" w:sz="4" w:space="0" w:color="auto"/>
              <w:right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1 217</w:t>
            </w:r>
          </w:p>
        </w:tc>
        <w:tc>
          <w:tcPr>
            <w:tcW w:w="1276" w:type="dxa"/>
            <w:tcBorders>
              <w:top w:val="single" w:sz="4" w:space="0" w:color="auto"/>
              <w:left w:val="single" w:sz="4" w:space="0" w:color="auto"/>
              <w:bottom w:val="single" w:sz="4" w:space="0" w:color="auto"/>
            </w:tcBorders>
            <w:noWrap/>
            <w:vAlign w:val="center"/>
          </w:tcPr>
          <w:p w:rsidR="006C53B9" w:rsidRPr="006C53B9" w:rsidRDefault="006C53B9" w:rsidP="006C53B9">
            <w:pPr>
              <w:jc w:val="right"/>
              <w:rPr>
                <w:sz w:val="18"/>
                <w:szCs w:val="18"/>
                <w:highlight w:val="yellow"/>
              </w:rPr>
            </w:pPr>
            <w:r w:rsidRPr="006C53B9">
              <w:rPr>
                <w:sz w:val="18"/>
                <w:szCs w:val="18"/>
              </w:rPr>
              <w:t>-</w:t>
            </w:r>
          </w:p>
        </w:tc>
      </w:tr>
    </w:tbl>
    <w:p w:rsidR="007D5C4F" w:rsidRPr="003477CE" w:rsidRDefault="007D5C4F" w:rsidP="007D5C4F">
      <w:pPr>
        <w:spacing w:line="360" w:lineRule="auto"/>
        <w:ind w:firstLine="709"/>
        <w:jc w:val="both"/>
        <w:rPr>
          <w:sz w:val="10"/>
          <w:szCs w:val="10"/>
        </w:rPr>
      </w:pPr>
    </w:p>
    <w:bookmarkEnd w:id="1"/>
    <w:p w:rsidR="003477CE" w:rsidRPr="003477CE" w:rsidRDefault="00072586" w:rsidP="003E5FB2">
      <w:pPr>
        <w:autoSpaceDE w:val="0"/>
        <w:autoSpaceDN w:val="0"/>
        <w:adjustRightInd w:val="0"/>
        <w:spacing w:line="336" w:lineRule="auto"/>
        <w:ind w:firstLine="709"/>
        <w:jc w:val="both"/>
        <w:rPr>
          <w:rFonts w:eastAsiaTheme="minorHAnsi"/>
          <w:color w:val="000000" w:themeColor="text1"/>
          <w:lang w:eastAsia="en-US"/>
        </w:rPr>
      </w:pPr>
      <w:r w:rsidRPr="003477CE">
        <w:rPr>
          <w:rFonts w:eastAsiaTheme="minorHAnsi"/>
          <w:b/>
          <w:color w:val="000000" w:themeColor="text1"/>
          <w:lang w:eastAsia="en-US"/>
        </w:rPr>
        <w:t>2.1</w:t>
      </w:r>
      <w:r w:rsidR="003477CE" w:rsidRPr="003477CE">
        <w:rPr>
          <w:rFonts w:eastAsiaTheme="minorHAnsi"/>
          <w:b/>
          <w:color w:val="000000" w:themeColor="text1"/>
          <w:lang w:eastAsia="en-US"/>
        </w:rPr>
        <w:t>1</w:t>
      </w:r>
      <w:r w:rsidRPr="003477CE">
        <w:rPr>
          <w:rFonts w:eastAsiaTheme="minorHAnsi"/>
          <w:b/>
          <w:color w:val="000000" w:themeColor="text1"/>
          <w:lang w:eastAsia="en-US"/>
        </w:rPr>
        <w:t>.</w:t>
      </w:r>
      <w:r w:rsidRPr="003477CE">
        <w:rPr>
          <w:rFonts w:eastAsiaTheme="minorHAnsi"/>
          <w:color w:val="000000" w:themeColor="text1"/>
          <w:lang w:eastAsia="en-US"/>
        </w:rPr>
        <w:t> </w:t>
      </w:r>
      <w:r w:rsidR="003477CE" w:rsidRPr="003477CE">
        <w:rPr>
          <w:rFonts w:eastAsiaTheme="minorHAnsi"/>
          <w:color w:val="000000" w:themeColor="text1"/>
          <w:lang w:eastAsia="en-US"/>
        </w:rPr>
        <w:t xml:space="preserve">Динамика </w:t>
      </w:r>
      <w:r w:rsidR="003477CE" w:rsidRPr="003477CE">
        <w:rPr>
          <w:rFonts w:eastAsiaTheme="minorHAnsi"/>
          <w:b/>
          <w:bCs/>
          <w:color w:val="000000" w:themeColor="text1"/>
          <w:lang w:eastAsia="en-US"/>
        </w:rPr>
        <w:t>промышленного производства</w:t>
      </w:r>
      <w:r w:rsidR="003477CE" w:rsidRPr="003477CE">
        <w:rPr>
          <w:rFonts w:eastAsiaTheme="minorHAnsi"/>
          <w:color w:val="000000" w:themeColor="text1"/>
          <w:lang w:eastAsia="en-US"/>
        </w:rPr>
        <w:t xml:space="preserve"> в 2025 году замедлится до 1,5 %, при этом положительная динамика будет отмечаться не во всех отраслях. В дальнейшем большинство отраслей промышленности вернется к росту. При этом опережающими темпами будут расти виды экономической деятельности, ориентированные на насыщение внутреннего рынка и импортозамещение. В частности, за 2026–2028</w:t>
      </w:r>
      <w:r w:rsidR="003477CE">
        <w:rPr>
          <w:rFonts w:eastAsiaTheme="minorHAnsi"/>
          <w:color w:val="000000" w:themeColor="text1"/>
          <w:lang w:eastAsia="en-US"/>
        </w:rPr>
        <w:t> </w:t>
      </w:r>
      <w:r w:rsidR="003477CE" w:rsidRPr="003477CE">
        <w:rPr>
          <w:rFonts w:eastAsiaTheme="minorHAnsi"/>
          <w:color w:val="000000" w:themeColor="text1"/>
          <w:lang w:eastAsia="en-US"/>
        </w:rPr>
        <w:t>годы прирост производства автотранспортных средств, прицепов и полуприцепов составит 25,8 %, прочих транспортных средств и оборудования – 22,0 %, электрического оборудования – 21,0 %, компьютеров, электронных и оптических изделий – на 19,7 % при росте промышленного производства в</w:t>
      </w:r>
      <w:r w:rsidR="00793E57">
        <w:rPr>
          <w:rFonts w:eastAsiaTheme="minorHAnsi"/>
          <w:color w:val="000000" w:themeColor="text1"/>
          <w:lang w:eastAsia="en-US"/>
        </w:rPr>
        <w:t> </w:t>
      </w:r>
      <w:r w:rsidR="003477CE" w:rsidRPr="003477CE">
        <w:rPr>
          <w:rFonts w:eastAsiaTheme="minorHAnsi"/>
          <w:color w:val="000000" w:themeColor="text1"/>
          <w:lang w:eastAsia="en-US"/>
        </w:rPr>
        <w:t xml:space="preserve">целом за тот же период на 8,4 %. </w:t>
      </w:r>
    </w:p>
    <w:p w:rsidR="003477CE" w:rsidRPr="003477CE" w:rsidRDefault="003477CE" w:rsidP="003E5FB2">
      <w:pPr>
        <w:autoSpaceDE w:val="0"/>
        <w:autoSpaceDN w:val="0"/>
        <w:adjustRightInd w:val="0"/>
        <w:spacing w:line="336" w:lineRule="auto"/>
        <w:ind w:firstLine="709"/>
        <w:jc w:val="both"/>
        <w:rPr>
          <w:rFonts w:eastAsiaTheme="minorHAnsi"/>
          <w:color w:val="000000" w:themeColor="text1"/>
          <w:lang w:eastAsia="en-US"/>
        </w:rPr>
      </w:pPr>
      <w:r w:rsidRPr="003477CE">
        <w:rPr>
          <w:rFonts w:eastAsiaTheme="minorHAnsi"/>
          <w:color w:val="000000" w:themeColor="text1"/>
          <w:lang w:eastAsia="en-US"/>
        </w:rPr>
        <w:t xml:space="preserve">Прогнозируемое </w:t>
      </w:r>
      <w:r>
        <w:rPr>
          <w:rFonts w:eastAsiaTheme="minorHAnsi"/>
          <w:color w:val="000000" w:themeColor="text1"/>
          <w:lang w:eastAsia="en-US"/>
        </w:rPr>
        <w:t xml:space="preserve">в </w:t>
      </w:r>
      <w:r w:rsidRPr="003477CE">
        <w:rPr>
          <w:rFonts w:eastAsiaTheme="minorHAnsi"/>
          <w:color w:val="000000" w:themeColor="text1"/>
          <w:lang w:eastAsia="en-US"/>
        </w:rPr>
        <w:t>2027 и 2028</w:t>
      </w:r>
      <w:r>
        <w:rPr>
          <w:rFonts w:eastAsiaTheme="minorHAnsi"/>
          <w:color w:val="000000" w:themeColor="text1"/>
          <w:lang w:eastAsia="en-US"/>
        </w:rPr>
        <w:t> </w:t>
      </w:r>
      <w:r w:rsidRPr="003477CE">
        <w:rPr>
          <w:rFonts w:eastAsiaTheme="minorHAnsi"/>
          <w:color w:val="000000" w:themeColor="text1"/>
          <w:lang w:eastAsia="en-US"/>
        </w:rPr>
        <w:t>годах ускорение физического темпа роста импорта товаров, в том числе промежуточного и инвестиционного, может оказать поддержку динамике промышленного производства. Однако ослабление курса рубля является фактором риска для ускорения динамики импорта товаров.</w:t>
      </w:r>
    </w:p>
    <w:p w:rsidR="003477CE" w:rsidRPr="003477CE" w:rsidRDefault="003477CE" w:rsidP="003E5FB2">
      <w:pPr>
        <w:autoSpaceDE w:val="0"/>
        <w:autoSpaceDN w:val="0"/>
        <w:adjustRightInd w:val="0"/>
        <w:spacing w:line="336" w:lineRule="auto"/>
        <w:ind w:firstLine="709"/>
        <w:jc w:val="both"/>
        <w:rPr>
          <w:rFonts w:eastAsiaTheme="minorHAnsi"/>
          <w:color w:val="000000" w:themeColor="text1"/>
          <w:lang w:eastAsia="en-US"/>
        </w:rPr>
      </w:pPr>
      <w:r w:rsidRPr="003477CE">
        <w:rPr>
          <w:rFonts w:eastAsiaTheme="minorHAnsi"/>
          <w:color w:val="000000" w:themeColor="text1"/>
          <w:lang w:eastAsia="en-US"/>
        </w:rPr>
        <w:t>Динамика ряда показателей социально-экономического развития в 2025–2028</w:t>
      </w:r>
      <w:r>
        <w:rPr>
          <w:rFonts w:eastAsiaTheme="minorHAnsi"/>
          <w:color w:val="000000" w:themeColor="text1"/>
          <w:lang w:eastAsia="en-US"/>
        </w:rPr>
        <w:t> </w:t>
      </w:r>
      <w:r w:rsidRPr="003477CE">
        <w:rPr>
          <w:rFonts w:eastAsiaTheme="minorHAnsi"/>
          <w:color w:val="000000" w:themeColor="text1"/>
          <w:lang w:eastAsia="en-US"/>
        </w:rPr>
        <w:t>годах представлена в следующей таблице.</w:t>
      </w:r>
    </w:p>
    <w:p w:rsidR="003477CE" w:rsidRPr="003477CE" w:rsidRDefault="003477CE" w:rsidP="00106323">
      <w:pPr>
        <w:autoSpaceDE w:val="0"/>
        <w:autoSpaceDN w:val="0"/>
        <w:adjustRightInd w:val="0"/>
        <w:ind w:firstLine="709"/>
        <w:jc w:val="right"/>
        <w:rPr>
          <w:rFonts w:eastAsiaTheme="minorHAnsi"/>
          <w:color w:val="000000" w:themeColor="text1"/>
          <w:sz w:val="18"/>
          <w:szCs w:val="18"/>
          <w:lang w:eastAsia="en-US"/>
        </w:rPr>
      </w:pPr>
      <w:r>
        <w:rPr>
          <w:rFonts w:eastAsiaTheme="minorHAnsi"/>
          <w:color w:val="000000" w:themeColor="text1"/>
          <w:sz w:val="18"/>
          <w:szCs w:val="18"/>
          <w:lang w:eastAsia="en-US"/>
        </w:rPr>
        <w:t>(</w:t>
      </w:r>
      <w:r w:rsidRPr="003477CE">
        <w:rPr>
          <w:rFonts w:eastAsiaTheme="minorHAnsi"/>
          <w:color w:val="000000" w:themeColor="text1"/>
          <w:sz w:val="18"/>
          <w:szCs w:val="18"/>
          <w:lang w:eastAsia="en-US"/>
        </w:rPr>
        <w:t>% к предыдущему году</w:t>
      </w:r>
      <w:r>
        <w:rPr>
          <w:rFonts w:eastAsiaTheme="minorHAnsi"/>
          <w:color w:val="000000" w:themeColor="text1"/>
          <w:sz w:val="18"/>
          <w:szCs w:val="18"/>
          <w:lang w:eastAsia="en-US"/>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1052"/>
        <w:gridCol w:w="1052"/>
        <w:gridCol w:w="1052"/>
        <w:gridCol w:w="1052"/>
        <w:gridCol w:w="1052"/>
        <w:gridCol w:w="1392"/>
      </w:tblGrid>
      <w:tr w:rsidR="003477CE" w:rsidRPr="003477CE" w:rsidTr="00AE425B">
        <w:trPr>
          <w:trHeight w:val="283"/>
          <w:tblHeader/>
        </w:trPr>
        <w:tc>
          <w:tcPr>
            <w:tcW w:w="3271" w:type="dxa"/>
            <w:vMerge w:val="restart"/>
            <w:noWrap/>
            <w:vAlign w:val="center"/>
            <w:hideMark/>
          </w:tcPr>
          <w:p w:rsidR="003477CE" w:rsidRPr="003477CE" w:rsidRDefault="003477CE" w:rsidP="003477CE">
            <w:pPr>
              <w:jc w:val="center"/>
              <w:rPr>
                <w:b/>
                <w:color w:val="000000" w:themeColor="text1"/>
                <w:sz w:val="18"/>
                <w:szCs w:val="18"/>
              </w:rPr>
            </w:pPr>
            <w:r w:rsidRPr="003477CE">
              <w:rPr>
                <w:b/>
                <w:color w:val="000000" w:themeColor="text1"/>
                <w:sz w:val="18"/>
                <w:szCs w:val="18"/>
              </w:rPr>
              <w:t>Наименование показателя</w:t>
            </w:r>
          </w:p>
        </w:tc>
        <w:tc>
          <w:tcPr>
            <w:tcW w:w="1052" w:type="dxa"/>
            <w:noWrap/>
            <w:vAlign w:val="center"/>
          </w:tcPr>
          <w:p w:rsidR="003477CE" w:rsidRPr="003477CE" w:rsidRDefault="003477CE" w:rsidP="003477CE">
            <w:pPr>
              <w:jc w:val="center"/>
              <w:rPr>
                <w:b/>
                <w:bCs/>
                <w:color w:val="000000" w:themeColor="text1"/>
                <w:sz w:val="18"/>
                <w:szCs w:val="18"/>
              </w:rPr>
            </w:pPr>
            <w:r w:rsidRPr="003477CE">
              <w:rPr>
                <w:b/>
                <w:bCs/>
                <w:color w:val="000000" w:themeColor="text1"/>
                <w:sz w:val="18"/>
                <w:szCs w:val="18"/>
              </w:rPr>
              <w:t>2024</w:t>
            </w:r>
          </w:p>
        </w:tc>
        <w:tc>
          <w:tcPr>
            <w:tcW w:w="1052" w:type="dxa"/>
            <w:noWrap/>
            <w:vAlign w:val="center"/>
          </w:tcPr>
          <w:p w:rsidR="003477CE" w:rsidRPr="003477CE" w:rsidRDefault="003477CE" w:rsidP="003477CE">
            <w:pPr>
              <w:jc w:val="center"/>
              <w:rPr>
                <w:b/>
                <w:bCs/>
                <w:color w:val="000000" w:themeColor="text1"/>
                <w:sz w:val="18"/>
                <w:szCs w:val="18"/>
              </w:rPr>
            </w:pPr>
            <w:r w:rsidRPr="003477CE">
              <w:rPr>
                <w:b/>
                <w:bCs/>
                <w:color w:val="000000" w:themeColor="text1"/>
                <w:sz w:val="18"/>
                <w:szCs w:val="18"/>
              </w:rPr>
              <w:t>2025</w:t>
            </w:r>
          </w:p>
        </w:tc>
        <w:tc>
          <w:tcPr>
            <w:tcW w:w="1052" w:type="dxa"/>
            <w:noWrap/>
            <w:vAlign w:val="center"/>
          </w:tcPr>
          <w:p w:rsidR="003477CE" w:rsidRPr="003477CE" w:rsidRDefault="003477CE" w:rsidP="003477CE">
            <w:pPr>
              <w:jc w:val="center"/>
              <w:rPr>
                <w:b/>
                <w:bCs/>
                <w:color w:val="000000" w:themeColor="text1"/>
                <w:sz w:val="18"/>
                <w:szCs w:val="18"/>
              </w:rPr>
            </w:pPr>
            <w:r w:rsidRPr="003477CE">
              <w:rPr>
                <w:b/>
                <w:bCs/>
                <w:color w:val="000000" w:themeColor="text1"/>
                <w:sz w:val="18"/>
                <w:szCs w:val="18"/>
              </w:rPr>
              <w:t>2026</w:t>
            </w:r>
          </w:p>
        </w:tc>
        <w:tc>
          <w:tcPr>
            <w:tcW w:w="1052" w:type="dxa"/>
            <w:noWrap/>
            <w:vAlign w:val="center"/>
          </w:tcPr>
          <w:p w:rsidR="003477CE" w:rsidRPr="003477CE" w:rsidRDefault="003477CE" w:rsidP="003477CE">
            <w:pPr>
              <w:jc w:val="center"/>
              <w:rPr>
                <w:b/>
                <w:bCs/>
                <w:color w:val="000000" w:themeColor="text1"/>
                <w:sz w:val="18"/>
                <w:szCs w:val="18"/>
              </w:rPr>
            </w:pPr>
            <w:r w:rsidRPr="003477CE">
              <w:rPr>
                <w:b/>
                <w:bCs/>
                <w:color w:val="000000" w:themeColor="text1"/>
                <w:sz w:val="18"/>
                <w:szCs w:val="18"/>
              </w:rPr>
              <w:t>2027</w:t>
            </w:r>
          </w:p>
        </w:tc>
        <w:tc>
          <w:tcPr>
            <w:tcW w:w="1052" w:type="dxa"/>
            <w:noWrap/>
            <w:vAlign w:val="center"/>
          </w:tcPr>
          <w:p w:rsidR="003477CE" w:rsidRPr="003477CE" w:rsidRDefault="003477CE" w:rsidP="003477CE">
            <w:pPr>
              <w:jc w:val="center"/>
              <w:rPr>
                <w:b/>
                <w:bCs/>
                <w:color w:val="000000" w:themeColor="text1"/>
                <w:sz w:val="18"/>
                <w:szCs w:val="18"/>
              </w:rPr>
            </w:pPr>
            <w:r w:rsidRPr="003477CE">
              <w:rPr>
                <w:b/>
                <w:bCs/>
                <w:color w:val="000000" w:themeColor="text1"/>
                <w:sz w:val="18"/>
                <w:szCs w:val="18"/>
              </w:rPr>
              <w:t>2028</w:t>
            </w:r>
          </w:p>
        </w:tc>
        <w:tc>
          <w:tcPr>
            <w:tcW w:w="1392" w:type="dxa"/>
            <w:noWrap/>
            <w:vAlign w:val="center"/>
          </w:tcPr>
          <w:p w:rsidR="003477CE" w:rsidRPr="003477CE" w:rsidRDefault="003477CE" w:rsidP="003477CE">
            <w:pPr>
              <w:jc w:val="center"/>
              <w:rPr>
                <w:b/>
                <w:bCs/>
                <w:color w:val="000000" w:themeColor="text1"/>
                <w:sz w:val="18"/>
                <w:szCs w:val="18"/>
              </w:rPr>
            </w:pPr>
            <w:r w:rsidRPr="003477CE">
              <w:rPr>
                <w:b/>
                <w:bCs/>
                <w:color w:val="000000" w:themeColor="text1"/>
                <w:sz w:val="18"/>
                <w:szCs w:val="18"/>
              </w:rPr>
              <w:t>2028/2025</w:t>
            </w:r>
          </w:p>
        </w:tc>
      </w:tr>
      <w:tr w:rsidR="003477CE" w:rsidRPr="003477CE" w:rsidTr="00AE425B">
        <w:trPr>
          <w:trHeight w:val="283"/>
          <w:tblHeader/>
        </w:trPr>
        <w:tc>
          <w:tcPr>
            <w:tcW w:w="3271" w:type="dxa"/>
            <w:vMerge/>
            <w:noWrap/>
            <w:vAlign w:val="center"/>
          </w:tcPr>
          <w:p w:rsidR="003477CE" w:rsidRPr="003477CE" w:rsidRDefault="003477CE" w:rsidP="003477CE">
            <w:pPr>
              <w:rPr>
                <w:b/>
                <w:color w:val="000000" w:themeColor="text1"/>
                <w:sz w:val="18"/>
                <w:szCs w:val="18"/>
              </w:rPr>
            </w:pPr>
          </w:p>
        </w:tc>
        <w:tc>
          <w:tcPr>
            <w:tcW w:w="1052" w:type="dxa"/>
            <w:tcBorders>
              <w:bottom w:val="single" w:sz="4" w:space="0" w:color="auto"/>
            </w:tcBorders>
            <w:noWrap/>
            <w:vAlign w:val="center"/>
          </w:tcPr>
          <w:p w:rsidR="003477CE" w:rsidRPr="003477CE" w:rsidRDefault="003477CE" w:rsidP="003477CE">
            <w:pPr>
              <w:jc w:val="center"/>
              <w:rPr>
                <w:b/>
                <w:bCs/>
                <w:color w:val="000000" w:themeColor="text1"/>
                <w:sz w:val="18"/>
                <w:szCs w:val="18"/>
              </w:rPr>
            </w:pPr>
            <w:r w:rsidRPr="003477CE">
              <w:rPr>
                <w:b/>
                <w:bCs/>
                <w:color w:val="000000" w:themeColor="text1"/>
                <w:sz w:val="18"/>
                <w:szCs w:val="18"/>
              </w:rPr>
              <w:t>отчет</w:t>
            </w:r>
          </w:p>
        </w:tc>
        <w:tc>
          <w:tcPr>
            <w:tcW w:w="1052" w:type="dxa"/>
            <w:tcBorders>
              <w:bottom w:val="single" w:sz="4" w:space="0" w:color="auto"/>
            </w:tcBorders>
            <w:noWrap/>
            <w:vAlign w:val="center"/>
          </w:tcPr>
          <w:p w:rsidR="003477CE" w:rsidRPr="003477CE" w:rsidRDefault="003477CE" w:rsidP="003477CE">
            <w:pPr>
              <w:jc w:val="center"/>
              <w:rPr>
                <w:b/>
                <w:bCs/>
                <w:color w:val="000000" w:themeColor="text1"/>
                <w:sz w:val="18"/>
                <w:szCs w:val="18"/>
              </w:rPr>
            </w:pPr>
            <w:r w:rsidRPr="003477CE">
              <w:rPr>
                <w:b/>
                <w:bCs/>
                <w:color w:val="000000" w:themeColor="text1"/>
                <w:sz w:val="18"/>
                <w:szCs w:val="18"/>
              </w:rPr>
              <w:t>оценка</w:t>
            </w:r>
          </w:p>
        </w:tc>
        <w:tc>
          <w:tcPr>
            <w:tcW w:w="4548" w:type="dxa"/>
            <w:gridSpan w:val="4"/>
            <w:tcBorders>
              <w:bottom w:val="single" w:sz="4" w:space="0" w:color="auto"/>
            </w:tcBorders>
            <w:vAlign w:val="center"/>
          </w:tcPr>
          <w:p w:rsidR="003477CE" w:rsidRPr="003477CE" w:rsidRDefault="003477CE" w:rsidP="003477CE">
            <w:pPr>
              <w:jc w:val="center"/>
              <w:rPr>
                <w:b/>
                <w:bCs/>
                <w:color w:val="000000" w:themeColor="text1"/>
                <w:sz w:val="18"/>
                <w:szCs w:val="18"/>
              </w:rPr>
            </w:pPr>
            <w:r w:rsidRPr="003477CE">
              <w:rPr>
                <w:b/>
                <w:bCs/>
                <w:color w:val="000000" w:themeColor="text1"/>
                <w:sz w:val="18"/>
                <w:szCs w:val="18"/>
              </w:rPr>
              <w:t>прогноз</w:t>
            </w:r>
          </w:p>
        </w:tc>
      </w:tr>
      <w:tr w:rsidR="003477CE" w:rsidRPr="003477CE" w:rsidTr="00AE425B">
        <w:trPr>
          <w:trHeight w:val="283"/>
        </w:trPr>
        <w:tc>
          <w:tcPr>
            <w:tcW w:w="3271" w:type="dxa"/>
            <w:tcBorders>
              <w:right w:val="single" w:sz="4" w:space="0" w:color="auto"/>
            </w:tcBorders>
            <w:vAlign w:val="center"/>
            <w:hideMark/>
          </w:tcPr>
          <w:p w:rsidR="003477CE" w:rsidRPr="003477CE" w:rsidRDefault="003477CE" w:rsidP="003477CE">
            <w:pPr>
              <w:rPr>
                <w:color w:val="000000" w:themeColor="text1"/>
                <w:sz w:val="18"/>
                <w:szCs w:val="18"/>
              </w:rPr>
            </w:pPr>
            <w:r w:rsidRPr="003477CE">
              <w:rPr>
                <w:color w:val="000000" w:themeColor="text1"/>
                <w:sz w:val="18"/>
                <w:szCs w:val="18"/>
              </w:rPr>
              <w:t>Индекс промышленного производства</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105,6</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101,5</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102,3</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103,1</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102,8</w:t>
            </w:r>
          </w:p>
        </w:tc>
        <w:tc>
          <w:tcPr>
            <w:tcW w:w="1392" w:type="dxa"/>
            <w:tcBorders>
              <w:top w:val="single" w:sz="4" w:space="0" w:color="auto"/>
              <w:left w:val="single" w:sz="4" w:space="0" w:color="auto"/>
              <w:bottom w:val="single" w:sz="4" w:space="0" w:color="auto"/>
            </w:tcBorders>
            <w:vAlign w:val="center"/>
          </w:tcPr>
          <w:p w:rsidR="003477CE" w:rsidRPr="003477CE" w:rsidRDefault="003477CE" w:rsidP="003477CE">
            <w:pPr>
              <w:jc w:val="center"/>
              <w:rPr>
                <w:sz w:val="18"/>
                <w:szCs w:val="18"/>
              </w:rPr>
            </w:pPr>
            <w:r w:rsidRPr="003477CE">
              <w:rPr>
                <w:sz w:val="18"/>
                <w:szCs w:val="18"/>
              </w:rPr>
              <w:t>108,4</w:t>
            </w:r>
          </w:p>
        </w:tc>
      </w:tr>
      <w:tr w:rsidR="003477CE" w:rsidRPr="003477CE" w:rsidTr="00AE425B">
        <w:trPr>
          <w:trHeight w:val="283"/>
        </w:trPr>
        <w:tc>
          <w:tcPr>
            <w:tcW w:w="3271" w:type="dxa"/>
            <w:tcBorders>
              <w:right w:val="single" w:sz="4" w:space="0" w:color="auto"/>
            </w:tcBorders>
            <w:vAlign w:val="center"/>
            <w:hideMark/>
          </w:tcPr>
          <w:p w:rsidR="003477CE" w:rsidRPr="003477CE" w:rsidRDefault="003477CE" w:rsidP="003477CE">
            <w:pPr>
              <w:rPr>
                <w:color w:val="000000" w:themeColor="text1"/>
                <w:sz w:val="18"/>
                <w:szCs w:val="18"/>
              </w:rPr>
            </w:pPr>
            <w:r w:rsidRPr="003477CE">
              <w:rPr>
                <w:color w:val="000000" w:themeColor="text1"/>
                <w:sz w:val="18"/>
                <w:szCs w:val="18"/>
              </w:rPr>
              <w:t>Импорт товаров, физический темп роста, в том числе:</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bCs/>
                <w:sz w:val="18"/>
                <w:szCs w:val="18"/>
              </w:rPr>
              <w:t>101,9</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bCs/>
                <w:sz w:val="18"/>
                <w:szCs w:val="18"/>
              </w:rPr>
              <w:t>97,6</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bCs/>
                <w:sz w:val="18"/>
                <w:szCs w:val="18"/>
              </w:rPr>
              <w:t>100,0</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bCs/>
                <w:sz w:val="18"/>
                <w:szCs w:val="18"/>
              </w:rPr>
              <w:t>104,2</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bCs/>
                <w:sz w:val="18"/>
                <w:szCs w:val="18"/>
              </w:rPr>
              <w:t>102,6</w:t>
            </w:r>
          </w:p>
        </w:tc>
        <w:tc>
          <w:tcPr>
            <w:tcW w:w="1392" w:type="dxa"/>
            <w:tcBorders>
              <w:left w:val="single" w:sz="4" w:space="0" w:color="auto"/>
              <w:bottom w:val="single" w:sz="4" w:space="0" w:color="auto"/>
            </w:tcBorders>
            <w:vAlign w:val="center"/>
          </w:tcPr>
          <w:p w:rsidR="003477CE" w:rsidRPr="003477CE" w:rsidRDefault="003477CE" w:rsidP="003477CE">
            <w:pPr>
              <w:jc w:val="center"/>
              <w:rPr>
                <w:sz w:val="18"/>
                <w:szCs w:val="18"/>
              </w:rPr>
            </w:pPr>
            <w:r w:rsidRPr="003477CE">
              <w:rPr>
                <w:sz w:val="18"/>
                <w:szCs w:val="18"/>
              </w:rPr>
              <w:t>106,9</w:t>
            </w:r>
          </w:p>
        </w:tc>
      </w:tr>
      <w:tr w:rsidR="003477CE" w:rsidRPr="003477CE" w:rsidTr="00AE425B">
        <w:trPr>
          <w:trHeight w:val="283"/>
        </w:trPr>
        <w:tc>
          <w:tcPr>
            <w:tcW w:w="3271" w:type="dxa"/>
            <w:tcBorders>
              <w:right w:val="single" w:sz="4" w:space="0" w:color="auto"/>
            </w:tcBorders>
            <w:vAlign w:val="center"/>
          </w:tcPr>
          <w:p w:rsidR="003477CE" w:rsidRPr="003477CE" w:rsidRDefault="003477CE" w:rsidP="003477CE">
            <w:pPr>
              <w:ind w:left="284"/>
              <w:rPr>
                <w:color w:val="000000" w:themeColor="text1"/>
                <w:sz w:val="18"/>
                <w:szCs w:val="18"/>
              </w:rPr>
            </w:pPr>
            <w:r w:rsidRPr="003477CE">
              <w:rPr>
                <w:color w:val="000000" w:themeColor="text1"/>
                <w:sz w:val="18"/>
                <w:szCs w:val="18"/>
              </w:rPr>
              <w:t>потребительского</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102,9</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96,8</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100,3</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102,7</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102,4</w:t>
            </w:r>
          </w:p>
        </w:tc>
        <w:tc>
          <w:tcPr>
            <w:tcW w:w="1392" w:type="dxa"/>
            <w:tcBorders>
              <w:top w:val="single" w:sz="4" w:space="0" w:color="auto"/>
              <w:left w:val="single" w:sz="4" w:space="0" w:color="auto"/>
              <w:bottom w:val="single" w:sz="4" w:space="0" w:color="auto"/>
            </w:tcBorders>
            <w:vAlign w:val="center"/>
          </w:tcPr>
          <w:p w:rsidR="003477CE" w:rsidRPr="003477CE" w:rsidRDefault="003477CE" w:rsidP="003477CE">
            <w:pPr>
              <w:jc w:val="center"/>
              <w:rPr>
                <w:sz w:val="18"/>
                <w:szCs w:val="18"/>
              </w:rPr>
            </w:pPr>
            <w:r w:rsidRPr="003477CE">
              <w:rPr>
                <w:sz w:val="18"/>
                <w:szCs w:val="18"/>
              </w:rPr>
              <w:t>105,5</w:t>
            </w:r>
          </w:p>
        </w:tc>
      </w:tr>
      <w:tr w:rsidR="003477CE" w:rsidRPr="003477CE" w:rsidTr="00AE425B">
        <w:trPr>
          <w:trHeight w:val="283"/>
        </w:trPr>
        <w:tc>
          <w:tcPr>
            <w:tcW w:w="3271" w:type="dxa"/>
            <w:tcBorders>
              <w:right w:val="single" w:sz="4" w:space="0" w:color="auto"/>
            </w:tcBorders>
            <w:vAlign w:val="center"/>
          </w:tcPr>
          <w:p w:rsidR="003477CE" w:rsidRPr="003477CE" w:rsidRDefault="003477CE" w:rsidP="003477CE">
            <w:pPr>
              <w:ind w:left="284"/>
              <w:rPr>
                <w:color w:val="000000" w:themeColor="text1"/>
                <w:sz w:val="18"/>
                <w:szCs w:val="18"/>
              </w:rPr>
            </w:pPr>
            <w:r w:rsidRPr="003477CE">
              <w:rPr>
                <w:color w:val="000000" w:themeColor="text1"/>
                <w:sz w:val="18"/>
                <w:szCs w:val="18"/>
              </w:rPr>
              <w:t>промежуточного</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100,7</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98,4</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101,1</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105,7</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103,2</w:t>
            </w:r>
          </w:p>
        </w:tc>
        <w:tc>
          <w:tcPr>
            <w:tcW w:w="1392" w:type="dxa"/>
            <w:tcBorders>
              <w:top w:val="single" w:sz="4" w:space="0" w:color="auto"/>
              <w:left w:val="single" w:sz="4" w:space="0" w:color="auto"/>
              <w:bottom w:val="single" w:sz="4" w:space="0" w:color="auto"/>
            </w:tcBorders>
            <w:vAlign w:val="center"/>
          </w:tcPr>
          <w:p w:rsidR="003477CE" w:rsidRPr="003477CE" w:rsidRDefault="003477CE" w:rsidP="003477CE">
            <w:pPr>
              <w:jc w:val="center"/>
              <w:rPr>
                <w:sz w:val="18"/>
                <w:szCs w:val="18"/>
              </w:rPr>
            </w:pPr>
            <w:r w:rsidRPr="003477CE">
              <w:rPr>
                <w:sz w:val="18"/>
                <w:szCs w:val="18"/>
              </w:rPr>
              <w:t>110,2</w:t>
            </w:r>
          </w:p>
        </w:tc>
      </w:tr>
      <w:tr w:rsidR="003477CE" w:rsidRPr="003477CE" w:rsidTr="00AE425B">
        <w:trPr>
          <w:trHeight w:val="283"/>
        </w:trPr>
        <w:tc>
          <w:tcPr>
            <w:tcW w:w="3271" w:type="dxa"/>
            <w:tcBorders>
              <w:right w:val="single" w:sz="4" w:space="0" w:color="auto"/>
            </w:tcBorders>
            <w:vAlign w:val="center"/>
          </w:tcPr>
          <w:p w:rsidR="003477CE" w:rsidRPr="003477CE" w:rsidRDefault="003477CE" w:rsidP="003477CE">
            <w:pPr>
              <w:ind w:left="284"/>
              <w:rPr>
                <w:color w:val="000000" w:themeColor="text1"/>
                <w:sz w:val="18"/>
                <w:szCs w:val="18"/>
              </w:rPr>
            </w:pPr>
            <w:r w:rsidRPr="003477CE">
              <w:rPr>
                <w:color w:val="000000" w:themeColor="text1"/>
                <w:sz w:val="18"/>
                <w:szCs w:val="18"/>
              </w:rPr>
              <w:t>инвестиционного</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102,7</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97,1</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97,7</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103,6</w:t>
            </w:r>
          </w:p>
        </w:tc>
        <w:tc>
          <w:tcPr>
            <w:tcW w:w="1052" w:type="dxa"/>
            <w:tcBorders>
              <w:top w:val="single" w:sz="4" w:space="0" w:color="auto"/>
              <w:left w:val="single" w:sz="4" w:space="0" w:color="auto"/>
              <w:bottom w:val="single" w:sz="4" w:space="0" w:color="auto"/>
              <w:right w:val="single" w:sz="4" w:space="0" w:color="auto"/>
            </w:tcBorders>
            <w:vAlign w:val="center"/>
          </w:tcPr>
          <w:p w:rsidR="003477CE" w:rsidRPr="003477CE" w:rsidRDefault="003477CE" w:rsidP="003477CE">
            <w:pPr>
              <w:jc w:val="center"/>
              <w:rPr>
                <w:sz w:val="18"/>
                <w:szCs w:val="18"/>
              </w:rPr>
            </w:pPr>
            <w:r w:rsidRPr="003477CE">
              <w:rPr>
                <w:sz w:val="18"/>
                <w:szCs w:val="18"/>
              </w:rPr>
              <w:t>101,9</w:t>
            </w:r>
          </w:p>
        </w:tc>
        <w:tc>
          <w:tcPr>
            <w:tcW w:w="1392" w:type="dxa"/>
            <w:tcBorders>
              <w:top w:val="single" w:sz="4" w:space="0" w:color="auto"/>
              <w:left w:val="single" w:sz="4" w:space="0" w:color="auto"/>
            </w:tcBorders>
            <w:vAlign w:val="center"/>
          </w:tcPr>
          <w:p w:rsidR="003477CE" w:rsidRPr="003477CE" w:rsidRDefault="003477CE" w:rsidP="003477CE">
            <w:pPr>
              <w:jc w:val="center"/>
              <w:rPr>
                <w:sz w:val="18"/>
                <w:szCs w:val="18"/>
              </w:rPr>
            </w:pPr>
            <w:r w:rsidRPr="003477CE">
              <w:rPr>
                <w:sz w:val="18"/>
                <w:szCs w:val="18"/>
              </w:rPr>
              <w:t>103,1</w:t>
            </w:r>
          </w:p>
        </w:tc>
      </w:tr>
    </w:tbl>
    <w:p w:rsidR="003477CE" w:rsidRPr="002B031E" w:rsidRDefault="003477CE" w:rsidP="00C11641">
      <w:pPr>
        <w:autoSpaceDE w:val="0"/>
        <w:autoSpaceDN w:val="0"/>
        <w:adjustRightInd w:val="0"/>
        <w:spacing w:line="360" w:lineRule="auto"/>
        <w:ind w:firstLine="709"/>
        <w:jc w:val="both"/>
        <w:rPr>
          <w:rFonts w:eastAsiaTheme="minorHAnsi"/>
          <w:color w:val="000000" w:themeColor="text1"/>
          <w:sz w:val="10"/>
          <w:szCs w:val="10"/>
          <w:lang w:eastAsia="en-US"/>
        </w:rPr>
      </w:pPr>
    </w:p>
    <w:p w:rsidR="002B031E" w:rsidRPr="002B031E" w:rsidRDefault="00A859E2" w:rsidP="003E5FB2">
      <w:pPr>
        <w:autoSpaceDE w:val="0"/>
        <w:autoSpaceDN w:val="0"/>
        <w:adjustRightInd w:val="0"/>
        <w:spacing w:line="384" w:lineRule="auto"/>
        <w:ind w:firstLine="709"/>
        <w:jc w:val="both"/>
        <w:rPr>
          <w:color w:val="000000" w:themeColor="text1"/>
        </w:rPr>
      </w:pPr>
      <w:r w:rsidRPr="002B031E">
        <w:rPr>
          <w:b/>
          <w:color w:val="000000" w:themeColor="text1"/>
        </w:rPr>
        <w:lastRenderedPageBreak/>
        <w:t>2.</w:t>
      </w:r>
      <w:r w:rsidR="00A7507B" w:rsidRPr="002B031E">
        <w:rPr>
          <w:b/>
          <w:color w:val="000000" w:themeColor="text1"/>
        </w:rPr>
        <w:t>1</w:t>
      </w:r>
      <w:r w:rsidR="002B031E">
        <w:rPr>
          <w:b/>
          <w:color w:val="000000" w:themeColor="text1"/>
        </w:rPr>
        <w:t>2</w:t>
      </w:r>
      <w:r w:rsidRPr="002B031E">
        <w:rPr>
          <w:b/>
          <w:color w:val="000000" w:themeColor="text1"/>
        </w:rPr>
        <w:t>.</w:t>
      </w:r>
      <w:r w:rsidR="00EF0B65" w:rsidRPr="002B031E">
        <w:rPr>
          <w:color w:val="000000" w:themeColor="text1"/>
        </w:rPr>
        <w:t> </w:t>
      </w:r>
      <w:r w:rsidR="002B031E" w:rsidRPr="002B031E">
        <w:rPr>
          <w:color w:val="000000" w:themeColor="text1"/>
        </w:rPr>
        <w:t xml:space="preserve">В соответствии с текстом Прогноза </w:t>
      </w:r>
      <w:r w:rsidR="002B031E" w:rsidRPr="002B031E">
        <w:rPr>
          <w:b/>
          <w:bCs/>
          <w:color w:val="000000" w:themeColor="text1"/>
        </w:rPr>
        <w:t>в структуре ВВП по счету производства</w:t>
      </w:r>
      <w:r w:rsidR="002B031E" w:rsidRPr="002B031E">
        <w:rPr>
          <w:color w:val="000000" w:themeColor="text1"/>
        </w:rPr>
        <w:t xml:space="preserve"> драйверами роста станут «отрасли, ориентированные на экономику предложения, обеспечивающие импортозамещение и развитие инвестиционно-инновационной модели развития: отрасли обрабатывающей промышленности, сфера информационных технологий, наука, строительный комплекс».</w:t>
      </w:r>
    </w:p>
    <w:p w:rsidR="002B031E" w:rsidRPr="002B031E" w:rsidRDefault="002B031E" w:rsidP="003E5FB2">
      <w:pPr>
        <w:autoSpaceDE w:val="0"/>
        <w:autoSpaceDN w:val="0"/>
        <w:adjustRightInd w:val="0"/>
        <w:spacing w:line="384" w:lineRule="auto"/>
        <w:ind w:firstLine="709"/>
        <w:jc w:val="both"/>
        <w:rPr>
          <w:color w:val="000000" w:themeColor="text1"/>
        </w:rPr>
      </w:pPr>
      <w:r w:rsidRPr="002B031E">
        <w:rPr>
          <w:color w:val="000000" w:themeColor="text1"/>
        </w:rPr>
        <w:t>В части промышленного производства, учитывая динамику предыдущих лет и ожидаемые темпы роста по отдельным отраслям, например, таким как производство прочих транспортных средств и оборудования (рост за три года на 22</w:t>
      </w:r>
      <w:r w:rsidR="00E15AB9">
        <w:rPr>
          <w:color w:val="000000" w:themeColor="text1"/>
        </w:rPr>
        <w:t>,0</w:t>
      </w:r>
      <w:r w:rsidRPr="002B031E">
        <w:rPr>
          <w:color w:val="000000" w:themeColor="text1"/>
        </w:rPr>
        <w:t> %), компьютеров, электронных и оптических изделий (на 19,7 %), готовых металлических изделий, кроме машин и оборудования (на 15,6 %), лекарственных средств и материалов, применяемых в медицинских целях (на 15,3 %), их доля в ВВП должна увеличиться, что приведет к изменению структуры обрабатывающих производств на более детализированном уровне (в разрезе классов и подклассов видов экономической деятельности). По мнению Счетной палаты</w:t>
      </w:r>
      <w:r w:rsidR="00A00BB2">
        <w:rPr>
          <w:color w:val="000000" w:themeColor="text1"/>
        </w:rPr>
        <w:t>,</w:t>
      </w:r>
      <w:r w:rsidRPr="002B031E">
        <w:rPr>
          <w:color w:val="000000" w:themeColor="text1"/>
        </w:rPr>
        <w:t xml:space="preserve"> целесообразно этот процесс отразить в показателях Прогноза.</w:t>
      </w:r>
    </w:p>
    <w:p w:rsidR="002B031E" w:rsidRPr="002B031E" w:rsidRDefault="002B031E" w:rsidP="003E5FB2">
      <w:pPr>
        <w:autoSpaceDE w:val="0"/>
        <w:autoSpaceDN w:val="0"/>
        <w:adjustRightInd w:val="0"/>
        <w:spacing w:line="384" w:lineRule="auto"/>
        <w:ind w:firstLine="709"/>
        <w:jc w:val="both"/>
        <w:rPr>
          <w:color w:val="000000" w:themeColor="text1"/>
        </w:rPr>
      </w:pPr>
      <w:r w:rsidRPr="002B031E">
        <w:rPr>
          <w:color w:val="000000" w:themeColor="text1"/>
        </w:rPr>
        <w:t>Заметно снизится вклад добычи полезных ископаемых (на 0,3 процентного пункта) на фоне опережающего роста ненефтегазового экспорта (на 15,7 % за три года при росте нефтегазового экспорта на 11,0 %)</w:t>
      </w:r>
      <w:r w:rsidR="00FA404B">
        <w:rPr>
          <w:color w:val="000000" w:themeColor="text1"/>
        </w:rPr>
        <w:t>,</w:t>
      </w:r>
      <w:r w:rsidR="00FA404B" w:rsidRPr="00FA404B">
        <w:rPr>
          <w:color w:val="000000" w:themeColor="text1"/>
        </w:rPr>
        <w:t xml:space="preserve"> </w:t>
      </w:r>
      <w:r w:rsidR="00FA404B" w:rsidRPr="004428B4">
        <w:rPr>
          <w:color w:val="000000" w:themeColor="text1"/>
        </w:rPr>
        <w:t>а также деятельности по операциям с недвижимым имуществом (на 1 процентный пункт)</w:t>
      </w:r>
      <w:r w:rsidR="00FA404B">
        <w:rPr>
          <w:color w:val="000000" w:themeColor="text1"/>
        </w:rPr>
        <w:t>.</w:t>
      </w:r>
      <w:r w:rsidRPr="002B031E">
        <w:rPr>
          <w:color w:val="000000" w:themeColor="text1"/>
        </w:rPr>
        <w:t xml:space="preserve"> Одновременно заметно вырастет вклад государственного управления и обеспечение военной безопасности</w:t>
      </w:r>
      <w:r w:rsidR="006F4F25">
        <w:rPr>
          <w:color w:val="000000" w:themeColor="text1"/>
        </w:rPr>
        <w:t>,</w:t>
      </w:r>
      <w:r w:rsidRPr="002B031E">
        <w:rPr>
          <w:color w:val="000000" w:themeColor="text1"/>
        </w:rPr>
        <w:t xml:space="preserve"> социального обеспечения (на 0,8 процентного пункта)</w:t>
      </w:r>
      <w:r w:rsidRPr="004428B4">
        <w:rPr>
          <w:color w:val="000000" w:themeColor="text1"/>
        </w:rPr>
        <w:t>.</w:t>
      </w:r>
    </w:p>
    <w:p w:rsidR="002B031E" w:rsidRPr="002B031E" w:rsidRDefault="002B031E" w:rsidP="003E5FB2">
      <w:pPr>
        <w:autoSpaceDE w:val="0"/>
        <w:autoSpaceDN w:val="0"/>
        <w:adjustRightInd w:val="0"/>
        <w:spacing w:line="384" w:lineRule="auto"/>
        <w:ind w:firstLine="709"/>
        <w:jc w:val="both"/>
        <w:rPr>
          <w:color w:val="000000" w:themeColor="text1"/>
        </w:rPr>
      </w:pPr>
      <w:r w:rsidRPr="002B031E">
        <w:rPr>
          <w:color w:val="000000" w:themeColor="text1"/>
        </w:rPr>
        <w:t>Структура элементов ВВП по счету производства базового варианта Прогноза приведена в следующей таблице.</w:t>
      </w:r>
    </w:p>
    <w:p w:rsidR="00A655A2" w:rsidRPr="00A655A2" w:rsidRDefault="00A655A2" w:rsidP="00106323">
      <w:pPr>
        <w:autoSpaceDE w:val="0"/>
        <w:autoSpaceDN w:val="0"/>
        <w:adjustRightInd w:val="0"/>
        <w:ind w:firstLine="709"/>
        <w:jc w:val="right"/>
        <w:rPr>
          <w:color w:val="000000" w:themeColor="text1"/>
          <w:sz w:val="18"/>
          <w:szCs w:val="18"/>
        </w:rPr>
      </w:pPr>
      <w:r>
        <w:rPr>
          <w:color w:val="000000" w:themeColor="text1"/>
          <w:sz w:val="18"/>
          <w:szCs w:val="18"/>
        </w:rPr>
        <w:t>(</w:t>
      </w:r>
      <w:r w:rsidRPr="00A655A2">
        <w:rPr>
          <w:color w:val="000000" w:themeColor="text1"/>
          <w:sz w:val="18"/>
          <w:szCs w:val="18"/>
        </w:rPr>
        <w:t>%</w:t>
      </w:r>
      <w:r>
        <w:rPr>
          <w:color w:val="000000" w:themeColor="text1"/>
          <w:sz w:val="18"/>
          <w:szCs w:val="1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965"/>
        <w:gridCol w:w="795"/>
        <w:gridCol w:w="794"/>
        <w:gridCol w:w="795"/>
        <w:gridCol w:w="795"/>
        <w:gridCol w:w="1243"/>
      </w:tblGrid>
      <w:tr w:rsidR="00A655A2" w:rsidRPr="00A655A2" w:rsidTr="006F4F25">
        <w:trPr>
          <w:trHeight w:val="330"/>
          <w:tblHeader/>
        </w:trPr>
        <w:tc>
          <w:tcPr>
            <w:tcW w:w="4536" w:type="dxa"/>
            <w:noWrap/>
            <w:vAlign w:val="center"/>
            <w:hideMark/>
          </w:tcPr>
          <w:p w:rsidR="00A655A2" w:rsidRPr="00A655A2" w:rsidRDefault="00A655A2" w:rsidP="00C03FED">
            <w:pPr>
              <w:ind w:firstLineChars="100" w:firstLine="180"/>
              <w:jc w:val="center"/>
              <w:rPr>
                <w:b/>
                <w:bCs/>
                <w:sz w:val="18"/>
                <w:szCs w:val="18"/>
              </w:rPr>
            </w:pPr>
            <w:r w:rsidRPr="00A655A2">
              <w:rPr>
                <w:b/>
                <w:bCs/>
                <w:sz w:val="18"/>
                <w:szCs w:val="18"/>
              </w:rPr>
              <w:t>Наименование показателя</w:t>
            </w:r>
          </w:p>
        </w:tc>
        <w:tc>
          <w:tcPr>
            <w:tcW w:w="965" w:type="dxa"/>
            <w:noWrap/>
            <w:vAlign w:val="center"/>
            <w:hideMark/>
          </w:tcPr>
          <w:p w:rsidR="00A655A2" w:rsidRPr="00A655A2" w:rsidRDefault="00A655A2" w:rsidP="00106323">
            <w:pPr>
              <w:jc w:val="center"/>
              <w:rPr>
                <w:b/>
                <w:bCs/>
                <w:sz w:val="18"/>
                <w:szCs w:val="18"/>
              </w:rPr>
            </w:pPr>
            <w:r w:rsidRPr="00A655A2">
              <w:rPr>
                <w:b/>
                <w:bCs/>
                <w:sz w:val="18"/>
                <w:szCs w:val="18"/>
              </w:rPr>
              <w:t>2024</w:t>
            </w:r>
          </w:p>
        </w:tc>
        <w:tc>
          <w:tcPr>
            <w:tcW w:w="795" w:type="dxa"/>
            <w:noWrap/>
            <w:vAlign w:val="center"/>
            <w:hideMark/>
          </w:tcPr>
          <w:p w:rsidR="00A655A2" w:rsidRPr="00A655A2" w:rsidRDefault="00A655A2" w:rsidP="00106323">
            <w:pPr>
              <w:jc w:val="center"/>
              <w:rPr>
                <w:b/>
                <w:bCs/>
                <w:sz w:val="18"/>
                <w:szCs w:val="18"/>
              </w:rPr>
            </w:pPr>
            <w:r w:rsidRPr="00A655A2">
              <w:rPr>
                <w:b/>
                <w:bCs/>
                <w:sz w:val="18"/>
                <w:szCs w:val="18"/>
              </w:rPr>
              <w:t>2025</w:t>
            </w:r>
          </w:p>
        </w:tc>
        <w:tc>
          <w:tcPr>
            <w:tcW w:w="794" w:type="dxa"/>
            <w:noWrap/>
            <w:vAlign w:val="center"/>
            <w:hideMark/>
          </w:tcPr>
          <w:p w:rsidR="00A655A2" w:rsidRPr="00A655A2" w:rsidRDefault="00A655A2" w:rsidP="00106323">
            <w:pPr>
              <w:jc w:val="center"/>
              <w:rPr>
                <w:b/>
                <w:bCs/>
                <w:sz w:val="18"/>
                <w:szCs w:val="18"/>
              </w:rPr>
            </w:pPr>
            <w:r w:rsidRPr="00A655A2">
              <w:rPr>
                <w:b/>
                <w:bCs/>
                <w:sz w:val="18"/>
                <w:szCs w:val="18"/>
              </w:rPr>
              <w:t>2026</w:t>
            </w:r>
          </w:p>
        </w:tc>
        <w:tc>
          <w:tcPr>
            <w:tcW w:w="795" w:type="dxa"/>
            <w:noWrap/>
            <w:vAlign w:val="center"/>
            <w:hideMark/>
          </w:tcPr>
          <w:p w:rsidR="00A655A2" w:rsidRPr="00A655A2" w:rsidRDefault="00A655A2" w:rsidP="00106323">
            <w:pPr>
              <w:jc w:val="center"/>
              <w:rPr>
                <w:b/>
                <w:bCs/>
                <w:sz w:val="18"/>
                <w:szCs w:val="18"/>
              </w:rPr>
            </w:pPr>
            <w:r w:rsidRPr="00A655A2">
              <w:rPr>
                <w:b/>
                <w:bCs/>
                <w:sz w:val="18"/>
                <w:szCs w:val="18"/>
              </w:rPr>
              <w:t>2027</w:t>
            </w:r>
          </w:p>
        </w:tc>
        <w:tc>
          <w:tcPr>
            <w:tcW w:w="795" w:type="dxa"/>
            <w:noWrap/>
            <w:vAlign w:val="center"/>
            <w:hideMark/>
          </w:tcPr>
          <w:p w:rsidR="00A655A2" w:rsidRPr="00A655A2" w:rsidRDefault="00A655A2" w:rsidP="00106323">
            <w:pPr>
              <w:jc w:val="center"/>
              <w:rPr>
                <w:b/>
                <w:bCs/>
                <w:sz w:val="18"/>
                <w:szCs w:val="18"/>
              </w:rPr>
            </w:pPr>
            <w:r w:rsidRPr="00A655A2">
              <w:rPr>
                <w:b/>
                <w:bCs/>
                <w:sz w:val="18"/>
                <w:szCs w:val="18"/>
              </w:rPr>
              <w:t>2028</w:t>
            </w:r>
          </w:p>
        </w:tc>
        <w:tc>
          <w:tcPr>
            <w:tcW w:w="1243" w:type="dxa"/>
            <w:noWrap/>
            <w:vAlign w:val="center"/>
            <w:hideMark/>
          </w:tcPr>
          <w:p w:rsidR="00A655A2" w:rsidRPr="00A655A2" w:rsidRDefault="00A655A2" w:rsidP="00106323">
            <w:pPr>
              <w:jc w:val="center"/>
              <w:rPr>
                <w:b/>
                <w:bCs/>
                <w:sz w:val="18"/>
                <w:szCs w:val="18"/>
              </w:rPr>
            </w:pPr>
            <w:r w:rsidRPr="00A655A2">
              <w:rPr>
                <w:b/>
                <w:bCs/>
                <w:sz w:val="18"/>
                <w:szCs w:val="18"/>
              </w:rPr>
              <w:t>2028/2025</w:t>
            </w:r>
          </w:p>
        </w:tc>
      </w:tr>
      <w:tr w:rsidR="00A655A2" w:rsidRPr="00A655A2" w:rsidTr="006F4F25">
        <w:trPr>
          <w:trHeight w:val="20"/>
        </w:trPr>
        <w:tc>
          <w:tcPr>
            <w:tcW w:w="4536" w:type="dxa"/>
            <w:vAlign w:val="center"/>
            <w:hideMark/>
          </w:tcPr>
          <w:p w:rsidR="00A655A2" w:rsidRPr="00A655A2" w:rsidRDefault="00A655A2" w:rsidP="00A655A2">
            <w:pPr>
              <w:rPr>
                <w:b/>
                <w:bCs/>
                <w:sz w:val="18"/>
                <w:szCs w:val="18"/>
              </w:rPr>
            </w:pPr>
            <w:r w:rsidRPr="00A655A2">
              <w:rPr>
                <w:b/>
                <w:bCs/>
                <w:sz w:val="18"/>
                <w:szCs w:val="18"/>
              </w:rPr>
              <w:t>ВАЛОВОЙ ВНУТРЕННИЙ ПРОДУКТ в рыночных ценах</w:t>
            </w:r>
          </w:p>
        </w:tc>
        <w:tc>
          <w:tcPr>
            <w:tcW w:w="965" w:type="dxa"/>
            <w:noWrap/>
            <w:vAlign w:val="center"/>
            <w:hideMark/>
          </w:tcPr>
          <w:p w:rsidR="00A655A2" w:rsidRPr="00A655A2" w:rsidRDefault="00A655A2" w:rsidP="00A655A2">
            <w:pPr>
              <w:jc w:val="center"/>
              <w:rPr>
                <w:b/>
                <w:bCs/>
                <w:color w:val="000000"/>
                <w:sz w:val="18"/>
                <w:szCs w:val="18"/>
              </w:rPr>
            </w:pPr>
            <w:r w:rsidRPr="00A655A2">
              <w:rPr>
                <w:b/>
                <w:bCs/>
                <w:color w:val="000000"/>
                <w:sz w:val="18"/>
                <w:szCs w:val="18"/>
              </w:rPr>
              <w:t>100,0</w:t>
            </w:r>
          </w:p>
        </w:tc>
        <w:tc>
          <w:tcPr>
            <w:tcW w:w="795" w:type="dxa"/>
            <w:noWrap/>
            <w:vAlign w:val="center"/>
            <w:hideMark/>
          </w:tcPr>
          <w:p w:rsidR="00A655A2" w:rsidRPr="00A655A2" w:rsidRDefault="00A655A2" w:rsidP="00A655A2">
            <w:pPr>
              <w:jc w:val="center"/>
              <w:rPr>
                <w:b/>
                <w:bCs/>
                <w:color w:val="000000"/>
                <w:sz w:val="18"/>
                <w:szCs w:val="18"/>
              </w:rPr>
            </w:pPr>
            <w:r w:rsidRPr="00A655A2">
              <w:rPr>
                <w:b/>
                <w:bCs/>
                <w:color w:val="000000"/>
                <w:sz w:val="18"/>
                <w:szCs w:val="18"/>
              </w:rPr>
              <w:t>100,0</w:t>
            </w:r>
          </w:p>
        </w:tc>
        <w:tc>
          <w:tcPr>
            <w:tcW w:w="794" w:type="dxa"/>
            <w:noWrap/>
            <w:vAlign w:val="center"/>
            <w:hideMark/>
          </w:tcPr>
          <w:p w:rsidR="00A655A2" w:rsidRPr="00A655A2" w:rsidRDefault="00A655A2" w:rsidP="00A655A2">
            <w:pPr>
              <w:jc w:val="center"/>
              <w:rPr>
                <w:b/>
                <w:bCs/>
                <w:color w:val="000000"/>
                <w:sz w:val="18"/>
                <w:szCs w:val="18"/>
              </w:rPr>
            </w:pPr>
            <w:r w:rsidRPr="00A655A2">
              <w:rPr>
                <w:b/>
                <w:bCs/>
                <w:color w:val="000000"/>
                <w:sz w:val="18"/>
                <w:szCs w:val="18"/>
              </w:rPr>
              <w:t>100,0</w:t>
            </w:r>
          </w:p>
        </w:tc>
        <w:tc>
          <w:tcPr>
            <w:tcW w:w="795" w:type="dxa"/>
            <w:noWrap/>
            <w:vAlign w:val="center"/>
            <w:hideMark/>
          </w:tcPr>
          <w:p w:rsidR="00A655A2" w:rsidRPr="00A655A2" w:rsidRDefault="00A655A2" w:rsidP="00A655A2">
            <w:pPr>
              <w:jc w:val="center"/>
              <w:rPr>
                <w:b/>
                <w:bCs/>
                <w:color w:val="000000"/>
                <w:sz w:val="18"/>
                <w:szCs w:val="18"/>
              </w:rPr>
            </w:pPr>
            <w:r w:rsidRPr="00A655A2">
              <w:rPr>
                <w:b/>
                <w:bCs/>
                <w:color w:val="000000"/>
                <w:sz w:val="18"/>
                <w:szCs w:val="18"/>
              </w:rPr>
              <w:t>100,0</w:t>
            </w:r>
          </w:p>
        </w:tc>
        <w:tc>
          <w:tcPr>
            <w:tcW w:w="795" w:type="dxa"/>
            <w:noWrap/>
            <w:vAlign w:val="center"/>
            <w:hideMark/>
          </w:tcPr>
          <w:p w:rsidR="00A655A2" w:rsidRPr="00A655A2" w:rsidRDefault="00A655A2" w:rsidP="00A655A2">
            <w:pPr>
              <w:jc w:val="center"/>
              <w:rPr>
                <w:b/>
                <w:bCs/>
                <w:color w:val="000000"/>
                <w:sz w:val="18"/>
                <w:szCs w:val="18"/>
              </w:rPr>
            </w:pPr>
            <w:r w:rsidRPr="00A655A2">
              <w:rPr>
                <w:b/>
                <w:bCs/>
                <w:color w:val="000000"/>
                <w:sz w:val="18"/>
                <w:szCs w:val="18"/>
              </w:rPr>
              <w:t>100,0</w:t>
            </w:r>
          </w:p>
        </w:tc>
        <w:tc>
          <w:tcPr>
            <w:tcW w:w="1243" w:type="dxa"/>
            <w:noWrap/>
            <w:vAlign w:val="center"/>
            <w:hideMark/>
          </w:tcPr>
          <w:p w:rsidR="00A655A2" w:rsidRPr="00A655A2" w:rsidRDefault="00A655A2" w:rsidP="00A655A2">
            <w:pPr>
              <w:jc w:val="center"/>
              <w:rPr>
                <w:b/>
                <w:bCs/>
                <w:color w:val="000000"/>
                <w:sz w:val="18"/>
                <w:szCs w:val="18"/>
              </w:rPr>
            </w:pPr>
            <w:r w:rsidRPr="00A655A2">
              <w:rPr>
                <w:b/>
                <w:bCs/>
                <w:color w:val="000000"/>
                <w:sz w:val="18"/>
                <w:szCs w:val="18"/>
              </w:rPr>
              <w:t>0,0</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Сельское, лесное хозяйство, охота, рыболовство и рыбоводство</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2,7</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2,8</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2,9</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2,9</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2,9</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0,1</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Добыча полезных ископаемых</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10,7</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9,0</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8,9</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8,8</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8,7</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-0,3</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Обрабатывающие производства</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13,3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13,3</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13,5</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13,6</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13,8</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0,5</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Обеспечение электрической энергией, газом и паром; кондиционирование воздуха</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1,9</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2,0</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2,0</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2,0</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1,9</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0,1</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Водоснабжение; водоотведение, организация сбора и утилизации отходов, деятельность по ликвидации загрязнений</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0,5</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0,0</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Строительство</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4,4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4,5</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4,5</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4,5</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4,5</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0,0</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Торговля оптовая и розничная; ремонт автотранспортных средств и мотоциклов</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11,9</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11,5</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11,7</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11,8</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11,9</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Транспортировка и хранение</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6,3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6,3</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6,4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6,4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6,4</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0,1</w:t>
            </w:r>
          </w:p>
        </w:tc>
      </w:tr>
      <w:tr w:rsidR="00A655A2" w:rsidRPr="00A655A2" w:rsidTr="006F4F25">
        <w:trPr>
          <w:trHeight w:val="20"/>
        </w:trPr>
        <w:tc>
          <w:tcPr>
            <w:tcW w:w="4536" w:type="dxa"/>
            <w:vAlign w:val="bottom"/>
            <w:hideMark/>
          </w:tcPr>
          <w:p w:rsidR="00A655A2" w:rsidRPr="00A655A2" w:rsidRDefault="00A655A2" w:rsidP="00A655A2">
            <w:pPr>
              <w:rPr>
                <w:sz w:val="18"/>
                <w:szCs w:val="18"/>
              </w:rPr>
            </w:pPr>
            <w:r w:rsidRPr="00A655A2">
              <w:rPr>
                <w:sz w:val="18"/>
                <w:szCs w:val="18"/>
              </w:rPr>
              <w:t>Деятельность гостиниц и предприятий общественного питания</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0,9</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1,0</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1,0</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1,0</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1,1</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0,1</w:t>
            </w:r>
          </w:p>
        </w:tc>
      </w:tr>
      <w:tr w:rsidR="00A655A2" w:rsidRPr="00A655A2" w:rsidTr="006F4F25">
        <w:trPr>
          <w:trHeight w:val="20"/>
        </w:trPr>
        <w:tc>
          <w:tcPr>
            <w:tcW w:w="4536" w:type="dxa"/>
            <w:vAlign w:val="bottom"/>
            <w:hideMark/>
          </w:tcPr>
          <w:p w:rsidR="00A655A2" w:rsidRPr="00A655A2" w:rsidRDefault="00A655A2" w:rsidP="00A655A2">
            <w:pPr>
              <w:rPr>
                <w:sz w:val="18"/>
                <w:szCs w:val="18"/>
              </w:rPr>
            </w:pPr>
            <w:r w:rsidRPr="00A655A2">
              <w:rPr>
                <w:sz w:val="18"/>
                <w:szCs w:val="18"/>
              </w:rPr>
              <w:t>Деятельность в области информации и связи</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3,2</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3,3</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3,3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3,4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3,4</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0,1</w:t>
            </w:r>
          </w:p>
        </w:tc>
      </w:tr>
      <w:tr w:rsidR="00A655A2" w:rsidRPr="00A655A2" w:rsidTr="006F4F25">
        <w:trPr>
          <w:trHeight w:val="20"/>
        </w:trPr>
        <w:tc>
          <w:tcPr>
            <w:tcW w:w="4536" w:type="dxa"/>
            <w:vAlign w:val="bottom"/>
            <w:hideMark/>
          </w:tcPr>
          <w:p w:rsidR="00A655A2" w:rsidRPr="00A655A2" w:rsidRDefault="00A655A2" w:rsidP="00A655A2">
            <w:pPr>
              <w:rPr>
                <w:sz w:val="18"/>
                <w:szCs w:val="18"/>
              </w:rPr>
            </w:pPr>
            <w:r w:rsidRPr="00A655A2">
              <w:rPr>
                <w:sz w:val="18"/>
                <w:szCs w:val="18"/>
              </w:rPr>
              <w:t>Деятельность финансовая и страховая</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4,0</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4,4</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4,4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4,4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4,4</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0,0</w:t>
            </w:r>
          </w:p>
        </w:tc>
      </w:tr>
      <w:tr w:rsidR="00A655A2" w:rsidRPr="00A655A2" w:rsidTr="006F4F25">
        <w:trPr>
          <w:trHeight w:val="20"/>
        </w:trPr>
        <w:tc>
          <w:tcPr>
            <w:tcW w:w="4536" w:type="dxa"/>
            <w:vAlign w:val="bottom"/>
            <w:hideMark/>
          </w:tcPr>
          <w:p w:rsidR="00A655A2" w:rsidRPr="00A655A2" w:rsidRDefault="00A655A2" w:rsidP="00A655A2">
            <w:pPr>
              <w:rPr>
                <w:sz w:val="18"/>
                <w:szCs w:val="18"/>
              </w:rPr>
            </w:pPr>
            <w:r w:rsidRPr="00A655A2">
              <w:rPr>
                <w:sz w:val="18"/>
                <w:szCs w:val="18"/>
              </w:rPr>
              <w:t xml:space="preserve">Деятельность по операциям с недвижимым </w:t>
            </w:r>
            <w:r w:rsidRPr="00A655A2">
              <w:rPr>
                <w:sz w:val="18"/>
                <w:szCs w:val="18"/>
              </w:rPr>
              <w:lastRenderedPageBreak/>
              <w:t>имуществом</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lastRenderedPageBreak/>
              <w:t>9,6</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9,8</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9,4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9,2</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8,8</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-1,0</w:t>
            </w:r>
          </w:p>
        </w:tc>
      </w:tr>
      <w:tr w:rsidR="00A655A2" w:rsidRPr="00A655A2" w:rsidTr="006F4F25">
        <w:trPr>
          <w:trHeight w:val="20"/>
        </w:trPr>
        <w:tc>
          <w:tcPr>
            <w:tcW w:w="4536" w:type="dxa"/>
            <w:vAlign w:val="bottom"/>
            <w:hideMark/>
          </w:tcPr>
          <w:p w:rsidR="00A655A2" w:rsidRPr="00A655A2" w:rsidRDefault="00A655A2" w:rsidP="00A655A2">
            <w:pPr>
              <w:rPr>
                <w:sz w:val="18"/>
                <w:szCs w:val="18"/>
              </w:rPr>
            </w:pPr>
            <w:r w:rsidRPr="00A655A2">
              <w:rPr>
                <w:sz w:val="18"/>
                <w:szCs w:val="18"/>
              </w:rPr>
              <w:lastRenderedPageBreak/>
              <w:t>Деятельность профессиональная, научная и техническая</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4,3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4,4</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4,3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4,3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4,3</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-0,1</w:t>
            </w:r>
          </w:p>
        </w:tc>
      </w:tr>
      <w:tr w:rsidR="00A655A2" w:rsidRPr="00A655A2" w:rsidTr="006F4F25">
        <w:trPr>
          <w:trHeight w:val="20"/>
        </w:trPr>
        <w:tc>
          <w:tcPr>
            <w:tcW w:w="4536" w:type="dxa"/>
            <w:vAlign w:val="bottom"/>
            <w:hideMark/>
          </w:tcPr>
          <w:p w:rsidR="00A655A2" w:rsidRPr="00A655A2" w:rsidRDefault="00A655A2" w:rsidP="00A655A2">
            <w:pPr>
              <w:rPr>
                <w:sz w:val="18"/>
                <w:szCs w:val="18"/>
              </w:rPr>
            </w:pPr>
            <w:r w:rsidRPr="00A655A2">
              <w:rPr>
                <w:sz w:val="18"/>
                <w:szCs w:val="18"/>
              </w:rPr>
              <w:t>Деятельность административная и сопутствующие дополнительные услуги</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2,1</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2,1</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2,1</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2,1</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2,1</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0,0</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Государственное управление и обеспечение военной безопасности; социальное обеспечение</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8,0</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9,0</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9,3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9,6</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9,8</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0,8</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Образование</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2,6</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2,8</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2,8</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2,8</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2,8</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0,0</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Деятельность в области здравоохранения и социальных услуг</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2,8</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3,1</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3,1</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3,1</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3,2</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0,1</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Деятельность в области культуры, спорта, организации досуга и развлечений</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1,1</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1,2</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1,2</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1,2</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1,2</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0,0</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Предоставление прочих видов услуг</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0,4</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0,0</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 xml:space="preserve">Деятельность домашних хозяйств как работодателей; недифференцированная деятельность частных домашних хозяйств </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0,3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0,3</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0,3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0,3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0,3</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0,0</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ИТОГО В ОСНОВНЫХ ЦЕНАХ по видам деятельности</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91,0</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91,8</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92,2</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92,3</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92,4</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0,6</w:t>
            </w:r>
          </w:p>
        </w:tc>
      </w:tr>
      <w:tr w:rsidR="00A655A2" w:rsidRPr="00A655A2" w:rsidTr="006F4F25">
        <w:trPr>
          <w:trHeight w:val="20"/>
        </w:trPr>
        <w:tc>
          <w:tcPr>
            <w:tcW w:w="4536" w:type="dxa"/>
            <w:vAlign w:val="center"/>
            <w:hideMark/>
          </w:tcPr>
          <w:p w:rsidR="00A655A2" w:rsidRPr="00A655A2" w:rsidRDefault="00A655A2" w:rsidP="00A655A2">
            <w:pPr>
              <w:rPr>
                <w:sz w:val="18"/>
                <w:szCs w:val="18"/>
              </w:rPr>
            </w:pPr>
            <w:r w:rsidRPr="00A655A2">
              <w:rPr>
                <w:sz w:val="18"/>
                <w:szCs w:val="18"/>
              </w:rPr>
              <w:t xml:space="preserve">Чистые налоги на пpодукты </w:t>
            </w:r>
          </w:p>
        </w:tc>
        <w:tc>
          <w:tcPr>
            <w:tcW w:w="965" w:type="dxa"/>
            <w:noWrap/>
            <w:vAlign w:val="center"/>
            <w:hideMark/>
          </w:tcPr>
          <w:p w:rsidR="00A655A2" w:rsidRPr="00A655A2" w:rsidRDefault="00A655A2" w:rsidP="00A655A2">
            <w:pPr>
              <w:jc w:val="center"/>
              <w:rPr>
                <w:color w:val="000000"/>
                <w:sz w:val="18"/>
                <w:szCs w:val="18"/>
              </w:rPr>
            </w:pPr>
            <w:r w:rsidRPr="00A655A2">
              <w:rPr>
                <w:color w:val="000000"/>
                <w:sz w:val="18"/>
                <w:szCs w:val="18"/>
              </w:rPr>
              <w:t>9,0</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8,2</w:t>
            </w:r>
          </w:p>
        </w:tc>
        <w:tc>
          <w:tcPr>
            <w:tcW w:w="794" w:type="dxa"/>
            <w:noWrap/>
            <w:vAlign w:val="center"/>
            <w:hideMark/>
          </w:tcPr>
          <w:p w:rsidR="00A655A2" w:rsidRPr="00A655A2" w:rsidRDefault="00A655A2" w:rsidP="00A655A2">
            <w:pPr>
              <w:jc w:val="center"/>
              <w:rPr>
                <w:color w:val="000000"/>
                <w:sz w:val="18"/>
                <w:szCs w:val="18"/>
              </w:rPr>
            </w:pPr>
            <w:r w:rsidRPr="00A655A2">
              <w:rPr>
                <w:color w:val="000000"/>
                <w:sz w:val="18"/>
                <w:szCs w:val="18"/>
              </w:rPr>
              <w:t>7,8</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7,7</w:t>
            </w:r>
          </w:p>
        </w:tc>
        <w:tc>
          <w:tcPr>
            <w:tcW w:w="795" w:type="dxa"/>
            <w:noWrap/>
            <w:vAlign w:val="center"/>
            <w:hideMark/>
          </w:tcPr>
          <w:p w:rsidR="00A655A2" w:rsidRPr="00A655A2" w:rsidRDefault="00A655A2" w:rsidP="00A655A2">
            <w:pPr>
              <w:jc w:val="center"/>
              <w:rPr>
                <w:color w:val="000000"/>
                <w:sz w:val="18"/>
                <w:szCs w:val="18"/>
              </w:rPr>
            </w:pPr>
            <w:r w:rsidRPr="00A655A2">
              <w:rPr>
                <w:color w:val="000000"/>
                <w:sz w:val="18"/>
                <w:szCs w:val="18"/>
              </w:rPr>
              <w:t>7,6</w:t>
            </w:r>
          </w:p>
        </w:tc>
        <w:tc>
          <w:tcPr>
            <w:tcW w:w="1243" w:type="dxa"/>
            <w:noWrap/>
            <w:vAlign w:val="center"/>
            <w:hideMark/>
          </w:tcPr>
          <w:p w:rsidR="00A655A2" w:rsidRPr="00A655A2" w:rsidRDefault="00A655A2" w:rsidP="00A655A2">
            <w:pPr>
              <w:jc w:val="center"/>
              <w:rPr>
                <w:color w:val="000000"/>
                <w:sz w:val="18"/>
                <w:szCs w:val="18"/>
              </w:rPr>
            </w:pPr>
            <w:r w:rsidRPr="00A655A2">
              <w:rPr>
                <w:color w:val="000000"/>
                <w:sz w:val="18"/>
                <w:szCs w:val="18"/>
              </w:rPr>
              <w:t>-0,6</w:t>
            </w:r>
          </w:p>
        </w:tc>
      </w:tr>
    </w:tbl>
    <w:p w:rsidR="002B031E" w:rsidRPr="00A655A2" w:rsidRDefault="002B031E" w:rsidP="00EF0B65">
      <w:pPr>
        <w:autoSpaceDE w:val="0"/>
        <w:autoSpaceDN w:val="0"/>
        <w:adjustRightInd w:val="0"/>
        <w:spacing w:line="360" w:lineRule="auto"/>
        <w:ind w:firstLine="709"/>
        <w:jc w:val="both"/>
        <w:rPr>
          <w:color w:val="000000" w:themeColor="text1"/>
          <w:sz w:val="10"/>
          <w:szCs w:val="10"/>
        </w:rPr>
      </w:pPr>
    </w:p>
    <w:p w:rsidR="00A6566E" w:rsidRPr="00A6566E" w:rsidRDefault="00A6566E" w:rsidP="003E5FB2">
      <w:pPr>
        <w:autoSpaceDE w:val="0"/>
        <w:autoSpaceDN w:val="0"/>
        <w:adjustRightInd w:val="0"/>
        <w:spacing w:line="384" w:lineRule="auto"/>
        <w:ind w:firstLine="709"/>
        <w:jc w:val="both"/>
        <w:rPr>
          <w:color w:val="000000" w:themeColor="text1"/>
        </w:rPr>
      </w:pPr>
      <w:r w:rsidRPr="00A6566E">
        <w:rPr>
          <w:color w:val="000000" w:themeColor="text1"/>
        </w:rPr>
        <w:t>В структуре ВВП по счету использования согласно тексту Прогноза основным драйвером выступит внутренний спрос, а сама структура претерпит изменения «под влиянием сдвигов в структуре внешней торговли, осуществления мер, направленных на повышение доходов и рост потребления населения, а также стимулирования инвестиционной активности».</w:t>
      </w:r>
    </w:p>
    <w:p w:rsidR="00A6566E" w:rsidRPr="00A6566E" w:rsidRDefault="00050261" w:rsidP="003E5FB2">
      <w:pPr>
        <w:autoSpaceDE w:val="0"/>
        <w:autoSpaceDN w:val="0"/>
        <w:adjustRightInd w:val="0"/>
        <w:spacing w:line="384" w:lineRule="auto"/>
        <w:ind w:firstLine="709"/>
        <w:jc w:val="both"/>
        <w:rPr>
          <w:color w:val="000000" w:themeColor="text1"/>
        </w:rPr>
      </w:pPr>
      <w:r>
        <w:rPr>
          <w:color w:val="000000" w:themeColor="text1"/>
        </w:rPr>
        <w:t>Д</w:t>
      </w:r>
      <w:r w:rsidR="00A6566E" w:rsidRPr="00A6566E">
        <w:rPr>
          <w:color w:val="000000" w:themeColor="text1"/>
        </w:rPr>
        <w:t>оля расходов домашних хозяйств в структуре ВВП с 2025 по 2028 год сократится на</w:t>
      </w:r>
      <w:r w:rsidR="000A6962">
        <w:rPr>
          <w:color w:val="000000" w:themeColor="text1"/>
        </w:rPr>
        <w:t> </w:t>
      </w:r>
      <w:r w:rsidR="00A6566E" w:rsidRPr="00A6566E">
        <w:rPr>
          <w:color w:val="000000" w:themeColor="text1"/>
        </w:rPr>
        <w:t>2,2</w:t>
      </w:r>
      <w:r w:rsidR="000A6962">
        <w:rPr>
          <w:color w:val="000000" w:themeColor="text1"/>
        </w:rPr>
        <w:t> </w:t>
      </w:r>
      <w:r w:rsidR="00A6566E" w:rsidRPr="00A6566E">
        <w:rPr>
          <w:color w:val="000000" w:themeColor="text1"/>
        </w:rPr>
        <w:t>процентного пункта преимущественно за счет снижения доли расходов на товары. Рост валового накопления на 0,7 процентного пункта будет обеспечен за счет изменения запасов материальных оборотных средств на 1,6 процентного пункта до 6,7 % ВВП в 2028 году, что, вероятно, связано с необходимостью со стороны бизнеса поддерживать уровень запасов в</w:t>
      </w:r>
      <w:r w:rsidR="00793E57">
        <w:rPr>
          <w:color w:val="000000" w:themeColor="text1"/>
        </w:rPr>
        <w:t> </w:t>
      </w:r>
      <w:r w:rsidR="00A6566E" w:rsidRPr="00A6566E">
        <w:rPr>
          <w:color w:val="000000" w:themeColor="text1"/>
        </w:rPr>
        <w:t xml:space="preserve">условиях санкционного давления. При этом с 2011 года доля изменения материальных запасов оборотных средств в ВВП не превышала 5,1 % (в 2023 году). Приведенный в Прогнозе рост данного показателя </w:t>
      </w:r>
      <w:r w:rsidR="00344E5E">
        <w:rPr>
          <w:color w:val="000000" w:themeColor="text1"/>
        </w:rPr>
        <w:t>нуждается в</w:t>
      </w:r>
      <w:r w:rsidR="00344E5E" w:rsidRPr="00A6566E">
        <w:rPr>
          <w:color w:val="000000" w:themeColor="text1"/>
        </w:rPr>
        <w:t xml:space="preserve"> </w:t>
      </w:r>
      <w:r w:rsidR="00A6566E" w:rsidRPr="00A6566E">
        <w:rPr>
          <w:color w:val="000000" w:themeColor="text1"/>
        </w:rPr>
        <w:t>дополнительных обосновани</w:t>
      </w:r>
      <w:r w:rsidR="00344E5E">
        <w:rPr>
          <w:color w:val="000000" w:themeColor="text1"/>
        </w:rPr>
        <w:t>ях</w:t>
      </w:r>
      <w:r w:rsidR="00A6566E" w:rsidRPr="00A6566E">
        <w:rPr>
          <w:color w:val="000000" w:themeColor="text1"/>
        </w:rPr>
        <w:t>.</w:t>
      </w:r>
    </w:p>
    <w:p w:rsidR="00A6566E" w:rsidRPr="00A6566E" w:rsidRDefault="00A6566E" w:rsidP="003E5FB2">
      <w:pPr>
        <w:autoSpaceDE w:val="0"/>
        <w:autoSpaceDN w:val="0"/>
        <w:adjustRightInd w:val="0"/>
        <w:spacing w:line="384" w:lineRule="auto"/>
        <w:ind w:firstLine="709"/>
        <w:jc w:val="both"/>
        <w:rPr>
          <w:color w:val="000000" w:themeColor="text1"/>
        </w:rPr>
      </w:pPr>
      <w:r w:rsidRPr="00050261">
        <w:rPr>
          <w:color w:val="000000" w:themeColor="text1"/>
        </w:rPr>
        <w:t xml:space="preserve">Существенный рост вклада чистого экспорта (на 1,8 процентного пункта за три года) станет следствием опережающего роста экспорта товаров. Одновременно следует отметить, что в соответствии с Прогнозом уже по итогам 2025 года доля импорта в ВВП опустится ниже 17 %, что свидетельствует о досрочном достижении одной из задач </w:t>
      </w:r>
      <w:r w:rsidR="00C26B02" w:rsidRPr="00050261">
        <w:rPr>
          <w:color w:val="000000" w:themeColor="text1"/>
        </w:rPr>
        <w:t xml:space="preserve">Указа Президента Российской Федерации от 7 мая 2024 г. № 309 «О национальных целях развития Российской Федерации на период до 2030 года и на перспективу до 2036 года» (далее – </w:t>
      </w:r>
      <w:r w:rsidRPr="00050261">
        <w:rPr>
          <w:color w:val="000000" w:themeColor="text1"/>
        </w:rPr>
        <w:t>Указа № 309</w:t>
      </w:r>
      <w:r w:rsidR="00C26B02" w:rsidRPr="00050261">
        <w:rPr>
          <w:color w:val="000000" w:themeColor="text1"/>
        </w:rPr>
        <w:t>)</w:t>
      </w:r>
      <w:r w:rsidRPr="00050261">
        <w:rPr>
          <w:color w:val="000000" w:themeColor="text1"/>
        </w:rPr>
        <w:t>.</w:t>
      </w:r>
    </w:p>
    <w:p w:rsidR="002B031E" w:rsidRDefault="00A6566E" w:rsidP="003E5FB2">
      <w:pPr>
        <w:autoSpaceDE w:val="0"/>
        <w:autoSpaceDN w:val="0"/>
        <w:adjustRightInd w:val="0"/>
        <w:spacing w:line="384" w:lineRule="auto"/>
        <w:ind w:firstLine="709"/>
        <w:jc w:val="both"/>
        <w:rPr>
          <w:color w:val="000000" w:themeColor="text1"/>
        </w:rPr>
      </w:pPr>
      <w:r w:rsidRPr="00A6566E">
        <w:rPr>
          <w:color w:val="000000" w:themeColor="text1"/>
        </w:rPr>
        <w:t>Структура элементов ВВП по счету использования базового варианта Прогноза приведена в следующей таблице.</w:t>
      </w:r>
    </w:p>
    <w:p w:rsidR="009B51FD" w:rsidRPr="009B51FD" w:rsidRDefault="009B51FD" w:rsidP="003E5FB2">
      <w:pPr>
        <w:keepNext/>
        <w:autoSpaceDE w:val="0"/>
        <w:autoSpaceDN w:val="0"/>
        <w:adjustRightInd w:val="0"/>
        <w:ind w:firstLine="709"/>
        <w:jc w:val="right"/>
        <w:rPr>
          <w:color w:val="000000" w:themeColor="text1"/>
          <w:sz w:val="18"/>
          <w:szCs w:val="18"/>
        </w:rPr>
      </w:pPr>
      <w:r>
        <w:rPr>
          <w:color w:val="000000" w:themeColor="text1"/>
          <w:sz w:val="18"/>
          <w:szCs w:val="18"/>
        </w:rPr>
        <w:lastRenderedPageBreak/>
        <w:t>(</w:t>
      </w:r>
      <w:r w:rsidRPr="009B51FD">
        <w:rPr>
          <w:color w:val="000000" w:themeColor="text1"/>
          <w:sz w:val="18"/>
          <w:szCs w:val="18"/>
        </w:rPr>
        <w:t>%</w:t>
      </w:r>
      <w:r>
        <w:rPr>
          <w:color w:val="000000" w:themeColor="text1"/>
          <w:sz w:val="18"/>
          <w:szCs w:val="1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3"/>
        <w:gridCol w:w="935"/>
        <w:gridCol w:w="936"/>
        <w:gridCol w:w="935"/>
        <w:gridCol w:w="936"/>
        <w:gridCol w:w="936"/>
        <w:gridCol w:w="1252"/>
      </w:tblGrid>
      <w:tr w:rsidR="009B51FD" w:rsidRPr="009B51FD" w:rsidTr="006F4F25">
        <w:trPr>
          <w:trHeight w:val="615"/>
          <w:tblHeader/>
        </w:trPr>
        <w:tc>
          <w:tcPr>
            <w:tcW w:w="3993" w:type="dxa"/>
            <w:vAlign w:val="center"/>
            <w:hideMark/>
          </w:tcPr>
          <w:p w:rsidR="009B51FD" w:rsidRPr="009B51FD" w:rsidRDefault="009B51FD" w:rsidP="003E5FB2">
            <w:pPr>
              <w:keepNext/>
              <w:jc w:val="center"/>
              <w:rPr>
                <w:b/>
                <w:sz w:val="18"/>
                <w:szCs w:val="18"/>
              </w:rPr>
            </w:pPr>
            <w:r w:rsidRPr="009B51FD">
              <w:rPr>
                <w:b/>
                <w:sz w:val="18"/>
                <w:szCs w:val="18"/>
              </w:rPr>
              <w:t>Наименование показателя</w:t>
            </w:r>
          </w:p>
        </w:tc>
        <w:tc>
          <w:tcPr>
            <w:tcW w:w="935" w:type="dxa"/>
            <w:noWrap/>
            <w:vAlign w:val="center"/>
            <w:hideMark/>
          </w:tcPr>
          <w:p w:rsidR="009B51FD" w:rsidRPr="009B51FD" w:rsidRDefault="009B51FD" w:rsidP="003E5FB2">
            <w:pPr>
              <w:keepNext/>
              <w:jc w:val="center"/>
              <w:rPr>
                <w:b/>
                <w:bCs/>
                <w:sz w:val="18"/>
                <w:szCs w:val="18"/>
              </w:rPr>
            </w:pPr>
            <w:r w:rsidRPr="009B51FD">
              <w:rPr>
                <w:b/>
                <w:bCs/>
                <w:sz w:val="18"/>
                <w:szCs w:val="18"/>
              </w:rPr>
              <w:t>2024</w:t>
            </w:r>
          </w:p>
        </w:tc>
        <w:tc>
          <w:tcPr>
            <w:tcW w:w="936" w:type="dxa"/>
            <w:noWrap/>
            <w:vAlign w:val="center"/>
            <w:hideMark/>
          </w:tcPr>
          <w:p w:rsidR="009B51FD" w:rsidRPr="009B51FD" w:rsidRDefault="009B51FD" w:rsidP="003E5FB2">
            <w:pPr>
              <w:keepNext/>
              <w:jc w:val="center"/>
              <w:rPr>
                <w:b/>
                <w:bCs/>
                <w:sz w:val="18"/>
                <w:szCs w:val="18"/>
              </w:rPr>
            </w:pPr>
            <w:r w:rsidRPr="009B51FD">
              <w:rPr>
                <w:b/>
                <w:bCs/>
                <w:sz w:val="18"/>
                <w:szCs w:val="18"/>
              </w:rPr>
              <w:t>2025</w:t>
            </w:r>
          </w:p>
        </w:tc>
        <w:tc>
          <w:tcPr>
            <w:tcW w:w="935" w:type="dxa"/>
            <w:noWrap/>
            <w:vAlign w:val="center"/>
            <w:hideMark/>
          </w:tcPr>
          <w:p w:rsidR="009B51FD" w:rsidRPr="009B51FD" w:rsidRDefault="009B51FD" w:rsidP="003E5FB2">
            <w:pPr>
              <w:keepNext/>
              <w:jc w:val="center"/>
              <w:rPr>
                <w:b/>
                <w:bCs/>
                <w:sz w:val="18"/>
                <w:szCs w:val="18"/>
              </w:rPr>
            </w:pPr>
            <w:r w:rsidRPr="009B51FD">
              <w:rPr>
                <w:b/>
                <w:bCs/>
                <w:sz w:val="18"/>
                <w:szCs w:val="18"/>
              </w:rPr>
              <w:t>2026</w:t>
            </w:r>
          </w:p>
        </w:tc>
        <w:tc>
          <w:tcPr>
            <w:tcW w:w="936" w:type="dxa"/>
            <w:noWrap/>
            <w:vAlign w:val="center"/>
            <w:hideMark/>
          </w:tcPr>
          <w:p w:rsidR="009B51FD" w:rsidRPr="009B51FD" w:rsidRDefault="009B51FD" w:rsidP="003E5FB2">
            <w:pPr>
              <w:keepNext/>
              <w:jc w:val="center"/>
              <w:rPr>
                <w:b/>
                <w:bCs/>
                <w:sz w:val="18"/>
                <w:szCs w:val="18"/>
              </w:rPr>
            </w:pPr>
            <w:r w:rsidRPr="009B51FD">
              <w:rPr>
                <w:b/>
                <w:bCs/>
                <w:sz w:val="18"/>
                <w:szCs w:val="18"/>
              </w:rPr>
              <w:t>2027</w:t>
            </w:r>
          </w:p>
        </w:tc>
        <w:tc>
          <w:tcPr>
            <w:tcW w:w="936" w:type="dxa"/>
            <w:noWrap/>
            <w:vAlign w:val="center"/>
            <w:hideMark/>
          </w:tcPr>
          <w:p w:rsidR="009B51FD" w:rsidRPr="009B51FD" w:rsidRDefault="009B51FD" w:rsidP="003E5FB2">
            <w:pPr>
              <w:keepNext/>
              <w:jc w:val="center"/>
              <w:rPr>
                <w:b/>
                <w:bCs/>
                <w:sz w:val="18"/>
                <w:szCs w:val="18"/>
              </w:rPr>
            </w:pPr>
            <w:r w:rsidRPr="009B51FD">
              <w:rPr>
                <w:b/>
                <w:bCs/>
                <w:sz w:val="18"/>
                <w:szCs w:val="18"/>
              </w:rPr>
              <w:t>2028</w:t>
            </w:r>
          </w:p>
        </w:tc>
        <w:tc>
          <w:tcPr>
            <w:tcW w:w="1252" w:type="dxa"/>
            <w:noWrap/>
            <w:vAlign w:val="center"/>
            <w:hideMark/>
          </w:tcPr>
          <w:p w:rsidR="009B51FD" w:rsidRPr="009B51FD" w:rsidRDefault="009B51FD" w:rsidP="003E5FB2">
            <w:pPr>
              <w:keepNext/>
              <w:jc w:val="center"/>
              <w:rPr>
                <w:b/>
                <w:bCs/>
                <w:sz w:val="18"/>
                <w:szCs w:val="18"/>
              </w:rPr>
            </w:pPr>
            <w:r w:rsidRPr="009B51FD">
              <w:rPr>
                <w:b/>
                <w:bCs/>
                <w:sz w:val="18"/>
                <w:szCs w:val="18"/>
              </w:rPr>
              <w:t>2028/2025</w:t>
            </w:r>
          </w:p>
        </w:tc>
      </w:tr>
      <w:tr w:rsidR="009B51FD" w:rsidRPr="009B51FD" w:rsidTr="006F4F25">
        <w:trPr>
          <w:trHeight w:val="347"/>
        </w:trPr>
        <w:tc>
          <w:tcPr>
            <w:tcW w:w="3993" w:type="dxa"/>
            <w:noWrap/>
            <w:vAlign w:val="center"/>
            <w:hideMark/>
          </w:tcPr>
          <w:p w:rsidR="009B51FD" w:rsidRPr="009B51FD" w:rsidRDefault="009B51FD" w:rsidP="009B51FD">
            <w:pPr>
              <w:rPr>
                <w:b/>
                <w:bCs/>
                <w:sz w:val="18"/>
                <w:szCs w:val="18"/>
              </w:rPr>
            </w:pPr>
            <w:r w:rsidRPr="009B51FD">
              <w:rPr>
                <w:b/>
                <w:bCs/>
                <w:sz w:val="18"/>
                <w:szCs w:val="18"/>
              </w:rPr>
              <w:t>Валовой внутренний продукт</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100,0</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100,0</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100,0</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100,0</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100,0</w:t>
            </w:r>
          </w:p>
        </w:tc>
        <w:tc>
          <w:tcPr>
            <w:tcW w:w="1252" w:type="dxa"/>
            <w:noWrap/>
            <w:vAlign w:val="center"/>
            <w:hideMark/>
          </w:tcPr>
          <w:p w:rsidR="009B51FD" w:rsidRPr="009B51FD" w:rsidRDefault="009B51FD" w:rsidP="009B51FD">
            <w:pPr>
              <w:jc w:val="right"/>
              <w:rPr>
                <w:b/>
                <w:bCs/>
                <w:sz w:val="18"/>
                <w:szCs w:val="18"/>
              </w:rPr>
            </w:pPr>
            <w:r w:rsidRPr="009B51FD">
              <w:rPr>
                <w:b/>
                <w:bCs/>
                <w:sz w:val="18"/>
                <w:szCs w:val="18"/>
              </w:rPr>
              <w:t>0,0</w:t>
            </w:r>
          </w:p>
        </w:tc>
      </w:tr>
      <w:tr w:rsidR="009B51FD" w:rsidRPr="009B51FD" w:rsidTr="006F4F25">
        <w:trPr>
          <w:trHeight w:val="20"/>
        </w:trPr>
        <w:tc>
          <w:tcPr>
            <w:tcW w:w="3993" w:type="dxa"/>
            <w:noWrap/>
            <w:vAlign w:val="bottom"/>
            <w:hideMark/>
          </w:tcPr>
          <w:p w:rsidR="009B51FD" w:rsidRPr="009B51FD" w:rsidRDefault="009B51FD" w:rsidP="00C03FED">
            <w:pPr>
              <w:ind w:firstLineChars="100" w:firstLine="180"/>
              <w:rPr>
                <w:b/>
                <w:bCs/>
                <w:sz w:val="18"/>
                <w:szCs w:val="18"/>
              </w:rPr>
            </w:pPr>
            <w:r w:rsidRPr="009B51FD">
              <w:rPr>
                <w:b/>
                <w:bCs/>
                <w:sz w:val="18"/>
                <w:szCs w:val="18"/>
              </w:rPr>
              <w:t>Расходы на конечное потребление</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67,9</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70,1</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69,4</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68,5</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67,5</w:t>
            </w:r>
          </w:p>
        </w:tc>
        <w:tc>
          <w:tcPr>
            <w:tcW w:w="1252" w:type="dxa"/>
            <w:noWrap/>
            <w:vAlign w:val="center"/>
            <w:hideMark/>
          </w:tcPr>
          <w:p w:rsidR="009B51FD" w:rsidRPr="009B51FD" w:rsidRDefault="009B51FD" w:rsidP="009B51FD">
            <w:pPr>
              <w:jc w:val="right"/>
              <w:rPr>
                <w:b/>
                <w:bCs/>
                <w:sz w:val="18"/>
                <w:szCs w:val="18"/>
              </w:rPr>
            </w:pPr>
            <w:r w:rsidRPr="009B51FD">
              <w:rPr>
                <w:b/>
                <w:bCs/>
                <w:sz w:val="18"/>
                <w:szCs w:val="18"/>
              </w:rPr>
              <w:t>-2,6</w:t>
            </w:r>
          </w:p>
        </w:tc>
      </w:tr>
      <w:tr w:rsidR="009B51FD" w:rsidRPr="009B51FD" w:rsidTr="006F4F25">
        <w:trPr>
          <w:trHeight w:val="20"/>
        </w:trPr>
        <w:tc>
          <w:tcPr>
            <w:tcW w:w="3993" w:type="dxa"/>
            <w:noWrap/>
            <w:vAlign w:val="bottom"/>
            <w:hideMark/>
          </w:tcPr>
          <w:p w:rsidR="009B51FD" w:rsidRPr="009B51FD" w:rsidRDefault="009B51FD" w:rsidP="00C03FED">
            <w:pPr>
              <w:ind w:firstLineChars="200" w:firstLine="360"/>
              <w:rPr>
                <w:b/>
                <w:bCs/>
                <w:sz w:val="18"/>
                <w:szCs w:val="18"/>
              </w:rPr>
            </w:pPr>
            <w:r w:rsidRPr="009B51FD">
              <w:rPr>
                <w:b/>
                <w:bCs/>
                <w:sz w:val="18"/>
                <w:szCs w:val="18"/>
              </w:rPr>
              <w:t>Домашних хозяйств</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48,9</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50,4</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49,5</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48,8</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48,2</w:t>
            </w:r>
          </w:p>
        </w:tc>
        <w:tc>
          <w:tcPr>
            <w:tcW w:w="1252" w:type="dxa"/>
            <w:noWrap/>
            <w:vAlign w:val="center"/>
            <w:hideMark/>
          </w:tcPr>
          <w:p w:rsidR="009B51FD" w:rsidRPr="009B51FD" w:rsidRDefault="009B51FD" w:rsidP="009B51FD">
            <w:pPr>
              <w:jc w:val="right"/>
              <w:rPr>
                <w:b/>
                <w:bCs/>
                <w:sz w:val="18"/>
                <w:szCs w:val="18"/>
              </w:rPr>
            </w:pPr>
            <w:r w:rsidRPr="009B51FD">
              <w:rPr>
                <w:b/>
                <w:bCs/>
                <w:sz w:val="18"/>
                <w:szCs w:val="18"/>
              </w:rPr>
              <w:t>-2,2</w:t>
            </w:r>
          </w:p>
        </w:tc>
      </w:tr>
      <w:tr w:rsidR="009B51FD" w:rsidRPr="009B51FD" w:rsidTr="006F4F25">
        <w:trPr>
          <w:trHeight w:val="20"/>
        </w:trPr>
        <w:tc>
          <w:tcPr>
            <w:tcW w:w="3993" w:type="dxa"/>
            <w:noWrap/>
            <w:vAlign w:val="bottom"/>
            <w:hideMark/>
          </w:tcPr>
          <w:p w:rsidR="009B51FD" w:rsidRPr="009B51FD" w:rsidRDefault="009B51FD" w:rsidP="009B51FD">
            <w:pPr>
              <w:ind w:firstLineChars="300" w:firstLine="540"/>
              <w:rPr>
                <w:sz w:val="18"/>
                <w:szCs w:val="18"/>
              </w:rPr>
            </w:pPr>
            <w:r w:rsidRPr="009B51FD">
              <w:rPr>
                <w:sz w:val="18"/>
                <w:szCs w:val="18"/>
              </w:rPr>
              <w:t>-товары</w:t>
            </w:r>
          </w:p>
        </w:tc>
        <w:tc>
          <w:tcPr>
            <w:tcW w:w="935" w:type="dxa"/>
            <w:noWrap/>
            <w:vAlign w:val="center"/>
            <w:hideMark/>
          </w:tcPr>
          <w:p w:rsidR="009B51FD" w:rsidRPr="009B51FD" w:rsidRDefault="009B51FD" w:rsidP="009B51FD">
            <w:pPr>
              <w:jc w:val="center"/>
              <w:rPr>
                <w:sz w:val="18"/>
                <w:szCs w:val="18"/>
              </w:rPr>
            </w:pPr>
            <w:r w:rsidRPr="009B51FD">
              <w:rPr>
                <w:sz w:val="18"/>
                <w:szCs w:val="18"/>
              </w:rPr>
              <w:t>28,6</w:t>
            </w:r>
          </w:p>
        </w:tc>
        <w:tc>
          <w:tcPr>
            <w:tcW w:w="936" w:type="dxa"/>
            <w:noWrap/>
            <w:vAlign w:val="center"/>
            <w:hideMark/>
          </w:tcPr>
          <w:p w:rsidR="009B51FD" w:rsidRPr="009B51FD" w:rsidRDefault="009B51FD" w:rsidP="009B51FD">
            <w:pPr>
              <w:jc w:val="center"/>
              <w:rPr>
                <w:sz w:val="18"/>
                <w:szCs w:val="18"/>
              </w:rPr>
            </w:pPr>
            <w:r w:rsidRPr="009B51FD">
              <w:rPr>
                <w:sz w:val="18"/>
                <w:szCs w:val="18"/>
              </w:rPr>
              <w:t>29,3</w:t>
            </w:r>
          </w:p>
        </w:tc>
        <w:tc>
          <w:tcPr>
            <w:tcW w:w="935" w:type="dxa"/>
            <w:noWrap/>
            <w:vAlign w:val="center"/>
            <w:hideMark/>
          </w:tcPr>
          <w:p w:rsidR="009B51FD" w:rsidRPr="009B51FD" w:rsidRDefault="009B51FD" w:rsidP="009B51FD">
            <w:pPr>
              <w:jc w:val="center"/>
              <w:rPr>
                <w:sz w:val="18"/>
                <w:szCs w:val="18"/>
              </w:rPr>
            </w:pPr>
            <w:r w:rsidRPr="009B51FD">
              <w:rPr>
                <w:sz w:val="18"/>
                <w:szCs w:val="18"/>
              </w:rPr>
              <w:t>28,6</w:t>
            </w:r>
          </w:p>
        </w:tc>
        <w:tc>
          <w:tcPr>
            <w:tcW w:w="936" w:type="dxa"/>
            <w:noWrap/>
            <w:vAlign w:val="center"/>
            <w:hideMark/>
          </w:tcPr>
          <w:p w:rsidR="009B51FD" w:rsidRPr="009B51FD" w:rsidRDefault="009B51FD" w:rsidP="009B51FD">
            <w:pPr>
              <w:jc w:val="center"/>
              <w:rPr>
                <w:sz w:val="18"/>
                <w:szCs w:val="18"/>
              </w:rPr>
            </w:pPr>
            <w:r w:rsidRPr="009B51FD">
              <w:rPr>
                <w:sz w:val="18"/>
                <w:szCs w:val="18"/>
              </w:rPr>
              <w:t>28,5</w:t>
            </w:r>
          </w:p>
        </w:tc>
        <w:tc>
          <w:tcPr>
            <w:tcW w:w="936" w:type="dxa"/>
            <w:noWrap/>
            <w:vAlign w:val="center"/>
            <w:hideMark/>
          </w:tcPr>
          <w:p w:rsidR="009B51FD" w:rsidRPr="009B51FD" w:rsidRDefault="009B51FD" w:rsidP="009B51FD">
            <w:pPr>
              <w:jc w:val="center"/>
              <w:rPr>
                <w:sz w:val="18"/>
                <w:szCs w:val="18"/>
              </w:rPr>
            </w:pPr>
            <w:r w:rsidRPr="009B51FD">
              <w:rPr>
                <w:sz w:val="18"/>
                <w:szCs w:val="18"/>
              </w:rPr>
              <w:t>28,4</w:t>
            </w:r>
          </w:p>
        </w:tc>
        <w:tc>
          <w:tcPr>
            <w:tcW w:w="1252" w:type="dxa"/>
            <w:noWrap/>
            <w:vAlign w:val="center"/>
            <w:hideMark/>
          </w:tcPr>
          <w:p w:rsidR="009B51FD" w:rsidRPr="009B51FD" w:rsidRDefault="009B51FD" w:rsidP="009B51FD">
            <w:pPr>
              <w:jc w:val="right"/>
              <w:rPr>
                <w:sz w:val="18"/>
                <w:szCs w:val="18"/>
              </w:rPr>
            </w:pPr>
            <w:r w:rsidRPr="009B51FD">
              <w:rPr>
                <w:sz w:val="18"/>
                <w:szCs w:val="18"/>
              </w:rPr>
              <w:t>-0,9</w:t>
            </w:r>
          </w:p>
        </w:tc>
      </w:tr>
      <w:tr w:rsidR="009B51FD" w:rsidRPr="009B51FD" w:rsidTr="006F4F25">
        <w:trPr>
          <w:trHeight w:val="20"/>
        </w:trPr>
        <w:tc>
          <w:tcPr>
            <w:tcW w:w="3993" w:type="dxa"/>
            <w:noWrap/>
            <w:vAlign w:val="bottom"/>
            <w:hideMark/>
          </w:tcPr>
          <w:p w:rsidR="009B51FD" w:rsidRPr="009B51FD" w:rsidRDefault="009B51FD" w:rsidP="009B51FD">
            <w:pPr>
              <w:ind w:firstLineChars="300" w:firstLine="540"/>
              <w:rPr>
                <w:sz w:val="18"/>
                <w:szCs w:val="18"/>
              </w:rPr>
            </w:pPr>
            <w:r w:rsidRPr="009B51FD">
              <w:rPr>
                <w:sz w:val="18"/>
                <w:szCs w:val="18"/>
              </w:rPr>
              <w:t>-услуги</w:t>
            </w:r>
          </w:p>
        </w:tc>
        <w:tc>
          <w:tcPr>
            <w:tcW w:w="935" w:type="dxa"/>
            <w:noWrap/>
            <w:vAlign w:val="center"/>
            <w:hideMark/>
          </w:tcPr>
          <w:p w:rsidR="009B51FD" w:rsidRPr="009B51FD" w:rsidRDefault="009B51FD" w:rsidP="009B51FD">
            <w:pPr>
              <w:jc w:val="center"/>
              <w:rPr>
                <w:sz w:val="18"/>
                <w:szCs w:val="18"/>
              </w:rPr>
            </w:pPr>
            <w:r w:rsidRPr="009B51FD">
              <w:rPr>
                <w:sz w:val="18"/>
                <w:szCs w:val="18"/>
              </w:rPr>
              <w:t>11,0</w:t>
            </w:r>
          </w:p>
        </w:tc>
        <w:tc>
          <w:tcPr>
            <w:tcW w:w="936" w:type="dxa"/>
            <w:noWrap/>
            <w:vAlign w:val="center"/>
            <w:hideMark/>
          </w:tcPr>
          <w:p w:rsidR="009B51FD" w:rsidRPr="009B51FD" w:rsidRDefault="009B51FD" w:rsidP="009B51FD">
            <w:pPr>
              <w:jc w:val="center"/>
              <w:rPr>
                <w:sz w:val="18"/>
                <w:szCs w:val="18"/>
              </w:rPr>
            </w:pPr>
            <w:r w:rsidRPr="009B51FD">
              <w:rPr>
                <w:sz w:val="18"/>
                <w:szCs w:val="18"/>
              </w:rPr>
              <w:t>11,9</w:t>
            </w:r>
          </w:p>
        </w:tc>
        <w:tc>
          <w:tcPr>
            <w:tcW w:w="935" w:type="dxa"/>
            <w:noWrap/>
            <w:vAlign w:val="center"/>
            <w:hideMark/>
          </w:tcPr>
          <w:p w:rsidR="009B51FD" w:rsidRPr="009B51FD" w:rsidRDefault="009B51FD" w:rsidP="009B51FD">
            <w:pPr>
              <w:jc w:val="center"/>
              <w:rPr>
                <w:sz w:val="18"/>
                <w:szCs w:val="18"/>
              </w:rPr>
            </w:pPr>
            <w:r w:rsidRPr="009B51FD">
              <w:rPr>
                <w:sz w:val="18"/>
                <w:szCs w:val="18"/>
              </w:rPr>
              <w:t>11,9</w:t>
            </w:r>
          </w:p>
        </w:tc>
        <w:tc>
          <w:tcPr>
            <w:tcW w:w="936" w:type="dxa"/>
            <w:noWrap/>
            <w:vAlign w:val="center"/>
            <w:hideMark/>
          </w:tcPr>
          <w:p w:rsidR="009B51FD" w:rsidRPr="009B51FD" w:rsidRDefault="009B51FD" w:rsidP="009B51FD">
            <w:pPr>
              <w:jc w:val="center"/>
              <w:rPr>
                <w:sz w:val="18"/>
                <w:szCs w:val="18"/>
              </w:rPr>
            </w:pPr>
            <w:r w:rsidRPr="009B51FD">
              <w:rPr>
                <w:sz w:val="18"/>
                <w:szCs w:val="18"/>
              </w:rPr>
              <w:t>11,7</w:t>
            </w:r>
          </w:p>
        </w:tc>
        <w:tc>
          <w:tcPr>
            <w:tcW w:w="936" w:type="dxa"/>
            <w:noWrap/>
            <w:vAlign w:val="center"/>
            <w:hideMark/>
          </w:tcPr>
          <w:p w:rsidR="009B51FD" w:rsidRPr="009B51FD" w:rsidRDefault="009B51FD" w:rsidP="009B51FD">
            <w:pPr>
              <w:jc w:val="center"/>
              <w:rPr>
                <w:sz w:val="18"/>
                <w:szCs w:val="18"/>
              </w:rPr>
            </w:pPr>
            <w:r w:rsidRPr="009B51FD">
              <w:rPr>
                <w:sz w:val="18"/>
                <w:szCs w:val="18"/>
              </w:rPr>
              <w:t>11,5</w:t>
            </w:r>
          </w:p>
        </w:tc>
        <w:tc>
          <w:tcPr>
            <w:tcW w:w="1252" w:type="dxa"/>
            <w:noWrap/>
            <w:vAlign w:val="center"/>
            <w:hideMark/>
          </w:tcPr>
          <w:p w:rsidR="009B51FD" w:rsidRPr="009B51FD" w:rsidRDefault="009B51FD" w:rsidP="009B51FD">
            <w:pPr>
              <w:jc w:val="right"/>
              <w:rPr>
                <w:sz w:val="18"/>
                <w:szCs w:val="18"/>
              </w:rPr>
            </w:pPr>
            <w:r w:rsidRPr="009B51FD">
              <w:rPr>
                <w:sz w:val="18"/>
                <w:szCs w:val="18"/>
              </w:rPr>
              <w:t>-0,4</w:t>
            </w:r>
          </w:p>
        </w:tc>
      </w:tr>
      <w:tr w:rsidR="009B51FD" w:rsidRPr="009B51FD" w:rsidTr="006F4F25">
        <w:trPr>
          <w:trHeight w:val="20"/>
        </w:trPr>
        <w:tc>
          <w:tcPr>
            <w:tcW w:w="3993" w:type="dxa"/>
            <w:hideMark/>
          </w:tcPr>
          <w:p w:rsidR="009B51FD" w:rsidRPr="009B51FD" w:rsidRDefault="009B51FD" w:rsidP="00C03FED">
            <w:pPr>
              <w:ind w:firstLineChars="200" w:firstLine="360"/>
              <w:rPr>
                <w:b/>
                <w:bCs/>
                <w:sz w:val="18"/>
                <w:szCs w:val="18"/>
              </w:rPr>
            </w:pPr>
            <w:r w:rsidRPr="009B51FD">
              <w:rPr>
                <w:b/>
                <w:bCs/>
                <w:sz w:val="18"/>
                <w:szCs w:val="18"/>
              </w:rPr>
              <w:t>Государственного управления</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18,6</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19,1</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19,3</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19,1</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18,8</w:t>
            </w:r>
          </w:p>
        </w:tc>
        <w:tc>
          <w:tcPr>
            <w:tcW w:w="1252" w:type="dxa"/>
            <w:noWrap/>
            <w:vAlign w:val="center"/>
            <w:hideMark/>
          </w:tcPr>
          <w:p w:rsidR="009B51FD" w:rsidRPr="009B51FD" w:rsidRDefault="009B51FD" w:rsidP="009B51FD">
            <w:pPr>
              <w:jc w:val="right"/>
              <w:rPr>
                <w:b/>
                <w:bCs/>
                <w:sz w:val="18"/>
                <w:szCs w:val="18"/>
              </w:rPr>
            </w:pPr>
            <w:r w:rsidRPr="009B51FD">
              <w:rPr>
                <w:b/>
                <w:bCs/>
                <w:sz w:val="18"/>
                <w:szCs w:val="18"/>
              </w:rPr>
              <w:t>-0,3</w:t>
            </w:r>
          </w:p>
        </w:tc>
      </w:tr>
      <w:tr w:rsidR="009B51FD" w:rsidRPr="009B51FD" w:rsidTr="006F4F25">
        <w:trPr>
          <w:trHeight w:val="20"/>
        </w:trPr>
        <w:tc>
          <w:tcPr>
            <w:tcW w:w="3993" w:type="dxa"/>
            <w:noWrap/>
            <w:vAlign w:val="center"/>
            <w:hideMark/>
          </w:tcPr>
          <w:p w:rsidR="009B51FD" w:rsidRPr="009B51FD" w:rsidRDefault="009B51FD" w:rsidP="00C03FED">
            <w:pPr>
              <w:ind w:firstLineChars="100" w:firstLine="180"/>
              <w:rPr>
                <w:b/>
                <w:bCs/>
                <w:sz w:val="18"/>
                <w:szCs w:val="18"/>
              </w:rPr>
            </w:pPr>
            <w:r w:rsidRPr="009B51FD">
              <w:rPr>
                <w:b/>
                <w:bCs/>
                <w:sz w:val="18"/>
                <w:szCs w:val="18"/>
              </w:rPr>
              <w:t>Валовое накопление</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26,3</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27,5</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27,5</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28,1</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28,2</w:t>
            </w:r>
          </w:p>
        </w:tc>
        <w:tc>
          <w:tcPr>
            <w:tcW w:w="1252" w:type="dxa"/>
            <w:noWrap/>
            <w:vAlign w:val="center"/>
            <w:hideMark/>
          </w:tcPr>
          <w:p w:rsidR="009B51FD" w:rsidRPr="009B51FD" w:rsidRDefault="009B51FD" w:rsidP="009B51FD">
            <w:pPr>
              <w:jc w:val="right"/>
              <w:rPr>
                <w:b/>
                <w:bCs/>
                <w:sz w:val="18"/>
                <w:szCs w:val="18"/>
              </w:rPr>
            </w:pPr>
            <w:r w:rsidRPr="009B51FD">
              <w:rPr>
                <w:b/>
                <w:bCs/>
                <w:sz w:val="18"/>
                <w:szCs w:val="18"/>
              </w:rPr>
              <w:t>0,7</w:t>
            </w:r>
          </w:p>
        </w:tc>
      </w:tr>
      <w:tr w:rsidR="009B51FD" w:rsidRPr="009B51FD" w:rsidTr="006F4F25">
        <w:trPr>
          <w:trHeight w:val="20"/>
        </w:trPr>
        <w:tc>
          <w:tcPr>
            <w:tcW w:w="3993" w:type="dxa"/>
            <w:noWrap/>
            <w:vAlign w:val="center"/>
            <w:hideMark/>
          </w:tcPr>
          <w:p w:rsidR="009B51FD" w:rsidRPr="009B51FD" w:rsidRDefault="009B51FD" w:rsidP="009B51FD">
            <w:pPr>
              <w:ind w:firstLineChars="200" w:firstLine="360"/>
              <w:rPr>
                <w:sz w:val="18"/>
                <w:szCs w:val="18"/>
              </w:rPr>
            </w:pPr>
            <w:r w:rsidRPr="009B51FD">
              <w:rPr>
                <w:sz w:val="18"/>
                <w:szCs w:val="18"/>
              </w:rPr>
              <w:t>Основного капитала</w:t>
            </w:r>
          </w:p>
        </w:tc>
        <w:tc>
          <w:tcPr>
            <w:tcW w:w="935" w:type="dxa"/>
            <w:noWrap/>
            <w:vAlign w:val="center"/>
            <w:hideMark/>
          </w:tcPr>
          <w:p w:rsidR="009B51FD" w:rsidRPr="009B51FD" w:rsidRDefault="009B51FD" w:rsidP="009B51FD">
            <w:pPr>
              <w:jc w:val="center"/>
              <w:rPr>
                <w:sz w:val="18"/>
                <w:szCs w:val="18"/>
              </w:rPr>
            </w:pPr>
            <w:r w:rsidRPr="009B51FD">
              <w:rPr>
                <w:sz w:val="18"/>
                <w:szCs w:val="18"/>
              </w:rPr>
              <w:t>22,1</w:t>
            </w:r>
          </w:p>
        </w:tc>
        <w:tc>
          <w:tcPr>
            <w:tcW w:w="936" w:type="dxa"/>
            <w:noWrap/>
            <w:vAlign w:val="center"/>
            <w:hideMark/>
          </w:tcPr>
          <w:p w:rsidR="009B51FD" w:rsidRPr="009B51FD" w:rsidRDefault="009B51FD" w:rsidP="009B51FD">
            <w:pPr>
              <w:jc w:val="center"/>
              <w:rPr>
                <w:sz w:val="18"/>
                <w:szCs w:val="18"/>
              </w:rPr>
            </w:pPr>
            <w:r w:rsidRPr="009B51FD">
              <w:rPr>
                <w:sz w:val="18"/>
                <w:szCs w:val="18"/>
              </w:rPr>
              <w:t>22,4</w:t>
            </w:r>
          </w:p>
        </w:tc>
        <w:tc>
          <w:tcPr>
            <w:tcW w:w="935" w:type="dxa"/>
            <w:noWrap/>
            <w:vAlign w:val="center"/>
            <w:hideMark/>
          </w:tcPr>
          <w:p w:rsidR="009B51FD" w:rsidRPr="009B51FD" w:rsidRDefault="009B51FD" w:rsidP="009B51FD">
            <w:pPr>
              <w:jc w:val="center"/>
              <w:rPr>
                <w:sz w:val="18"/>
                <w:szCs w:val="18"/>
              </w:rPr>
            </w:pPr>
            <w:r w:rsidRPr="009B51FD">
              <w:rPr>
                <w:sz w:val="18"/>
                <w:szCs w:val="18"/>
              </w:rPr>
              <w:t>21,7</w:t>
            </w:r>
          </w:p>
        </w:tc>
        <w:tc>
          <w:tcPr>
            <w:tcW w:w="936" w:type="dxa"/>
            <w:noWrap/>
            <w:vAlign w:val="center"/>
            <w:hideMark/>
          </w:tcPr>
          <w:p w:rsidR="009B51FD" w:rsidRPr="009B51FD" w:rsidRDefault="009B51FD" w:rsidP="009B51FD">
            <w:pPr>
              <w:jc w:val="center"/>
              <w:rPr>
                <w:sz w:val="18"/>
                <w:szCs w:val="18"/>
              </w:rPr>
            </w:pPr>
            <w:r w:rsidRPr="009B51FD">
              <w:rPr>
                <w:sz w:val="18"/>
                <w:szCs w:val="18"/>
              </w:rPr>
              <w:t>21,6</w:t>
            </w:r>
          </w:p>
        </w:tc>
        <w:tc>
          <w:tcPr>
            <w:tcW w:w="936" w:type="dxa"/>
            <w:noWrap/>
            <w:vAlign w:val="center"/>
            <w:hideMark/>
          </w:tcPr>
          <w:p w:rsidR="009B51FD" w:rsidRPr="009B51FD" w:rsidRDefault="009B51FD" w:rsidP="009B51FD">
            <w:pPr>
              <w:jc w:val="center"/>
              <w:rPr>
                <w:sz w:val="18"/>
                <w:szCs w:val="18"/>
              </w:rPr>
            </w:pPr>
            <w:r w:rsidRPr="009B51FD">
              <w:rPr>
                <w:sz w:val="18"/>
                <w:szCs w:val="18"/>
              </w:rPr>
              <w:t>21,5</w:t>
            </w:r>
          </w:p>
        </w:tc>
        <w:tc>
          <w:tcPr>
            <w:tcW w:w="1252" w:type="dxa"/>
            <w:noWrap/>
            <w:vAlign w:val="center"/>
            <w:hideMark/>
          </w:tcPr>
          <w:p w:rsidR="009B51FD" w:rsidRPr="009B51FD" w:rsidRDefault="009B51FD" w:rsidP="009B51FD">
            <w:pPr>
              <w:jc w:val="right"/>
              <w:rPr>
                <w:sz w:val="18"/>
                <w:szCs w:val="18"/>
              </w:rPr>
            </w:pPr>
            <w:r w:rsidRPr="009B51FD">
              <w:rPr>
                <w:sz w:val="18"/>
                <w:szCs w:val="18"/>
              </w:rPr>
              <w:t>-0,9</w:t>
            </w:r>
          </w:p>
        </w:tc>
      </w:tr>
      <w:tr w:rsidR="009B51FD" w:rsidRPr="009B51FD" w:rsidTr="006F4F25">
        <w:trPr>
          <w:trHeight w:val="20"/>
        </w:trPr>
        <w:tc>
          <w:tcPr>
            <w:tcW w:w="3993" w:type="dxa"/>
            <w:vAlign w:val="center"/>
            <w:hideMark/>
          </w:tcPr>
          <w:p w:rsidR="009B51FD" w:rsidRPr="009B51FD" w:rsidRDefault="009B51FD" w:rsidP="009B51FD">
            <w:pPr>
              <w:ind w:firstLineChars="200" w:firstLine="360"/>
              <w:rPr>
                <w:sz w:val="18"/>
                <w:szCs w:val="18"/>
              </w:rPr>
            </w:pPr>
            <w:r w:rsidRPr="009B51FD">
              <w:rPr>
                <w:sz w:val="18"/>
                <w:szCs w:val="18"/>
              </w:rPr>
              <w:t>Изменение запасов материальных оборотных средств</w:t>
            </w:r>
          </w:p>
        </w:tc>
        <w:tc>
          <w:tcPr>
            <w:tcW w:w="935" w:type="dxa"/>
            <w:noWrap/>
            <w:vAlign w:val="center"/>
            <w:hideMark/>
          </w:tcPr>
          <w:p w:rsidR="009B51FD" w:rsidRPr="009B51FD" w:rsidRDefault="009B51FD" w:rsidP="009B51FD">
            <w:pPr>
              <w:jc w:val="center"/>
              <w:rPr>
                <w:sz w:val="18"/>
                <w:szCs w:val="18"/>
              </w:rPr>
            </w:pPr>
            <w:r w:rsidRPr="009B51FD">
              <w:rPr>
                <w:sz w:val="18"/>
                <w:szCs w:val="18"/>
              </w:rPr>
              <w:t>4,2</w:t>
            </w:r>
          </w:p>
        </w:tc>
        <w:tc>
          <w:tcPr>
            <w:tcW w:w="936" w:type="dxa"/>
            <w:noWrap/>
            <w:vAlign w:val="center"/>
            <w:hideMark/>
          </w:tcPr>
          <w:p w:rsidR="009B51FD" w:rsidRPr="009B51FD" w:rsidRDefault="009B51FD" w:rsidP="009B51FD">
            <w:pPr>
              <w:jc w:val="center"/>
              <w:rPr>
                <w:sz w:val="18"/>
                <w:szCs w:val="18"/>
              </w:rPr>
            </w:pPr>
            <w:r w:rsidRPr="009B51FD">
              <w:rPr>
                <w:sz w:val="18"/>
                <w:szCs w:val="18"/>
              </w:rPr>
              <w:t>5,1</w:t>
            </w:r>
          </w:p>
        </w:tc>
        <w:tc>
          <w:tcPr>
            <w:tcW w:w="935" w:type="dxa"/>
            <w:noWrap/>
            <w:vAlign w:val="center"/>
            <w:hideMark/>
          </w:tcPr>
          <w:p w:rsidR="009B51FD" w:rsidRPr="009B51FD" w:rsidRDefault="009B51FD" w:rsidP="009B51FD">
            <w:pPr>
              <w:jc w:val="center"/>
              <w:rPr>
                <w:sz w:val="18"/>
                <w:szCs w:val="18"/>
              </w:rPr>
            </w:pPr>
            <w:r w:rsidRPr="009B51FD">
              <w:rPr>
                <w:sz w:val="18"/>
                <w:szCs w:val="18"/>
              </w:rPr>
              <w:t>5,8</w:t>
            </w:r>
          </w:p>
        </w:tc>
        <w:tc>
          <w:tcPr>
            <w:tcW w:w="936" w:type="dxa"/>
            <w:noWrap/>
            <w:vAlign w:val="center"/>
            <w:hideMark/>
          </w:tcPr>
          <w:p w:rsidR="009B51FD" w:rsidRPr="009B51FD" w:rsidRDefault="009B51FD" w:rsidP="009B51FD">
            <w:pPr>
              <w:jc w:val="center"/>
              <w:rPr>
                <w:sz w:val="18"/>
                <w:szCs w:val="18"/>
              </w:rPr>
            </w:pPr>
            <w:r w:rsidRPr="009B51FD">
              <w:rPr>
                <w:sz w:val="18"/>
                <w:szCs w:val="18"/>
              </w:rPr>
              <w:t>6,5</w:t>
            </w:r>
          </w:p>
        </w:tc>
        <w:tc>
          <w:tcPr>
            <w:tcW w:w="936" w:type="dxa"/>
            <w:noWrap/>
            <w:vAlign w:val="center"/>
            <w:hideMark/>
          </w:tcPr>
          <w:p w:rsidR="009B51FD" w:rsidRPr="009B51FD" w:rsidRDefault="009B51FD" w:rsidP="009B51FD">
            <w:pPr>
              <w:jc w:val="center"/>
              <w:rPr>
                <w:sz w:val="18"/>
                <w:szCs w:val="18"/>
              </w:rPr>
            </w:pPr>
            <w:r w:rsidRPr="009B51FD">
              <w:rPr>
                <w:sz w:val="18"/>
                <w:szCs w:val="18"/>
              </w:rPr>
              <w:t>6,7</w:t>
            </w:r>
          </w:p>
        </w:tc>
        <w:tc>
          <w:tcPr>
            <w:tcW w:w="1252" w:type="dxa"/>
            <w:noWrap/>
            <w:vAlign w:val="center"/>
            <w:hideMark/>
          </w:tcPr>
          <w:p w:rsidR="009B51FD" w:rsidRPr="009B51FD" w:rsidRDefault="009B51FD" w:rsidP="009B51FD">
            <w:pPr>
              <w:jc w:val="right"/>
              <w:rPr>
                <w:sz w:val="18"/>
                <w:szCs w:val="18"/>
              </w:rPr>
            </w:pPr>
            <w:r w:rsidRPr="009B51FD">
              <w:rPr>
                <w:sz w:val="18"/>
                <w:szCs w:val="18"/>
              </w:rPr>
              <w:t>1,6</w:t>
            </w:r>
          </w:p>
        </w:tc>
      </w:tr>
      <w:tr w:rsidR="009B51FD" w:rsidRPr="009B51FD" w:rsidTr="006F4F25">
        <w:trPr>
          <w:trHeight w:val="20"/>
        </w:trPr>
        <w:tc>
          <w:tcPr>
            <w:tcW w:w="3993" w:type="dxa"/>
            <w:noWrap/>
            <w:vAlign w:val="bottom"/>
            <w:hideMark/>
          </w:tcPr>
          <w:p w:rsidR="009B51FD" w:rsidRPr="009B51FD" w:rsidRDefault="009B51FD" w:rsidP="00C03FED">
            <w:pPr>
              <w:ind w:firstLineChars="100" w:firstLine="180"/>
              <w:rPr>
                <w:b/>
                <w:bCs/>
                <w:sz w:val="18"/>
                <w:szCs w:val="18"/>
              </w:rPr>
            </w:pPr>
            <w:r w:rsidRPr="009B51FD">
              <w:rPr>
                <w:b/>
                <w:bCs/>
                <w:sz w:val="18"/>
                <w:szCs w:val="18"/>
              </w:rPr>
              <w:t>Чистый экспорт</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4,3</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2,5</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3,1</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3,4</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4,3</w:t>
            </w:r>
          </w:p>
        </w:tc>
        <w:tc>
          <w:tcPr>
            <w:tcW w:w="1252" w:type="dxa"/>
            <w:noWrap/>
            <w:vAlign w:val="center"/>
            <w:hideMark/>
          </w:tcPr>
          <w:p w:rsidR="009B51FD" w:rsidRPr="009B51FD" w:rsidRDefault="009B51FD" w:rsidP="009B51FD">
            <w:pPr>
              <w:jc w:val="right"/>
              <w:rPr>
                <w:b/>
                <w:bCs/>
                <w:sz w:val="18"/>
                <w:szCs w:val="18"/>
              </w:rPr>
            </w:pPr>
            <w:r w:rsidRPr="009B51FD">
              <w:rPr>
                <w:b/>
                <w:bCs/>
                <w:sz w:val="18"/>
                <w:szCs w:val="18"/>
              </w:rPr>
              <w:t>1,8</w:t>
            </w:r>
          </w:p>
        </w:tc>
      </w:tr>
      <w:tr w:rsidR="009B51FD" w:rsidRPr="009B51FD" w:rsidTr="006F4F25">
        <w:trPr>
          <w:trHeight w:val="20"/>
        </w:trPr>
        <w:tc>
          <w:tcPr>
            <w:tcW w:w="3993" w:type="dxa"/>
            <w:noWrap/>
            <w:vAlign w:val="center"/>
            <w:hideMark/>
          </w:tcPr>
          <w:p w:rsidR="009B51FD" w:rsidRPr="009B51FD" w:rsidRDefault="009B51FD" w:rsidP="00C03FED">
            <w:pPr>
              <w:ind w:firstLineChars="100" w:firstLine="180"/>
              <w:rPr>
                <w:b/>
                <w:bCs/>
                <w:sz w:val="18"/>
                <w:szCs w:val="18"/>
              </w:rPr>
            </w:pPr>
            <w:r w:rsidRPr="009B51FD">
              <w:rPr>
                <w:b/>
                <w:bCs/>
                <w:sz w:val="18"/>
                <w:szCs w:val="18"/>
              </w:rPr>
              <w:t>Экспорт</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21,9</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18,2</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18,8</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19,3</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20,3</w:t>
            </w:r>
          </w:p>
        </w:tc>
        <w:tc>
          <w:tcPr>
            <w:tcW w:w="1252" w:type="dxa"/>
            <w:noWrap/>
            <w:vAlign w:val="center"/>
            <w:hideMark/>
          </w:tcPr>
          <w:p w:rsidR="009B51FD" w:rsidRPr="009B51FD" w:rsidRDefault="009B51FD" w:rsidP="009B51FD">
            <w:pPr>
              <w:jc w:val="right"/>
              <w:rPr>
                <w:b/>
                <w:bCs/>
                <w:sz w:val="18"/>
                <w:szCs w:val="18"/>
              </w:rPr>
            </w:pPr>
            <w:r w:rsidRPr="009B51FD">
              <w:rPr>
                <w:b/>
                <w:bCs/>
                <w:sz w:val="18"/>
                <w:szCs w:val="18"/>
              </w:rPr>
              <w:t>2,1</w:t>
            </w:r>
          </w:p>
        </w:tc>
      </w:tr>
      <w:tr w:rsidR="009B51FD" w:rsidRPr="009B51FD" w:rsidTr="006F4F25">
        <w:trPr>
          <w:trHeight w:val="20"/>
        </w:trPr>
        <w:tc>
          <w:tcPr>
            <w:tcW w:w="3993" w:type="dxa"/>
            <w:noWrap/>
            <w:vAlign w:val="bottom"/>
            <w:hideMark/>
          </w:tcPr>
          <w:p w:rsidR="009B51FD" w:rsidRPr="009B51FD" w:rsidRDefault="009B51FD" w:rsidP="009B51FD">
            <w:pPr>
              <w:ind w:firstLineChars="200" w:firstLine="360"/>
              <w:rPr>
                <w:sz w:val="18"/>
                <w:szCs w:val="18"/>
              </w:rPr>
            </w:pPr>
            <w:r w:rsidRPr="009B51FD">
              <w:rPr>
                <w:sz w:val="18"/>
                <w:szCs w:val="18"/>
              </w:rPr>
              <w:t>товары</w:t>
            </w:r>
          </w:p>
        </w:tc>
        <w:tc>
          <w:tcPr>
            <w:tcW w:w="935" w:type="dxa"/>
            <w:noWrap/>
            <w:vAlign w:val="center"/>
            <w:hideMark/>
          </w:tcPr>
          <w:p w:rsidR="009B51FD" w:rsidRPr="009B51FD" w:rsidRDefault="009B51FD" w:rsidP="009B51FD">
            <w:pPr>
              <w:jc w:val="center"/>
              <w:rPr>
                <w:sz w:val="18"/>
                <w:szCs w:val="18"/>
              </w:rPr>
            </w:pPr>
            <w:r w:rsidRPr="009B51FD">
              <w:rPr>
                <w:sz w:val="18"/>
                <w:szCs w:val="18"/>
              </w:rPr>
              <w:t>20,0</w:t>
            </w:r>
          </w:p>
        </w:tc>
        <w:tc>
          <w:tcPr>
            <w:tcW w:w="936" w:type="dxa"/>
            <w:noWrap/>
            <w:vAlign w:val="center"/>
            <w:hideMark/>
          </w:tcPr>
          <w:p w:rsidR="009B51FD" w:rsidRPr="009B51FD" w:rsidRDefault="009B51FD" w:rsidP="009B51FD">
            <w:pPr>
              <w:jc w:val="center"/>
              <w:rPr>
                <w:sz w:val="18"/>
                <w:szCs w:val="18"/>
              </w:rPr>
            </w:pPr>
            <w:r w:rsidRPr="009B51FD">
              <w:rPr>
                <w:sz w:val="18"/>
                <w:szCs w:val="18"/>
              </w:rPr>
              <w:t>16,4</w:t>
            </w:r>
          </w:p>
        </w:tc>
        <w:tc>
          <w:tcPr>
            <w:tcW w:w="935" w:type="dxa"/>
            <w:noWrap/>
            <w:vAlign w:val="center"/>
            <w:hideMark/>
          </w:tcPr>
          <w:p w:rsidR="009B51FD" w:rsidRPr="009B51FD" w:rsidRDefault="009B51FD" w:rsidP="009B51FD">
            <w:pPr>
              <w:jc w:val="center"/>
              <w:rPr>
                <w:sz w:val="18"/>
                <w:szCs w:val="18"/>
              </w:rPr>
            </w:pPr>
            <w:r w:rsidRPr="009B51FD">
              <w:rPr>
                <w:sz w:val="18"/>
                <w:szCs w:val="18"/>
              </w:rPr>
              <w:t>16,9</w:t>
            </w:r>
          </w:p>
        </w:tc>
        <w:tc>
          <w:tcPr>
            <w:tcW w:w="936" w:type="dxa"/>
            <w:noWrap/>
            <w:vAlign w:val="center"/>
            <w:hideMark/>
          </w:tcPr>
          <w:p w:rsidR="009B51FD" w:rsidRPr="009B51FD" w:rsidRDefault="009B51FD" w:rsidP="009B51FD">
            <w:pPr>
              <w:jc w:val="center"/>
              <w:rPr>
                <w:sz w:val="18"/>
                <w:szCs w:val="18"/>
              </w:rPr>
            </w:pPr>
            <w:r w:rsidRPr="009B51FD">
              <w:rPr>
                <w:sz w:val="18"/>
                <w:szCs w:val="18"/>
              </w:rPr>
              <w:t>17,3</w:t>
            </w:r>
          </w:p>
        </w:tc>
        <w:tc>
          <w:tcPr>
            <w:tcW w:w="936" w:type="dxa"/>
            <w:noWrap/>
            <w:vAlign w:val="center"/>
            <w:hideMark/>
          </w:tcPr>
          <w:p w:rsidR="009B51FD" w:rsidRPr="009B51FD" w:rsidRDefault="009B51FD" w:rsidP="009B51FD">
            <w:pPr>
              <w:jc w:val="center"/>
              <w:rPr>
                <w:sz w:val="18"/>
                <w:szCs w:val="18"/>
              </w:rPr>
            </w:pPr>
            <w:r w:rsidRPr="009B51FD">
              <w:rPr>
                <w:sz w:val="18"/>
                <w:szCs w:val="18"/>
              </w:rPr>
              <w:t>18,3</w:t>
            </w:r>
          </w:p>
        </w:tc>
        <w:tc>
          <w:tcPr>
            <w:tcW w:w="1252" w:type="dxa"/>
            <w:noWrap/>
            <w:vAlign w:val="center"/>
            <w:hideMark/>
          </w:tcPr>
          <w:p w:rsidR="009B51FD" w:rsidRPr="009B51FD" w:rsidRDefault="009B51FD" w:rsidP="009B51FD">
            <w:pPr>
              <w:jc w:val="right"/>
              <w:rPr>
                <w:sz w:val="18"/>
                <w:szCs w:val="18"/>
              </w:rPr>
            </w:pPr>
            <w:r w:rsidRPr="009B51FD">
              <w:rPr>
                <w:sz w:val="18"/>
                <w:szCs w:val="18"/>
              </w:rPr>
              <w:t>1,9</w:t>
            </w:r>
          </w:p>
        </w:tc>
      </w:tr>
      <w:tr w:rsidR="009B51FD" w:rsidRPr="009B51FD" w:rsidTr="006F4F25">
        <w:trPr>
          <w:trHeight w:val="20"/>
        </w:trPr>
        <w:tc>
          <w:tcPr>
            <w:tcW w:w="3993" w:type="dxa"/>
            <w:noWrap/>
            <w:vAlign w:val="bottom"/>
            <w:hideMark/>
          </w:tcPr>
          <w:p w:rsidR="009B51FD" w:rsidRPr="009B51FD" w:rsidRDefault="009B51FD" w:rsidP="009B51FD">
            <w:pPr>
              <w:ind w:firstLineChars="200" w:firstLine="360"/>
              <w:rPr>
                <w:sz w:val="18"/>
                <w:szCs w:val="18"/>
              </w:rPr>
            </w:pPr>
            <w:r w:rsidRPr="009B51FD">
              <w:rPr>
                <w:sz w:val="18"/>
                <w:szCs w:val="18"/>
              </w:rPr>
              <w:t>услуги</w:t>
            </w:r>
          </w:p>
        </w:tc>
        <w:tc>
          <w:tcPr>
            <w:tcW w:w="935" w:type="dxa"/>
            <w:noWrap/>
            <w:vAlign w:val="center"/>
            <w:hideMark/>
          </w:tcPr>
          <w:p w:rsidR="009B51FD" w:rsidRPr="009B51FD" w:rsidRDefault="009B51FD" w:rsidP="009B51FD">
            <w:pPr>
              <w:jc w:val="center"/>
              <w:rPr>
                <w:sz w:val="18"/>
                <w:szCs w:val="18"/>
              </w:rPr>
            </w:pPr>
            <w:r w:rsidRPr="009B51FD">
              <w:rPr>
                <w:sz w:val="18"/>
                <w:szCs w:val="18"/>
              </w:rPr>
              <w:t>1,9</w:t>
            </w:r>
          </w:p>
        </w:tc>
        <w:tc>
          <w:tcPr>
            <w:tcW w:w="936" w:type="dxa"/>
            <w:noWrap/>
            <w:vAlign w:val="center"/>
            <w:hideMark/>
          </w:tcPr>
          <w:p w:rsidR="009B51FD" w:rsidRPr="009B51FD" w:rsidRDefault="009B51FD" w:rsidP="009B51FD">
            <w:pPr>
              <w:jc w:val="center"/>
              <w:rPr>
                <w:sz w:val="18"/>
                <w:szCs w:val="18"/>
              </w:rPr>
            </w:pPr>
            <w:r w:rsidRPr="009B51FD">
              <w:rPr>
                <w:sz w:val="18"/>
                <w:szCs w:val="18"/>
              </w:rPr>
              <w:t>1,8</w:t>
            </w:r>
          </w:p>
        </w:tc>
        <w:tc>
          <w:tcPr>
            <w:tcW w:w="935" w:type="dxa"/>
            <w:noWrap/>
            <w:vAlign w:val="center"/>
            <w:hideMark/>
          </w:tcPr>
          <w:p w:rsidR="009B51FD" w:rsidRPr="009B51FD" w:rsidRDefault="009B51FD" w:rsidP="009B51FD">
            <w:pPr>
              <w:jc w:val="center"/>
              <w:rPr>
                <w:sz w:val="18"/>
                <w:szCs w:val="18"/>
              </w:rPr>
            </w:pPr>
            <w:r w:rsidRPr="009B51FD">
              <w:rPr>
                <w:sz w:val="18"/>
                <w:szCs w:val="18"/>
              </w:rPr>
              <w:t>1,9</w:t>
            </w:r>
          </w:p>
        </w:tc>
        <w:tc>
          <w:tcPr>
            <w:tcW w:w="936" w:type="dxa"/>
            <w:noWrap/>
            <w:vAlign w:val="center"/>
            <w:hideMark/>
          </w:tcPr>
          <w:p w:rsidR="009B51FD" w:rsidRPr="009B51FD" w:rsidRDefault="009B51FD" w:rsidP="009B51FD">
            <w:pPr>
              <w:jc w:val="center"/>
              <w:rPr>
                <w:sz w:val="18"/>
                <w:szCs w:val="18"/>
              </w:rPr>
            </w:pPr>
            <w:r w:rsidRPr="009B51FD">
              <w:rPr>
                <w:sz w:val="18"/>
                <w:szCs w:val="18"/>
              </w:rPr>
              <w:t>1,9</w:t>
            </w:r>
          </w:p>
        </w:tc>
        <w:tc>
          <w:tcPr>
            <w:tcW w:w="936" w:type="dxa"/>
            <w:noWrap/>
            <w:vAlign w:val="center"/>
            <w:hideMark/>
          </w:tcPr>
          <w:p w:rsidR="009B51FD" w:rsidRPr="009B51FD" w:rsidRDefault="009B51FD" w:rsidP="009B51FD">
            <w:pPr>
              <w:jc w:val="center"/>
              <w:rPr>
                <w:sz w:val="18"/>
                <w:szCs w:val="18"/>
              </w:rPr>
            </w:pPr>
            <w:r w:rsidRPr="009B51FD">
              <w:rPr>
                <w:sz w:val="18"/>
                <w:szCs w:val="18"/>
              </w:rPr>
              <w:t>2,0</w:t>
            </w:r>
          </w:p>
        </w:tc>
        <w:tc>
          <w:tcPr>
            <w:tcW w:w="1252" w:type="dxa"/>
            <w:noWrap/>
            <w:vAlign w:val="center"/>
            <w:hideMark/>
          </w:tcPr>
          <w:p w:rsidR="009B51FD" w:rsidRPr="009B51FD" w:rsidRDefault="009B51FD" w:rsidP="009B51FD">
            <w:pPr>
              <w:jc w:val="right"/>
              <w:rPr>
                <w:sz w:val="18"/>
                <w:szCs w:val="18"/>
              </w:rPr>
            </w:pPr>
            <w:r w:rsidRPr="009B51FD">
              <w:rPr>
                <w:sz w:val="18"/>
                <w:szCs w:val="18"/>
              </w:rPr>
              <w:t>0,2</w:t>
            </w:r>
          </w:p>
        </w:tc>
      </w:tr>
      <w:tr w:rsidR="009B51FD" w:rsidRPr="009B51FD" w:rsidTr="006F4F25">
        <w:trPr>
          <w:trHeight w:val="20"/>
        </w:trPr>
        <w:tc>
          <w:tcPr>
            <w:tcW w:w="3993" w:type="dxa"/>
            <w:noWrap/>
            <w:vAlign w:val="center"/>
            <w:hideMark/>
          </w:tcPr>
          <w:p w:rsidR="009B51FD" w:rsidRPr="009B51FD" w:rsidRDefault="009B51FD" w:rsidP="00C03FED">
            <w:pPr>
              <w:ind w:firstLineChars="100" w:firstLine="180"/>
              <w:rPr>
                <w:b/>
                <w:bCs/>
                <w:sz w:val="18"/>
                <w:szCs w:val="18"/>
              </w:rPr>
            </w:pPr>
            <w:r w:rsidRPr="009B51FD">
              <w:rPr>
                <w:b/>
                <w:bCs/>
                <w:sz w:val="18"/>
                <w:szCs w:val="18"/>
              </w:rPr>
              <w:t>Импорт</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17,6</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15,7</w:t>
            </w:r>
          </w:p>
        </w:tc>
        <w:tc>
          <w:tcPr>
            <w:tcW w:w="935" w:type="dxa"/>
            <w:noWrap/>
            <w:vAlign w:val="center"/>
            <w:hideMark/>
          </w:tcPr>
          <w:p w:rsidR="009B51FD" w:rsidRPr="009B51FD" w:rsidRDefault="009B51FD" w:rsidP="009B51FD">
            <w:pPr>
              <w:jc w:val="center"/>
              <w:rPr>
                <w:b/>
                <w:bCs/>
                <w:sz w:val="18"/>
                <w:szCs w:val="18"/>
              </w:rPr>
            </w:pPr>
            <w:r w:rsidRPr="009B51FD">
              <w:rPr>
                <w:b/>
                <w:bCs/>
                <w:sz w:val="18"/>
                <w:szCs w:val="18"/>
              </w:rPr>
              <w:t>15,7</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15,8</w:t>
            </w:r>
          </w:p>
        </w:tc>
        <w:tc>
          <w:tcPr>
            <w:tcW w:w="936" w:type="dxa"/>
            <w:noWrap/>
            <w:vAlign w:val="center"/>
            <w:hideMark/>
          </w:tcPr>
          <w:p w:rsidR="009B51FD" w:rsidRPr="009B51FD" w:rsidRDefault="009B51FD" w:rsidP="009B51FD">
            <w:pPr>
              <w:jc w:val="center"/>
              <w:rPr>
                <w:b/>
                <w:bCs/>
                <w:sz w:val="18"/>
                <w:szCs w:val="18"/>
              </w:rPr>
            </w:pPr>
            <w:r w:rsidRPr="009B51FD">
              <w:rPr>
                <w:b/>
                <w:bCs/>
                <w:sz w:val="18"/>
                <w:szCs w:val="18"/>
              </w:rPr>
              <w:t>15,9</w:t>
            </w:r>
          </w:p>
        </w:tc>
        <w:tc>
          <w:tcPr>
            <w:tcW w:w="1252" w:type="dxa"/>
            <w:noWrap/>
            <w:vAlign w:val="center"/>
            <w:hideMark/>
          </w:tcPr>
          <w:p w:rsidR="009B51FD" w:rsidRPr="009B51FD" w:rsidRDefault="009B51FD" w:rsidP="009B51FD">
            <w:pPr>
              <w:jc w:val="right"/>
              <w:rPr>
                <w:b/>
                <w:bCs/>
                <w:sz w:val="18"/>
                <w:szCs w:val="18"/>
              </w:rPr>
            </w:pPr>
            <w:r w:rsidRPr="009B51FD">
              <w:rPr>
                <w:b/>
                <w:bCs/>
                <w:sz w:val="18"/>
                <w:szCs w:val="18"/>
              </w:rPr>
              <w:t>0,2</w:t>
            </w:r>
          </w:p>
        </w:tc>
      </w:tr>
      <w:tr w:rsidR="009B51FD" w:rsidRPr="009B51FD" w:rsidTr="006F4F25">
        <w:trPr>
          <w:trHeight w:val="20"/>
        </w:trPr>
        <w:tc>
          <w:tcPr>
            <w:tcW w:w="3993" w:type="dxa"/>
            <w:noWrap/>
            <w:vAlign w:val="bottom"/>
            <w:hideMark/>
          </w:tcPr>
          <w:p w:rsidR="009B51FD" w:rsidRPr="009B51FD" w:rsidRDefault="009B51FD" w:rsidP="009B51FD">
            <w:pPr>
              <w:ind w:firstLineChars="200" w:firstLine="360"/>
              <w:rPr>
                <w:sz w:val="18"/>
                <w:szCs w:val="18"/>
              </w:rPr>
            </w:pPr>
            <w:r w:rsidRPr="009B51FD">
              <w:rPr>
                <w:sz w:val="18"/>
                <w:szCs w:val="18"/>
              </w:rPr>
              <w:t>товары</w:t>
            </w:r>
          </w:p>
        </w:tc>
        <w:tc>
          <w:tcPr>
            <w:tcW w:w="935" w:type="dxa"/>
            <w:noWrap/>
            <w:vAlign w:val="center"/>
            <w:hideMark/>
          </w:tcPr>
          <w:p w:rsidR="009B51FD" w:rsidRPr="009B51FD" w:rsidRDefault="009B51FD" w:rsidP="009B51FD">
            <w:pPr>
              <w:jc w:val="center"/>
              <w:rPr>
                <w:sz w:val="18"/>
                <w:szCs w:val="18"/>
              </w:rPr>
            </w:pPr>
            <w:r w:rsidRPr="009B51FD">
              <w:rPr>
                <w:sz w:val="18"/>
                <w:szCs w:val="18"/>
              </w:rPr>
              <w:t>13,8</w:t>
            </w:r>
          </w:p>
        </w:tc>
        <w:tc>
          <w:tcPr>
            <w:tcW w:w="936" w:type="dxa"/>
            <w:noWrap/>
            <w:vAlign w:val="center"/>
            <w:hideMark/>
          </w:tcPr>
          <w:p w:rsidR="009B51FD" w:rsidRPr="009B51FD" w:rsidRDefault="009B51FD" w:rsidP="009B51FD">
            <w:pPr>
              <w:jc w:val="center"/>
              <w:rPr>
                <w:sz w:val="18"/>
                <w:szCs w:val="18"/>
              </w:rPr>
            </w:pPr>
            <w:r w:rsidRPr="009B51FD">
              <w:rPr>
                <w:sz w:val="18"/>
                <w:szCs w:val="18"/>
              </w:rPr>
              <w:t>12,1</w:t>
            </w:r>
          </w:p>
        </w:tc>
        <w:tc>
          <w:tcPr>
            <w:tcW w:w="935" w:type="dxa"/>
            <w:noWrap/>
            <w:vAlign w:val="center"/>
            <w:hideMark/>
          </w:tcPr>
          <w:p w:rsidR="009B51FD" w:rsidRPr="009B51FD" w:rsidRDefault="009B51FD" w:rsidP="009B51FD">
            <w:pPr>
              <w:jc w:val="center"/>
              <w:rPr>
                <w:sz w:val="18"/>
                <w:szCs w:val="18"/>
              </w:rPr>
            </w:pPr>
            <w:r w:rsidRPr="009B51FD">
              <w:rPr>
                <w:sz w:val="18"/>
                <w:szCs w:val="18"/>
              </w:rPr>
              <w:t>12,1</w:t>
            </w:r>
          </w:p>
        </w:tc>
        <w:tc>
          <w:tcPr>
            <w:tcW w:w="936" w:type="dxa"/>
            <w:noWrap/>
            <w:vAlign w:val="center"/>
            <w:hideMark/>
          </w:tcPr>
          <w:p w:rsidR="009B51FD" w:rsidRPr="009B51FD" w:rsidRDefault="009B51FD" w:rsidP="009B51FD">
            <w:pPr>
              <w:jc w:val="center"/>
              <w:rPr>
                <w:sz w:val="18"/>
                <w:szCs w:val="18"/>
              </w:rPr>
            </w:pPr>
            <w:r w:rsidRPr="009B51FD">
              <w:rPr>
                <w:sz w:val="18"/>
                <w:szCs w:val="18"/>
              </w:rPr>
              <w:t>12,3</w:t>
            </w:r>
          </w:p>
        </w:tc>
        <w:tc>
          <w:tcPr>
            <w:tcW w:w="936" w:type="dxa"/>
            <w:noWrap/>
            <w:vAlign w:val="center"/>
            <w:hideMark/>
          </w:tcPr>
          <w:p w:rsidR="009B51FD" w:rsidRPr="009B51FD" w:rsidRDefault="009B51FD" w:rsidP="009B51FD">
            <w:pPr>
              <w:jc w:val="center"/>
              <w:rPr>
                <w:sz w:val="18"/>
                <w:szCs w:val="18"/>
              </w:rPr>
            </w:pPr>
            <w:r w:rsidRPr="009B51FD">
              <w:rPr>
                <w:sz w:val="18"/>
                <w:szCs w:val="18"/>
              </w:rPr>
              <w:t>12,4</w:t>
            </w:r>
          </w:p>
        </w:tc>
        <w:tc>
          <w:tcPr>
            <w:tcW w:w="1252" w:type="dxa"/>
            <w:noWrap/>
            <w:vAlign w:val="center"/>
            <w:hideMark/>
          </w:tcPr>
          <w:p w:rsidR="009B51FD" w:rsidRPr="009B51FD" w:rsidRDefault="009B51FD" w:rsidP="009B51FD">
            <w:pPr>
              <w:jc w:val="right"/>
              <w:rPr>
                <w:sz w:val="18"/>
                <w:szCs w:val="18"/>
              </w:rPr>
            </w:pPr>
            <w:r w:rsidRPr="009B51FD">
              <w:rPr>
                <w:sz w:val="18"/>
                <w:szCs w:val="18"/>
              </w:rPr>
              <w:t>0,3</w:t>
            </w:r>
          </w:p>
        </w:tc>
      </w:tr>
      <w:tr w:rsidR="009B51FD" w:rsidRPr="009B51FD" w:rsidTr="006F4F25">
        <w:trPr>
          <w:trHeight w:val="20"/>
        </w:trPr>
        <w:tc>
          <w:tcPr>
            <w:tcW w:w="3993" w:type="dxa"/>
            <w:noWrap/>
            <w:vAlign w:val="bottom"/>
            <w:hideMark/>
          </w:tcPr>
          <w:p w:rsidR="009B51FD" w:rsidRPr="009B51FD" w:rsidRDefault="009B51FD" w:rsidP="009B51FD">
            <w:pPr>
              <w:ind w:firstLineChars="200" w:firstLine="360"/>
              <w:rPr>
                <w:sz w:val="18"/>
                <w:szCs w:val="18"/>
              </w:rPr>
            </w:pPr>
            <w:r w:rsidRPr="009B51FD">
              <w:rPr>
                <w:sz w:val="18"/>
                <w:szCs w:val="18"/>
              </w:rPr>
              <w:t>услуги</w:t>
            </w:r>
          </w:p>
        </w:tc>
        <w:tc>
          <w:tcPr>
            <w:tcW w:w="935" w:type="dxa"/>
            <w:noWrap/>
            <w:vAlign w:val="center"/>
            <w:hideMark/>
          </w:tcPr>
          <w:p w:rsidR="009B51FD" w:rsidRPr="009B51FD" w:rsidRDefault="009B51FD" w:rsidP="009B51FD">
            <w:pPr>
              <w:jc w:val="center"/>
              <w:rPr>
                <w:sz w:val="18"/>
                <w:szCs w:val="18"/>
              </w:rPr>
            </w:pPr>
            <w:r w:rsidRPr="009B51FD">
              <w:rPr>
                <w:sz w:val="18"/>
                <w:szCs w:val="18"/>
              </w:rPr>
              <w:t>3,7</w:t>
            </w:r>
          </w:p>
        </w:tc>
        <w:tc>
          <w:tcPr>
            <w:tcW w:w="936" w:type="dxa"/>
            <w:noWrap/>
            <w:vAlign w:val="center"/>
            <w:hideMark/>
          </w:tcPr>
          <w:p w:rsidR="009B51FD" w:rsidRPr="009B51FD" w:rsidRDefault="009B51FD" w:rsidP="009B51FD">
            <w:pPr>
              <w:jc w:val="center"/>
              <w:rPr>
                <w:sz w:val="18"/>
                <w:szCs w:val="18"/>
              </w:rPr>
            </w:pPr>
            <w:r w:rsidRPr="009B51FD">
              <w:rPr>
                <w:sz w:val="18"/>
                <w:szCs w:val="18"/>
              </w:rPr>
              <w:t>3,6</w:t>
            </w:r>
          </w:p>
        </w:tc>
        <w:tc>
          <w:tcPr>
            <w:tcW w:w="935" w:type="dxa"/>
            <w:noWrap/>
            <w:vAlign w:val="center"/>
            <w:hideMark/>
          </w:tcPr>
          <w:p w:rsidR="009B51FD" w:rsidRPr="009B51FD" w:rsidRDefault="009B51FD" w:rsidP="009B51FD">
            <w:pPr>
              <w:jc w:val="center"/>
              <w:rPr>
                <w:sz w:val="18"/>
                <w:szCs w:val="18"/>
              </w:rPr>
            </w:pPr>
            <w:r w:rsidRPr="009B51FD">
              <w:rPr>
                <w:sz w:val="18"/>
                <w:szCs w:val="18"/>
              </w:rPr>
              <w:t>3,6</w:t>
            </w:r>
          </w:p>
        </w:tc>
        <w:tc>
          <w:tcPr>
            <w:tcW w:w="936" w:type="dxa"/>
            <w:noWrap/>
            <w:vAlign w:val="center"/>
            <w:hideMark/>
          </w:tcPr>
          <w:p w:rsidR="009B51FD" w:rsidRPr="009B51FD" w:rsidRDefault="009B51FD" w:rsidP="009B51FD">
            <w:pPr>
              <w:jc w:val="center"/>
              <w:rPr>
                <w:sz w:val="18"/>
                <w:szCs w:val="18"/>
              </w:rPr>
            </w:pPr>
            <w:r w:rsidRPr="009B51FD">
              <w:rPr>
                <w:sz w:val="18"/>
                <w:szCs w:val="18"/>
              </w:rPr>
              <w:t>3,6</w:t>
            </w:r>
          </w:p>
        </w:tc>
        <w:tc>
          <w:tcPr>
            <w:tcW w:w="936" w:type="dxa"/>
            <w:noWrap/>
            <w:vAlign w:val="center"/>
            <w:hideMark/>
          </w:tcPr>
          <w:p w:rsidR="009B51FD" w:rsidRPr="009B51FD" w:rsidRDefault="009B51FD" w:rsidP="009B51FD">
            <w:pPr>
              <w:jc w:val="center"/>
              <w:rPr>
                <w:sz w:val="18"/>
                <w:szCs w:val="18"/>
              </w:rPr>
            </w:pPr>
            <w:r w:rsidRPr="009B51FD">
              <w:rPr>
                <w:sz w:val="18"/>
                <w:szCs w:val="18"/>
              </w:rPr>
              <w:t>3,6</w:t>
            </w:r>
          </w:p>
        </w:tc>
        <w:tc>
          <w:tcPr>
            <w:tcW w:w="1252" w:type="dxa"/>
            <w:noWrap/>
            <w:vAlign w:val="center"/>
            <w:hideMark/>
          </w:tcPr>
          <w:p w:rsidR="009B51FD" w:rsidRPr="009B51FD" w:rsidRDefault="009B51FD" w:rsidP="009B51FD">
            <w:pPr>
              <w:jc w:val="right"/>
              <w:rPr>
                <w:sz w:val="18"/>
                <w:szCs w:val="18"/>
              </w:rPr>
            </w:pPr>
            <w:r w:rsidRPr="009B51FD">
              <w:rPr>
                <w:sz w:val="18"/>
                <w:szCs w:val="18"/>
              </w:rPr>
              <w:t>0,0</w:t>
            </w:r>
          </w:p>
        </w:tc>
      </w:tr>
      <w:tr w:rsidR="009B51FD" w:rsidRPr="009B51FD" w:rsidTr="006F4F25">
        <w:trPr>
          <w:trHeight w:val="20"/>
        </w:trPr>
        <w:tc>
          <w:tcPr>
            <w:tcW w:w="3993" w:type="dxa"/>
            <w:noWrap/>
            <w:vAlign w:val="bottom"/>
            <w:hideMark/>
          </w:tcPr>
          <w:p w:rsidR="009B51FD" w:rsidRPr="009B51FD" w:rsidRDefault="009B51FD" w:rsidP="009B51FD">
            <w:pPr>
              <w:ind w:firstLine="318"/>
              <w:rPr>
                <w:sz w:val="18"/>
                <w:szCs w:val="18"/>
              </w:rPr>
            </w:pPr>
            <w:r w:rsidRPr="009B51FD">
              <w:rPr>
                <w:sz w:val="18"/>
                <w:szCs w:val="18"/>
              </w:rPr>
              <w:t>Статистическое расхождение</w:t>
            </w:r>
          </w:p>
        </w:tc>
        <w:tc>
          <w:tcPr>
            <w:tcW w:w="935" w:type="dxa"/>
            <w:noWrap/>
            <w:vAlign w:val="center"/>
            <w:hideMark/>
          </w:tcPr>
          <w:p w:rsidR="009B51FD" w:rsidRPr="009B51FD" w:rsidRDefault="009B51FD" w:rsidP="009B51FD">
            <w:pPr>
              <w:jc w:val="center"/>
              <w:rPr>
                <w:sz w:val="18"/>
                <w:szCs w:val="18"/>
              </w:rPr>
            </w:pPr>
            <w:r w:rsidRPr="009B51FD">
              <w:rPr>
                <w:sz w:val="18"/>
                <w:szCs w:val="18"/>
              </w:rPr>
              <w:t>1,5</w:t>
            </w:r>
          </w:p>
        </w:tc>
        <w:tc>
          <w:tcPr>
            <w:tcW w:w="936" w:type="dxa"/>
            <w:noWrap/>
            <w:vAlign w:val="center"/>
            <w:hideMark/>
          </w:tcPr>
          <w:p w:rsidR="009B51FD" w:rsidRPr="009B51FD" w:rsidRDefault="009B51FD" w:rsidP="009B51FD">
            <w:pPr>
              <w:jc w:val="center"/>
              <w:rPr>
                <w:sz w:val="18"/>
                <w:szCs w:val="18"/>
              </w:rPr>
            </w:pPr>
            <w:r w:rsidRPr="009B51FD">
              <w:rPr>
                <w:sz w:val="18"/>
                <w:szCs w:val="18"/>
              </w:rPr>
              <w:t>0,0</w:t>
            </w:r>
          </w:p>
        </w:tc>
        <w:tc>
          <w:tcPr>
            <w:tcW w:w="935" w:type="dxa"/>
            <w:noWrap/>
            <w:vAlign w:val="center"/>
            <w:hideMark/>
          </w:tcPr>
          <w:p w:rsidR="009B51FD" w:rsidRPr="009B51FD" w:rsidRDefault="009B51FD" w:rsidP="009B51FD">
            <w:pPr>
              <w:jc w:val="center"/>
              <w:rPr>
                <w:sz w:val="18"/>
                <w:szCs w:val="18"/>
              </w:rPr>
            </w:pPr>
            <w:r w:rsidRPr="009B51FD">
              <w:rPr>
                <w:sz w:val="18"/>
                <w:szCs w:val="18"/>
              </w:rPr>
              <w:t>0,0</w:t>
            </w:r>
          </w:p>
        </w:tc>
        <w:tc>
          <w:tcPr>
            <w:tcW w:w="936" w:type="dxa"/>
            <w:noWrap/>
            <w:vAlign w:val="center"/>
            <w:hideMark/>
          </w:tcPr>
          <w:p w:rsidR="009B51FD" w:rsidRPr="009B51FD" w:rsidRDefault="009B51FD" w:rsidP="009B51FD">
            <w:pPr>
              <w:jc w:val="center"/>
              <w:rPr>
                <w:sz w:val="18"/>
                <w:szCs w:val="18"/>
              </w:rPr>
            </w:pPr>
            <w:r w:rsidRPr="009B51FD">
              <w:rPr>
                <w:sz w:val="18"/>
                <w:szCs w:val="18"/>
              </w:rPr>
              <w:t>0,0</w:t>
            </w:r>
          </w:p>
        </w:tc>
        <w:tc>
          <w:tcPr>
            <w:tcW w:w="936" w:type="dxa"/>
            <w:noWrap/>
            <w:vAlign w:val="center"/>
            <w:hideMark/>
          </w:tcPr>
          <w:p w:rsidR="009B51FD" w:rsidRPr="009B51FD" w:rsidRDefault="009B51FD" w:rsidP="009B51FD">
            <w:pPr>
              <w:jc w:val="center"/>
              <w:rPr>
                <w:sz w:val="18"/>
                <w:szCs w:val="18"/>
              </w:rPr>
            </w:pPr>
            <w:r w:rsidRPr="009B51FD">
              <w:rPr>
                <w:sz w:val="18"/>
                <w:szCs w:val="18"/>
              </w:rPr>
              <w:t>0,0</w:t>
            </w:r>
          </w:p>
        </w:tc>
        <w:tc>
          <w:tcPr>
            <w:tcW w:w="1252" w:type="dxa"/>
            <w:noWrap/>
            <w:vAlign w:val="center"/>
            <w:hideMark/>
          </w:tcPr>
          <w:p w:rsidR="009B51FD" w:rsidRPr="009B51FD" w:rsidRDefault="009B51FD" w:rsidP="009B51FD">
            <w:pPr>
              <w:jc w:val="right"/>
              <w:rPr>
                <w:sz w:val="18"/>
                <w:szCs w:val="18"/>
              </w:rPr>
            </w:pPr>
            <w:r w:rsidRPr="009B51FD">
              <w:rPr>
                <w:sz w:val="18"/>
                <w:szCs w:val="18"/>
              </w:rPr>
              <w:t>0,0</w:t>
            </w:r>
          </w:p>
        </w:tc>
      </w:tr>
    </w:tbl>
    <w:p w:rsidR="00A655A2" w:rsidRPr="00FA2800" w:rsidRDefault="00A655A2" w:rsidP="00EF0B65">
      <w:pPr>
        <w:autoSpaceDE w:val="0"/>
        <w:autoSpaceDN w:val="0"/>
        <w:adjustRightInd w:val="0"/>
        <w:spacing w:line="360" w:lineRule="auto"/>
        <w:ind w:firstLine="709"/>
        <w:jc w:val="both"/>
        <w:rPr>
          <w:color w:val="000000" w:themeColor="text1"/>
          <w:sz w:val="10"/>
          <w:szCs w:val="10"/>
        </w:rPr>
      </w:pPr>
    </w:p>
    <w:p w:rsidR="00071A24" w:rsidRPr="00071A24" w:rsidRDefault="00071A24" w:rsidP="00071A24">
      <w:pPr>
        <w:autoSpaceDE w:val="0"/>
        <w:autoSpaceDN w:val="0"/>
        <w:adjustRightInd w:val="0"/>
        <w:spacing w:line="360" w:lineRule="auto"/>
        <w:ind w:firstLine="709"/>
        <w:jc w:val="both"/>
        <w:rPr>
          <w:color w:val="000000" w:themeColor="text1"/>
        </w:rPr>
      </w:pPr>
      <w:r w:rsidRPr="00071A24">
        <w:rPr>
          <w:color w:val="000000" w:themeColor="text1"/>
        </w:rPr>
        <w:t>В структуре ВВП по счету доходов доля валовой прибыли в экономике на прогнозном горизонте будет находиться ниже среднего уровня данного показателя за последние четыре года (в 2021–2024</w:t>
      </w:r>
      <w:r>
        <w:rPr>
          <w:color w:val="000000" w:themeColor="text1"/>
        </w:rPr>
        <w:t> </w:t>
      </w:r>
      <w:r w:rsidRPr="00071A24">
        <w:rPr>
          <w:color w:val="000000" w:themeColor="text1"/>
        </w:rPr>
        <w:t>годах – 49,7 %), что может сформировать риски для роста инвестиций в</w:t>
      </w:r>
      <w:r w:rsidR="00793E57">
        <w:rPr>
          <w:color w:val="000000" w:themeColor="text1"/>
        </w:rPr>
        <w:t> </w:t>
      </w:r>
      <w:r w:rsidRPr="00071A24">
        <w:rPr>
          <w:color w:val="000000" w:themeColor="text1"/>
        </w:rPr>
        <w:t>основной капитал</w:t>
      </w:r>
      <w:r w:rsidR="00344E5E">
        <w:rPr>
          <w:color w:val="000000" w:themeColor="text1"/>
        </w:rPr>
        <w:t xml:space="preserve"> (учитывая, что основная часть инвестиций осуществляется за счет собственных средств)</w:t>
      </w:r>
      <w:r w:rsidRPr="00071A24">
        <w:rPr>
          <w:color w:val="000000" w:themeColor="text1"/>
        </w:rPr>
        <w:t>.</w:t>
      </w:r>
    </w:p>
    <w:p w:rsidR="00071A24" w:rsidRPr="00071A24" w:rsidRDefault="00071A24" w:rsidP="00071A24">
      <w:pPr>
        <w:autoSpaceDE w:val="0"/>
        <w:autoSpaceDN w:val="0"/>
        <w:adjustRightInd w:val="0"/>
        <w:spacing w:line="360" w:lineRule="auto"/>
        <w:ind w:firstLine="709"/>
        <w:jc w:val="both"/>
        <w:rPr>
          <w:color w:val="000000" w:themeColor="text1"/>
        </w:rPr>
      </w:pPr>
      <w:r w:rsidRPr="00071A24">
        <w:rPr>
          <w:color w:val="000000" w:themeColor="text1"/>
        </w:rPr>
        <w:t>Структура элементов ВВП по счету доходов базового варианта Прогноза приведена в</w:t>
      </w:r>
      <w:r w:rsidR="00793E57">
        <w:rPr>
          <w:color w:val="000000" w:themeColor="text1"/>
        </w:rPr>
        <w:t> </w:t>
      </w:r>
      <w:r w:rsidRPr="00071A24">
        <w:rPr>
          <w:color w:val="000000" w:themeColor="text1"/>
        </w:rPr>
        <w:t>следующей таблице.</w:t>
      </w:r>
    </w:p>
    <w:p w:rsidR="00073182" w:rsidRPr="00073182" w:rsidRDefault="00073182" w:rsidP="00106323">
      <w:pPr>
        <w:autoSpaceDE w:val="0"/>
        <w:autoSpaceDN w:val="0"/>
        <w:adjustRightInd w:val="0"/>
        <w:ind w:firstLine="709"/>
        <w:jc w:val="right"/>
        <w:rPr>
          <w:color w:val="000000" w:themeColor="text1"/>
          <w:sz w:val="18"/>
          <w:szCs w:val="18"/>
        </w:rPr>
      </w:pPr>
      <w:r>
        <w:rPr>
          <w:color w:val="000000" w:themeColor="text1"/>
          <w:sz w:val="18"/>
          <w:szCs w:val="18"/>
        </w:rPr>
        <w:t>(</w:t>
      </w:r>
      <w:r w:rsidRPr="00073182">
        <w:rPr>
          <w:color w:val="000000" w:themeColor="text1"/>
          <w:sz w:val="18"/>
          <w:szCs w:val="18"/>
        </w:rPr>
        <w:t>%</w:t>
      </w:r>
      <w:r>
        <w:rPr>
          <w:color w:val="000000" w:themeColor="text1"/>
          <w:sz w:val="18"/>
          <w:szCs w:val="1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929"/>
        <w:gridCol w:w="965"/>
        <w:gridCol w:w="910"/>
        <w:gridCol w:w="938"/>
        <w:gridCol w:w="938"/>
        <w:gridCol w:w="1245"/>
      </w:tblGrid>
      <w:tr w:rsidR="00073182" w:rsidRPr="00073182" w:rsidTr="006F4F25">
        <w:trPr>
          <w:trHeight w:val="660"/>
        </w:trPr>
        <w:tc>
          <w:tcPr>
            <w:tcW w:w="3998" w:type="dxa"/>
            <w:shd w:val="clear" w:color="auto" w:fill="auto"/>
            <w:noWrap/>
            <w:vAlign w:val="center"/>
            <w:hideMark/>
          </w:tcPr>
          <w:p w:rsidR="00073182" w:rsidRPr="00073182" w:rsidRDefault="00073182" w:rsidP="00073182">
            <w:pPr>
              <w:jc w:val="center"/>
              <w:rPr>
                <w:b/>
                <w:sz w:val="18"/>
                <w:szCs w:val="18"/>
              </w:rPr>
            </w:pPr>
            <w:r w:rsidRPr="00073182">
              <w:rPr>
                <w:b/>
                <w:sz w:val="18"/>
                <w:szCs w:val="18"/>
              </w:rPr>
              <w:t>Наименование показателя</w:t>
            </w:r>
          </w:p>
        </w:tc>
        <w:tc>
          <w:tcPr>
            <w:tcW w:w="929" w:type="dxa"/>
            <w:shd w:val="clear" w:color="auto" w:fill="auto"/>
            <w:noWrap/>
            <w:vAlign w:val="center"/>
            <w:hideMark/>
          </w:tcPr>
          <w:p w:rsidR="00073182" w:rsidRPr="00073182" w:rsidRDefault="00073182" w:rsidP="00073182">
            <w:pPr>
              <w:jc w:val="center"/>
              <w:rPr>
                <w:b/>
                <w:sz w:val="18"/>
                <w:szCs w:val="18"/>
              </w:rPr>
            </w:pPr>
            <w:r w:rsidRPr="00073182">
              <w:rPr>
                <w:b/>
                <w:sz w:val="18"/>
                <w:szCs w:val="18"/>
              </w:rPr>
              <w:t>2024</w:t>
            </w:r>
          </w:p>
        </w:tc>
        <w:tc>
          <w:tcPr>
            <w:tcW w:w="965" w:type="dxa"/>
            <w:shd w:val="clear" w:color="auto" w:fill="auto"/>
            <w:noWrap/>
            <w:vAlign w:val="center"/>
            <w:hideMark/>
          </w:tcPr>
          <w:p w:rsidR="00073182" w:rsidRPr="00073182" w:rsidRDefault="00073182" w:rsidP="00073182">
            <w:pPr>
              <w:jc w:val="center"/>
              <w:rPr>
                <w:b/>
                <w:sz w:val="18"/>
                <w:szCs w:val="18"/>
              </w:rPr>
            </w:pPr>
            <w:r w:rsidRPr="00073182">
              <w:rPr>
                <w:b/>
                <w:sz w:val="18"/>
                <w:szCs w:val="18"/>
              </w:rPr>
              <w:t>2025</w:t>
            </w:r>
          </w:p>
        </w:tc>
        <w:tc>
          <w:tcPr>
            <w:tcW w:w="910" w:type="dxa"/>
            <w:shd w:val="clear" w:color="auto" w:fill="auto"/>
            <w:noWrap/>
            <w:vAlign w:val="center"/>
            <w:hideMark/>
          </w:tcPr>
          <w:p w:rsidR="00073182" w:rsidRPr="00073182" w:rsidRDefault="00073182" w:rsidP="00073182">
            <w:pPr>
              <w:jc w:val="center"/>
              <w:rPr>
                <w:b/>
                <w:sz w:val="18"/>
                <w:szCs w:val="18"/>
              </w:rPr>
            </w:pPr>
            <w:r w:rsidRPr="00073182">
              <w:rPr>
                <w:b/>
                <w:sz w:val="18"/>
                <w:szCs w:val="18"/>
              </w:rPr>
              <w:t>2026</w:t>
            </w:r>
          </w:p>
        </w:tc>
        <w:tc>
          <w:tcPr>
            <w:tcW w:w="938" w:type="dxa"/>
            <w:shd w:val="clear" w:color="auto" w:fill="auto"/>
            <w:noWrap/>
            <w:vAlign w:val="center"/>
            <w:hideMark/>
          </w:tcPr>
          <w:p w:rsidR="00073182" w:rsidRPr="00073182" w:rsidRDefault="00073182" w:rsidP="00073182">
            <w:pPr>
              <w:jc w:val="center"/>
              <w:rPr>
                <w:b/>
                <w:sz w:val="18"/>
                <w:szCs w:val="18"/>
              </w:rPr>
            </w:pPr>
            <w:r w:rsidRPr="00073182">
              <w:rPr>
                <w:b/>
                <w:sz w:val="18"/>
                <w:szCs w:val="18"/>
              </w:rPr>
              <w:t>2027</w:t>
            </w:r>
          </w:p>
        </w:tc>
        <w:tc>
          <w:tcPr>
            <w:tcW w:w="938" w:type="dxa"/>
            <w:shd w:val="clear" w:color="auto" w:fill="auto"/>
            <w:noWrap/>
            <w:vAlign w:val="center"/>
            <w:hideMark/>
          </w:tcPr>
          <w:p w:rsidR="00073182" w:rsidRPr="00073182" w:rsidRDefault="00073182" w:rsidP="00073182">
            <w:pPr>
              <w:jc w:val="center"/>
              <w:rPr>
                <w:b/>
                <w:sz w:val="18"/>
                <w:szCs w:val="18"/>
              </w:rPr>
            </w:pPr>
            <w:r w:rsidRPr="00073182">
              <w:rPr>
                <w:b/>
                <w:sz w:val="18"/>
                <w:szCs w:val="18"/>
              </w:rPr>
              <w:t>2028</w:t>
            </w:r>
          </w:p>
        </w:tc>
        <w:tc>
          <w:tcPr>
            <w:tcW w:w="1245" w:type="dxa"/>
            <w:shd w:val="clear" w:color="auto" w:fill="auto"/>
            <w:noWrap/>
            <w:vAlign w:val="center"/>
            <w:hideMark/>
          </w:tcPr>
          <w:p w:rsidR="00073182" w:rsidRPr="00073182" w:rsidRDefault="00073182" w:rsidP="00073182">
            <w:pPr>
              <w:jc w:val="center"/>
              <w:rPr>
                <w:b/>
                <w:sz w:val="18"/>
                <w:szCs w:val="18"/>
              </w:rPr>
            </w:pPr>
            <w:r w:rsidRPr="00073182">
              <w:rPr>
                <w:b/>
                <w:sz w:val="18"/>
                <w:szCs w:val="18"/>
              </w:rPr>
              <w:t>2028/2025</w:t>
            </w:r>
          </w:p>
        </w:tc>
      </w:tr>
      <w:tr w:rsidR="00073182" w:rsidRPr="00073182" w:rsidTr="006F4F25">
        <w:trPr>
          <w:trHeight w:val="20"/>
        </w:trPr>
        <w:tc>
          <w:tcPr>
            <w:tcW w:w="3998" w:type="dxa"/>
            <w:shd w:val="clear" w:color="auto" w:fill="auto"/>
            <w:noWrap/>
            <w:vAlign w:val="bottom"/>
            <w:hideMark/>
          </w:tcPr>
          <w:p w:rsidR="00073182" w:rsidRPr="00073182" w:rsidRDefault="00073182" w:rsidP="00073182">
            <w:pPr>
              <w:rPr>
                <w:b/>
                <w:sz w:val="18"/>
                <w:szCs w:val="18"/>
              </w:rPr>
            </w:pPr>
            <w:r w:rsidRPr="00073182">
              <w:rPr>
                <w:b/>
                <w:sz w:val="18"/>
                <w:szCs w:val="18"/>
              </w:rPr>
              <w:t>Валовой внутренний продукт</w:t>
            </w:r>
          </w:p>
        </w:tc>
        <w:tc>
          <w:tcPr>
            <w:tcW w:w="929" w:type="dxa"/>
            <w:shd w:val="clear" w:color="auto" w:fill="auto"/>
            <w:noWrap/>
            <w:vAlign w:val="bottom"/>
            <w:hideMark/>
          </w:tcPr>
          <w:p w:rsidR="00073182" w:rsidRPr="00073182" w:rsidRDefault="00073182" w:rsidP="00073182">
            <w:pPr>
              <w:jc w:val="right"/>
              <w:rPr>
                <w:sz w:val="18"/>
                <w:szCs w:val="18"/>
              </w:rPr>
            </w:pPr>
            <w:r w:rsidRPr="00073182">
              <w:rPr>
                <w:sz w:val="18"/>
                <w:szCs w:val="18"/>
              </w:rPr>
              <w:t>100,0</w:t>
            </w:r>
          </w:p>
        </w:tc>
        <w:tc>
          <w:tcPr>
            <w:tcW w:w="965" w:type="dxa"/>
            <w:shd w:val="clear" w:color="auto" w:fill="auto"/>
            <w:noWrap/>
            <w:vAlign w:val="bottom"/>
            <w:hideMark/>
          </w:tcPr>
          <w:p w:rsidR="00073182" w:rsidRPr="00073182" w:rsidRDefault="00073182" w:rsidP="00073182">
            <w:pPr>
              <w:jc w:val="right"/>
              <w:rPr>
                <w:sz w:val="18"/>
                <w:szCs w:val="18"/>
              </w:rPr>
            </w:pPr>
            <w:r w:rsidRPr="00073182">
              <w:rPr>
                <w:sz w:val="18"/>
                <w:szCs w:val="18"/>
              </w:rPr>
              <w:t>100,0</w:t>
            </w:r>
          </w:p>
        </w:tc>
        <w:tc>
          <w:tcPr>
            <w:tcW w:w="910" w:type="dxa"/>
            <w:shd w:val="clear" w:color="auto" w:fill="auto"/>
            <w:noWrap/>
            <w:vAlign w:val="bottom"/>
            <w:hideMark/>
          </w:tcPr>
          <w:p w:rsidR="00073182" w:rsidRPr="00073182" w:rsidRDefault="00073182" w:rsidP="00073182">
            <w:pPr>
              <w:jc w:val="right"/>
              <w:rPr>
                <w:sz w:val="18"/>
                <w:szCs w:val="18"/>
              </w:rPr>
            </w:pPr>
            <w:r w:rsidRPr="00073182">
              <w:rPr>
                <w:sz w:val="18"/>
                <w:szCs w:val="18"/>
              </w:rPr>
              <w:t>100,0</w:t>
            </w:r>
          </w:p>
        </w:tc>
        <w:tc>
          <w:tcPr>
            <w:tcW w:w="938" w:type="dxa"/>
            <w:shd w:val="clear" w:color="auto" w:fill="auto"/>
            <w:noWrap/>
            <w:vAlign w:val="bottom"/>
            <w:hideMark/>
          </w:tcPr>
          <w:p w:rsidR="00073182" w:rsidRPr="00073182" w:rsidRDefault="00073182" w:rsidP="00073182">
            <w:pPr>
              <w:jc w:val="right"/>
              <w:rPr>
                <w:sz w:val="18"/>
                <w:szCs w:val="18"/>
              </w:rPr>
            </w:pPr>
            <w:r w:rsidRPr="00073182">
              <w:rPr>
                <w:sz w:val="18"/>
                <w:szCs w:val="18"/>
              </w:rPr>
              <w:t>100,0</w:t>
            </w:r>
          </w:p>
        </w:tc>
        <w:tc>
          <w:tcPr>
            <w:tcW w:w="938" w:type="dxa"/>
            <w:shd w:val="clear" w:color="auto" w:fill="auto"/>
            <w:noWrap/>
            <w:vAlign w:val="bottom"/>
            <w:hideMark/>
          </w:tcPr>
          <w:p w:rsidR="00073182" w:rsidRPr="00073182" w:rsidRDefault="00073182" w:rsidP="00073182">
            <w:pPr>
              <w:jc w:val="right"/>
              <w:rPr>
                <w:sz w:val="18"/>
                <w:szCs w:val="18"/>
              </w:rPr>
            </w:pPr>
            <w:r w:rsidRPr="00073182">
              <w:rPr>
                <w:sz w:val="18"/>
                <w:szCs w:val="18"/>
              </w:rPr>
              <w:t>100,0</w:t>
            </w:r>
          </w:p>
        </w:tc>
        <w:tc>
          <w:tcPr>
            <w:tcW w:w="1245" w:type="dxa"/>
            <w:shd w:val="clear" w:color="auto" w:fill="auto"/>
            <w:noWrap/>
            <w:vAlign w:val="bottom"/>
            <w:hideMark/>
          </w:tcPr>
          <w:p w:rsidR="00073182" w:rsidRPr="00073182" w:rsidRDefault="00073182" w:rsidP="00073182">
            <w:pPr>
              <w:jc w:val="right"/>
              <w:rPr>
                <w:sz w:val="18"/>
                <w:szCs w:val="18"/>
              </w:rPr>
            </w:pPr>
            <w:r w:rsidRPr="00073182">
              <w:rPr>
                <w:sz w:val="18"/>
                <w:szCs w:val="18"/>
              </w:rPr>
              <w:t>0</w:t>
            </w:r>
          </w:p>
        </w:tc>
      </w:tr>
      <w:tr w:rsidR="00073182" w:rsidRPr="00073182" w:rsidTr="006F4F25">
        <w:trPr>
          <w:trHeight w:val="20"/>
        </w:trPr>
        <w:tc>
          <w:tcPr>
            <w:tcW w:w="3998" w:type="dxa"/>
            <w:shd w:val="clear" w:color="auto" w:fill="auto"/>
            <w:noWrap/>
            <w:vAlign w:val="bottom"/>
            <w:hideMark/>
          </w:tcPr>
          <w:p w:rsidR="00073182" w:rsidRPr="00073182" w:rsidRDefault="00073182" w:rsidP="00073182">
            <w:pPr>
              <w:ind w:firstLine="306"/>
              <w:rPr>
                <w:sz w:val="18"/>
                <w:szCs w:val="18"/>
              </w:rPr>
            </w:pPr>
            <w:r w:rsidRPr="00073182">
              <w:rPr>
                <w:sz w:val="18"/>
                <w:szCs w:val="18"/>
              </w:rPr>
              <w:t>Оплата труда</w:t>
            </w:r>
          </w:p>
        </w:tc>
        <w:tc>
          <w:tcPr>
            <w:tcW w:w="929" w:type="dxa"/>
            <w:shd w:val="clear" w:color="auto" w:fill="auto"/>
            <w:noWrap/>
            <w:vAlign w:val="bottom"/>
            <w:hideMark/>
          </w:tcPr>
          <w:p w:rsidR="00073182" w:rsidRPr="00073182" w:rsidRDefault="00073182" w:rsidP="00073182">
            <w:pPr>
              <w:jc w:val="right"/>
              <w:rPr>
                <w:sz w:val="18"/>
                <w:szCs w:val="18"/>
              </w:rPr>
            </w:pPr>
            <w:r w:rsidRPr="00073182">
              <w:rPr>
                <w:sz w:val="18"/>
                <w:szCs w:val="18"/>
              </w:rPr>
              <w:t>43,9</w:t>
            </w:r>
          </w:p>
        </w:tc>
        <w:tc>
          <w:tcPr>
            <w:tcW w:w="965" w:type="dxa"/>
            <w:shd w:val="clear" w:color="auto" w:fill="auto"/>
            <w:noWrap/>
            <w:vAlign w:val="bottom"/>
            <w:hideMark/>
          </w:tcPr>
          <w:p w:rsidR="00073182" w:rsidRPr="00073182" w:rsidRDefault="00073182" w:rsidP="00073182">
            <w:pPr>
              <w:jc w:val="right"/>
              <w:rPr>
                <w:sz w:val="18"/>
                <w:szCs w:val="18"/>
              </w:rPr>
            </w:pPr>
            <w:r w:rsidRPr="00073182">
              <w:rPr>
                <w:sz w:val="18"/>
                <w:szCs w:val="18"/>
              </w:rPr>
              <w:t>46,0</w:t>
            </w:r>
          </w:p>
        </w:tc>
        <w:tc>
          <w:tcPr>
            <w:tcW w:w="910" w:type="dxa"/>
            <w:shd w:val="clear" w:color="auto" w:fill="auto"/>
            <w:noWrap/>
            <w:vAlign w:val="bottom"/>
            <w:hideMark/>
          </w:tcPr>
          <w:p w:rsidR="00073182" w:rsidRPr="00073182" w:rsidRDefault="00073182" w:rsidP="00073182">
            <w:pPr>
              <w:jc w:val="right"/>
              <w:rPr>
                <w:sz w:val="18"/>
                <w:szCs w:val="18"/>
              </w:rPr>
            </w:pPr>
            <w:r w:rsidRPr="00073182">
              <w:rPr>
                <w:sz w:val="18"/>
                <w:szCs w:val="18"/>
              </w:rPr>
              <w:t>45,8</w:t>
            </w:r>
          </w:p>
        </w:tc>
        <w:tc>
          <w:tcPr>
            <w:tcW w:w="938" w:type="dxa"/>
            <w:shd w:val="clear" w:color="auto" w:fill="auto"/>
            <w:noWrap/>
            <w:vAlign w:val="bottom"/>
            <w:hideMark/>
          </w:tcPr>
          <w:p w:rsidR="00073182" w:rsidRPr="00073182" w:rsidRDefault="00073182" w:rsidP="00073182">
            <w:pPr>
              <w:jc w:val="right"/>
              <w:rPr>
                <w:sz w:val="18"/>
                <w:szCs w:val="18"/>
              </w:rPr>
            </w:pPr>
            <w:r w:rsidRPr="00073182">
              <w:rPr>
                <w:sz w:val="18"/>
                <w:szCs w:val="18"/>
              </w:rPr>
              <w:t>45,6</w:t>
            </w:r>
          </w:p>
        </w:tc>
        <w:tc>
          <w:tcPr>
            <w:tcW w:w="938" w:type="dxa"/>
            <w:shd w:val="clear" w:color="auto" w:fill="auto"/>
            <w:noWrap/>
            <w:vAlign w:val="bottom"/>
            <w:hideMark/>
          </w:tcPr>
          <w:p w:rsidR="00073182" w:rsidRPr="00073182" w:rsidRDefault="00073182" w:rsidP="00073182">
            <w:pPr>
              <w:jc w:val="right"/>
              <w:rPr>
                <w:sz w:val="18"/>
                <w:szCs w:val="18"/>
              </w:rPr>
            </w:pPr>
            <w:r w:rsidRPr="00073182">
              <w:rPr>
                <w:sz w:val="18"/>
                <w:szCs w:val="18"/>
              </w:rPr>
              <w:t>45,4</w:t>
            </w:r>
          </w:p>
        </w:tc>
        <w:tc>
          <w:tcPr>
            <w:tcW w:w="1245" w:type="dxa"/>
            <w:shd w:val="clear" w:color="auto" w:fill="auto"/>
            <w:noWrap/>
            <w:vAlign w:val="bottom"/>
            <w:hideMark/>
          </w:tcPr>
          <w:p w:rsidR="00073182" w:rsidRPr="00073182" w:rsidRDefault="00073182" w:rsidP="00073182">
            <w:pPr>
              <w:jc w:val="right"/>
              <w:rPr>
                <w:sz w:val="18"/>
                <w:szCs w:val="18"/>
              </w:rPr>
            </w:pPr>
            <w:r w:rsidRPr="00073182">
              <w:rPr>
                <w:sz w:val="18"/>
                <w:szCs w:val="18"/>
              </w:rPr>
              <w:t>-0,6</w:t>
            </w:r>
          </w:p>
        </w:tc>
      </w:tr>
      <w:tr w:rsidR="00073182" w:rsidRPr="00073182" w:rsidTr="006F4F25">
        <w:trPr>
          <w:trHeight w:val="20"/>
        </w:trPr>
        <w:tc>
          <w:tcPr>
            <w:tcW w:w="3998" w:type="dxa"/>
            <w:shd w:val="clear" w:color="auto" w:fill="auto"/>
            <w:noWrap/>
            <w:vAlign w:val="bottom"/>
            <w:hideMark/>
          </w:tcPr>
          <w:p w:rsidR="00073182" w:rsidRPr="00073182" w:rsidRDefault="00073182" w:rsidP="00073182">
            <w:pPr>
              <w:ind w:firstLine="306"/>
              <w:rPr>
                <w:sz w:val="18"/>
                <w:szCs w:val="18"/>
              </w:rPr>
            </w:pPr>
            <w:r w:rsidRPr="00073182">
              <w:rPr>
                <w:sz w:val="18"/>
                <w:szCs w:val="18"/>
              </w:rPr>
              <w:t>Чистые налоги на производство и импорт</w:t>
            </w:r>
          </w:p>
        </w:tc>
        <w:tc>
          <w:tcPr>
            <w:tcW w:w="929" w:type="dxa"/>
            <w:shd w:val="clear" w:color="auto" w:fill="auto"/>
            <w:noWrap/>
            <w:vAlign w:val="bottom"/>
            <w:hideMark/>
          </w:tcPr>
          <w:p w:rsidR="00073182" w:rsidRPr="00073182" w:rsidRDefault="00073182" w:rsidP="00073182">
            <w:pPr>
              <w:jc w:val="right"/>
              <w:rPr>
                <w:sz w:val="18"/>
                <w:szCs w:val="18"/>
              </w:rPr>
            </w:pPr>
            <w:r w:rsidRPr="00073182">
              <w:rPr>
                <w:sz w:val="18"/>
                <w:szCs w:val="18"/>
              </w:rPr>
              <w:t>7,7</w:t>
            </w:r>
          </w:p>
        </w:tc>
        <w:tc>
          <w:tcPr>
            <w:tcW w:w="965" w:type="dxa"/>
            <w:shd w:val="clear" w:color="auto" w:fill="auto"/>
            <w:noWrap/>
            <w:vAlign w:val="bottom"/>
            <w:hideMark/>
          </w:tcPr>
          <w:p w:rsidR="00073182" w:rsidRPr="00073182" w:rsidRDefault="00073182" w:rsidP="00073182">
            <w:pPr>
              <w:jc w:val="right"/>
              <w:rPr>
                <w:sz w:val="18"/>
                <w:szCs w:val="18"/>
              </w:rPr>
            </w:pPr>
            <w:r w:rsidRPr="00073182">
              <w:rPr>
                <w:sz w:val="18"/>
                <w:szCs w:val="18"/>
              </w:rPr>
              <w:t>7,1</w:t>
            </w:r>
          </w:p>
        </w:tc>
        <w:tc>
          <w:tcPr>
            <w:tcW w:w="910" w:type="dxa"/>
            <w:shd w:val="clear" w:color="auto" w:fill="auto"/>
            <w:noWrap/>
            <w:vAlign w:val="bottom"/>
            <w:hideMark/>
          </w:tcPr>
          <w:p w:rsidR="00073182" w:rsidRPr="00073182" w:rsidRDefault="00073182" w:rsidP="00073182">
            <w:pPr>
              <w:jc w:val="right"/>
              <w:rPr>
                <w:sz w:val="18"/>
                <w:szCs w:val="18"/>
              </w:rPr>
            </w:pPr>
            <w:r w:rsidRPr="00073182">
              <w:rPr>
                <w:sz w:val="18"/>
                <w:szCs w:val="18"/>
              </w:rPr>
              <w:t>6,9</w:t>
            </w:r>
          </w:p>
        </w:tc>
        <w:tc>
          <w:tcPr>
            <w:tcW w:w="938" w:type="dxa"/>
            <w:shd w:val="clear" w:color="auto" w:fill="auto"/>
            <w:noWrap/>
            <w:vAlign w:val="bottom"/>
            <w:hideMark/>
          </w:tcPr>
          <w:p w:rsidR="00073182" w:rsidRPr="00073182" w:rsidRDefault="00073182" w:rsidP="00073182">
            <w:pPr>
              <w:jc w:val="right"/>
              <w:rPr>
                <w:sz w:val="18"/>
                <w:szCs w:val="18"/>
              </w:rPr>
            </w:pPr>
            <w:r w:rsidRPr="00073182">
              <w:rPr>
                <w:sz w:val="18"/>
                <w:szCs w:val="18"/>
              </w:rPr>
              <w:t>7,0</w:t>
            </w:r>
          </w:p>
        </w:tc>
        <w:tc>
          <w:tcPr>
            <w:tcW w:w="938" w:type="dxa"/>
            <w:shd w:val="clear" w:color="auto" w:fill="auto"/>
            <w:noWrap/>
            <w:vAlign w:val="bottom"/>
            <w:hideMark/>
          </w:tcPr>
          <w:p w:rsidR="00073182" w:rsidRPr="00073182" w:rsidRDefault="00073182" w:rsidP="00073182">
            <w:pPr>
              <w:jc w:val="right"/>
              <w:rPr>
                <w:sz w:val="18"/>
                <w:szCs w:val="18"/>
              </w:rPr>
            </w:pPr>
            <w:r w:rsidRPr="00073182">
              <w:rPr>
                <w:sz w:val="18"/>
                <w:szCs w:val="18"/>
              </w:rPr>
              <w:t>7,0</w:t>
            </w:r>
          </w:p>
        </w:tc>
        <w:tc>
          <w:tcPr>
            <w:tcW w:w="1245" w:type="dxa"/>
            <w:shd w:val="clear" w:color="auto" w:fill="auto"/>
            <w:noWrap/>
            <w:vAlign w:val="bottom"/>
            <w:hideMark/>
          </w:tcPr>
          <w:p w:rsidR="00073182" w:rsidRPr="00073182" w:rsidRDefault="00073182" w:rsidP="00073182">
            <w:pPr>
              <w:jc w:val="right"/>
              <w:rPr>
                <w:sz w:val="18"/>
                <w:szCs w:val="18"/>
              </w:rPr>
            </w:pPr>
            <w:r w:rsidRPr="00073182">
              <w:rPr>
                <w:sz w:val="18"/>
                <w:szCs w:val="18"/>
              </w:rPr>
              <w:t>-0,1</w:t>
            </w:r>
          </w:p>
        </w:tc>
      </w:tr>
      <w:tr w:rsidR="00073182" w:rsidRPr="00073182" w:rsidTr="006F4F25">
        <w:trPr>
          <w:trHeight w:val="20"/>
        </w:trPr>
        <w:tc>
          <w:tcPr>
            <w:tcW w:w="3998" w:type="dxa"/>
            <w:shd w:val="clear" w:color="auto" w:fill="auto"/>
            <w:noWrap/>
            <w:vAlign w:val="bottom"/>
            <w:hideMark/>
          </w:tcPr>
          <w:p w:rsidR="00073182" w:rsidRPr="00073182" w:rsidRDefault="00073182" w:rsidP="00073182">
            <w:pPr>
              <w:ind w:firstLine="306"/>
              <w:rPr>
                <w:sz w:val="18"/>
                <w:szCs w:val="18"/>
              </w:rPr>
            </w:pPr>
            <w:r w:rsidRPr="00073182">
              <w:rPr>
                <w:sz w:val="18"/>
                <w:szCs w:val="18"/>
              </w:rPr>
              <w:t>Валовая прибыль экономики</w:t>
            </w:r>
          </w:p>
        </w:tc>
        <w:tc>
          <w:tcPr>
            <w:tcW w:w="929" w:type="dxa"/>
            <w:shd w:val="clear" w:color="auto" w:fill="auto"/>
            <w:noWrap/>
            <w:vAlign w:val="bottom"/>
            <w:hideMark/>
          </w:tcPr>
          <w:p w:rsidR="00073182" w:rsidRPr="00073182" w:rsidRDefault="00073182" w:rsidP="00073182">
            <w:pPr>
              <w:jc w:val="right"/>
              <w:rPr>
                <w:sz w:val="18"/>
                <w:szCs w:val="18"/>
              </w:rPr>
            </w:pPr>
            <w:r w:rsidRPr="00073182">
              <w:rPr>
                <w:sz w:val="18"/>
                <w:szCs w:val="18"/>
              </w:rPr>
              <w:t>48,4</w:t>
            </w:r>
          </w:p>
        </w:tc>
        <w:tc>
          <w:tcPr>
            <w:tcW w:w="965" w:type="dxa"/>
            <w:shd w:val="clear" w:color="auto" w:fill="auto"/>
            <w:noWrap/>
            <w:vAlign w:val="bottom"/>
            <w:hideMark/>
          </w:tcPr>
          <w:p w:rsidR="00073182" w:rsidRPr="00073182" w:rsidRDefault="00073182" w:rsidP="00073182">
            <w:pPr>
              <w:jc w:val="right"/>
              <w:rPr>
                <w:sz w:val="18"/>
                <w:szCs w:val="18"/>
              </w:rPr>
            </w:pPr>
            <w:r w:rsidRPr="00073182">
              <w:rPr>
                <w:sz w:val="18"/>
                <w:szCs w:val="18"/>
              </w:rPr>
              <w:t>46,9</w:t>
            </w:r>
          </w:p>
        </w:tc>
        <w:tc>
          <w:tcPr>
            <w:tcW w:w="910" w:type="dxa"/>
            <w:shd w:val="clear" w:color="auto" w:fill="auto"/>
            <w:noWrap/>
            <w:vAlign w:val="bottom"/>
            <w:hideMark/>
          </w:tcPr>
          <w:p w:rsidR="00073182" w:rsidRPr="00073182" w:rsidRDefault="00073182" w:rsidP="00073182">
            <w:pPr>
              <w:jc w:val="right"/>
              <w:rPr>
                <w:sz w:val="18"/>
                <w:szCs w:val="18"/>
              </w:rPr>
            </w:pPr>
            <w:r w:rsidRPr="00073182">
              <w:rPr>
                <w:sz w:val="18"/>
                <w:szCs w:val="18"/>
              </w:rPr>
              <w:t>47,2</w:t>
            </w:r>
          </w:p>
        </w:tc>
        <w:tc>
          <w:tcPr>
            <w:tcW w:w="938" w:type="dxa"/>
            <w:shd w:val="clear" w:color="auto" w:fill="auto"/>
            <w:noWrap/>
            <w:vAlign w:val="bottom"/>
            <w:hideMark/>
          </w:tcPr>
          <w:p w:rsidR="00073182" w:rsidRPr="00073182" w:rsidRDefault="00073182" w:rsidP="00073182">
            <w:pPr>
              <w:jc w:val="right"/>
              <w:rPr>
                <w:sz w:val="18"/>
                <w:szCs w:val="18"/>
              </w:rPr>
            </w:pPr>
            <w:r w:rsidRPr="00073182">
              <w:rPr>
                <w:sz w:val="18"/>
                <w:szCs w:val="18"/>
              </w:rPr>
              <w:t>47,4</w:t>
            </w:r>
          </w:p>
        </w:tc>
        <w:tc>
          <w:tcPr>
            <w:tcW w:w="938" w:type="dxa"/>
            <w:shd w:val="clear" w:color="auto" w:fill="auto"/>
            <w:noWrap/>
            <w:vAlign w:val="bottom"/>
            <w:hideMark/>
          </w:tcPr>
          <w:p w:rsidR="00073182" w:rsidRPr="00073182" w:rsidRDefault="00073182" w:rsidP="00073182">
            <w:pPr>
              <w:jc w:val="right"/>
              <w:rPr>
                <w:sz w:val="18"/>
                <w:szCs w:val="18"/>
              </w:rPr>
            </w:pPr>
            <w:r w:rsidRPr="00073182">
              <w:rPr>
                <w:sz w:val="18"/>
                <w:szCs w:val="18"/>
              </w:rPr>
              <w:t>47,6</w:t>
            </w:r>
          </w:p>
        </w:tc>
        <w:tc>
          <w:tcPr>
            <w:tcW w:w="1245" w:type="dxa"/>
            <w:shd w:val="clear" w:color="auto" w:fill="auto"/>
            <w:noWrap/>
            <w:vAlign w:val="bottom"/>
            <w:hideMark/>
          </w:tcPr>
          <w:p w:rsidR="00073182" w:rsidRPr="00073182" w:rsidRDefault="00073182" w:rsidP="00073182">
            <w:pPr>
              <w:jc w:val="right"/>
              <w:rPr>
                <w:sz w:val="18"/>
                <w:szCs w:val="18"/>
              </w:rPr>
            </w:pPr>
            <w:r w:rsidRPr="00073182">
              <w:rPr>
                <w:sz w:val="18"/>
                <w:szCs w:val="18"/>
              </w:rPr>
              <w:t>0,7</w:t>
            </w:r>
          </w:p>
        </w:tc>
      </w:tr>
    </w:tbl>
    <w:p w:rsidR="00A655A2" w:rsidRPr="00073182" w:rsidRDefault="00A655A2" w:rsidP="00EF0B65">
      <w:pPr>
        <w:autoSpaceDE w:val="0"/>
        <w:autoSpaceDN w:val="0"/>
        <w:adjustRightInd w:val="0"/>
        <w:spacing w:line="360" w:lineRule="auto"/>
        <w:ind w:firstLine="709"/>
        <w:jc w:val="both"/>
        <w:rPr>
          <w:color w:val="000000" w:themeColor="text1"/>
          <w:sz w:val="10"/>
          <w:szCs w:val="10"/>
        </w:rPr>
      </w:pPr>
    </w:p>
    <w:p w:rsidR="00C7198B" w:rsidRPr="00C7198B" w:rsidRDefault="00C7198B" w:rsidP="00C7198B">
      <w:pPr>
        <w:autoSpaceDE w:val="0"/>
        <w:autoSpaceDN w:val="0"/>
        <w:adjustRightInd w:val="0"/>
        <w:spacing w:line="360" w:lineRule="auto"/>
        <w:ind w:firstLine="709"/>
        <w:jc w:val="both"/>
        <w:rPr>
          <w:color w:val="000000" w:themeColor="text1"/>
        </w:rPr>
      </w:pPr>
      <w:r w:rsidRPr="00C7198B">
        <w:rPr>
          <w:b/>
          <w:color w:val="000000" w:themeColor="text1"/>
        </w:rPr>
        <w:t>2.1</w:t>
      </w:r>
      <w:r>
        <w:rPr>
          <w:b/>
          <w:color w:val="000000" w:themeColor="text1"/>
        </w:rPr>
        <w:t>3</w:t>
      </w:r>
      <w:r w:rsidRPr="00C7198B">
        <w:rPr>
          <w:b/>
          <w:color w:val="000000" w:themeColor="text1"/>
        </w:rPr>
        <w:t>.</w:t>
      </w:r>
      <w:r w:rsidRPr="00C7198B">
        <w:rPr>
          <w:color w:val="000000" w:themeColor="text1"/>
        </w:rPr>
        <w:t xml:space="preserve"> Согласно Порядку разработки </w:t>
      </w:r>
      <w:r w:rsidR="006E04F6">
        <w:rPr>
          <w:color w:val="000000" w:themeColor="text1"/>
        </w:rPr>
        <w:t>п</w:t>
      </w:r>
      <w:r w:rsidRPr="00C7198B">
        <w:rPr>
          <w:color w:val="000000" w:themeColor="text1"/>
        </w:rPr>
        <w:t>рогноза Прогноз разработан в двух вариантах</w:t>
      </w:r>
      <w:r w:rsidR="00793E57">
        <w:rPr>
          <w:color w:val="000000" w:themeColor="text1"/>
        </w:rPr>
        <w:t> </w:t>
      </w:r>
      <w:r w:rsidRPr="00C7198B">
        <w:rPr>
          <w:color w:val="000000" w:themeColor="text1"/>
        </w:rPr>
        <w:t>– базовом и консервативном.</w:t>
      </w:r>
    </w:p>
    <w:p w:rsidR="00C7198B" w:rsidRPr="00C7198B" w:rsidRDefault="00C7198B" w:rsidP="00C7198B">
      <w:pPr>
        <w:autoSpaceDE w:val="0"/>
        <w:autoSpaceDN w:val="0"/>
        <w:adjustRightInd w:val="0"/>
        <w:spacing w:line="360" w:lineRule="auto"/>
        <w:ind w:firstLine="709"/>
        <w:jc w:val="both"/>
        <w:rPr>
          <w:color w:val="000000" w:themeColor="text1"/>
        </w:rPr>
      </w:pPr>
      <w:r w:rsidRPr="00C7198B">
        <w:rPr>
          <w:color w:val="000000" w:themeColor="text1"/>
        </w:rPr>
        <w:t>Сравнение данных в обоих вариантах Прогноза приведено в следующей таблице.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7"/>
        <w:gridCol w:w="1139"/>
        <w:gridCol w:w="1275"/>
        <w:gridCol w:w="1039"/>
        <w:gridCol w:w="1040"/>
        <w:gridCol w:w="1153"/>
      </w:tblGrid>
      <w:tr w:rsidR="00C7198B" w:rsidRPr="00C7198B" w:rsidTr="006F4F25">
        <w:trPr>
          <w:trHeight w:val="20"/>
          <w:tblHeader/>
        </w:trPr>
        <w:tc>
          <w:tcPr>
            <w:tcW w:w="4277" w:type="dxa"/>
            <w:vMerge w:val="restart"/>
            <w:vAlign w:val="center"/>
            <w:hideMark/>
          </w:tcPr>
          <w:p w:rsidR="00C7198B" w:rsidRPr="00C7198B" w:rsidRDefault="00C7198B" w:rsidP="00C7198B">
            <w:pPr>
              <w:jc w:val="center"/>
              <w:rPr>
                <w:b/>
                <w:bCs/>
                <w:sz w:val="18"/>
                <w:szCs w:val="18"/>
              </w:rPr>
            </w:pPr>
            <w:r w:rsidRPr="00073182">
              <w:rPr>
                <w:b/>
                <w:sz w:val="18"/>
                <w:szCs w:val="18"/>
              </w:rPr>
              <w:t>Наименование</w:t>
            </w:r>
            <w:r w:rsidR="006F4F25">
              <w:rPr>
                <w:b/>
                <w:sz w:val="18"/>
                <w:szCs w:val="18"/>
              </w:rPr>
              <w:t xml:space="preserve"> показателя</w:t>
            </w:r>
          </w:p>
        </w:tc>
        <w:tc>
          <w:tcPr>
            <w:tcW w:w="1139" w:type="dxa"/>
            <w:noWrap/>
            <w:vAlign w:val="center"/>
            <w:hideMark/>
          </w:tcPr>
          <w:p w:rsidR="00C7198B" w:rsidRPr="00C7198B" w:rsidRDefault="00C7198B" w:rsidP="00C7198B">
            <w:pPr>
              <w:jc w:val="center"/>
              <w:rPr>
                <w:b/>
                <w:bCs/>
                <w:sz w:val="18"/>
                <w:szCs w:val="18"/>
              </w:rPr>
            </w:pPr>
            <w:r w:rsidRPr="00C7198B">
              <w:rPr>
                <w:b/>
                <w:bCs/>
                <w:sz w:val="18"/>
                <w:szCs w:val="18"/>
              </w:rPr>
              <w:t>2024</w:t>
            </w:r>
          </w:p>
        </w:tc>
        <w:tc>
          <w:tcPr>
            <w:tcW w:w="1275" w:type="dxa"/>
            <w:noWrap/>
            <w:vAlign w:val="center"/>
            <w:hideMark/>
          </w:tcPr>
          <w:p w:rsidR="00C7198B" w:rsidRPr="00C7198B" w:rsidRDefault="00C7198B" w:rsidP="00C7198B">
            <w:pPr>
              <w:jc w:val="center"/>
              <w:rPr>
                <w:b/>
                <w:bCs/>
                <w:sz w:val="18"/>
                <w:szCs w:val="18"/>
              </w:rPr>
            </w:pPr>
            <w:r w:rsidRPr="00C7198B">
              <w:rPr>
                <w:b/>
                <w:bCs/>
                <w:sz w:val="18"/>
                <w:szCs w:val="18"/>
              </w:rPr>
              <w:t>2025</w:t>
            </w:r>
          </w:p>
        </w:tc>
        <w:tc>
          <w:tcPr>
            <w:tcW w:w="1039" w:type="dxa"/>
            <w:noWrap/>
            <w:vAlign w:val="center"/>
            <w:hideMark/>
          </w:tcPr>
          <w:p w:rsidR="00C7198B" w:rsidRPr="00C7198B" w:rsidRDefault="00C7198B" w:rsidP="00C7198B">
            <w:pPr>
              <w:jc w:val="center"/>
              <w:rPr>
                <w:b/>
                <w:bCs/>
                <w:sz w:val="18"/>
                <w:szCs w:val="18"/>
              </w:rPr>
            </w:pPr>
            <w:r w:rsidRPr="00C7198B">
              <w:rPr>
                <w:b/>
                <w:bCs/>
                <w:sz w:val="18"/>
                <w:szCs w:val="18"/>
              </w:rPr>
              <w:t>2026</w:t>
            </w:r>
          </w:p>
        </w:tc>
        <w:tc>
          <w:tcPr>
            <w:tcW w:w="1040" w:type="dxa"/>
            <w:noWrap/>
            <w:vAlign w:val="center"/>
            <w:hideMark/>
          </w:tcPr>
          <w:p w:rsidR="00C7198B" w:rsidRPr="00C7198B" w:rsidRDefault="00C7198B" w:rsidP="00C7198B">
            <w:pPr>
              <w:jc w:val="center"/>
              <w:rPr>
                <w:b/>
                <w:bCs/>
                <w:sz w:val="18"/>
                <w:szCs w:val="18"/>
              </w:rPr>
            </w:pPr>
            <w:r w:rsidRPr="00C7198B">
              <w:rPr>
                <w:b/>
                <w:bCs/>
                <w:sz w:val="18"/>
                <w:szCs w:val="18"/>
              </w:rPr>
              <w:t>2027</w:t>
            </w:r>
          </w:p>
        </w:tc>
        <w:tc>
          <w:tcPr>
            <w:tcW w:w="1153" w:type="dxa"/>
            <w:noWrap/>
            <w:vAlign w:val="center"/>
            <w:hideMark/>
          </w:tcPr>
          <w:p w:rsidR="00C7198B" w:rsidRPr="00C7198B" w:rsidRDefault="00C7198B" w:rsidP="00C7198B">
            <w:pPr>
              <w:jc w:val="center"/>
              <w:rPr>
                <w:b/>
                <w:bCs/>
                <w:sz w:val="18"/>
                <w:szCs w:val="18"/>
              </w:rPr>
            </w:pPr>
            <w:r w:rsidRPr="00C7198B">
              <w:rPr>
                <w:b/>
                <w:bCs/>
                <w:sz w:val="18"/>
                <w:szCs w:val="18"/>
              </w:rPr>
              <w:t>2028</w:t>
            </w:r>
          </w:p>
        </w:tc>
      </w:tr>
      <w:tr w:rsidR="00C7198B" w:rsidRPr="00C7198B" w:rsidTr="006F4F25">
        <w:trPr>
          <w:trHeight w:val="20"/>
          <w:tblHeader/>
        </w:trPr>
        <w:tc>
          <w:tcPr>
            <w:tcW w:w="4277" w:type="dxa"/>
            <w:vMerge/>
            <w:vAlign w:val="center"/>
            <w:hideMark/>
          </w:tcPr>
          <w:p w:rsidR="00C7198B" w:rsidRPr="00C7198B" w:rsidRDefault="00C7198B" w:rsidP="00C7198B">
            <w:pPr>
              <w:rPr>
                <w:b/>
                <w:bCs/>
                <w:sz w:val="18"/>
                <w:szCs w:val="18"/>
              </w:rPr>
            </w:pPr>
          </w:p>
        </w:tc>
        <w:tc>
          <w:tcPr>
            <w:tcW w:w="1139" w:type="dxa"/>
            <w:noWrap/>
            <w:vAlign w:val="center"/>
            <w:hideMark/>
          </w:tcPr>
          <w:p w:rsidR="00C7198B" w:rsidRPr="00C7198B" w:rsidRDefault="00C7198B" w:rsidP="00C7198B">
            <w:pPr>
              <w:jc w:val="center"/>
              <w:rPr>
                <w:b/>
                <w:bCs/>
                <w:sz w:val="18"/>
                <w:szCs w:val="18"/>
              </w:rPr>
            </w:pPr>
            <w:r w:rsidRPr="00C7198B">
              <w:rPr>
                <w:b/>
                <w:bCs/>
                <w:sz w:val="18"/>
                <w:szCs w:val="18"/>
              </w:rPr>
              <w:t>отчет</w:t>
            </w:r>
          </w:p>
        </w:tc>
        <w:tc>
          <w:tcPr>
            <w:tcW w:w="1275" w:type="dxa"/>
            <w:noWrap/>
            <w:vAlign w:val="center"/>
            <w:hideMark/>
          </w:tcPr>
          <w:p w:rsidR="00C7198B" w:rsidRPr="00C7198B" w:rsidRDefault="00C7198B" w:rsidP="00C7198B">
            <w:pPr>
              <w:jc w:val="center"/>
              <w:rPr>
                <w:b/>
                <w:bCs/>
                <w:sz w:val="18"/>
                <w:szCs w:val="18"/>
              </w:rPr>
            </w:pPr>
            <w:r w:rsidRPr="00C7198B">
              <w:rPr>
                <w:b/>
                <w:bCs/>
                <w:sz w:val="18"/>
                <w:szCs w:val="18"/>
              </w:rPr>
              <w:t>оценка</w:t>
            </w:r>
          </w:p>
        </w:tc>
        <w:tc>
          <w:tcPr>
            <w:tcW w:w="3232" w:type="dxa"/>
            <w:gridSpan w:val="3"/>
            <w:noWrap/>
            <w:vAlign w:val="center"/>
            <w:hideMark/>
          </w:tcPr>
          <w:p w:rsidR="00C7198B" w:rsidRPr="00C7198B" w:rsidRDefault="00C7198B" w:rsidP="00C7198B">
            <w:pPr>
              <w:jc w:val="center"/>
              <w:rPr>
                <w:b/>
                <w:bCs/>
                <w:sz w:val="18"/>
                <w:szCs w:val="18"/>
              </w:rPr>
            </w:pPr>
            <w:r w:rsidRPr="00C7198B">
              <w:rPr>
                <w:b/>
                <w:bCs/>
                <w:sz w:val="18"/>
                <w:szCs w:val="18"/>
              </w:rPr>
              <w:t>прогноз</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 xml:space="preserve">Валовой внутренний продукт, </w:t>
            </w:r>
            <w:r w:rsidRPr="00C7198B">
              <w:rPr>
                <w:b/>
                <w:sz w:val="18"/>
                <w:szCs w:val="18"/>
              </w:rPr>
              <w:t>%</w:t>
            </w:r>
            <w:r w:rsidRPr="00C7198B">
              <w:rPr>
                <w:b/>
                <w:bCs/>
                <w:sz w:val="18"/>
                <w:szCs w:val="18"/>
              </w:rPr>
              <w:t> </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4,3</w:t>
            </w:r>
          </w:p>
        </w:tc>
        <w:tc>
          <w:tcPr>
            <w:tcW w:w="1275" w:type="dxa"/>
            <w:noWrap/>
            <w:vAlign w:val="center"/>
            <w:hideMark/>
          </w:tcPr>
          <w:p w:rsidR="00C7198B" w:rsidRPr="00C7198B" w:rsidRDefault="00C7198B" w:rsidP="00C7198B">
            <w:pPr>
              <w:jc w:val="center"/>
              <w:rPr>
                <w:sz w:val="18"/>
                <w:szCs w:val="18"/>
              </w:rPr>
            </w:pPr>
            <w:r w:rsidRPr="00C7198B">
              <w:rPr>
                <w:sz w:val="18"/>
                <w:szCs w:val="18"/>
              </w:rPr>
              <w:t>1,0</w:t>
            </w:r>
          </w:p>
        </w:tc>
        <w:tc>
          <w:tcPr>
            <w:tcW w:w="1039" w:type="dxa"/>
            <w:noWrap/>
            <w:vAlign w:val="center"/>
            <w:hideMark/>
          </w:tcPr>
          <w:p w:rsidR="00C7198B" w:rsidRPr="00C7198B" w:rsidRDefault="00C7198B" w:rsidP="00C7198B">
            <w:pPr>
              <w:jc w:val="center"/>
              <w:rPr>
                <w:sz w:val="18"/>
                <w:szCs w:val="18"/>
              </w:rPr>
            </w:pPr>
            <w:r w:rsidRPr="00C7198B">
              <w:rPr>
                <w:sz w:val="18"/>
                <w:szCs w:val="18"/>
              </w:rPr>
              <w:t>1,3</w:t>
            </w:r>
          </w:p>
        </w:tc>
        <w:tc>
          <w:tcPr>
            <w:tcW w:w="1040" w:type="dxa"/>
            <w:noWrap/>
            <w:vAlign w:val="center"/>
            <w:hideMark/>
          </w:tcPr>
          <w:p w:rsidR="00C7198B" w:rsidRPr="00C7198B" w:rsidRDefault="00C7198B" w:rsidP="00C7198B">
            <w:pPr>
              <w:jc w:val="center"/>
              <w:rPr>
                <w:sz w:val="18"/>
                <w:szCs w:val="18"/>
              </w:rPr>
            </w:pPr>
            <w:r w:rsidRPr="00C7198B">
              <w:rPr>
                <w:sz w:val="18"/>
                <w:szCs w:val="18"/>
              </w:rPr>
              <w:t>2,8</w:t>
            </w:r>
          </w:p>
        </w:tc>
        <w:tc>
          <w:tcPr>
            <w:tcW w:w="1153" w:type="dxa"/>
            <w:noWrap/>
            <w:vAlign w:val="center"/>
            <w:hideMark/>
          </w:tcPr>
          <w:p w:rsidR="00C7198B" w:rsidRPr="00C7198B" w:rsidRDefault="00C7198B" w:rsidP="00C7198B">
            <w:pPr>
              <w:jc w:val="center"/>
              <w:rPr>
                <w:sz w:val="18"/>
                <w:szCs w:val="18"/>
              </w:rPr>
            </w:pPr>
            <w:r w:rsidRPr="00C7198B">
              <w:rPr>
                <w:sz w:val="18"/>
                <w:szCs w:val="18"/>
              </w:rPr>
              <w:t>2,5</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1,0</w:t>
            </w:r>
          </w:p>
        </w:tc>
        <w:tc>
          <w:tcPr>
            <w:tcW w:w="1039" w:type="dxa"/>
            <w:noWrap/>
            <w:vAlign w:val="center"/>
            <w:hideMark/>
          </w:tcPr>
          <w:p w:rsidR="00C7198B" w:rsidRPr="00C7198B" w:rsidRDefault="00C7198B" w:rsidP="00C7198B">
            <w:pPr>
              <w:jc w:val="center"/>
              <w:rPr>
                <w:sz w:val="18"/>
                <w:szCs w:val="18"/>
              </w:rPr>
            </w:pPr>
            <w:r w:rsidRPr="00C7198B">
              <w:rPr>
                <w:sz w:val="18"/>
                <w:szCs w:val="18"/>
              </w:rPr>
              <w:t>0,8</w:t>
            </w:r>
          </w:p>
        </w:tc>
        <w:tc>
          <w:tcPr>
            <w:tcW w:w="1040" w:type="dxa"/>
            <w:noWrap/>
            <w:vAlign w:val="center"/>
            <w:hideMark/>
          </w:tcPr>
          <w:p w:rsidR="00C7198B" w:rsidRPr="00C7198B" w:rsidRDefault="00C7198B" w:rsidP="00C7198B">
            <w:pPr>
              <w:jc w:val="center"/>
              <w:rPr>
                <w:sz w:val="18"/>
                <w:szCs w:val="18"/>
              </w:rPr>
            </w:pPr>
            <w:r w:rsidRPr="00C7198B">
              <w:rPr>
                <w:sz w:val="18"/>
                <w:szCs w:val="18"/>
              </w:rPr>
              <w:t>1,5</w:t>
            </w:r>
          </w:p>
        </w:tc>
        <w:tc>
          <w:tcPr>
            <w:tcW w:w="1153" w:type="dxa"/>
            <w:noWrap/>
            <w:vAlign w:val="center"/>
            <w:hideMark/>
          </w:tcPr>
          <w:p w:rsidR="00C7198B" w:rsidRPr="00C7198B" w:rsidRDefault="00C7198B" w:rsidP="00C7198B">
            <w:pPr>
              <w:jc w:val="center"/>
              <w:rPr>
                <w:sz w:val="18"/>
                <w:szCs w:val="18"/>
              </w:rPr>
            </w:pPr>
            <w:r w:rsidRPr="00C7198B">
              <w:rPr>
                <w:sz w:val="18"/>
                <w:szCs w:val="18"/>
              </w:rPr>
              <w:t>1,9</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Цена на нефть марки «Юралс»,</w:t>
            </w:r>
            <w:r w:rsidRPr="00C7198B">
              <w:rPr>
                <w:b/>
                <w:sz w:val="18"/>
                <w:szCs w:val="18"/>
              </w:rPr>
              <w:t xml:space="preserve"> долл. США / барр.</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66,6</w:t>
            </w:r>
          </w:p>
        </w:tc>
        <w:tc>
          <w:tcPr>
            <w:tcW w:w="1275" w:type="dxa"/>
            <w:noWrap/>
            <w:vAlign w:val="center"/>
            <w:hideMark/>
          </w:tcPr>
          <w:p w:rsidR="00C7198B" w:rsidRPr="00C7198B" w:rsidRDefault="00C7198B" w:rsidP="00C7198B">
            <w:pPr>
              <w:jc w:val="center"/>
              <w:rPr>
                <w:sz w:val="18"/>
                <w:szCs w:val="18"/>
              </w:rPr>
            </w:pPr>
            <w:r w:rsidRPr="00C7198B">
              <w:rPr>
                <w:sz w:val="18"/>
                <w:szCs w:val="18"/>
              </w:rPr>
              <w:t>58,0</w:t>
            </w:r>
          </w:p>
        </w:tc>
        <w:tc>
          <w:tcPr>
            <w:tcW w:w="1039" w:type="dxa"/>
            <w:noWrap/>
            <w:vAlign w:val="center"/>
            <w:hideMark/>
          </w:tcPr>
          <w:p w:rsidR="00C7198B" w:rsidRPr="00C7198B" w:rsidRDefault="00C7198B" w:rsidP="00C7198B">
            <w:pPr>
              <w:jc w:val="center"/>
              <w:rPr>
                <w:sz w:val="18"/>
                <w:szCs w:val="18"/>
              </w:rPr>
            </w:pPr>
            <w:r w:rsidRPr="00C7198B">
              <w:rPr>
                <w:sz w:val="18"/>
                <w:szCs w:val="18"/>
              </w:rPr>
              <w:t>59,0</w:t>
            </w:r>
          </w:p>
        </w:tc>
        <w:tc>
          <w:tcPr>
            <w:tcW w:w="1040" w:type="dxa"/>
            <w:noWrap/>
            <w:vAlign w:val="center"/>
            <w:hideMark/>
          </w:tcPr>
          <w:p w:rsidR="00C7198B" w:rsidRPr="00C7198B" w:rsidRDefault="00C7198B" w:rsidP="00C7198B">
            <w:pPr>
              <w:jc w:val="center"/>
              <w:rPr>
                <w:sz w:val="18"/>
                <w:szCs w:val="18"/>
              </w:rPr>
            </w:pPr>
            <w:r w:rsidRPr="00C7198B">
              <w:rPr>
                <w:sz w:val="18"/>
                <w:szCs w:val="18"/>
              </w:rPr>
              <w:t>61,0</w:t>
            </w:r>
          </w:p>
        </w:tc>
        <w:tc>
          <w:tcPr>
            <w:tcW w:w="1153" w:type="dxa"/>
            <w:noWrap/>
            <w:vAlign w:val="center"/>
            <w:hideMark/>
          </w:tcPr>
          <w:p w:rsidR="00C7198B" w:rsidRPr="00C7198B" w:rsidRDefault="00C7198B" w:rsidP="00C7198B">
            <w:pPr>
              <w:jc w:val="center"/>
              <w:rPr>
                <w:sz w:val="18"/>
                <w:szCs w:val="18"/>
              </w:rPr>
            </w:pPr>
            <w:r w:rsidRPr="00C7198B">
              <w:rPr>
                <w:sz w:val="18"/>
                <w:szCs w:val="18"/>
              </w:rPr>
              <w:t>65,0</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58,0</w:t>
            </w:r>
          </w:p>
        </w:tc>
        <w:tc>
          <w:tcPr>
            <w:tcW w:w="1039" w:type="dxa"/>
            <w:noWrap/>
            <w:vAlign w:val="center"/>
            <w:hideMark/>
          </w:tcPr>
          <w:p w:rsidR="00C7198B" w:rsidRPr="00C7198B" w:rsidRDefault="00C7198B" w:rsidP="00C7198B">
            <w:pPr>
              <w:jc w:val="center"/>
              <w:rPr>
                <w:sz w:val="18"/>
                <w:szCs w:val="18"/>
              </w:rPr>
            </w:pPr>
            <w:r w:rsidRPr="00C7198B">
              <w:rPr>
                <w:sz w:val="18"/>
                <w:szCs w:val="18"/>
              </w:rPr>
              <w:t>44,0</w:t>
            </w:r>
          </w:p>
        </w:tc>
        <w:tc>
          <w:tcPr>
            <w:tcW w:w="1040" w:type="dxa"/>
            <w:noWrap/>
            <w:vAlign w:val="center"/>
            <w:hideMark/>
          </w:tcPr>
          <w:p w:rsidR="00C7198B" w:rsidRPr="00C7198B" w:rsidRDefault="00C7198B" w:rsidP="00C7198B">
            <w:pPr>
              <w:jc w:val="center"/>
              <w:rPr>
                <w:sz w:val="18"/>
                <w:szCs w:val="18"/>
              </w:rPr>
            </w:pPr>
            <w:r w:rsidRPr="00C7198B">
              <w:rPr>
                <w:sz w:val="18"/>
                <w:szCs w:val="18"/>
              </w:rPr>
              <w:t>48,3</w:t>
            </w:r>
          </w:p>
        </w:tc>
        <w:tc>
          <w:tcPr>
            <w:tcW w:w="1153" w:type="dxa"/>
            <w:noWrap/>
            <w:vAlign w:val="center"/>
            <w:hideMark/>
          </w:tcPr>
          <w:p w:rsidR="00C7198B" w:rsidRPr="00C7198B" w:rsidRDefault="00C7198B" w:rsidP="00C7198B">
            <w:pPr>
              <w:jc w:val="center"/>
              <w:rPr>
                <w:sz w:val="18"/>
                <w:szCs w:val="18"/>
              </w:rPr>
            </w:pPr>
            <w:r w:rsidRPr="00C7198B">
              <w:rPr>
                <w:sz w:val="18"/>
                <w:szCs w:val="18"/>
              </w:rPr>
              <w:t>51,2</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 xml:space="preserve">Курс доллара среднегодовой, </w:t>
            </w:r>
            <w:r w:rsidRPr="00C7198B">
              <w:rPr>
                <w:b/>
                <w:sz w:val="18"/>
                <w:szCs w:val="18"/>
              </w:rPr>
              <w:t>рублей за доллар США</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92,4</w:t>
            </w:r>
          </w:p>
        </w:tc>
        <w:tc>
          <w:tcPr>
            <w:tcW w:w="1275" w:type="dxa"/>
            <w:noWrap/>
            <w:vAlign w:val="center"/>
            <w:hideMark/>
          </w:tcPr>
          <w:p w:rsidR="00C7198B" w:rsidRPr="00C7198B" w:rsidRDefault="00C7198B" w:rsidP="00C7198B">
            <w:pPr>
              <w:jc w:val="center"/>
              <w:rPr>
                <w:sz w:val="18"/>
                <w:szCs w:val="18"/>
              </w:rPr>
            </w:pPr>
            <w:r w:rsidRPr="00C7198B">
              <w:rPr>
                <w:sz w:val="18"/>
                <w:szCs w:val="18"/>
              </w:rPr>
              <w:t>86,1</w:t>
            </w:r>
          </w:p>
        </w:tc>
        <w:tc>
          <w:tcPr>
            <w:tcW w:w="1039" w:type="dxa"/>
            <w:noWrap/>
            <w:vAlign w:val="center"/>
            <w:hideMark/>
          </w:tcPr>
          <w:p w:rsidR="00C7198B" w:rsidRPr="00C7198B" w:rsidRDefault="00C7198B" w:rsidP="00C7198B">
            <w:pPr>
              <w:jc w:val="center"/>
              <w:rPr>
                <w:sz w:val="18"/>
                <w:szCs w:val="18"/>
              </w:rPr>
            </w:pPr>
            <w:r w:rsidRPr="00C7198B">
              <w:rPr>
                <w:sz w:val="18"/>
                <w:szCs w:val="18"/>
              </w:rPr>
              <w:t>92,2</w:t>
            </w:r>
          </w:p>
        </w:tc>
        <w:tc>
          <w:tcPr>
            <w:tcW w:w="1040" w:type="dxa"/>
            <w:noWrap/>
            <w:vAlign w:val="center"/>
            <w:hideMark/>
          </w:tcPr>
          <w:p w:rsidR="00C7198B" w:rsidRPr="00C7198B" w:rsidRDefault="00C7198B" w:rsidP="00C7198B">
            <w:pPr>
              <w:jc w:val="center"/>
              <w:rPr>
                <w:sz w:val="18"/>
                <w:szCs w:val="18"/>
              </w:rPr>
            </w:pPr>
            <w:r w:rsidRPr="00C7198B">
              <w:rPr>
                <w:sz w:val="18"/>
                <w:szCs w:val="18"/>
              </w:rPr>
              <w:t>95,8</w:t>
            </w:r>
          </w:p>
        </w:tc>
        <w:tc>
          <w:tcPr>
            <w:tcW w:w="1153" w:type="dxa"/>
            <w:noWrap/>
            <w:vAlign w:val="center"/>
            <w:hideMark/>
          </w:tcPr>
          <w:p w:rsidR="00C7198B" w:rsidRPr="00C7198B" w:rsidRDefault="00C7198B" w:rsidP="00C7198B">
            <w:pPr>
              <w:jc w:val="center"/>
              <w:rPr>
                <w:sz w:val="18"/>
                <w:szCs w:val="18"/>
              </w:rPr>
            </w:pPr>
            <w:r w:rsidRPr="00C7198B">
              <w:rPr>
                <w:sz w:val="18"/>
                <w:szCs w:val="18"/>
              </w:rPr>
              <w:t>100,1</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86,1</w:t>
            </w:r>
          </w:p>
        </w:tc>
        <w:tc>
          <w:tcPr>
            <w:tcW w:w="1039" w:type="dxa"/>
            <w:noWrap/>
            <w:vAlign w:val="center"/>
            <w:hideMark/>
          </w:tcPr>
          <w:p w:rsidR="00C7198B" w:rsidRPr="00C7198B" w:rsidRDefault="00C7198B" w:rsidP="00C7198B">
            <w:pPr>
              <w:jc w:val="center"/>
              <w:rPr>
                <w:sz w:val="18"/>
                <w:szCs w:val="18"/>
              </w:rPr>
            </w:pPr>
            <w:r w:rsidRPr="00C7198B">
              <w:rPr>
                <w:sz w:val="18"/>
                <w:szCs w:val="18"/>
              </w:rPr>
              <w:t>94,8</w:t>
            </w:r>
          </w:p>
        </w:tc>
        <w:tc>
          <w:tcPr>
            <w:tcW w:w="1040" w:type="dxa"/>
            <w:noWrap/>
            <w:vAlign w:val="center"/>
            <w:hideMark/>
          </w:tcPr>
          <w:p w:rsidR="00C7198B" w:rsidRPr="00C7198B" w:rsidRDefault="00C7198B" w:rsidP="00C7198B">
            <w:pPr>
              <w:jc w:val="center"/>
              <w:rPr>
                <w:sz w:val="18"/>
                <w:szCs w:val="18"/>
              </w:rPr>
            </w:pPr>
            <w:r w:rsidRPr="00C7198B">
              <w:rPr>
                <w:sz w:val="18"/>
                <w:szCs w:val="18"/>
              </w:rPr>
              <w:t>99,3</w:t>
            </w:r>
          </w:p>
        </w:tc>
        <w:tc>
          <w:tcPr>
            <w:tcW w:w="1153" w:type="dxa"/>
            <w:noWrap/>
            <w:vAlign w:val="center"/>
            <w:hideMark/>
          </w:tcPr>
          <w:p w:rsidR="00C7198B" w:rsidRPr="00C7198B" w:rsidRDefault="00C7198B" w:rsidP="00C7198B">
            <w:pPr>
              <w:jc w:val="center"/>
              <w:rPr>
                <w:sz w:val="18"/>
                <w:szCs w:val="18"/>
              </w:rPr>
            </w:pPr>
            <w:r w:rsidRPr="00C7198B">
              <w:rPr>
                <w:sz w:val="18"/>
                <w:szCs w:val="18"/>
              </w:rPr>
              <w:t>104,2</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Индекс потребительских цен</w:t>
            </w:r>
            <w:r w:rsidRPr="00C7198B">
              <w:rPr>
                <w:b/>
                <w:sz w:val="18"/>
                <w:szCs w:val="18"/>
              </w:rPr>
              <w:t xml:space="preserve"> на конец года, % к декабрю </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9,5</w:t>
            </w:r>
          </w:p>
        </w:tc>
        <w:tc>
          <w:tcPr>
            <w:tcW w:w="1275" w:type="dxa"/>
            <w:noWrap/>
            <w:vAlign w:val="center"/>
            <w:hideMark/>
          </w:tcPr>
          <w:p w:rsidR="00C7198B" w:rsidRPr="00C7198B" w:rsidRDefault="00C7198B" w:rsidP="00C7198B">
            <w:pPr>
              <w:jc w:val="center"/>
              <w:rPr>
                <w:sz w:val="18"/>
                <w:szCs w:val="18"/>
              </w:rPr>
            </w:pPr>
            <w:r w:rsidRPr="00C7198B">
              <w:rPr>
                <w:sz w:val="18"/>
                <w:szCs w:val="18"/>
              </w:rPr>
              <w:t>6,8</w:t>
            </w:r>
          </w:p>
        </w:tc>
        <w:tc>
          <w:tcPr>
            <w:tcW w:w="1039" w:type="dxa"/>
            <w:noWrap/>
            <w:vAlign w:val="center"/>
            <w:hideMark/>
          </w:tcPr>
          <w:p w:rsidR="00C7198B" w:rsidRPr="00C7198B" w:rsidRDefault="00C7198B" w:rsidP="00C7198B">
            <w:pPr>
              <w:jc w:val="center"/>
              <w:rPr>
                <w:sz w:val="18"/>
                <w:szCs w:val="18"/>
              </w:rPr>
            </w:pPr>
            <w:r w:rsidRPr="00C7198B">
              <w:rPr>
                <w:sz w:val="18"/>
                <w:szCs w:val="18"/>
              </w:rPr>
              <w:t>4,0</w:t>
            </w:r>
          </w:p>
        </w:tc>
        <w:tc>
          <w:tcPr>
            <w:tcW w:w="1040" w:type="dxa"/>
            <w:noWrap/>
            <w:vAlign w:val="center"/>
            <w:hideMark/>
          </w:tcPr>
          <w:p w:rsidR="00C7198B" w:rsidRPr="00C7198B" w:rsidRDefault="00C7198B" w:rsidP="00C7198B">
            <w:pPr>
              <w:jc w:val="center"/>
              <w:rPr>
                <w:sz w:val="18"/>
                <w:szCs w:val="18"/>
              </w:rPr>
            </w:pPr>
            <w:r w:rsidRPr="00C7198B">
              <w:rPr>
                <w:sz w:val="18"/>
                <w:szCs w:val="18"/>
              </w:rPr>
              <w:t>4,0</w:t>
            </w:r>
          </w:p>
        </w:tc>
        <w:tc>
          <w:tcPr>
            <w:tcW w:w="1153" w:type="dxa"/>
            <w:noWrap/>
            <w:vAlign w:val="center"/>
            <w:hideMark/>
          </w:tcPr>
          <w:p w:rsidR="00C7198B" w:rsidRPr="00C7198B" w:rsidRDefault="00C7198B" w:rsidP="00C7198B">
            <w:pPr>
              <w:jc w:val="center"/>
              <w:rPr>
                <w:sz w:val="18"/>
                <w:szCs w:val="18"/>
              </w:rPr>
            </w:pPr>
            <w:r w:rsidRPr="00C7198B">
              <w:rPr>
                <w:sz w:val="18"/>
                <w:szCs w:val="18"/>
              </w:rPr>
              <w:t>4,0</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6,8</w:t>
            </w:r>
          </w:p>
        </w:tc>
        <w:tc>
          <w:tcPr>
            <w:tcW w:w="1039" w:type="dxa"/>
            <w:noWrap/>
            <w:vAlign w:val="center"/>
            <w:hideMark/>
          </w:tcPr>
          <w:p w:rsidR="00C7198B" w:rsidRPr="00C7198B" w:rsidRDefault="00C7198B" w:rsidP="00C7198B">
            <w:pPr>
              <w:jc w:val="center"/>
              <w:rPr>
                <w:sz w:val="18"/>
                <w:szCs w:val="18"/>
              </w:rPr>
            </w:pPr>
            <w:r w:rsidRPr="00C7198B">
              <w:rPr>
                <w:sz w:val="18"/>
                <w:szCs w:val="18"/>
              </w:rPr>
              <w:t>4,0</w:t>
            </w:r>
          </w:p>
        </w:tc>
        <w:tc>
          <w:tcPr>
            <w:tcW w:w="1040" w:type="dxa"/>
            <w:noWrap/>
            <w:vAlign w:val="center"/>
            <w:hideMark/>
          </w:tcPr>
          <w:p w:rsidR="00C7198B" w:rsidRPr="00C7198B" w:rsidRDefault="00C7198B" w:rsidP="00C7198B">
            <w:pPr>
              <w:jc w:val="center"/>
              <w:rPr>
                <w:sz w:val="18"/>
                <w:szCs w:val="18"/>
              </w:rPr>
            </w:pPr>
            <w:r w:rsidRPr="00C7198B">
              <w:rPr>
                <w:sz w:val="18"/>
                <w:szCs w:val="18"/>
              </w:rPr>
              <w:t>4,0</w:t>
            </w:r>
          </w:p>
        </w:tc>
        <w:tc>
          <w:tcPr>
            <w:tcW w:w="1153" w:type="dxa"/>
            <w:noWrap/>
            <w:vAlign w:val="center"/>
            <w:hideMark/>
          </w:tcPr>
          <w:p w:rsidR="00C7198B" w:rsidRPr="00C7198B" w:rsidRDefault="00C7198B" w:rsidP="00C7198B">
            <w:pPr>
              <w:jc w:val="center"/>
              <w:rPr>
                <w:sz w:val="18"/>
                <w:szCs w:val="18"/>
              </w:rPr>
            </w:pPr>
            <w:r w:rsidRPr="00C7198B">
              <w:rPr>
                <w:sz w:val="18"/>
                <w:szCs w:val="18"/>
              </w:rPr>
              <w:t>4,0</w:t>
            </w:r>
          </w:p>
        </w:tc>
      </w:tr>
      <w:tr w:rsidR="00C7198B" w:rsidRPr="00C7198B" w:rsidTr="006F4F25">
        <w:trPr>
          <w:trHeight w:val="20"/>
        </w:trPr>
        <w:tc>
          <w:tcPr>
            <w:tcW w:w="9923" w:type="dxa"/>
            <w:gridSpan w:val="6"/>
            <w:vAlign w:val="center"/>
            <w:hideMark/>
          </w:tcPr>
          <w:p w:rsidR="00C7198B" w:rsidRPr="00C7198B" w:rsidRDefault="00C7198B" w:rsidP="003E5FB2">
            <w:pPr>
              <w:keepNext/>
              <w:rPr>
                <w:b/>
                <w:bCs/>
                <w:sz w:val="18"/>
                <w:szCs w:val="18"/>
              </w:rPr>
            </w:pPr>
            <w:r w:rsidRPr="00C7198B">
              <w:rPr>
                <w:b/>
                <w:bCs/>
                <w:sz w:val="18"/>
                <w:szCs w:val="18"/>
              </w:rPr>
              <w:lastRenderedPageBreak/>
              <w:t xml:space="preserve">Промышленность, </w:t>
            </w:r>
            <w:r w:rsidRPr="00C7198B">
              <w:rPr>
                <w:b/>
                <w:sz w:val="18"/>
                <w:szCs w:val="18"/>
              </w:rPr>
              <w:t>%</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5,6</w:t>
            </w:r>
          </w:p>
        </w:tc>
        <w:tc>
          <w:tcPr>
            <w:tcW w:w="1275" w:type="dxa"/>
            <w:noWrap/>
            <w:vAlign w:val="center"/>
            <w:hideMark/>
          </w:tcPr>
          <w:p w:rsidR="00C7198B" w:rsidRPr="00C7198B" w:rsidRDefault="00C7198B" w:rsidP="00C7198B">
            <w:pPr>
              <w:jc w:val="center"/>
              <w:rPr>
                <w:sz w:val="18"/>
                <w:szCs w:val="18"/>
              </w:rPr>
            </w:pPr>
            <w:r w:rsidRPr="00C7198B">
              <w:rPr>
                <w:sz w:val="18"/>
                <w:szCs w:val="18"/>
              </w:rPr>
              <w:t>1,5</w:t>
            </w:r>
          </w:p>
        </w:tc>
        <w:tc>
          <w:tcPr>
            <w:tcW w:w="1039" w:type="dxa"/>
            <w:noWrap/>
            <w:vAlign w:val="center"/>
            <w:hideMark/>
          </w:tcPr>
          <w:p w:rsidR="00C7198B" w:rsidRPr="00C7198B" w:rsidRDefault="00C7198B" w:rsidP="00C7198B">
            <w:pPr>
              <w:jc w:val="center"/>
              <w:rPr>
                <w:sz w:val="18"/>
                <w:szCs w:val="18"/>
              </w:rPr>
            </w:pPr>
            <w:r w:rsidRPr="00C7198B">
              <w:rPr>
                <w:sz w:val="18"/>
                <w:szCs w:val="18"/>
              </w:rPr>
              <w:t>2,3</w:t>
            </w:r>
          </w:p>
        </w:tc>
        <w:tc>
          <w:tcPr>
            <w:tcW w:w="1040" w:type="dxa"/>
            <w:noWrap/>
            <w:vAlign w:val="center"/>
            <w:hideMark/>
          </w:tcPr>
          <w:p w:rsidR="00C7198B" w:rsidRPr="00C7198B" w:rsidRDefault="00C7198B" w:rsidP="00C7198B">
            <w:pPr>
              <w:jc w:val="center"/>
              <w:rPr>
                <w:sz w:val="18"/>
                <w:szCs w:val="18"/>
              </w:rPr>
            </w:pPr>
            <w:r w:rsidRPr="00C7198B">
              <w:rPr>
                <w:sz w:val="18"/>
                <w:szCs w:val="18"/>
              </w:rPr>
              <w:t>3,1</w:t>
            </w:r>
          </w:p>
        </w:tc>
        <w:tc>
          <w:tcPr>
            <w:tcW w:w="1153" w:type="dxa"/>
            <w:noWrap/>
            <w:vAlign w:val="center"/>
            <w:hideMark/>
          </w:tcPr>
          <w:p w:rsidR="00C7198B" w:rsidRPr="00C7198B" w:rsidRDefault="00C7198B" w:rsidP="00C7198B">
            <w:pPr>
              <w:jc w:val="center"/>
              <w:rPr>
                <w:sz w:val="18"/>
                <w:szCs w:val="18"/>
              </w:rPr>
            </w:pPr>
            <w:r w:rsidRPr="00C7198B">
              <w:rPr>
                <w:sz w:val="18"/>
                <w:szCs w:val="18"/>
              </w:rPr>
              <w:t>2,8</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1,5</w:t>
            </w:r>
          </w:p>
        </w:tc>
        <w:tc>
          <w:tcPr>
            <w:tcW w:w="1039" w:type="dxa"/>
            <w:noWrap/>
            <w:vAlign w:val="center"/>
            <w:hideMark/>
          </w:tcPr>
          <w:p w:rsidR="00C7198B" w:rsidRPr="00C7198B" w:rsidRDefault="00C7198B" w:rsidP="00C7198B">
            <w:pPr>
              <w:jc w:val="center"/>
              <w:rPr>
                <w:sz w:val="18"/>
                <w:szCs w:val="18"/>
              </w:rPr>
            </w:pPr>
            <w:r w:rsidRPr="00C7198B">
              <w:rPr>
                <w:sz w:val="18"/>
                <w:szCs w:val="18"/>
              </w:rPr>
              <w:t>0,8</w:t>
            </w:r>
          </w:p>
        </w:tc>
        <w:tc>
          <w:tcPr>
            <w:tcW w:w="1040" w:type="dxa"/>
            <w:noWrap/>
            <w:vAlign w:val="center"/>
            <w:hideMark/>
          </w:tcPr>
          <w:p w:rsidR="00C7198B" w:rsidRPr="00C7198B" w:rsidRDefault="00C7198B" w:rsidP="00C7198B">
            <w:pPr>
              <w:jc w:val="center"/>
              <w:rPr>
                <w:sz w:val="18"/>
                <w:szCs w:val="18"/>
              </w:rPr>
            </w:pPr>
            <w:r w:rsidRPr="00C7198B">
              <w:rPr>
                <w:sz w:val="18"/>
                <w:szCs w:val="18"/>
              </w:rPr>
              <w:t>1,4</w:t>
            </w:r>
          </w:p>
        </w:tc>
        <w:tc>
          <w:tcPr>
            <w:tcW w:w="1153" w:type="dxa"/>
            <w:noWrap/>
            <w:vAlign w:val="center"/>
            <w:hideMark/>
          </w:tcPr>
          <w:p w:rsidR="00C7198B" w:rsidRPr="00C7198B" w:rsidRDefault="00C7198B" w:rsidP="00C7198B">
            <w:pPr>
              <w:jc w:val="center"/>
              <w:rPr>
                <w:sz w:val="18"/>
                <w:szCs w:val="18"/>
              </w:rPr>
            </w:pPr>
            <w:r w:rsidRPr="00C7198B">
              <w:rPr>
                <w:sz w:val="18"/>
                <w:szCs w:val="18"/>
              </w:rPr>
              <w:t>1,6</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 xml:space="preserve">Инвестиции в основной капитал, </w:t>
            </w:r>
            <w:r w:rsidRPr="00C7198B">
              <w:rPr>
                <w:b/>
                <w:sz w:val="18"/>
                <w:szCs w:val="18"/>
              </w:rPr>
              <w:t>%</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7,4</w:t>
            </w:r>
          </w:p>
        </w:tc>
        <w:tc>
          <w:tcPr>
            <w:tcW w:w="1275" w:type="dxa"/>
            <w:noWrap/>
            <w:vAlign w:val="center"/>
            <w:hideMark/>
          </w:tcPr>
          <w:p w:rsidR="00C7198B" w:rsidRPr="00C7198B" w:rsidRDefault="00C7198B" w:rsidP="00C7198B">
            <w:pPr>
              <w:jc w:val="center"/>
              <w:rPr>
                <w:sz w:val="18"/>
                <w:szCs w:val="18"/>
              </w:rPr>
            </w:pPr>
            <w:r w:rsidRPr="00C7198B">
              <w:rPr>
                <w:sz w:val="18"/>
                <w:szCs w:val="18"/>
              </w:rPr>
              <w:t>1,7</w:t>
            </w:r>
          </w:p>
        </w:tc>
        <w:tc>
          <w:tcPr>
            <w:tcW w:w="1039" w:type="dxa"/>
            <w:noWrap/>
            <w:vAlign w:val="center"/>
            <w:hideMark/>
          </w:tcPr>
          <w:p w:rsidR="00C7198B" w:rsidRPr="00C7198B" w:rsidRDefault="00C7198B" w:rsidP="00C7198B">
            <w:pPr>
              <w:jc w:val="center"/>
              <w:rPr>
                <w:sz w:val="18"/>
                <w:szCs w:val="18"/>
              </w:rPr>
            </w:pPr>
            <w:r w:rsidRPr="00C7198B">
              <w:rPr>
                <w:sz w:val="18"/>
                <w:szCs w:val="18"/>
              </w:rPr>
              <w:t>-0,5</w:t>
            </w:r>
          </w:p>
        </w:tc>
        <w:tc>
          <w:tcPr>
            <w:tcW w:w="1040" w:type="dxa"/>
            <w:noWrap/>
            <w:vAlign w:val="center"/>
            <w:hideMark/>
          </w:tcPr>
          <w:p w:rsidR="00C7198B" w:rsidRPr="00C7198B" w:rsidRDefault="00C7198B" w:rsidP="00C7198B">
            <w:pPr>
              <w:jc w:val="center"/>
              <w:rPr>
                <w:sz w:val="18"/>
                <w:szCs w:val="18"/>
              </w:rPr>
            </w:pPr>
            <w:r w:rsidRPr="00C7198B">
              <w:rPr>
                <w:sz w:val="18"/>
                <w:szCs w:val="18"/>
              </w:rPr>
              <w:t>3,8</w:t>
            </w:r>
          </w:p>
        </w:tc>
        <w:tc>
          <w:tcPr>
            <w:tcW w:w="1153" w:type="dxa"/>
            <w:noWrap/>
            <w:vAlign w:val="center"/>
            <w:hideMark/>
          </w:tcPr>
          <w:p w:rsidR="00C7198B" w:rsidRPr="00C7198B" w:rsidRDefault="00C7198B" w:rsidP="00C7198B">
            <w:pPr>
              <w:jc w:val="center"/>
              <w:rPr>
                <w:sz w:val="18"/>
                <w:szCs w:val="18"/>
              </w:rPr>
            </w:pPr>
            <w:r w:rsidRPr="00C7198B">
              <w:rPr>
                <w:sz w:val="18"/>
                <w:szCs w:val="18"/>
              </w:rPr>
              <w:t>3,3</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1,7</w:t>
            </w:r>
          </w:p>
        </w:tc>
        <w:tc>
          <w:tcPr>
            <w:tcW w:w="1039" w:type="dxa"/>
            <w:noWrap/>
            <w:vAlign w:val="center"/>
            <w:hideMark/>
          </w:tcPr>
          <w:p w:rsidR="00C7198B" w:rsidRPr="00C7198B" w:rsidRDefault="00C7198B" w:rsidP="00C7198B">
            <w:pPr>
              <w:jc w:val="center"/>
              <w:rPr>
                <w:sz w:val="18"/>
                <w:szCs w:val="18"/>
              </w:rPr>
            </w:pPr>
            <w:r w:rsidRPr="00C7198B">
              <w:rPr>
                <w:sz w:val="18"/>
                <w:szCs w:val="18"/>
              </w:rPr>
              <w:t>-1,3</w:t>
            </w:r>
          </w:p>
        </w:tc>
        <w:tc>
          <w:tcPr>
            <w:tcW w:w="1040" w:type="dxa"/>
            <w:noWrap/>
            <w:vAlign w:val="center"/>
            <w:hideMark/>
          </w:tcPr>
          <w:p w:rsidR="00C7198B" w:rsidRPr="00C7198B" w:rsidRDefault="00C7198B" w:rsidP="00C7198B">
            <w:pPr>
              <w:jc w:val="center"/>
              <w:rPr>
                <w:sz w:val="18"/>
                <w:szCs w:val="18"/>
              </w:rPr>
            </w:pPr>
            <w:r w:rsidRPr="00C7198B">
              <w:rPr>
                <w:sz w:val="18"/>
                <w:szCs w:val="18"/>
              </w:rPr>
              <w:t>2,2</w:t>
            </w:r>
          </w:p>
        </w:tc>
        <w:tc>
          <w:tcPr>
            <w:tcW w:w="1153" w:type="dxa"/>
            <w:noWrap/>
            <w:vAlign w:val="center"/>
            <w:hideMark/>
          </w:tcPr>
          <w:p w:rsidR="00C7198B" w:rsidRPr="00C7198B" w:rsidRDefault="00C7198B" w:rsidP="00C7198B">
            <w:pPr>
              <w:jc w:val="center"/>
              <w:rPr>
                <w:sz w:val="18"/>
                <w:szCs w:val="18"/>
              </w:rPr>
            </w:pPr>
            <w:r w:rsidRPr="00C7198B">
              <w:rPr>
                <w:sz w:val="18"/>
                <w:szCs w:val="18"/>
              </w:rPr>
              <w:t>2,6</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 xml:space="preserve">Объем платных услуг населению, </w:t>
            </w:r>
            <w:r w:rsidRPr="00C7198B">
              <w:rPr>
                <w:b/>
                <w:sz w:val="18"/>
                <w:szCs w:val="18"/>
              </w:rPr>
              <w:t>%</w:t>
            </w:r>
            <w:r w:rsidRPr="00C7198B">
              <w:rPr>
                <w:b/>
                <w:bCs/>
                <w:sz w:val="18"/>
                <w:szCs w:val="18"/>
              </w:rPr>
              <w:t> </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4,3</w:t>
            </w:r>
          </w:p>
        </w:tc>
        <w:tc>
          <w:tcPr>
            <w:tcW w:w="1275" w:type="dxa"/>
            <w:noWrap/>
            <w:vAlign w:val="center"/>
            <w:hideMark/>
          </w:tcPr>
          <w:p w:rsidR="00C7198B" w:rsidRPr="00C7198B" w:rsidRDefault="00C7198B" w:rsidP="00C7198B">
            <w:pPr>
              <w:jc w:val="center"/>
              <w:rPr>
                <w:sz w:val="18"/>
                <w:szCs w:val="18"/>
              </w:rPr>
            </w:pPr>
            <w:r w:rsidRPr="00C7198B">
              <w:rPr>
                <w:sz w:val="18"/>
                <w:szCs w:val="18"/>
              </w:rPr>
              <w:t>2,6</w:t>
            </w:r>
          </w:p>
        </w:tc>
        <w:tc>
          <w:tcPr>
            <w:tcW w:w="1039" w:type="dxa"/>
            <w:noWrap/>
            <w:vAlign w:val="center"/>
            <w:hideMark/>
          </w:tcPr>
          <w:p w:rsidR="00C7198B" w:rsidRPr="00C7198B" w:rsidRDefault="00C7198B" w:rsidP="00C7198B">
            <w:pPr>
              <w:jc w:val="center"/>
              <w:rPr>
                <w:sz w:val="18"/>
                <w:szCs w:val="18"/>
              </w:rPr>
            </w:pPr>
            <w:r w:rsidRPr="00C7198B">
              <w:rPr>
                <w:sz w:val="18"/>
                <w:szCs w:val="18"/>
              </w:rPr>
              <w:t>1,0</w:t>
            </w:r>
          </w:p>
        </w:tc>
        <w:tc>
          <w:tcPr>
            <w:tcW w:w="1040" w:type="dxa"/>
            <w:noWrap/>
            <w:vAlign w:val="center"/>
            <w:hideMark/>
          </w:tcPr>
          <w:p w:rsidR="00C7198B" w:rsidRPr="00C7198B" w:rsidRDefault="00C7198B" w:rsidP="00C7198B">
            <w:pPr>
              <w:jc w:val="center"/>
              <w:rPr>
                <w:sz w:val="18"/>
                <w:szCs w:val="18"/>
              </w:rPr>
            </w:pPr>
            <w:r w:rsidRPr="00C7198B">
              <w:rPr>
                <w:sz w:val="18"/>
                <w:szCs w:val="18"/>
              </w:rPr>
              <w:t>2,4</w:t>
            </w:r>
          </w:p>
        </w:tc>
        <w:tc>
          <w:tcPr>
            <w:tcW w:w="1153" w:type="dxa"/>
            <w:noWrap/>
            <w:vAlign w:val="center"/>
            <w:hideMark/>
          </w:tcPr>
          <w:p w:rsidR="00C7198B" w:rsidRPr="00C7198B" w:rsidRDefault="00C7198B" w:rsidP="00C7198B">
            <w:pPr>
              <w:jc w:val="center"/>
              <w:rPr>
                <w:sz w:val="18"/>
                <w:szCs w:val="18"/>
              </w:rPr>
            </w:pPr>
            <w:r w:rsidRPr="00C7198B">
              <w:rPr>
                <w:sz w:val="18"/>
                <w:szCs w:val="18"/>
              </w:rPr>
              <w:t>2,4</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2,6</w:t>
            </w:r>
          </w:p>
        </w:tc>
        <w:tc>
          <w:tcPr>
            <w:tcW w:w="1039" w:type="dxa"/>
            <w:noWrap/>
            <w:vAlign w:val="center"/>
            <w:hideMark/>
          </w:tcPr>
          <w:p w:rsidR="00C7198B" w:rsidRPr="00C7198B" w:rsidRDefault="00C7198B" w:rsidP="00C7198B">
            <w:pPr>
              <w:jc w:val="center"/>
              <w:rPr>
                <w:sz w:val="18"/>
                <w:szCs w:val="18"/>
              </w:rPr>
            </w:pPr>
            <w:r w:rsidRPr="00C7198B">
              <w:rPr>
                <w:sz w:val="18"/>
                <w:szCs w:val="18"/>
              </w:rPr>
              <w:t>0,4</w:t>
            </w:r>
          </w:p>
        </w:tc>
        <w:tc>
          <w:tcPr>
            <w:tcW w:w="1040" w:type="dxa"/>
            <w:noWrap/>
            <w:vAlign w:val="center"/>
            <w:hideMark/>
          </w:tcPr>
          <w:p w:rsidR="00C7198B" w:rsidRPr="00C7198B" w:rsidRDefault="00C7198B" w:rsidP="00C7198B">
            <w:pPr>
              <w:jc w:val="center"/>
              <w:rPr>
                <w:sz w:val="18"/>
                <w:szCs w:val="18"/>
              </w:rPr>
            </w:pPr>
            <w:r w:rsidRPr="00C7198B">
              <w:rPr>
                <w:sz w:val="18"/>
                <w:szCs w:val="18"/>
              </w:rPr>
              <w:t>0,8</w:t>
            </w:r>
          </w:p>
        </w:tc>
        <w:tc>
          <w:tcPr>
            <w:tcW w:w="1153" w:type="dxa"/>
            <w:noWrap/>
            <w:vAlign w:val="center"/>
            <w:hideMark/>
          </w:tcPr>
          <w:p w:rsidR="00C7198B" w:rsidRPr="00C7198B" w:rsidRDefault="00C7198B" w:rsidP="00C7198B">
            <w:pPr>
              <w:jc w:val="center"/>
              <w:rPr>
                <w:sz w:val="18"/>
                <w:szCs w:val="18"/>
              </w:rPr>
            </w:pPr>
            <w:r w:rsidRPr="00C7198B">
              <w:rPr>
                <w:sz w:val="18"/>
                <w:szCs w:val="18"/>
              </w:rPr>
              <w:t>1,6</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 xml:space="preserve">Оборот розничной торговли, </w:t>
            </w:r>
            <w:r w:rsidRPr="00C7198B">
              <w:rPr>
                <w:b/>
                <w:sz w:val="18"/>
                <w:szCs w:val="18"/>
              </w:rPr>
              <w:t>%</w:t>
            </w:r>
            <w:r w:rsidRPr="00C7198B">
              <w:rPr>
                <w:b/>
                <w:bCs/>
                <w:sz w:val="18"/>
                <w:szCs w:val="18"/>
              </w:rPr>
              <w:t> </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7,7</w:t>
            </w:r>
          </w:p>
        </w:tc>
        <w:tc>
          <w:tcPr>
            <w:tcW w:w="1275" w:type="dxa"/>
            <w:noWrap/>
            <w:vAlign w:val="center"/>
            <w:hideMark/>
          </w:tcPr>
          <w:p w:rsidR="00C7198B" w:rsidRPr="00C7198B" w:rsidRDefault="00C7198B" w:rsidP="00C7198B">
            <w:pPr>
              <w:jc w:val="center"/>
              <w:rPr>
                <w:sz w:val="18"/>
                <w:szCs w:val="18"/>
              </w:rPr>
            </w:pPr>
            <w:r w:rsidRPr="00C7198B">
              <w:rPr>
                <w:sz w:val="18"/>
                <w:szCs w:val="18"/>
              </w:rPr>
              <w:t>2,5</w:t>
            </w:r>
          </w:p>
        </w:tc>
        <w:tc>
          <w:tcPr>
            <w:tcW w:w="1039" w:type="dxa"/>
            <w:noWrap/>
            <w:vAlign w:val="center"/>
            <w:hideMark/>
          </w:tcPr>
          <w:p w:rsidR="00C7198B" w:rsidRPr="00C7198B" w:rsidRDefault="00C7198B" w:rsidP="00C7198B">
            <w:pPr>
              <w:jc w:val="center"/>
              <w:rPr>
                <w:sz w:val="18"/>
                <w:szCs w:val="18"/>
              </w:rPr>
            </w:pPr>
            <w:r w:rsidRPr="00C7198B">
              <w:rPr>
                <w:sz w:val="18"/>
                <w:szCs w:val="18"/>
              </w:rPr>
              <w:t>1,1</w:t>
            </w:r>
          </w:p>
        </w:tc>
        <w:tc>
          <w:tcPr>
            <w:tcW w:w="1040" w:type="dxa"/>
            <w:noWrap/>
            <w:vAlign w:val="center"/>
            <w:hideMark/>
          </w:tcPr>
          <w:p w:rsidR="00C7198B" w:rsidRPr="00C7198B" w:rsidRDefault="00C7198B" w:rsidP="00C7198B">
            <w:pPr>
              <w:jc w:val="center"/>
              <w:rPr>
                <w:sz w:val="18"/>
                <w:szCs w:val="18"/>
              </w:rPr>
            </w:pPr>
            <w:r w:rsidRPr="00C7198B">
              <w:rPr>
                <w:sz w:val="18"/>
                <w:szCs w:val="18"/>
              </w:rPr>
              <w:t>3,9</w:t>
            </w:r>
          </w:p>
        </w:tc>
        <w:tc>
          <w:tcPr>
            <w:tcW w:w="1153" w:type="dxa"/>
            <w:noWrap/>
            <w:vAlign w:val="center"/>
            <w:hideMark/>
          </w:tcPr>
          <w:p w:rsidR="00C7198B" w:rsidRPr="00C7198B" w:rsidRDefault="00C7198B" w:rsidP="00C7198B">
            <w:pPr>
              <w:jc w:val="center"/>
              <w:rPr>
                <w:sz w:val="18"/>
                <w:szCs w:val="18"/>
              </w:rPr>
            </w:pPr>
            <w:r w:rsidRPr="00C7198B">
              <w:rPr>
                <w:sz w:val="18"/>
                <w:szCs w:val="18"/>
              </w:rPr>
              <w:t>3,6</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2,5</w:t>
            </w:r>
          </w:p>
        </w:tc>
        <w:tc>
          <w:tcPr>
            <w:tcW w:w="1039" w:type="dxa"/>
            <w:noWrap/>
            <w:vAlign w:val="center"/>
            <w:hideMark/>
          </w:tcPr>
          <w:p w:rsidR="00C7198B" w:rsidRPr="00C7198B" w:rsidRDefault="00C7198B" w:rsidP="00C7198B">
            <w:pPr>
              <w:jc w:val="center"/>
              <w:rPr>
                <w:sz w:val="18"/>
                <w:szCs w:val="18"/>
              </w:rPr>
            </w:pPr>
            <w:r w:rsidRPr="00C7198B">
              <w:rPr>
                <w:sz w:val="18"/>
                <w:szCs w:val="18"/>
              </w:rPr>
              <w:t>0,3</w:t>
            </w:r>
          </w:p>
        </w:tc>
        <w:tc>
          <w:tcPr>
            <w:tcW w:w="1040" w:type="dxa"/>
            <w:noWrap/>
            <w:vAlign w:val="center"/>
            <w:hideMark/>
          </w:tcPr>
          <w:p w:rsidR="00C7198B" w:rsidRPr="00C7198B" w:rsidRDefault="00C7198B" w:rsidP="00C7198B">
            <w:pPr>
              <w:jc w:val="center"/>
              <w:rPr>
                <w:sz w:val="18"/>
                <w:szCs w:val="18"/>
              </w:rPr>
            </w:pPr>
            <w:r w:rsidRPr="00C7198B">
              <w:rPr>
                <w:sz w:val="18"/>
                <w:szCs w:val="18"/>
              </w:rPr>
              <w:t>2,0</w:t>
            </w:r>
          </w:p>
        </w:tc>
        <w:tc>
          <w:tcPr>
            <w:tcW w:w="1153" w:type="dxa"/>
            <w:noWrap/>
            <w:vAlign w:val="center"/>
            <w:hideMark/>
          </w:tcPr>
          <w:p w:rsidR="00C7198B" w:rsidRPr="00C7198B" w:rsidRDefault="00C7198B" w:rsidP="00C7198B">
            <w:pPr>
              <w:jc w:val="center"/>
              <w:rPr>
                <w:sz w:val="18"/>
                <w:szCs w:val="18"/>
              </w:rPr>
            </w:pPr>
            <w:r w:rsidRPr="00C7198B">
              <w:rPr>
                <w:sz w:val="18"/>
                <w:szCs w:val="18"/>
              </w:rPr>
              <w:t>2,6</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 xml:space="preserve">Реальные располагаемые доходы населения, </w:t>
            </w:r>
            <w:r w:rsidRPr="00C7198B">
              <w:rPr>
                <w:b/>
                <w:sz w:val="18"/>
                <w:szCs w:val="18"/>
              </w:rPr>
              <w:t>%</w:t>
            </w:r>
            <w:r w:rsidRPr="00C7198B">
              <w:rPr>
                <w:b/>
                <w:bCs/>
                <w:sz w:val="18"/>
                <w:szCs w:val="18"/>
              </w:rPr>
              <w:t> </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7,3</w:t>
            </w:r>
          </w:p>
        </w:tc>
        <w:tc>
          <w:tcPr>
            <w:tcW w:w="1275" w:type="dxa"/>
            <w:noWrap/>
            <w:vAlign w:val="center"/>
            <w:hideMark/>
          </w:tcPr>
          <w:p w:rsidR="00C7198B" w:rsidRPr="00C7198B" w:rsidRDefault="00C7198B" w:rsidP="00C7198B">
            <w:pPr>
              <w:jc w:val="center"/>
              <w:rPr>
                <w:sz w:val="18"/>
                <w:szCs w:val="18"/>
              </w:rPr>
            </w:pPr>
            <w:r w:rsidRPr="00C7198B">
              <w:rPr>
                <w:sz w:val="18"/>
                <w:szCs w:val="18"/>
              </w:rPr>
              <w:t>3,8</w:t>
            </w:r>
          </w:p>
        </w:tc>
        <w:tc>
          <w:tcPr>
            <w:tcW w:w="1039" w:type="dxa"/>
            <w:noWrap/>
            <w:vAlign w:val="center"/>
            <w:hideMark/>
          </w:tcPr>
          <w:p w:rsidR="00C7198B" w:rsidRPr="00C7198B" w:rsidRDefault="00C7198B" w:rsidP="00C7198B">
            <w:pPr>
              <w:jc w:val="center"/>
              <w:rPr>
                <w:sz w:val="18"/>
                <w:szCs w:val="18"/>
              </w:rPr>
            </w:pPr>
            <w:r w:rsidRPr="00C7198B">
              <w:rPr>
                <w:sz w:val="18"/>
                <w:szCs w:val="18"/>
              </w:rPr>
              <w:t>2,1</w:t>
            </w:r>
          </w:p>
        </w:tc>
        <w:tc>
          <w:tcPr>
            <w:tcW w:w="1040" w:type="dxa"/>
            <w:noWrap/>
            <w:vAlign w:val="center"/>
            <w:hideMark/>
          </w:tcPr>
          <w:p w:rsidR="00C7198B" w:rsidRPr="00C7198B" w:rsidRDefault="00C7198B" w:rsidP="00C7198B">
            <w:pPr>
              <w:jc w:val="center"/>
              <w:rPr>
                <w:sz w:val="18"/>
                <w:szCs w:val="18"/>
              </w:rPr>
            </w:pPr>
            <w:r w:rsidRPr="00C7198B">
              <w:rPr>
                <w:sz w:val="18"/>
                <w:szCs w:val="18"/>
              </w:rPr>
              <w:t>3,5</w:t>
            </w:r>
          </w:p>
        </w:tc>
        <w:tc>
          <w:tcPr>
            <w:tcW w:w="1153" w:type="dxa"/>
            <w:noWrap/>
            <w:vAlign w:val="center"/>
            <w:hideMark/>
          </w:tcPr>
          <w:p w:rsidR="00C7198B" w:rsidRPr="00C7198B" w:rsidRDefault="00C7198B" w:rsidP="00C7198B">
            <w:pPr>
              <w:jc w:val="center"/>
              <w:rPr>
                <w:sz w:val="18"/>
                <w:szCs w:val="18"/>
              </w:rPr>
            </w:pPr>
            <w:r w:rsidRPr="00C7198B">
              <w:rPr>
                <w:sz w:val="18"/>
                <w:szCs w:val="18"/>
              </w:rPr>
              <w:t>3,0</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3,8</w:t>
            </w:r>
          </w:p>
        </w:tc>
        <w:tc>
          <w:tcPr>
            <w:tcW w:w="1039" w:type="dxa"/>
            <w:noWrap/>
            <w:vAlign w:val="center"/>
            <w:hideMark/>
          </w:tcPr>
          <w:p w:rsidR="00C7198B" w:rsidRPr="00C7198B" w:rsidRDefault="00C7198B" w:rsidP="00C7198B">
            <w:pPr>
              <w:jc w:val="center"/>
              <w:rPr>
                <w:sz w:val="18"/>
                <w:szCs w:val="18"/>
              </w:rPr>
            </w:pPr>
            <w:r w:rsidRPr="00C7198B">
              <w:rPr>
                <w:sz w:val="18"/>
                <w:szCs w:val="18"/>
              </w:rPr>
              <w:t>1,6</w:t>
            </w:r>
          </w:p>
        </w:tc>
        <w:tc>
          <w:tcPr>
            <w:tcW w:w="1040" w:type="dxa"/>
            <w:noWrap/>
            <w:vAlign w:val="center"/>
            <w:hideMark/>
          </w:tcPr>
          <w:p w:rsidR="00C7198B" w:rsidRPr="00C7198B" w:rsidRDefault="00C7198B" w:rsidP="00C7198B">
            <w:pPr>
              <w:jc w:val="center"/>
              <w:rPr>
                <w:sz w:val="18"/>
                <w:szCs w:val="18"/>
              </w:rPr>
            </w:pPr>
            <w:r w:rsidRPr="00C7198B">
              <w:rPr>
                <w:sz w:val="18"/>
                <w:szCs w:val="18"/>
              </w:rPr>
              <w:t>2,3</w:t>
            </w:r>
          </w:p>
        </w:tc>
        <w:tc>
          <w:tcPr>
            <w:tcW w:w="1153" w:type="dxa"/>
            <w:noWrap/>
            <w:vAlign w:val="center"/>
            <w:hideMark/>
          </w:tcPr>
          <w:p w:rsidR="00C7198B" w:rsidRPr="00C7198B" w:rsidRDefault="00C7198B" w:rsidP="00C7198B">
            <w:pPr>
              <w:jc w:val="center"/>
              <w:rPr>
                <w:sz w:val="18"/>
                <w:szCs w:val="18"/>
              </w:rPr>
            </w:pPr>
            <w:r w:rsidRPr="00C7198B">
              <w:rPr>
                <w:sz w:val="18"/>
                <w:szCs w:val="18"/>
              </w:rPr>
              <w:t>2,3</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 xml:space="preserve">Реальная заработная плата, </w:t>
            </w:r>
            <w:r w:rsidRPr="00C7198B">
              <w:rPr>
                <w:b/>
                <w:sz w:val="18"/>
                <w:szCs w:val="18"/>
              </w:rPr>
              <w:t xml:space="preserve">% </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9,7</w:t>
            </w:r>
          </w:p>
        </w:tc>
        <w:tc>
          <w:tcPr>
            <w:tcW w:w="1275" w:type="dxa"/>
            <w:noWrap/>
            <w:vAlign w:val="center"/>
            <w:hideMark/>
          </w:tcPr>
          <w:p w:rsidR="00C7198B" w:rsidRPr="00C7198B" w:rsidRDefault="00C7198B" w:rsidP="00C7198B">
            <w:pPr>
              <w:jc w:val="center"/>
              <w:rPr>
                <w:sz w:val="18"/>
                <w:szCs w:val="18"/>
              </w:rPr>
            </w:pPr>
            <w:r w:rsidRPr="00C7198B">
              <w:rPr>
                <w:sz w:val="18"/>
                <w:szCs w:val="18"/>
              </w:rPr>
              <w:t>3,4</w:t>
            </w:r>
          </w:p>
        </w:tc>
        <w:tc>
          <w:tcPr>
            <w:tcW w:w="1039" w:type="dxa"/>
            <w:noWrap/>
            <w:vAlign w:val="center"/>
            <w:hideMark/>
          </w:tcPr>
          <w:p w:rsidR="00C7198B" w:rsidRPr="00C7198B" w:rsidRDefault="00C7198B" w:rsidP="00C7198B">
            <w:pPr>
              <w:jc w:val="center"/>
              <w:rPr>
                <w:sz w:val="18"/>
                <w:szCs w:val="18"/>
              </w:rPr>
            </w:pPr>
            <w:r w:rsidRPr="00C7198B">
              <w:rPr>
                <w:sz w:val="18"/>
                <w:szCs w:val="18"/>
              </w:rPr>
              <w:t>2,4</w:t>
            </w:r>
          </w:p>
        </w:tc>
        <w:tc>
          <w:tcPr>
            <w:tcW w:w="1040" w:type="dxa"/>
            <w:noWrap/>
            <w:vAlign w:val="center"/>
            <w:hideMark/>
          </w:tcPr>
          <w:p w:rsidR="00C7198B" w:rsidRPr="00C7198B" w:rsidRDefault="00C7198B" w:rsidP="00C7198B">
            <w:pPr>
              <w:jc w:val="center"/>
              <w:rPr>
                <w:sz w:val="18"/>
                <w:szCs w:val="18"/>
              </w:rPr>
            </w:pPr>
            <w:r w:rsidRPr="00C7198B">
              <w:rPr>
                <w:sz w:val="18"/>
                <w:szCs w:val="18"/>
              </w:rPr>
              <w:t>3,9</w:t>
            </w:r>
          </w:p>
        </w:tc>
        <w:tc>
          <w:tcPr>
            <w:tcW w:w="1153" w:type="dxa"/>
            <w:noWrap/>
            <w:vAlign w:val="center"/>
            <w:hideMark/>
          </w:tcPr>
          <w:p w:rsidR="00C7198B" w:rsidRPr="00C7198B" w:rsidRDefault="00C7198B" w:rsidP="00C7198B">
            <w:pPr>
              <w:jc w:val="center"/>
              <w:rPr>
                <w:sz w:val="18"/>
                <w:szCs w:val="18"/>
              </w:rPr>
            </w:pPr>
            <w:r w:rsidRPr="00C7198B">
              <w:rPr>
                <w:sz w:val="18"/>
                <w:szCs w:val="18"/>
              </w:rPr>
              <w:t>3,2</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3,4</w:t>
            </w:r>
          </w:p>
        </w:tc>
        <w:tc>
          <w:tcPr>
            <w:tcW w:w="1039" w:type="dxa"/>
            <w:noWrap/>
            <w:vAlign w:val="center"/>
            <w:hideMark/>
          </w:tcPr>
          <w:p w:rsidR="00C7198B" w:rsidRPr="00C7198B" w:rsidRDefault="00C7198B" w:rsidP="00C7198B">
            <w:pPr>
              <w:jc w:val="center"/>
              <w:rPr>
                <w:sz w:val="18"/>
                <w:szCs w:val="18"/>
              </w:rPr>
            </w:pPr>
            <w:r w:rsidRPr="00C7198B">
              <w:rPr>
                <w:sz w:val="18"/>
                <w:szCs w:val="18"/>
              </w:rPr>
              <w:t>1,9</w:t>
            </w:r>
          </w:p>
        </w:tc>
        <w:tc>
          <w:tcPr>
            <w:tcW w:w="1040" w:type="dxa"/>
            <w:noWrap/>
            <w:vAlign w:val="center"/>
            <w:hideMark/>
          </w:tcPr>
          <w:p w:rsidR="00C7198B" w:rsidRPr="00C7198B" w:rsidRDefault="00C7198B" w:rsidP="00C7198B">
            <w:pPr>
              <w:jc w:val="center"/>
              <w:rPr>
                <w:sz w:val="18"/>
                <w:szCs w:val="18"/>
              </w:rPr>
            </w:pPr>
            <w:r w:rsidRPr="00C7198B">
              <w:rPr>
                <w:sz w:val="18"/>
                <w:szCs w:val="18"/>
              </w:rPr>
              <w:t>2,4</w:t>
            </w:r>
          </w:p>
        </w:tc>
        <w:tc>
          <w:tcPr>
            <w:tcW w:w="1153" w:type="dxa"/>
            <w:noWrap/>
            <w:vAlign w:val="center"/>
            <w:hideMark/>
          </w:tcPr>
          <w:p w:rsidR="00C7198B" w:rsidRPr="00C7198B" w:rsidRDefault="00C7198B" w:rsidP="00C7198B">
            <w:pPr>
              <w:jc w:val="center"/>
              <w:rPr>
                <w:sz w:val="18"/>
                <w:szCs w:val="18"/>
              </w:rPr>
            </w:pPr>
            <w:r w:rsidRPr="00C7198B">
              <w:rPr>
                <w:sz w:val="18"/>
                <w:szCs w:val="18"/>
              </w:rPr>
              <w:t>2,4</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Экспорт товаров, темп роста, %</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2,5</w:t>
            </w:r>
          </w:p>
        </w:tc>
        <w:tc>
          <w:tcPr>
            <w:tcW w:w="1275" w:type="dxa"/>
            <w:noWrap/>
            <w:vAlign w:val="center"/>
            <w:hideMark/>
          </w:tcPr>
          <w:p w:rsidR="00C7198B" w:rsidRPr="00C7198B" w:rsidRDefault="00C7198B" w:rsidP="00C7198B">
            <w:pPr>
              <w:jc w:val="center"/>
              <w:rPr>
                <w:sz w:val="18"/>
                <w:szCs w:val="18"/>
              </w:rPr>
            </w:pPr>
            <w:r w:rsidRPr="00C7198B">
              <w:rPr>
                <w:sz w:val="18"/>
                <w:szCs w:val="18"/>
              </w:rPr>
              <w:t>-1,6</w:t>
            </w:r>
          </w:p>
        </w:tc>
        <w:tc>
          <w:tcPr>
            <w:tcW w:w="1039" w:type="dxa"/>
            <w:noWrap/>
            <w:vAlign w:val="center"/>
            <w:hideMark/>
          </w:tcPr>
          <w:p w:rsidR="00C7198B" w:rsidRPr="00C7198B" w:rsidRDefault="00C7198B" w:rsidP="00C7198B">
            <w:pPr>
              <w:jc w:val="center"/>
              <w:rPr>
                <w:sz w:val="18"/>
                <w:szCs w:val="18"/>
              </w:rPr>
            </w:pPr>
            <w:r w:rsidRPr="00C7198B">
              <w:rPr>
                <w:sz w:val="18"/>
                <w:szCs w:val="18"/>
              </w:rPr>
              <w:t>3,1</w:t>
            </w:r>
          </w:p>
        </w:tc>
        <w:tc>
          <w:tcPr>
            <w:tcW w:w="1040" w:type="dxa"/>
            <w:noWrap/>
            <w:vAlign w:val="center"/>
            <w:hideMark/>
          </w:tcPr>
          <w:p w:rsidR="00C7198B" w:rsidRPr="00C7198B" w:rsidRDefault="00C7198B" w:rsidP="00C7198B">
            <w:pPr>
              <w:jc w:val="center"/>
              <w:rPr>
                <w:sz w:val="18"/>
                <w:szCs w:val="18"/>
              </w:rPr>
            </w:pPr>
            <w:r w:rsidRPr="00C7198B">
              <w:rPr>
                <w:sz w:val="18"/>
                <w:szCs w:val="18"/>
              </w:rPr>
              <w:t>4,5</w:t>
            </w:r>
          </w:p>
        </w:tc>
        <w:tc>
          <w:tcPr>
            <w:tcW w:w="1153" w:type="dxa"/>
            <w:noWrap/>
            <w:vAlign w:val="center"/>
            <w:hideMark/>
          </w:tcPr>
          <w:p w:rsidR="00C7198B" w:rsidRPr="00C7198B" w:rsidRDefault="00C7198B" w:rsidP="00C7198B">
            <w:pPr>
              <w:jc w:val="center"/>
              <w:rPr>
                <w:sz w:val="18"/>
                <w:szCs w:val="18"/>
              </w:rPr>
            </w:pPr>
            <w:r w:rsidRPr="00C7198B">
              <w:rPr>
                <w:sz w:val="18"/>
                <w:szCs w:val="18"/>
              </w:rPr>
              <w:t>5,2</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-1,6</w:t>
            </w:r>
          </w:p>
        </w:tc>
        <w:tc>
          <w:tcPr>
            <w:tcW w:w="1039" w:type="dxa"/>
            <w:noWrap/>
            <w:vAlign w:val="center"/>
            <w:hideMark/>
          </w:tcPr>
          <w:p w:rsidR="00C7198B" w:rsidRPr="00C7198B" w:rsidRDefault="00C7198B" w:rsidP="00C7198B">
            <w:pPr>
              <w:jc w:val="center"/>
              <w:rPr>
                <w:sz w:val="18"/>
                <w:szCs w:val="18"/>
              </w:rPr>
            </w:pPr>
            <w:r w:rsidRPr="00C7198B">
              <w:rPr>
                <w:sz w:val="18"/>
                <w:szCs w:val="18"/>
              </w:rPr>
              <w:t>1,2</w:t>
            </w:r>
          </w:p>
        </w:tc>
        <w:tc>
          <w:tcPr>
            <w:tcW w:w="1040" w:type="dxa"/>
            <w:noWrap/>
            <w:vAlign w:val="center"/>
            <w:hideMark/>
          </w:tcPr>
          <w:p w:rsidR="00C7198B" w:rsidRPr="00C7198B" w:rsidRDefault="00C7198B" w:rsidP="00C7198B">
            <w:pPr>
              <w:jc w:val="center"/>
              <w:rPr>
                <w:sz w:val="18"/>
                <w:szCs w:val="18"/>
              </w:rPr>
            </w:pPr>
            <w:r w:rsidRPr="00C7198B">
              <w:rPr>
                <w:sz w:val="18"/>
                <w:szCs w:val="18"/>
              </w:rPr>
              <w:t>1,3</w:t>
            </w:r>
          </w:p>
        </w:tc>
        <w:tc>
          <w:tcPr>
            <w:tcW w:w="1153" w:type="dxa"/>
            <w:noWrap/>
            <w:vAlign w:val="center"/>
            <w:hideMark/>
          </w:tcPr>
          <w:p w:rsidR="00C7198B" w:rsidRPr="00C7198B" w:rsidRDefault="00C7198B" w:rsidP="00C7198B">
            <w:pPr>
              <w:jc w:val="center"/>
              <w:rPr>
                <w:sz w:val="18"/>
                <w:szCs w:val="18"/>
              </w:rPr>
            </w:pPr>
            <w:r w:rsidRPr="00C7198B">
              <w:rPr>
                <w:sz w:val="18"/>
                <w:szCs w:val="18"/>
              </w:rPr>
              <w:t>2,8</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 xml:space="preserve">Импорт товаров, </w:t>
            </w:r>
            <w:r w:rsidRPr="00C7198B">
              <w:rPr>
                <w:b/>
                <w:sz w:val="18"/>
                <w:szCs w:val="18"/>
              </w:rPr>
              <w:t>темп роста, %</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1,9</w:t>
            </w:r>
          </w:p>
        </w:tc>
        <w:tc>
          <w:tcPr>
            <w:tcW w:w="1275" w:type="dxa"/>
            <w:noWrap/>
            <w:vAlign w:val="center"/>
            <w:hideMark/>
          </w:tcPr>
          <w:p w:rsidR="00C7198B" w:rsidRPr="00C7198B" w:rsidRDefault="00C7198B" w:rsidP="00C7198B">
            <w:pPr>
              <w:jc w:val="center"/>
              <w:rPr>
                <w:sz w:val="18"/>
                <w:szCs w:val="18"/>
              </w:rPr>
            </w:pPr>
            <w:r w:rsidRPr="00C7198B">
              <w:rPr>
                <w:sz w:val="18"/>
                <w:szCs w:val="18"/>
              </w:rPr>
              <w:t>-2,4</w:t>
            </w:r>
          </w:p>
        </w:tc>
        <w:tc>
          <w:tcPr>
            <w:tcW w:w="1039" w:type="dxa"/>
            <w:noWrap/>
            <w:vAlign w:val="center"/>
            <w:hideMark/>
          </w:tcPr>
          <w:p w:rsidR="00C7198B" w:rsidRPr="00C7198B" w:rsidRDefault="00C7198B" w:rsidP="00C7198B">
            <w:pPr>
              <w:jc w:val="center"/>
              <w:rPr>
                <w:sz w:val="18"/>
                <w:szCs w:val="18"/>
              </w:rPr>
            </w:pPr>
            <w:r w:rsidRPr="00C7198B">
              <w:rPr>
                <w:sz w:val="18"/>
                <w:szCs w:val="18"/>
              </w:rPr>
              <w:t>0,0</w:t>
            </w:r>
          </w:p>
        </w:tc>
        <w:tc>
          <w:tcPr>
            <w:tcW w:w="1040" w:type="dxa"/>
            <w:noWrap/>
            <w:vAlign w:val="center"/>
            <w:hideMark/>
          </w:tcPr>
          <w:p w:rsidR="00C7198B" w:rsidRPr="00C7198B" w:rsidRDefault="00C7198B" w:rsidP="00C7198B">
            <w:pPr>
              <w:jc w:val="center"/>
              <w:rPr>
                <w:sz w:val="18"/>
                <w:szCs w:val="18"/>
              </w:rPr>
            </w:pPr>
            <w:r w:rsidRPr="00C7198B">
              <w:rPr>
                <w:sz w:val="18"/>
                <w:szCs w:val="18"/>
              </w:rPr>
              <w:t>4,2</w:t>
            </w:r>
          </w:p>
        </w:tc>
        <w:tc>
          <w:tcPr>
            <w:tcW w:w="1153" w:type="dxa"/>
            <w:noWrap/>
            <w:vAlign w:val="center"/>
            <w:hideMark/>
          </w:tcPr>
          <w:p w:rsidR="00C7198B" w:rsidRPr="00C7198B" w:rsidRDefault="00C7198B" w:rsidP="00C7198B">
            <w:pPr>
              <w:jc w:val="center"/>
              <w:rPr>
                <w:sz w:val="18"/>
                <w:szCs w:val="18"/>
              </w:rPr>
            </w:pPr>
            <w:r w:rsidRPr="00C7198B">
              <w:rPr>
                <w:sz w:val="18"/>
                <w:szCs w:val="18"/>
              </w:rPr>
              <w:t>2,6</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-2,4</w:t>
            </w:r>
          </w:p>
        </w:tc>
        <w:tc>
          <w:tcPr>
            <w:tcW w:w="1039" w:type="dxa"/>
            <w:noWrap/>
            <w:vAlign w:val="center"/>
            <w:hideMark/>
          </w:tcPr>
          <w:p w:rsidR="00C7198B" w:rsidRPr="00C7198B" w:rsidRDefault="00C7198B" w:rsidP="00C7198B">
            <w:pPr>
              <w:jc w:val="center"/>
              <w:rPr>
                <w:sz w:val="18"/>
                <w:szCs w:val="18"/>
              </w:rPr>
            </w:pPr>
            <w:r w:rsidRPr="00C7198B">
              <w:rPr>
                <w:sz w:val="18"/>
                <w:szCs w:val="18"/>
              </w:rPr>
              <w:t>-1,8</w:t>
            </w:r>
          </w:p>
        </w:tc>
        <w:tc>
          <w:tcPr>
            <w:tcW w:w="1040" w:type="dxa"/>
            <w:noWrap/>
            <w:vAlign w:val="center"/>
            <w:hideMark/>
          </w:tcPr>
          <w:p w:rsidR="00C7198B" w:rsidRPr="00C7198B" w:rsidRDefault="00C7198B" w:rsidP="00C7198B">
            <w:pPr>
              <w:jc w:val="center"/>
              <w:rPr>
                <w:sz w:val="18"/>
                <w:szCs w:val="18"/>
              </w:rPr>
            </w:pPr>
            <w:r w:rsidRPr="00C7198B">
              <w:rPr>
                <w:sz w:val="18"/>
                <w:szCs w:val="18"/>
              </w:rPr>
              <w:t>1,7</w:t>
            </w:r>
          </w:p>
        </w:tc>
        <w:tc>
          <w:tcPr>
            <w:tcW w:w="1153" w:type="dxa"/>
            <w:noWrap/>
            <w:vAlign w:val="center"/>
            <w:hideMark/>
          </w:tcPr>
          <w:p w:rsidR="00C7198B" w:rsidRPr="00C7198B" w:rsidRDefault="00C7198B" w:rsidP="00C7198B">
            <w:pPr>
              <w:jc w:val="center"/>
              <w:rPr>
                <w:sz w:val="18"/>
                <w:szCs w:val="18"/>
              </w:rPr>
            </w:pPr>
            <w:r w:rsidRPr="00C7198B">
              <w:rPr>
                <w:sz w:val="18"/>
                <w:szCs w:val="18"/>
              </w:rPr>
              <w:t>2,6</w:t>
            </w:r>
          </w:p>
        </w:tc>
      </w:tr>
      <w:tr w:rsidR="00C7198B" w:rsidRPr="00C7198B" w:rsidTr="006F4F25">
        <w:trPr>
          <w:trHeight w:val="20"/>
        </w:trPr>
        <w:tc>
          <w:tcPr>
            <w:tcW w:w="9923" w:type="dxa"/>
            <w:gridSpan w:val="6"/>
            <w:vAlign w:val="center"/>
            <w:hideMark/>
          </w:tcPr>
          <w:p w:rsidR="00C7198B" w:rsidRPr="00C7198B" w:rsidRDefault="00C7198B" w:rsidP="00C7198B">
            <w:pPr>
              <w:rPr>
                <w:b/>
                <w:bCs/>
                <w:sz w:val="18"/>
                <w:szCs w:val="18"/>
              </w:rPr>
            </w:pPr>
            <w:r w:rsidRPr="00C7198B">
              <w:rPr>
                <w:b/>
                <w:bCs/>
                <w:sz w:val="18"/>
                <w:szCs w:val="18"/>
              </w:rPr>
              <w:t xml:space="preserve">Уровень безработицы, </w:t>
            </w:r>
            <w:r w:rsidRPr="00C7198B">
              <w:rPr>
                <w:b/>
                <w:sz w:val="18"/>
                <w:szCs w:val="18"/>
              </w:rPr>
              <w:t>% к рабочей силе</w:t>
            </w:r>
            <w:r w:rsidRPr="00C7198B">
              <w:rPr>
                <w:b/>
                <w:bCs/>
                <w:sz w:val="18"/>
                <w:szCs w:val="18"/>
              </w:rPr>
              <w:t> </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Базовый</w:t>
            </w:r>
          </w:p>
        </w:tc>
        <w:tc>
          <w:tcPr>
            <w:tcW w:w="1139" w:type="dxa"/>
            <w:vMerge w:val="restart"/>
            <w:noWrap/>
            <w:vAlign w:val="center"/>
            <w:hideMark/>
          </w:tcPr>
          <w:p w:rsidR="00C7198B" w:rsidRPr="00C7198B" w:rsidRDefault="00C7198B" w:rsidP="00C7198B">
            <w:pPr>
              <w:jc w:val="center"/>
              <w:rPr>
                <w:sz w:val="18"/>
                <w:szCs w:val="18"/>
              </w:rPr>
            </w:pPr>
            <w:r w:rsidRPr="00C7198B">
              <w:rPr>
                <w:sz w:val="18"/>
                <w:szCs w:val="18"/>
              </w:rPr>
              <w:t>2,5</w:t>
            </w:r>
          </w:p>
        </w:tc>
        <w:tc>
          <w:tcPr>
            <w:tcW w:w="1275" w:type="dxa"/>
            <w:noWrap/>
            <w:vAlign w:val="center"/>
            <w:hideMark/>
          </w:tcPr>
          <w:p w:rsidR="00C7198B" w:rsidRPr="00C7198B" w:rsidRDefault="00C7198B" w:rsidP="00C7198B">
            <w:pPr>
              <w:jc w:val="center"/>
              <w:rPr>
                <w:sz w:val="18"/>
                <w:szCs w:val="18"/>
              </w:rPr>
            </w:pPr>
            <w:r w:rsidRPr="00C7198B">
              <w:rPr>
                <w:sz w:val="18"/>
                <w:szCs w:val="18"/>
              </w:rPr>
              <w:t>2,3</w:t>
            </w:r>
          </w:p>
        </w:tc>
        <w:tc>
          <w:tcPr>
            <w:tcW w:w="1039" w:type="dxa"/>
            <w:noWrap/>
            <w:vAlign w:val="center"/>
            <w:hideMark/>
          </w:tcPr>
          <w:p w:rsidR="00C7198B" w:rsidRPr="00C7198B" w:rsidRDefault="00C7198B" w:rsidP="00C7198B">
            <w:pPr>
              <w:jc w:val="center"/>
              <w:rPr>
                <w:sz w:val="18"/>
                <w:szCs w:val="18"/>
              </w:rPr>
            </w:pPr>
            <w:r w:rsidRPr="00C7198B">
              <w:rPr>
                <w:sz w:val="18"/>
                <w:szCs w:val="18"/>
              </w:rPr>
              <w:t>2,6</w:t>
            </w:r>
          </w:p>
        </w:tc>
        <w:tc>
          <w:tcPr>
            <w:tcW w:w="1040" w:type="dxa"/>
            <w:noWrap/>
            <w:vAlign w:val="center"/>
            <w:hideMark/>
          </w:tcPr>
          <w:p w:rsidR="00C7198B" w:rsidRPr="00C7198B" w:rsidRDefault="00C7198B" w:rsidP="00C7198B">
            <w:pPr>
              <w:jc w:val="center"/>
              <w:rPr>
                <w:sz w:val="18"/>
                <w:szCs w:val="18"/>
              </w:rPr>
            </w:pPr>
            <w:r w:rsidRPr="00C7198B">
              <w:rPr>
                <w:sz w:val="18"/>
                <w:szCs w:val="18"/>
              </w:rPr>
              <w:t>2,5</w:t>
            </w:r>
          </w:p>
        </w:tc>
        <w:tc>
          <w:tcPr>
            <w:tcW w:w="1153" w:type="dxa"/>
            <w:noWrap/>
            <w:vAlign w:val="center"/>
            <w:hideMark/>
          </w:tcPr>
          <w:p w:rsidR="00C7198B" w:rsidRPr="00C7198B" w:rsidRDefault="00C7198B" w:rsidP="00C7198B">
            <w:pPr>
              <w:jc w:val="center"/>
              <w:rPr>
                <w:sz w:val="18"/>
                <w:szCs w:val="18"/>
              </w:rPr>
            </w:pPr>
            <w:r w:rsidRPr="00C7198B">
              <w:rPr>
                <w:sz w:val="18"/>
                <w:szCs w:val="18"/>
              </w:rPr>
              <w:t>2,3</w:t>
            </w:r>
          </w:p>
        </w:tc>
      </w:tr>
      <w:tr w:rsidR="00C7198B" w:rsidRPr="00C7198B" w:rsidTr="006F4F25">
        <w:trPr>
          <w:trHeight w:val="20"/>
        </w:trPr>
        <w:tc>
          <w:tcPr>
            <w:tcW w:w="4277" w:type="dxa"/>
            <w:vAlign w:val="center"/>
            <w:hideMark/>
          </w:tcPr>
          <w:p w:rsidR="00C7198B" w:rsidRPr="00C7198B" w:rsidRDefault="00C7198B" w:rsidP="00C7198B">
            <w:pPr>
              <w:rPr>
                <w:bCs/>
                <w:sz w:val="18"/>
                <w:szCs w:val="18"/>
              </w:rPr>
            </w:pPr>
            <w:r w:rsidRPr="00C7198B">
              <w:rPr>
                <w:bCs/>
                <w:sz w:val="18"/>
                <w:szCs w:val="18"/>
              </w:rPr>
              <w:t>Консервативный</w:t>
            </w:r>
          </w:p>
        </w:tc>
        <w:tc>
          <w:tcPr>
            <w:tcW w:w="1139" w:type="dxa"/>
            <w:vMerge/>
            <w:vAlign w:val="center"/>
            <w:hideMark/>
          </w:tcPr>
          <w:p w:rsidR="00C7198B" w:rsidRPr="00C7198B" w:rsidRDefault="00C7198B" w:rsidP="00C7198B">
            <w:pPr>
              <w:rPr>
                <w:sz w:val="18"/>
                <w:szCs w:val="18"/>
              </w:rPr>
            </w:pPr>
          </w:p>
        </w:tc>
        <w:tc>
          <w:tcPr>
            <w:tcW w:w="1275" w:type="dxa"/>
            <w:noWrap/>
            <w:vAlign w:val="center"/>
            <w:hideMark/>
          </w:tcPr>
          <w:p w:rsidR="00C7198B" w:rsidRPr="00C7198B" w:rsidRDefault="00C7198B" w:rsidP="00C7198B">
            <w:pPr>
              <w:jc w:val="center"/>
              <w:rPr>
                <w:sz w:val="18"/>
                <w:szCs w:val="18"/>
              </w:rPr>
            </w:pPr>
            <w:r w:rsidRPr="00C7198B">
              <w:rPr>
                <w:sz w:val="18"/>
                <w:szCs w:val="18"/>
              </w:rPr>
              <w:t>2,3</w:t>
            </w:r>
          </w:p>
        </w:tc>
        <w:tc>
          <w:tcPr>
            <w:tcW w:w="1039" w:type="dxa"/>
            <w:noWrap/>
            <w:vAlign w:val="center"/>
            <w:hideMark/>
          </w:tcPr>
          <w:p w:rsidR="00C7198B" w:rsidRPr="00C7198B" w:rsidRDefault="00C7198B" w:rsidP="00C7198B">
            <w:pPr>
              <w:jc w:val="center"/>
              <w:rPr>
                <w:sz w:val="18"/>
                <w:szCs w:val="18"/>
              </w:rPr>
            </w:pPr>
            <w:r w:rsidRPr="00C7198B">
              <w:rPr>
                <w:sz w:val="18"/>
                <w:szCs w:val="18"/>
              </w:rPr>
              <w:t>2,6</w:t>
            </w:r>
          </w:p>
        </w:tc>
        <w:tc>
          <w:tcPr>
            <w:tcW w:w="1040" w:type="dxa"/>
            <w:noWrap/>
            <w:vAlign w:val="center"/>
            <w:hideMark/>
          </w:tcPr>
          <w:p w:rsidR="00C7198B" w:rsidRPr="00C7198B" w:rsidRDefault="00C7198B" w:rsidP="00C7198B">
            <w:pPr>
              <w:jc w:val="center"/>
              <w:rPr>
                <w:sz w:val="18"/>
                <w:szCs w:val="18"/>
              </w:rPr>
            </w:pPr>
            <w:r w:rsidRPr="00C7198B">
              <w:rPr>
                <w:sz w:val="18"/>
                <w:szCs w:val="18"/>
              </w:rPr>
              <w:t>2,6</w:t>
            </w:r>
          </w:p>
        </w:tc>
        <w:tc>
          <w:tcPr>
            <w:tcW w:w="1153" w:type="dxa"/>
            <w:noWrap/>
            <w:vAlign w:val="center"/>
            <w:hideMark/>
          </w:tcPr>
          <w:p w:rsidR="00C7198B" w:rsidRPr="00C7198B" w:rsidRDefault="00C7198B" w:rsidP="00C7198B">
            <w:pPr>
              <w:jc w:val="center"/>
              <w:rPr>
                <w:sz w:val="18"/>
                <w:szCs w:val="18"/>
              </w:rPr>
            </w:pPr>
            <w:r w:rsidRPr="00C7198B">
              <w:rPr>
                <w:sz w:val="18"/>
                <w:szCs w:val="18"/>
              </w:rPr>
              <w:t>2,6</w:t>
            </w:r>
          </w:p>
        </w:tc>
      </w:tr>
    </w:tbl>
    <w:p w:rsidR="00FA2800" w:rsidRPr="00C7198B" w:rsidRDefault="00FA2800" w:rsidP="00EF0B65">
      <w:pPr>
        <w:autoSpaceDE w:val="0"/>
        <w:autoSpaceDN w:val="0"/>
        <w:adjustRightInd w:val="0"/>
        <w:spacing w:line="360" w:lineRule="auto"/>
        <w:ind w:firstLine="709"/>
        <w:jc w:val="both"/>
        <w:rPr>
          <w:color w:val="000000" w:themeColor="text1"/>
          <w:sz w:val="10"/>
          <w:szCs w:val="10"/>
        </w:rPr>
      </w:pPr>
    </w:p>
    <w:p w:rsidR="003D68BE" w:rsidRPr="003D68BE" w:rsidRDefault="003D68BE" w:rsidP="003E5FB2">
      <w:pPr>
        <w:autoSpaceDE w:val="0"/>
        <w:autoSpaceDN w:val="0"/>
        <w:adjustRightInd w:val="0"/>
        <w:spacing w:line="384" w:lineRule="auto"/>
        <w:ind w:firstLine="709"/>
        <w:jc w:val="both"/>
        <w:rPr>
          <w:color w:val="000000" w:themeColor="text1"/>
        </w:rPr>
      </w:pPr>
      <w:r w:rsidRPr="003D68BE">
        <w:rPr>
          <w:color w:val="000000" w:themeColor="text1"/>
        </w:rPr>
        <w:t xml:space="preserve">В отличие от предыдущих лет в Прогнозе отмечается более заметная разница между динамикой ряда основных показателей базового и консервативного вариантов, на необходимость которой Счетная палата неоднократно обращала в заключениях на проекты федерального бюджета. В частности, консервативный вариант тестирует сценарий </w:t>
      </w:r>
      <w:r w:rsidR="00344E5E">
        <w:rPr>
          <w:color w:val="000000" w:themeColor="text1"/>
        </w:rPr>
        <w:t xml:space="preserve">снижения </w:t>
      </w:r>
      <w:r w:rsidRPr="003D68BE">
        <w:rPr>
          <w:color w:val="000000" w:themeColor="text1"/>
        </w:rPr>
        <w:t xml:space="preserve">цен на нефть марки «Юралс» </w:t>
      </w:r>
      <w:r w:rsidR="00344E5E">
        <w:rPr>
          <w:color w:val="000000" w:themeColor="text1"/>
        </w:rPr>
        <w:t xml:space="preserve">ниже базового уровня </w:t>
      </w:r>
      <w:r w:rsidRPr="003D68BE">
        <w:rPr>
          <w:color w:val="000000" w:themeColor="text1"/>
        </w:rPr>
        <w:t xml:space="preserve">и более выраженного ослабления курса рубля. </w:t>
      </w:r>
    </w:p>
    <w:p w:rsidR="003D68BE" w:rsidRPr="003D68BE" w:rsidRDefault="003D68BE" w:rsidP="003E5FB2">
      <w:pPr>
        <w:autoSpaceDE w:val="0"/>
        <w:autoSpaceDN w:val="0"/>
        <w:adjustRightInd w:val="0"/>
        <w:spacing w:line="384" w:lineRule="auto"/>
        <w:ind w:firstLine="709"/>
        <w:jc w:val="both"/>
        <w:rPr>
          <w:color w:val="000000" w:themeColor="text1"/>
        </w:rPr>
      </w:pPr>
      <w:r w:rsidRPr="003D68BE">
        <w:rPr>
          <w:color w:val="000000" w:themeColor="text1"/>
        </w:rPr>
        <w:t>Это полностью соответствует определению консервативного варианта. Так,</w:t>
      </w:r>
      <w:r w:rsidR="00793E57">
        <w:rPr>
          <w:color w:val="000000" w:themeColor="text1"/>
        </w:rPr>
        <w:t> </w:t>
      </w:r>
      <w:r w:rsidRPr="003D68BE">
        <w:rPr>
          <w:color w:val="000000" w:themeColor="text1"/>
        </w:rPr>
        <w:t>в</w:t>
      </w:r>
      <w:r w:rsidR="00793E57">
        <w:rPr>
          <w:color w:val="000000" w:themeColor="text1"/>
        </w:rPr>
        <w:t> </w:t>
      </w:r>
      <w:r w:rsidRPr="003D68BE">
        <w:rPr>
          <w:color w:val="000000" w:themeColor="text1"/>
        </w:rPr>
        <w:t xml:space="preserve">соответствии с Порядком разработки </w:t>
      </w:r>
      <w:r w:rsidR="006E04F6">
        <w:rPr>
          <w:color w:val="000000" w:themeColor="text1"/>
        </w:rPr>
        <w:t>п</w:t>
      </w:r>
      <w:r w:rsidRPr="003D68BE">
        <w:rPr>
          <w:color w:val="000000" w:themeColor="text1"/>
        </w:rPr>
        <w:t>рогноза, «консервативный вариант среднесрочного прогноза разрабатывается на основе консервативных оценок темпов экономического роста с</w:t>
      </w:r>
      <w:r w:rsidR="00793E57">
        <w:rPr>
          <w:color w:val="000000" w:themeColor="text1"/>
        </w:rPr>
        <w:t> </w:t>
      </w:r>
      <w:r w:rsidRPr="003D68BE">
        <w:rPr>
          <w:color w:val="000000" w:themeColor="text1"/>
        </w:rPr>
        <w:t>учетом возможности ухудшения внешнеэкономических условий».</w:t>
      </w:r>
    </w:p>
    <w:p w:rsidR="00FA2800" w:rsidRDefault="003D68BE" w:rsidP="003E5FB2">
      <w:pPr>
        <w:autoSpaceDE w:val="0"/>
        <w:autoSpaceDN w:val="0"/>
        <w:adjustRightInd w:val="0"/>
        <w:spacing w:line="384" w:lineRule="auto"/>
        <w:ind w:firstLine="709"/>
        <w:jc w:val="both"/>
        <w:rPr>
          <w:color w:val="000000" w:themeColor="text1"/>
        </w:rPr>
      </w:pPr>
      <w:r w:rsidRPr="003D68BE">
        <w:rPr>
          <w:color w:val="000000" w:themeColor="text1"/>
        </w:rPr>
        <w:t xml:space="preserve">Вместе с тем консервативный вариант учитывает очень ограниченный набор рисков, который сохраняется из года в год. В качестве рисков в консервативном варианте учтено </w:t>
      </w:r>
      <w:r w:rsidRPr="007F6626">
        <w:rPr>
          <w:color w:val="000000" w:themeColor="text1"/>
        </w:rPr>
        <w:t>«возможное замедление темпов роста мировой экономики»</w:t>
      </w:r>
      <w:r w:rsidRPr="003D68BE">
        <w:rPr>
          <w:color w:val="000000" w:themeColor="text1"/>
        </w:rPr>
        <w:t xml:space="preserve"> и более длительный период сохранения жестких денежно-кредитных условий. В то же время динамика инфляции в обоих вариантах Прогноза совпадает, несмотря на риски, тестируемые в консервативном</w:t>
      </w:r>
      <w:r w:rsidR="007F6626">
        <w:rPr>
          <w:color w:val="000000" w:themeColor="text1"/>
        </w:rPr>
        <w:t xml:space="preserve"> </w:t>
      </w:r>
      <w:r w:rsidR="00344E5E">
        <w:rPr>
          <w:color w:val="000000" w:themeColor="text1"/>
        </w:rPr>
        <w:t>варианте</w:t>
      </w:r>
      <w:r w:rsidRPr="003D68BE">
        <w:rPr>
          <w:color w:val="000000" w:themeColor="text1"/>
        </w:rPr>
        <w:t xml:space="preserve">. Как и в среднесрочных прогнозах предыдущих лет, иные риски, в том числе тестирующие резкое изменение внешних условий, в консервативный вариант Прогноза не заложены. </w:t>
      </w:r>
      <w:r w:rsidRPr="003D68BE">
        <w:rPr>
          <w:color w:val="000000" w:themeColor="text1"/>
        </w:rPr>
        <w:lastRenderedPageBreak/>
        <w:t>При</w:t>
      </w:r>
      <w:r w:rsidR="00793E57">
        <w:rPr>
          <w:color w:val="000000" w:themeColor="text1"/>
        </w:rPr>
        <w:t> </w:t>
      </w:r>
      <w:r w:rsidRPr="003D68BE">
        <w:rPr>
          <w:color w:val="000000" w:themeColor="text1"/>
        </w:rPr>
        <w:t>этом опыт кризиса 2014–2016</w:t>
      </w:r>
      <w:r>
        <w:rPr>
          <w:color w:val="000000" w:themeColor="text1"/>
        </w:rPr>
        <w:t> годов</w:t>
      </w:r>
      <w:r w:rsidRPr="003D68BE">
        <w:rPr>
          <w:color w:val="000000" w:themeColor="text1"/>
        </w:rPr>
        <w:t>, пандемии 2020</w:t>
      </w:r>
      <w:r>
        <w:rPr>
          <w:color w:val="000000" w:themeColor="text1"/>
        </w:rPr>
        <w:t> </w:t>
      </w:r>
      <w:r w:rsidRPr="003D68BE">
        <w:rPr>
          <w:color w:val="000000" w:themeColor="text1"/>
        </w:rPr>
        <w:t>года и ситуации 2022</w:t>
      </w:r>
      <w:r>
        <w:rPr>
          <w:color w:val="000000" w:themeColor="text1"/>
        </w:rPr>
        <w:t> </w:t>
      </w:r>
      <w:r w:rsidRPr="003D68BE">
        <w:rPr>
          <w:color w:val="000000" w:themeColor="text1"/>
        </w:rPr>
        <w:t>года показал необходимость и важность учитывать при разработке Прогноза дополнительные риски.</w:t>
      </w:r>
    </w:p>
    <w:p w:rsidR="003D68BE" w:rsidRPr="003D68BE" w:rsidRDefault="003D68BE" w:rsidP="003E5FB2">
      <w:pPr>
        <w:autoSpaceDE w:val="0"/>
        <w:autoSpaceDN w:val="0"/>
        <w:adjustRightInd w:val="0"/>
        <w:spacing w:line="384" w:lineRule="auto"/>
        <w:ind w:firstLine="709"/>
        <w:jc w:val="both"/>
        <w:rPr>
          <w:color w:val="000000" w:themeColor="text1"/>
        </w:rPr>
      </w:pPr>
      <w:r w:rsidRPr="003D68BE">
        <w:rPr>
          <w:color w:val="000000" w:themeColor="text1"/>
        </w:rPr>
        <w:t xml:space="preserve">В части нормативных правовых актов, регламентирующих формирование Прогноза, необходимо отметить несоответствии ряда положений Порядка разработки </w:t>
      </w:r>
      <w:r w:rsidR="006E04F6">
        <w:rPr>
          <w:color w:val="000000" w:themeColor="text1"/>
        </w:rPr>
        <w:t>п</w:t>
      </w:r>
      <w:r w:rsidRPr="003D68BE">
        <w:rPr>
          <w:color w:val="000000" w:themeColor="text1"/>
        </w:rPr>
        <w:t>рогноза и Методических рекомендаций по разработке, корректировке, мониторингу среднесрочного прогноза социально-экономического развития Российской Федерации</w:t>
      </w:r>
      <w:r w:rsidRPr="003D68BE">
        <w:rPr>
          <w:color w:val="000000" w:themeColor="text1"/>
          <w:vertAlign w:val="superscript"/>
        </w:rPr>
        <w:footnoteReference w:id="12"/>
      </w:r>
      <w:r w:rsidRPr="003D68BE">
        <w:rPr>
          <w:color w:val="000000" w:themeColor="text1"/>
        </w:rPr>
        <w:t xml:space="preserve"> (далее</w:t>
      </w:r>
      <w:r>
        <w:rPr>
          <w:color w:val="000000" w:themeColor="text1"/>
        </w:rPr>
        <w:t> </w:t>
      </w:r>
      <w:r w:rsidRPr="003D68BE">
        <w:rPr>
          <w:color w:val="000000" w:themeColor="text1"/>
        </w:rPr>
        <w:t>– Методические рекомендации). В частности, в соответствии с пунктом 3 Методических рекомендаций прогноз разрабатывается в трех вариантах – базовом, консервативном и целевом. При этом в</w:t>
      </w:r>
      <w:r w:rsidR="00793E57">
        <w:rPr>
          <w:color w:val="000000" w:themeColor="text1"/>
        </w:rPr>
        <w:t> </w:t>
      </w:r>
      <w:r w:rsidRPr="003D68BE">
        <w:rPr>
          <w:color w:val="000000" w:themeColor="text1"/>
        </w:rPr>
        <w:t>соответствии с пунктом 36 текущ</w:t>
      </w:r>
      <w:r w:rsidR="00793E57">
        <w:rPr>
          <w:color w:val="000000" w:themeColor="text1"/>
        </w:rPr>
        <w:t>ей редакции Порядка разработки п</w:t>
      </w:r>
      <w:r w:rsidRPr="003D68BE">
        <w:rPr>
          <w:color w:val="000000" w:themeColor="text1"/>
        </w:rPr>
        <w:t>рогноза целевой вариант был упразднен в 2019</w:t>
      </w:r>
      <w:r w:rsidR="00873864">
        <w:rPr>
          <w:color w:val="000000" w:themeColor="text1"/>
        </w:rPr>
        <w:t> </w:t>
      </w:r>
      <w:r w:rsidRPr="003D68BE">
        <w:rPr>
          <w:color w:val="000000" w:themeColor="text1"/>
        </w:rPr>
        <w:t>год</w:t>
      </w:r>
      <w:r w:rsidR="00873864">
        <w:rPr>
          <w:color w:val="000000" w:themeColor="text1"/>
        </w:rPr>
        <w:t>у (п</w:t>
      </w:r>
      <w:r w:rsidRPr="003D68BE">
        <w:rPr>
          <w:color w:val="000000" w:themeColor="text1"/>
        </w:rPr>
        <w:t>остановление Правительства Российской Федерации от 18</w:t>
      </w:r>
      <w:r w:rsidR="00873864">
        <w:rPr>
          <w:color w:val="000000" w:themeColor="text1"/>
        </w:rPr>
        <w:t xml:space="preserve"> мая </w:t>
      </w:r>
      <w:r w:rsidRPr="003D68BE">
        <w:rPr>
          <w:color w:val="000000" w:themeColor="text1"/>
        </w:rPr>
        <w:t>2019</w:t>
      </w:r>
      <w:r w:rsidR="00873864">
        <w:rPr>
          <w:color w:val="000000" w:themeColor="text1"/>
        </w:rPr>
        <w:t> г.</w:t>
      </w:r>
      <w:r w:rsidRPr="003D68BE">
        <w:rPr>
          <w:color w:val="000000" w:themeColor="text1"/>
        </w:rPr>
        <w:t xml:space="preserve"> №</w:t>
      </w:r>
      <w:r w:rsidR="00873864">
        <w:rPr>
          <w:color w:val="000000" w:themeColor="text1"/>
        </w:rPr>
        <w:t> </w:t>
      </w:r>
      <w:r w:rsidRPr="003D68BE">
        <w:rPr>
          <w:color w:val="000000" w:themeColor="text1"/>
        </w:rPr>
        <w:t xml:space="preserve">615). Также не скорректированы определения базового и консервативного вариантов. Методические рекомендации предполагают разработку показателя «среднегодовой размер пенсии», тогда как из Порядка разработки прогноза данный показатель был исключен. Таким образом, Прогноз разрабатывается с учетом указанных изменений Порядка разработки прогноза, вступая в противоречие с некоторыми пунктами Методических рекомендаций. Счетная палата </w:t>
      </w:r>
      <w:r w:rsidR="00793E57">
        <w:rPr>
          <w:color w:val="000000" w:themeColor="text1"/>
        </w:rPr>
        <w:t>полагает</w:t>
      </w:r>
      <w:r w:rsidRPr="003D68BE">
        <w:rPr>
          <w:color w:val="000000" w:themeColor="text1"/>
        </w:rPr>
        <w:t xml:space="preserve"> необходимым привести Методические рекомендации в соответствие с</w:t>
      </w:r>
      <w:r w:rsidR="00C60ECA">
        <w:rPr>
          <w:color w:val="000000" w:themeColor="text1"/>
        </w:rPr>
        <w:t> </w:t>
      </w:r>
      <w:r w:rsidRPr="003D68BE">
        <w:rPr>
          <w:color w:val="000000" w:themeColor="text1"/>
        </w:rPr>
        <w:t xml:space="preserve">актуальной версией Порядка разработки прогноза. </w:t>
      </w:r>
    </w:p>
    <w:p w:rsidR="003D68BE" w:rsidRPr="003D68BE" w:rsidRDefault="003D68BE" w:rsidP="003E5FB2">
      <w:pPr>
        <w:autoSpaceDE w:val="0"/>
        <w:autoSpaceDN w:val="0"/>
        <w:adjustRightInd w:val="0"/>
        <w:spacing w:line="384" w:lineRule="auto"/>
        <w:ind w:firstLine="709"/>
        <w:jc w:val="both"/>
        <w:rPr>
          <w:color w:val="000000" w:themeColor="text1"/>
        </w:rPr>
      </w:pPr>
      <w:r w:rsidRPr="003D68BE">
        <w:rPr>
          <w:b/>
          <w:color w:val="000000" w:themeColor="text1"/>
        </w:rPr>
        <w:t>2.14.</w:t>
      </w:r>
      <w:r w:rsidRPr="003D68BE">
        <w:rPr>
          <w:color w:val="000000" w:themeColor="text1"/>
        </w:rPr>
        <w:t> В 2024 году, как и годом ранее, при разработке Прогноза о</w:t>
      </w:r>
      <w:r w:rsidR="00C60ECA">
        <w:rPr>
          <w:color w:val="000000" w:themeColor="text1"/>
        </w:rPr>
        <w:t>тмечается несоблюдения п</w:t>
      </w:r>
      <w:r w:rsidRPr="003D68BE">
        <w:rPr>
          <w:color w:val="000000" w:themeColor="text1"/>
        </w:rPr>
        <w:t xml:space="preserve">остановления № 1234, регламентирующего порядок его разработки. </w:t>
      </w:r>
    </w:p>
    <w:p w:rsidR="002B27FC" w:rsidRDefault="003D68BE" w:rsidP="003E5FB2">
      <w:pPr>
        <w:autoSpaceDE w:val="0"/>
        <w:autoSpaceDN w:val="0"/>
        <w:adjustRightInd w:val="0"/>
        <w:spacing w:line="384" w:lineRule="auto"/>
        <w:ind w:firstLine="709"/>
        <w:jc w:val="both"/>
        <w:rPr>
          <w:color w:val="000000" w:themeColor="text1"/>
        </w:rPr>
      </w:pPr>
      <w:r w:rsidRPr="003D68BE">
        <w:rPr>
          <w:color w:val="000000" w:themeColor="text1"/>
        </w:rPr>
        <w:t>Так, систематически не соблюдается требование пунктов 7 и 8 Порядка разработки прогноза: Сценарные условия, на основе которых должен разрабатываться Прогноз, не</w:t>
      </w:r>
      <w:r w:rsidR="00C60ECA">
        <w:rPr>
          <w:color w:val="000000" w:themeColor="text1"/>
        </w:rPr>
        <w:t> </w:t>
      </w:r>
      <w:r w:rsidRPr="003D68BE">
        <w:rPr>
          <w:color w:val="000000" w:themeColor="text1"/>
        </w:rPr>
        <w:t xml:space="preserve">рассматриваются и не одобряются </w:t>
      </w:r>
      <w:r w:rsidR="00C87C95" w:rsidRPr="00C87C95">
        <w:rPr>
          <w:color w:val="000000" w:themeColor="text1"/>
        </w:rPr>
        <w:t>Правительственной комиссией по бюджетным проектировкам на очередной финансовый и плановый период (далее – Бюджетная комиссия)</w:t>
      </w:r>
      <w:r w:rsidRPr="003D68BE">
        <w:rPr>
          <w:color w:val="000000" w:themeColor="text1"/>
        </w:rPr>
        <w:t xml:space="preserve">. </w:t>
      </w:r>
      <w:r w:rsidR="0005482A">
        <w:rPr>
          <w:color w:val="000000" w:themeColor="text1"/>
        </w:rPr>
        <w:t>По мнению Счетной палаты, необх</w:t>
      </w:r>
      <w:r w:rsidR="00C60ECA">
        <w:rPr>
          <w:color w:val="000000" w:themeColor="text1"/>
        </w:rPr>
        <w:t>одимо вернуться к рассмотрению с</w:t>
      </w:r>
      <w:r w:rsidR="0005482A">
        <w:rPr>
          <w:color w:val="000000" w:themeColor="text1"/>
        </w:rPr>
        <w:t>ценарных условий на Бюджетной комиссии</w:t>
      </w:r>
      <w:r w:rsidRPr="002B27FC">
        <w:rPr>
          <w:color w:val="000000" w:themeColor="text1"/>
        </w:rPr>
        <w:t>.</w:t>
      </w:r>
      <w:r w:rsidR="0005482A">
        <w:rPr>
          <w:color w:val="000000" w:themeColor="text1"/>
        </w:rPr>
        <w:t xml:space="preserve"> </w:t>
      </w:r>
    </w:p>
    <w:p w:rsidR="003D68BE" w:rsidRPr="003D68BE" w:rsidRDefault="003D68BE" w:rsidP="003E5FB2">
      <w:pPr>
        <w:autoSpaceDE w:val="0"/>
        <w:autoSpaceDN w:val="0"/>
        <w:adjustRightInd w:val="0"/>
        <w:spacing w:line="384" w:lineRule="auto"/>
        <w:ind w:firstLine="709"/>
        <w:jc w:val="both"/>
        <w:rPr>
          <w:color w:val="000000" w:themeColor="text1"/>
        </w:rPr>
      </w:pPr>
      <w:r w:rsidRPr="003D68BE">
        <w:rPr>
          <w:color w:val="000000" w:themeColor="text1"/>
        </w:rPr>
        <w:t>В части набора прогнозных показателей следует отметить, что в Прогнозе, как и в предыдущие годы, не в полной мере представлены показатели, предусмотренные Порядком разработки прогноза.</w:t>
      </w:r>
    </w:p>
    <w:p w:rsidR="003D68BE" w:rsidRPr="003D68BE" w:rsidRDefault="00836DB1" w:rsidP="003E5FB2">
      <w:pPr>
        <w:autoSpaceDE w:val="0"/>
        <w:autoSpaceDN w:val="0"/>
        <w:adjustRightInd w:val="0"/>
        <w:spacing w:line="384" w:lineRule="auto"/>
        <w:ind w:firstLine="709"/>
        <w:jc w:val="both"/>
        <w:rPr>
          <w:color w:val="000000" w:themeColor="text1"/>
        </w:rPr>
      </w:pPr>
      <w:r>
        <w:rPr>
          <w:color w:val="000000" w:themeColor="text1"/>
        </w:rPr>
        <w:t xml:space="preserve">В </w:t>
      </w:r>
      <w:r w:rsidR="007B008C">
        <w:rPr>
          <w:color w:val="000000" w:themeColor="text1"/>
        </w:rPr>
        <w:t>Прогнозе не представлены некоторые показатели, которые должны разрабатываться в</w:t>
      </w:r>
      <w:r w:rsidR="00C60ECA">
        <w:rPr>
          <w:color w:val="000000" w:themeColor="text1"/>
        </w:rPr>
        <w:t> </w:t>
      </w:r>
      <w:r w:rsidR="007B008C">
        <w:rPr>
          <w:color w:val="000000" w:themeColor="text1"/>
        </w:rPr>
        <w:t xml:space="preserve">соответствии с </w:t>
      </w:r>
      <w:r w:rsidR="003D68BE" w:rsidRPr="003D68BE">
        <w:rPr>
          <w:color w:val="000000" w:themeColor="text1"/>
        </w:rPr>
        <w:t>пункт</w:t>
      </w:r>
      <w:r w:rsidR="007B008C">
        <w:rPr>
          <w:color w:val="000000" w:themeColor="text1"/>
        </w:rPr>
        <w:t>ами</w:t>
      </w:r>
      <w:r w:rsidR="003D68BE" w:rsidRPr="003D68BE">
        <w:rPr>
          <w:color w:val="000000" w:themeColor="text1"/>
        </w:rPr>
        <w:t xml:space="preserve"> 16 и 37 Порядка </w:t>
      </w:r>
      <w:r w:rsidR="006E04F6">
        <w:rPr>
          <w:color w:val="000000" w:themeColor="text1"/>
        </w:rPr>
        <w:t xml:space="preserve">разработки </w:t>
      </w:r>
      <w:r w:rsidR="003D68BE" w:rsidRPr="003D68BE">
        <w:rPr>
          <w:color w:val="000000" w:themeColor="text1"/>
        </w:rPr>
        <w:t>прогноза:</w:t>
      </w:r>
    </w:p>
    <w:p w:rsidR="003D68BE" w:rsidRPr="003D68BE" w:rsidRDefault="00C60ECA" w:rsidP="003E5FB2">
      <w:pPr>
        <w:autoSpaceDE w:val="0"/>
        <w:autoSpaceDN w:val="0"/>
        <w:adjustRightInd w:val="0"/>
        <w:spacing w:line="384" w:lineRule="auto"/>
        <w:ind w:firstLine="709"/>
        <w:jc w:val="both"/>
        <w:rPr>
          <w:color w:val="000000" w:themeColor="text1"/>
        </w:rPr>
      </w:pPr>
      <w:r>
        <w:rPr>
          <w:b/>
          <w:color w:val="000000" w:themeColor="text1"/>
        </w:rPr>
        <w:lastRenderedPageBreak/>
        <w:t>т</w:t>
      </w:r>
      <w:r w:rsidR="003D68BE" w:rsidRPr="003D68BE">
        <w:rPr>
          <w:b/>
          <w:color w:val="000000" w:themeColor="text1"/>
        </w:rPr>
        <w:t>емпы роста мировой экономики и крупнейших стран мира.</w:t>
      </w:r>
      <w:r w:rsidR="003D68BE" w:rsidRPr="003D68BE">
        <w:rPr>
          <w:color w:val="000000" w:themeColor="text1"/>
        </w:rPr>
        <w:t xml:space="preserve"> Текст Прогноза содержит отсылку к прогнозу Международного валютного фонда, однако сами значения в Прогнозе не представлены</w:t>
      </w:r>
      <w:r w:rsidR="00D10723">
        <w:rPr>
          <w:color w:val="000000" w:themeColor="text1"/>
        </w:rPr>
        <w:t>;</w:t>
      </w:r>
      <w:r w:rsidR="003D68BE" w:rsidRPr="003D68BE">
        <w:rPr>
          <w:color w:val="000000" w:themeColor="text1"/>
        </w:rPr>
        <w:t xml:space="preserve"> </w:t>
      </w:r>
    </w:p>
    <w:p w:rsidR="003D68BE" w:rsidRPr="003D68BE" w:rsidRDefault="00C60ECA" w:rsidP="003E5FB2">
      <w:pPr>
        <w:autoSpaceDE w:val="0"/>
        <w:autoSpaceDN w:val="0"/>
        <w:adjustRightInd w:val="0"/>
        <w:spacing w:line="384" w:lineRule="auto"/>
        <w:ind w:firstLine="709"/>
        <w:jc w:val="both"/>
        <w:rPr>
          <w:color w:val="000000" w:themeColor="text1"/>
        </w:rPr>
      </w:pPr>
      <w:r>
        <w:rPr>
          <w:b/>
          <w:color w:val="000000" w:themeColor="text1"/>
        </w:rPr>
        <w:t>о</w:t>
      </w:r>
      <w:r w:rsidR="003D68BE" w:rsidRPr="003D68BE">
        <w:rPr>
          <w:b/>
          <w:color w:val="000000" w:themeColor="text1"/>
        </w:rPr>
        <w:t>бщие показатели демографического развития</w:t>
      </w:r>
      <w:r w:rsidR="003D68BE" w:rsidRPr="003D68BE">
        <w:rPr>
          <w:color w:val="000000" w:themeColor="text1"/>
        </w:rPr>
        <w:t>: численность населения, в том числе по основным возрастным группам, число родившихся, умерших и естественный прирост.</w:t>
      </w:r>
    </w:p>
    <w:p w:rsidR="003D68BE" w:rsidRPr="003D68BE" w:rsidRDefault="003D68BE" w:rsidP="003E5FB2">
      <w:pPr>
        <w:autoSpaceDE w:val="0"/>
        <w:autoSpaceDN w:val="0"/>
        <w:adjustRightInd w:val="0"/>
        <w:spacing w:line="384" w:lineRule="auto"/>
        <w:ind w:firstLine="709"/>
        <w:jc w:val="both"/>
        <w:rPr>
          <w:color w:val="000000" w:themeColor="text1"/>
        </w:rPr>
      </w:pPr>
      <w:r w:rsidRPr="003D68BE">
        <w:rPr>
          <w:color w:val="000000" w:themeColor="text1"/>
        </w:rPr>
        <w:t xml:space="preserve">Также в Прогнозе отсутствует показатель среднегодового размера пенсии, исключенный из Порядка разработки прогноза в 2019 году, хотя Минтруд России представляет прогноз данного показателя (среднегодовой размер страховой пенсии) в составе материалов, направляемых в Минэкономразвития </w:t>
      </w:r>
      <w:r w:rsidR="003C4A5D">
        <w:rPr>
          <w:color w:val="000000" w:themeColor="text1"/>
        </w:rPr>
        <w:t xml:space="preserve">России </w:t>
      </w:r>
      <w:r w:rsidR="006E04F6">
        <w:rPr>
          <w:color w:val="000000" w:themeColor="text1"/>
        </w:rPr>
        <w:t xml:space="preserve">для </w:t>
      </w:r>
      <w:r w:rsidRPr="003D68BE">
        <w:rPr>
          <w:color w:val="000000" w:themeColor="text1"/>
        </w:rPr>
        <w:t>формировани</w:t>
      </w:r>
      <w:r w:rsidR="006E04F6">
        <w:rPr>
          <w:color w:val="000000" w:themeColor="text1"/>
        </w:rPr>
        <w:t>я</w:t>
      </w:r>
      <w:r w:rsidRPr="003D68BE">
        <w:rPr>
          <w:color w:val="000000" w:themeColor="text1"/>
        </w:rPr>
        <w:t xml:space="preserve"> Прогноза. Подобные изменения не дают возможности сделать полноценные выводы об изменении уровня жизни пенсионеров.</w:t>
      </w:r>
    </w:p>
    <w:p w:rsidR="003D68BE" w:rsidRPr="003D68BE" w:rsidRDefault="003D68BE" w:rsidP="003E5FB2">
      <w:pPr>
        <w:autoSpaceDE w:val="0"/>
        <w:autoSpaceDN w:val="0"/>
        <w:adjustRightInd w:val="0"/>
        <w:spacing w:line="384" w:lineRule="auto"/>
        <w:ind w:firstLine="709"/>
        <w:jc w:val="both"/>
        <w:rPr>
          <w:bCs/>
          <w:color w:val="000000" w:themeColor="text1"/>
        </w:rPr>
      </w:pPr>
      <w:r w:rsidRPr="003D68BE">
        <w:rPr>
          <w:bCs/>
          <w:color w:val="000000" w:themeColor="text1"/>
        </w:rPr>
        <w:t xml:space="preserve">Одновременно Прогноз </w:t>
      </w:r>
      <w:r w:rsidRPr="005E4B5E">
        <w:rPr>
          <w:bCs/>
          <w:color w:val="000000" w:themeColor="text1"/>
        </w:rPr>
        <w:t>продолжает дополняться новыми показателями, отражающими степень реализации национальных целей и текущие внешнеэкономические</w:t>
      </w:r>
      <w:r w:rsidR="005E4B5E" w:rsidRPr="005E4B5E">
        <w:rPr>
          <w:bCs/>
          <w:color w:val="000000" w:themeColor="text1"/>
        </w:rPr>
        <w:t xml:space="preserve"> тенденции</w:t>
      </w:r>
      <w:r w:rsidRPr="005E4B5E">
        <w:rPr>
          <w:bCs/>
          <w:color w:val="000000" w:themeColor="text1"/>
        </w:rPr>
        <w:t>.</w:t>
      </w:r>
    </w:p>
    <w:p w:rsidR="003D68BE" w:rsidRPr="003D68BE" w:rsidRDefault="003D68BE" w:rsidP="003E5FB2">
      <w:pPr>
        <w:autoSpaceDE w:val="0"/>
        <w:autoSpaceDN w:val="0"/>
        <w:adjustRightInd w:val="0"/>
        <w:spacing w:line="384" w:lineRule="auto"/>
        <w:ind w:firstLine="709"/>
        <w:jc w:val="both"/>
        <w:rPr>
          <w:color w:val="000000" w:themeColor="text1"/>
        </w:rPr>
      </w:pPr>
      <w:r w:rsidRPr="003D68BE">
        <w:rPr>
          <w:bCs/>
          <w:color w:val="000000" w:themeColor="text1"/>
        </w:rPr>
        <w:t>Так, в Прогнозе впервые представлен коэффициент Джини, характеризующий степень неравномерного распределения доходов и являющийся одним из целевых показателей Указа</w:t>
      </w:r>
      <w:r w:rsidR="00931911">
        <w:rPr>
          <w:bCs/>
          <w:color w:val="000000" w:themeColor="text1"/>
        </w:rPr>
        <w:t> </w:t>
      </w:r>
      <w:r w:rsidRPr="003D68BE">
        <w:rPr>
          <w:bCs/>
          <w:color w:val="000000" w:themeColor="text1"/>
        </w:rPr>
        <w:t xml:space="preserve">№ 309. </w:t>
      </w:r>
      <w:r w:rsidRPr="003D68BE">
        <w:rPr>
          <w:color w:val="000000" w:themeColor="text1"/>
        </w:rPr>
        <w:t>Дополнительно в Прогнозе, как и годом ранее, представлен прогноз курса юаня к</w:t>
      </w:r>
      <w:r w:rsidR="00C60ECA">
        <w:rPr>
          <w:color w:val="000000" w:themeColor="text1"/>
        </w:rPr>
        <w:t> </w:t>
      </w:r>
      <w:r w:rsidRPr="003D68BE">
        <w:rPr>
          <w:color w:val="000000" w:themeColor="text1"/>
        </w:rPr>
        <w:t>рублю, что является актуальным в условиях повышения значимости валют дружественных стран в расчетах по внешнеторговым операциям.</w:t>
      </w:r>
    </w:p>
    <w:p w:rsidR="003D68BE" w:rsidRPr="003D68BE" w:rsidRDefault="003D68BE" w:rsidP="003E5FB2">
      <w:pPr>
        <w:autoSpaceDE w:val="0"/>
        <w:autoSpaceDN w:val="0"/>
        <w:adjustRightInd w:val="0"/>
        <w:spacing w:line="384" w:lineRule="auto"/>
        <w:ind w:firstLine="709"/>
        <w:jc w:val="both"/>
        <w:rPr>
          <w:bCs/>
          <w:color w:val="000000" w:themeColor="text1"/>
        </w:rPr>
      </w:pPr>
      <w:r w:rsidRPr="003D68BE">
        <w:rPr>
          <w:bCs/>
          <w:color w:val="000000" w:themeColor="text1"/>
        </w:rPr>
        <w:t>По мнению Счетной палаты, гибкий подход к формированию перечня прогнозных показателей является необходимым элементом современного прогнозирования в условиях турбулентности внешних условий и достижения национальных целей. Счетная палата в</w:t>
      </w:r>
      <w:r w:rsidR="00C60ECA">
        <w:rPr>
          <w:bCs/>
          <w:color w:val="000000" w:themeColor="text1"/>
        </w:rPr>
        <w:t> </w:t>
      </w:r>
      <w:r w:rsidRPr="003D68BE">
        <w:rPr>
          <w:bCs/>
          <w:color w:val="000000" w:themeColor="text1"/>
        </w:rPr>
        <w:t>заключениях на проект федерального бюджета в 2023–2025</w:t>
      </w:r>
      <w:r w:rsidR="0005467C">
        <w:rPr>
          <w:bCs/>
          <w:color w:val="000000" w:themeColor="text1"/>
        </w:rPr>
        <w:t> </w:t>
      </w:r>
      <w:r w:rsidRPr="003D68BE">
        <w:rPr>
          <w:bCs/>
          <w:color w:val="000000" w:themeColor="text1"/>
        </w:rPr>
        <w:t>годах неоднократно указывала на важность подобного гибкого подхода. Также представляется целесообразным дополнить Прогноз иными показателями национальных целей, представленных в Указе № 309 (например, доля туристской отрасли в ВВП, объем экспорта несырьевых неэнергетических товаров).</w:t>
      </w:r>
    </w:p>
    <w:p w:rsidR="003D68BE" w:rsidRPr="003D68BE" w:rsidRDefault="003D68BE" w:rsidP="003E5FB2">
      <w:pPr>
        <w:autoSpaceDE w:val="0"/>
        <w:autoSpaceDN w:val="0"/>
        <w:adjustRightInd w:val="0"/>
        <w:spacing w:line="384" w:lineRule="auto"/>
        <w:ind w:firstLine="709"/>
        <w:jc w:val="both"/>
        <w:rPr>
          <w:color w:val="000000" w:themeColor="text1"/>
        </w:rPr>
      </w:pPr>
      <w:r w:rsidRPr="003D68BE">
        <w:rPr>
          <w:color w:val="000000" w:themeColor="text1"/>
        </w:rPr>
        <w:t>Учитывая расширение фактического набора прогнозных показателей</w:t>
      </w:r>
      <w:r w:rsidR="006E04F6">
        <w:rPr>
          <w:color w:val="000000" w:themeColor="text1"/>
        </w:rPr>
        <w:t>,</w:t>
      </w:r>
      <w:r w:rsidRPr="003D68BE">
        <w:rPr>
          <w:color w:val="000000" w:themeColor="text1"/>
        </w:rPr>
        <w:t xml:space="preserve"> представляется целесообразным внести соответствующие изменения в Правила разработки </w:t>
      </w:r>
      <w:r w:rsidR="006E04F6">
        <w:rPr>
          <w:color w:val="000000" w:themeColor="text1"/>
        </w:rPr>
        <w:t>п</w:t>
      </w:r>
      <w:r w:rsidRPr="003D68BE">
        <w:rPr>
          <w:color w:val="000000" w:themeColor="text1"/>
        </w:rPr>
        <w:t>рогноза, актуализировав перечень показателей Прогноза.</w:t>
      </w:r>
    </w:p>
    <w:p w:rsidR="00FA2800" w:rsidRPr="003D68BE" w:rsidRDefault="004E4A8B" w:rsidP="003E5FB2">
      <w:pPr>
        <w:autoSpaceDE w:val="0"/>
        <w:autoSpaceDN w:val="0"/>
        <w:adjustRightInd w:val="0"/>
        <w:spacing w:line="384" w:lineRule="auto"/>
        <w:ind w:firstLine="709"/>
        <w:jc w:val="both"/>
        <w:rPr>
          <w:color w:val="000000" w:themeColor="text1"/>
        </w:rPr>
      </w:pPr>
      <w:r w:rsidRPr="004E4A8B">
        <w:rPr>
          <w:b/>
          <w:color w:val="000000" w:themeColor="text1"/>
        </w:rPr>
        <w:t>2.1</w:t>
      </w:r>
      <w:r>
        <w:rPr>
          <w:b/>
          <w:color w:val="000000" w:themeColor="text1"/>
        </w:rPr>
        <w:t>5</w:t>
      </w:r>
      <w:r w:rsidRPr="004E4A8B">
        <w:rPr>
          <w:b/>
          <w:color w:val="000000" w:themeColor="text1"/>
        </w:rPr>
        <w:t>.</w:t>
      </w:r>
      <w:r w:rsidRPr="004E4A8B">
        <w:rPr>
          <w:color w:val="000000" w:themeColor="text1"/>
        </w:rPr>
        <w:t> </w:t>
      </w:r>
      <w:r w:rsidRPr="004E4A8B">
        <w:rPr>
          <w:b/>
          <w:bCs/>
          <w:color w:val="000000" w:themeColor="text1"/>
        </w:rPr>
        <w:t>Анализ Основных направлений единой государственной денежно-кредитной политики на 2026 год и период 2027 и 2028 годов показал следующее.</w:t>
      </w:r>
    </w:p>
    <w:p w:rsidR="004E4A8B" w:rsidRPr="004E4A8B" w:rsidRDefault="004E4A8B" w:rsidP="003E5FB2">
      <w:pPr>
        <w:autoSpaceDE w:val="0"/>
        <w:autoSpaceDN w:val="0"/>
        <w:adjustRightInd w:val="0"/>
        <w:spacing w:line="384" w:lineRule="auto"/>
        <w:ind w:firstLine="709"/>
        <w:jc w:val="both"/>
        <w:rPr>
          <w:color w:val="000000" w:themeColor="text1"/>
        </w:rPr>
      </w:pPr>
      <w:r w:rsidRPr="004E4A8B">
        <w:rPr>
          <w:b/>
          <w:color w:val="000000" w:themeColor="text1"/>
        </w:rPr>
        <w:t>2.1</w:t>
      </w:r>
      <w:r>
        <w:rPr>
          <w:b/>
          <w:color w:val="000000" w:themeColor="text1"/>
        </w:rPr>
        <w:t>5</w:t>
      </w:r>
      <w:r w:rsidRPr="004E4A8B">
        <w:rPr>
          <w:b/>
          <w:color w:val="000000" w:themeColor="text1"/>
        </w:rPr>
        <w:t>.</w:t>
      </w:r>
      <w:r>
        <w:rPr>
          <w:b/>
          <w:color w:val="000000" w:themeColor="text1"/>
        </w:rPr>
        <w:t>1.</w:t>
      </w:r>
      <w:r w:rsidRPr="004E4A8B">
        <w:rPr>
          <w:color w:val="000000" w:themeColor="text1"/>
        </w:rPr>
        <w:t> Проект Основных направлений единой государственной денежно-кредитной политики на 2026 год и период 2027 и 2028 годов (ОНЕГДКП 2026</w:t>
      </w:r>
      <w:r>
        <w:rPr>
          <w:color w:val="000000" w:themeColor="text1"/>
        </w:rPr>
        <w:t>–</w:t>
      </w:r>
      <w:r w:rsidRPr="004E4A8B">
        <w:rPr>
          <w:color w:val="000000" w:themeColor="text1"/>
        </w:rPr>
        <w:t xml:space="preserve">2028) одобрен Советом директоров Банка России 24 сентября 2025 года. </w:t>
      </w:r>
    </w:p>
    <w:p w:rsidR="004E4A8B" w:rsidRPr="004E4A8B" w:rsidRDefault="004E4A8B" w:rsidP="003E5FB2">
      <w:pPr>
        <w:autoSpaceDE w:val="0"/>
        <w:autoSpaceDN w:val="0"/>
        <w:adjustRightInd w:val="0"/>
        <w:spacing w:line="384" w:lineRule="auto"/>
        <w:ind w:firstLine="709"/>
        <w:jc w:val="both"/>
        <w:rPr>
          <w:color w:val="000000" w:themeColor="text1"/>
        </w:rPr>
      </w:pPr>
      <w:r w:rsidRPr="004E4A8B">
        <w:rPr>
          <w:color w:val="000000" w:themeColor="text1"/>
        </w:rPr>
        <w:lastRenderedPageBreak/>
        <w:t>Цель денежно-кредитной политики – стабильно низкая инфляция, необходимая для устойчивого экономического развития. Количественная цель денежно-кредитной политики определена Банком России как годовая инфляция вблизи 4</w:t>
      </w:r>
      <w:r>
        <w:rPr>
          <w:color w:val="000000" w:themeColor="text1"/>
        </w:rPr>
        <w:t> </w:t>
      </w:r>
      <w:r w:rsidRPr="004E4A8B">
        <w:rPr>
          <w:color w:val="000000" w:themeColor="text1"/>
        </w:rPr>
        <w:t>%. При этом, несмотря на растущее санкционное давление, продолжающуюся структурную трансформацию российской экономики и связанную с этим корректировку относительных цен на различные товары и услуги, Банк России так же, как и в ОНЕГДКП 2025</w:t>
      </w:r>
      <w:r>
        <w:rPr>
          <w:color w:val="000000" w:themeColor="text1"/>
        </w:rPr>
        <w:t>–</w:t>
      </w:r>
      <w:r w:rsidRPr="004E4A8B">
        <w:rPr>
          <w:color w:val="000000" w:themeColor="text1"/>
        </w:rPr>
        <w:t>2027, видит предпосылки для снижения таргета в</w:t>
      </w:r>
      <w:r w:rsidR="00C60ECA">
        <w:rPr>
          <w:color w:val="000000" w:themeColor="text1"/>
        </w:rPr>
        <w:t> </w:t>
      </w:r>
      <w:r w:rsidRPr="004E4A8B">
        <w:rPr>
          <w:color w:val="000000" w:themeColor="text1"/>
        </w:rPr>
        <w:t>будущем за пределами прогнозного горизонта 2026</w:t>
      </w:r>
      <w:r>
        <w:rPr>
          <w:color w:val="000000" w:themeColor="text1"/>
        </w:rPr>
        <w:t>–</w:t>
      </w:r>
      <w:r w:rsidRPr="004E4A8B">
        <w:rPr>
          <w:color w:val="000000" w:themeColor="text1"/>
        </w:rPr>
        <w:t>2028 годов. Однако, по мнению Счетной палаты, текущая экономическая ситуация, а также задача по достижению национальных целей делает более актуальным не вопрос снижения цели по инфляции, а более позднее возвращение инфляции к целевому уровню</w:t>
      </w:r>
      <w:r w:rsidR="00E801C2">
        <w:rPr>
          <w:color w:val="000000" w:themeColor="text1"/>
        </w:rPr>
        <w:t xml:space="preserve"> при меньшей жесткости денежно-кредитной политики.</w:t>
      </w:r>
    </w:p>
    <w:p w:rsidR="004E4A8B" w:rsidRPr="004E4A8B" w:rsidRDefault="004E4A8B" w:rsidP="003E5FB2">
      <w:pPr>
        <w:autoSpaceDE w:val="0"/>
        <w:autoSpaceDN w:val="0"/>
        <w:adjustRightInd w:val="0"/>
        <w:spacing w:line="384" w:lineRule="auto"/>
        <w:ind w:firstLine="709"/>
        <w:jc w:val="both"/>
        <w:rPr>
          <w:color w:val="000000" w:themeColor="text1"/>
        </w:rPr>
      </w:pPr>
      <w:r w:rsidRPr="004E4A8B">
        <w:rPr>
          <w:color w:val="000000" w:themeColor="text1"/>
        </w:rPr>
        <w:t>В проекте ОНЕГДКП 2026</w:t>
      </w:r>
      <w:r>
        <w:rPr>
          <w:color w:val="000000" w:themeColor="text1"/>
        </w:rPr>
        <w:t>–</w:t>
      </w:r>
      <w:r w:rsidRPr="004E4A8B">
        <w:rPr>
          <w:color w:val="000000" w:themeColor="text1"/>
        </w:rPr>
        <w:t>2028 Банк России отмечает, что основными инструментами денежно-кредитной политики являются ключевая ставка и коммуникаци</w:t>
      </w:r>
      <w:r w:rsidR="00E801C2">
        <w:rPr>
          <w:color w:val="000000" w:themeColor="text1"/>
        </w:rPr>
        <w:t>я</w:t>
      </w:r>
      <w:r w:rsidRPr="004E4A8B">
        <w:rPr>
          <w:color w:val="000000" w:themeColor="text1"/>
        </w:rPr>
        <w:t xml:space="preserve">. </w:t>
      </w:r>
    </w:p>
    <w:p w:rsidR="004E4A8B" w:rsidRPr="004E4A8B" w:rsidRDefault="004E4A8B" w:rsidP="003E5FB2">
      <w:pPr>
        <w:autoSpaceDE w:val="0"/>
        <w:autoSpaceDN w:val="0"/>
        <w:adjustRightInd w:val="0"/>
        <w:spacing w:line="384" w:lineRule="auto"/>
        <w:ind w:firstLine="709"/>
        <w:jc w:val="both"/>
        <w:rPr>
          <w:color w:val="000000" w:themeColor="text1"/>
        </w:rPr>
      </w:pPr>
      <w:r w:rsidRPr="004E4A8B">
        <w:rPr>
          <w:color w:val="000000" w:themeColor="text1"/>
        </w:rPr>
        <w:t>Динамика ключевой ставки в 2025 году представлена в следующей таблице.</w:t>
      </w:r>
    </w:p>
    <w:p w:rsidR="004E4A8B" w:rsidRPr="004E4A8B" w:rsidRDefault="004E4A8B" w:rsidP="005803CB">
      <w:pPr>
        <w:autoSpaceDE w:val="0"/>
        <w:autoSpaceDN w:val="0"/>
        <w:adjustRightInd w:val="0"/>
        <w:ind w:firstLine="709"/>
        <w:jc w:val="right"/>
        <w:rPr>
          <w:color w:val="000000" w:themeColor="text1"/>
          <w:sz w:val="18"/>
          <w:szCs w:val="18"/>
        </w:rPr>
      </w:pPr>
      <w:r>
        <w:rPr>
          <w:color w:val="000000" w:themeColor="text1"/>
          <w:sz w:val="18"/>
          <w:szCs w:val="18"/>
        </w:rPr>
        <w:t>(</w:t>
      </w:r>
      <w:r w:rsidRPr="004E4A8B">
        <w:rPr>
          <w:color w:val="000000" w:themeColor="text1"/>
          <w:sz w:val="18"/>
          <w:szCs w:val="18"/>
        </w:rPr>
        <w:t>% годовых</w:t>
      </w:r>
      <w:r>
        <w:rPr>
          <w:color w:val="000000" w:themeColor="text1"/>
          <w:sz w:val="18"/>
          <w:szCs w:val="18"/>
        </w:rPr>
        <w:t>)</w:t>
      </w:r>
    </w:p>
    <w:tbl>
      <w:tblPr>
        <w:tblStyle w:val="4"/>
        <w:tblW w:w="0" w:type="auto"/>
        <w:tblInd w:w="108" w:type="dxa"/>
        <w:tblLook w:val="04A0" w:firstRow="1" w:lastRow="0" w:firstColumn="1" w:lastColumn="0" w:noHBand="0" w:noVBand="1"/>
      </w:tblPr>
      <w:tblGrid>
        <w:gridCol w:w="1985"/>
        <w:gridCol w:w="1276"/>
        <w:gridCol w:w="1275"/>
        <w:gridCol w:w="1276"/>
        <w:gridCol w:w="1418"/>
        <w:gridCol w:w="1417"/>
        <w:gridCol w:w="1276"/>
      </w:tblGrid>
      <w:tr w:rsidR="004E4A8B" w:rsidRPr="004E4A8B" w:rsidTr="004E4A8B">
        <w:tc>
          <w:tcPr>
            <w:tcW w:w="1985" w:type="dxa"/>
            <w:vMerge w:val="restart"/>
          </w:tcPr>
          <w:p w:rsidR="004E4A8B" w:rsidRPr="004E4A8B" w:rsidRDefault="006F4F25" w:rsidP="004E4A8B">
            <w:pPr>
              <w:widowControl w:val="0"/>
              <w:overflowPunct w:val="0"/>
              <w:autoSpaceDE w:val="0"/>
              <w:autoSpaceDN w:val="0"/>
              <w:adjustRightInd w:val="0"/>
              <w:jc w:val="center"/>
              <w:textAlignment w:val="baseline"/>
              <w:rPr>
                <w:rFonts w:eastAsiaTheme="minorEastAsia"/>
                <w:sz w:val="18"/>
                <w:szCs w:val="18"/>
              </w:rPr>
            </w:pPr>
            <w:r>
              <w:rPr>
                <w:rFonts w:eastAsiaTheme="minorEastAsia"/>
                <w:sz w:val="18"/>
                <w:szCs w:val="18"/>
              </w:rPr>
              <w:t>Наименование показателя</w:t>
            </w:r>
          </w:p>
        </w:tc>
        <w:tc>
          <w:tcPr>
            <w:tcW w:w="7938" w:type="dxa"/>
            <w:gridSpan w:val="6"/>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Даты заседаний Совета директоров Банка России</w:t>
            </w:r>
          </w:p>
        </w:tc>
      </w:tr>
      <w:tr w:rsidR="004E4A8B" w:rsidRPr="004E4A8B" w:rsidTr="005803CB">
        <w:trPr>
          <w:trHeight w:val="227"/>
        </w:trPr>
        <w:tc>
          <w:tcPr>
            <w:tcW w:w="1985" w:type="dxa"/>
            <w:vMerge/>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p>
        </w:tc>
        <w:tc>
          <w:tcPr>
            <w:tcW w:w="1276"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14.02.2025</w:t>
            </w:r>
          </w:p>
        </w:tc>
        <w:tc>
          <w:tcPr>
            <w:tcW w:w="1275"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21.03.2025</w:t>
            </w:r>
          </w:p>
        </w:tc>
        <w:tc>
          <w:tcPr>
            <w:tcW w:w="1276"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25.04.2025</w:t>
            </w:r>
          </w:p>
        </w:tc>
        <w:tc>
          <w:tcPr>
            <w:tcW w:w="1418"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06.06.2025</w:t>
            </w:r>
          </w:p>
        </w:tc>
        <w:tc>
          <w:tcPr>
            <w:tcW w:w="1417"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25.07.2025</w:t>
            </w:r>
          </w:p>
        </w:tc>
        <w:tc>
          <w:tcPr>
            <w:tcW w:w="1276"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12.09.2025</w:t>
            </w:r>
          </w:p>
        </w:tc>
      </w:tr>
      <w:tr w:rsidR="004E4A8B" w:rsidRPr="004E4A8B" w:rsidTr="005803CB">
        <w:trPr>
          <w:trHeight w:val="227"/>
        </w:trPr>
        <w:tc>
          <w:tcPr>
            <w:tcW w:w="1985"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Ключевая ставка</w:t>
            </w:r>
          </w:p>
        </w:tc>
        <w:tc>
          <w:tcPr>
            <w:tcW w:w="1276"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21%</w:t>
            </w:r>
          </w:p>
        </w:tc>
        <w:tc>
          <w:tcPr>
            <w:tcW w:w="1275"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21%</w:t>
            </w:r>
          </w:p>
        </w:tc>
        <w:tc>
          <w:tcPr>
            <w:tcW w:w="1276"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21%</w:t>
            </w:r>
          </w:p>
        </w:tc>
        <w:tc>
          <w:tcPr>
            <w:tcW w:w="1418"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20%</w:t>
            </w:r>
          </w:p>
        </w:tc>
        <w:tc>
          <w:tcPr>
            <w:tcW w:w="1417"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18%</w:t>
            </w:r>
          </w:p>
        </w:tc>
        <w:tc>
          <w:tcPr>
            <w:tcW w:w="1276" w:type="dxa"/>
          </w:tcPr>
          <w:p w:rsidR="004E4A8B" w:rsidRPr="004E4A8B" w:rsidRDefault="004E4A8B" w:rsidP="004E4A8B">
            <w:pPr>
              <w:widowControl w:val="0"/>
              <w:overflowPunct w:val="0"/>
              <w:autoSpaceDE w:val="0"/>
              <w:autoSpaceDN w:val="0"/>
              <w:adjustRightInd w:val="0"/>
              <w:jc w:val="center"/>
              <w:textAlignment w:val="baseline"/>
              <w:rPr>
                <w:rFonts w:eastAsiaTheme="minorEastAsia"/>
                <w:sz w:val="18"/>
                <w:szCs w:val="18"/>
              </w:rPr>
            </w:pPr>
            <w:r w:rsidRPr="004E4A8B">
              <w:rPr>
                <w:rFonts w:eastAsiaTheme="minorEastAsia"/>
                <w:sz w:val="18"/>
                <w:szCs w:val="18"/>
              </w:rPr>
              <w:t>17%</w:t>
            </w:r>
          </w:p>
        </w:tc>
      </w:tr>
    </w:tbl>
    <w:p w:rsidR="002B031E" w:rsidRPr="00104E28" w:rsidRDefault="002B031E" w:rsidP="00EF0B65">
      <w:pPr>
        <w:autoSpaceDE w:val="0"/>
        <w:autoSpaceDN w:val="0"/>
        <w:adjustRightInd w:val="0"/>
        <w:spacing w:line="360" w:lineRule="auto"/>
        <w:ind w:firstLine="709"/>
        <w:jc w:val="both"/>
        <w:rPr>
          <w:color w:val="000000" w:themeColor="text1"/>
          <w:sz w:val="10"/>
          <w:szCs w:val="10"/>
        </w:rPr>
      </w:pPr>
    </w:p>
    <w:p w:rsidR="00104E28" w:rsidRPr="00104E28" w:rsidRDefault="00104E28" w:rsidP="003E5FB2">
      <w:pPr>
        <w:autoSpaceDE w:val="0"/>
        <w:autoSpaceDN w:val="0"/>
        <w:adjustRightInd w:val="0"/>
        <w:spacing w:line="384" w:lineRule="auto"/>
        <w:ind w:firstLine="709"/>
        <w:jc w:val="both"/>
        <w:rPr>
          <w:color w:val="000000" w:themeColor="text1"/>
        </w:rPr>
      </w:pPr>
      <w:r w:rsidRPr="004E4A8B">
        <w:rPr>
          <w:b/>
          <w:color w:val="000000" w:themeColor="text1"/>
        </w:rPr>
        <w:t>2.1</w:t>
      </w:r>
      <w:r>
        <w:rPr>
          <w:b/>
          <w:color w:val="000000" w:themeColor="text1"/>
        </w:rPr>
        <w:t>5</w:t>
      </w:r>
      <w:r w:rsidRPr="004E4A8B">
        <w:rPr>
          <w:b/>
          <w:color w:val="000000" w:themeColor="text1"/>
        </w:rPr>
        <w:t>.</w:t>
      </w:r>
      <w:r>
        <w:rPr>
          <w:b/>
          <w:color w:val="000000" w:themeColor="text1"/>
        </w:rPr>
        <w:t>2.</w:t>
      </w:r>
      <w:r w:rsidRPr="004E4A8B">
        <w:rPr>
          <w:color w:val="000000" w:themeColor="text1"/>
        </w:rPr>
        <w:t> </w:t>
      </w:r>
      <w:r w:rsidRPr="00104E28">
        <w:rPr>
          <w:color w:val="000000" w:themeColor="text1"/>
        </w:rPr>
        <w:t>В составе проекта ОНЕГДКП 2026</w:t>
      </w:r>
      <w:r>
        <w:rPr>
          <w:color w:val="000000" w:themeColor="text1"/>
        </w:rPr>
        <w:t>–</w:t>
      </w:r>
      <w:r w:rsidRPr="00104E28">
        <w:rPr>
          <w:color w:val="000000" w:themeColor="text1"/>
        </w:rPr>
        <w:t>2028 разработан макроэкономический прогноз в составе базового сценария и трех альтернативных сценариев, которые различаются предпосылками в части внешних и внутренних условий – в зависимости от композиции и интенсивности шоков, с которыми может столкнуться экономика. В любом из сценариев денежно-кредитная политика будет направлена на возвращение инфляции к 4</w:t>
      </w:r>
      <w:r>
        <w:rPr>
          <w:color w:val="000000" w:themeColor="text1"/>
        </w:rPr>
        <w:t> </w:t>
      </w:r>
      <w:r w:rsidRPr="00104E28">
        <w:rPr>
          <w:color w:val="000000" w:themeColor="text1"/>
        </w:rPr>
        <w:t>% и ее устойчивое закрепление вблизи этого уровня. Набор мер и принимаемых решений будет корректироваться Банком России исходя из состояния российской экономики, динамики инфляции и основных показателей на финансовых рынках.</w:t>
      </w:r>
    </w:p>
    <w:p w:rsidR="00104E28" w:rsidRPr="00104E28" w:rsidRDefault="00B92BB6" w:rsidP="003E5FB2">
      <w:pPr>
        <w:autoSpaceDE w:val="0"/>
        <w:autoSpaceDN w:val="0"/>
        <w:adjustRightInd w:val="0"/>
        <w:spacing w:line="384" w:lineRule="auto"/>
        <w:ind w:firstLine="709"/>
        <w:jc w:val="both"/>
        <w:rPr>
          <w:color w:val="000000" w:themeColor="text1"/>
        </w:rPr>
      </w:pPr>
      <w:r w:rsidRPr="004E4A8B">
        <w:rPr>
          <w:b/>
          <w:color w:val="000000" w:themeColor="text1"/>
        </w:rPr>
        <w:t>2.1</w:t>
      </w:r>
      <w:r>
        <w:rPr>
          <w:b/>
          <w:color w:val="000000" w:themeColor="text1"/>
        </w:rPr>
        <w:t>5</w:t>
      </w:r>
      <w:r w:rsidRPr="004E4A8B">
        <w:rPr>
          <w:b/>
          <w:color w:val="000000" w:themeColor="text1"/>
        </w:rPr>
        <w:t>.</w:t>
      </w:r>
      <w:r>
        <w:rPr>
          <w:b/>
          <w:color w:val="000000" w:themeColor="text1"/>
        </w:rPr>
        <w:t>2.1.</w:t>
      </w:r>
      <w:r w:rsidRPr="004E4A8B">
        <w:rPr>
          <w:color w:val="000000" w:themeColor="text1"/>
        </w:rPr>
        <w:t> </w:t>
      </w:r>
      <w:r w:rsidR="00104E28" w:rsidRPr="00104E28">
        <w:rPr>
          <w:color w:val="000000" w:themeColor="text1"/>
        </w:rPr>
        <w:t xml:space="preserve">В </w:t>
      </w:r>
      <w:r w:rsidR="00104E28" w:rsidRPr="00104E28">
        <w:rPr>
          <w:b/>
          <w:color w:val="000000" w:themeColor="text1"/>
        </w:rPr>
        <w:t>базовом сценарии</w:t>
      </w:r>
      <w:r w:rsidR="00104E28" w:rsidRPr="00104E28">
        <w:rPr>
          <w:color w:val="000000" w:themeColor="text1"/>
        </w:rPr>
        <w:t xml:space="preserve"> мировая экономика продолжает развиваться в рамках текущих трендов. Внешнеторговые противоречия между крупнейшими экономиками </w:t>
      </w:r>
      <w:r w:rsidR="00104E28" w:rsidRPr="0076493A">
        <w:rPr>
          <w:color w:val="000000" w:themeColor="text1"/>
        </w:rPr>
        <w:t>будут сдерживать рост выпуска в мировой экономике и международную торговлю. В результате р</w:t>
      </w:r>
      <w:r w:rsidR="00104E28" w:rsidRPr="00104E28">
        <w:rPr>
          <w:color w:val="000000" w:themeColor="text1"/>
        </w:rPr>
        <w:t>ост</w:t>
      </w:r>
      <w:r w:rsidR="00C60ECA">
        <w:rPr>
          <w:color w:val="000000" w:themeColor="text1"/>
        </w:rPr>
        <w:t>а</w:t>
      </w:r>
      <w:r w:rsidR="00104E28" w:rsidRPr="00104E28">
        <w:rPr>
          <w:color w:val="000000" w:themeColor="text1"/>
        </w:rPr>
        <w:t xml:space="preserve"> мировой экономики ожидается несколько ниже средних исторических темпов. В российскую экономику это будет транслироваться через более низкие цены на нефть. Сохранение антироссийских санкций будет сдерживать рост экспорта и импорта и приводить к сохранению повышенных транзакционных издержек.  В базовом сценарии предполагается нормализация бюджетной политики с возвратом к формированию расходов в соответствии с бюджетным правилом.</w:t>
      </w:r>
    </w:p>
    <w:p w:rsidR="00104E28" w:rsidRPr="00104E28" w:rsidRDefault="00104E28" w:rsidP="003E5FB2">
      <w:pPr>
        <w:autoSpaceDE w:val="0"/>
        <w:autoSpaceDN w:val="0"/>
        <w:adjustRightInd w:val="0"/>
        <w:spacing w:line="384" w:lineRule="auto"/>
        <w:ind w:firstLine="709"/>
        <w:jc w:val="both"/>
        <w:rPr>
          <w:color w:val="000000" w:themeColor="text1"/>
        </w:rPr>
      </w:pPr>
      <w:r w:rsidRPr="00104E28">
        <w:rPr>
          <w:color w:val="000000" w:themeColor="text1"/>
        </w:rPr>
        <w:lastRenderedPageBreak/>
        <w:t>С учетом охлаждения экономики, наблюдаемого в первом полугодии 2025</w:t>
      </w:r>
      <w:r w:rsidR="003E790F">
        <w:rPr>
          <w:color w:val="000000" w:themeColor="text1"/>
        </w:rPr>
        <w:t> </w:t>
      </w:r>
      <w:r w:rsidRPr="00104E28">
        <w:rPr>
          <w:color w:val="000000" w:themeColor="text1"/>
        </w:rPr>
        <w:t>года, темпы роста ВВП в целом за 2025</w:t>
      </w:r>
      <w:r w:rsidR="003E790F">
        <w:rPr>
          <w:color w:val="000000" w:themeColor="text1"/>
        </w:rPr>
        <w:t> </w:t>
      </w:r>
      <w:r w:rsidRPr="00104E28">
        <w:rPr>
          <w:color w:val="000000" w:themeColor="text1"/>
        </w:rPr>
        <w:t>год замедлятся до 1,0</w:t>
      </w:r>
      <w:r w:rsidR="00C60ECA">
        <w:rPr>
          <w:color w:val="000000" w:themeColor="text1"/>
        </w:rPr>
        <w:t>–</w:t>
      </w:r>
      <w:r w:rsidRPr="00104E28">
        <w:rPr>
          <w:color w:val="000000" w:themeColor="text1"/>
        </w:rPr>
        <w:t>2,0</w:t>
      </w:r>
      <w:r w:rsidR="003E790F">
        <w:rPr>
          <w:color w:val="000000" w:themeColor="text1"/>
        </w:rPr>
        <w:t> </w:t>
      </w:r>
      <w:r w:rsidRPr="00104E28">
        <w:rPr>
          <w:color w:val="000000" w:themeColor="text1"/>
        </w:rPr>
        <w:t>% (4,3</w:t>
      </w:r>
      <w:r w:rsidR="003E790F">
        <w:rPr>
          <w:color w:val="000000" w:themeColor="text1"/>
        </w:rPr>
        <w:t> </w:t>
      </w:r>
      <w:r w:rsidRPr="00104E28">
        <w:rPr>
          <w:color w:val="000000" w:themeColor="text1"/>
        </w:rPr>
        <w:t>% в 2024</w:t>
      </w:r>
      <w:r w:rsidR="003E790F">
        <w:rPr>
          <w:color w:val="000000" w:themeColor="text1"/>
        </w:rPr>
        <w:t> </w:t>
      </w:r>
      <w:r w:rsidRPr="00104E28">
        <w:rPr>
          <w:color w:val="000000" w:themeColor="text1"/>
        </w:rPr>
        <w:t>году). В</w:t>
      </w:r>
      <w:r w:rsidR="003E790F">
        <w:rPr>
          <w:color w:val="000000" w:themeColor="text1"/>
        </w:rPr>
        <w:t> </w:t>
      </w:r>
      <w:r w:rsidRPr="00104E28">
        <w:rPr>
          <w:color w:val="000000" w:themeColor="text1"/>
        </w:rPr>
        <w:t>2026</w:t>
      </w:r>
      <w:r w:rsidR="003E790F">
        <w:rPr>
          <w:color w:val="000000" w:themeColor="text1"/>
        </w:rPr>
        <w:t> </w:t>
      </w:r>
      <w:r w:rsidRPr="00104E28">
        <w:rPr>
          <w:color w:val="000000" w:themeColor="text1"/>
        </w:rPr>
        <w:t>году умеренная динамика потребительского и инвестиционного спроса под влиянием жесткой денежно-кредитной политики 2025</w:t>
      </w:r>
      <w:r w:rsidR="003E790F">
        <w:rPr>
          <w:color w:val="000000" w:themeColor="text1"/>
        </w:rPr>
        <w:t> </w:t>
      </w:r>
      <w:r w:rsidRPr="00104E28">
        <w:rPr>
          <w:color w:val="000000" w:themeColor="text1"/>
        </w:rPr>
        <w:t>года приведет к дальнейшему замедлению роста ВВП до</w:t>
      </w:r>
      <w:r w:rsidR="003E790F">
        <w:rPr>
          <w:color w:val="000000" w:themeColor="text1"/>
        </w:rPr>
        <w:t> </w:t>
      </w:r>
      <w:r w:rsidRPr="00104E28">
        <w:rPr>
          <w:color w:val="000000" w:themeColor="text1"/>
        </w:rPr>
        <w:t>0,5</w:t>
      </w:r>
      <w:r w:rsidR="00C60ECA">
        <w:rPr>
          <w:color w:val="000000" w:themeColor="text1"/>
        </w:rPr>
        <w:t>–</w:t>
      </w:r>
      <w:r w:rsidRPr="00104E28">
        <w:rPr>
          <w:color w:val="000000" w:themeColor="text1"/>
        </w:rPr>
        <w:t>1,5</w:t>
      </w:r>
      <w:r w:rsidR="003E790F">
        <w:rPr>
          <w:color w:val="000000" w:themeColor="text1"/>
        </w:rPr>
        <w:t> %</w:t>
      </w:r>
      <w:r w:rsidRPr="00104E28">
        <w:rPr>
          <w:color w:val="000000" w:themeColor="text1"/>
        </w:rPr>
        <w:t>. В 2027 году, по оценкам Банка России, российская экономика выйдет на</w:t>
      </w:r>
      <w:r w:rsidR="00C60ECA">
        <w:rPr>
          <w:color w:val="000000" w:themeColor="text1"/>
        </w:rPr>
        <w:t> </w:t>
      </w:r>
      <w:r w:rsidRPr="00104E28">
        <w:rPr>
          <w:color w:val="000000" w:themeColor="text1"/>
        </w:rPr>
        <w:t>потенциальные темпы роста в 1,5</w:t>
      </w:r>
      <w:r w:rsidR="00C60ECA">
        <w:rPr>
          <w:color w:val="000000" w:themeColor="text1"/>
        </w:rPr>
        <w:t>–</w:t>
      </w:r>
      <w:r w:rsidRPr="00104E28">
        <w:rPr>
          <w:color w:val="000000" w:themeColor="text1"/>
        </w:rPr>
        <w:t>2,5</w:t>
      </w:r>
      <w:r w:rsidR="003E790F">
        <w:rPr>
          <w:color w:val="000000" w:themeColor="text1"/>
        </w:rPr>
        <w:t> </w:t>
      </w:r>
      <w:r w:rsidRPr="00104E28">
        <w:rPr>
          <w:color w:val="000000" w:themeColor="text1"/>
        </w:rPr>
        <w:t>%, которые сохранятся и в 2028 году.</w:t>
      </w:r>
    </w:p>
    <w:p w:rsidR="00104E28" w:rsidRPr="00104E28" w:rsidRDefault="00104E28" w:rsidP="003E5FB2">
      <w:pPr>
        <w:autoSpaceDE w:val="0"/>
        <w:autoSpaceDN w:val="0"/>
        <w:adjustRightInd w:val="0"/>
        <w:spacing w:line="384" w:lineRule="auto"/>
        <w:ind w:firstLine="709"/>
        <w:jc w:val="both"/>
        <w:rPr>
          <w:color w:val="000000" w:themeColor="text1"/>
        </w:rPr>
      </w:pPr>
      <w:r w:rsidRPr="00104E28">
        <w:rPr>
          <w:color w:val="000000" w:themeColor="text1"/>
        </w:rPr>
        <w:t>Счетная палата отмечает, что предусмотренные в базовом сценарии Банка России темпы экономического роста не позволят достигнуть показателя – обеспечение темпа роста ВВП выше среднемировых.</w:t>
      </w:r>
    </w:p>
    <w:p w:rsidR="00104E28" w:rsidRDefault="00104E28" w:rsidP="003E5FB2">
      <w:pPr>
        <w:autoSpaceDE w:val="0"/>
        <w:autoSpaceDN w:val="0"/>
        <w:adjustRightInd w:val="0"/>
        <w:spacing w:line="384" w:lineRule="auto"/>
        <w:ind w:firstLine="709"/>
        <w:jc w:val="both"/>
        <w:rPr>
          <w:color w:val="000000" w:themeColor="text1"/>
        </w:rPr>
      </w:pPr>
      <w:r w:rsidRPr="00104E28">
        <w:rPr>
          <w:color w:val="000000" w:themeColor="text1"/>
        </w:rPr>
        <w:t>Сравнение темпов роста ВВП России и мира представлено в следующей таблице.</w:t>
      </w:r>
    </w:p>
    <w:p w:rsidR="002B031E" w:rsidRPr="0076493A" w:rsidRDefault="0076493A" w:rsidP="00AE425B">
      <w:pPr>
        <w:keepNext/>
        <w:autoSpaceDE w:val="0"/>
        <w:autoSpaceDN w:val="0"/>
        <w:adjustRightInd w:val="0"/>
        <w:ind w:firstLine="709"/>
        <w:jc w:val="right"/>
        <w:rPr>
          <w:color w:val="000000" w:themeColor="text1"/>
          <w:sz w:val="18"/>
          <w:szCs w:val="18"/>
        </w:rPr>
      </w:pPr>
      <w:r>
        <w:rPr>
          <w:color w:val="000000" w:themeColor="text1"/>
          <w:sz w:val="18"/>
          <w:szCs w:val="18"/>
        </w:rPr>
        <w:t>(</w:t>
      </w:r>
      <w:r w:rsidRPr="0076493A">
        <w:rPr>
          <w:color w:val="000000" w:themeColor="text1"/>
          <w:sz w:val="18"/>
          <w:szCs w:val="18"/>
        </w:rPr>
        <w:t>% к предыдущему году</w:t>
      </w:r>
      <w:r>
        <w:rPr>
          <w:color w:val="000000" w:themeColor="text1"/>
          <w:sz w:val="18"/>
          <w:szCs w:val="18"/>
        </w:rPr>
        <w:t>)</w:t>
      </w:r>
    </w:p>
    <w:tbl>
      <w:tblPr>
        <w:tblStyle w:val="61"/>
        <w:tblW w:w="0" w:type="auto"/>
        <w:tblInd w:w="108" w:type="dxa"/>
        <w:tblLook w:val="04A0" w:firstRow="1" w:lastRow="0" w:firstColumn="1" w:lastColumn="0" w:noHBand="0" w:noVBand="1"/>
      </w:tblPr>
      <w:tblGrid>
        <w:gridCol w:w="4415"/>
        <w:gridCol w:w="972"/>
        <w:gridCol w:w="1134"/>
        <w:gridCol w:w="1134"/>
        <w:gridCol w:w="1134"/>
        <w:gridCol w:w="1134"/>
      </w:tblGrid>
      <w:tr w:rsidR="00CE3B2A" w:rsidRPr="00CE3B2A" w:rsidTr="00CE3B2A">
        <w:trPr>
          <w:trHeight w:val="283"/>
          <w:tblHeader/>
        </w:trPr>
        <w:tc>
          <w:tcPr>
            <w:tcW w:w="4415" w:type="dxa"/>
            <w:vMerge w:val="restart"/>
            <w:vAlign w:val="center"/>
            <w:hideMark/>
          </w:tcPr>
          <w:p w:rsidR="00CE3B2A" w:rsidRPr="00CE3B2A" w:rsidRDefault="006F4F25" w:rsidP="00AE425B">
            <w:pPr>
              <w:keepNext/>
              <w:jc w:val="center"/>
              <w:rPr>
                <w:b/>
                <w:sz w:val="18"/>
                <w:szCs w:val="18"/>
              </w:rPr>
            </w:pPr>
            <w:r w:rsidRPr="00CE3B2A">
              <w:rPr>
                <w:b/>
                <w:sz w:val="18"/>
                <w:szCs w:val="18"/>
              </w:rPr>
              <w:t>ОНЕГДКП 2026-2028 (базовый сценарий)</w:t>
            </w:r>
          </w:p>
        </w:tc>
        <w:tc>
          <w:tcPr>
            <w:tcW w:w="972" w:type="dxa"/>
            <w:vAlign w:val="center"/>
            <w:hideMark/>
          </w:tcPr>
          <w:p w:rsidR="00CE3B2A" w:rsidRPr="00CE3B2A" w:rsidRDefault="00CE3B2A" w:rsidP="00AE425B">
            <w:pPr>
              <w:keepNext/>
              <w:jc w:val="center"/>
              <w:rPr>
                <w:b/>
                <w:sz w:val="18"/>
                <w:szCs w:val="18"/>
              </w:rPr>
            </w:pPr>
            <w:r w:rsidRPr="00CE3B2A">
              <w:rPr>
                <w:b/>
                <w:sz w:val="18"/>
                <w:szCs w:val="18"/>
              </w:rPr>
              <w:t>2024</w:t>
            </w:r>
          </w:p>
        </w:tc>
        <w:tc>
          <w:tcPr>
            <w:tcW w:w="1134" w:type="dxa"/>
            <w:vAlign w:val="center"/>
          </w:tcPr>
          <w:p w:rsidR="00CE3B2A" w:rsidRPr="00CE3B2A" w:rsidRDefault="00CE3B2A" w:rsidP="00AE425B">
            <w:pPr>
              <w:keepNext/>
              <w:jc w:val="center"/>
              <w:rPr>
                <w:b/>
                <w:sz w:val="18"/>
                <w:szCs w:val="18"/>
              </w:rPr>
            </w:pPr>
            <w:r w:rsidRPr="00CE3B2A">
              <w:rPr>
                <w:b/>
                <w:sz w:val="18"/>
                <w:szCs w:val="18"/>
              </w:rPr>
              <w:t>2025</w:t>
            </w:r>
          </w:p>
        </w:tc>
        <w:tc>
          <w:tcPr>
            <w:tcW w:w="1134" w:type="dxa"/>
            <w:vAlign w:val="center"/>
          </w:tcPr>
          <w:p w:rsidR="00CE3B2A" w:rsidRPr="00CE3B2A" w:rsidRDefault="00CE3B2A" w:rsidP="00AE425B">
            <w:pPr>
              <w:keepNext/>
              <w:jc w:val="center"/>
              <w:rPr>
                <w:b/>
                <w:sz w:val="18"/>
                <w:szCs w:val="18"/>
              </w:rPr>
            </w:pPr>
            <w:r w:rsidRPr="00CE3B2A">
              <w:rPr>
                <w:b/>
                <w:sz w:val="18"/>
                <w:szCs w:val="18"/>
              </w:rPr>
              <w:t>2026</w:t>
            </w:r>
          </w:p>
        </w:tc>
        <w:tc>
          <w:tcPr>
            <w:tcW w:w="1134" w:type="dxa"/>
            <w:vAlign w:val="center"/>
          </w:tcPr>
          <w:p w:rsidR="00CE3B2A" w:rsidRPr="00CE3B2A" w:rsidRDefault="00CE3B2A" w:rsidP="00AE425B">
            <w:pPr>
              <w:keepNext/>
              <w:jc w:val="center"/>
              <w:rPr>
                <w:b/>
                <w:sz w:val="18"/>
                <w:szCs w:val="18"/>
              </w:rPr>
            </w:pPr>
            <w:r w:rsidRPr="00CE3B2A">
              <w:rPr>
                <w:b/>
                <w:sz w:val="18"/>
                <w:szCs w:val="18"/>
              </w:rPr>
              <w:t>2027</w:t>
            </w:r>
          </w:p>
        </w:tc>
        <w:tc>
          <w:tcPr>
            <w:tcW w:w="1134" w:type="dxa"/>
            <w:vAlign w:val="center"/>
          </w:tcPr>
          <w:p w:rsidR="00CE3B2A" w:rsidRPr="00CE3B2A" w:rsidRDefault="00CE3B2A" w:rsidP="00AE425B">
            <w:pPr>
              <w:keepNext/>
              <w:jc w:val="center"/>
              <w:rPr>
                <w:b/>
                <w:sz w:val="18"/>
                <w:szCs w:val="18"/>
              </w:rPr>
            </w:pPr>
            <w:r w:rsidRPr="00CE3B2A">
              <w:rPr>
                <w:b/>
                <w:sz w:val="18"/>
                <w:szCs w:val="18"/>
              </w:rPr>
              <w:t>2028</w:t>
            </w:r>
          </w:p>
        </w:tc>
      </w:tr>
      <w:tr w:rsidR="00CE3B2A" w:rsidRPr="00CE3B2A" w:rsidTr="00CE3B2A">
        <w:trPr>
          <w:trHeight w:val="283"/>
        </w:trPr>
        <w:tc>
          <w:tcPr>
            <w:tcW w:w="4415" w:type="dxa"/>
            <w:vMerge/>
          </w:tcPr>
          <w:p w:rsidR="00CE3B2A" w:rsidRPr="00CE3B2A" w:rsidRDefault="00CE3B2A" w:rsidP="00CE3B2A">
            <w:pPr>
              <w:rPr>
                <w:b/>
                <w:sz w:val="18"/>
                <w:szCs w:val="18"/>
              </w:rPr>
            </w:pPr>
          </w:p>
        </w:tc>
        <w:tc>
          <w:tcPr>
            <w:tcW w:w="972" w:type="dxa"/>
            <w:vAlign w:val="center"/>
          </w:tcPr>
          <w:p w:rsidR="00CE3B2A" w:rsidRPr="00CE3B2A" w:rsidRDefault="00CE3B2A" w:rsidP="00CE3B2A">
            <w:pPr>
              <w:jc w:val="center"/>
              <w:rPr>
                <w:b/>
                <w:sz w:val="18"/>
                <w:szCs w:val="18"/>
                <w:lang w:val="en-US"/>
              </w:rPr>
            </w:pPr>
            <w:r w:rsidRPr="00CE3B2A">
              <w:rPr>
                <w:b/>
                <w:sz w:val="18"/>
                <w:szCs w:val="18"/>
              </w:rPr>
              <w:t>факт</w:t>
            </w:r>
          </w:p>
        </w:tc>
        <w:tc>
          <w:tcPr>
            <w:tcW w:w="1134" w:type="dxa"/>
            <w:vAlign w:val="center"/>
          </w:tcPr>
          <w:p w:rsidR="00CE3B2A" w:rsidRPr="00CE3B2A" w:rsidRDefault="00CE3B2A" w:rsidP="00CE3B2A">
            <w:pPr>
              <w:jc w:val="center"/>
              <w:rPr>
                <w:b/>
                <w:sz w:val="18"/>
                <w:szCs w:val="18"/>
              </w:rPr>
            </w:pPr>
            <w:r w:rsidRPr="00CE3B2A">
              <w:rPr>
                <w:b/>
                <w:sz w:val="18"/>
                <w:szCs w:val="18"/>
              </w:rPr>
              <w:t>оценка</w:t>
            </w:r>
          </w:p>
        </w:tc>
        <w:tc>
          <w:tcPr>
            <w:tcW w:w="3402" w:type="dxa"/>
            <w:gridSpan w:val="3"/>
            <w:vAlign w:val="center"/>
          </w:tcPr>
          <w:p w:rsidR="00CE3B2A" w:rsidRPr="00CE3B2A" w:rsidRDefault="00CE3B2A" w:rsidP="00CE3B2A">
            <w:pPr>
              <w:jc w:val="center"/>
              <w:rPr>
                <w:b/>
                <w:sz w:val="18"/>
                <w:szCs w:val="18"/>
              </w:rPr>
            </w:pPr>
            <w:r w:rsidRPr="00CE3B2A">
              <w:rPr>
                <w:b/>
                <w:sz w:val="18"/>
                <w:szCs w:val="18"/>
              </w:rPr>
              <w:t>прогноз</w:t>
            </w:r>
          </w:p>
        </w:tc>
      </w:tr>
      <w:tr w:rsidR="00CE3B2A" w:rsidRPr="00CE3B2A" w:rsidTr="00CE3B2A">
        <w:trPr>
          <w:trHeight w:val="283"/>
        </w:trPr>
        <w:tc>
          <w:tcPr>
            <w:tcW w:w="4415" w:type="dxa"/>
          </w:tcPr>
          <w:p w:rsidR="00CE3B2A" w:rsidRPr="00CE3B2A" w:rsidRDefault="00CE3B2A" w:rsidP="00CE3B2A">
            <w:pPr>
              <w:rPr>
                <w:sz w:val="18"/>
                <w:szCs w:val="18"/>
              </w:rPr>
            </w:pPr>
            <w:r w:rsidRPr="00CE3B2A">
              <w:rPr>
                <w:sz w:val="18"/>
                <w:szCs w:val="18"/>
              </w:rPr>
              <w:t>ВВП, Россия</w:t>
            </w:r>
          </w:p>
        </w:tc>
        <w:tc>
          <w:tcPr>
            <w:tcW w:w="972" w:type="dxa"/>
            <w:vAlign w:val="center"/>
          </w:tcPr>
          <w:p w:rsidR="00CE3B2A" w:rsidRPr="00CE3B2A" w:rsidRDefault="00CE3B2A" w:rsidP="00CE3B2A">
            <w:pPr>
              <w:jc w:val="center"/>
              <w:rPr>
                <w:sz w:val="18"/>
                <w:szCs w:val="18"/>
              </w:rPr>
            </w:pPr>
            <w:r w:rsidRPr="00CE3B2A">
              <w:rPr>
                <w:sz w:val="18"/>
                <w:szCs w:val="18"/>
              </w:rPr>
              <w:t>4,3</w:t>
            </w:r>
          </w:p>
        </w:tc>
        <w:tc>
          <w:tcPr>
            <w:tcW w:w="1134" w:type="dxa"/>
            <w:vAlign w:val="center"/>
          </w:tcPr>
          <w:p w:rsidR="00CE3B2A" w:rsidRPr="00CE3B2A" w:rsidRDefault="00CE3B2A" w:rsidP="00CE3B2A">
            <w:pPr>
              <w:jc w:val="center"/>
              <w:rPr>
                <w:sz w:val="18"/>
                <w:szCs w:val="18"/>
              </w:rPr>
            </w:pPr>
            <w:r w:rsidRPr="00CE3B2A">
              <w:rPr>
                <w:sz w:val="18"/>
                <w:szCs w:val="18"/>
              </w:rPr>
              <w:t>1,0-2,0</w:t>
            </w:r>
          </w:p>
        </w:tc>
        <w:tc>
          <w:tcPr>
            <w:tcW w:w="1134" w:type="dxa"/>
            <w:vAlign w:val="center"/>
          </w:tcPr>
          <w:p w:rsidR="00CE3B2A" w:rsidRPr="00CE3B2A" w:rsidRDefault="00CE3B2A" w:rsidP="00CE3B2A">
            <w:pPr>
              <w:jc w:val="center"/>
              <w:rPr>
                <w:sz w:val="18"/>
                <w:szCs w:val="18"/>
              </w:rPr>
            </w:pPr>
            <w:r w:rsidRPr="00CE3B2A">
              <w:rPr>
                <w:sz w:val="18"/>
                <w:szCs w:val="18"/>
              </w:rPr>
              <w:t>0,5-1,5</w:t>
            </w:r>
          </w:p>
        </w:tc>
        <w:tc>
          <w:tcPr>
            <w:tcW w:w="1134" w:type="dxa"/>
            <w:vAlign w:val="center"/>
          </w:tcPr>
          <w:p w:rsidR="00CE3B2A" w:rsidRPr="00CE3B2A" w:rsidRDefault="00CE3B2A" w:rsidP="00CE3B2A">
            <w:pPr>
              <w:jc w:val="center"/>
              <w:rPr>
                <w:sz w:val="18"/>
                <w:szCs w:val="18"/>
              </w:rPr>
            </w:pPr>
            <w:r w:rsidRPr="00CE3B2A">
              <w:rPr>
                <w:sz w:val="18"/>
                <w:szCs w:val="18"/>
              </w:rPr>
              <w:t>1,5-2,5</w:t>
            </w:r>
          </w:p>
        </w:tc>
        <w:tc>
          <w:tcPr>
            <w:tcW w:w="1134" w:type="dxa"/>
            <w:vAlign w:val="center"/>
          </w:tcPr>
          <w:p w:rsidR="00CE3B2A" w:rsidRPr="00CE3B2A" w:rsidRDefault="00CE3B2A" w:rsidP="00CE3B2A">
            <w:pPr>
              <w:jc w:val="center"/>
              <w:rPr>
                <w:sz w:val="18"/>
                <w:szCs w:val="18"/>
              </w:rPr>
            </w:pPr>
            <w:r w:rsidRPr="00CE3B2A">
              <w:rPr>
                <w:sz w:val="18"/>
                <w:szCs w:val="18"/>
              </w:rPr>
              <w:t>1,5-2,5</w:t>
            </w:r>
          </w:p>
        </w:tc>
      </w:tr>
      <w:tr w:rsidR="00CE3B2A" w:rsidRPr="00CE3B2A" w:rsidTr="00CE3B2A">
        <w:trPr>
          <w:trHeight w:val="283"/>
        </w:trPr>
        <w:tc>
          <w:tcPr>
            <w:tcW w:w="4415" w:type="dxa"/>
          </w:tcPr>
          <w:p w:rsidR="00CE3B2A" w:rsidRPr="00CE3B2A" w:rsidRDefault="00CE3B2A" w:rsidP="00CE3B2A">
            <w:pPr>
              <w:rPr>
                <w:sz w:val="18"/>
                <w:szCs w:val="18"/>
              </w:rPr>
            </w:pPr>
            <w:r w:rsidRPr="00CE3B2A">
              <w:rPr>
                <w:sz w:val="18"/>
                <w:szCs w:val="18"/>
              </w:rPr>
              <w:t>ВВП, мир</w:t>
            </w:r>
          </w:p>
        </w:tc>
        <w:tc>
          <w:tcPr>
            <w:tcW w:w="972" w:type="dxa"/>
            <w:vAlign w:val="center"/>
          </w:tcPr>
          <w:p w:rsidR="00CE3B2A" w:rsidRPr="00CE3B2A" w:rsidRDefault="00CE3B2A" w:rsidP="00CE3B2A">
            <w:pPr>
              <w:jc w:val="center"/>
              <w:rPr>
                <w:sz w:val="18"/>
                <w:szCs w:val="18"/>
              </w:rPr>
            </w:pPr>
            <w:r w:rsidRPr="00CE3B2A">
              <w:rPr>
                <w:sz w:val="18"/>
                <w:szCs w:val="18"/>
              </w:rPr>
              <w:t>3,2</w:t>
            </w:r>
          </w:p>
        </w:tc>
        <w:tc>
          <w:tcPr>
            <w:tcW w:w="1134" w:type="dxa"/>
            <w:vAlign w:val="center"/>
          </w:tcPr>
          <w:p w:rsidR="00CE3B2A" w:rsidRPr="00CE3B2A" w:rsidRDefault="00CE3B2A" w:rsidP="00CE3B2A">
            <w:pPr>
              <w:jc w:val="center"/>
              <w:rPr>
                <w:sz w:val="18"/>
                <w:szCs w:val="18"/>
              </w:rPr>
            </w:pPr>
            <w:r w:rsidRPr="00CE3B2A">
              <w:rPr>
                <w:sz w:val="18"/>
                <w:szCs w:val="18"/>
              </w:rPr>
              <w:t>3,1</w:t>
            </w:r>
          </w:p>
        </w:tc>
        <w:tc>
          <w:tcPr>
            <w:tcW w:w="1134" w:type="dxa"/>
            <w:vAlign w:val="center"/>
          </w:tcPr>
          <w:p w:rsidR="00CE3B2A" w:rsidRPr="00CE3B2A" w:rsidRDefault="00CE3B2A" w:rsidP="00CE3B2A">
            <w:pPr>
              <w:jc w:val="center"/>
              <w:rPr>
                <w:sz w:val="18"/>
                <w:szCs w:val="18"/>
              </w:rPr>
            </w:pPr>
            <w:r w:rsidRPr="00CE3B2A">
              <w:rPr>
                <w:sz w:val="18"/>
                <w:szCs w:val="18"/>
              </w:rPr>
              <w:t>2,9</w:t>
            </w:r>
          </w:p>
        </w:tc>
        <w:tc>
          <w:tcPr>
            <w:tcW w:w="1134" w:type="dxa"/>
            <w:vAlign w:val="center"/>
          </w:tcPr>
          <w:p w:rsidR="00CE3B2A" w:rsidRPr="00CE3B2A" w:rsidRDefault="00CE3B2A" w:rsidP="00CE3B2A">
            <w:pPr>
              <w:jc w:val="center"/>
              <w:rPr>
                <w:sz w:val="18"/>
                <w:szCs w:val="18"/>
              </w:rPr>
            </w:pPr>
            <w:r w:rsidRPr="00CE3B2A">
              <w:rPr>
                <w:sz w:val="18"/>
                <w:szCs w:val="18"/>
              </w:rPr>
              <w:t>3,2</w:t>
            </w:r>
          </w:p>
        </w:tc>
        <w:tc>
          <w:tcPr>
            <w:tcW w:w="1134" w:type="dxa"/>
            <w:vAlign w:val="center"/>
          </w:tcPr>
          <w:p w:rsidR="00CE3B2A" w:rsidRPr="00CE3B2A" w:rsidRDefault="00CE3B2A" w:rsidP="00CE3B2A">
            <w:pPr>
              <w:jc w:val="center"/>
              <w:rPr>
                <w:sz w:val="18"/>
                <w:szCs w:val="18"/>
              </w:rPr>
            </w:pPr>
            <w:r w:rsidRPr="00CE3B2A">
              <w:rPr>
                <w:sz w:val="18"/>
                <w:szCs w:val="18"/>
              </w:rPr>
              <w:t>2,9</w:t>
            </w:r>
          </w:p>
        </w:tc>
      </w:tr>
    </w:tbl>
    <w:p w:rsidR="00216925" w:rsidRPr="00CE3B2A" w:rsidRDefault="00216925" w:rsidP="00216925">
      <w:pPr>
        <w:autoSpaceDE w:val="0"/>
        <w:autoSpaceDN w:val="0"/>
        <w:adjustRightInd w:val="0"/>
        <w:spacing w:line="360" w:lineRule="auto"/>
        <w:ind w:firstLine="709"/>
        <w:jc w:val="both"/>
        <w:rPr>
          <w:color w:val="000000" w:themeColor="text1"/>
          <w:sz w:val="10"/>
          <w:szCs w:val="10"/>
        </w:rPr>
      </w:pPr>
    </w:p>
    <w:p w:rsidR="0053709D" w:rsidRPr="0053709D" w:rsidRDefault="0053709D" w:rsidP="003E5FB2">
      <w:pPr>
        <w:autoSpaceDE w:val="0"/>
        <w:autoSpaceDN w:val="0"/>
        <w:adjustRightInd w:val="0"/>
        <w:spacing w:line="384" w:lineRule="auto"/>
        <w:ind w:firstLine="709"/>
        <w:jc w:val="both"/>
        <w:rPr>
          <w:color w:val="000000" w:themeColor="text1"/>
        </w:rPr>
      </w:pPr>
      <w:r w:rsidRPr="0053709D">
        <w:rPr>
          <w:color w:val="000000" w:themeColor="text1"/>
        </w:rPr>
        <w:t>Необходимо также отметить, что оценка Банком России по сбалансированному росту для экономики России в диапазоне 1,5 – 2,5</w:t>
      </w:r>
      <w:r w:rsidR="00C60ECA">
        <w:rPr>
          <w:color w:val="000000" w:themeColor="text1"/>
        </w:rPr>
        <w:t> </w:t>
      </w:r>
      <w:r w:rsidRPr="0053709D">
        <w:rPr>
          <w:color w:val="000000" w:themeColor="text1"/>
        </w:rPr>
        <w:t>% остается неизменной уже на протяжении ряда лет. Однако, по мнению Счетной палаты, процессы структурной перестройки, которые происходят в России с</w:t>
      </w:r>
      <w:r>
        <w:rPr>
          <w:color w:val="000000" w:themeColor="text1"/>
        </w:rPr>
        <w:t> </w:t>
      </w:r>
      <w:r w:rsidRPr="0053709D">
        <w:rPr>
          <w:color w:val="000000" w:themeColor="text1"/>
        </w:rPr>
        <w:t>2022</w:t>
      </w:r>
      <w:r>
        <w:rPr>
          <w:color w:val="000000" w:themeColor="text1"/>
        </w:rPr>
        <w:t> </w:t>
      </w:r>
      <w:r w:rsidRPr="0053709D">
        <w:rPr>
          <w:color w:val="000000" w:themeColor="text1"/>
        </w:rPr>
        <w:t>года</w:t>
      </w:r>
      <w:r w:rsidR="004F7624">
        <w:rPr>
          <w:color w:val="000000" w:themeColor="text1"/>
        </w:rPr>
        <w:t>,</w:t>
      </w:r>
      <w:r w:rsidRPr="0053709D">
        <w:rPr>
          <w:color w:val="000000" w:themeColor="text1"/>
        </w:rPr>
        <w:t xml:space="preserve"> существенным образом влияют на потенциальные темпы роста экономики. В связи с этим денежно-кредитная политика, предусматриваемая в</w:t>
      </w:r>
      <w:r w:rsidR="00C60ECA">
        <w:rPr>
          <w:color w:val="000000" w:themeColor="text1"/>
        </w:rPr>
        <w:t> </w:t>
      </w:r>
      <w:r w:rsidRPr="0053709D">
        <w:rPr>
          <w:color w:val="000000" w:themeColor="text1"/>
        </w:rPr>
        <w:t>ОНЕГДКП</w:t>
      </w:r>
      <w:r w:rsidR="00C60ECA">
        <w:rPr>
          <w:color w:val="000000" w:themeColor="text1"/>
        </w:rPr>
        <w:t> </w:t>
      </w:r>
      <w:r w:rsidRPr="0053709D">
        <w:rPr>
          <w:color w:val="000000" w:themeColor="text1"/>
        </w:rPr>
        <w:t>2026</w:t>
      </w:r>
      <w:r w:rsidR="00C60ECA">
        <w:rPr>
          <w:color w:val="000000" w:themeColor="text1"/>
        </w:rPr>
        <w:t>–</w:t>
      </w:r>
      <w:r w:rsidRPr="0053709D">
        <w:rPr>
          <w:color w:val="000000" w:themeColor="text1"/>
        </w:rPr>
        <w:t>2028, может быть жесткой и ограничивать экономический рост. Кроме того, в</w:t>
      </w:r>
      <w:r w:rsidR="00C60ECA">
        <w:rPr>
          <w:color w:val="000000" w:themeColor="text1"/>
        </w:rPr>
        <w:t> </w:t>
      </w:r>
      <w:r w:rsidRPr="0053709D">
        <w:rPr>
          <w:color w:val="000000" w:themeColor="text1"/>
        </w:rPr>
        <w:t>ОНЕГДКП 2026</w:t>
      </w:r>
      <w:r w:rsidR="00C60ECA">
        <w:rPr>
          <w:color w:val="000000" w:themeColor="text1"/>
        </w:rPr>
        <w:t>–</w:t>
      </w:r>
      <w:r w:rsidRPr="0053709D">
        <w:rPr>
          <w:color w:val="000000" w:themeColor="text1"/>
        </w:rPr>
        <w:t>2028 отмечается, что наращивание основного капитала является одним из</w:t>
      </w:r>
      <w:r w:rsidR="00C60ECA">
        <w:rPr>
          <w:color w:val="000000" w:themeColor="text1"/>
        </w:rPr>
        <w:t> </w:t>
      </w:r>
      <w:r w:rsidRPr="0053709D">
        <w:rPr>
          <w:color w:val="000000" w:themeColor="text1"/>
        </w:rPr>
        <w:t>факторов повышения потенциальных темпов роста. При этом прирост инвестиций в</w:t>
      </w:r>
      <w:r w:rsidR="00C60ECA">
        <w:rPr>
          <w:color w:val="000000" w:themeColor="text1"/>
        </w:rPr>
        <w:t> </w:t>
      </w:r>
      <w:r w:rsidRPr="0053709D">
        <w:rPr>
          <w:color w:val="000000" w:themeColor="text1"/>
        </w:rPr>
        <w:t>основной капитал на</w:t>
      </w:r>
      <w:r w:rsidR="00C712F2">
        <w:rPr>
          <w:color w:val="000000" w:themeColor="text1"/>
        </w:rPr>
        <w:t> </w:t>
      </w:r>
      <w:r w:rsidRPr="0053709D">
        <w:rPr>
          <w:color w:val="000000" w:themeColor="text1"/>
        </w:rPr>
        <w:t>36,6 % за</w:t>
      </w:r>
      <w:r w:rsidR="00C712F2">
        <w:rPr>
          <w:color w:val="000000" w:themeColor="text1"/>
        </w:rPr>
        <w:t> </w:t>
      </w:r>
      <w:r w:rsidRPr="0053709D">
        <w:rPr>
          <w:color w:val="000000" w:themeColor="text1"/>
        </w:rPr>
        <w:t xml:space="preserve">2021–2024 годы никак не отразился на величине потенциального роста. </w:t>
      </w:r>
    </w:p>
    <w:p w:rsidR="00476314" w:rsidRPr="00476314" w:rsidRDefault="00476314" w:rsidP="003E5FB2">
      <w:pPr>
        <w:autoSpaceDE w:val="0"/>
        <w:autoSpaceDN w:val="0"/>
        <w:adjustRightInd w:val="0"/>
        <w:spacing w:line="384" w:lineRule="auto"/>
        <w:ind w:firstLine="709"/>
        <w:jc w:val="both"/>
        <w:rPr>
          <w:color w:val="000000" w:themeColor="text1"/>
        </w:rPr>
      </w:pPr>
      <w:r w:rsidRPr="00476314">
        <w:rPr>
          <w:color w:val="000000" w:themeColor="text1"/>
        </w:rPr>
        <w:t>По прогнозу Банка России, по итогам 2025</w:t>
      </w:r>
      <w:r>
        <w:rPr>
          <w:color w:val="000000" w:themeColor="text1"/>
        </w:rPr>
        <w:t> </w:t>
      </w:r>
      <w:r w:rsidRPr="00476314">
        <w:rPr>
          <w:color w:val="000000" w:themeColor="text1"/>
        </w:rPr>
        <w:t>года инфляция (к декабрю предыдущего года) сложится в диапазоне 6,0</w:t>
      </w:r>
      <w:r w:rsidR="00C60ECA">
        <w:rPr>
          <w:color w:val="000000" w:themeColor="text1"/>
        </w:rPr>
        <w:t>–</w:t>
      </w:r>
      <w:r w:rsidRPr="00476314">
        <w:rPr>
          <w:color w:val="000000" w:themeColor="text1"/>
        </w:rPr>
        <w:t>7,0</w:t>
      </w:r>
      <w:r>
        <w:rPr>
          <w:color w:val="000000" w:themeColor="text1"/>
        </w:rPr>
        <w:t> </w:t>
      </w:r>
      <w:r w:rsidRPr="00476314">
        <w:rPr>
          <w:color w:val="000000" w:themeColor="text1"/>
        </w:rPr>
        <w:t>%, а уже в декабре 2026 года снизится до целевого уровня в</w:t>
      </w:r>
      <w:r>
        <w:rPr>
          <w:color w:val="000000" w:themeColor="text1"/>
        </w:rPr>
        <w:t> </w:t>
      </w:r>
      <w:r w:rsidRPr="00476314">
        <w:rPr>
          <w:color w:val="000000" w:themeColor="text1"/>
        </w:rPr>
        <w:t>4,0</w:t>
      </w:r>
      <w:r>
        <w:rPr>
          <w:color w:val="000000" w:themeColor="text1"/>
        </w:rPr>
        <w:t> </w:t>
      </w:r>
      <w:r w:rsidRPr="00476314">
        <w:rPr>
          <w:color w:val="000000" w:themeColor="text1"/>
        </w:rPr>
        <w:t xml:space="preserve">% и будет находиться на нем в дальнейшем. Необходимо отметить, что в базовом сценарии учтено ускорение роста цен в </w:t>
      </w:r>
      <w:r w:rsidRPr="00476314">
        <w:rPr>
          <w:color w:val="000000" w:themeColor="text1"/>
          <w:lang w:val="en-US"/>
        </w:rPr>
        <w:t>III</w:t>
      </w:r>
      <w:r w:rsidRPr="00476314">
        <w:rPr>
          <w:color w:val="000000" w:themeColor="text1"/>
        </w:rPr>
        <w:t xml:space="preserve"> квартале 2025 года в результате индексации регулируемых цен и</w:t>
      </w:r>
      <w:r w:rsidR="00C60ECA">
        <w:rPr>
          <w:color w:val="000000" w:themeColor="text1"/>
        </w:rPr>
        <w:t> </w:t>
      </w:r>
      <w:r w:rsidRPr="00476314">
        <w:rPr>
          <w:color w:val="000000" w:themeColor="text1"/>
        </w:rPr>
        <w:t>тарифов. Однако в соответствии с Прогнозом в декабре 2025 года предусматривается дополнительная индексация тарифов на грузовые и пассажирские перевозки. По мнению Счетной палаты, учитывая параметры индексации регулируемых цен и тарифов, предусмотренные в Прогнозе, снижение инфляции до целевого уровня в 4</w:t>
      </w:r>
      <w:r>
        <w:rPr>
          <w:color w:val="000000" w:themeColor="text1"/>
        </w:rPr>
        <w:t> </w:t>
      </w:r>
      <w:r w:rsidRPr="00476314">
        <w:rPr>
          <w:color w:val="000000" w:themeColor="text1"/>
        </w:rPr>
        <w:t xml:space="preserve">% потребует более </w:t>
      </w:r>
      <w:r w:rsidRPr="00476314">
        <w:rPr>
          <w:color w:val="000000" w:themeColor="text1"/>
        </w:rPr>
        <w:lastRenderedPageBreak/>
        <w:t>жесткой денежно-кредитной политики. Это будет дополнительно ограничивать экономическую активность и, в конечном счете, может привести к сокращению ВВП.</w:t>
      </w:r>
    </w:p>
    <w:p w:rsidR="0076493A" w:rsidRPr="0076493A" w:rsidRDefault="00476314" w:rsidP="003E5FB2">
      <w:pPr>
        <w:autoSpaceDE w:val="0"/>
        <w:autoSpaceDN w:val="0"/>
        <w:adjustRightInd w:val="0"/>
        <w:spacing w:line="384" w:lineRule="auto"/>
        <w:ind w:firstLine="709"/>
        <w:jc w:val="both"/>
        <w:rPr>
          <w:color w:val="000000" w:themeColor="text1"/>
        </w:rPr>
      </w:pPr>
      <w:r w:rsidRPr="00476314">
        <w:rPr>
          <w:color w:val="000000" w:themeColor="text1"/>
        </w:rPr>
        <w:t>Прогноз Банка России в рамках базового сценария представлен в следующей таблице</w:t>
      </w:r>
      <w:r>
        <w:rPr>
          <w:color w:val="000000" w:themeColor="text1"/>
        </w:rPr>
        <w:t>.</w:t>
      </w:r>
    </w:p>
    <w:tbl>
      <w:tblPr>
        <w:tblStyle w:val="11"/>
        <w:tblW w:w="9816" w:type="dxa"/>
        <w:jc w:val="center"/>
        <w:tblLook w:val="04A0" w:firstRow="1" w:lastRow="0" w:firstColumn="1" w:lastColumn="0" w:noHBand="0" w:noVBand="1"/>
      </w:tblPr>
      <w:tblGrid>
        <w:gridCol w:w="3043"/>
        <w:gridCol w:w="1015"/>
        <w:gridCol w:w="1418"/>
        <w:gridCol w:w="1559"/>
        <w:gridCol w:w="1417"/>
        <w:gridCol w:w="1364"/>
      </w:tblGrid>
      <w:tr w:rsidR="00AE425B" w:rsidRPr="00476314" w:rsidTr="00AE425B">
        <w:trPr>
          <w:trHeight w:val="283"/>
          <w:tblHeader/>
          <w:jc w:val="center"/>
        </w:trPr>
        <w:tc>
          <w:tcPr>
            <w:tcW w:w="3043" w:type="dxa"/>
            <w:vMerge w:val="restart"/>
            <w:vAlign w:val="center"/>
            <w:hideMark/>
          </w:tcPr>
          <w:p w:rsidR="00AE425B" w:rsidRPr="00476314" w:rsidRDefault="00AE425B" w:rsidP="00AE425B">
            <w:pPr>
              <w:jc w:val="center"/>
              <w:rPr>
                <w:b/>
                <w:sz w:val="18"/>
                <w:szCs w:val="18"/>
              </w:rPr>
            </w:pPr>
            <w:r w:rsidRPr="00476314">
              <w:rPr>
                <w:b/>
                <w:sz w:val="18"/>
                <w:szCs w:val="18"/>
              </w:rPr>
              <w:t>Наименование показателя</w:t>
            </w:r>
          </w:p>
        </w:tc>
        <w:tc>
          <w:tcPr>
            <w:tcW w:w="1015" w:type="dxa"/>
            <w:hideMark/>
          </w:tcPr>
          <w:p w:rsidR="00AE425B" w:rsidRPr="00476314" w:rsidRDefault="00AE425B" w:rsidP="00476314">
            <w:pPr>
              <w:jc w:val="center"/>
              <w:rPr>
                <w:b/>
                <w:sz w:val="18"/>
                <w:szCs w:val="18"/>
              </w:rPr>
            </w:pPr>
            <w:r w:rsidRPr="00476314">
              <w:rPr>
                <w:b/>
                <w:sz w:val="18"/>
                <w:szCs w:val="18"/>
              </w:rPr>
              <w:t>2024</w:t>
            </w:r>
          </w:p>
        </w:tc>
        <w:tc>
          <w:tcPr>
            <w:tcW w:w="1418" w:type="dxa"/>
          </w:tcPr>
          <w:p w:rsidR="00AE425B" w:rsidRPr="00476314" w:rsidRDefault="00AE425B" w:rsidP="00476314">
            <w:pPr>
              <w:jc w:val="center"/>
              <w:rPr>
                <w:b/>
                <w:sz w:val="18"/>
                <w:szCs w:val="18"/>
              </w:rPr>
            </w:pPr>
            <w:r w:rsidRPr="00476314">
              <w:rPr>
                <w:b/>
                <w:sz w:val="18"/>
                <w:szCs w:val="18"/>
              </w:rPr>
              <w:t>2025</w:t>
            </w:r>
          </w:p>
        </w:tc>
        <w:tc>
          <w:tcPr>
            <w:tcW w:w="1559" w:type="dxa"/>
          </w:tcPr>
          <w:p w:rsidR="00AE425B" w:rsidRPr="00476314" w:rsidRDefault="00AE425B" w:rsidP="00476314">
            <w:pPr>
              <w:jc w:val="center"/>
              <w:rPr>
                <w:b/>
                <w:sz w:val="18"/>
                <w:szCs w:val="18"/>
              </w:rPr>
            </w:pPr>
            <w:r w:rsidRPr="00476314">
              <w:rPr>
                <w:b/>
                <w:sz w:val="18"/>
                <w:szCs w:val="18"/>
              </w:rPr>
              <w:t>2026</w:t>
            </w:r>
          </w:p>
        </w:tc>
        <w:tc>
          <w:tcPr>
            <w:tcW w:w="1417" w:type="dxa"/>
          </w:tcPr>
          <w:p w:rsidR="00AE425B" w:rsidRPr="00476314" w:rsidRDefault="00AE425B" w:rsidP="00476314">
            <w:pPr>
              <w:jc w:val="center"/>
              <w:rPr>
                <w:b/>
                <w:sz w:val="18"/>
                <w:szCs w:val="18"/>
              </w:rPr>
            </w:pPr>
            <w:r w:rsidRPr="00476314">
              <w:rPr>
                <w:b/>
                <w:sz w:val="18"/>
                <w:szCs w:val="18"/>
              </w:rPr>
              <w:t>2027</w:t>
            </w:r>
          </w:p>
        </w:tc>
        <w:tc>
          <w:tcPr>
            <w:tcW w:w="1364" w:type="dxa"/>
          </w:tcPr>
          <w:p w:rsidR="00AE425B" w:rsidRPr="00476314" w:rsidRDefault="00AE425B" w:rsidP="00476314">
            <w:pPr>
              <w:jc w:val="center"/>
              <w:rPr>
                <w:b/>
                <w:sz w:val="18"/>
                <w:szCs w:val="18"/>
              </w:rPr>
            </w:pPr>
            <w:r w:rsidRPr="00476314">
              <w:rPr>
                <w:b/>
                <w:sz w:val="18"/>
                <w:szCs w:val="18"/>
              </w:rPr>
              <w:t>2028</w:t>
            </w:r>
          </w:p>
        </w:tc>
      </w:tr>
      <w:tr w:rsidR="00AE425B" w:rsidRPr="00476314" w:rsidTr="00C712F2">
        <w:trPr>
          <w:tblHeader/>
          <w:jc w:val="center"/>
        </w:trPr>
        <w:tc>
          <w:tcPr>
            <w:tcW w:w="3043" w:type="dxa"/>
            <w:vMerge/>
            <w:vAlign w:val="center"/>
          </w:tcPr>
          <w:p w:rsidR="00AE425B" w:rsidRPr="00476314" w:rsidRDefault="00AE425B" w:rsidP="00476314">
            <w:pPr>
              <w:rPr>
                <w:sz w:val="18"/>
                <w:szCs w:val="18"/>
              </w:rPr>
            </w:pPr>
          </w:p>
        </w:tc>
        <w:tc>
          <w:tcPr>
            <w:tcW w:w="1015" w:type="dxa"/>
            <w:vAlign w:val="center"/>
          </w:tcPr>
          <w:p w:rsidR="00AE425B" w:rsidRPr="00476314" w:rsidRDefault="00AE425B" w:rsidP="00476314">
            <w:pPr>
              <w:jc w:val="center"/>
              <w:rPr>
                <w:sz w:val="18"/>
                <w:szCs w:val="18"/>
              </w:rPr>
            </w:pPr>
            <w:r w:rsidRPr="00476314">
              <w:rPr>
                <w:sz w:val="18"/>
                <w:szCs w:val="18"/>
              </w:rPr>
              <w:t>факт</w:t>
            </w:r>
          </w:p>
        </w:tc>
        <w:tc>
          <w:tcPr>
            <w:tcW w:w="1418" w:type="dxa"/>
            <w:vAlign w:val="center"/>
          </w:tcPr>
          <w:p w:rsidR="00AE425B" w:rsidRPr="00476314" w:rsidRDefault="00AE425B" w:rsidP="00476314">
            <w:pPr>
              <w:jc w:val="center"/>
              <w:rPr>
                <w:sz w:val="18"/>
                <w:szCs w:val="18"/>
              </w:rPr>
            </w:pPr>
            <w:r w:rsidRPr="00476314">
              <w:rPr>
                <w:sz w:val="18"/>
                <w:szCs w:val="18"/>
              </w:rPr>
              <w:t>оценка</w:t>
            </w:r>
          </w:p>
        </w:tc>
        <w:tc>
          <w:tcPr>
            <w:tcW w:w="4340" w:type="dxa"/>
            <w:gridSpan w:val="3"/>
            <w:vAlign w:val="center"/>
          </w:tcPr>
          <w:p w:rsidR="00AE425B" w:rsidRPr="00476314" w:rsidRDefault="00AE425B" w:rsidP="00476314">
            <w:pPr>
              <w:jc w:val="center"/>
              <w:rPr>
                <w:sz w:val="18"/>
                <w:szCs w:val="18"/>
              </w:rPr>
            </w:pPr>
            <w:r w:rsidRPr="00476314">
              <w:rPr>
                <w:sz w:val="18"/>
                <w:szCs w:val="18"/>
              </w:rPr>
              <w:t>прогноз</w:t>
            </w:r>
          </w:p>
        </w:tc>
      </w:tr>
      <w:tr w:rsidR="00476314" w:rsidRPr="00476314" w:rsidTr="00476314">
        <w:trPr>
          <w:jc w:val="center"/>
        </w:trPr>
        <w:tc>
          <w:tcPr>
            <w:tcW w:w="9816" w:type="dxa"/>
            <w:gridSpan w:val="6"/>
            <w:vAlign w:val="center"/>
          </w:tcPr>
          <w:p w:rsidR="00476314" w:rsidRPr="00476314" w:rsidRDefault="00476314" w:rsidP="00476314">
            <w:pPr>
              <w:rPr>
                <w:b/>
                <w:sz w:val="18"/>
                <w:szCs w:val="18"/>
              </w:rPr>
            </w:pPr>
            <w:r w:rsidRPr="00476314">
              <w:rPr>
                <w:b/>
                <w:sz w:val="18"/>
                <w:szCs w:val="18"/>
              </w:rPr>
              <w:t>Основные макроэкономические показатели (прирост в % к предыдущему году, если не указано иное)</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Цена нефти для налогообложения, в среднем за год, долл. США за баррель</w:t>
            </w:r>
          </w:p>
        </w:tc>
        <w:tc>
          <w:tcPr>
            <w:tcW w:w="1015" w:type="dxa"/>
            <w:vAlign w:val="center"/>
          </w:tcPr>
          <w:p w:rsidR="00476314" w:rsidRPr="00476314" w:rsidRDefault="00476314" w:rsidP="00476314">
            <w:pPr>
              <w:jc w:val="center"/>
              <w:rPr>
                <w:sz w:val="18"/>
                <w:szCs w:val="18"/>
              </w:rPr>
            </w:pPr>
            <w:r w:rsidRPr="00476314">
              <w:rPr>
                <w:sz w:val="18"/>
                <w:szCs w:val="18"/>
              </w:rPr>
              <w:t>68</w:t>
            </w:r>
          </w:p>
        </w:tc>
        <w:tc>
          <w:tcPr>
            <w:tcW w:w="1418" w:type="dxa"/>
            <w:vAlign w:val="center"/>
          </w:tcPr>
          <w:p w:rsidR="00476314" w:rsidRPr="00476314" w:rsidRDefault="00476314" w:rsidP="00476314">
            <w:pPr>
              <w:jc w:val="center"/>
              <w:rPr>
                <w:sz w:val="18"/>
                <w:szCs w:val="18"/>
              </w:rPr>
            </w:pPr>
            <w:r w:rsidRPr="00476314">
              <w:rPr>
                <w:sz w:val="18"/>
                <w:szCs w:val="18"/>
              </w:rPr>
              <w:t>55</w:t>
            </w:r>
          </w:p>
        </w:tc>
        <w:tc>
          <w:tcPr>
            <w:tcW w:w="1559" w:type="dxa"/>
            <w:vAlign w:val="center"/>
          </w:tcPr>
          <w:p w:rsidR="00476314" w:rsidRPr="00476314" w:rsidRDefault="00476314" w:rsidP="00476314">
            <w:pPr>
              <w:jc w:val="center"/>
              <w:rPr>
                <w:sz w:val="18"/>
                <w:szCs w:val="18"/>
              </w:rPr>
            </w:pPr>
            <w:r w:rsidRPr="00476314">
              <w:rPr>
                <w:sz w:val="18"/>
                <w:szCs w:val="18"/>
              </w:rPr>
              <w:t>55</w:t>
            </w:r>
          </w:p>
        </w:tc>
        <w:tc>
          <w:tcPr>
            <w:tcW w:w="1417" w:type="dxa"/>
            <w:vAlign w:val="center"/>
          </w:tcPr>
          <w:p w:rsidR="00476314" w:rsidRPr="00476314" w:rsidRDefault="00476314" w:rsidP="00476314">
            <w:pPr>
              <w:jc w:val="center"/>
              <w:rPr>
                <w:sz w:val="18"/>
                <w:szCs w:val="18"/>
              </w:rPr>
            </w:pPr>
            <w:r w:rsidRPr="00476314">
              <w:rPr>
                <w:sz w:val="18"/>
                <w:szCs w:val="18"/>
              </w:rPr>
              <w:t>60</w:t>
            </w:r>
          </w:p>
        </w:tc>
        <w:tc>
          <w:tcPr>
            <w:tcW w:w="1364" w:type="dxa"/>
            <w:vAlign w:val="center"/>
          </w:tcPr>
          <w:p w:rsidR="00476314" w:rsidRPr="00476314" w:rsidRDefault="00476314" w:rsidP="00476314">
            <w:pPr>
              <w:jc w:val="center"/>
              <w:rPr>
                <w:sz w:val="18"/>
                <w:szCs w:val="18"/>
              </w:rPr>
            </w:pPr>
            <w:r w:rsidRPr="00476314">
              <w:rPr>
                <w:sz w:val="18"/>
                <w:szCs w:val="18"/>
              </w:rPr>
              <w:t>60</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Инфляция, в %, декабрь к декабрю предыдущего года</w:t>
            </w:r>
          </w:p>
        </w:tc>
        <w:tc>
          <w:tcPr>
            <w:tcW w:w="1015" w:type="dxa"/>
            <w:vAlign w:val="center"/>
          </w:tcPr>
          <w:p w:rsidR="00476314" w:rsidRPr="00476314" w:rsidRDefault="00476314" w:rsidP="00476314">
            <w:pPr>
              <w:jc w:val="center"/>
              <w:rPr>
                <w:sz w:val="18"/>
                <w:szCs w:val="18"/>
                <w:lang w:val="en-US"/>
              </w:rPr>
            </w:pPr>
            <w:r w:rsidRPr="00476314">
              <w:rPr>
                <w:color w:val="000000"/>
                <w:sz w:val="18"/>
                <w:szCs w:val="18"/>
              </w:rPr>
              <w:t>9,5</w:t>
            </w:r>
          </w:p>
        </w:tc>
        <w:tc>
          <w:tcPr>
            <w:tcW w:w="1418" w:type="dxa"/>
            <w:vAlign w:val="center"/>
          </w:tcPr>
          <w:p w:rsidR="00476314" w:rsidRPr="00476314" w:rsidRDefault="00476314" w:rsidP="00476314">
            <w:pPr>
              <w:jc w:val="center"/>
              <w:rPr>
                <w:sz w:val="18"/>
                <w:szCs w:val="18"/>
              </w:rPr>
            </w:pPr>
            <w:r w:rsidRPr="00476314">
              <w:rPr>
                <w:color w:val="000000"/>
                <w:sz w:val="18"/>
                <w:szCs w:val="18"/>
              </w:rPr>
              <w:t>6,0–7,0</w:t>
            </w:r>
          </w:p>
        </w:tc>
        <w:tc>
          <w:tcPr>
            <w:tcW w:w="1559" w:type="dxa"/>
            <w:vAlign w:val="center"/>
          </w:tcPr>
          <w:p w:rsidR="00476314" w:rsidRPr="00476314" w:rsidRDefault="00476314" w:rsidP="00476314">
            <w:pPr>
              <w:jc w:val="center"/>
              <w:rPr>
                <w:sz w:val="18"/>
                <w:szCs w:val="18"/>
              </w:rPr>
            </w:pPr>
            <w:r w:rsidRPr="00476314">
              <w:rPr>
                <w:color w:val="000000"/>
                <w:sz w:val="18"/>
                <w:szCs w:val="18"/>
              </w:rPr>
              <w:t>4,0</w:t>
            </w:r>
          </w:p>
        </w:tc>
        <w:tc>
          <w:tcPr>
            <w:tcW w:w="1417" w:type="dxa"/>
            <w:vAlign w:val="center"/>
          </w:tcPr>
          <w:p w:rsidR="00476314" w:rsidRPr="00476314" w:rsidRDefault="00476314" w:rsidP="00476314">
            <w:pPr>
              <w:jc w:val="center"/>
              <w:rPr>
                <w:sz w:val="18"/>
                <w:szCs w:val="18"/>
              </w:rPr>
            </w:pPr>
            <w:r w:rsidRPr="00476314">
              <w:rPr>
                <w:color w:val="000000"/>
                <w:sz w:val="18"/>
                <w:szCs w:val="18"/>
              </w:rPr>
              <w:t>4,0</w:t>
            </w:r>
          </w:p>
        </w:tc>
        <w:tc>
          <w:tcPr>
            <w:tcW w:w="1364" w:type="dxa"/>
            <w:vAlign w:val="center"/>
          </w:tcPr>
          <w:p w:rsidR="00476314" w:rsidRPr="00476314" w:rsidRDefault="00476314" w:rsidP="00476314">
            <w:pPr>
              <w:jc w:val="center"/>
              <w:rPr>
                <w:sz w:val="18"/>
                <w:szCs w:val="18"/>
              </w:rPr>
            </w:pPr>
            <w:r w:rsidRPr="00476314">
              <w:rPr>
                <w:color w:val="000000"/>
                <w:sz w:val="18"/>
                <w:szCs w:val="18"/>
              </w:rPr>
              <w:t>4,0</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Ключевая ставка, в среднем за год, % годовых</w:t>
            </w:r>
          </w:p>
        </w:tc>
        <w:tc>
          <w:tcPr>
            <w:tcW w:w="1015" w:type="dxa"/>
            <w:vAlign w:val="center"/>
          </w:tcPr>
          <w:p w:rsidR="00476314" w:rsidRPr="00476314" w:rsidRDefault="00476314" w:rsidP="00476314">
            <w:pPr>
              <w:jc w:val="center"/>
              <w:rPr>
                <w:sz w:val="18"/>
                <w:szCs w:val="18"/>
              </w:rPr>
            </w:pPr>
            <w:r w:rsidRPr="00476314">
              <w:rPr>
                <w:sz w:val="18"/>
                <w:szCs w:val="18"/>
              </w:rPr>
              <w:t>17,5</w:t>
            </w:r>
          </w:p>
        </w:tc>
        <w:tc>
          <w:tcPr>
            <w:tcW w:w="1418" w:type="dxa"/>
            <w:vAlign w:val="center"/>
          </w:tcPr>
          <w:p w:rsidR="00476314" w:rsidRPr="00476314" w:rsidRDefault="00476314" w:rsidP="00476314">
            <w:pPr>
              <w:jc w:val="center"/>
              <w:rPr>
                <w:sz w:val="18"/>
                <w:szCs w:val="18"/>
              </w:rPr>
            </w:pPr>
            <w:r w:rsidRPr="00476314">
              <w:rPr>
                <w:sz w:val="18"/>
                <w:szCs w:val="18"/>
              </w:rPr>
              <w:t>18,8-19,6</w:t>
            </w:r>
          </w:p>
        </w:tc>
        <w:tc>
          <w:tcPr>
            <w:tcW w:w="1559" w:type="dxa"/>
            <w:vAlign w:val="center"/>
          </w:tcPr>
          <w:p w:rsidR="00476314" w:rsidRPr="00476314" w:rsidRDefault="00476314" w:rsidP="00476314">
            <w:pPr>
              <w:jc w:val="center"/>
              <w:rPr>
                <w:sz w:val="18"/>
                <w:szCs w:val="18"/>
              </w:rPr>
            </w:pPr>
            <w:r w:rsidRPr="00476314">
              <w:rPr>
                <w:sz w:val="18"/>
                <w:szCs w:val="18"/>
              </w:rPr>
              <w:t>12,0-13,0</w:t>
            </w:r>
          </w:p>
        </w:tc>
        <w:tc>
          <w:tcPr>
            <w:tcW w:w="1417" w:type="dxa"/>
            <w:vAlign w:val="center"/>
          </w:tcPr>
          <w:p w:rsidR="00476314" w:rsidRPr="00476314" w:rsidRDefault="00476314" w:rsidP="00476314">
            <w:pPr>
              <w:jc w:val="center"/>
              <w:rPr>
                <w:sz w:val="18"/>
                <w:szCs w:val="18"/>
              </w:rPr>
            </w:pPr>
            <w:r w:rsidRPr="00476314">
              <w:rPr>
                <w:sz w:val="18"/>
                <w:szCs w:val="18"/>
              </w:rPr>
              <w:t>7,5-8,5</w:t>
            </w:r>
          </w:p>
        </w:tc>
        <w:tc>
          <w:tcPr>
            <w:tcW w:w="1364" w:type="dxa"/>
            <w:vAlign w:val="center"/>
          </w:tcPr>
          <w:p w:rsidR="00476314" w:rsidRPr="00476314" w:rsidRDefault="00476314" w:rsidP="00476314">
            <w:pPr>
              <w:jc w:val="center"/>
              <w:rPr>
                <w:sz w:val="18"/>
                <w:szCs w:val="18"/>
              </w:rPr>
            </w:pPr>
            <w:r w:rsidRPr="00476314">
              <w:rPr>
                <w:sz w:val="18"/>
                <w:szCs w:val="18"/>
              </w:rPr>
              <w:t>7,5-8,5</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Валовой внутренний продукт</w:t>
            </w:r>
          </w:p>
        </w:tc>
        <w:tc>
          <w:tcPr>
            <w:tcW w:w="1015" w:type="dxa"/>
            <w:vAlign w:val="center"/>
          </w:tcPr>
          <w:p w:rsidR="00476314" w:rsidRPr="00476314" w:rsidRDefault="00476314" w:rsidP="00476314">
            <w:pPr>
              <w:jc w:val="center"/>
              <w:rPr>
                <w:sz w:val="18"/>
                <w:szCs w:val="18"/>
              </w:rPr>
            </w:pPr>
            <w:r w:rsidRPr="00476314">
              <w:rPr>
                <w:color w:val="000000"/>
                <w:sz w:val="18"/>
                <w:szCs w:val="18"/>
              </w:rPr>
              <w:t>4,3</w:t>
            </w:r>
          </w:p>
        </w:tc>
        <w:tc>
          <w:tcPr>
            <w:tcW w:w="1418" w:type="dxa"/>
            <w:vAlign w:val="center"/>
          </w:tcPr>
          <w:p w:rsidR="00476314" w:rsidRPr="00476314" w:rsidRDefault="00476314" w:rsidP="00476314">
            <w:pPr>
              <w:jc w:val="center"/>
              <w:rPr>
                <w:sz w:val="18"/>
                <w:szCs w:val="18"/>
              </w:rPr>
            </w:pPr>
            <w:r w:rsidRPr="00476314">
              <w:rPr>
                <w:color w:val="000000"/>
                <w:sz w:val="18"/>
                <w:szCs w:val="18"/>
              </w:rPr>
              <w:t>1,0–2,0</w:t>
            </w:r>
          </w:p>
        </w:tc>
        <w:tc>
          <w:tcPr>
            <w:tcW w:w="1559" w:type="dxa"/>
            <w:vAlign w:val="center"/>
          </w:tcPr>
          <w:p w:rsidR="00476314" w:rsidRPr="00476314" w:rsidRDefault="00476314" w:rsidP="00476314">
            <w:pPr>
              <w:jc w:val="center"/>
              <w:rPr>
                <w:sz w:val="18"/>
                <w:szCs w:val="18"/>
              </w:rPr>
            </w:pPr>
            <w:r w:rsidRPr="00476314">
              <w:rPr>
                <w:color w:val="000000"/>
                <w:sz w:val="18"/>
                <w:szCs w:val="18"/>
              </w:rPr>
              <w:t>0,5–1,5</w:t>
            </w:r>
          </w:p>
        </w:tc>
        <w:tc>
          <w:tcPr>
            <w:tcW w:w="1417" w:type="dxa"/>
            <w:vAlign w:val="center"/>
          </w:tcPr>
          <w:p w:rsidR="00476314" w:rsidRPr="00476314" w:rsidRDefault="00476314" w:rsidP="00476314">
            <w:pPr>
              <w:jc w:val="center"/>
              <w:rPr>
                <w:sz w:val="18"/>
                <w:szCs w:val="18"/>
              </w:rPr>
            </w:pPr>
            <w:r w:rsidRPr="00476314">
              <w:rPr>
                <w:color w:val="000000"/>
                <w:sz w:val="18"/>
                <w:szCs w:val="18"/>
              </w:rPr>
              <w:t>1,5–2,5</w:t>
            </w:r>
          </w:p>
        </w:tc>
        <w:tc>
          <w:tcPr>
            <w:tcW w:w="1364" w:type="dxa"/>
            <w:vAlign w:val="center"/>
          </w:tcPr>
          <w:p w:rsidR="00476314" w:rsidRPr="00476314" w:rsidRDefault="00476314" w:rsidP="00476314">
            <w:pPr>
              <w:jc w:val="center"/>
              <w:rPr>
                <w:sz w:val="18"/>
                <w:szCs w:val="18"/>
              </w:rPr>
            </w:pPr>
            <w:r w:rsidRPr="00476314">
              <w:rPr>
                <w:color w:val="000000"/>
                <w:sz w:val="18"/>
                <w:szCs w:val="18"/>
              </w:rPr>
              <w:t>1,5–2,5</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Расходы на конечное потребление</w:t>
            </w:r>
          </w:p>
        </w:tc>
        <w:tc>
          <w:tcPr>
            <w:tcW w:w="1015" w:type="dxa"/>
            <w:vAlign w:val="center"/>
          </w:tcPr>
          <w:p w:rsidR="00476314" w:rsidRPr="00476314" w:rsidRDefault="00476314" w:rsidP="00476314">
            <w:pPr>
              <w:jc w:val="center"/>
              <w:rPr>
                <w:sz w:val="18"/>
                <w:szCs w:val="18"/>
              </w:rPr>
            </w:pPr>
            <w:r w:rsidRPr="00476314">
              <w:rPr>
                <w:sz w:val="18"/>
                <w:szCs w:val="18"/>
              </w:rPr>
              <w:t>5,2</w:t>
            </w:r>
          </w:p>
        </w:tc>
        <w:tc>
          <w:tcPr>
            <w:tcW w:w="1418" w:type="dxa"/>
            <w:vAlign w:val="center"/>
          </w:tcPr>
          <w:p w:rsidR="00476314" w:rsidRPr="00476314" w:rsidRDefault="00476314" w:rsidP="00476314">
            <w:pPr>
              <w:jc w:val="center"/>
              <w:rPr>
                <w:sz w:val="18"/>
                <w:szCs w:val="18"/>
              </w:rPr>
            </w:pPr>
            <w:r w:rsidRPr="00476314">
              <w:rPr>
                <w:sz w:val="18"/>
                <w:szCs w:val="18"/>
              </w:rPr>
              <w:t>0,5-1,5</w:t>
            </w:r>
          </w:p>
        </w:tc>
        <w:tc>
          <w:tcPr>
            <w:tcW w:w="1559" w:type="dxa"/>
            <w:vAlign w:val="center"/>
          </w:tcPr>
          <w:p w:rsidR="00476314" w:rsidRPr="00476314" w:rsidRDefault="00476314" w:rsidP="00476314">
            <w:pPr>
              <w:jc w:val="center"/>
              <w:rPr>
                <w:sz w:val="18"/>
                <w:szCs w:val="18"/>
              </w:rPr>
            </w:pPr>
            <w:r w:rsidRPr="00476314">
              <w:rPr>
                <w:sz w:val="18"/>
                <w:szCs w:val="18"/>
              </w:rPr>
              <w:t>0,5-1,5</w:t>
            </w:r>
          </w:p>
        </w:tc>
        <w:tc>
          <w:tcPr>
            <w:tcW w:w="1417" w:type="dxa"/>
            <w:vAlign w:val="center"/>
          </w:tcPr>
          <w:p w:rsidR="00476314" w:rsidRPr="00476314" w:rsidRDefault="00476314" w:rsidP="00476314">
            <w:pPr>
              <w:jc w:val="center"/>
              <w:rPr>
                <w:sz w:val="18"/>
                <w:szCs w:val="18"/>
              </w:rPr>
            </w:pPr>
            <w:r w:rsidRPr="00476314">
              <w:rPr>
                <w:sz w:val="18"/>
                <w:szCs w:val="18"/>
              </w:rPr>
              <w:t>1,5-2,5</w:t>
            </w:r>
          </w:p>
        </w:tc>
        <w:tc>
          <w:tcPr>
            <w:tcW w:w="1364" w:type="dxa"/>
            <w:vAlign w:val="center"/>
          </w:tcPr>
          <w:p w:rsidR="00476314" w:rsidRPr="00476314" w:rsidRDefault="00476314" w:rsidP="00476314">
            <w:pPr>
              <w:jc w:val="center"/>
              <w:rPr>
                <w:sz w:val="18"/>
                <w:szCs w:val="18"/>
              </w:rPr>
            </w:pPr>
            <w:r w:rsidRPr="00476314">
              <w:rPr>
                <w:sz w:val="18"/>
                <w:szCs w:val="18"/>
              </w:rPr>
              <w:t>1,5-2,5</w:t>
            </w:r>
          </w:p>
        </w:tc>
      </w:tr>
      <w:tr w:rsidR="00476314" w:rsidRPr="00476314" w:rsidTr="00476314">
        <w:trPr>
          <w:jc w:val="center"/>
        </w:trPr>
        <w:tc>
          <w:tcPr>
            <w:tcW w:w="3043" w:type="dxa"/>
            <w:vAlign w:val="center"/>
          </w:tcPr>
          <w:p w:rsidR="00476314" w:rsidRPr="00476314" w:rsidRDefault="00476314" w:rsidP="00476314">
            <w:pPr>
              <w:ind w:left="311"/>
              <w:rPr>
                <w:sz w:val="18"/>
                <w:szCs w:val="18"/>
              </w:rPr>
            </w:pPr>
            <w:r w:rsidRPr="00476314">
              <w:rPr>
                <w:sz w:val="18"/>
                <w:szCs w:val="18"/>
              </w:rPr>
              <w:t>– домашних хозяйств</w:t>
            </w:r>
          </w:p>
        </w:tc>
        <w:tc>
          <w:tcPr>
            <w:tcW w:w="1015" w:type="dxa"/>
            <w:vAlign w:val="center"/>
          </w:tcPr>
          <w:p w:rsidR="00476314" w:rsidRPr="00476314" w:rsidRDefault="00476314" w:rsidP="00476314">
            <w:pPr>
              <w:jc w:val="center"/>
              <w:rPr>
                <w:sz w:val="18"/>
                <w:szCs w:val="18"/>
              </w:rPr>
            </w:pPr>
            <w:r w:rsidRPr="00476314">
              <w:rPr>
                <w:color w:val="000000"/>
                <w:sz w:val="18"/>
                <w:szCs w:val="18"/>
              </w:rPr>
              <w:t>5,4</w:t>
            </w:r>
          </w:p>
        </w:tc>
        <w:tc>
          <w:tcPr>
            <w:tcW w:w="1418" w:type="dxa"/>
            <w:vAlign w:val="center"/>
          </w:tcPr>
          <w:p w:rsidR="00476314" w:rsidRPr="00476314" w:rsidRDefault="00476314" w:rsidP="00476314">
            <w:pPr>
              <w:jc w:val="center"/>
              <w:rPr>
                <w:sz w:val="18"/>
                <w:szCs w:val="18"/>
              </w:rPr>
            </w:pPr>
            <w:r w:rsidRPr="00476314">
              <w:rPr>
                <w:color w:val="000000"/>
                <w:sz w:val="18"/>
                <w:szCs w:val="18"/>
              </w:rPr>
              <w:t>0,5–1,5</w:t>
            </w:r>
          </w:p>
        </w:tc>
        <w:tc>
          <w:tcPr>
            <w:tcW w:w="1559" w:type="dxa"/>
            <w:vAlign w:val="center"/>
          </w:tcPr>
          <w:p w:rsidR="00476314" w:rsidRPr="00476314" w:rsidRDefault="00476314" w:rsidP="00476314">
            <w:pPr>
              <w:jc w:val="center"/>
              <w:rPr>
                <w:sz w:val="18"/>
                <w:szCs w:val="18"/>
              </w:rPr>
            </w:pPr>
            <w:r w:rsidRPr="00476314">
              <w:rPr>
                <w:color w:val="000000"/>
                <w:sz w:val="18"/>
                <w:szCs w:val="18"/>
              </w:rPr>
              <w:t>0,5–1,5</w:t>
            </w:r>
          </w:p>
        </w:tc>
        <w:tc>
          <w:tcPr>
            <w:tcW w:w="1417" w:type="dxa"/>
            <w:vAlign w:val="center"/>
          </w:tcPr>
          <w:p w:rsidR="00476314" w:rsidRPr="00476314" w:rsidRDefault="00476314" w:rsidP="00476314">
            <w:pPr>
              <w:jc w:val="center"/>
              <w:rPr>
                <w:sz w:val="18"/>
                <w:szCs w:val="18"/>
              </w:rPr>
            </w:pPr>
            <w:r w:rsidRPr="00476314">
              <w:rPr>
                <w:color w:val="000000"/>
                <w:sz w:val="18"/>
                <w:szCs w:val="18"/>
              </w:rPr>
              <w:t>1,5–2,5</w:t>
            </w:r>
          </w:p>
        </w:tc>
        <w:tc>
          <w:tcPr>
            <w:tcW w:w="1364" w:type="dxa"/>
            <w:vAlign w:val="center"/>
          </w:tcPr>
          <w:p w:rsidR="00476314" w:rsidRPr="00476314" w:rsidRDefault="00476314" w:rsidP="00476314">
            <w:pPr>
              <w:jc w:val="center"/>
              <w:rPr>
                <w:sz w:val="18"/>
                <w:szCs w:val="18"/>
              </w:rPr>
            </w:pPr>
            <w:r w:rsidRPr="00476314">
              <w:rPr>
                <w:color w:val="000000"/>
                <w:sz w:val="18"/>
                <w:szCs w:val="18"/>
              </w:rPr>
              <w:t>1,5–2,5</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Валовое накопление</w:t>
            </w:r>
          </w:p>
        </w:tc>
        <w:tc>
          <w:tcPr>
            <w:tcW w:w="1015" w:type="dxa"/>
            <w:vAlign w:val="center"/>
          </w:tcPr>
          <w:p w:rsidR="00476314" w:rsidRPr="00476314" w:rsidRDefault="00476314" w:rsidP="00476314">
            <w:pPr>
              <w:jc w:val="center"/>
              <w:rPr>
                <w:sz w:val="18"/>
                <w:szCs w:val="18"/>
              </w:rPr>
            </w:pPr>
            <w:r w:rsidRPr="00476314">
              <w:rPr>
                <w:sz w:val="18"/>
                <w:szCs w:val="18"/>
              </w:rPr>
              <w:t>2,1</w:t>
            </w:r>
          </w:p>
        </w:tc>
        <w:tc>
          <w:tcPr>
            <w:tcW w:w="1418" w:type="dxa"/>
            <w:vAlign w:val="center"/>
          </w:tcPr>
          <w:p w:rsidR="00476314" w:rsidRPr="00476314" w:rsidRDefault="00476314" w:rsidP="00476314">
            <w:pPr>
              <w:jc w:val="center"/>
              <w:rPr>
                <w:sz w:val="18"/>
                <w:szCs w:val="18"/>
              </w:rPr>
            </w:pPr>
            <w:r w:rsidRPr="00476314">
              <w:rPr>
                <w:sz w:val="18"/>
                <w:szCs w:val="18"/>
              </w:rPr>
              <w:t>0,5-2,5</w:t>
            </w:r>
          </w:p>
        </w:tc>
        <w:tc>
          <w:tcPr>
            <w:tcW w:w="1559" w:type="dxa"/>
            <w:vAlign w:val="center"/>
          </w:tcPr>
          <w:p w:rsidR="00476314" w:rsidRPr="00476314" w:rsidRDefault="00476314" w:rsidP="00476314">
            <w:pPr>
              <w:jc w:val="center"/>
              <w:rPr>
                <w:sz w:val="18"/>
                <w:szCs w:val="18"/>
              </w:rPr>
            </w:pPr>
            <w:r w:rsidRPr="00476314">
              <w:rPr>
                <w:sz w:val="18"/>
                <w:szCs w:val="18"/>
              </w:rPr>
              <w:t>0,5-2,5</w:t>
            </w:r>
          </w:p>
        </w:tc>
        <w:tc>
          <w:tcPr>
            <w:tcW w:w="1417" w:type="dxa"/>
            <w:vAlign w:val="center"/>
          </w:tcPr>
          <w:p w:rsidR="00476314" w:rsidRPr="00476314" w:rsidRDefault="00476314" w:rsidP="00476314">
            <w:pPr>
              <w:jc w:val="center"/>
              <w:rPr>
                <w:sz w:val="18"/>
                <w:szCs w:val="18"/>
              </w:rPr>
            </w:pPr>
            <w:r w:rsidRPr="00476314">
              <w:rPr>
                <w:sz w:val="18"/>
                <w:szCs w:val="18"/>
              </w:rPr>
              <w:t>1,0-3,0</w:t>
            </w:r>
          </w:p>
        </w:tc>
        <w:tc>
          <w:tcPr>
            <w:tcW w:w="1364" w:type="dxa"/>
            <w:vAlign w:val="center"/>
          </w:tcPr>
          <w:p w:rsidR="00476314" w:rsidRPr="00476314" w:rsidRDefault="00476314" w:rsidP="00476314">
            <w:pPr>
              <w:jc w:val="center"/>
              <w:rPr>
                <w:sz w:val="18"/>
                <w:szCs w:val="18"/>
              </w:rPr>
            </w:pPr>
            <w:r w:rsidRPr="00476314">
              <w:rPr>
                <w:sz w:val="18"/>
                <w:szCs w:val="18"/>
              </w:rPr>
              <w:t>1,0-3,0</w:t>
            </w:r>
          </w:p>
        </w:tc>
      </w:tr>
      <w:tr w:rsidR="00476314" w:rsidRPr="00476314" w:rsidTr="00476314">
        <w:trPr>
          <w:jc w:val="center"/>
        </w:trPr>
        <w:tc>
          <w:tcPr>
            <w:tcW w:w="3043" w:type="dxa"/>
            <w:vAlign w:val="center"/>
          </w:tcPr>
          <w:p w:rsidR="00476314" w:rsidRPr="00476314" w:rsidRDefault="00476314" w:rsidP="00476314">
            <w:pPr>
              <w:ind w:left="311"/>
              <w:rPr>
                <w:sz w:val="18"/>
                <w:szCs w:val="18"/>
              </w:rPr>
            </w:pPr>
            <w:r w:rsidRPr="00476314">
              <w:rPr>
                <w:sz w:val="18"/>
                <w:szCs w:val="18"/>
              </w:rPr>
              <w:t>– основного капитала</w:t>
            </w:r>
          </w:p>
        </w:tc>
        <w:tc>
          <w:tcPr>
            <w:tcW w:w="1015" w:type="dxa"/>
            <w:vAlign w:val="center"/>
          </w:tcPr>
          <w:p w:rsidR="00476314" w:rsidRPr="00476314" w:rsidRDefault="00476314" w:rsidP="00476314">
            <w:pPr>
              <w:jc w:val="center"/>
              <w:rPr>
                <w:sz w:val="18"/>
                <w:szCs w:val="18"/>
              </w:rPr>
            </w:pPr>
            <w:r w:rsidRPr="00476314">
              <w:rPr>
                <w:color w:val="000000"/>
                <w:sz w:val="18"/>
                <w:szCs w:val="18"/>
              </w:rPr>
              <w:t>6,0</w:t>
            </w:r>
          </w:p>
        </w:tc>
        <w:tc>
          <w:tcPr>
            <w:tcW w:w="1418" w:type="dxa"/>
            <w:vAlign w:val="center"/>
          </w:tcPr>
          <w:p w:rsidR="00476314" w:rsidRPr="00476314" w:rsidRDefault="00476314" w:rsidP="00476314">
            <w:pPr>
              <w:jc w:val="center"/>
              <w:rPr>
                <w:sz w:val="18"/>
                <w:szCs w:val="18"/>
              </w:rPr>
            </w:pPr>
            <w:r w:rsidRPr="00476314">
              <w:rPr>
                <w:color w:val="000000"/>
                <w:sz w:val="18"/>
                <w:szCs w:val="18"/>
              </w:rPr>
              <w:t>1,5–3,5</w:t>
            </w:r>
          </w:p>
        </w:tc>
        <w:tc>
          <w:tcPr>
            <w:tcW w:w="1559" w:type="dxa"/>
            <w:vAlign w:val="center"/>
          </w:tcPr>
          <w:p w:rsidR="00476314" w:rsidRPr="00476314" w:rsidRDefault="00476314" w:rsidP="00476314">
            <w:pPr>
              <w:jc w:val="center"/>
              <w:rPr>
                <w:sz w:val="18"/>
                <w:szCs w:val="18"/>
              </w:rPr>
            </w:pPr>
            <w:r w:rsidRPr="00476314">
              <w:rPr>
                <w:color w:val="000000"/>
                <w:sz w:val="18"/>
                <w:szCs w:val="18"/>
              </w:rPr>
              <w:t>0,0–2,0</w:t>
            </w:r>
          </w:p>
        </w:tc>
        <w:tc>
          <w:tcPr>
            <w:tcW w:w="1417" w:type="dxa"/>
            <w:vAlign w:val="center"/>
          </w:tcPr>
          <w:p w:rsidR="00476314" w:rsidRPr="00476314" w:rsidRDefault="00476314" w:rsidP="00476314">
            <w:pPr>
              <w:jc w:val="center"/>
              <w:rPr>
                <w:sz w:val="18"/>
                <w:szCs w:val="18"/>
              </w:rPr>
            </w:pPr>
            <w:r w:rsidRPr="00476314">
              <w:rPr>
                <w:color w:val="000000"/>
                <w:sz w:val="18"/>
                <w:szCs w:val="18"/>
              </w:rPr>
              <w:t>1,0–3,0</w:t>
            </w:r>
          </w:p>
        </w:tc>
        <w:tc>
          <w:tcPr>
            <w:tcW w:w="1364" w:type="dxa"/>
            <w:vAlign w:val="center"/>
          </w:tcPr>
          <w:p w:rsidR="00476314" w:rsidRPr="00476314" w:rsidRDefault="00476314" w:rsidP="00476314">
            <w:pPr>
              <w:jc w:val="center"/>
              <w:rPr>
                <w:sz w:val="18"/>
                <w:szCs w:val="18"/>
              </w:rPr>
            </w:pPr>
            <w:r w:rsidRPr="00476314">
              <w:rPr>
                <w:color w:val="000000"/>
                <w:sz w:val="18"/>
                <w:szCs w:val="18"/>
              </w:rPr>
              <w:t>1,0–3,0</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Экспорт</w:t>
            </w:r>
          </w:p>
        </w:tc>
        <w:tc>
          <w:tcPr>
            <w:tcW w:w="1015" w:type="dxa"/>
            <w:vAlign w:val="center"/>
          </w:tcPr>
          <w:p w:rsidR="00476314" w:rsidRPr="00476314" w:rsidRDefault="00476314" w:rsidP="00476314">
            <w:pPr>
              <w:jc w:val="center"/>
              <w:rPr>
                <w:sz w:val="18"/>
                <w:szCs w:val="18"/>
              </w:rPr>
            </w:pPr>
            <w:r w:rsidRPr="00476314">
              <w:rPr>
                <w:sz w:val="18"/>
                <w:szCs w:val="18"/>
              </w:rPr>
              <w:t>-*</w:t>
            </w:r>
          </w:p>
        </w:tc>
        <w:tc>
          <w:tcPr>
            <w:tcW w:w="1418" w:type="dxa"/>
            <w:vAlign w:val="center"/>
          </w:tcPr>
          <w:p w:rsidR="00476314" w:rsidRPr="00476314" w:rsidRDefault="00476314" w:rsidP="00476314">
            <w:pPr>
              <w:jc w:val="center"/>
              <w:rPr>
                <w:sz w:val="18"/>
                <w:szCs w:val="18"/>
              </w:rPr>
            </w:pPr>
            <w:r w:rsidRPr="00476314">
              <w:rPr>
                <w:sz w:val="18"/>
                <w:szCs w:val="18"/>
              </w:rPr>
              <w:t>(-1,0)-1,0</w:t>
            </w:r>
          </w:p>
        </w:tc>
        <w:tc>
          <w:tcPr>
            <w:tcW w:w="1559" w:type="dxa"/>
            <w:vAlign w:val="center"/>
          </w:tcPr>
          <w:p w:rsidR="00476314" w:rsidRPr="00476314" w:rsidRDefault="00476314" w:rsidP="00476314">
            <w:pPr>
              <w:jc w:val="center"/>
              <w:rPr>
                <w:sz w:val="18"/>
                <w:szCs w:val="18"/>
              </w:rPr>
            </w:pPr>
            <w:r w:rsidRPr="00476314">
              <w:rPr>
                <w:sz w:val="18"/>
                <w:szCs w:val="18"/>
              </w:rPr>
              <w:t>0,5-2,5</w:t>
            </w:r>
          </w:p>
        </w:tc>
        <w:tc>
          <w:tcPr>
            <w:tcW w:w="1417" w:type="dxa"/>
            <w:vAlign w:val="center"/>
          </w:tcPr>
          <w:p w:rsidR="00476314" w:rsidRPr="00476314" w:rsidRDefault="00476314" w:rsidP="00476314">
            <w:pPr>
              <w:jc w:val="center"/>
              <w:rPr>
                <w:sz w:val="18"/>
                <w:szCs w:val="18"/>
              </w:rPr>
            </w:pPr>
            <w:r w:rsidRPr="00476314">
              <w:rPr>
                <w:sz w:val="18"/>
                <w:szCs w:val="18"/>
              </w:rPr>
              <w:t>1,0-3,0</w:t>
            </w:r>
          </w:p>
        </w:tc>
        <w:tc>
          <w:tcPr>
            <w:tcW w:w="1364" w:type="dxa"/>
            <w:vAlign w:val="center"/>
          </w:tcPr>
          <w:p w:rsidR="00476314" w:rsidRPr="00476314" w:rsidRDefault="00476314" w:rsidP="00476314">
            <w:pPr>
              <w:jc w:val="center"/>
              <w:rPr>
                <w:sz w:val="18"/>
                <w:szCs w:val="18"/>
              </w:rPr>
            </w:pPr>
            <w:r w:rsidRPr="00476314">
              <w:rPr>
                <w:sz w:val="18"/>
                <w:szCs w:val="18"/>
              </w:rPr>
              <w:t>1,0-3,0</w:t>
            </w:r>
          </w:p>
        </w:tc>
      </w:tr>
      <w:tr w:rsidR="00476314" w:rsidRPr="00476314" w:rsidTr="00AE425B">
        <w:trPr>
          <w:cantSplit/>
          <w:jc w:val="center"/>
        </w:trPr>
        <w:tc>
          <w:tcPr>
            <w:tcW w:w="3043" w:type="dxa"/>
            <w:vAlign w:val="center"/>
          </w:tcPr>
          <w:p w:rsidR="00476314" w:rsidRPr="00476314" w:rsidRDefault="00476314" w:rsidP="00476314">
            <w:pPr>
              <w:rPr>
                <w:sz w:val="18"/>
                <w:szCs w:val="18"/>
              </w:rPr>
            </w:pPr>
            <w:r w:rsidRPr="00476314">
              <w:rPr>
                <w:sz w:val="18"/>
                <w:szCs w:val="18"/>
              </w:rPr>
              <w:t>Импорт</w:t>
            </w:r>
          </w:p>
        </w:tc>
        <w:tc>
          <w:tcPr>
            <w:tcW w:w="1015" w:type="dxa"/>
            <w:vAlign w:val="center"/>
          </w:tcPr>
          <w:p w:rsidR="00476314" w:rsidRPr="00476314" w:rsidRDefault="00476314" w:rsidP="00476314">
            <w:pPr>
              <w:jc w:val="center"/>
              <w:rPr>
                <w:sz w:val="18"/>
                <w:szCs w:val="18"/>
              </w:rPr>
            </w:pPr>
            <w:r w:rsidRPr="00476314">
              <w:rPr>
                <w:sz w:val="18"/>
                <w:szCs w:val="18"/>
              </w:rPr>
              <w:t>-*</w:t>
            </w:r>
          </w:p>
        </w:tc>
        <w:tc>
          <w:tcPr>
            <w:tcW w:w="1418" w:type="dxa"/>
            <w:vAlign w:val="center"/>
          </w:tcPr>
          <w:p w:rsidR="00476314" w:rsidRPr="00476314" w:rsidRDefault="00476314" w:rsidP="00476314">
            <w:pPr>
              <w:jc w:val="center"/>
              <w:rPr>
                <w:sz w:val="18"/>
                <w:szCs w:val="18"/>
              </w:rPr>
            </w:pPr>
            <w:r w:rsidRPr="00476314">
              <w:rPr>
                <w:sz w:val="18"/>
                <w:szCs w:val="18"/>
              </w:rPr>
              <w:t>(-1,5)-0,5</w:t>
            </w:r>
          </w:p>
        </w:tc>
        <w:tc>
          <w:tcPr>
            <w:tcW w:w="1559" w:type="dxa"/>
            <w:vAlign w:val="center"/>
          </w:tcPr>
          <w:p w:rsidR="00476314" w:rsidRPr="00476314" w:rsidRDefault="00476314" w:rsidP="00476314">
            <w:pPr>
              <w:jc w:val="center"/>
              <w:rPr>
                <w:sz w:val="18"/>
                <w:szCs w:val="18"/>
              </w:rPr>
            </w:pPr>
            <w:r w:rsidRPr="00476314">
              <w:rPr>
                <w:sz w:val="18"/>
                <w:szCs w:val="18"/>
              </w:rPr>
              <w:t>0,5-2,5</w:t>
            </w:r>
          </w:p>
        </w:tc>
        <w:tc>
          <w:tcPr>
            <w:tcW w:w="1417" w:type="dxa"/>
            <w:vAlign w:val="center"/>
          </w:tcPr>
          <w:p w:rsidR="00476314" w:rsidRPr="00476314" w:rsidRDefault="00476314" w:rsidP="00476314">
            <w:pPr>
              <w:jc w:val="center"/>
              <w:rPr>
                <w:sz w:val="18"/>
                <w:szCs w:val="18"/>
              </w:rPr>
            </w:pPr>
            <w:r w:rsidRPr="00476314">
              <w:rPr>
                <w:sz w:val="18"/>
                <w:szCs w:val="18"/>
              </w:rPr>
              <w:t>1,0-3,0</w:t>
            </w:r>
          </w:p>
        </w:tc>
        <w:tc>
          <w:tcPr>
            <w:tcW w:w="1364" w:type="dxa"/>
            <w:vAlign w:val="center"/>
          </w:tcPr>
          <w:p w:rsidR="00476314" w:rsidRPr="00476314" w:rsidRDefault="00476314" w:rsidP="00476314">
            <w:pPr>
              <w:jc w:val="center"/>
              <w:rPr>
                <w:sz w:val="18"/>
                <w:szCs w:val="18"/>
              </w:rPr>
            </w:pPr>
            <w:r w:rsidRPr="00476314">
              <w:rPr>
                <w:sz w:val="18"/>
                <w:szCs w:val="18"/>
              </w:rPr>
              <w:t>1,0-3,0</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Денежная масса в национальном определении</w:t>
            </w:r>
          </w:p>
        </w:tc>
        <w:tc>
          <w:tcPr>
            <w:tcW w:w="1015" w:type="dxa"/>
            <w:vAlign w:val="center"/>
          </w:tcPr>
          <w:p w:rsidR="00476314" w:rsidRPr="00476314" w:rsidRDefault="00476314" w:rsidP="00476314">
            <w:pPr>
              <w:jc w:val="center"/>
              <w:rPr>
                <w:b/>
                <w:sz w:val="18"/>
                <w:szCs w:val="18"/>
              </w:rPr>
            </w:pPr>
            <w:r w:rsidRPr="00476314">
              <w:rPr>
                <w:color w:val="000000"/>
                <w:sz w:val="18"/>
                <w:szCs w:val="18"/>
              </w:rPr>
              <w:t>19,2</w:t>
            </w:r>
          </w:p>
        </w:tc>
        <w:tc>
          <w:tcPr>
            <w:tcW w:w="1418" w:type="dxa"/>
            <w:vAlign w:val="center"/>
          </w:tcPr>
          <w:p w:rsidR="00476314" w:rsidRPr="00476314" w:rsidRDefault="00476314" w:rsidP="00476314">
            <w:pPr>
              <w:jc w:val="center"/>
              <w:rPr>
                <w:b/>
                <w:sz w:val="18"/>
                <w:szCs w:val="18"/>
              </w:rPr>
            </w:pPr>
            <w:r w:rsidRPr="00476314">
              <w:rPr>
                <w:color w:val="000000"/>
                <w:sz w:val="18"/>
                <w:szCs w:val="18"/>
              </w:rPr>
              <w:t>6–9</w:t>
            </w:r>
          </w:p>
        </w:tc>
        <w:tc>
          <w:tcPr>
            <w:tcW w:w="1559" w:type="dxa"/>
            <w:vAlign w:val="center"/>
          </w:tcPr>
          <w:p w:rsidR="00476314" w:rsidRPr="00476314" w:rsidRDefault="00476314" w:rsidP="00476314">
            <w:pPr>
              <w:jc w:val="center"/>
              <w:rPr>
                <w:b/>
                <w:sz w:val="18"/>
                <w:szCs w:val="18"/>
              </w:rPr>
            </w:pPr>
            <w:r w:rsidRPr="00476314">
              <w:rPr>
                <w:color w:val="000000"/>
                <w:sz w:val="18"/>
                <w:szCs w:val="18"/>
              </w:rPr>
              <w:t>5–10</w:t>
            </w:r>
          </w:p>
        </w:tc>
        <w:tc>
          <w:tcPr>
            <w:tcW w:w="1417" w:type="dxa"/>
            <w:vAlign w:val="center"/>
          </w:tcPr>
          <w:p w:rsidR="00476314" w:rsidRPr="00476314" w:rsidRDefault="00476314" w:rsidP="00476314">
            <w:pPr>
              <w:jc w:val="center"/>
              <w:rPr>
                <w:b/>
                <w:sz w:val="18"/>
                <w:szCs w:val="18"/>
              </w:rPr>
            </w:pPr>
            <w:r w:rsidRPr="00476314">
              <w:rPr>
                <w:color w:val="000000"/>
                <w:sz w:val="18"/>
                <w:szCs w:val="18"/>
              </w:rPr>
              <w:t>7–12</w:t>
            </w:r>
          </w:p>
        </w:tc>
        <w:tc>
          <w:tcPr>
            <w:tcW w:w="1364" w:type="dxa"/>
            <w:vAlign w:val="center"/>
          </w:tcPr>
          <w:p w:rsidR="00476314" w:rsidRPr="00476314" w:rsidRDefault="00476314" w:rsidP="00476314">
            <w:pPr>
              <w:jc w:val="center"/>
              <w:rPr>
                <w:b/>
                <w:sz w:val="18"/>
                <w:szCs w:val="18"/>
              </w:rPr>
            </w:pPr>
            <w:r w:rsidRPr="00476314">
              <w:rPr>
                <w:color w:val="000000"/>
                <w:sz w:val="18"/>
                <w:szCs w:val="18"/>
              </w:rPr>
              <w:t>7–12</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Требования банковской системы к экономике в рублях и иностранной валюте, в том числе:</w:t>
            </w:r>
          </w:p>
        </w:tc>
        <w:tc>
          <w:tcPr>
            <w:tcW w:w="1015" w:type="dxa"/>
            <w:vAlign w:val="center"/>
          </w:tcPr>
          <w:p w:rsidR="00476314" w:rsidRPr="00476314" w:rsidRDefault="00476314" w:rsidP="00476314">
            <w:pPr>
              <w:jc w:val="center"/>
              <w:rPr>
                <w:b/>
                <w:sz w:val="18"/>
                <w:szCs w:val="18"/>
              </w:rPr>
            </w:pPr>
            <w:r w:rsidRPr="00476314">
              <w:rPr>
                <w:color w:val="000000"/>
                <w:sz w:val="18"/>
                <w:szCs w:val="18"/>
              </w:rPr>
              <w:t>16,5</w:t>
            </w:r>
          </w:p>
        </w:tc>
        <w:tc>
          <w:tcPr>
            <w:tcW w:w="1418" w:type="dxa"/>
            <w:vAlign w:val="center"/>
          </w:tcPr>
          <w:p w:rsidR="00476314" w:rsidRPr="00476314" w:rsidRDefault="00476314" w:rsidP="00476314">
            <w:pPr>
              <w:jc w:val="center"/>
              <w:rPr>
                <w:b/>
                <w:sz w:val="18"/>
                <w:szCs w:val="18"/>
              </w:rPr>
            </w:pPr>
            <w:r w:rsidRPr="00476314">
              <w:rPr>
                <w:color w:val="000000"/>
                <w:sz w:val="18"/>
                <w:szCs w:val="18"/>
              </w:rPr>
              <w:t>7–10</w:t>
            </w:r>
          </w:p>
        </w:tc>
        <w:tc>
          <w:tcPr>
            <w:tcW w:w="1559" w:type="dxa"/>
            <w:vAlign w:val="center"/>
          </w:tcPr>
          <w:p w:rsidR="00476314" w:rsidRPr="00476314" w:rsidRDefault="00476314" w:rsidP="00476314">
            <w:pPr>
              <w:jc w:val="center"/>
              <w:rPr>
                <w:b/>
                <w:sz w:val="18"/>
                <w:szCs w:val="18"/>
              </w:rPr>
            </w:pPr>
            <w:r w:rsidRPr="00476314">
              <w:rPr>
                <w:color w:val="000000"/>
                <w:sz w:val="18"/>
                <w:szCs w:val="18"/>
              </w:rPr>
              <w:t>6–11</w:t>
            </w:r>
          </w:p>
        </w:tc>
        <w:tc>
          <w:tcPr>
            <w:tcW w:w="1417" w:type="dxa"/>
            <w:vAlign w:val="center"/>
          </w:tcPr>
          <w:p w:rsidR="00476314" w:rsidRPr="00476314" w:rsidRDefault="00476314" w:rsidP="00476314">
            <w:pPr>
              <w:jc w:val="center"/>
              <w:rPr>
                <w:b/>
                <w:sz w:val="18"/>
                <w:szCs w:val="18"/>
              </w:rPr>
            </w:pPr>
            <w:r w:rsidRPr="00476314">
              <w:rPr>
                <w:color w:val="000000"/>
                <w:sz w:val="18"/>
                <w:szCs w:val="18"/>
              </w:rPr>
              <w:t>8–13</w:t>
            </w:r>
          </w:p>
        </w:tc>
        <w:tc>
          <w:tcPr>
            <w:tcW w:w="1364" w:type="dxa"/>
            <w:vAlign w:val="center"/>
          </w:tcPr>
          <w:p w:rsidR="00476314" w:rsidRPr="00476314" w:rsidRDefault="00476314" w:rsidP="00476314">
            <w:pPr>
              <w:jc w:val="center"/>
              <w:rPr>
                <w:b/>
                <w:sz w:val="18"/>
                <w:szCs w:val="18"/>
              </w:rPr>
            </w:pPr>
            <w:r w:rsidRPr="00476314">
              <w:rPr>
                <w:color w:val="000000"/>
                <w:sz w:val="18"/>
                <w:szCs w:val="18"/>
              </w:rPr>
              <w:t>8–13</w:t>
            </w:r>
          </w:p>
        </w:tc>
      </w:tr>
      <w:tr w:rsidR="00476314" w:rsidRPr="00476314" w:rsidTr="00476314">
        <w:trPr>
          <w:jc w:val="center"/>
        </w:trPr>
        <w:tc>
          <w:tcPr>
            <w:tcW w:w="3043" w:type="dxa"/>
            <w:vAlign w:val="center"/>
          </w:tcPr>
          <w:p w:rsidR="00476314" w:rsidRPr="00476314" w:rsidRDefault="00476314" w:rsidP="00476314">
            <w:pPr>
              <w:ind w:left="311"/>
              <w:rPr>
                <w:sz w:val="18"/>
                <w:szCs w:val="18"/>
              </w:rPr>
            </w:pPr>
            <w:r w:rsidRPr="00476314">
              <w:rPr>
                <w:sz w:val="18"/>
                <w:szCs w:val="18"/>
              </w:rPr>
              <w:t>– к организациям</w:t>
            </w:r>
          </w:p>
        </w:tc>
        <w:tc>
          <w:tcPr>
            <w:tcW w:w="1015" w:type="dxa"/>
            <w:vAlign w:val="center"/>
          </w:tcPr>
          <w:p w:rsidR="00476314" w:rsidRPr="00476314" w:rsidRDefault="00476314" w:rsidP="00476314">
            <w:pPr>
              <w:jc w:val="center"/>
              <w:rPr>
                <w:b/>
                <w:sz w:val="18"/>
                <w:szCs w:val="18"/>
              </w:rPr>
            </w:pPr>
            <w:r w:rsidRPr="00476314">
              <w:rPr>
                <w:color w:val="000000"/>
                <w:sz w:val="18"/>
                <w:szCs w:val="18"/>
              </w:rPr>
              <w:t>19,2</w:t>
            </w:r>
          </w:p>
        </w:tc>
        <w:tc>
          <w:tcPr>
            <w:tcW w:w="1418" w:type="dxa"/>
            <w:vAlign w:val="center"/>
          </w:tcPr>
          <w:p w:rsidR="00476314" w:rsidRPr="00476314" w:rsidRDefault="00476314" w:rsidP="00476314">
            <w:pPr>
              <w:jc w:val="center"/>
              <w:rPr>
                <w:b/>
                <w:sz w:val="18"/>
                <w:szCs w:val="18"/>
              </w:rPr>
            </w:pPr>
            <w:r w:rsidRPr="00476314">
              <w:rPr>
                <w:color w:val="000000"/>
                <w:sz w:val="18"/>
                <w:szCs w:val="18"/>
              </w:rPr>
              <w:t>9–12</w:t>
            </w:r>
          </w:p>
        </w:tc>
        <w:tc>
          <w:tcPr>
            <w:tcW w:w="1559" w:type="dxa"/>
            <w:vAlign w:val="center"/>
          </w:tcPr>
          <w:p w:rsidR="00476314" w:rsidRPr="00476314" w:rsidRDefault="00476314" w:rsidP="00476314">
            <w:pPr>
              <w:jc w:val="center"/>
              <w:rPr>
                <w:b/>
                <w:sz w:val="18"/>
                <w:szCs w:val="18"/>
              </w:rPr>
            </w:pPr>
            <w:r w:rsidRPr="00476314">
              <w:rPr>
                <w:color w:val="000000"/>
                <w:sz w:val="18"/>
                <w:szCs w:val="18"/>
              </w:rPr>
              <w:t>7–12</w:t>
            </w:r>
          </w:p>
        </w:tc>
        <w:tc>
          <w:tcPr>
            <w:tcW w:w="1417" w:type="dxa"/>
            <w:vAlign w:val="center"/>
          </w:tcPr>
          <w:p w:rsidR="00476314" w:rsidRPr="00476314" w:rsidRDefault="00476314" w:rsidP="00476314">
            <w:pPr>
              <w:jc w:val="center"/>
              <w:rPr>
                <w:b/>
                <w:sz w:val="18"/>
                <w:szCs w:val="18"/>
              </w:rPr>
            </w:pPr>
            <w:r w:rsidRPr="00476314">
              <w:rPr>
                <w:color w:val="000000"/>
                <w:sz w:val="18"/>
                <w:szCs w:val="18"/>
              </w:rPr>
              <w:t>8–13</w:t>
            </w:r>
          </w:p>
        </w:tc>
        <w:tc>
          <w:tcPr>
            <w:tcW w:w="1364" w:type="dxa"/>
            <w:vAlign w:val="center"/>
          </w:tcPr>
          <w:p w:rsidR="00476314" w:rsidRPr="00476314" w:rsidRDefault="00476314" w:rsidP="00476314">
            <w:pPr>
              <w:jc w:val="center"/>
              <w:rPr>
                <w:b/>
                <w:sz w:val="18"/>
                <w:szCs w:val="18"/>
              </w:rPr>
            </w:pPr>
            <w:r w:rsidRPr="00476314">
              <w:rPr>
                <w:color w:val="000000"/>
                <w:sz w:val="18"/>
                <w:szCs w:val="18"/>
              </w:rPr>
              <w:t>8–13</w:t>
            </w:r>
          </w:p>
        </w:tc>
      </w:tr>
      <w:tr w:rsidR="00476314" w:rsidRPr="00476314" w:rsidTr="00476314">
        <w:trPr>
          <w:jc w:val="center"/>
        </w:trPr>
        <w:tc>
          <w:tcPr>
            <w:tcW w:w="3043" w:type="dxa"/>
            <w:vAlign w:val="center"/>
          </w:tcPr>
          <w:p w:rsidR="00476314" w:rsidRPr="00476314" w:rsidRDefault="00476314" w:rsidP="00476314">
            <w:pPr>
              <w:ind w:left="311"/>
              <w:rPr>
                <w:sz w:val="18"/>
                <w:szCs w:val="18"/>
              </w:rPr>
            </w:pPr>
            <w:r w:rsidRPr="00476314">
              <w:rPr>
                <w:sz w:val="18"/>
                <w:szCs w:val="18"/>
              </w:rPr>
              <w:t>– к населению, в том числе:</w:t>
            </w:r>
          </w:p>
        </w:tc>
        <w:tc>
          <w:tcPr>
            <w:tcW w:w="1015" w:type="dxa"/>
            <w:vAlign w:val="center"/>
          </w:tcPr>
          <w:p w:rsidR="00476314" w:rsidRPr="00476314" w:rsidRDefault="00476314" w:rsidP="00476314">
            <w:pPr>
              <w:jc w:val="center"/>
              <w:rPr>
                <w:b/>
                <w:sz w:val="18"/>
                <w:szCs w:val="18"/>
              </w:rPr>
            </w:pPr>
            <w:r w:rsidRPr="00476314">
              <w:rPr>
                <w:color w:val="000000"/>
                <w:sz w:val="18"/>
                <w:szCs w:val="18"/>
              </w:rPr>
              <w:t>9,7</w:t>
            </w:r>
          </w:p>
        </w:tc>
        <w:tc>
          <w:tcPr>
            <w:tcW w:w="1418" w:type="dxa"/>
            <w:vAlign w:val="center"/>
          </w:tcPr>
          <w:p w:rsidR="00476314" w:rsidRPr="00476314" w:rsidRDefault="00476314" w:rsidP="00476314">
            <w:pPr>
              <w:jc w:val="center"/>
              <w:rPr>
                <w:b/>
                <w:sz w:val="18"/>
                <w:szCs w:val="18"/>
              </w:rPr>
            </w:pPr>
            <w:r w:rsidRPr="00476314">
              <w:rPr>
                <w:color w:val="000000"/>
                <w:sz w:val="18"/>
                <w:szCs w:val="18"/>
              </w:rPr>
              <w:t>1–4</w:t>
            </w:r>
          </w:p>
        </w:tc>
        <w:tc>
          <w:tcPr>
            <w:tcW w:w="1559" w:type="dxa"/>
            <w:vAlign w:val="center"/>
          </w:tcPr>
          <w:p w:rsidR="00476314" w:rsidRPr="00476314" w:rsidRDefault="00476314" w:rsidP="00476314">
            <w:pPr>
              <w:jc w:val="center"/>
              <w:rPr>
                <w:b/>
                <w:sz w:val="18"/>
                <w:szCs w:val="18"/>
              </w:rPr>
            </w:pPr>
            <w:r w:rsidRPr="00476314">
              <w:rPr>
                <w:color w:val="000000"/>
                <w:sz w:val="18"/>
                <w:szCs w:val="18"/>
              </w:rPr>
              <w:t>5–10</w:t>
            </w:r>
          </w:p>
        </w:tc>
        <w:tc>
          <w:tcPr>
            <w:tcW w:w="1417" w:type="dxa"/>
            <w:vAlign w:val="center"/>
          </w:tcPr>
          <w:p w:rsidR="00476314" w:rsidRPr="00476314" w:rsidRDefault="00476314" w:rsidP="00476314">
            <w:pPr>
              <w:jc w:val="center"/>
              <w:rPr>
                <w:b/>
                <w:sz w:val="18"/>
                <w:szCs w:val="18"/>
              </w:rPr>
            </w:pPr>
            <w:r w:rsidRPr="00476314">
              <w:rPr>
                <w:color w:val="000000"/>
                <w:sz w:val="18"/>
                <w:szCs w:val="18"/>
              </w:rPr>
              <w:t>8–13</w:t>
            </w:r>
          </w:p>
        </w:tc>
        <w:tc>
          <w:tcPr>
            <w:tcW w:w="1364" w:type="dxa"/>
            <w:vAlign w:val="center"/>
          </w:tcPr>
          <w:p w:rsidR="00476314" w:rsidRPr="00476314" w:rsidRDefault="00476314" w:rsidP="00476314">
            <w:pPr>
              <w:jc w:val="center"/>
              <w:rPr>
                <w:b/>
                <w:sz w:val="18"/>
                <w:szCs w:val="18"/>
              </w:rPr>
            </w:pPr>
            <w:r w:rsidRPr="00476314">
              <w:rPr>
                <w:color w:val="000000"/>
                <w:sz w:val="18"/>
                <w:szCs w:val="18"/>
              </w:rPr>
              <w:t>8–13</w:t>
            </w:r>
          </w:p>
        </w:tc>
      </w:tr>
      <w:tr w:rsidR="00476314" w:rsidRPr="00476314" w:rsidTr="00476314">
        <w:trPr>
          <w:jc w:val="center"/>
        </w:trPr>
        <w:tc>
          <w:tcPr>
            <w:tcW w:w="3043" w:type="dxa"/>
            <w:vAlign w:val="center"/>
          </w:tcPr>
          <w:p w:rsidR="00476314" w:rsidRPr="00476314" w:rsidRDefault="00476314" w:rsidP="00476314">
            <w:pPr>
              <w:ind w:left="594"/>
              <w:rPr>
                <w:sz w:val="18"/>
                <w:szCs w:val="18"/>
              </w:rPr>
            </w:pPr>
            <w:r w:rsidRPr="00476314">
              <w:rPr>
                <w:sz w:val="18"/>
                <w:szCs w:val="18"/>
              </w:rPr>
              <w:t>– ипотечные жилищные кредиты</w:t>
            </w:r>
          </w:p>
        </w:tc>
        <w:tc>
          <w:tcPr>
            <w:tcW w:w="1015" w:type="dxa"/>
            <w:vAlign w:val="center"/>
          </w:tcPr>
          <w:p w:rsidR="00476314" w:rsidRPr="00476314" w:rsidRDefault="00476314" w:rsidP="00476314">
            <w:pPr>
              <w:jc w:val="center"/>
              <w:rPr>
                <w:b/>
                <w:sz w:val="18"/>
                <w:szCs w:val="18"/>
              </w:rPr>
            </w:pPr>
            <w:r w:rsidRPr="00476314">
              <w:rPr>
                <w:color w:val="000000"/>
                <w:sz w:val="18"/>
                <w:szCs w:val="18"/>
              </w:rPr>
              <w:t>10,4</w:t>
            </w:r>
          </w:p>
        </w:tc>
        <w:tc>
          <w:tcPr>
            <w:tcW w:w="1418" w:type="dxa"/>
            <w:vAlign w:val="center"/>
          </w:tcPr>
          <w:p w:rsidR="00476314" w:rsidRPr="00476314" w:rsidRDefault="00476314" w:rsidP="00476314">
            <w:pPr>
              <w:jc w:val="center"/>
              <w:rPr>
                <w:b/>
                <w:sz w:val="18"/>
                <w:szCs w:val="18"/>
              </w:rPr>
            </w:pPr>
            <w:r w:rsidRPr="00476314">
              <w:rPr>
                <w:color w:val="000000"/>
                <w:sz w:val="18"/>
                <w:szCs w:val="18"/>
              </w:rPr>
              <w:t>3–6</w:t>
            </w:r>
          </w:p>
        </w:tc>
        <w:tc>
          <w:tcPr>
            <w:tcW w:w="1559" w:type="dxa"/>
            <w:vAlign w:val="center"/>
          </w:tcPr>
          <w:p w:rsidR="00476314" w:rsidRPr="00476314" w:rsidRDefault="00476314" w:rsidP="00476314">
            <w:pPr>
              <w:jc w:val="center"/>
              <w:rPr>
                <w:b/>
                <w:sz w:val="18"/>
                <w:szCs w:val="18"/>
              </w:rPr>
            </w:pPr>
            <w:r w:rsidRPr="00476314">
              <w:rPr>
                <w:color w:val="000000"/>
                <w:sz w:val="18"/>
                <w:szCs w:val="18"/>
              </w:rPr>
              <w:t>6–11</w:t>
            </w:r>
          </w:p>
        </w:tc>
        <w:tc>
          <w:tcPr>
            <w:tcW w:w="1417" w:type="dxa"/>
            <w:vAlign w:val="center"/>
          </w:tcPr>
          <w:p w:rsidR="00476314" w:rsidRPr="00476314" w:rsidRDefault="00476314" w:rsidP="00476314">
            <w:pPr>
              <w:jc w:val="center"/>
              <w:rPr>
                <w:b/>
                <w:sz w:val="18"/>
                <w:szCs w:val="18"/>
              </w:rPr>
            </w:pPr>
            <w:r w:rsidRPr="00476314">
              <w:rPr>
                <w:color w:val="000000"/>
                <w:sz w:val="18"/>
                <w:szCs w:val="18"/>
              </w:rPr>
              <w:t>10–15</w:t>
            </w:r>
          </w:p>
        </w:tc>
        <w:tc>
          <w:tcPr>
            <w:tcW w:w="1364" w:type="dxa"/>
            <w:vAlign w:val="center"/>
          </w:tcPr>
          <w:p w:rsidR="00476314" w:rsidRPr="00476314" w:rsidRDefault="00476314" w:rsidP="00476314">
            <w:pPr>
              <w:jc w:val="center"/>
              <w:rPr>
                <w:b/>
                <w:sz w:val="18"/>
                <w:szCs w:val="18"/>
              </w:rPr>
            </w:pPr>
            <w:r w:rsidRPr="00476314">
              <w:rPr>
                <w:color w:val="000000"/>
                <w:sz w:val="18"/>
                <w:szCs w:val="18"/>
              </w:rPr>
              <w:t>10–15</w:t>
            </w:r>
          </w:p>
        </w:tc>
      </w:tr>
      <w:tr w:rsidR="00476314" w:rsidRPr="00476314" w:rsidTr="00476314">
        <w:trPr>
          <w:jc w:val="center"/>
        </w:trPr>
        <w:tc>
          <w:tcPr>
            <w:tcW w:w="9816" w:type="dxa"/>
            <w:gridSpan w:val="6"/>
            <w:vAlign w:val="center"/>
          </w:tcPr>
          <w:p w:rsidR="00476314" w:rsidRPr="00476314" w:rsidRDefault="00476314" w:rsidP="00476314">
            <w:pPr>
              <w:rPr>
                <w:b/>
                <w:sz w:val="18"/>
                <w:szCs w:val="18"/>
              </w:rPr>
            </w:pPr>
            <w:r w:rsidRPr="00476314">
              <w:rPr>
                <w:b/>
                <w:sz w:val="18"/>
                <w:szCs w:val="18"/>
              </w:rPr>
              <w:t>Показатели платежного баланс (млрд долл. США)</w:t>
            </w:r>
          </w:p>
        </w:tc>
      </w:tr>
      <w:tr w:rsidR="00476314" w:rsidRPr="00476314" w:rsidTr="00476314">
        <w:trPr>
          <w:jc w:val="center"/>
        </w:trPr>
        <w:tc>
          <w:tcPr>
            <w:tcW w:w="3043" w:type="dxa"/>
            <w:vAlign w:val="center"/>
          </w:tcPr>
          <w:p w:rsidR="00476314" w:rsidRPr="00476314" w:rsidRDefault="00476314" w:rsidP="00476314">
            <w:pPr>
              <w:rPr>
                <w:sz w:val="18"/>
                <w:szCs w:val="18"/>
              </w:rPr>
            </w:pPr>
            <w:r w:rsidRPr="00476314">
              <w:rPr>
                <w:sz w:val="18"/>
                <w:szCs w:val="18"/>
              </w:rPr>
              <w:t>Счет текущих операций</w:t>
            </w:r>
          </w:p>
        </w:tc>
        <w:tc>
          <w:tcPr>
            <w:tcW w:w="1015" w:type="dxa"/>
            <w:vAlign w:val="center"/>
          </w:tcPr>
          <w:p w:rsidR="00476314" w:rsidRPr="00476314" w:rsidRDefault="00476314" w:rsidP="00476314">
            <w:pPr>
              <w:jc w:val="center"/>
              <w:rPr>
                <w:sz w:val="18"/>
                <w:szCs w:val="18"/>
              </w:rPr>
            </w:pPr>
            <w:r w:rsidRPr="00476314">
              <w:rPr>
                <w:color w:val="000000"/>
                <w:sz w:val="18"/>
                <w:szCs w:val="18"/>
              </w:rPr>
              <w:t>63</w:t>
            </w:r>
          </w:p>
        </w:tc>
        <w:tc>
          <w:tcPr>
            <w:tcW w:w="1418" w:type="dxa"/>
            <w:vAlign w:val="center"/>
          </w:tcPr>
          <w:p w:rsidR="00476314" w:rsidRPr="00476314" w:rsidRDefault="00476314" w:rsidP="00476314">
            <w:pPr>
              <w:jc w:val="center"/>
              <w:rPr>
                <w:sz w:val="18"/>
                <w:szCs w:val="18"/>
              </w:rPr>
            </w:pPr>
            <w:r w:rsidRPr="00476314">
              <w:rPr>
                <w:color w:val="000000"/>
                <w:sz w:val="18"/>
                <w:szCs w:val="18"/>
              </w:rPr>
              <w:t>33</w:t>
            </w:r>
          </w:p>
        </w:tc>
        <w:tc>
          <w:tcPr>
            <w:tcW w:w="1559" w:type="dxa"/>
            <w:vAlign w:val="center"/>
          </w:tcPr>
          <w:p w:rsidR="00476314" w:rsidRPr="00476314" w:rsidRDefault="00476314" w:rsidP="00476314">
            <w:pPr>
              <w:jc w:val="center"/>
              <w:rPr>
                <w:sz w:val="18"/>
                <w:szCs w:val="18"/>
              </w:rPr>
            </w:pPr>
            <w:r w:rsidRPr="00476314">
              <w:rPr>
                <w:color w:val="000000"/>
                <w:sz w:val="18"/>
                <w:szCs w:val="18"/>
              </w:rPr>
              <w:t>28</w:t>
            </w:r>
          </w:p>
        </w:tc>
        <w:tc>
          <w:tcPr>
            <w:tcW w:w="1417" w:type="dxa"/>
            <w:vAlign w:val="center"/>
          </w:tcPr>
          <w:p w:rsidR="00476314" w:rsidRPr="00476314" w:rsidRDefault="00476314" w:rsidP="00476314">
            <w:pPr>
              <w:jc w:val="center"/>
              <w:rPr>
                <w:sz w:val="18"/>
                <w:szCs w:val="18"/>
              </w:rPr>
            </w:pPr>
            <w:r w:rsidRPr="00476314">
              <w:rPr>
                <w:color w:val="000000"/>
                <w:sz w:val="18"/>
                <w:szCs w:val="18"/>
              </w:rPr>
              <w:t>32</w:t>
            </w:r>
          </w:p>
        </w:tc>
        <w:tc>
          <w:tcPr>
            <w:tcW w:w="1364" w:type="dxa"/>
            <w:vAlign w:val="center"/>
          </w:tcPr>
          <w:p w:rsidR="00476314" w:rsidRPr="00476314" w:rsidRDefault="00476314" w:rsidP="00476314">
            <w:pPr>
              <w:jc w:val="center"/>
              <w:rPr>
                <w:sz w:val="18"/>
                <w:szCs w:val="18"/>
              </w:rPr>
            </w:pPr>
            <w:r w:rsidRPr="00476314">
              <w:rPr>
                <w:color w:val="000000"/>
                <w:sz w:val="18"/>
                <w:szCs w:val="18"/>
              </w:rPr>
              <w:t>32</w:t>
            </w:r>
          </w:p>
        </w:tc>
      </w:tr>
      <w:tr w:rsidR="00476314" w:rsidRPr="00476314" w:rsidTr="00476314">
        <w:trPr>
          <w:jc w:val="center"/>
        </w:trPr>
        <w:tc>
          <w:tcPr>
            <w:tcW w:w="3043" w:type="dxa"/>
            <w:vAlign w:val="center"/>
          </w:tcPr>
          <w:p w:rsidR="00476314" w:rsidRPr="00476314" w:rsidRDefault="00476314" w:rsidP="00476314">
            <w:pPr>
              <w:ind w:firstLine="306"/>
              <w:rPr>
                <w:sz w:val="18"/>
                <w:szCs w:val="18"/>
              </w:rPr>
            </w:pPr>
            <w:r w:rsidRPr="00476314">
              <w:rPr>
                <w:sz w:val="18"/>
                <w:szCs w:val="18"/>
              </w:rPr>
              <w:t>Торговый баланс</w:t>
            </w:r>
          </w:p>
        </w:tc>
        <w:tc>
          <w:tcPr>
            <w:tcW w:w="1015" w:type="dxa"/>
            <w:vAlign w:val="center"/>
          </w:tcPr>
          <w:p w:rsidR="00476314" w:rsidRPr="00476314" w:rsidRDefault="00476314" w:rsidP="00476314">
            <w:pPr>
              <w:jc w:val="center"/>
              <w:rPr>
                <w:sz w:val="18"/>
                <w:szCs w:val="18"/>
              </w:rPr>
            </w:pPr>
            <w:r w:rsidRPr="00476314">
              <w:rPr>
                <w:sz w:val="18"/>
                <w:szCs w:val="18"/>
              </w:rPr>
              <w:t>133</w:t>
            </w:r>
          </w:p>
        </w:tc>
        <w:tc>
          <w:tcPr>
            <w:tcW w:w="1418" w:type="dxa"/>
            <w:vAlign w:val="center"/>
          </w:tcPr>
          <w:p w:rsidR="00476314" w:rsidRPr="00476314" w:rsidRDefault="00476314" w:rsidP="00476314">
            <w:pPr>
              <w:jc w:val="center"/>
              <w:rPr>
                <w:sz w:val="18"/>
                <w:szCs w:val="18"/>
              </w:rPr>
            </w:pPr>
            <w:r w:rsidRPr="00476314">
              <w:rPr>
                <w:sz w:val="18"/>
                <w:szCs w:val="18"/>
              </w:rPr>
              <w:t>104</w:t>
            </w:r>
          </w:p>
        </w:tc>
        <w:tc>
          <w:tcPr>
            <w:tcW w:w="1559" w:type="dxa"/>
            <w:vAlign w:val="center"/>
          </w:tcPr>
          <w:p w:rsidR="00476314" w:rsidRPr="00476314" w:rsidRDefault="00476314" w:rsidP="00476314">
            <w:pPr>
              <w:jc w:val="center"/>
              <w:rPr>
                <w:sz w:val="18"/>
                <w:szCs w:val="18"/>
              </w:rPr>
            </w:pPr>
            <w:r w:rsidRPr="00476314">
              <w:rPr>
                <w:sz w:val="18"/>
                <w:szCs w:val="18"/>
              </w:rPr>
              <w:t>102</w:t>
            </w:r>
          </w:p>
        </w:tc>
        <w:tc>
          <w:tcPr>
            <w:tcW w:w="1417" w:type="dxa"/>
            <w:vAlign w:val="center"/>
          </w:tcPr>
          <w:p w:rsidR="00476314" w:rsidRPr="00476314" w:rsidRDefault="00476314" w:rsidP="00476314">
            <w:pPr>
              <w:jc w:val="center"/>
              <w:rPr>
                <w:sz w:val="18"/>
                <w:szCs w:val="18"/>
              </w:rPr>
            </w:pPr>
            <w:r w:rsidRPr="00476314">
              <w:rPr>
                <w:sz w:val="18"/>
                <w:szCs w:val="18"/>
              </w:rPr>
              <w:t>111</w:t>
            </w:r>
          </w:p>
        </w:tc>
        <w:tc>
          <w:tcPr>
            <w:tcW w:w="1364" w:type="dxa"/>
            <w:vAlign w:val="center"/>
          </w:tcPr>
          <w:p w:rsidR="00476314" w:rsidRPr="00476314" w:rsidRDefault="00476314" w:rsidP="00476314">
            <w:pPr>
              <w:jc w:val="center"/>
              <w:rPr>
                <w:sz w:val="18"/>
                <w:szCs w:val="18"/>
              </w:rPr>
            </w:pPr>
            <w:r w:rsidRPr="00476314">
              <w:rPr>
                <w:sz w:val="18"/>
                <w:szCs w:val="18"/>
              </w:rPr>
              <w:t>110</w:t>
            </w:r>
          </w:p>
        </w:tc>
      </w:tr>
      <w:tr w:rsidR="00476314" w:rsidRPr="00476314" w:rsidTr="00476314">
        <w:trPr>
          <w:jc w:val="center"/>
        </w:trPr>
        <w:tc>
          <w:tcPr>
            <w:tcW w:w="3043" w:type="dxa"/>
            <w:vAlign w:val="center"/>
          </w:tcPr>
          <w:p w:rsidR="00476314" w:rsidRPr="00476314" w:rsidRDefault="00476314" w:rsidP="00476314">
            <w:pPr>
              <w:ind w:firstLine="589"/>
              <w:rPr>
                <w:sz w:val="18"/>
                <w:szCs w:val="18"/>
              </w:rPr>
            </w:pPr>
            <w:r w:rsidRPr="00476314">
              <w:rPr>
                <w:sz w:val="18"/>
                <w:szCs w:val="18"/>
              </w:rPr>
              <w:t>Экспорт</w:t>
            </w:r>
          </w:p>
        </w:tc>
        <w:tc>
          <w:tcPr>
            <w:tcW w:w="1015" w:type="dxa"/>
            <w:vAlign w:val="center"/>
          </w:tcPr>
          <w:p w:rsidR="00476314" w:rsidRPr="00476314" w:rsidRDefault="00476314" w:rsidP="00476314">
            <w:pPr>
              <w:jc w:val="center"/>
              <w:rPr>
                <w:sz w:val="18"/>
                <w:szCs w:val="18"/>
              </w:rPr>
            </w:pPr>
            <w:r w:rsidRPr="00476314">
              <w:rPr>
                <w:color w:val="000000"/>
                <w:sz w:val="18"/>
                <w:szCs w:val="18"/>
              </w:rPr>
              <w:t>433</w:t>
            </w:r>
          </w:p>
        </w:tc>
        <w:tc>
          <w:tcPr>
            <w:tcW w:w="1418" w:type="dxa"/>
            <w:vAlign w:val="center"/>
          </w:tcPr>
          <w:p w:rsidR="00476314" w:rsidRPr="00476314" w:rsidRDefault="00476314" w:rsidP="00476314">
            <w:pPr>
              <w:jc w:val="center"/>
              <w:rPr>
                <w:sz w:val="18"/>
                <w:szCs w:val="18"/>
              </w:rPr>
            </w:pPr>
            <w:r w:rsidRPr="00476314">
              <w:rPr>
                <w:color w:val="000000"/>
                <w:sz w:val="18"/>
                <w:szCs w:val="18"/>
              </w:rPr>
              <w:t>410</w:t>
            </w:r>
          </w:p>
        </w:tc>
        <w:tc>
          <w:tcPr>
            <w:tcW w:w="1559" w:type="dxa"/>
            <w:vAlign w:val="center"/>
          </w:tcPr>
          <w:p w:rsidR="00476314" w:rsidRPr="00476314" w:rsidRDefault="00476314" w:rsidP="00476314">
            <w:pPr>
              <w:jc w:val="center"/>
              <w:rPr>
                <w:sz w:val="18"/>
                <w:szCs w:val="18"/>
              </w:rPr>
            </w:pPr>
            <w:r w:rsidRPr="00476314">
              <w:rPr>
                <w:color w:val="000000"/>
                <w:sz w:val="18"/>
                <w:szCs w:val="18"/>
              </w:rPr>
              <w:t>419</w:t>
            </w:r>
          </w:p>
        </w:tc>
        <w:tc>
          <w:tcPr>
            <w:tcW w:w="1417" w:type="dxa"/>
            <w:vAlign w:val="center"/>
          </w:tcPr>
          <w:p w:rsidR="00476314" w:rsidRPr="00476314" w:rsidRDefault="00476314" w:rsidP="00476314">
            <w:pPr>
              <w:jc w:val="center"/>
              <w:rPr>
                <w:sz w:val="18"/>
                <w:szCs w:val="18"/>
              </w:rPr>
            </w:pPr>
            <w:r w:rsidRPr="00476314">
              <w:rPr>
                <w:color w:val="000000"/>
                <w:sz w:val="18"/>
                <w:szCs w:val="18"/>
              </w:rPr>
              <w:t>443</w:t>
            </w:r>
          </w:p>
        </w:tc>
        <w:tc>
          <w:tcPr>
            <w:tcW w:w="1364" w:type="dxa"/>
            <w:vAlign w:val="center"/>
          </w:tcPr>
          <w:p w:rsidR="00476314" w:rsidRPr="00476314" w:rsidRDefault="00476314" w:rsidP="00476314">
            <w:pPr>
              <w:jc w:val="center"/>
              <w:rPr>
                <w:sz w:val="18"/>
                <w:szCs w:val="18"/>
              </w:rPr>
            </w:pPr>
            <w:r w:rsidRPr="00476314">
              <w:rPr>
                <w:color w:val="000000"/>
                <w:sz w:val="18"/>
                <w:szCs w:val="18"/>
              </w:rPr>
              <w:t>458</w:t>
            </w:r>
          </w:p>
        </w:tc>
      </w:tr>
      <w:tr w:rsidR="00476314" w:rsidRPr="00476314" w:rsidTr="00476314">
        <w:trPr>
          <w:jc w:val="center"/>
        </w:trPr>
        <w:tc>
          <w:tcPr>
            <w:tcW w:w="3043" w:type="dxa"/>
            <w:vAlign w:val="center"/>
          </w:tcPr>
          <w:p w:rsidR="00476314" w:rsidRPr="00476314" w:rsidRDefault="00476314" w:rsidP="00476314">
            <w:pPr>
              <w:ind w:firstLine="589"/>
              <w:rPr>
                <w:sz w:val="18"/>
                <w:szCs w:val="18"/>
              </w:rPr>
            </w:pPr>
            <w:r w:rsidRPr="00476314">
              <w:rPr>
                <w:sz w:val="18"/>
                <w:szCs w:val="18"/>
              </w:rPr>
              <w:t>Импорт</w:t>
            </w:r>
          </w:p>
        </w:tc>
        <w:tc>
          <w:tcPr>
            <w:tcW w:w="1015" w:type="dxa"/>
            <w:vAlign w:val="center"/>
          </w:tcPr>
          <w:p w:rsidR="00476314" w:rsidRPr="00476314" w:rsidRDefault="00476314" w:rsidP="00476314">
            <w:pPr>
              <w:jc w:val="center"/>
              <w:rPr>
                <w:sz w:val="18"/>
                <w:szCs w:val="18"/>
              </w:rPr>
            </w:pPr>
            <w:r w:rsidRPr="00476314">
              <w:rPr>
                <w:color w:val="000000"/>
                <w:sz w:val="18"/>
                <w:szCs w:val="18"/>
              </w:rPr>
              <w:t>300</w:t>
            </w:r>
          </w:p>
        </w:tc>
        <w:tc>
          <w:tcPr>
            <w:tcW w:w="1418" w:type="dxa"/>
            <w:vAlign w:val="center"/>
          </w:tcPr>
          <w:p w:rsidR="00476314" w:rsidRPr="00476314" w:rsidRDefault="00476314" w:rsidP="00476314">
            <w:pPr>
              <w:jc w:val="center"/>
              <w:rPr>
                <w:sz w:val="18"/>
                <w:szCs w:val="18"/>
              </w:rPr>
            </w:pPr>
            <w:r w:rsidRPr="00476314">
              <w:rPr>
                <w:color w:val="000000"/>
                <w:sz w:val="18"/>
                <w:szCs w:val="18"/>
              </w:rPr>
              <w:t>306</w:t>
            </w:r>
          </w:p>
        </w:tc>
        <w:tc>
          <w:tcPr>
            <w:tcW w:w="1559" w:type="dxa"/>
            <w:vAlign w:val="center"/>
          </w:tcPr>
          <w:p w:rsidR="00476314" w:rsidRPr="00476314" w:rsidRDefault="00476314" w:rsidP="00476314">
            <w:pPr>
              <w:jc w:val="center"/>
              <w:rPr>
                <w:sz w:val="18"/>
                <w:szCs w:val="18"/>
              </w:rPr>
            </w:pPr>
            <w:r w:rsidRPr="00476314">
              <w:rPr>
                <w:color w:val="000000"/>
                <w:sz w:val="18"/>
                <w:szCs w:val="18"/>
              </w:rPr>
              <w:t>317</w:t>
            </w:r>
          </w:p>
        </w:tc>
        <w:tc>
          <w:tcPr>
            <w:tcW w:w="1417" w:type="dxa"/>
            <w:vAlign w:val="center"/>
          </w:tcPr>
          <w:p w:rsidR="00476314" w:rsidRPr="00476314" w:rsidRDefault="00476314" w:rsidP="00476314">
            <w:pPr>
              <w:jc w:val="center"/>
              <w:rPr>
                <w:sz w:val="18"/>
                <w:szCs w:val="18"/>
              </w:rPr>
            </w:pPr>
            <w:r w:rsidRPr="00476314">
              <w:rPr>
                <w:color w:val="000000"/>
                <w:sz w:val="18"/>
                <w:szCs w:val="18"/>
              </w:rPr>
              <w:t>332</w:t>
            </w:r>
          </w:p>
        </w:tc>
        <w:tc>
          <w:tcPr>
            <w:tcW w:w="1364" w:type="dxa"/>
            <w:vAlign w:val="center"/>
          </w:tcPr>
          <w:p w:rsidR="00476314" w:rsidRPr="00476314" w:rsidRDefault="00476314" w:rsidP="00476314">
            <w:pPr>
              <w:jc w:val="center"/>
              <w:rPr>
                <w:sz w:val="18"/>
                <w:szCs w:val="18"/>
              </w:rPr>
            </w:pPr>
            <w:r w:rsidRPr="00476314">
              <w:rPr>
                <w:color w:val="000000"/>
                <w:sz w:val="18"/>
                <w:szCs w:val="18"/>
              </w:rPr>
              <w:t>348</w:t>
            </w:r>
          </w:p>
        </w:tc>
      </w:tr>
      <w:tr w:rsidR="00476314" w:rsidRPr="00476314" w:rsidTr="00476314">
        <w:trPr>
          <w:jc w:val="center"/>
        </w:trPr>
        <w:tc>
          <w:tcPr>
            <w:tcW w:w="3043" w:type="dxa"/>
            <w:vAlign w:val="center"/>
          </w:tcPr>
          <w:p w:rsidR="00476314" w:rsidRPr="00476314" w:rsidRDefault="00476314" w:rsidP="00476314">
            <w:pPr>
              <w:ind w:firstLine="306"/>
              <w:rPr>
                <w:sz w:val="18"/>
                <w:szCs w:val="18"/>
              </w:rPr>
            </w:pPr>
            <w:r w:rsidRPr="00476314">
              <w:rPr>
                <w:sz w:val="18"/>
                <w:szCs w:val="18"/>
              </w:rPr>
              <w:t>Баланс услуг</w:t>
            </w:r>
          </w:p>
        </w:tc>
        <w:tc>
          <w:tcPr>
            <w:tcW w:w="1015" w:type="dxa"/>
            <w:vAlign w:val="center"/>
          </w:tcPr>
          <w:p w:rsidR="00476314" w:rsidRPr="00476314" w:rsidRDefault="00476314" w:rsidP="00476314">
            <w:pPr>
              <w:jc w:val="center"/>
              <w:rPr>
                <w:sz w:val="18"/>
                <w:szCs w:val="18"/>
              </w:rPr>
            </w:pPr>
            <w:r w:rsidRPr="00476314">
              <w:rPr>
                <w:sz w:val="18"/>
                <w:szCs w:val="18"/>
              </w:rPr>
              <w:t>-38</w:t>
            </w:r>
          </w:p>
        </w:tc>
        <w:tc>
          <w:tcPr>
            <w:tcW w:w="1418" w:type="dxa"/>
            <w:vAlign w:val="center"/>
          </w:tcPr>
          <w:p w:rsidR="00476314" w:rsidRPr="00476314" w:rsidRDefault="00476314" w:rsidP="00476314">
            <w:pPr>
              <w:jc w:val="center"/>
              <w:rPr>
                <w:sz w:val="18"/>
                <w:szCs w:val="18"/>
              </w:rPr>
            </w:pPr>
            <w:r w:rsidRPr="00476314">
              <w:rPr>
                <w:sz w:val="18"/>
                <w:szCs w:val="18"/>
              </w:rPr>
              <w:t>-41</w:t>
            </w:r>
          </w:p>
        </w:tc>
        <w:tc>
          <w:tcPr>
            <w:tcW w:w="1559" w:type="dxa"/>
            <w:vAlign w:val="center"/>
          </w:tcPr>
          <w:p w:rsidR="00476314" w:rsidRPr="00476314" w:rsidRDefault="00476314" w:rsidP="00476314">
            <w:pPr>
              <w:jc w:val="center"/>
              <w:rPr>
                <w:sz w:val="18"/>
                <w:szCs w:val="18"/>
              </w:rPr>
            </w:pPr>
            <w:r w:rsidRPr="00476314">
              <w:rPr>
                <w:sz w:val="18"/>
                <w:szCs w:val="18"/>
              </w:rPr>
              <w:t>-42</w:t>
            </w:r>
          </w:p>
        </w:tc>
        <w:tc>
          <w:tcPr>
            <w:tcW w:w="1417" w:type="dxa"/>
            <w:vAlign w:val="center"/>
          </w:tcPr>
          <w:p w:rsidR="00476314" w:rsidRPr="00476314" w:rsidRDefault="00476314" w:rsidP="00476314">
            <w:pPr>
              <w:jc w:val="center"/>
              <w:rPr>
                <w:sz w:val="18"/>
                <w:szCs w:val="18"/>
              </w:rPr>
            </w:pPr>
            <w:r w:rsidRPr="00476314">
              <w:rPr>
                <w:sz w:val="18"/>
                <w:szCs w:val="18"/>
              </w:rPr>
              <w:t>-43</w:t>
            </w:r>
          </w:p>
        </w:tc>
        <w:tc>
          <w:tcPr>
            <w:tcW w:w="1364" w:type="dxa"/>
            <w:vAlign w:val="center"/>
          </w:tcPr>
          <w:p w:rsidR="00476314" w:rsidRPr="00476314" w:rsidRDefault="00476314" w:rsidP="00476314">
            <w:pPr>
              <w:jc w:val="center"/>
              <w:rPr>
                <w:sz w:val="18"/>
                <w:szCs w:val="18"/>
              </w:rPr>
            </w:pPr>
            <w:r w:rsidRPr="00476314">
              <w:rPr>
                <w:sz w:val="18"/>
                <w:szCs w:val="18"/>
              </w:rPr>
              <w:t>-43</w:t>
            </w:r>
          </w:p>
        </w:tc>
      </w:tr>
      <w:tr w:rsidR="00476314" w:rsidRPr="00476314" w:rsidTr="00476314">
        <w:trPr>
          <w:jc w:val="center"/>
        </w:trPr>
        <w:tc>
          <w:tcPr>
            <w:tcW w:w="3043" w:type="dxa"/>
            <w:vAlign w:val="center"/>
          </w:tcPr>
          <w:p w:rsidR="00476314" w:rsidRPr="00476314" w:rsidRDefault="00476314" w:rsidP="00476314">
            <w:pPr>
              <w:ind w:firstLine="589"/>
              <w:rPr>
                <w:sz w:val="18"/>
                <w:szCs w:val="18"/>
              </w:rPr>
            </w:pPr>
            <w:r w:rsidRPr="00476314">
              <w:rPr>
                <w:sz w:val="18"/>
                <w:szCs w:val="18"/>
              </w:rPr>
              <w:t>Экспорт</w:t>
            </w:r>
          </w:p>
        </w:tc>
        <w:tc>
          <w:tcPr>
            <w:tcW w:w="1015" w:type="dxa"/>
            <w:vAlign w:val="center"/>
          </w:tcPr>
          <w:p w:rsidR="00476314" w:rsidRPr="00476314" w:rsidRDefault="00476314" w:rsidP="00476314">
            <w:pPr>
              <w:jc w:val="center"/>
              <w:rPr>
                <w:sz w:val="18"/>
                <w:szCs w:val="18"/>
              </w:rPr>
            </w:pPr>
            <w:r w:rsidRPr="00476314">
              <w:rPr>
                <w:sz w:val="18"/>
                <w:szCs w:val="18"/>
              </w:rPr>
              <w:t>43</w:t>
            </w:r>
          </w:p>
        </w:tc>
        <w:tc>
          <w:tcPr>
            <w:tcW w:w="1418" w:type="dxa"/>
            <w:vAlign w:val="center"/>
          </w:tcPr>
          <w:p w:rsidR="00476314" w:rsidRPr="00476314" w:rsidRDefault="00476314" w:rsidP="00476314">
            <w:pPr>
              <w:jc w:val="center"/>
              <w:rPr>
                <w:sz w:val="18"/>
                <w:szCs w:val="18"/>
              </w:rPr>
            </w:pPr>
            <w:r w:rsidRPr="00476314">
              <w:rPr>
                <w:sz w:val="18"/>
                <w:szCs w:val="18"/>
              </w:rPr>
              <w:t>45</w:t>
            </w:r>
          </w:p>
        </w:tc>
        <w:tc>
          <w:tcPr>
            <w:tcW w:w="1559" w:type="dxa"/>
            <w:vAlign w:val="center"/>
          </w:tcPr>
          <w:p w:rsidR="00476314" w:rsidRPr="00476314" w:rsidRDefault="00476314" w:rsidP="00476314">
            <w:pPr>
              <w:jc w:val="center"/>
              <w:rPr>
                <w:sz w:val="18"/>
                <w:szCs w:val="18"/>
              </w:rPr>
            </w:pPr>
            <w:r w:rsidRPr="00476314">
              <w:rPr>
                <w:sz w:val="18"/>
                <w:szCs w:val="18"/>
              </w:rPr>
              <w:t>46</w:t>
            </w:r>
          </w:p>
        </w:tc>
        <w:tc>
          <w:tcPr>
            <w:tcW w:w="1417" w:type="dxa"/>
            <w:vAlign w:val="center"/>
          </w:tcPr>
          <w:p w:rsidR="00476314" w:rsidRPr="00476314" w:rsidRDefault="00476314" w:rsidP="00476314">
            <w:pPr>
              <w:jc w:val="center"/>
              <w:rPr>
                <w:sz w:val="18"/>
                <w:szCs w:val="18"/>
              </w:rPr>
            </w:pPr>
            <w:r w:rsidRPr="00476314">
              <w:rPr>
                <w:sz w:val="18"/>
                <w:szCs w:val="18"/>
              </w:rPr>
              <w:t>47</w:t>
            </w:r>
          </w:p>
        </w:tc>
        <w:tc>
          <w:tcPr>
            <w:tcW w:w="1364" w:type="dxa"/>
            <w:vAlign w:val="center"/>
          </w:tcPr>
          <w:p w:rsidR="00476314" w:rsidRPr="00476314" w:rsidRDefault="00476314" w:rsidP="00476314">
            <w:pPr>
              <w:jc w:val="center"/>
              <w:rPr>
                <w:sz w:val="18"/>
                <w:szCs w:val="18"/>
              </w:rPr>
            </w:pPr>
            <w:r w:rsidRPr="00476314">
              <w:rPr>
                <w:sz w:val="18"/>
                <w:szCs w:val="18"/>
              </w:rPr>
              <w:t>48</w:t>
            </w:r>
          </w:p>
        </w:tc>
      </w:tr>
      <w:tr w:rsidR="00476314" w:rsidRPr="00476314" w:rsidTr="00476314">
        <w:trPr>
          <w:jc w:val="center"/>
        </w:trPr>
        <w:tc>
          <w:tcPr>
            <w:tcW w:w="3043" w:type="dxa"/>
            <w:vAlign w:val="center"/>
          </w:tcPr>
          <w:p w:rsidR="00476314" w:rsidRPr="00476314" w:rsidRDefault="00476314" w:rsidP="00476314">
            <w:pPr>
              <w:ind w:firstLine="589"/>
              <w:rPr>
                <w:sz w:val="18"/>
                <w:szCs w:val="18"/>
              </w:rPr>
            </w:pPr>
            <w:r w:rsidRPr="00476314">
              <w:rPr>
                <w:sz w:val="18"/>
                <w:szCs w:val="18"/>
              </w:rPr>
              <w:t>Импорт</w:t>
            </w:r>
          </w:p>
        </w:tc>
        <w:tc>
          <w:tcPr>
            <w:tcW w:w="1015" w:type="dxa"/>
            <w:vAlign w:val="center"/>
          </w:tcPr>
          <w:p w:rsidR="00476314" w:rsidRPr="00476314" w:rsidRDefault="00476314" w:rsidP="00476314">
            <w:pPr>
              <w:jc w:val="center"/>
              <w:rPr>
                <w:sz w:val="18"/>
                <w:szCs w:val="18"/>
              </w:rPr>
            </w:pPr>
            <w:r w:rsidRPr="00476314">
              <w:rPr>
                <w:sz w:val="18"/>
                <w:szCs w:val="18"/>
              </w:rPr>
              <w:t>81</w:t>
            </w:r>
          </w:p>
        </w:tc>
        <w:tc>
          <w:tcPr>
            <w:tcW w:w="1418" w:type="dxa"/>
            <w:vAlign w:val="center"/>
          </w:tcPr>
          <w:p w:rsidR="00476314" w:rsidRPr="00476314" w:rsidRDefault="00476314" w:rsidP="00476314">
            <w:pPr>
              <w:jc w:val="center"/>
              <w:rPr>
                <w:sz w:val="18"/>
                <w:szCs w:val="18"/>
              </w:rPr>
            </w:pPr>
            <w:r w:rsidRPr="00476314">
              <w:rPr>
                <w:sz w:val="18"/>
                <w:szCs w:val="18"/>
              </w:rPr>
              <w:t>87</w:t>
            </w:r>
          </w:p>
        </w:tc>
        <w:tc>
          <w:tcPr>
            <w:tcW w:w="1559" w:type="dxa"/>
            <w:vAlign w:val="center"/>
          </w:tcPr>
          <w:p w:rsidR="00476314" w:rsidRPr="00476314" w:rsidRDefault="00476314" w:rsidP="00476314">
            <w:pPr>
              <w:jc w:val="center"/>
              <w:rPr>
                <w:sz w:val="18"/>
                <w:szCs w:val="18"/>
              </w:rPr>
            </w:pPr>
            <w:r w:rsidRPr="00476314">
              <w:rPr>
                <w:sz w:val="18"/>
                <w:szCs w:val="18"/>
              </w:rPr>
              <w:t>88</w:t>
            </w:r>
          </w:p>
        </w:tc>
        <w:tc>
          <w:tcPr>
            <w:tcW w:w="1417" w:type="dxa"/>
            <w:vAlign w:val="center"/>
          </w:tcPr>
          <w:p w:rsidR="00476314" w:rsidRPr="00476314" w:rsidRDefault="00476314" w:rsidP="00476314">
            <w:pPr>
              <w:jc w:val="center"/>
              <w:rPr>
                <w:sz w:val="18"/>
                <w:szCs w:val="18"/>
              </w:rPr>
            </w:pPr>
            <w:r w:rsidRPr="00476314">
              <w:rPr>
                <w:sz w:val="18"/>
                <w:szCs w:val="18"/>
              </w:rPr>
              <w:t>89</w:t>
            </w:r>
          </w:p>
        </w:tc>
        <w:tc>
          <w:tcPr>
            <w:tcW w:w="1364" w:type="dxa"/>
            <w:vAlign w:val="center"/>
          </w:tcPr>
          <w:p w:rsidR="00476314" w:rsidRPr="00476314" w:rsidRDefault="00476314" w:rsidP="00476314">
            <w:pPr>
              <w:jc w:val="center"/>
              <w:rPr>
                <w:sz w:val="18"/>
                <w:szCs w:val="18"/>
              </w:rPr>
            </w:pPr>
            <w:r w:rsidRPr="00476314">
              <w:rPr>
                <w:sz w:val="18"/>
                <w:szCs w:val="18"/>
              </w:rPr>
              <w:t>90</w:t>
            </w:r>
          </w:p>
        </w:tc>
      </w:tr>
      <w:tr w:rsidR="00476314" w:rsidRPr="00476314" w:rsidTr="00476314">
        <w:trPr>
          <w:jc w:val="center"/>
        </w:trPr>
        <w:tc>
          <w:tcPr>
            <w:tcW w:w="3043" w:type="dxa"/>
            <w:vAlign w:val="center"/>
          </w:tcPr>
          <w:p w:rsidR="00476314" w:rsidRPr="00476314" w:rsidRDefault="00476314" w:rsidP="00476314">
            <w:pPr>
              <w:ind w:left="311"/>
              <w:rPr>
                <w:sz w:val="18"/>
                <w:szCs w:val="18"/>
              </w:rPr>
            </w:pPr>
            <w:r w:rsidRPr="00476314">
              <w:rPr>
                <w:sz w:val="18"/>
                <w:szCs w:val="18"/>
              </w:rPr>
              <w:t>Баланс первичных и вторичных доходов</w:t>
            </w:r>
          </w:p>
        </w:tc>
        <w:tc>
          <w:tcPr>
            <w:tcW w:w="1015" w:type="dxa"/>
            <w:vAlign w:val="center"/>
          </w:tcPr>
          <w:p w:rsidR="00476314" w:rsidRPr="00476314" w:rsidRDefault="00476314" w:rsidP="00476314">
            <w:pPr>
              <w:jc w:val="center"/>
              <w:rPr>
                <w:sz w:val="18"/>
                <w:szCs w:val="18"/>
              </w:rPr>
            </w:pPr>
            <w:r w:rsidRPr="00476314">
              <w:rPr>
                <w:sz w:val="18"/>
                <w:szCs w:val="18"/>
              </w:rPr>
              <w:t>-32</w:t>
            </w:r>
          </w:p>
        </w:tc>
        <w:tc>
          <w:tcPr>
            <w:tcW w:w="1418" w:type="dxa"/>
            <w:vAlign w:val="center"/>
          </w:tcPr>
          <w:p w:rsidR="00476314" w:rsidRPr="00476314" w:rsidRDefault="00476314" w:rsidP="00476314">
            <w:pPr>
              <w:jc w:val="center"/>
              <w:rPr>
                <w:sz w:val="18"/>
                <w:szCs w:val="18"/>
              </w:rPr>
            </w:pPr>
            <w:r w:rsidRPr="00476314">
              <w:rPr>
                <w:sz w:val="18"/>
                <w:szCs w:val="18"/>
              </w:rPr>
              <w:t>-30</w:t>
            </w:r>
          </w:p>
        </w:tc>
        <w:tc>
          <w:tcPr>
            <w:tcW w:w="1559" w:type="dxa"/>
            <w:vAlign w:val="center"/>
          </w:tcPr>
          <w:p w:rsidR="00476314" w:rsidRPr="00476314" w:rsidRDefault="00476314" w:rsidP="00476314">
            <w:pPr>
              <w:jc w:val="center"/>
              <w:rPr>
                <w:sz w:val="18"/>
                <w:szCs w:val="18"/>
              </w:rPr>
            </w:pPr>
            <w:r w:rsidRPr="00476314">
              <w:rPr>
                <w:sz w:val="18"/>
                <w:szCs w:val="18"/>
              </w:rPr>
              <w:t>-32</w:t>
            </w:r>
          </w:p>
        </w:tc>
        <w:tc>
          <w:tcPr>
            <w:tcW w:w="1417" w:type="dxa"/>
            <w:vAlign w:val="center"/>
          </w:tcPr>
          <w:p w:rsidR="00476314" w:rsidRPr="00476314" w:rsidRDefault="00476314" w:rsidP="00476314">
            <w:pPr>
              <w:jc w:val="center"/>
              <w:rPr>
                <w:sz w:val="18"/>
                <w:szCs w:val="18"/>
              </w:rPr>
            </w:pPr>
            <w:r w:rsidRPr="00476314">
              <w:rPr>
                <w:sz w:val="18"/>
                <w:szCs w:val="18"/>
              </w:rPr>
              <w:t>-35</w:t>
            </w:r>
          </w:p>
        </w:tc>
        <w:tc>
          <w:tcPr>
            <w:tcW w:w="1364" w:type="dxa"/>
            <w:vAlign w:val="center"/>
          </w:tcPr>
          <w:p w:rsidR="00476314" w:rsidRPr="00476314" w:rsidRDefault="00476314" w:rsidP="00476314">
            <w:pPr>
              <w:jc w:val="center"/>
              <w:rPr>
                <w:sz w:val="18"/>
                <w:szCs w:val="18"/>
              </w:rPr>
            </w:pPr>
            <w:r w:rsidRPr="00476314">
              <w:rPr>
                <w:sz w:val="18"/>
                <w:szCs w:val="18"/>
              </w:rPr>
              <w:t>-36</w:t>
            </w:r>
          </w:p>
        </w:tc>
      </w:tr>
    </w:tbl>
    <w:p w:rsidR="006915DB" w:rsidRPr="006915DB" w:rsidRDefault="006915DB" w:rsidP="006915DB">
      <w:pPr>
        <w:autoSpaceDE w:val="0"/>
        <w:autoSpaceDN w:val="0"/>
        <w:adjustRightInd w:val="0"/>
        <w:spacing w:line="360" w:lineRule="auto"/>
        <w:ind w:firstLine="709"/>
        <w:jc w:val="both"/>
        <w:rPr>
          <w:color w:val="000000" w:themeColor="text1"/>
          <w:sz w:val="18"/>
          <w:szCs w:val="18"/>
        </w:rPr>
      </w:pPr>
      <w:r w:rsidRPr="006915DB">
        <w:rPr>
          <w:color w:val="000000" w:themeColor="text1"/>
          <w:sz w:val="18"/>
          <w:szCs w:val="18"/>
        </w:rPr>
        <w:t>*Данные по использованию ВВП за 2024 год в части экспорта и импорта пока не опубликованы Росстатом.</w:t>
      </w:r>
    </w:p>
    <w:p w:rsidR="006915DB" w:rsidRPr="006915DB" w:rsidRDefault="00B92BB6" w:rsidP="003E5FB2">
      <w:pPr>
        <w:autoSpaceDE w:val="0"/>
        <w:autoSpaceDN w:val="0"/>
        <w:adjustRightInd w:val="0"/>
        <w:spacing w:line="384" w:lineRule="auto"/>
        <w:ind w:firstLine="709"/>
        <w:jc w:val="both"/>
        <w:rPr>
          <w:color w:val="000000" w:themeColor="text1"/>
        </w:rPr>
      </w:pPr>
      <w:r w:rsidRPr="004E4A8B">
        <w:rPr>
          <w:b/>
          <w:color w:val="000000" w:themeColor="text1"/>
        </w:rPr>
        <w:t>2.1</w:t>
      </w:r>
      <w:r>
        <w:rPr>
          <w:b/>
          <w:color w:val="000000" w:themeColor="text1"/>
        </w:rPr>
        <w:t>5</w:t>
      </w:r>
      <w:r w:rsidRPr="004E4A8B">
        <w:rPr>
          <w:b/>
          <w:color w:val="000000" w:themeColor="text1"/>
        </w:rPr>
        <w:t>.</w:t>
      </w:r>
      <w:r>
        <w:rPr>
          <w:b/>
          <w:color w:val="000000" w:themeColor="text1"/>
        </w:rPr>
        <w:t>2.2.</w:t>
      </w:r>
      <w:r w:rsidRPr="004E4A8B">
        <w:rPr>
          <w:color w:val="000000" w:themeColor="text1"/>
        </w:rPr>
        <w:t> </w:t>
      </w:r>
      <w:r w:rsidR="006915DB" w:rsidRPr="006915DB">
        <w:rPr>
          <w:color w:val="000000" w:themeColor="text1"/>
        </w:rPr>
        <w:t xml:space="preserve">Банк России рассматривает </w:t>
      </w:r>
      <w:r w:rsidR="006915DB" w:rsidRPr="006915DB">
        <w:rPr>
          <w:b/>
          <w:color w:val="000000" w:themeColor="text1"/>
        </w:rPr>
        <w:t>два альтернативных неблагоприятных</w:t>
      </w:r>
      <w:r w:rsidR="006915DB" w:rsidRPr="006915DB">
        <w:rPr>
          <w:color w:val="000000" w:themeColor="text1"/>
        </w:rPr>
        <w:t xml:space="preserve"> сценария. Сценарий </w:t>
      </w:r>
      <w:r w:rsidR="006915DB" w:rsidRPr="006915DB">
        <w:rPr>
          <w:b/>
          <w:color w:val="000000" w:themeColor="text1"/>
        </w:rPr>
        <w:t>«Проинфляционный»</w:t>
      </w:r>
      <w:r w:rsidR="006915DB" w:rsidRPr="006915DB">
        <w:rPr>
          <w:color w:val="000000" w:themeColor="text1"/>
        </w:rPr>
        <w:t xml:space="preserve"> предполагает, что темп расширения производственного потенциала будет меньше, чем в базовом, под влиянием усилени</w:t>
      </w:r>
      <w:r w:rsidR="00F2698D">
        <w:rPr>
          <w:color w:val="000000" w:themeColor="text1"/>
        </w:rPr>
        <w:t>я</w:t>
      </w:r>
      <w:r w:rsidR="006915DB" w:rsidRPr="006915DB">
        <w:rPr>
          <w:color w:val="000000" w:themeColor="text1"/>
        </w:rPr>
        <w:t xml:space="preserve"> санкционного давления. Цена на российскую нефть будет ниже из-за дисконта. Несмотря на расширение программ льготного кредитования и мер по стимулированию импортозамещения, предложение не будет успевать подстраиваться под растущий спрос, что приведет к росту инфляционного давления. Сценарий </w:t>
      </w:r>
      <w:r w:rsidR="006915DB" w:rsidRPr="006915DB">
        <w:rPr>
          <w:b/>
          <w:color w:val="000000" w:themeColor="text1"/>
        </w:rPr>
        <w:t>«Рисковый</w:t>
      </w:r>
      <w:r w:rsidR="006915DB" w:rsidRPr="006915DB">
        <w:rPr>
          <w:color w:val="000000" w:themeColor="text1"/>
        </w:rPr>
        <w:t>» предполагает масштабный мировой финансовый кризис, усиление антироссийских санкций. Реализация рисков в обоих сценариях, по оценкам Банка России, приведет к более высокой инфляции в ближайшие годы и потребует проведения более жесткой денежно-кредитной политики по сравнению с базовым сценарием. Инфляция вернется к цели позже, чем в базовом сценарии.</w:t>
      </w:r>
    </w:p>
    <w:p w:rsidR="006915DB" w:rsidRPr="006915DB" w:rsidRDefault="00B92BB6" w:rsidP="003E5FB2">
      <w:pPr>
        <w:autoSpaceDE w:val="0"/>
        <w:autoSpaceDN w:val="0"/>
        <w:adjustRightInd w:val="0"/>
        <w:spacing w:line="384" w:lineRule="auto"/>
        <w:ind w:firstLine="709"/>
        <w:jc w:val="both"/>
        <w:rPr>
          <w:color w:val="000000" w:themeColor="text1"/>
        </w:rPr>
      </w:pPr>
      <w:r w:rsidRPr="004E4A8B">
        <w:rPr>
          <w:b/>
          <w:color w:val="000000" w:themeColor="text1"/>
        </w:rPr>
        <w:lastRenderedPageBreak/>
        <w:t>2.1</w:t>
      </w:r>
      <w:r>
        <w:rPr>
          <w:b/>
          <w:color w:val="000000" w:themeColor="text1"/>
        </w:rPr>
        <w:t>5</w:t>
      </w:r>
      <w:r w:rsidRPr="004E4A8B">
        <w:rPr>
          <w:b/>
          <w:color w:val="000000" w:themeColor="text1"/>
        </w:rPr>
        <w:t>.</w:t>
      </w:r>
      <w:r>
        <w:rPr>
          <w:b/>
          <w:color w:val="000000" w:themeColor="text1"/>
        </w:rPr>
        <w:t>2.3.</w:t>
      </w:r>
      <w:r w:rsidRPr="004E4A8B">
        <w:rPr>
          <w:color w:val="000000" w:themeColor="text1"/>
        </w:rPr>
        <w:t> </w:t>
      </w:r>
      <w:r w:rsidR="006915DB" w:rsidRPr="006915DB">
        <w:rPr>
          <w:color w:val="000000" w:themeColor="text1"/>
        </w:rPr>
        <w:t xml:space="preserve">Сценарий </w:t>
      </w:r>
      <w:r w:rsidR="006915DB" w:rsidRPr="006915DB">
        <w:rPr>
          <w:b/>
          <w:color w:val="000000" w:themeColor="text1"/>
        </w:rPr>
        <w:t xml:space="preserve">«Дезинфляционный» </w:t>
      </w:r>
      <w:r w:rsidR="00C60ECA">
        <w:rPr>
          <w:b/>
          <w:color w:val="000000" w:themeColor="text1"/>
        </w:rPr>
        <w:t>–</w:t>
      </w:r>
      <w:r w:rsidR="006915DB" w:rsidRPr="006915DB">
        <w:rPr>
          <w:b/>
          <w:color w:val="000000" w:themeColor="text1"/>
        </w:rPr>
        <w:t xml:space="preserve"> альтернативный благоприятный</w:t>
      </w:r>
      <w:r w:rsidR="006915DB" w:rsidRPr="006915DB">
        <w:rPr>
          <w:color w:val="000000" w:themeColor="text1"/>
        </w:rPr>
        <w:t xml:space="preserve"> сценарий, который предполагает, что увеличение инвестиций в основной капитал и рост совокупной факторной производительности приведут к более быстрому расширению совокупного предложения, чем в базовом сценарии (большему увеличению потенциально выпуска в</w:t>
      </w:r>
      <w:r w:rsidR="007D15FF">
        <w:rPr>
          <w:color w:val="000000" w:themeColor="text1"/>
        </w:rPr>
        <w:t> </w:t>
      </w:r>
      <w:r w:rsidR="006915DB" w:rsidRPr="006915DB">
        <w:rPr>
          <w:color w:val="000000" w:themeColor="text1"/>
        </w:rPr>
        <w:t>2026</w:t>
      </w:r>
      <w:r w:rsidR="00C60ECA">
        <w:rPr>
          <w:color w:val="000000" w:themeColor="text1"/>
        </w:rPr>
        <w:t>–</w:t>
      </w:r>
      <w:r w:rsidR="006915DB" w:rsidRPr="006915DB">
        <w:rPr>
          <w:color w:val="000000" w:themeColor="text1"/>
        </w:rPr>
        <w:t>2027</w:t>
      </w:r>
      <w:r w:rsidR="007D15FF">
        <w:rPr>
          <w:color w:val="000000" w:themeColor="text1"/>
        </w:rPr>
        <w:t> </w:t>
      </w:r>
      <w:r w:rsidR="006915DB" w:rsidRPr="006915DB">
        <w:rPr>
          <w:color w:val="000000" w:themeColor="text1"/>
        </w:rPr>
        <w:t>годах). Инфляция вернется к цели уже в 2026 году, как и в базовом сценарии, но при более быстром снижении ключевой ставки.</w:t>
      </w:r>
    </w:p>
    <w:p w:rsidR="00233276" w:rsidRPr="00233276" w:rsidRDefault="00B92BB6" w:rsidP="003E5FB2">
      <w:pPr>
        <w:autoSpaceDE w:val="0"/>
        <w:autoSpaceDN w:val="0"/>
        <w:adjustRightInd w:val="0"/>
        <w:spacing w:line="384" w:lineRule="auto"/>
        <w:ind w:firstLine="709"/>
        <w:jc w:val="both"/>
        <w:rPr>
          <w:color w:val="000000" w:themeColor="text1"/>
        </w:rPr>
      </w:pPr>
      <w:r w:rsidRPr="004E4A8B">
        <w:rPr>
          <w:b/>
          <w:color w:val="000000" w:themeColor="text1"/>
        </w:rPr>
        <w:t>2.1</w:t>
      </w:r>
      <w:r>
        <w:rPr>
          <w:b/>
          <w:color w:val="000000" w:themeColor="text1"/>
        </w:rPr>
        <w:t>5</w:t>
      </w:r>
      <w:r w:rsidRPr="004E4A8B">
        <w:rPr>
          <w:b/>
          <w:color w:val="000000" w:themeColor="text1"/>
        </w:rPr>
        <w:t>.</w:t>
      </w:r>
      <w:r>
        <w:rPr>
          <w:b/>
          <w:color w:val="000000" w:themeColor="text1"/>
        </w:rPr>
        <w:t>3. </w:t>
      </w:r>
      <w:r w:rsidR="00233276" w:rsidRPr="00233276">
        <w:rPr>
          <w:color w:val="000000" w:themeColor="text1"/>
        </w:rPr>
        <w:t>Следует отметить, что прогнозные значения темпов роста ВВП и инфляции базового варианта Прогноза находятся в прогнозном диапазоне базового сценария ОНЕГДКП</w:t>
      </w:r>
      <w:r w:rsidR="00C60ECA">
        <w:rPr>
          <w:color w:val="000000" w:themeColor="text1"/>
        </w:rPr>
        <w:t> </w:t>
      </w:r>
      <w:r w:rsidR="00233276" w:rsidRPr="00233276">
        <w:rPr>
          <w:color w:val="000000" w:themeColor="text1"/>
        </w:rPr>
        <w:t>2026</w:t>
      </w:r>
      <w:r w:rsidR="00C60ECA">
        <w:rPr>
          <w:color w:val="000000" w:themeColor="text1"/>
        </w:rPr>
        <w:t>–</w:t>
      </w:r>
      <w:r w:rsidR="00233276" w:rsidRPr="00233276">
        <w:rPr>
          <w:color w:val="000000" w:themeColor="text1"/>
        </w:rPr>
        <w:t>2028, в отличие от 2023</w:t>
      </w:r>
      <w:r w:rsidR="00233276">
        <w:rPr>
          <w:color w:val="000000" w:themeColor="text1"/>
        </w:rPr>
        <w:t>–</w:t>
      </w:r>
      <w:r w:rsidR="00233276" w:rsidRPr="00233276">
        <w:rPr>
          <w:color w:val="000000" w:themeColor="text1"/>
        </w:rPr>
        <w:t>2024</w:t>
      </w:r>
      <w:r w:rsidR="00233276">
        <w:rPr>
          <w:color w:val="000000" w:themeColor="text1"/>
        </w:rPr>
        <w:t> </w:t>
      </w:r>
      <w:r w:rsidR="00233276" w:rsidRPr="00233276">
        <w:rPr>
          <w:color w:val="000000" w:themeColor="text1"/>
        </w:rPr>
        <w:t>годов, когда отмечались заметные расхождения между прогнозами Минэкономразвития России и Банка России. С учетом изложенного можно предположить, что Минэкономразвития России в целом учтена денежно-кредитная политика Банка России в части ключевой ставки при разработке прогноза 2026</w:t>
      </w:r>
      <w:r w:rsidR="00C60ECA">
        <w:rPr>
          <w:color w:val="000000" w:themeColor="text1"/>
        </w:rPr>
        <w:t>–</w:t>
      </w:r>
      <w:r w:rsidR="00233276" w:rsidRPr="00233276">
        <w:rPr>
          <w:color w:val="000000" w:themeColor="text1"/>
        </w:rPr>
        <w:t>2028. Счетная палата рассматривает это как позитивный фактор, способствующий повышению согласованности экономической и денежно-кредитной политик.</w:t>
      </w:r>
    </w:p>
    <w:p w:rsidR="00233276" w:rsidRPr="00233276" w:rsidRDefault="00233276" w:rsidP="003E5FB2">
      <w:pPr>
        <w:autoSpaceDE w:val="0"/>
        <w:autoSpaceDN w:val="0"/>
        <w:adjustRightInd w:val="0"/>
        <w:spacing w:line="384" w:lineRule="auto"/>
        <w:ind w:firstLine="709"/>
        <w:jc w:val="both"/>
        <w:rPr>
          <w:color w:val="000000" w:themeColor="text1"/>
        </w:rPr>
      </w:pPr>
      <w:r w:rsidRPr="00233276">
        <w:rPr>
          <w:color w:val="000000" w:themeColor="text1"/>
        </w:rPr>
        <w:t>Банк России в прогнозе использует цену на нефть для налогообложения, тогда как Минэкономразвития России использует цену на нефть марки «Юралс». Несмотря на различия в</w:t>
      </w:r>
      <w:r w:rsidR="00C60ECA">
        <w:rPr>
          <w:color w:val="000000" w:themeColor="text1"/>
        </w:rPr>
        <w:t> </w:t>
      </w:r>
      <w:r w:rsidRPr="00233276">
        <w:rPr>
          <w:color w:val="000000" w:themeColor="text1"/>
        </w:rPr>
        <w:t>наименовании, оба ведомства прогнозируют цену на нефть, используемую в целях налогообложения в соответствии со статьей 342 второй части Налогового кодекса Российской Федерации. Расхождение отчетных данных за 2024 год связано с изменением способа расчета цены на нефть марки «Юралс» с 1 января 2025 года. Банк России приводит стоимость цены на</w:t>
      </w:r>
      <w:r w:rsidR="00C60ECA">
        <w:rPr>
          <w:color w:val="000000" w:themeColor="text1"/>
        </w:rPr>
        <w:t> </w:t>
      </w:r>
      <w:r w:rsidRPr="00233276">
        <w:rPr>
          <w:color w:val="000000" w:themeColor="text1"/>
        </w:rPr>
        <w:t>нефть, которая фактически использовалась в 2024 году в целях налогообложения по</w:t>
      </w:r>
      <w:r w:rsidR="00C60ECA">
        <w:rPr>
          <w:color w:val="000000" w:themeColor="text1"/>
        </w:rPr>
        <w:t> </w:t>
      </w:r>
      <w:r w:rsidRPr="00233276">
        <w:rPr>
          <w:color w:val="000000" w:themeColor="text1"/>
        </w:rPr>
        <w:t>методике 2024</w:t>
      </w:r>
      <w:r>
        <w:rPr>
          <w:color w:val="000000" w:themeColor="text1"/>
        </w:rPr>
        <w:t> </w:t>
      </w:r>
      <w:r w:rsidRPr="00233276">
        <w:rPr>
          <w:color w:val="000000" w:themeColor="text1"/>
        </w:rPr>
        <w:t>года, тогда как Минэкономразвития России – пересчитанный показатель в</w:t>
      </w:r>
      <w:r w:rsidR="00C60ECA">
        <w:rPr>
          <w:color w:val="000000" w:themeColor="text1"/>
        </w:rPr>
        <w:t> </w:t>
      </w:r>
      <w:r w:rsidRPr="00233276">
        <w:rPr>
          <w:color w:val="000000" w:themeColor="text1"/>
        </w:rPr>
        <w:t>соответствии с новой методикой расчета цены на нефть 2025 года.</w:t>
      </w:r>
    </w:p>
    <w:p w:rsidR="00233276" w:rsidRPr="00233276" w:rsidRDefault="00233276" w:rsidP="003E5FB2">
      <w:pPr>
        <w:autoSpaceDE w:val="0"/>
        <w:autoSpaceDN w:val="0"/>
        <w:adjustRightInd w:val="0"/>
        <w:spacing w:line="384" w:lineRule="auto"/>
        <w:ind w:firstLine="709"/>
        <w:jc w:val="both"/>
        <w:rPr>
          <w:color w:val="000000" w:themeColor="text1"/>
        </w:rPr>
      </w:pPr>
      <w:r w:rsidRPr="00233276">
        <w:rPr>
          <w:color w:val="000000" w:themeColor="text1"/>
        </w:rPr>
        <w:t xml:space="preserve">При этом отмечаются существенные различия по прогнозным показателям внешней торговли. Минэкономразвития России более </w:t>
      </w:r>
      <w:r w:rsidR="00C82357" w:rsidRPr="00233276">
        <w:rPr>
          <w:color w:val="000000" w:themeColor="text1"/>
        </w:rPr>
        <w:t>оптимистично</w:t>
      </w:r>
      <w:r w:rsidRPr="00233276">
        <w:rPr>
          <w:color w:val="000000" w:themeColor="text1"/>
        </w:rPr>
        <w:t xml:space="preserve"> в отношении экспорта товаров, объемы которого в Прогнозе существенно выше, чем в ОНЕГДКП 2026</w:t>
      </w:r>
      <w:r w:rsidR="00C60ECA">
        <w:rPr>
          <w:color w:val="000000" w:themeColor="text1"/>
        </w:rPr>
        <w:t>–</w:t>
      </w:r>
      <w:r w:rsidRPr="00233276">
        <w:rPr>
          <w:color w:val="000000" w:themeColor="text1"/>
        </w:rPr>
        <w:t xml:space="preserve">2028. В то же время Банк России прогнозирует более высокий импорт товаров. Такие различия в траектории экспорта и импорта товаров, вероятно, и определяют и существенное различие в сальдо счета текущих операций. </w:t>
      </w:r>
    </w:p>
    <w:p w:rsidR="00233276" w:rsidRPr="00233276" w:rsidRDefault="00233276" w:rsidP="003E5FB2">
      <w:pPr>
        <w:autoSpaceDE w:val="0"/>
        <w:autoSpaceDN w:val="0"/>
        <w:adjustRightInd w:val="0"/>
        <w:spacing w:line="384" w:lineRule="auto"/>
        <w:ind w:firstLine="709"/>
        <w:jc w:val="both"/>
        <w:rPr>
          <w:color w:val="000000" w:themeColor="text1"/>
        </w:rPr>
      </w:pPr>
      <w:r w:rsidRPr="00233276">
        <w:rPr>
          <w:color w:val="000000" w:themeColor="text1"/>
        </w:rPr>
        <w:t>По мнению Счетной палаты, более высокий прогноз по импорту товаров у Банка России создает повышенное инфляционное давление, а также создает дополнительные предпосылки для ослабления курса рубля (особенно в условиях сдержанной динамики экспорта товаров). В</w:t>
      </w:r>
      <w:r w:rsidR="00C60ECA">
        <w:rPr>
          <w:color w:val="000000" w:themeColor="text1"/>
        </w:rPr>
        <w:t> </w:t>
      </w:r>
      <w:r w:rsidRPr="00233276">
        <w:rPr>
          <w:color w:val="000000" w:themeColor="text1"/>
        </w:rPr>
        <w:t xml:space="preserve">совокупности эти факторы несут в себе риски </w:t>
      </w:r>
      <w:r w:rsidR="004F7624">
        <w:rPr>
          <w:color w:val="000000" w:themeColor="text1"/>
        </w:rPr>
        <w:t xml:space="preserve">для </w:t>
      </w:r>
      <w:r w:rsidRPr="00233276">
        <w:rPr>
          <w:color w:val="000000" w:themeColor="text1"/>
        </w:rPr>
        <w:t xml:space="preserve">прогнозируемого снижения инфляции </w:t>
      </w:r>
      <w:r w:rsidRPr="00233276">
        <w:rPr>
          <w:color w:val="000000" w:themeColor="text1"/>
        </w:rPr>
        <w:lastRenderedPageBreak/>
        <w:t>в</w:t>
      </w:r>
      <w:r w:rsidR="00C60ECA">
        <w:rPr>
          <w:color w:val="000000" w:themeColor="text1"/>
        </w:rPr>
        <w:t> </w:t>
      </w:r>
      <w:r w:rsidRPr="00233276">
        <w:rPr>
          <w:color w:val="000000" w:themeColor="text1"/>
        </w:rPr>
        <w:t>соответствии с траекторией базового сценария Банка России, что может привести к</w:t>
      </w:r>
      <w:r w:rsidR="00C60ECA">
        <w:rPr>
          <w:color w:val="000000" w:themeColor="text1"/>
        </w:rPr>
        <w:t> </w:t>
      </w:r>
      <w:r w:rsidRPr="00233276">
        <w:rPr>
          <w:color w:val="000000" w:themeColor="text1"/>
        </w:rPr>
        <w:t>ужесточению денежно-кредитной политики, которое не учитывает Прогноз Минэкономразвития России.</w:t>
      </w:r>
    </w:p>
    <w:p w:rsidR="00233276" w:rsidRPr="00233276" w:rsidRDefault="00233276" w:rsidP="003E5FB2">
      <w:pPr>
        <w:autoSpaceDE w:val="0"/>
        <w:autoSpaceDN w:val="0"/>
        <w:adjustRightInd w:val="0"/>
        <w:spacing w:line="384" w:lineRule="auto"/>
        <w:ind w:firstLine="709"/>
        <w:jc w:val="both"/>
        <w:rPr>
          <w:color w:val="000000" w:themeColor="text1"/>
        </w:rPr>
      </w:pPr>
      <w:r w:rsidRPr="00233276">
        <w:rPr>
          <w:color w:val="000000" w:themeColor="text1"/>
        </w:rPr>
        <w:t>Сравнение базовых вариантов прогнозов Банка России и Минэкономразвития России представлено в следующей таблице.</w:t>
      </w:r>
    </w:p>
    <w:tbl>
      <w:tblPr>
        <w:tblStyle w:val="62"/>
        <w:tblW w:w="9923" w:type="dxa"/>
        <w:tblInd w:w="108" w:type="dxa"/>
        <w:tblLook w:val="04A0" w:firstRow="1" w:lastRow="0" w:firstColumn="1" w:lastColumn="0" w:noHBand="0" w:noVBand="1"/>
      </w:tblPr>
      <w:tblGrid>
        <w:gridCol w:w="2636"/>
        <w:gridCol w:w="2261"/>
        <w:gridCol w:w="1057"/>
        <w:gridCol w:w="985"/>
        <w:gridCol w:w="999"/>
        <w:gridCol w:w="993"/>
        <w:gridCol w:w="992"/>
      </w:tblGrid>
      <w:tr w:rsidR="00C82357" w:rsidRPr="00C82357" w:rsidTr="00C82357">
        <w:trPr>
          <w:trHeight w:val="283"/>
          <w:tblHeader/>
        </w:trPr>
        <w:tc>
          <w:tcPr>
            <w:tcW w:w="4897" w:type="dxa"/>
            <w:gridSpan w:val="2"/>
            <w:vMerge w:val="restart"/>
            <w:hideMark/>
          </w:tcPr>
          <w:p w:rsidR="00C82357" w:rsidRPr="00C82357" w:rsidRDefault="00C82357" w:rsidP="00C82357">
            <w:pPr>
              <w:jc w:val="center"/>
              <w:rPr>
                <w:b/>
                <w:sz w:val="18"/>
                <w:szCs w:val="18"/>
              </w:rPr>
            </w:pPr>
            <w:r w:rsidRPr="00C82357">
              <w:rPr>
                <w:b/>
                <w:sz w:val="18"/>
                <w:szCs w:val="18"/>
              </w:rPr>
              <w:t>Наименование показателя</w:t>
            </w:r>
          </w:p>
        </w:tc>
        <w:tc>
          <w:tcPr>
            <w:tcW w:w="1057" w:type="dxa"/>
            <w:hideMark/>
          </w:tcPr>
          <w:p w:rsidR="00C82357" w:rsidRPr="00C82357" w:rsidRDefault="00C82357" w:rsidP="00C82357">
            <w:pPr>
              <w:jc w:val="center"/>
              <w:rPr>
                <w:b/>
                <w:sz w:val="18"/>
                <w:szCs w:val="18"/>
              </w:rPr>
            </w:pPr>
            <w:r w:rsidRPr="00C82357">
              <w:rPr>
                <w:b/>
                <w:sz w:val="18"/>
                <w:szCs w:val="18"/>
              </w:rPr>
              <w:t>2024</w:t>
            </w:r>
          </w:p>
        </w:tc>
        <w:tc>
          <w:tcPr>
            <w:tcW w:w="985" w:type="dxa"/>
          </w:tcPr>
          <w:p w:rsidR="00C82357" w:rsidRPr="00C82357" w:rsidRDefault="00C82357" w:rsidP="00C82357">
            <w:pPr>
              <w:jc w:val="center"/>
              <w:rPr>
                <w:b/>
                <w:sz w:val="18"/>
                <w:szCs w:val="18"/>
              </w:rPr>
            </w:pPr>
            <w:r w:rsidRPr="00C82357">
              <w:rPr>
                <w:b/>
                <w:sz w:val="18"/>
                <w:szCs w:val="18"/>
              </w:rPr>
              <w:t>2025</w:t>
            </w:r>
          </w:p>
        </w:tc>
        <w:tc>
          <w:tcPr>
            <w:tcW w:w="999" w:type="dxa"/>
          </w:tcPr>
          <w:p w:rsidR="00C82357" w:rsidRPr="00C82357" w:rsidRDefault="00C82357" w:rsidP="00C82357">
            <w:pPr>
              <w:jc w:val="center"/>
              <w:rPr>
                <w:b/>
                <w:sz w:val="18"/>
                <w:szCs w:val="18"/>
              </w:rPr>
            </w:pPr>
            <w:r w:rsidRPr="00C82357">
              <w:rPr>
                <w:b/>
                <w:sz w:val="18"/>
                <w:szCs w:val="18"/>
              </w:rPr>
              <w:t>2026</w:t>
            </w:r>
          </w:p>
        </w:tc>
        <w:tc>
          <w:tcPr>
            <w:tcW w:w="993" w:type="dxa"/>
          </w:tcPr>
          <w:p w:rsidR="00C82357" w:rsidRPr="00C82357" w:rsidRDefault="00C82357" w:rsidP="00C82357">
            <w:pPr>
              <w:jc w:val="center"/>
              <w:rPr>
                <w:b/>
                <w:sz w:val="18"/>
                <w:szCs w:val="18"/>
              </w:rPr>
            </w:pPr>
            <w:r w:rsidRPr="00C82357">
              <w:rPr>
                <w:b/>
                <w:sz w:val="18"/>
                <w:szCs w:val="18"/>
              </w:rPr>
              <w:t>2027</w:t>
            </w:r>
          </w:p>
        </w:tc>
        <w:tc>
          <w:tcPr>
            <w:tcW w:w="992" w:type="dxa"/>
          </w:tcPr>
          <w:p w:rsidR="00C82357" w:rsidRPr="00C82357" w:rsidRDefault="00C82357" w:rsidP="00C82357">
            <w:pPr>
              <w:jc w:val="center"/>
              <w:rPr>
                <w:b/>
                <w:sz w:val="18"/>
                <w:szCs w:val="18"/>
              </w:rPr>
            </w:pPr>
            <w:r w:rsidRPr="00C82357">
              <w:rPr>
                <w:b/>
                <w:sz w:val="18"/>
                <w:szCs w:val="18"/>
              </w:rPr>
              <w:t>2028</w:t>
            </w:r>
          </w:p>
        </w:tc>
      </w:tr>
      <w:tr w:rsidR="00C82357" w:rsidRPr="00C82357" w:rsidTr="00C82357">
        <w:trPr>
          <w:trHeight w:val="283"/>
          <w:tblHeader/>
        </w:trPr>
        <w:tc>
          <w:tcPr>
            <w:tcW w:w="4897" w:type="dxa"/>
            <w:gridSpan w:val="2"/>
            <w:vMerge/>
          </w:tcPr>
          <w:p w:rsidR="00C82357" w:rsidRPr="00C82357" w:rsidRDefault="00C82357" w:rsidP="00C82357">
            <w:pPr>
              <w:rPr>
                <w:b/>
                <w:sz w:val="18"/>
                <w:szCs w:val="18"/>
              </w:rPr>
            </w:pPr>
          </w:p>
        </w:tc>
        <w:tc>
          <w:tcPr>
            <w:tcW w:w="1057" w:type="dxa"/>
          </w:tcPr>
          <w:p w:rsidR="00C82357" w:rsidRPr="00C82357" w:rsidRDefault="00C82357" w:rsidP="00C82357">
            <w:pPr>
              <w:jc w:val="center"/>
              <w:rPr>
                <w:b/>
                <w:sz w:val="18"/>
                <w:szCs w:val="18"/>
              </w:rPr>
            </w:pPr>
            <w:r w:rsidRPr="00C82357">
              <w:rPr>
                <w:b/>
                <w:sz w:val="18"/>
                <w:szCs w:val="18"/>
              </w:rPr>
              <w:t>факт</w:t>
            </w:r>
          </w:p>
        </w:tc>
        <w:tc>
          <w:tcPr>
            <w:tcW w:w="985" w:type="dxa"/>
          </w:tcPr>
          <w:p w:rsidR="00C82357" w:rsidRPr="00C82357" w:rsidRDefault="00C82357" w:rsidP="00C82357">
            <w:pPr>
              <w:jc w:val="center"/>
              <w:rPr>
                <w:b/>
                <w:sz w:val="18"/>
                <w:szCs w:val="18"/>
              </w:rPr>
            </w:pPr>
            <w:r w:rsidRPr="00C82357">
              <w:rPr>
                <w:b/>
                <w:sz w:val="18"/>
                <w:szCs w:val="18"/>
              </w:rPr>
              <w:t>оценка</w:t>
            </w:r>
          </w:p>
        </w:tc>
        <w:tc>
          <w:tcPr>
            <w:tcW w:w="2984" w:type="dxa"/>
            <w:gridSpan w:val="3"/>
          </w:tcPr>
          <w:p w:rsidR="00C82357" w:rsidRPr="00C82357" w:rsidRDefault="00C82357" w:rsidP="00C82357">
            <w:pPr>
              <w:jc w:val="center"/>
              <w:rPr>
                <w:b/>
                <w:sz w:val="18"/>
                <w:szCs w:val="18"/>
              </w:rPr>
            </w:pPr>
            <w:r w:rsidRPr="00C82357">
              <w:rPr>
                <w:b/>
                <w:sz w:val="18"/>
                <w:szCs w:val="18"/>
              </w:rPr>
              <w:t>прогноз</w:t>
            </w:r>
          </w:p>
        </w:tc>
      </w:tr>
      <w:tr w:rsidR="00C82357" w:rsidRPr="00C82357" w:rsidTr="00C82357">
        <w:trPr>
          <w:trHeight w:val="283"/>
        </w:trPr>
        <w:tc>
          <w:tcPr>
            <w:tcW w:w="9923" w:type="dxa"/>
            <w:gridSpan w:val="7"/>
            <w:vAlign w:val="center"/>
            <w:hideMark/>
          </w:tcPr>
          <w:p w:rsidR="00C82357" w:rsidRPr="00C82357" w:rsidRDefault="00C82357" w:rsidP="00C82357">
            <w:pPr>
              <w:rPr>
                <w:b/>
                <w:sz w:val="18"/>
                <w:szCs w:val="18"/>
              </w:rPr>
            </w:pPr>
            <w:r w:rsidRPr="00C82357">
              <w:rPr>
                <w:b/>
                <w:sz w:val="18"/>
                <w:szCs w:val="18"/>
              </w:rPr>
              <w:t>Основные макроэкономические показатели (прирост в % к предыдущему году, если не указано иное)</w:t>
            </w:r>
          </w:p>
        </w:tc>
      </w:tr>
      <w:tr w:rsidR="00C82357" w:rsidRPr="00C82357" w:rsidTr="00C82357">
        <w:trPr>
          <w:trHeight w:val="283"/>
        </w:trPr>
        <w:tc>
          <w:tcPr>
            <w:tcW w:w="2636" w:type="dxa"/>
            <w:vMerge w:val="restart"/>
            <w:vAlign w:val="center"/>
            <w:hideMark/>
          </w:tcPr>
          <w:p w:rsidR="00C82357" w:rsidRPr="00C82357" w:rsidRDefault="00C82357" w:rsidP="00C82357">
            <w:pPr>
              <w:rPr>
                <w:sz w:val="18"/>
                <w:szCs w:val="18"/>
              </w:rPr>
            </w:pPr>
            <w:r w:rsidRPr="00C82357">
              <w:rPr>
                <w:sz w:val="18"/>
                <w:szCs w:val="18"/>
              </w:rPr>
              <w:t>Инфляция, в %, декабрь к декабрю предыдущего года</w:t>
            </w:r>
          </w:p>
        </w:tc>
        <w:tc>
          <w:tcPr>
            <w:tcW w:w="2261" w:type="dxa"/>
            <w:vAlign w:val="center"/>
            <w:hideMark/>
          </w:tcPr>
          <w:p w:rsidR="00C82357" w:rsidRPr="00C82357" w:rsidRDefault="00C82357" w:rsidP="00C82357">
            <w:pPr>
              <w:rPr>
                <w:sz w:val="18"/>
                <w:szCs w:val="18"/>
              </w:rPr>
            </w:pPr>
            <w:r w:rsidRPr="00C82357">
              <w:rPr>
                <w:sz w:val="18"/>
                <w:szCs w:val="18"/>
              </w:rPr>
              <w:t>ОНЕГДКП 2026-2028</w:t>
            </w:r>
          </w:p>
        </w:tc>
        <w:tc>
          <w:tcPr>
            <w:tcW w:w="1057" w:type="dxa"/>
            <w:vAlign w:val="center"/>
          </w:tcPr>
          <w:p w:rsidR="00C82357" w:rsidRPr="00C82357" w:rsidRDefault="00C82357" w:rsidP="00C82357">
            <w:pPr>
              <w:jc w:val="center"/>
              <w:rPr>
                <w:sz w:val="18"/>
                <w:szCs w:val="18"/>
              </w:rPr>
            </w:pPr>
            <w:r w:rsidRPr="00C82357">
              <w:rPr>
                <w:color w:val="000000"/>
                <w:sz w:val="18"/>
                <w:szCs w:val="18"/>
              </w:rPr>
              <w:t>9,5</w:t>
            </w:r>
          </w:p>
        </w:tc>
        <w:tc>
          <w:tcPr>
            <w:tcW w:w="985" w:type="dxa"/>
            <w:vAlign w:val="center"/>
          </w:tcPr>
          <w:p w:rsidR="00C82357" w:rsidRPr="00C82357" w:rsidRDefault="00C82357" w:rsidP="00C82357">
            <w:pPr>
              <w:jc w:val="center"/>
              <w:rPr>
                <w:sz w:val="18"/>
                <w:szCs w:val="18"/>
              </w:rPr>
            </w:pPr>
            <w:r w:rsidRPr="00C82357">
              <w:rPr>
                <w:color w:val="000000"/>
                <w:sz w:val="18"/>
                <w:szCs w:val="18"/>
              </w:rPr>
              <w:t>6,0–7,0</w:t>
            </w:r>
          </w:p>
        </w:tc>
        <w:tc>
          <w:tcPr>
            <w:tcW w:w="999" w:type="dxa"/>
            <w:vAlign w:val="center"/>
          </w:tcPr>
          <w:p w:rsidR="00C82357" w:rsidRPr="00C82357" w:rsidRDefault="00C82357" w:rsidP="00C82357">
            <w:pPr>
              <w:jc w:val="center"/>
              <w:rPr>
                <w:sz w:val="18"/>
                <w:szCs w:val="18"/>
              </w:rPr>
            </w:pPr>
            <w:r w:rsidRPr="00C82357">
              <w:rPr>
                <w:color w:val="000000"/>
                <w:sz w:val="18"/>
                <w:szCs w:val="18"/>
              </w:rPr>
              <w:t>4,0</w:t>
            </w:r>
          </w:p>
        </w:tc>
        <w:tc>
          <w:tcPr>
            <w:tcW w:w="993" w:type="dxa"/>
            <w:vAlign w:val="center"/>
          </w:tcPr>
          <w:p w:rsidR="00C82357" w:rsidRPr="00C82357" w:rsidRDefault="00C82357" w:rsidP="00C82357">
            <w:pPr>
              <w:jc w:val="center"/>
              <w:rPr>
                <w:sz w:val="18"/>
                <w:szCs w:val="18"/>
              </w:rPr>
            </w:pPr>
            <w:r w:rsidRPr="00C82357">
              <w:rPr>
                <w:color w:val="000000"/>
                <w:sz w:val="18"/>
                <w:szCs w:val="18"/>
              </w:rPr>
              <w:t>4,0</w:t>
            </w:r>
          </w:p>
        </w:tc>
        <w:tc>
          <w:tcPr>
            <w:tcW w:w="992" w:type="dxa"/>
            <w:vAlign w:val="center"/>
          </w:tcPr>
          <w:p w:rsidR="00C82357" w:rsidRPr="00C82357" w:rsidRDefault="00C82357" w:rsidP="00C82357">
            <w:pPr>
              <w:jc w:val="center"/>
              <w:rPr>
                <w:sz w:val="18"/>
                <w:szCs w:val="18"/>
              </w:rPr>
            </w:pPr>
            <w:r w:rsidRPr="00C82357">
              <w:rPr>
                <w:color w:val="000000"/>
                <w:sz w:val="18"/>
                <w:szCs w:val="18"/>
              </w:rPr>
              <w:t>4,0</w:t>
            </w:r>
          </w:p>
        </w:tc>
      </w:tr>
      <w:tr w:rsidR="00C82357" w:rsidRPr="00C82357" w:rsidTr="00C82357">
        <w:trPr>
          <w:trHeight w:val="283"/>
        </w:trPr>
        <w:tc>
          <w:tcPr>
            <w:tcW w:w="2636" w:type="dxa"/>
            <w:vMerge/>
            <w:vAlign w:val="center"/>
            <w:hideMark/>
          </w:tcPr>
          <w:p w:rsidR="00C82357" w:rsidRPr="00C82357" w:rsidRDefault="00C82357" w:rsidP="00C82357">
            <w:pPr>
              <w:rPr>
                <w:sz w:val="18"/>
                <w:szCs w:val="18"/>
              </w:rPr>
            </w:pPr>
          </w:p>
        </w:tc>
        <w:tc>
          <w:tcPr>
            <w:tcW w:w="2261" w:type="dxa"/>
            <w:vAlign w:val="center"/>
            <w:hideMark/>
          </w:tcPr>
          <w:p w:rsidR="00C82357" w:rsidRPr="00C82357" w:rsidRDefault="00C82357" w:rsidP="00C82357">
            <w:pPr>
              <w:rPr>
                <w:sz w:val="18"/>
                <w:szCs w:val="18"/>
              </w:rPr>
            </w:pPr>
            <w:r w:rsidRPr="00C82357">
              <w:rPr>
                <w:sz w:val="18"/>
                <w:szCs w:val="18"/>
              </w:rPr>
              <w:t>Прогноз</w:t>
            </w:r>
          </w:p>
        </w:tc>
        <w:tc>
          <w:tcPr>
            <w:tcW w:w="1057" w:type="dxa"/>
            <w:vAlign w:val="center"/>
          </w:tcPr>
          <w:p w:rsidR="00C82357" w:rsidRPr="00C82357" w:rsidRDefault="00C82357" w:rsidP="00C82357">
            <w:pPr>
              <w:jc w:val="center"/>
              <w:rPr>
                <w:sz w:val="18"/>
                <w:szCs w:val="18"/>
              </w:rPr>
            </w:pPr>
            <w:r w:rsidRPr="00C82357">
              <w:rPr>
                <w:sz w:val="18"/>
                <w:szCs w:val="18"/>
              </w:rPr>
              <w:t>9,5</w:t>
            </w:r>
          </w:p>
        </w:tc>
        <w:tc>
          <w:tcPr>
            <w:tcW w:w="985" w:type="dxa"/>
            <w:vAlign w:val="center"/>
          </w:tcPr>
          <w:p w:rsidR="00C82357" w:rsidRPr="00C82357" w:rsidRDefault="00C82357" w:rsidP="00C82357">
            <w:pPr>
              <w:jc w:val="center"/>
              <w:rPr>
                <w:sz w:val="18"/>
                <w:szCs w:val="18"/>
              </w:rPr>
            </w:pPr>
            <w:r w:rsidRPr="00C82357">
              <w:rPr>
                <w:sz w:val="18"/>
                <w:szCs w:val="18"/>
              </w:rPr>
              <w:t>6,8</w:t>
            </w:r>
          </w:p>
        </w:tc>
        <w:tc>
          <w:tcPr>
            <w:tcW w:w="999" w:type="dxa"/>
            <w:vAlign w:val="center"/>
          </w:tcPr>
          <w:p w:rsidR="00C82357" w:rsidRPr="00C82357" w:rsidRDefault="00C82357" w:rsidP="00C82357">
            <w:pPr>
              <w:jc w:val="center"/>
              <w:rPr>
                <w:sz w:val="18"/>
                <w:szCs w:val="18"/>
              </w:rPr>
            </w:pPr>
            <w:r w:rsidRPr="00C82357">
              <w:rPr>
                <w:sz w:val="18"/>
                <w:szCs w:val="18"/>
              </w:rPr>
              <w:t>4,0</w:t>
            </w:r>
          </w:p>
        </w:tc>
        <w:tc>
          <w:tcPr>
            <w:tcW w:w="993" w:type="dxa"/>
            <w:vAlign w:val="center"/>
          </w:tcPr>
          <w:p w:rsidR="00C82357" w:rsidRPr="00C82357" w:rsidRDefault="00C82357" w:rsidP="00C82357">
            <w:pPr>
              <w:jc w:val="center"/>
              <w:rPr>
                <w:sz w:val="18"/>
                <w:szCs w:val="18"/>
              </w:rPr>
            </w:pPr>
            <w:r w:rsidRPr="00C82357">
              <w:rPr>
                <w:sz w:val="18"/>
                <w:szCs w:val="18"/>
              </w:rPr>
              <w:t>4,0</w:t>
            </w:r>
          </w:p>
        </w:tc>
        <w:tc>
          <w:tcPr>
            <w:tcW w:w="992" w:type="dxa"/>
            <w:vAlign w:val="center"/>
          </w:tcPr>
          <w:p w:rsidR="00C82357" w:rsidRPr="00C82357" w:rsidRDefault="00C82357" w:rsidP="00C82357">
            <w:pPr>
              <w:jc w:val="center"/>
              <w:rPr>
                <w:sz w:val="18"/>
                <w:szCs w:val="18"/>
              </w:rPr>
            </w:pPr>
            <w:r w:rsidRPr="00C82357">
              <w:rPr>
                <w:sz w:val="18"/>
                <w:szCs w:val="18"/>
              </w:rPr>
              <w:t>4,0</w:t>
            </w:r>
          </w:p>
        </w:tc>
      </w:tr>
      <w:tr w:rsidR="00C82357" w:rsidRPr="00C82357" w:rsidTr="00C82357">
        <w:trPr>
          <w:trHeight w:val="283"/>
        </w:trPr>
        <w:tc>
          <w:tcPr>
            <w:tcW w:w="2636" w:type="dxa"/>
            <w:vMerge w:val="restart"/>
            <w:vAlign w:val="center"/>
            <w:hideMark/>
          </w:tcPr>
          <w:p w:rsidR="00C82357" w:rsidRPr="00C82357" w:rsidRDefault="00C82357" w:rsidP="00C82357">
            <w:pPr>
              <w:rPr>
                <w:sz w:val="18"/>
                <w:szCs w:val="18"/>
              </w:rPr>
            </w:pPr>
            <w:r w:rsidRPr="00C82357">
              <w:rPr>
                <w:sz w:val="18"/>
                <w:szCs w:val="18"/>
              </w:rPr>
              <w:t xml:space="preserve">Валовой внутренний продукт </w:t>
            </w:r>
          </w:p>
        </w:tc>
        <w:tc>
          <w:tcPr>
            <w:tcW w:w="2261" w:type="dxa"/>
            <w:vAlign w:val="center"/>
            <w:hideMark/>
          </w:tcPr>
          <w:p w:rsidR="00C82357" w:rsidRPr="00C82357" w:rsidRDefault="00C82357" w:rsidP="00C82357">
            <w:pPr>
              <w:rPr>
                <w:sz w:val="18"/>
                <w:szCs w:val="18"/>
              </w:rPr>
            </w:pPr>
            <w:r w:rsidRPr="00C82357">
              <w:rPr>
                <w:sz w:val="18"/>
                <w:szCs w:val="18"/>
              </w:rPr>
              <w:t>ОНЕГДКП 2026-2028</w:t>
            </w:r>
          </w:p>
        </w:tc>
        <w:tc>
          <w:tcPr>
            <w:tcW w:w="1057" w:type="dxa"/>
            <w:vAlign w:val="center"/>
          </w:tcPr>
          <w:p w:rsidR="00C82357" w:rsidRPr="00C82357" w:rsidRDefault="00C82357" w:rsidP="00C82357">
            <w:pPr>
              <w:jc w:val="center"/>
              <w:rPr>
                <w:sz w:val="18"/>
                <w:szCs w:val="18"/>
              </w:rPr>
            </w:pPr>
            <w:r w:rsidRPr="00C82357">
              <w:rPr>
                <w:color w:val="000000"/>
                <w:sz w:val="18"/>
                <w:szCs w:val="18"/>
              </w:rPr>
              <w:t>4,3</w:t>
            </w:r>
          </w:p>
        </w:tc>
        <w:tc>
          <w:tcPr>
            <w:tcW w:w="985" w:type="dxa"/>
            <w:vAlign w:val="center"/>
          </w:tcPr>
          <w:p w:rsidR="00C82357" w:rsidRPr="00C82357" w:rsidRDefault="00C82357" w:rsidP="00C82357">
            <w:pPr>
              <w:jc w:val="center"/>
              <w:rPr>
                <w:sz w:val="18"/>
                <w:szCs w:val="18"/>
              </w:rPr>
            </w:pPr>
            <w:r w:rsidRPr="00C82357">
              <w:rPr>
                <w:color w:val="000000"/>
                <w:sz w:val="18"/>
                <w:szCs w:val="18"/>
              </w:rPr>
              <w:t>1,0–2,0</w:t>
            </w:r>
          </w:p>
        </w:tc>
        <w:tc>
          <w:tcPr>
            <w:tcW w:w="999" w:type="dxa"/>
            <w:vAlign w:val="center"/>
          </w:tcPr>
          <w:p w:rsidR="00C82357" w:rsidRPr="00C82357" w:rsidRDefault="00C82357" w:rsidP="00C82357">
            <w:pPr>
              <w:jc w:val="center"/>
              <w:rPr>
                <w:sz w:val="18"/>
                <w:szCs w:val="18"/>
              </w:rPr>
            </w:pPr>
            <w:r w:rsidRPr="00C82357">
              <w:rPr>
                <w:color w:val="000000"/>
                <w:sz w:val="18"/>
                <w:szCs w:val="18"/>
              </w:rPr>
              <w:t>0,5–1,5</w:t>
            </w:r>
          </w:p>
        </w:tc>
        <w:tc>
          <w:tcPr>
            <w:tcW w:w="993" w:type="dxa"/>
            <w:vAlign w:val="center"/>
          </w:tcPr>
          <w:p w:rsidR="00C82357" w:rsidRPr="00C82357" w:rsidRDefault="00C82357" w:rsidP="00C82357">
            <w:pPr>
              <w:jc w:val="center"/>
              <w:rPr>
                <w:sz w:val="18"/>
                <w:szCs w:val="18"/>
              </w:rPr>
            </w:pPr>
            <w:r w:rsidRPr="00C82357">
              <w:rPr>
                <w:color w:val="000000"/>
                <w:sz w:val="18"/>
                <w:szCs w:val="18"/>
              </w:rPr>
              <w:t>1,5–2,5</w:t>
            </w:r>
          </w:p>
        </w:tc>
        <w:tc>
          <w:tcPr>
            <w:tcW w:w="992" w:type="dxa"/>
            <w:vAlign w:val="center"/>
          </w:tcPr>
          <w:p w:rsidR="00C82357" w:rsidRPr="00C82357" w:rsidRDefault="00C82357" w:rsidP="00C82357">
            <w:pPr>
              <w:jc w:val="center"/>
              <w:rPr>
                <w:sz w:val="18"/>
                <w:szCs w:val="18"/>
              </w:rPr>
            </w:pPr>
            <w:r w:rsidRPr="00C82357">
              <w:rPr>
                <w:color w:val="000000"/>
                <w:sz w:val="18"/>
                <w:szCs w:val="18"/>
              </w:rPr>
              <w:t>1,5–2,5</w:t>
            </w:r>
          </w:p>
        </w:tc>
      </w:tr>
      <w:tr w:rsidR="00C82357" w:rsidRPr="00C82357" w:rsidTr="00C82357">
        <w:trPr>
          <w:trHeight w:val="283"/>
        </w:trPr>
        <w:tc>
          <w:tcPr>
            <w:tcW w:w="2636" w:type="dxa"/>
            <w:vMerge/>
            <w:vAlign w:val="center"/>
            <w:hideMark/>
          </w:tcPr>
          <w:p w:rsidR="00C82357" w:rsidRPr="00C82357" w:rsidRDefault="00C82357" w:rsidP="00C82357">
            <w:pPr>
              <w:rPr>
                <w:sz w:val="18"/>
                <w:szCs w:val="18"/>
              </w:rPr>
            </w:pPr>
          </w:p>
        </w:tc>
        <w:tc>
          <w:tcPr>
            <w:tcW w:w="2261" w:type="dxa"/>
            <w:vAlign w:val="center"/>
            <w:hideMark/>
          </w:tcPr>
          <w:p w:rsidR="00C82357" w:rsidRPr="00C82357" w:rsidRDefault="00C82357" w:rsidP="00C82357">
            <w:pPr>
              <w:rPr>
                <w:sz w:val="18"/>
                <w:szCs w:val="18"/>
              </w:rPr>
            </w:pPr>
            <w:r w:rsidRPr="00C82357">
              <w:rPr>
                <w:sz w:val="18"/>
                <w:szCs w:val="18"/>
              </w:rPr>
              <w:t>Прогноз</w:t>
            </w:r>
          </w:p>
        </w:tc>
        <w:tc>
          <w:tcPr>
            <w:tcW w:w="1057" w:type="dxa"/>
            <w:vAlign w:val="center"/>
          </w:tcPr>
          <w:p w:rsidR="00C82357" w:rsidRPr="00C82357" w:rsidRDefault="00C82357" w:rsidP="00C82357">
            <w:pPr>
              <w:jc w:val="center"/>
              <w:rPr>
                <w:sz w:val="18"/>
                <w:szCs w:val="18"/>
              </w:rPr>
            </w:pPr>
            <w:r w:rsidRPr="00C82357">
              <w:rPr>
                <w:sz w:val="18"/>
                <w:szCs w:val="18"/>
              </w:rPr>
              <w:t>4,3</w:t>
            </w:r>
          </w:p>
        </w:tc>
        <w:tc>
          <w:tcPr>
            <w:tcW w:w="985" w:type="dxa"/>
            <w:vAlign w:val="center"/>
          </w:tcPr>
          <w:p w:rsidR="00C82357" w:rsidRPr="00C82357" w:rsidRDefault="00C82357" w:rsidP="00C82357">
            <w:pPr>
              <w:jc w:val="center"/>
              <w:rPr>
                <w:sz w:val="18"/>
                <w:szCs w:val="18"/>
              </w:rPr>
            </w:pPr>
            <w:r w:rsidRPr="00C82357">
              <w:rPr>
                <w:sz w:val="18"/>
                <w:szCs w:val="18"/>
              </w:rPr>
              <w:t>1,0</w:t>
            </w:r>
          </w:p>
        </w:tc>
        <w:tc>
          <w:tcPr>
            <w:tcW w:w="999" w:type="dxa"/>
            <w:vAlign w:val="center"/>
          </w:tcPr>
          <w:p w:rsidR="00C82357" w:rsidRPr="00C82357" w:rsidRDefault="00C82357" w:rsidP="00C82357">
            <w:pPr>
              <w:jc w:val="center"/>
              <w:rPr>
                <w:sz w:val="18"/>
                <w:szCs w:val="18"/>
              </w:rPr>
            </w:pPr>
            <w:r w:rsidRPr="00C82357">
              <w:rPr>
                <w:sz w:val="18"/>
                <w:szCs w:val="18"/>
              </w:rPr>
              <w:t>1,3</w:t>
            </w:r>
          </w:p>
        </w:tc>
        <w:tc>
          <w:tcPr>
            <w:tcW w:w="993" w:type="dxa"/>
            <w:vAlign w:val="center"/>
          </w:tcPr>
          <w:p w:rsidR="00C82357" w:rsidRPr="00C82357" w:rsidRDefault="00C82357" w:rsidP="00C82357">
            <w:pPr>
              <w:jc w:val="center"/>
              <w:rPr>
                <w:sz w:val="18"/>
                <w:szCs w:val="18"/>
              </w:rPr>
            </w:pPr>
            <w:r w:rsidRPr="00C82357">
              <w:rPr>
                <w:sz w:val="18"/>
                <w:szCs w:val="18"/>
              </w:rPr>
              <w:t>2,8</w:t>
            </w:r>
          </w:p>
        </w:tc>
        <w:tc>
          <w:tcPr>
            <w:tcW w:w="992" w:type="dxa"/>
            <w:vAlign w:val="center"/>
          </w:tcPr>
          <w:p w:rsidR="00C82357" w:rsidRPr="00C82357" w:rsidRDefault="00C82357" w:rsidP="00C82357">
            <w:pPr>
              <w:jc w:val="center"/>
              <w:rPr>
                <w:sz w:val="18"/>
                <w:szCs w:val="18"/>
              </w:rPr>
            </w:pPr>
            <w:r w:rsidRPr="00C82357">
              <w:rPr>
                <w:sz w:val="18"/>
                <w:szCs w:val="18"/>
              </w:rPr>
              <w:t>2,5</w:t>
            </w:r>
          </w:p>
        </w:tc>
      </w:tr>
      <w:tr w:rsidR="00C82357" w:rsidRPr="00C82357" w:rsidTr="00C82357">
        <w:trPr>
          <w:trHeight w:val="283"/>
        </w:trPr>
        <w:tc>
          <w:tcPr>
            <w:tcW w:w="2636" w:type="dxa"/>
            <w:vMerge w:val="restart"/>
          </w:tcPr>
          <w:p w:rsidR="00C82357" w:rsidRPr="00C82357" w:rsidRDefault="00C82357" w:rsidP="00C82357">
            <w:pPr>
              <w:rPr>
                <w:sz w:val="18"/>
                <w:szCs w:val="18"/>
              </w:rPr>
            </w:pPr>
            <w:r w:rsidRPr="00C82357">
              <w:rPr>
                <w:sz w:val="18"/>
                <w:szCs w:val="18"/>
              </w:rPr>
              <w:t xml:space="preserve">Расходы на конечное потребление </w:t>
            </w:r>
          </w:p>
        </w:tc>
        <w:tc>
          <w:tcPr>
            <w:tcW w:w="2261" w:type="dxa"/>
            <w:vAlign w:val="center"/>
          </w:tcPr>
          <w:p w:rsidR="00C82357" w:rsidRPr="00C82357" w:rsidRDefault="00C82357" w:rsidP="00C82357">
            <w:pPr>
              <w:rPr>
                <w:sz w:val="18"/>
                <w:szCs w:val="18"/>
              </w:rPr>
            </w:pPr>
            <w:r w:rsidRPr="00C82357">
              <w:rPr>
                <w:sz w:val="18"/>
                <w:szCs w:val="18"/>
              </w:rPr>
              <w:t>ОНЕГДКП 2026-2028</w:t>
            </w:r>
          </w:p>
        </w:tc>
        <w:tc>
          <w:tcPr>
            <w:tcW w:w="1057" w:type="dxa"/>
          </w:tcPr>
          <w:p w:rsidR="00C82357" w:rsidRPr="00C82357" w:rsidRDefault="00C82357" w:rsidP="00C82357">
            <w:pPr>
              <w:jc w:val="center"/>
              <w:rPr>
                <w:color w:val="000000"/>
                <w:sz w:val="18"/>
                <w:szCs w:val="18"/>
              </w:rPr>
            </w:pPr>
            <w:r w:rsidRPr="00C82357">
              <w:rPr>
                <w:color w:val="000000"/>
                <w:sz w:val="18"/>
                <w:szCs w:val="18"/>
              </w:rPr>
              <w:t>5,2</w:t>
            </w:r>
          </w:p>
        </w:tc>
        <w:tc>
          <w:tcPr>
            <w:tcW w:w="985" w:type="dxa"/>
          </w:tcPr>
          <w:p w:rsidR="00C82357" w:rsidRPr="00C82357" w:rsidRDefault="00C82357" w:rsidP="00C82357">
            <w:pPr>
              <w:jc w:val="center"/>
              <w:rPr>
                <w:color w:val="000000"/>
                <w:sz w:val="18"/>
                <w:szCs w:val="18"/>
              </w:rPr>
            </w:pPr>
            <w:r w:rsidRPr="00C82357">
              <w:rPr>
                <w:color w:val="000000"/>
                <w:sz w:val="18"/>
                <w:szCs w:val="18"/>
              </w:rPr>
              <w:t>0,5-1,5</w:t>
            </w:r>
          </w:p>
        </w:tc>
        <w:tc>
          <w:tcPr>
            <w:tcW w:w="999" w:type="dxa"/>
          </w:tcPr>
          <w:p w:rsidR="00C82357" w:rsidRPr="00C82357" w:rsidRDefault="00C82357" w:rsidP="00C82357">
            <w:pPr>
              <w:jc w:val="center"/>
              <w:rPr>
                <w:color w:val="000000"/>
                <w:sz w:val="18"/>
                <w:szCs w:val="18"/>
              </w:rPr>
            </w:pPr>
            <w:r w:rsidRPr="00C82357">
              <w:rPr>
                <w:color w:val="000000"/>
                <w:sz w:val="18"/>
                <w:szCs w:val="18"/>
              </w:rPr>
              <w:t>0,5-1,5</w:t>
            </w:r>
          </w:p>
        </w:tc>
        <w:tc>
          <w:tcPr>
            <w:tcW w:w="993" w:type="dxa"/>
          </w:tcPr>
          <w:p w:rsidR="00C82357" w:rsidRPr="00C82357" w:rsidRDefault="00C82357" w:rsidP="00C82357">
            <w:pPr>
              <w:jc w:val="center"/>
              <w:rPr>
                <w:color w:val="000000"/>
                <w:sz w:val="18"/>
                <w:szCs w:val="18"/>
              </w:rPr>
            </w:pPr>
            <w:r w:rsidRPr="00C82357">
              <w:rPr>
                <w:color w:val="000000"/>
                <w:sz w:val="18"/>
                <w:szCs w:val="18"/>
              </w:rPr>
              <w:t>1,5-2,5</w:t>
            </w:r>
          </w:p>
        </w:tc>
        <w:tc>
          <w:tcPr>
            <w:tcW w:w="992" w:type="dxa"/>
          </w:tcPr>
          <w:p w:rsidR="00C82357" w:rsidRPr="00C82357" w:rsidRDefault="00C82357" w:rsidP="00C82357">
            <w:pPr>
              <w:jc w:val="center"/>
              <w:rPr>
                <w:color w:val="000000"/>
                <w:sz w:val="18"/>
                <w:szCs w:val="18"/>
              </w:rPr>
            </w:pPr>
            <w:r w:rsidRPr="00C82357">
              <w:rPr>
                <w:color w:val="000000"/>
                <w:sz w:val="18"/>
                <w:szCs w:val="18"/>
              </w:rPr>
              <w:t>1,5-2,5</w:t>
            </w:r>
          </w:p>
        </w:tc>
      </w:tr>
      <w:tr w:rsidR="00C82357" w:rsidRPr="00C82357" w:rsidTr="00C82357">
        <w:trPr>
          <w:trHeight w:val="283"/>
        </w:trPr>
        <w:tc>
          <w:tcPr>
            <w:tcW w:w="2636" w:type="dxa"/>
            <w:vMerge/>
          </w:tcPr>
          <w:p w:rsidR="00C82357" w:rsidRPr="00C82357" w:rsidRDefault="00C82357" w:rsidP="00C82357">
            <w:pPr>
              <w:rPr>
                <w:sz w:val="18"/>
                <w:szCs w:val="18"/>
              </w:rPr>
            </w:pPr>
          </w:p>
        </w:tc>
        <w:tc>
          <w:tcPr>
            <w:tcW w:w="2261" w:type="dxa"/>
            <w:vAlign w:val="center"/>
          </w:tcPr>
          <w:p w:rsidR="00C82357" w:rsidRPr="00C82357" w:rsidRDefault="00C82357" w:rsidP="00C82357">
            <w:pPr>
              <w:rPr>
                <w:sz w:val="18"/>
                <w:szCs w:val="18"/>
              </w:rPr>
            </w:pPr>
            <w:r w:rsidRPr="00C82357">
              <w:rPr>
                <w:sz w:val="18"/>
                <w:szCs w:val="18"/>
              </w:rPr>
              <w:t>Прогноз</w:t>
            </w:r>
          </w:p>
        </w:tc>
        <w:tc>
          <w:tcPr>
            <w:tcW w:w="1057" w:type="dxa"/>
          </w:tcPr>
          <w:p w:rsidR="00C82357" w:rsidRPr="00C82357" w:rsidRDefault="00C82357" w:rsidP="00C82357">
            <w:pPr>
              <w:jc w:val="center"/>
              <w:rPr>
                <w:color w:val="000000"/>
                <w:sz w:val="18"/>
                <w:szCs w:val="18"/>
              </w:rPr>
            </w:pPr>
            <w:r w:rsidRPr="00C82357">
              <w:rPr>
                <w:color w:val="000000"/>
                <w:sz w:val="18"/>
                <w:szCs w:val="18"/>
              </w:rPr>
              <w:t>5,2</w:t>
            </w:r>
          </w:p>
        </w:tc>
        <w:tc>
          <w:tcPr>
            <w:tcW w:w="985" w:type="dxa"/>
          </w:tcPr>
          <w:p w:rsidR="00C82357" w:rsidRPr="00C82357" w:rsidRDefault="00C82357" w:rsidP="00C82357">
            <w:pPr>
              <w:jc w:val="center"/>
              <w:rPr>
                <w:color w:val="000000"/>
                <w:sz w:val="18"/>
                <w:szCs w:val="18"/>
              </w:rPr>
            </w:pPr>
            <w:r w:rsidRPr="00C82357">
              <w:rPr>
                <w:color w:val="000000"/>
                <w:sz w:val="18"/>
                <w:szCs w:val="18"/>
              </w:rPr>
              <w:t>2,2</w:t>
            </w:r>
          </w:p>
        </w:tc>
        <w:tc>
          <w:tcPr>
            <w:tcW w:w="999" w:type="dxa"/>
          </w:tcPr>
          <w:p w:rsidR="00C82357" w:rsidRPr="00C82357" w:rsidRDefault="00C82357" w:rsidP="00C82357">
            <w:pPr>
              <w:jc w:val="center"/>
              <w:rPr>
                <w:color w:val="000000"/>
                <w:sz w:val="18"/>
                <w:szCs w:val="18"/>
              </w:rPr>
            </w:pPr>
            <w:r w:rsidRPr="00C82357">
              <w:rPr>
                <w:color w:val="000000"/>
                <w:sz w:val="18"/>
                <w:szCs w:val="18"/>
              </w:rPr>
              <w:t>1,0</w:t>
            </w:r>
          </w:p>
        </w:tc>
        <w:tc>
          <w:tcPr>
            <w:tcW w:w="993" w:type="dxa"/>
          </w:tcPr>
          <w:p w:rsidR="00C82357" w:rsidRPr="00C82357" w:rsidRDefault="00C82357" w:rsidP="00C82357">
            <w:pPr>
              <w:jc w:val="center"/>
              <w:rPr>
                <w:color w:val="000000"/>
                <w:sz w:val="18"/>
                <w:szCs w:val="18"/>
              </w:rPr>
            </w:pPr>
            <w:r w:rsidRPr="00C82357">
              <w:rPr>
                <w:color w:val="000000"/>
                <w:sz w:val="18"/>
                <w:szCs w:val="18"/>
              </w:rPr>
              <w:t>2,0</w:t>
            </w:r>
          </w:p>
        </w:tc>
        <w:tc>
          <w:tcPr>
            <w:tcW w:w="992" w:type="dxa"/>
          </w:tcPr>
          <w:p w:rsidR="00C82357" w:rsidRPr="00C82357" w:rsidRDefault="00C82357" w:rsidP="00C82357">
            <w:pPr>
              <w:jc w:val="center"/>
              <w:rPr>
                <w:color w:val="000000"/>
                <w:sz w:val="18"/>
                <w:szCs w:val="18"/>
              </w:rPr>
            </w:pPr>
            <w:r w:rsidRPr="00C82357">
              <w:rPr>
                <w:color w:val="000000"/>
                <w:sz w:val="18"/>
                <w:szCs w:val="18"/>
              </w:rPr>
              <w:t>1,8</w:t>
            </w:r>
          </w:p>
        </w:tc>
      </w:tr>
      <w:tr w:rsidR="00C82357" w:rsidRPr="00C82357" w:rsidTr="00C82357">
        <w:trPr>
          <w:trHeight w:val="283"/>
        </w:trPr>
        <w:tc>
          <w:tcPr>
            <w:tcW w:w="2636" w:type="dxa"/>
            <w:vMerge w:val="restart"/>
          </w:tcPr>
          <w:p w:rsidR="00C82357" w:rsidRPr="00C82357" w:rsidRDefault="00C82357" w:rsidP="00C82357">
            <w:pPr>
              <w:spacing w:before="120"/>
              <w:ind w:left="352"/>
              <w:rPr>
                <w:sz w:val="18"/>
                <w:szCs w:val="18"/>
              </w:rPr>
            </w:pPr>
            <w:r w:rsidRPr="00C82357">
              <w:rPr>
                <w:sz w:val="18"/>
                <w:szCs w:val="18"/>
              </w:rPr>
              <w:t>домашних хозяйств</w:t>
            </w:r>
          </w:p>
        </w:tc>
        <w:tc>
          <w:tcPr>
            <w:tcW w:w="2261" w:type="dxa"/>
            <w:vAlign w:val="center"/>
          </w:tcPr>
          <w:p w:rsidR="00C82357" w:rsidRPr="00C82357" w:rsidRDefault="00C82357" w:rsidP="00C82357">
            <w:pPr>
              <w:rPr>
                <w:sz w:val="18"/>
                <w:szCs w:val="18"/>
              </w:rPr>
            </w:pPr>
            <w:r w:rsidRPr="00C82357">
              <w:rPr>
                <w:sz w:val="18"/>
                <w:szCs w:val="18"/>
              </w:rPr>
              <w:t>ОНЕГДКП 2026-2028</w:t>
            </w:r>
          </w:p>
        </w:tc>
        <w:tc>
          <w:tcPr>
            <w:tcW w:w="1057" w:type="dxa"/>
          </w:tcPr>
          <w:p w:rsidR="00C82357" w:rsidRPr="00C82357" w:rsidRDefault="00C82357" w:rsidP="00C82357">
            <w:pPr>
              <w:jc w:val="center"/>
              <w:rPr>
                <w:sz w:val="18"/>
                <w:szCs w:val="18"/>
              </w:rPr>
            </w:pPr>
            <w:r w:rsidRPr="00C82357">
              <w:rPr>
                <w:sz w:val="18"/>
                <w:szCs w:val="18"/>
              </w:rPr>
              <w:t>5,4</w:t>
            </w:r>
          </w:p>
        </w:tc>
        <w:tc>
          <w:tcPr>
            <w:tcW w:w="985" w:type="dxa"/>
          </w:tcPr>
          <w:p w:rsidR="00C82357" w:rsidRPr="00C82357" w:rsidRDefault="00C82357" w:rsidP="00C82357">
            <w:pPr>
              <w:jc w:val="center"/>
              <w:rPr>
                <w:sz w:val="18"/>
                <w:szCs w:val="18"/>
              </w:rPr>
            </w:pPr>
            <w:r w:rsidRPr="00C82357">
              <w:rPr>
                <w:sz w:val="18"/>
                <w:szCs w:val="18"/>
              </w:rPr>
              <w:t>0,5–1,5</w:t>
            </w:r>
          </w:p>
        </w:tc>
        <w:tc>
          <w:tcPr>
            <w:tcW w:w="999" w:type="dxa"/>
          </w:tcPr>
          <w:p w:rsidR="00C82357" w:rsidRPr="00C82357" w:rsidRDefault="00C82357" w:rsidP="00C82357">
            <w:pPr>
              <w:jc w:val="center"/>
              <w:rPr>
                <w:sz w:val="18"/>
                <w:szCs w:val="18"/>
              </w:rPr>
            </w:pPr>
            <w:r w:rsidRPr="00C82357">
              <w:rPr>
                <w:sz w:val="18"/>
                <w:szCs w:val="18"/>
              </w:rPr>
              <w:t>0,5–1,5</w:t>
            </w:r>
          </w:p>
        </w:tc>
        <w:tc>
          <w:tcPr>
            <w:tcW w:w="993" w:type="dxa"/>
          </w:tcPr>
          <w:p w:rsidR="00C82357" w:rsidRPr="00C82357" w:rsidRDefault="00C82357" w:rsidP="00C82357">
            <w:pPr>
              <w:jc w:val="center"/>
              <w:rPr>
                <w:sz w:val="18"/>
                <w:szCs w:val="18"/>
              </w:rPr>
            </w:pPr>
            <w:r w:rsidRPr="00C82357">
              <w:rPr>
                <w:sz w:val="18"/>
                <w:szCs w:val="18"/>
              </w:rPr>
              <w:t>1,5–2,5</w:t>
            </w:r>
          </w:p>
        </w:tc>
        <w:tc>
          <w:tcPr>
            <w:tcW w:w="992" w:type="dxa"/>
          </w:tcPr>
          <w:p w:rsidR="00C82357" w:rsidRPr="00C82357" w:rsidRDefault="00C82357" w:rsidP="00C82357">
            <w:pPr>
              <w:jc w:val="center"/>
              <w:rPr>
                <w:sz w:val="18"/>
                <w:szCs w:val="18"/>
              </w:rPr>
            </w:pPr>
            <w:r w:rsidRPr="00C82357">
              <w:rPr>
                <w:sz w:val="18"/>
                <w:szCs w:val="18"/>
              </w:rPr>
              <w:t>1,5–2,5</w:t>
            </w:r>
          </w:p>
        </w:tc>
      </w:tr>
      <w:tr w:rsidR="00C82357" w:rsidRPr="00C82357" w:rsidTr="00C82357">
        <w:trPr>
          <w:trHeight w:val="283"/>
        </w:trPr>
        <w:tc>
          <w:tcPr>
            <w:tcW w:w="2636" w:type="dxa"/>
            <w:vMerge/>
          </w:tcPr>
          <w:p w:rsidR="00C82357" w:rsidRPr="00C82357" w:rsidRDefault="00C82357" w:rsidP="00C82357">
            <w:pPr>
              <w:rPr>
                <w:sz w:val="18"/>
                <w:szCs w:val="18"/>
              </w:rPr>
            </w:pPr>
          </w:p>
        </w:tc>
        <w:tc>
          <w:tcPr>
            <w:tcW w:w="2261" w:type="dxa"/>
            <w:vAlign w:val="center"/>
          </w:tcPr>
          <w:p w:rsidR="00C82357" w:rsidRPr="00C82357" w:rsidRDefault="00C82357" w:rsidP="00C82357">
            <w:pPr>
              <w:rPr>
                <w:sz w:val="18"/>
                <w:szCs w:val="18"/>
              </w:rPr>
            </w:pPr>
            <w:r w:rsidRPr="00C82357">
              <w:rPr>
                <w:sz w:val="18"/>
                <w:szCs w:val="18"/>
              </w:rPr>
              <w:t>Прогноз</w:t>
            </w:r>
          </w:p>
        </w:tc>
        <w:tc>
          <w:tcPr>
            <w:tcW w:w="1057" w:type="dxa"/>
          </w:tcPr>
          <w:p w:rsidR="00C82357" w:rsidRPr="00C82357" w:rsidRDefault="00C82357" w:rsidP="00C82357">
            <w:pPr>
              <w:jc w:val="center"/>
              <w:rPr>
                <w:sz w:val="18"/>
                <w:szCs w:val="18"/>
              </w:rPr>
            </w:pPr>
            <w:r w:rsidRPr="00C82357">
              <w:rPr>
                <w:sz w:val="18"/>
                <w:szCs w:val="18"/>
              </w:rPr>
              <w:t>5,4</w:t>
            </w:r>
          </w:p>
        </w:tc>
        <w:tc>
          <w:tcPr>
            <w:tcW w:w="985" w:type="dxa"/>
          </w:tcPr>
          <w:p w:rsidR="00C82357" w:rsidRPr="00C82357" w:rsidRDefault="00C82357" w:rsidP="00C82357">
            <w:pPr>
              <w:jc w:val="center"/>
              <w:rPr>
                <w:sz w:val="18"/>
                <w:szCs w:val="18"/>
              </w:rPr>
            </w:pPr>
            <w:r w:rsidRPr="00C82357">
              <w:rPr>
                <w:sz w:val="18"/>
                <w:szCs w:val="18"/>
              </w:rPr>
              <w:t>2,5</w:t>
            </w:r>
          </w:p>
        </w:tc>
        <w:tc>
          <w:tcPr>
            <w:tcW w:w="999" w:type="dxa"/>
          </w:tcPr>
          <w:p w:rsidR="00C82357" w:rsidRPr="00C82357" w:rsidRDefault="00C82357" w:rsidP="00C82357">
            <w:pPr>
              <w:jc w:val="center"/>
              <w:rPr>
                <w:sz w:val="18"/>
                <w:szCs w:val="18"/>
              </w:rPr>
            </w:pPr>
            <w:r w:rsidRPr="00C82357">
              <w:rPr>
                <w:sz w:val="18"/>
                <w:szCs w:val="18"/>
              </w:rPr>
              <w:t>0,7</w:t>
            </w:r>
          </w:p>
        </w:tc>
        <w:tc>
          <w:tcPr>
            <w:tcW w:w="993" w:type="dxa"/>
          </w:tcPr>
          <w:p w:rsidR="00C82357" w:rsidRPr="00C82357" w:rsidRDefault="00C82357" w:rsidP="00C82357">
            <w:pPr>
              <w:jc w:val="center"/>
              <w:rPr>
                <w:sz w:val="18"/>
                <w:szCs w:val="18"/>
              </w:rPr>
            </w:pPr>
            <w:r w:rsidRPr="00C82357">
              <w:rPr>
                <w:sz w:val="18"/>
                <w:szCs w:val="18"/>
              </w:rPr>
              <w:t>2,5</w:t>
            </w:r>
          </w:p>
        </w:tc>
        <w:tc>
          <w:tcPr>
            <w:tcW w:w="992" w:type="dxa"/>
          </w:tcPr>
          <w:p w:rsidR="00C82357" w:rsidRPr="00C82357" w:rsidRDefault="00C82357" w:rsidP="00C82357">
            <w:pPr>
              <w:jc w:val="center"/>
              <w:rPr>
                <w:sz w:val="18"/>
                <w:szCs w:val="18"/>
              </w:rPr>
            </w:pPr>
            <w:r w:rsidRPr="00C82357">
              <w:rPr>
                <w:sz w:val="18"/>
                <w:szCs w:val="18"/>
              </w:rPr>
              <w:t>2,2</w:t>
            </w:r>
          </w:p>
        </w:tc>
      </w:tr>
      <w:tr w:rsidR="00C82357" w:rsidRPr="00C82357" w:rsidTr="00C82357">
        <w:trPr>
          <w:trHeight w:val="283"/>
        </w:trPr>
        <w:tc>
          <w:tcPr>
            <w:tcW w:w="2636" w:type="dxa"/>
            <w:vMerge w:val="restart"/>
          </w:tcPr>
          <w:p w:rsidR="00C82357" w:rsidRPr="00C82357" w:rsidRDefault="00C82357" w:rsidP="00C82357">
            <w:pPr>
              <w:rPr>
                <w:sz w:val="18"/>
                <w:szCs w:val="18"/>
              </w:rPr>
            </w:pPr>
            <w:r w:rsidRPr="00C82357">
              <w:rPr>
                <w:sz w:val="18"/>
                <w:szCs w:val="18"/>
              </w:rPr>
              <w:t xml:space="preserve">Валовое накопление </w:t>
            </w:r>
          </w:p>
        </w:tc>
        <w:tc>
          <w:tcPr>
            <w:tcW w:w="2261" w:type="dxa"/>
            <w:vAlign w:val="center"/>
          </w:tcPr>
          <w:p w:rsidR="00C82357" w:rsidRPr="00C82357" w:rsidRDefault="00C82357" w:rsidP="00C82357">
            <w:pPr>
              <w:rPr>
                <w:sz w:val="18"/>
                <w:szCs w:val="18"/>
              </w:rPr>
            </w:pPr>
            <w:r w:rsidRPr="00C82357">
              <w:rPr>
                <w:sz w:val="18"/>
                <w:szCs w:val="18"/>
              </w:rPr>
              <w:t>ОНЕГДКП 2026-2028</w:t>
            </w:r>
          </w:p>
        </w:tc>
        <w:tc>
          <w:tcPr>
            <w:tcW w:w="1057" w:type="dxa"/>
          </w:tcPr>
          <w:p w:rsidR="00C82357" w:rsidRPr="00C82357" w:rsidRDefault="00C82357" w:rsidP="00C82357">
            <w:pPr>
              <w:jc w:val="center"/>
              <w:rPr>
                <w:color w:val="000000"/>
                <w:sz w:val="18"/>
                <w:szCs w:val="18"/>
              </w:rPr>
            </w:pPr>
            <w:r w:rsidRPr="00C82357">
              <w:rPr>
                <w:color w:val="000000"/>
                <w:sz w:val="18"/>
                <w:szCs w:val="18"/>
              </w:rPr>
              <w:t>2,1</w:t>
            </w:r>
          </w:p>
        </w:tc>
        <w:tc>
          <w:tcPr>
            <w:tcW w:w="985" w:type="dxa"/>
          </w:tcPr>
          <w:p w:rsidR="00C82357" w:rsidRPr="00C82357" w:rsidRDefault="00C82357" w:rsidP="00C82357">
            <w:pPr>
              <w:jc w:val="center"/>
              <w:rPr>
                <w:color w:val="000000"/>
                <w:sz w:val="18"/>
                <w:szCs w:val="18"/>
              </w:rPr>
            </w:pPr>
            <w:r w:rsidRPr="00C82357">
              <w:rPr>
                <w:color w:val="000000"/>
                <w:sz w:val="18"/>
                <w:szCs w:val="18"/>
              </w:rPr>
              <w:t>0,5-2,5</w:t>
            </w:r>
          </w:p>
        </w:tc>
        <w:tc>
          <w:tcPr>
            <w:tcW w:w="999" w:type="dxa"/>
          </w:tcPr>
          <w:p w:rsidR="00C82357" w:rsidRPr="00C82357" w:rsidRDefault="00C82357" w:rsidP="00C82357">
            <w:pPr>
              <w:jc w:val="center"/>
              <w:rPr>
                <w:color w:val="000000"/>
                <w:sz w:val="18"/>
                <w:szCs w:val="18"/>
              </w:rPr>
            </w:pPr>
            <w:r w:rsidRPr="00C82357">
              <w:rPr>
                <w:color w:val="000000"/>
                <w:sz w:val="18"/>
                <w:szCs w:val="18"/>
              </w:rPr>
              <w:t>0,5-2,5</w:t>
            </w:r>
          </w:p>
        </w:tc>
        <w:tc>
          <w:tcPr>
            <w:tcW w:w="993" w:type="dxa"/>
          </w:tcPr>
          <w:p w:rsidR="00C82357" w:rsidRPr="00C82357" w:rsidRDefault="00C82357" w:rsidP="00C82357">
            <w:pPr>
              <w:jc w:val="center"/>
              <w:rPr>
                <w:color w:val="000000"/>
                <w:sz w:val="18"/>
                <w:szCs w:val="18"/>
              </w:rPr>
            </w:pPr>
            <w:r w:rsidRPr="00C82357">
              <w:rPr>
                <w:color w:val="000000"/>
                <w:sz w:val="18"/>
                <w:szCs w:val="18"/>
              </w:rPr>
              <w:t>1,0-3,0</w:t>
            </w:r>
          </w:p>
        </w:tc>
        <w:tc>
          <w:tcPr>
            <w:tcW w:w="992" w:type="dxa"/>
          </w:tcPr>
          <w:p w:rsidR="00C82357" w:rsidRPr="00C82357" w:rsidRDefault="00C82357" w:rsidP="00C82357">
            <w:pPr>
              <w:jc w:val="center"/>
              <w:rPr>
                <w:color w:val="000000"/>
                <w:sz w:val="18"/>
                <w:szCs w:val="18"/>
              </w:rPr>
            </w:pPr>
            <w:r w:rsidRPr="00C82357">
              <w:rPr>
                <w:color w:val="000000"/>
                <w:sz w:val="18"/>
                <w:szCs w:val="18"/>
              </w:rPr>
              <w:t>1,0-3,0</w:t>
            </w:r>
          </w:p>
        </w:tc>
      </w:tr>
      <w:tr w:rsidR="00C82357" w:rsidRPr="00C82357" w:rsidTr="00C82357">
        <w:trPr>
          <w:trHeight w:val="283"/>
        </w:trPr>
        <w:tc>
          <w:tcPr>
            <w:tcW w:w="2636" w:type="dxa"/>
            <w:vMerge/>
          </w:tcPr>
          <w:p w:rsidR="00C82357" w:rsidRPr="00C82357" w:rsidRDefault="00C82357" w:rsidP="00C82357">
            <w:pPr>
              <w:rPr>
                <w:sz w:val="18"/>
                <w:szCs w:val="18"/>
              </w:rPr>
            </w:pPr>
          </w:p>
        </w:tc>
        <w:tc>
          <w:tcPr>
            <w:tcW w:w="2261" w:type="dxa"/>
            <w:vAlign w:val="center"/>
          </w:tcPr>
          <w:p w:rsidR="00C82357" w:rsidRPr="00C82357" w:rsidRDefault="00C82357" w:rsidP="00C82357">
            <w:pPr>
              <w:rPr>
                <w:sz w:val="18"/>
                <w:szCs w:val="18"/>
              </w:rPr>
            </w:pPr>
            <w:r w:rsidRPr="00C82357">
              <w:rPr>
                <w:sz w:val="18"/>
                <w:szCs w:val="18"/>
              </w:rPr>
              <w:t>Прогноз</w:t>
            </w:r>
          </w:p>
        </w:tc>
        <w:tc>
          <w:tcPr>
            <w:tcW w:w="1057" w:type="dxa"/>
          </w:tcPr>
          <w:p w:rsidR="00C82357" w:rsidRPr="00C82357" w:rsidRDefault="00C82357" w:rsidP="00C82357">
            <w:pPr>
              <w:jc w:val="center"/>
              <w:rPr>
                <w:color w:val="000000"/>
                <w:sz w:val="18"/>
                <w:szCs w:val="18"/>
              </w:rPr>
            </w:pPr>
            <w:r w:rsidRPr="00C82357">
              <w:rPr>
                <w:color w:val="000000"/>
                <w:sz w:val="18"/>
                <w:szCs w:val="18"/>
              </w:rPr>
              <w:t>2,1</w:t>
            </w:r>
          </w:p>
        </w:tc>
        <w:tc>
          <w:tcPr>
            <w:tcW w:w="985" w:type="dxa"/>
          </w:tcPr>
          <w:p w:rsidR="00C82357" w:rsidRPr="00C82357" w:rsidRDefault="00C82357" w:rsidP="00C82357">
            <w:pPr>
              <w:jc w:val="center"/>
              <w:rPr>
                <w:color w:val="000000"/>
                <w:sz w:val="18"/>
                <w:szCs w:val="18"/>
              </w:rPr>
            </w:pPr>
            <w:r w:rsidRPr="00C82357">
              <w:rPr>
                <w:color w:val="000000"/>
                <w:sz w:val="18"/>
                <w:szCs w:val="18"/>
              </w:rPr>
              <w:t>-1,5</w:t>
            </w:r>
          </w:p>
        </w:tc>
        <w:tc>
          <w:tcPr>
            <w:tcW w:w="999" w:type="dxa"/>
          </w:tcPr>
          <w:p w:rsidR="00C82357" w:rsidRPr="00C82357" w:rsidRDefault="00C82357" w:rsidP="00C82357">
            <w:pPr>
              <w:jc w:val="center"/>
              <w:rPr>
                <w:color w:val="000000"/>
                <w:sz w:val="18"/>
                <w:szCs w:val="18"/>
              </w:rPr>
            </w:pPr>
            <w:r w:rsidRPr="00C82357">
              <w:rPr>
                <w:color w:val="000000"/>
                <w:sz w:val="18"/>
                <w:szCs w:val="18"/>
              </w:rPr>
              <w:t>0,5</w:t>
            </w:r>
          </w:p>
        </w:tc>
        <w:tc>
          <w:tcPr>
            <w:tcW w:w="993" w:type="dxa"/>
          </w:tcPr>
          <w:p w:rsidR="00C82357" w:rsidRPr="00C82357" w:rsidRDefault="00C82357" w:rsidP="00C82357">
            <w:pPr>
              <w:jc w:val="center"/>
              <w:rPr>
                <w:color w:val="000000"/>
                <w:sz w:val="18"/>
                <w:szCs w:val="18"/>
              </w:rPr>
            </w:pPr>
            <w:r w:rsidRPr="00C82357">
              <w:rPr>
                <w:color w:val="000000"/>
                <w:sz w:val="18"/>
                <w:szCs w:val="18"/>
              </w:rPr>
              <w:t>4,3</w:t>
            </w:r>
          </w:p>
        </w:tc>
        <w:tc>
          <w:tcPr>
            <w:tcW w:w="992" w:type="dxa"/>
          </w:tcPr>
          <w:p w:rsidR="00C82357" w:rsidRPr="00C82357" w:rsidRDefault="00C82357" w:rsidP="00C82357">
            <w:pPr>
              <w:jc w:val="center"/>
              <w:rPr>
                <w:color w:val="000000"/>
                <w:sz w:val="18"/>
                <w:szCs w:val="18"/>
              </w:rPr>
            </w:pPr>
            <w:r w:rsidRPr="00C82357">
              <w:rPr>
                <w:color w:val="000000"/>
                <w:sz w:val="18"/>
                <w:szCs w:val="18"/>
              </w:rPr>
              <w:t>2,5</w:t>
            </w:r>
          </w:p>
        </w:tc>
      </w:tr>
      <w:tr w:rsidR="00C82357" w:rsidRPr="00C82357" w:rsidTr="00C82357">
        <w:trPr>
          <w:trHeight w:val="283"/>
        </w:trPr>
        <w:tc>
          <w:tcPr>
            <w:tcW w:w="2636" w:type="dxa"/>
            <w:vMerge w:val="restart"/>
            <w:vAlign w:val="center"/>
          </w:tcPr>
          <w:p w:rsidR="00C82357" w:rsidRPr="00C82357" w:rsidRDefault="00C82357" w:rsidP="00C82357">
            <w:pPr>
              <w:ind w:left="352"/>
              <w:rPr>
                <w:sz w:val="18"/>
                <w:szCs w:val="18"/>
              </w:rPr>
            </w:pPr>
            <w:r w:rsidRPr="00C82357">
              <w:rPr>
                <w:sz w:val="18"/>
                <w:szCs w:val="18"/>
              </w:rPr>
              <w:t>основного капитала</w:t>
            </w:r>
          </w:p>
        </w:tc>
        <w:tc>
          <w:tcPr>
            <w:tcW w:w="2261" w:type="dxa"/>
            <w:vAlign w:val="center"/>
          </w:tcPr>
          <w:p w:rsidR="00C82357" w:rsidRPr="00C82357" w:rsidRDefault="00C82357" w:rsidP="00C82357">
            <w:pPr>
              <w:rPr>
                <w:sz w:val="18"/>
                <w:szCs w:val="18"/>
              </w:rPr>
            </w:pPr>
            <w:r w:rsidRPr="00C82357">
              <w:rPr>
                <w:sz w:val="18"/>
                <w:szCs w:val="18"/>
              </w:rPr>
              <w:t>ОНЕГДКП 2026-2028</w:t>
            </w:r>
          </w:p>
        </w:tc>
        <w:tc>
          <w:tcPr>
            <w:tcW w:w="1057" w:type="dxa"/>
          </w:tcPr>
          <w:p w:rsidR="00C82357" w:rsidRPr="00C82357" w:rsidRDefault="00C82357" w:rsidP="00C82357">
            <w:pPr>
              <w:jc w:val="center"/>
              <w:rPr>
                <w:color w:val="000000"/>
                <w:sz w:val="18"/>
                <w:szCs w:val="18"/>
              </w:rPr>
            </w:pPr>
            <w:r w:rsidRPr="00C82357">
              <w:rPr>
                <w:sz w:val="18"/>
                <w:szCs w:val="18"/>
              </w:rPr>
              <w:t>6,0</w:t>
            </w:r>
          </w:p>
        </w:tc>
        <w:tc>
          <w:tcPr>
            <w:tcW w:w="985" w:type="dxa"/>
          </w:tcPr>
          <w:p w:rsidR="00C82357" w:rsidRPr="00C82357" w:rsidRDefault="00C82357" w:rsidP="00C82357">
            <w:pPr>
              <w:jc w:val="center"/>
              <w:rPr>
                <w:color w:val="000000"/>
                <w:sz w:val="18"/>
                <w:szCs w:val="18"/>
              </w:rPr>
            </w:pPr>
            <w:r w:rsidRPr="00C82357">
              <w:rPr>
                <w:sz w:val="18"/>
                <w:szCs w:val="18"/>
              </w:rPr>
              <w:t>1,5–3,5</w:t>
            </w:r>
          </w:p>
        </w:tc>
        <w:tc>
          <w:tcPr>
            <w:tcW w:w="999" w:type="dxa"/>
          </w:tcPr>
          <w:p w:rsidR="00C82357" w:rsidRPr="00C82357" w:rsidRDefault="00C82357" w:rsidP="00C82357">
            <w:pPr>
              <w:jc w:val="center"/>
              <w:rPr>
                <w:color w:val="000000"/>
                <w:sz w:val="18"/>
                <w:szCs w:val="18"/>
              </w:rPr>
            </w:pPr>
            <w:r w:rsidRPr="00C82357">
              <w:rPr>
                <w:sz w:val="18"/>
                <w:szCs w:val="18"/>
              </w:rPr>
              <w:t>0,0–2,0</w:t>
            </w:r>
          </w:p>
        </w:tc>
        <w:tc>
          <w:tcPr>
            <w:tcW w:w="993" w:type="dxa"/>
          </w:tcPr>
          <w:p w:rsidR="00C82357" w:rsidRPr="00C82357" w:rsidRDefault="00C82357" w:rsidP="00C82357">
            <w:pPr>
              <w:jc w:val="center"/>
              <w:rPr>
                <w:color w:val="000000"/>
                <w:sz w:val="18"/>
                <w:szCs w:val="18"/>
              </w:rPr>
            </w:pPr>
            <w:r w:rsidRPr="00C82357">
              <w:rPr>
                <w:sz w:val="18"/>
                <w:szCs w:val="18"/>
              </w:rPr>
              <w:t>1,0–3,0</w:t>
            </w:r>
          </w:p>
        </w:tc>
        <w:tc>
          <w:tcPr>
            <w:tcW w:w="992" w:type="dxa"/>
          </w:tcPr>
          <w:p w:rsidR="00C82357" w:rsidRPr="00C82357" w:rsidRDefault="00C82357" w:rsidP="00C82357">
            <w:pPr>
              <w:jc w:val="center"/>
              <w:rPr>
                <w:color w:val="000000"/>
                <w:sz w:val="18"/>
                <w:szCs w:val="18"/>
              </w:rPr>
            </w:pPr>
            <w:r w:rsidRPr="00C82357">
              <w:rPr>
                <w:sz w:val="18"/>
                <w:szCs w:val="18"/>
              </w:rPr>
              <w:t>1,0–3,0</w:t>
            </w:r>
          </w:p>
        </w:tc>
      </w:tr>
      <w:tr w:rsidR="00C82357" w:rsidRPr="00C82357" w:rsidTr="00C82357">
        <w:trPr>
          <w:trHeight w:val="283"/>
        </w:trPr>
        <w:tc>
          <w:tcPr>
            <w:tcW w:w="2636" w:type="dxa"/>
            <w:vMerge/>
            <w:vAlign w:val="center"/>
          </w:tcPr>
          <w:p w:rsidR="00C82357" w:rsidRPr="00C82357" w:rsidRDefault="00C82357" w:rsidP="00C82357">
            <w:pPr>
              <w:rPr>
                <w:sz w:val="18"/>
                <w:szCs w:val="18"/>
              </w:rPr>
            </w:pPr>
          </w:p>
        </w:tc>
        <w:tc>
          <w:tcPr>
            <w:tcW w:w="2261" w:type="dxa"/>
            <w:vAlign w:val="center"/>
          </w:tcPr>
          <w:p w:rsidR="00C82357" w:rsidRPr="00C82357" w:rsidRDefault="00C82357" w:rsidP="00C82357">
            <w:pPr>
              <w:rPr>
                <w:sz w:val="18"/>
                <w:szCs w:val="18"/>
              </w:rPr>
            </w:pPr>
            <w:r w:rsidRPr="00C82357">
              <w:rPr>
                <w:sz w:val="18"/>
                <w:szCs w:val="18"/>
              </w:rPr>
              <w:t>Прогноз</w:t>
            </w:r>
          </w:p>
        </w:tc>
        <w:tc>
          <w:tcPr>
            <w:tcW w:w="1057" w:type="dxa"/>
            <w:vAlign w:val="center"/>
          </w:tcPr>
          <w:p w:rsidR="00C82357" w:rsidRPr="00C82357" w:rsidRDefault="00C82357" w:rsidP="00C82357">
            <w:pPr>
              <w:jc w:val="center"/>
              <w:rPr>
                <w:color w:val="000000"/>
                <w:sz w:val="18"/>
                <w:szCs w:val="18"/>
              </w:rPr>
            </w:pPr>
            <w:r w:rsidRPr="00C82357">
              <w:rPr>
                <w:color w:val="000000"/>
                <w:sz w:val="18"/>
                <w:szCs w:val="18"/>
              </w:rPr>
              <w:t>6,0</w:t>
            </w:r>
          </w:p>
        </w:tc>
        <w:tc>
          <w:tcPr>
            <w:tcW w:w="985" w:type="dxa"/>
            <w:vAlign w:val="center"/>
          </w:tcPr>
          <w:p w:rsidR="00C82357" w:rsidRPr="00C82357" w:rsidRDefault="00C82357" w:rsidP="00C82357">
            <w:pPr>
              <w:jc w:val="center"/>
              <w:rPr>
                <w:color w:val="000000"/>
                <w:sz w:val="18"/>
                <w:szCs w:val="18"/>
              </w:rPr>
            </w:pPr>
            <w:r w:rsidRPr="00C82357">
              <w:rPr>
                <w:color w:val="000000"/>
                <w:sz w:val="18"/>
                <w:szCs w:val="18"/>
              </w:rPr>
              <w:t>1,7</w:t>
            </w:r>
          </w:p>
        </w:tc>
        <w:tc>
          <w:tcPr>
            <w:tcW w:w="999" w:type="dxa"/>
            <w:vAlign w:val="center"/>
          </w:tcPr>
          <w:p w:rsidR="00C82357" w:rsidRPr="00C82357" w:rsidRDefault="00C82357" w:rsidP="00C82357">
            <w:pPr>
              <w:jc w:val="center"/>
              <w:rPr>
                <w:color w:val="000000"/>
                <w:sz w:val="18"/>
                <w:szCs w:val="18"/>
              </w:rPr>
            </w:pPr>
            <w:r w:rsidRPr="00C82357">
              <w:rPr>
                <w:color w:val="000000"/>
                <w:sz w:val="18"/>
                <w:szCs w:val="18"/>
              </w:rPr>
              <w:t>-0,5</w:t>
            </w:r>
          </w:p>
        </w:tc>
        <w:tc>
          <w:tcPr>
            <w:tcW w:w="993" w:type="dxa"/>
            <w:vAlign w:val="center"/>
          </w:tcPr>
          <w:p w:rsidR="00C82357" w:rsidRPr="00C82357" w:rsidRDefault="00C82357" w:rsidP="00C82357">
            <w:pPr>
              <w:jc w:val="center"/>
              <w:rPr>
                <w:color w:val="000000"/>
                <w:sz w:val="18"/>
                <w:szCs w:val="18"/>
              </w:rPr>
            </w:pPr>
            <w:r w:rsidRPr="00C82357">
              <w:rPr>
                <w:color w:val="000000"/>
                <w:sz w:val="18"/>
                <w:szCs w:val="18"/>
              </w:rPr>
              <w:t>3,8</w:t>
            </w:r>
          </w:p>
        </w:tc>
        <w:tc>
          <w:tcPr>
            <w:tcW w:w="992" w:type="dxa"/>
            <w:vAlign w:val="center"/>
          </w:tcPr>
          <w:p w:rsidR="00C82357" w:rsidRPr="00C82357" w:rsidRDefault="00C82357" w:rsidP="00C82357">
            <w:pPr>
              <w:jc w:val="center"/>
              <w:rPr>
                <w:color w:val="000000"/>
                <w:sz w:val="18"/>
                <w:szCs w:val="18"/>
              </w:rPr>
            </w:pPr>
            <w:r w:rsidRPr="00C82357">
              <w:rPr>
                <w:color w:val="000000"/>
                <w:sz w:val="18"/>
                <w:szCs w:val="18"/>
              </w:rPr>
              <w:t>3,3</w:t>
            </w:r>
          </w:p>
        </w:tc>
      </w:tr>
      <w:tr w:rsidR="00C82357" w:rsidRPr="00C82357" w:rsidTr="00C82357">
        <w:trPr>
          <w:trHeight w:val="283"/>
        </w:trPr>
        <w:tc>
          <w:tcPr>
            <w:tcW w:w="2636" w:type="dxa"/>
            <w:vAlign w:val="center"/>
            <w:hideMark/>
          </w:tcPr>
          <w:p w:rsidR="00C82357" w:rsidRPr="00C82357" w:rsidRDefault="00C82357" w:rsidP="00C82357">
            <w:pPr>
              <w:rPr>
                <w:sz w:val="18"/>
                <w:szCs w:val="18"/>
              </w:rPr>
            </w:pPr>
            <w:r w:rsidRPr="00C82357">
              <w:rPr>
                <w:sz w:val="18"/>
                <w:szCs w:val="18"/>
              </w:rPr>
              <w:t xml:space="preserve">Цена нефти для налогообложения, в среднем за год, долл. США за баррель </w:t>
            </w:r>
          </w:p>
        </w:tc>
        <w:tc>
          <w:tcPr>
            <w:tcW w:w="2261" w:type="dxa"/>
            <w:vAlign w:val="center"/>
            <w:hideMark/>
          </w:tcPr>
          <w:p w:rsidR="00C82357" w:rsidRPr="00C82357" w:rsidRDefault="00C82357" w:rsidP="00C82357">
            <w:pPr>
              <w:rPr>
                <w:sz w:val="18"/>
                <w:szCs w:val="18"/>
              </w:rPr>
            </w:pPr>
            <w:r w:rsidRPr="00C82357">
              <w:rPr>
                <w:sz w:val="18"/>
                <w:szCs w:val="18"/>
              </w:rPr>
              <w:t>ОНЕГДКП 2026-2028</w:t>
            </w:r>
          </w:p>
        </w:tc>
        <w:tc>
          <w:tcPr>
            <w:tcW w:w="1057" w:type="dxa"/>
            <w:vAlign w:val="center"/>
          </w:tcPr>
          <w:p w:rsidR="00C82357" w:rsidRPr="00C82357" w:rsidRDefault="00C82357" w:rsidP="00C82357">
            <w:pPr>
              <w:jc w:val="center"/>
              <w:rPr>
                <w:sz w:val="18"/>
                <w:szCs w:val="18"/>
              </w:rPr>
            </w:pPr>
            <w:r w:rsidRPr="00C82357">
              <w:rPr>
                <w:color w:val="000000"/>
                <w:sz w:val="18"/>
                <w:szCs w:val="18"/>
              </w:rPr>
              <w:t>68</w:t>
            </w:r>
          </w:p>
        </w:tc>
        <w:tc>
          <w:tcPr>
            <w:tcW w:w="985" w:type="dxa"/>
            <w:vAlign w:val="center"/>
          </w:tcPr>
          <w:p w:rsidR="00C82357" w:rsidRPr="00C82357" w:rsidRDefault="00C82357" w:rsidP="00C82357">
            <w:pPr>
              <w:jc w:val="center"/>
              <w:rPr>
                <w:sz w:val="18"/>
                <w:szCs w:val="18"/>
              </w:rPr>
            </w:pPr>
            <w:r w:rsidRPr="00C82357">
              <w:rPr>
                <w:color w:val="000000"/>
                <w:sz w:val="18"/>
                <w:szCs w:val="18"/>
              </w:rPr>
              <w:t>55</w:t>
            </w:r>
          </w:p>
        </w:tc>
        <w:tc>
          <w:tcPr>
            <w:tcW w:w="999" w:type="dxa"/>
            <w:vAlign w:val="center"/>
          </w:tcPr>
          <w:p w:rsidR="00C82357" w:rsidRPr="00C82357" w:rsidRDefault="00C82357" w:rsidP="00C82357">
            <w:pPr>
              <w:jc w:val="center"/>
              <w:rPr>
                <w:sz w:val="18"/>
                <w:szCs w:val="18"/>
              </w:rPr>
            </w:pPr>
            <w:r w:rsidRPr="00C82357">
              <w:rPr>
                <w:color w:val="000000"/>
                <w:sz w:val="18"/>
                <w:szCs w:val="18"/>
              </w:rPr>
              <w:t>55</w:t>
            </w:r>
          </w:p>
        </w:tc>
        <w:tc>
          <w:tcPr>
            <w:tcW w:w="993" w:type="dxa"/>
            <w:vAlign w:val="center"/>
          </w:tcPr>
          <w:p w:rsidR="00C82357" w:rsidRPr="00C82357" w:rsidRDefault="00C82357" w:rsidP="00C82357">
            <w:pPr>
              <w:jc w:val="center"/>
              <w:rPr>
                <w:sz w:val="18"/>
                <w:szCs w:val="18"/>
              </w:rPr>
            </w:pPr>
            <w:r w:rsidRPr="00C82357">
              <w:rPr>
                <w:color w:val="000000"/>
                <w:sz w:val="18"/>
                <w:szCs w:val="18"/>
              </w:rPr>
              <w:t>60</w:t>
            </w:r>
          </w:p>
        </w:tc>
        <w:tc>
          <w:tcPr>
            <w:tcW w:w="992" w:type="dxa"/>
            <w:vAlign w:val="center"/>
          </w:tcPr>
          <w:p w:rsidR="00C82357" w:rsidRPr="00C82357" w:rsidRDefault="00C82357" w:rsidP="00C82357">
            <w:pPr>
              <w:jc w:val="center"/>
              <w:rPr>
                <w:sz w:val="18"/>
                <w:szCs w:val="18"/>
              </w:rPr>
            </w:pPr>
            <w:r w:rsidRPr="00C82357">
              <w:rPr>
                <w:color w:val="000000"/>
                <w:sz w:val="18"/>
                <w:szCs w:val="18"/>
              </w:rPr>
              <w:t>60</w:t>
            </w:r>
          </w:p>
        </w:tc>
      </w:tr>
      <w:tr w:rsidR="00C82357" w:rsidRPr="00C82357" w:rsidTr="00C82357">
        <w:trPr>
          <w:trHeight w:val="283"/>
        </w:trPr>
        <w:tc>
          <w:tcPr>
            <w:tcW w:w="2636" w:type="dxa"/>
            <w:vAlign w:val="center"/>
            <w:hideMark/>
          </w:tcPr>
          <w:p w:rsidR="00C82357" w:rsidRPr="00C82357" w:rsidRDefault="00C82357" w:rsidP="00C82357">
            <w:pPr>
              <w:rPr>
                <w:sz w:val="18"/>
                <w:szCs w:val="18"/>
              </w:rPr>
            </w:pPr>
            <w:r w:rsidRPr="00C82357">
              <w:rPr>
                <w:sz w:val="18"/>
                <w:szCs w:val="18"/>
              </w:rPr>
              <w:t>Цена на нефть марки Юралс, долл. США за баррель</w:t>
            </w:r>
          </w:p>
        </w:tc>
        <w:tc>
          <w:tcPr>
            <w:tcW w:w="2261" w:type="dxa"/>
            <w:vAlign w:val="center"/>
            <w:hideMark/>
          </w:tcPr>
          <w:p w:rsidR="00C82357" w:rsidRPr="00C82357" w:rsidRDefault="00C82357" w:rsidP="00C82357">
            <w:pPr>
              <w:rPr>
                <w:sz w:val="18"/>
                <w:szCs w:val="18"/>
              </w:rPr>
            </w:pPr>
            <w:r w:rsidRPr="00C82357">
              <w:rPr>
                <w:sz w:val="18"/>
                <w:szCs w:val="18"/>
              </w:rPr>
              <w:t>Прогноз</w:t>
            </w:r>
          </w:p>
        </w:tc>
        <w:tc>
          <w:tcPr>
            <w:tcW w:w="1057" w:type="dxa"/>
            <w:vAlign w:val="center"/>
          </w:tcPr>
          <w:p w:rsidR="00C82357" w:rsidRPr="00C82357" w:rsidRDefault="00C82357" w:rsidP="00C82357">
            <w:pPr>
              <w:jc w:val="center"/>
              <w:rPr>
                <w:sz w:val="18"/>
                <w:szCs w:val="18"/>
              </w:rPr>
            </w:pPr>
            <w:r w:rsidRPr="00C82357">
              <w:rPr>
                <w:sz w:val="18"/>
                <w:szCs w:val="18"/>
              </w:rPr>
              <w:t>66,6</w:t>
            </w:r>
          </w:p>
        </w:tc>
        <w:tc>
          <w:tcPr>
            <w:tcW w:w="985" w:type="dxa"/>
            <w:vAlign w:val="center"/>
          </w:tcPr>
          <w:p w:rsidR="00C82357" w:rsidRPr="00C82357" w:rsidRDefault="00C82357" w:rsidP="00C82357">
            <w:pPr>
              <w:jc w:val="center"/>
              <w:rPr>
                <w:sz w:val="18"/>
                <w:szCs w:val="18"/>
              </w:rPr>
            </w:pPr>
            <w:r w:rsidRPr="00C82357">
              <w:rPr>
                <w:sz w:val="18"/>
                <w:szCs w:val="18"/>
              </w:rPr>
              <w:t>58,0</w:t>
            </w:r>
          </w:p>
        </w:tc>
        <w:tc>
          <w:tcPr>
            <w:tcW w:w="999" w:type="dxa"/>
            <w:vAlign w:val="center"/>
          </w:tcPr>
          <w:p w:rsidR="00C82357" w:rsidRPr="00C82357" w:rsidRDefault="00C82357" w:rsidP="00C82357">
            <w:pPr>
              <w:jc w:val="center"/>
              <w:rPr>
                <w:sz w:val="18"/>
                <w:szCs w:val="18"/>
              </w:rPr>
            </w:pPr>
            <w:r w:rsidRPr="00C82357">
              <w:rPr>
                <w:sz w:val="18"/>
                <w:szCs w:val="18"/>
              </w:rPr>
              <w:t>59,0</w:t>
            </w:r>
          </w:p>
        </w:tc>
        <w:tc>
          <w:tcPr>
            <w:tcW w:w="993" w:type="dxa"/>
            <w:vAlign w:val="center"/>
          </w:tcPr>
          <w:p w:rsidR="00C82357" w:rsidRPr="00C82357" w:rsidRDefault="00C82357" w:rsidP="00C82357">
            <w:pPr>
              <w:jc w:val="center"/>
              <w:rPr>
                <w:sz w:val="18"/>
                <w:szCs w:val="18"/>
              </w:rPr>
            </w:pPr>
            <w:r w:rsidRPr="00C82357">
              <w:rPr>
                <w:sz w:val="18"/>
                <w:szCs w:val="18"/>
              </w:rPr>
              <w:t>61,0</w:t>
            </w:r>
          </w:p>
        </w:tc>
        <w:tc>
          <w:tcPr>
            <w:tcW w:w="992" w:type="dxa"/>
            <w:vAlign w:val="center"/>
          </w:tcPr>
          <w:p w:rsidR="00C82357" w:rsidRPr="00C82357" w:rsidRDefault="00C82357" w:rsidP="00C82357">
            <w:pPr>
              <w:jc w:val="center"/>
              <w:rPr>
                <w:sz w:val="18"/>
                <w:szCs w:val="18"/>
              </w:rPr>
            </w:pPr>
            <w:r w:rsidRPr="00C82357">
              <w:rPr>
                <w:sz w:val="18"/>
                <w:szCs w:val="18"/>
              </w:rPr>
              <w:t>65,0</w:t>
            </w:r>
          </w:p>
        </w:tc>
      </w:tr>
      <w:tr w:rsidR="00C82357" w:rsidRPr="00C82357" w:rsidTr="00C82357">
        <w:trPr>
          <w:trHeight w:val="283"/>
        </w:trPr>
        <w:tc>
          <w:tcPr>
            <w:tcW w:w="9923" w:type="dxa"/>
            <w:gridSpan w:val="7"/>
            <w:vAlign w:val="center"/>
            <w:hideMark/>
          </w:tcPr>
          <w:p w:rsidR="00C82357" w:rsidRPr="00C82357" w:rsidRDefault="00C82357" w:rsidP="00C82357">
            <w:pPr>
              <w:rPr>
                <w:b/>
                <w:sz w:val="18"/>
                <w:szCs w:val="18"/>
              </w:rPr>
            </w:pPr>
            <w:r w:rsidRPr="00C82357">
              <w:rPr>
                <w:b/>
                <w:sz w:val="18"/>
                <w:szCs w:val="18"/>
              </w:rPr>
              <w:t>Показатели платежного баланс (млрд долл. США)</w:t>
            </w:r>
          </w:p>
        </w:tc>
      </w:tr>
      <w:tr w:rsidR="00C82357" w:rsidRPr="00C82357" w:rsidTr="00C82357">
        <w:trPr>
          <w:trHeight w:val="283"/>
        </w:trPr>
        <w:tc>
          <w:tcPr>
            <w:tcW w:w="2636" w:type="dxa"/>
            <w:vMerge w:val="restart"/>
            <w:vAlign w:val="center"/>
            <w:hideMark/>
          </w:tcPr>
          <w:p w:rsidR="00C82357" w:rsidRPr="00C82357" w:rsidRDefault="00C82357" w:rsidP="00C82357">
            <w:pPr>
              <w:rPr>
                <w:sz w:val="18"/>
                <w:szCs w:val="18"/>
              </w:rPr>
            </w:pPr>
            <w:r w:rsidRPr="00C82357">
              <w:rPr>
                <w:sz w:val="18"/>
                <w:szCs w:val="18"/>
              </w:rPr>
              <w:t>Счет текущих операций</w:t>
            </w:r>
          </w:p>
        </w:tc>
        <w:tc>
          <w:tcPr>
            <w:tcW w:w="2261" w:type="dxa"/>
            <w:vAlign w:val="center"/>
            <w:hideMark/>
          </w:tcPr>
          <w:p w:rsidR="00C82357" w:rsidRPr="00C82357" w:rsidRDefault="00C82357" w:rsidP="00C82357">
            <w:pPr>
              <w:rPr>
                <w:sz w:val="18"/>
                <w:szCs w:val="18"/>
              </w:rPr>
            </w:pPr>
            <w:r w:rsidRPr="00C82357">
              <w:rPr>
                <w:sz w:val="18"/>
                <w:szCs w:val="18"/>
              </w:rPr>
              <w:t>ОНЕГДКП 2026-2028</w:t>
            </w:r>
          </w:p>
        </w:tc>
        <w:tc>
          <w:tcPr>
            <w:tcW w:w="1057" w:type="dxa"/>
            <w:vAlign w:val="center"/>
          </w:tcPr>
          <w:p w:rsidR="00C82357" w:rsidRPr="00C82357" w:rsidRDefault="00C82357" w:rsidP="00C82357">
            <w:pPr>
              <w:jc w:val="center"/>
              <w:rPr>
                <w:sz w:val="18"/>
                <w:szCs w:val="18"/>
              </w:rPr>
            </w:pPr>
            <w:r w:rsidRPr="00C82357">
              <w:rPr>
                <w:color w:val="000000"/>
                <w:sz w:val="18"/>
                <w:szCs w:val="18"/>
              </w:rPr>
              <w:t>63</w:t>
            </w:r>
          </w:p>
        </w:tc>
        <w:tc>
          <w:tcPr>
            <w:tcW w:w="985" w:type="dxa"/>
            <w:vAlign w:val="center"/>
          </w:tcPr>
          <w:p w:rsidR="00C82357" w:rsidRPr="00C82357" w:rsidRDefault="00C82357" w:rsidP="00C82357">
            <w:pPr>
              <w:jc w:val="center"/>
              <w:rPr>
                <w:sz w:val="18"/>
                <w:szCs w:val="18"/>
              </w:rPr>
            </w:pPr>
            <w:r w:rsidRPr="00C82357">
              <w:rPr>
                <w:color w:val="000000"/>
                <w:sz w:val="18"/>
                <w:szCs w:val="18"/>
              </w:rPr>
              <w:t>33</w:t>
            </w:r>
          </w:p>
        </w:tc>
        <w:tc>
          <w:tcPr>
            <w:tcW w:w="999" w:type="dxa"/>
            <w:vAlign w:val="center"/>
          </w:tcPr>
          <w:p w:rsidR="00C82357" w:rsidRPr="00C82357" w:rsidRDefault="00C82357" w:rsidP="00C82357">
            <w:pPr>
              <w:jc w:val="center"/>
              <w:rPr>
                <w:sz w:val="18"/>
                <w:szCs w:val="18"/>
              </w:rPr>
            </w:pPr>
            <w:r w:rsidRPr="00C82357">
              <w:rPr>
                <w:color w:val="000000"/>
                <w:sz w:val="18"/>
                <w:szCs w:val="18"/>
              </w:rPr>
              <w:t>28</w:t>
            </w:r>
          </w:p>
        </w:tc>
        <w:tc>
          <w:tcPr>
            <w:tcW w:w="993" w:type="dxa"/>
            <w:vAlign w:val="center"/>
          </w:tcPr>
          <w:p w:rsidR="00C82357" w:rsidRPr="00C82357" w:rsidRDefault="00C82357" w:rsidP="00C82357">
            <w:pPr>
              <w:jc w:val="center"/>
              <w:rPr>
                <w:sz w:val="18"/>
                <w:szCs w:val="18"/>
              </w:rPr>
            </w:pPr>
            <w:r w:rsidRPr="00C82357">
              <w:rPr>
                <w:color w:val="000000"/>
                <w:sz w:val="18"/>
                <w:szCs w:val="18"/>
              </w:rPr>
              <w:t>32</w:t>
            </w:r>
          </w:p>
        </w:tc>
        <w:tc>
          <w:tcPr>
            <w:tcW w:w="992" w:type="dxa"/>
            <w:vAlign w:val="center"/>
          </w:tcPr>
          <w:p w:rsidR="00C82357" w:rsidRPr="00C82357" w:rsidRDefault="00C82357" w:rsidP="00C82357">
            <w:pPr>
              <w:jc w:val="center"/>
              <w:rPr>
                <w:sz w:val="18"/>
                <w:szCs w:val="18"/>
              </w:rPr>
            </w:pPr>
            <w:r w:rsidRPr="00C82357">
              <w:rPr>
                <w:color w:val="000000"/>
                <w:sz w:val="18"/>
                <w:szCs w:val="18"/>
              </w:rPr>
              <w:t>32</w:t>
            </w:r>
          </w:p>
        </w:tc>
      </w:tr>
      <w:tr w:rsidR="00C82357" w:rsidRPr="00C82357" w:rsidTr="00C82357">
        <w:trPr>
          <w:trHeight w:val="283"/>
        </w:trPr>
        <w:tc>
          <w:tcPr>
            <w:tcW w:w="2636" w:type="dxa"/>
            <w:vMerge/>
            <w:vAlign w:val="center"/>
            <w:hideMark/>
          </w:tcPr>
          <w:p w:rsidR="00C82357" w:rsidRPr="00C82357" w:rsidRDefault="00C82357" w:rsidP="00C82357">
            <w:pPr>
              <w:rPr>
                <w:sz w:val="18"/>
                <w:szCs w:val="18"/>
              </w:rPr>
            </w:pPr>
          </w:p>
        </w:tc>
        <w:tc>
          <w:tcPr>
            <w:tcW w:w="2261" w:type="dxa"/>
            <w:vAlign w:val="center"/>
            <w:hideMark/>
          </w:tcPr>
          <w:p w:rsidR="00C82357" w:rsidRPr="00C82357" w:rsidRDefault="00C82357" w:rsidP="00C82357">
            <w:pPr>
              <w:rPr>
                <w:sz w:val="18"/>
                <w:szCs w:val="18"/>
              </w:rPr>
            </w:pPr>
            <w:r w:rsidRPr="00C82357">
              <w:rPr>
                <w:sz w:val="18"/>
                <w:szCs w:val="18"/>
              </w:rPr>
              <w:t>Прогноз</w:t>
            </w:r>
          </w:p>
        </w:tc>
        <w:tc>
          <w:tcPr>
            <w:tcW w:w="1057" w:type="dxa"/>
            <w:vAlign w:val="center"/>
          </w:tcPr>
          <w:p w:rsidR="00C82357" w:rsidRPr="00C82357" w:rsidRDefault="00C82357" w:rsidP="00C82357">
            <w:pPr>
              <w:jc w:val="center"/>
              <w:rPr>
                <w:sz w:val="18"/>
                <w:szCs w:val="18"/>
              </w:rPr>
            </w:pPr>
            <w:r w:rsidRPr="00C82357">
              <w:rPr>
                <w:sz w:val="18"/>
                <w:szCs w:val="18"/>
              </w:rPr>
              <w:t>63,2</w:t>
            </w:r>
          </w:p>
        </w:tc>
        <w:tc>
          <w:tcPr>
            <w:tcW w:w="985" w:type="dxa"/>
            <w:vAlign w:val="center"/>
          </w:tcPr>
          <w:p w:rsidR="00C82357" w:rsidRPr="00C82357" w:rsidRDefault="00C82357" w:rsidP="00C82357">
            <w:pPr>
              <w:jc w:val="center"/>
              <w:rPr>
                <w:sz w:val="18"/>
                <w:szCs w:val="18"/>
              </w:rPr>
            </w:pPr>
            <w:r w:rsidRPr="00C82357">
              <w:rPr>
                <w:sz w:val="18"/>
                <w:szCs w:val="18"/>
              </w:rPr>
              <w:t>37,8</w:t>
            </w:r>
          </w:p>
        </w:tc>
        <w:tc>
          <w:tcPr>
            <w:tcW w:w="999" w:type="dxa"/>
            <w:vAlign w:val="center"/>
          </w:tcPr>
          <w:p w:rsidR="00C82357" w:rsidRPr="00C82357" w:rsidRDefault="00C82357" w:rsidP="00C82357">
            <w:pPr>
              <w:jc w:val="center"/>
              <w:rPr>
                <w:sz w:val="18"/>
                <w:szCs w:val="18"/>
              </w:rPr>
            </w:pPr>
            <w:r w:rsidRPr="00C82357">
              <w:rPr>
                <w:sz w:val="18"/>
                <w:szCs w:val="18"/>
              </w:rPr>
              <w:t>47,8</w:t>
            </w:r>
          </w:p>
        </w:tc>
        <w:tc>
          <w:tcPr>
            <w:tcW w:w="993" w:type="dxa"/>
            <w:vAlign w:val="center"/>
          </w:tcPr>
          <w:p w:rsidR="00C82357" w:rsidRPr="00C82357" w:rsidRDefault="00C82357" w:rsidP="00C82357">
            <w:pPr>
              <w:jc w:val="center"/>
              <w:rPr>
                <w:sz w:val="18"/>
                <w:szCs w:val="18"/>
              </w:rPr>
            </w:pPr>
            <w:r w:rsidRPr="00C82357">
              <w:rPr>
                <w:sz w:val="18"/>
                <w:szCs w:val="18"/>
              </w:rPr>
              <w:t>51,5</w:t>
            </w:r>
          </w:p>
        </w:tc>
        <w:tc>
          <w:tcPr>
            <w:tcW w:w="992" w:type="dxa"/>
            <w:vAlign w:val="center"/>
          </w:tcPr>
          <w:p w:rsidR="00C82357" w:rsidRPr="00C82357" w:rsidRDefault="00C82357" w:rsidP="00C82357">
            <w:pPr>
              <w:jc w:val="center"/>
              <w:rPr>
                <w:sz w:val="18"/>
                <w:szCs w:val="18"/>
              </w:rPr>
            </w:pPr>
            <w:r w:rsidRPr="00C82357">
              <w:rPr>
                <w:sz w:val="18"/>
                <w:szCs w:val="18"/>
              </w:rPr>
              <w:t>70,3</w:t>
            </w:r>
          </w:p>
        </w:tc>
      </w:tr>
      <w:tr w:rsidR="00C82357" w:rsidRPr="00C82357" w:rsidTr="00C82357">
        <w:trPr>
          <w:trHeight w:val="283"/>
        </w:trPr>
        <w:tc>
          <w:tcPr>
            <w:tcW w:w="2636" w:type="dxa"/>
            <w:vMerge w:val="restart"/>
            <w:vAlign w:val="center"/>
            <w:hideMark/>
          </w:tcPr>
          <w:p w:rsidR="00C82357" w:rsidRPr="00C82357" w:rsidRDefault="00C82357" w:rsidP="00C82357">
            <w:pPr>
              <w:rPr>
                <w:sz w:val="18"/>
                <w:szCs w:val="18"/>
              </w:rPr>
            </w:pPr>
            <w:r w:rsidRPr="00C82357">
              <w:rPr>
                <w:sz w:val="18"/>
                <w:szCs w:val="18"/>
              </w:rPr>
              <w:t>Экспорт товаров</w:t>
            </w:r>
          </w:p>
        </w:tc>
        <w:tc>
          <w:tcPr>
            <w:tcW w:w="2261" w:type="dxa"/>
            <w:vAlign w:val="center"/>
            <w:hideMark/>
          </w:tcPr>
          <w:p w:rsidR="00C82357" w:rsidRPr="00C82357" w:rsidRDefault="00C82357" w:rsidP="00C82357">
            <w:pPr>
              <w:rPr>
                <w:sz w:val="18"/>
                <w:szCs w:val="18"/>
              </w:rPr>
            </w:pPr>
            <w:r w:rsidRPr="00C82357">
              <w:rPr>
                <w:sz w:val="18"/>
                <w:szCs w:val="18"/>
              </w:rPr>
              <w:t>ОНЕГДКП 2026-2028</w:t>
            </w:r>
          </w:p>
        </w:tc>
        <w:tc>
          <w:tcPr>
            <w:tcW w:w="1057" w:type="dxa"/>
            <w:vAlign w:val="center"/>
          </w:tcPr>
          <w:p w:rsidR="00C82357" w:rsidRPr="00C82357" w:rsidRDefault="00C82357" w:rsidP="00C82357">
            <w:pPr>
              <w:jc w:val="center"/>
              <w:rPr>
                <w:sz w:val="18"/>
                <w:szCs w:val="18"/>
              </w:rPr>
            </w:pPr>
            <w:r w:rsidRPr="00C82357">
              <w:rPr>
                <w:color w:val="000000"/>
                <w:sz w:val="18"/>
                <w:szCs w:val="18"/>
              </w:rPr>
              <w:t>433</w:t>
            </w:r>
          </w:p>
        </w:tc>
        <w:tc>
          <w:tcPr>
            <w:tcW w:w="985" w:type="dxa"/>
            <w:vAlign w:val="center"/>
          </w:tcPr>
          <w:p w:rsidR="00C82357" w:rsidRPr="00C82357" w:rsidRDefault="00C82357" w:rsidP="00C82357">
            <w:pPr>
              <w:jc w:val="center"/>
              <w:rPr>
                <w:sz w:val="18"/>
                <w:szCs w:val="18"/>
              </w:rPr>
            </w:pPr>
            <w:r w:rsidRPr="00C82357">
              <w:rPr>
                <w:color w:val="000000"/>
                <w:sz w:val="18"/>
                <w:szCs w:val="18"/>
              </w:rPr>
              <w:t>410</w:t>
            </w:r>
          </w:p>
        </w:tc>
        <w:tc>
          <w:tcPr>
            <w:tcW w:w="999" w:type="dxa"/>
            <w:vAlign w:val="center"/>
          </w:tcPr>
          <w:p w:rsidR="00C82357" w:rsidRPr="00C82357" w:rsidRDefault="00C82357" w:rsidP="00C82357">
            <w:pPr>
              <w:jc w:val="center"/>
              <w:rPr>
                <w:sz w:val="18"/>
                <w:szCs w:val="18"/>
              </w:rPr>
            </w:pPr>
            <w:r w:rsidRPr="00C82357">
              <w:rPr>
                <w:color w:val="000000"/>
                <w:sz w:val="18"/>
                <w:szCs w:val="18"/>
              </w:rPr>
              <w:t>419</w:t>
            </w:r>
          </w:p>
        </w:tc>
        <w:tc>
          <w:tcPr>
            <w:tcW w:w="993" w:type="dxa"/>
            <w:vAlign w:val="center"/>
          </w:tcPr>
          <w:p w:rsidR="00C82357" w:rsidRPr="00C82357" w:rsidRDefault="00C82357" w:rsidP="00C82357">
            <w:pPr>
              <w:jc w:val="center"/>
              <w:rPr>
                <w:sz w:val="18"/>
                <w:szCs w:val="18"/>
              </w:rPr>
            </w:pPr>
            <w:r w:rsidRPr="00C82357">
              <w:rPr>
                <w:color w:val="000000"/>
                <w:sz w:val="18"/>
                <w:szCs w:val="18"/>
              </w:rPr>
              <w:t>443</w:t>
            </w:r>
          </w:p>
        </w:tc>
        <w:tc>
          <w:tcPr>
            <w:tcW w:w="992" w:type="dxa"/>
            <w:vAlign w:val="center"/>
          </w:tcPr>
          <w:p w:rsidR="00C82357" w:rsidRPr="00C82357" w:rsidRDefault="00C82357" w:rsidP="00C82357">
            <w:pPr>
              <w:jc w:val="center"/>
              <w:rPr>
                <w:sz w:val="18"/>
                <w:szCs w:val="18"/>
              </w:rPr>
            </w:pPr>
            <w:r w:rsidRPr="00C82357">
              <w:rPr>
                <w:color w:val="000000"/>
                <w:sz w:val="18"/>
                <w:szCs w:val="18"/>
              </w:rPr>
              <w:t>458</w:t>
            </w:r>
          </w:p>
        </w:tc>
      </w:tr>
      <w:tr w:rsidR="00C82357" w:rsidRPr="00C82357" w:rsidTr="00C82357">
        <w:trPr>
          <w:trHeight w:val="283"/>
        </w:trPr>
        <w:tc>
          <w:tcPr>
            <w:tcW w:w="2636" w:type="dxa"/>
            <w:vMerge/>
            <w:vAlign w:val="center"/>
            <w:hideMark/>
          </w:tcPr>
          <w:p w:rsidR="00C82357" w:rsidRPr="00C82357" w:rsidRDefault="00C82357" w:rsidP="00C82357">
            <w:pPr>
              <w:rPr>
                <w:sz w:val="18"/>
                <w:szCs w:val="18"/>
              </w:rPr>
            </w:pPr>
          </w:p>
        </w:tc>
        <w:tc>
          <w:tcPr>
            <w:tcW w:w="2261" w:type="dxa"/>
            <w:vAlign w:val="center"/>
            <w:hideMark/>
          </w:tcPr>
          <w:p w:rsidR="00C82357" w:rsidRPr="00C82357" w:rsidRDefault="00C82357" w:rsidP="00C82357">
            <w:pPr>
              <w:rPr>
                <w:sz w:val="18"/>
                <w:szCs w:val="18"/>
              </w:rPr>
            </w:pPr>
            <w:r w:rsidRPr="00C82357">
              <w:rPr>
                <w:sz w:val="18"/>
                <w:szCs w:val="18"/>
              </w:rPr>
              <w:t>Прогноз</w:t>
            </w:r>
          </w:p>
        </w:tc>
        <w:tc>
          <w:tcPr>
            <w:tcW w:w="1057" w:type="dxa"/>
            <w:vAlign w:val="center"/>
          </w:tcPr>
          <w:p w:rsidR="00C82357" w:rsidRPr="00C82357" w:rsidRDefault="00C82357" w:rsidP="00C82357">
            <w:pPr>
              <w:spacing w:line="256" w:lineRule="auto"/>
              <w:jc w:val="center"/>
              <w:rPr>
                <w:sz w:val="18"/>
                <w:szCs w:val="18"/>
              </w:rPr>
            </w:pPr>
            <w:r w:rsidRPr="00C82357">
              <w:rPr>
                <w:sz w:val="18"/>
                <w:szCs w:val="18"/>
              </w:rPr>
              <w:t>433,1</w:t>
            </w:r>
          </w:p>
        </w:tc>
        <w:tc>
          <w:tcPr>
            <w:tcW w:w="985" w:type="dxa"/>
            <w:vAlign w:val="center"/>
          </w:tcPr>
          <w:p w:rsidR="00C82357" w:rsidRPr="00C82357" w:rsidRDefault="00C82357" w:rsidP="00C82357">
            <w:pPr>
              <w:spacing w:line="256" w:lineRule="auto"/>
              <w:jc w:val="center"/>
              <w:rPr>
                <w:sz w:val="18"/>
                <w:szCs w:val="18"/>
              </w:rPr>
            </w:pPr>
            <w:r w:rsidRPr="00C82357">
              <w:rPr>
                <w:sz w:val="18"/>
                <w:szCs w:val="18"/>
              </w:rPr>
              <w:t>412,9</w:t>
            </w:r>
          </w:p>
        </w:tc>
        <w:tc>
          <w:tcPr>
            <w:tcW w:w="999" w:type="dxa"/>
            <w:vAlign w:val="center"/>
          </w:tcPr>
          <w:p w:rsidR="00C82357" w:rsidRPr="00C82357" w:rsidRDefault="00C82357" w:rsidP="00C82357">
            <w:pPr>
              <w:spacing w:line="256" w:lineRule="auto"/>
              <w:jc w:val="center"/>
              <w:rPr>
                <w:sz w:val="18"/>
                <w:szCs w:val="18"/>
              </w:rPr>
            </w:pPr>
            <w:r w:rsidRPr="00C82357">
              <w:rPr>
                <w:sz w:val="18"/>
                <w:szCs w:val="18"/>
              </w:rPr>
              <w:t>431,5</w:t>
            </w:r>
          </w:p>
        </w:tc>
        <w:tc>
          <w:tcPr>
            <w:tcW w:w="993" w:type="dxa"/>
            <w:vAlign w:val="center"/>
          </w:tcPr>
          <w:p w:rsidR="00C82357" w:rsidRPr="00C82357" w:rsidRDefault="00C82357" w:rsidP="00C82357">
            <w:pPr>
              <w:spacing w:line="256" w:lineRule="auto"/>
              <w:jc w:val="center"/>
              <w:rPr>
                <w:sz w:val="18"/>
                <w:szCs w:val="18"/>
              </w:rPr>
            </w:pPr>
            <w:r w:rsidRPr="00C82357">
              <w:rPr>
                <w:sz w:val="18"/>
                <w:szCs w:val="18"/>
              </w:rPr>
              <w:t>462,2</w:t>
            </w:r>
          </w:p>
        </w:tc>
        <w:tc>
          <w:tcPr>
            <w:tcW w:w="992" w:type="dxa"/>
            <w:vAlign w:val="center"/>
          </w:tcPr>
          <w:p w:rsidR="00C82357" w:rsidRPr="00C82357" w:rsidRDefault="00C82357" w:rsidP="00C82357">
            <w:pPr>
              <w:spacing w:line="256" w:lineRule="auto"/>
              <w:jc w:val="center"/>
              <w:rPr>
                <w:sz w:val="18"/>
                <w:szCs w:val="18"/>
              </w:rPr>
            </w:pPr>
            <w:r w:rsidRPr="00C82357">
              <w:rPr>
                <w:sz w:val="18"/>
                <w:szCs w:val="18"/>
              </w:rPr>
              <w:t>505,5</w:t>
            </w:r>
          </w:p>
        </w:tc>
      </w:tr>
      <w:tr w:rsidR="00C82357" w:rsidRPr="00C82357" w:rsidTr="00C82357">
        <w:trPr>
          <w:trHeight w:val="283"/>
        </w:trPr>
        <w:tc>
          <w:tcPr>
            <w:tcW w:w="2636" w:type="dxa"/>
            <w:vMerge w:val="restart"/>
            <w:vAlign w:val="center"/>
            <w:hideMark/>
          </w:tcPr>
          <w:p w:rsidR="00C82357" w:rsidRPr="00C82357" w:rsidRDefault="00C82357" w:rsidP="00C82357">
            <w:pPr>
              <w:rPr>
                <w:sz w:val="18"/>
                <w:szCs w:val="18"/>
              </w:rPr>
            </w:pPr>
            <w:r w:rsidRPr="00C82357">
              <w:rPr>
                <w:sz w:val="18"/>
                <w:szCs w:val="18"/>
              </w:rPr>
              <w:t>Импорт товаров</w:t>
            </w:r>
          </w:p>
        </w:tc>
        <w:tc>
          <w:tcPr>
            <w:tcW w:w="2261" w:type="dxa"/>
            <w:vAlign w:val="center"/>
            <w:hideMark/>
          </w:tcPr>
          <w:p w:rsidR="00C82357" w:rsidRPr="00C82357" w:rsidRDefault="00C82357" w:rsidP="00C82357">
            <w:pPr>
              <w:rPr>
                <w:sz w:val="18"/>
                <w:szCs w:val="18"/>
              </w:rPr>
            </w:pPr>
            <w:r w:rsidRPr="00C82357">
              <w:rPr>
                <w:sz w:val="18"/>
                <w:szCs w:val="18"/>
              </w:rPr>
              <w:t>ОНЕГДКП 2026-2028</w:t>
            </w:r>
          </w:p>
        </w:tc>
        <w:tc>
          <w:tcPr>
            <w:tcW w:w="1057" w:type="dxa"/>
            <w:vAlign w:val="center"/>
          </w:tcPr>
          <w:p w:rsidR="00C82357" w:rsidRPr="00C82357" w:rsidRDefault="00C82357" w:rsidP="00C82357">
            <w:pPr>
              <w:spacing w:line="256" w:lineRule="auto"/>
              <w:jc w:val="center"/>
              <w:rPr>
                <w:sz w:val="18"/>
                <w:szCs w:val="18"/>
              </w:rPr>
            </w:pPr>
            <w:r w:rsidRPr="00C82357">
              <w:rPr>
                <w:color w:val="000000"/>
                <w:sz w:val="18"/>
                <w:szCs w:val="18"/>
              </w:rPr>
              <w:t>300</w:t>
            </w:r>
          </w:p>
        </w:tc>
        <w:tc>
          <w:tcPr>
            <w:tcW w:w="985" w:type="dxa"/>
            <w:vAlign w:val="center"/>
          </w:tcPr>
          <w:p w:rsidR="00C82357" w:rsidRPr="00C82357" w:rsidRDefault="00C82357" w:rsidP="00C82357">
            <w:pPr>
              <w:spacing w:line="256" w:lineRule="auto"/>
              <w:jc w:val="center"/>
              <w:rPr>
                <w:sz w:val="18"/>
                <w:szCs w:val="18"/>
              </w:rPr>
            </w:pPr>
            <w:r w:rsidRPr="00C82357">
              <w:rPr>
                <w:color w:val="000000"/>
                <w:sz w:val="18"/>
                <w:szCs w:val="18"/>
              </w:rPr>
              <w:t>306</w:t>
            </w:r>
          </w:p>
        </w:tc>
        <w:tc>
          <w:tcPr>
            <w:tcW w:w="999" w:type="dxa"/>
            <w:vAlign w:val="center"/>
          </w:tcPr>
          <w:p w:rsidR="00C82357" w:rsidRPr="00C82357" w:rsidRDefault="00C82357" w:rsidP="00C82357">
            <w:pPr>
              <w:spacing w:line="256" w:lineRule="auto"/>
              <w:jc w:val="center"/>
              <w:rPr>
                <w:sz w:val="18"/>
                <w:szCs w:val="18"/>
              </w:rPr>
            </w:pPr>
            <w:r w:rsidRPr="00C82357">
              <w:rPr>
                <w:color w:val="000000"/>
                <w:sz w:val="18"/>
                <w:szCs w:val="18"/>
              </w:rPr>
              <w:t>317</w:t>
            </w:r>
          </w:p>
        </w:tc>
        <w:tc>
          <w:tcPr>
            <w:tcW w:w="993" w:type="dxa"/>
            <w:vAlign w:val="center"/>
          </w:tcPr>
          <w:p w:rsidR="00C82357" w:rsidRPr="00C82357" w:rsidRDefault="00C82357" w:rsidP="00C82357">
            <w:pPr>
              <w:spacing w:line="256" w:lineRule="auto"/>
              <w:jc w:val="center"/>
              <w:rPr>
                <w:sz w:val="18"/>
                <w:szCs w:val="18"/>
              </w:rPr>
            </w:pPr>
            <w:r w:rsidRPr="00C82357">
              <w:rPr>
                <w:color w:val="000000"/>
                <w:sz w:val="18"/>
                <w:szCs w:val="18"/>
              </w:rPr>
              <w:t>332</w:t>
            </w:r>
          </w:p>
        </w:tc>
        <w:tc>
          <w:tcPr>
            <w:tcW w:w="992" w:type="dxa"/>
            <w:vAlign w:val="center"/>
          </w:tcPr>
          <w:p w:rsidR="00C82357" w:rsidRPr="00C82357" w:rsidRDefault="00C82357" w:rsidP="00C82357">
            <w:pPr>
              <w:spacing w:line="256" w:lineRule="auto"/>
              <w:jc w:val="center"/>
              <w:rPr>
                <w:sz w:val="18"/>
                <w:szCs w:val="18"/>
              </w:rPr>
            </w:pPr>
            <w:r w:rsidRPr="00C82357">
              <w:rPr>
                <w:color w:val="000000"/>
                <w:sz w:val="18"/>
                <w:szCs w:val="18"/>
              </w:rPr>
              <w:t>348</w:t>
            </w:r>
          </w:p>
        </w:tc>
      </w:tr>
      <w:tr w:rsidR="00C82357" w:rsidRPr="00C82357" w:rsidTr="00C82357">
        <w:trPr>
          <w:trHeight w:val="283"/>
        </w:trPr>
        <w:tc>
          <w:tcPr>
            <w:tcW w:w="2636" w:type="dxa"/>
            <w:vMerge/>
            <w:vAlign w:val="center"/>
            <w:hideMark/>
          </w:tcPr>
          <w:p w:rsidR="00C82357" w:rsidRPr="00C82357" w:rsidRDefault="00C82357" w:rsidP="00C82357">
            <w:pPr>
              <w:rPr>
                <w:sz w:val="18"/>
                <w:szCs w:val="18"/>
              </w:rPr>
            </w:pPr>
          </w:p>
        </w:tc>
        <w:tc>
          <w:tcPr>
            <w:tcW w:w="2261" w:type="dxa"/>
            <w:vAlign w:val="center"/>
            <w:hideMark/>
          </w:tcPr>
          <w:p w:rsidR="00C82357" w:rsidRPr="00C82357" w:rsidRDefault="00C82357" w:rsidP="00C82357">
            <w:pPr>
              <w:rPr>
                <w:sz w:val="18"/>
                <w:szCs w:val="18"/>
              </w:rPr>
            </w:pPr>
            <w:r w:rsidRPr="00C82357">
              <w:rPr>
                <w:sz w:val="18"/>
                <w:szCs w:val="18"/>
              </w:rPr>
              <w:t>Прогноз</w:t>
            </w:r>
          </w:p>
        </w:tc>
        <w:tc>
          <w:tcPr>
            <w:tcW w:w="1057" w:type="dxa"/>
            <w:vAlign w:val="center"/>
          </w:tcPr>
          <w:p w:rsidR="00C82357" w:rsidRPr="00C82357" w:rsidRDefault="00C82357" w:rsidP="00C82357">
            <w:pPr>
              <w:spacing w:line="256" w:lineRule="auto"/>
              <w:jc w:val="center"/>
              <w:rPr>
                <w:sz w:val="18"/>
                <w:szCs w:val="18"/>
              </w:rPr>
            </w:pPr>
            <w:r w:rsidRPr="00C82357">
              <w:rPr>
                <w:sz w:val="18"/>
                <w:szCs w:val="18"/>
              </w:rPr>
              <w:t>299,7</w:t>
            </w:r>
          </w:p>
        </w:tc>
        <w:tc>
          <w:tcPr>
            <w:tcW w:w="985" w:type="dxa"/>
            <w:vAlign w:val="center"/>
          </w:tcPr>
          <w:p w:rsidR="00C82357" w:rsidRPr="00C82357" w:rsidRDefault="00C82357" w:rsidP="00C82357">
            <w:pPr>
              <w:spacing w:line="256" w:lineRule="auto"/>
              <w:jc w:val="center"/>
              <w:rPr>
                <w:sz w:val="18"/>
                <w:szCs w:val="18"/>
              </w:rPr>
            </w:pPr>
            <w:r w:rsidRPr="00C82357">
              <w:rPr>
                <w:sz w:val="18"/>
                <w:szCs w:val="18"/>
              </w:rPr>
              <w:t>306,0</w:t>
            </w:r>
          </w:p>
        </w:tc>
        <w:tc>
          <w:tcPr>
            <w:tcW w:w="999" w:type="dxa"/>
            <w:vAlign w:val="center"/>
          </w:tcPr>
          <w:p w:rsidR="00C82357" w:rsidRPr="00C82357" w:rsidRDefault="00C82357" w:rsidP="00C82357">
            <w:pPr>
              <w:spacing w:line="256" w:lineRule="auto"/>
              <w:jc w:val="center"/>
              <w:rPr>
                <w:sz w:val="18"/>
                <w:szCs w:val="18"/>
              </w:rPr>
            </w:pPr>
            <w:r w:rsidRPr="00C82357">
              <w:rPr>
                <w:sz w:val="18"/>
                <w:szCs w:val="18"/>
              </w:rPr>
              <w:t>308,5</w:t>
            </w:r>
          </w:p>
        </w:tc>
        <w:tc>
          <w:tcPr>
            <w:tcW w:w="993" w:type="dxa"/>
            <w:vAlign w:val="center"/>
          </w:tcPr>
          <w:p w:rsidR="00C82357" w:rsidRPr="00C82357" w:rsidRDefault="00C82357" w:rsidP="00C82357">
            <w:pPr>
              <w:spacing w:line="256" w:lineRule="auto"/>
              <w:jc w:val="center"/>
              <w:rPr>
                <w:sz w:val="18"/>
                <w:szCs w:val="18"/>
              </w:rPr>
            </w:pPr>
            <w:r w:rsidRPr="00C82357">
              <w:rPr>
                <w:sz w:val="18"/>
                <w:szCs w:val="18"/>
              </w:rPr>
              <w:t>326,9</w:t>
            </w:r>
          </w:p>
        </w:tc>
        <w:tc>
          <w:tcPr>
            <w:tcW w:w="992" w:type="dxa"/>
            <w:vAlign w:val="center"/>
          </w:tcPr>
          <w:p w:rsidR="00C82357" w:rsidRPr="00C82357" w:rsidRDefault="00C82357" w:rsidP="00C82357">
            <w:pPr>
              <w:spacing w:line="256" w:lineRule="auto"/>
              <w:jc w:val="center"/>
              <w:rPr>
                <w:sz w:val="18"/>
                <w:szCs w:val="18"/>
              </w:rPr>
            </w:pPr>
            <w:r w:rsidRPr="00C82357">
              <w:rPr>
                <w:sz w:val="18"/>
                <w:szCs w:val="18"/>
              </w:rPr>
              <w:t>341,5</w:t>
            </w:r>
          </w:p>
        </w:tc>
      </w:tr>
    </w:tbl>
    <w:p w:rsidR="006915DB" w:rsidRPr="0076493A" w:rsidRDefault="006915DB" w:rsidP="00B92BB6">
      <w:pPr>
        <w:autoSpaceDE w:val="0"/>
        <w:autoSpaceDN w:val="0"/>
        <w:adjustRightInd w:val="0"/>
        <w:spacing w:line="360" w:lineRule="auto"/>
        <w:ind w:firstLine="709"/>
        <w:jc w:val="both"/>
        <w:rPr>
          <w:color w:val="000000" w:themeColor="text1"/>
        </w:rPr>
      </w:pPr>
    </w:p>
    <w:sectPr w:rsidR="006915DB" w:rsidRPr="0076493A" w:rsidSect="00983E2A">
      <w:headerReference w:type="even" r:id="rId23"/>
      <w:headerReference w:type="default" r:id="rId24"/>
      <w:footnotePr>
        <w:numStart w:val="9"/>
      </w:footnotePr>
      <w:pgSz w:w="11906" w:h="16838"/>
      <w:pgMar w:top="1134" w:right="850" w:bottom="1134" w:left="1134" w:header="708" w:footer="708" w:gutter="0"/>
      <w:pgNumType w:start="49"/>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876" w:rsidRDefault="00451876" w:rsidP="00E05913">
      <w:r>
        <w:separator/>
      </w:r>
    </w:p>
  </w:endnote>
  <w:endnote w:type="continuationSeparator" w:id="0">
    <w:p w:rsidR="00451876" w:rsidRDefault="00451876" w:rsidP="00E05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876" w:rsidRDefault="00451876" w:rsidP="00E05913">
      <w:r>
        <w:separator/>
      </w:r>
    </w:p>
  </w:footnote>
  <w:footnote w:type="continuationSeparator" w:id="0">
    <w:p w:rsidR="00451876" w:rsidRDefault="00451876" w:rsidP="00E05913">
      <w:r>
        <w:continuationSeparator/>
      </w:r>
    </w:p>
  </w:footnote>
  <w:footnote w:id="1">
    <w:p w:rsidR="00451876" w:rsidRPr="00194837" w:rsidRDefault="00451876" w:rsidP="00194837">
      <w:pPr>
        <w:pStyle w:val="a4"/>
        <w:ind w:firstLine="709"/>
        <w:jc w:val="both"/>
        <w:rPr>
          <w:sz w:val="18"/>
          <w:szCs w:val="18"/>
          <w:lang w:val="en-US"/>
        </w:rPr>
      </w:pPr>
      <w:bookmarkStart w:id="0" w:name="_GoBack"/>
      <w:bookmarkEnd w:id="0"/>
      <w:r w:rsidRPr="00194837">
        <w:rPr>
          <w:rStyle w:val="a6"/>
          <w:sz w:val="18"/>
          <w:szCs w:val="18"/>
        </w:rPr>
        <w:footnoteRef/>
      </w:r>
      <w:r w:rsidRPr="00194837">
        <w:rPr>
          <w:sz w:val="18"/>
          <w:szCs w:val="18"/>
          <w:lang w:val="en-US"/>
        </w:rPr>
        <w:t xml:space="preserve"> World Economic Outlook database: April 2025.</w:t>
      </w:r>
    </w:p>
  </w:footnote>
  <w:footnote w:id="2">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С января 2025 года в соответствии со статьей 342 второй части Налогового кодекса Российской Федерации стоимость цены на нефть марки «Юралс» определяется, как сумма среднего арифметического значения цен нефти в соответствии с котировками Urals FOB Primorsk и Urals Med Aframax FOB Novorossiysk, умноженного на коэффициент 0,78, и значения цены нефти в соответствии с котировкой ESPO blend FOB Kozmino, умноженного на коэффициент 0,22.</w:t>
      </w:r>
    </w:p>
  </w:footnote>
  <w:footnote w:id="3">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В целях сопоставимости данных значение за 2024 год в Прогнозе рассчитано по методике 2025 года. Фактическое значение цены на нефть марки «Юралс» за 2024 год, рассчитанное в соответствии с действовавшей в 2024 году методикой, составило 67,9 доллара США за баррель. Методика 2024 года предполагала следующий способ определения стоимости цены на нефть марки «Юралс»: среднее значение цены </w:t>
      </w:r>
      <w:r>
        <w:rPr>
          <w:sz w:val="18"/>
          <w:szCs w:val="18"/>
        </w:rPr>
        <w:t>п</w:t>
      </w:r>
      <w:r w:rsidRPr="00194837">
        <w:rPr>
          <w:sz w:val="18"/>
          <w:szCs w:val="18"/>
        </w:rPr>
        <w:t>окупки и продажи в портах Новороссийск и Приморск плюс 2 доллара США (стоимость фрахта, страховки и иных сборов) сравнивалось со стоимостью нефти марки «Брент» за вычетом дисконта 20 долларов США. Для целей налогообложения выбиралось большее значение цены на нефть марки «Юралс».</w:t>
      </w:r>
    </w:p>
  </w:footnote>
  <w:footnote w:id="4">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В соответствии со статьей 96</w:t>
      </w:r>
      <w:r w:rsidRPr="00194837">
        <w:rPr>
          <w:sz w:val="18"/>
          <w:szCs w:val="18"/>
          <w:vertAlign w:val="superscript"/>
        </w:rPr>
        <w:t>6</w:t>
      </w:r>
      <w:r w:rsidRPr="00194837">
        <w:rPr>
          <w:sz w:val="18"/>
          <w:szCs w:val="18"/>
        </w:rPr>
        <w:t xml:space="preserve"> Бюджетного кодекса Российской Федерации в 2025 году «под базовой ценой на нефть понимается среднегодовая цена на нефть – 60 долларов США за один баррель».</w:t>
      </w:r>
    </w:p>
  </w:footnote>
  <w:footnote w:id="5">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В соответствии с проектом федерального закона о внесении изменений в Бюджетный кодекс Российской Федерации и о признании утратившими силу отдельных положений законодательных актов Российской Федерации.</w:t>
      </w:r>
    </w:p>
  </w:footnote>
  <w:footnote w:id="6">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По данным Минэкономразвития России.</w:t>
      </w:r>
    </w:p>
  </w:footnote>
  <w:footnote w:id="7">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Указ Президента Российской Федерации от 7 мая 2024 г. № 309 «О национальных целях развития Российской Федерации на период до 2030 года и на перспективу до 2036 года» по национальной цели «Устойчивая и динамичная экономика» необходимо обеспечить достижение Россией четвертого места в мире по объему ВВП по паритету покупательной способности, а темпы роста российской экономики выше мировых.</w:t>
      </w:r>
    </w:p>
  </w:footnote>
  <w:footnote w:id="8">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Здесь и далее в разделе 2 информация о структуре денежных доходов населения получена в соответствии с запросом Счетной палаты Российской Федерации № ЗИ04/5951/04-2-02 от 1 сентября 2025 года в рамках проведения экспертно-аналитического мероприятия «Анализ обоснованности Прогноза социально-экономического развития Российской Федерации на 2026 год и на плановый период 2027 и 2028 годов, а также основных параметров макроэкономического прогноза и отдельных инструментов денежно-кредитной политики, заложенных в Основных направлениях единой государственной денежно-кредитной политики на 2026 год и период 2027 и 2028 годов в Министерстве экономического развития Российской Федерации и Центральном банке Российской Федерации».</w:t>
      </w:r>
    </w:p>
  </w:footnote>
  <w:footnote w:id="9">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Методологические положения по расчету показателей денежных доходов и расходов населения, утвержденные приказом Росстата от 2 июля 2014 года (с изменениями и дополнениями от 20 ноября 2018 года).</w:t>
      </w:r>
    </w:p>
  </w:footnote>
  <w:footnote w:id="10">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Указ Президента Российской Федерации от 7 мая 2012 г. № 597 «О мероприятиях по реализации государственной социальной политики», Указ Президента Российской Федерации от 1 июня 2012 года № 761 «О Национальной стратегии действий в интересах детей на 2012–2017 годы», Указ Президента Российской Федерации от 28 декабря 2012 г. № 1688 «О некоторых мерах по реализации государственной политики в сфере защиты детей-сирот и детей, оставшихся без попечения родителей».</w:t>
      </w:r>
    </w:p>
  </w:footnote>
  <w:footnote w:id="11">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Информация получена в соответствии с запросом Счетной палаты № ЗИ04/5951/04-2-02 от 1 сентября 2025 года в рамках проведения экспертно-аналитического мероприятия «Анализ обоснованности Прогноза социально-экономического развития Российской Федерации на 2026 год и на плановый период 2027 и 2028 годов, а также основных параметров макроэкономического прогноза и отдельных инструментов денежно-кредитной политики, заложенных в Основных направлениях единой государственной денежно-кредитной политики на 2026 год и период 2027 и 2028 годов в Министерстве экономического развития Российской Федерации и Центральном банке Российской Федерации».</w:t>
      </w:r>
    </w:p>
  </w:footnote>
  <w:footnote w:id="12">
    <w:p w:rsidR="00451876" w:rsidRPr="00194837" w:rsidRDefault="00451876" w:rsidP="00194837">
      <w:pPr>
        <w:pStyle w:val="a4"/>
        <w:ind w:firstLine="709"/>
        <w:jc w:val="both"/>
        <w:rPr>
          <w:sz w:val="18"/>
          <w:szCs w:val="18"/>
        </w:rPr>
      </w:pPr>
      <w:r w:rsidRPr="00194837">
        <w:rPr>
          <w:rStyle w:val="a6"/>
          <w:sz w:val="18"/>
          <w:szCs w:val="18"/>
        </w:rPr>
        <w:footnoteRef/>
      </w:r>
      <w:r w:rsidRPr="00194837">
        <w:rPr>
          <w:sz w:val="18"/>
          <w:szCs w:val="18"/>
        </w:rPr>
        <w:t xml:space="preserve"> Утверждены приказом Минэкономразвития России от 30 июня 2016 г. № 423 «Об утверждении методических рекомендаций по разработке, корректировке, мониторингу среднесрочного прогноза социально-экономического развития Российской Федерации и о признании утратившим силу приказа Минэкономразвития России от 30 ноября 2009 г. № 492».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876" w:rsidRDefault="00451876" w:rsidP="00451876">
    <w:pPr>
      <w:pStyle w:val="a7"/>
      <w:framePr w:wrap="around" w:vAnchor="text" w:hAnchor="margin" w:xAlign="center" w:y="1"/>
      <w:rPr>
        <w:rStyle w:val="af3"/>
      </w:rPr>
    </w:pPr>
    <w:r>
      <w:rPr>
        <w:rStyle w:val="af3"/>
      </w:rPr>
      <w:fldChar w:fldCharType="begin"/>
    </w:r>
    <w:r>
      <w:rPr>
        <w:rStyle w:val="af3"/>
      </w:rPr>
      <w:instrText xml:space="preserve"> PAGE </w:instrText>
    </w:r>
    <w:r>
      <w:rPr>
        <w:rStyle w:val="af3"/>
      </w:rPr>
      <w:fldChar w:fldCharType="end"/>
    </w:r>
  </w:p>
  <w:p w:rsidR="00451876" w:rsidRPr="00983E2A" w:rsidRDefault="00451876" w:rsidP="00983E2A">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876" w:rsidRPr="00983E2A" w:rsidRDefault="00451876" w:rsidP="00451876">
    <w:pPr>
      <w:pStyle w:val="a7"/>
      <w:framePr w:wrap="around" w:vAnchor="text" w:hAnchor="margin" w:xAlign="center" w:y="1"/>
      <w:rPr>
        <w:rStyle w:val="af3"/>
      </w:rPr>
    </w:pPr>
    <w:r w:rsidRPr="00983E2A">
      <w:rPr>
        <w:rStyle w:val="af3"/>
      </w:rPr>
      <w:fldChar w:fldCharType="begin"/>
    </w:r>
    <w:r w:rsidRPr="00983E2A">
      <w:rPr>
        <w:rStyle w:val="af3"/>
      </w:rPr>
      <w:instrText xml:space="preserve"> PAGE </w:instrText>
    </w:r>
    <w:r w:rsidRPr="00983E2A">
      <w:rPr>
        <w:rStyle w:val="af3"/>
      </w:rPr>
      <w:fldChar w:fldCharType="separate"/>
    </w:r>
    <w:r w:rsidR="00547BD3">
      <w:rPr>
        <w:rStyle w:val="af3"/>
        <w:noProof/>
      </w:rPr>
      <w:t>50</w:t>
    </w:r>
    <w:r w:rsidRPr="00983E2A">
      <w:rPr>
        <w:rStyle w:val="af3"/>
      </w:rPr>
      <w:fldChar w:fldCharType="end"/>
    </w:r>
  </w:p>
  <w:p w:rsidR="00451876" w:rsidRPr="00983E2A" w:rsidRDefault="00451876" w:rsidP="00983E2A">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F6C3D"/>
    <w:multiLevelType w:val="hybridMultilevel"/>
    <w:tmpl w:val="75361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40"/>
  <w:defaultTabStop w:val="708"/>
  <w:characterSpacingControl w:val="doNotCompress"/>
  <w:footnotePr>
    <w:numStart w:val="9"/>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13"/>
    <w:rsid w:val="000043D6"/>
    <w:rsid w:val="00005B52"/>
    <w:rsid w:val="00007B98"/>
    <w:rsid w:val="00007D9A"/>
    <w:rsid w:val="00010776"/>
    <w:rsid w:val="00015E2E"/>
    <w:rsid w:val="00016D27"/>
    <w:rsid w:val="000178D9"/>
    <w:rsid w:val="00024A0C"/>
    <w:rsid w:val="0003199B"/>
    <w:rsid w:val="00033748"/>
    <w:rsid w:val="0003590E"/>
    <w:rsid w:val="00035B4B"/>
    <w:rsid w:val="00036007"/>
    <w:rsid w:val="00037201"/>
    <w:rsid w:val="00042FD4"/>
    <w:rsid w:val="000456A1"/>
    <w:rsid w:val="00050261"/>
    <w:rsid w:val="00050E79"/>
    <w:rsid w:val="0005131E"/>
    <w:rsid w:val="0005467C"/>
    <w:rsid w:val="0005482A"/>
    <w:rsid w:val="000670D2"/>
    <w:rsid w:val="00070A9C"/>
    <w:rsid w:val="000710DB"/>
    <w:rsid w:val="00071A24"/>
    <w:rsid w:val="00072586"/>
    <w:rsid w:val="00072FC9"/>
    <w:rsid w:val="00073182"/>
    <w:rsid w:val="000735C2"/>
    <w:rsid w:val="00076E1D"/>
    <w:rsid w:val="000851D9"/>
    <w:rsid w:val="0009307C"/>
    <w:rsid w:val="00096C44"/>
    <w:rsid w:val="000977BA"/>
    <w:rsid w:val="000A342A"/>
    <w:rsid w:val="000A3BEF"/>
    <w:rsid w:val="000A5B84"/>
    <w:rsid w:val="000A6962"/>
    <w:rsid w:val="000C1011"/>
    <w:rsid w:val="000C4835"/>
    <w:rsid w:val="000C4BF1"/>
    <w:rsid w:val="000C55BB"/>
    <w:rsid w:val="000C65F0"/>
    <w:rsid w:val="000D2224"/>
    <w:rsid w:val="000D63A8"/>
    <w:rsid w:val="000E05B8"/>
    <w:rsid w:val="000E677B"/>
    <w:rsid w:val="000E6EC1"/>
    <w:rsid w:val="000F032E"/>
    <w:rsid w:val="000F3C8E"/>
    <w:rsid w:val="000F41AD"/>
    <w:rsid w:val="00101AFF"/>
    <w:rsid w:val="00101E79"/>
    <w:rsid w:val="00102CE9"/>
    <w:rsid w:val="001039F0"/>
    <w:rsid w:val="00104A62"/>
    <w:rsid w:val="00104E28"/>
    <w:rsid w:val="00106323"/>
    <w:rsid w:val="00110F71"/>
    <w:rsid w:val="001171B6"/>
    <w:rsid w:val="00117315"/>
    <w:rsid w:val="00122692"/>
    <w:rsid w:val="00122D30"/>
    <w:rsid w:val="00124955"/>
    <w:rsid w:val="001328CC"/>
    <w:rsid w:val="00133B2C"/>
    <w:rsid w:val="0013402E"/>
    <w:rsid w:val="0013584D"/>
    <w:rsid w:val="00135EAA"/>
    <w:rsid w:val="00141789"/>
    <w:rsid w:val="00146124"/>
    <w:rsid w:val="0014650A"/>
    <w:rsid w:val="001521CD"/>
    <w:rsid w:val="00155486"/>
    <w:rsid w:val="00162E37"/>
    <w:rsid w:val="001642F8"/>
    <w:rsid w:val="00167107"/>
    <w:rsid w:val="00170E4C"/>
    <w:rsid w:val="00172FE9"/>
    <w:rsid w:val="00174E34"/>
    <w:rsid w:val="00175CB1"/>
    <w:rsid w:val="00177470"/>
    <w:rsid w:val="00180F74"/>
    <w:rsid w:val="00181E78"/>
    <w:rsid w:val="00184011"/>
    <w:rsid w:val="001849B0"/>
    <w:rsid w:val="00194837"/>
    <w:rsid w:val="001A4B10"/>
    <w:rsid w:val="001A5902"/>
    <w:rsid w:val="001B06C1"/>
    <w:rsid w:val="001B0896"/>
    <w:rsid w:val="001B12B0"/>
    <w:rsid w:val="001B7B58"/>
    <w:rsid w:val="001C13FE"/>
    <w:rsid w:val="001C2BD5"/>
    <w:rsid w:val="001C3C84"/>
    <w:rsid w:val="001D04C1"/>
    <w:rsid w:val="001D11B6"/>
    <w:rsid w:val="001D2309"/>
    <w:rsid w:val="001D27E3"/>
    <w:rsid w:val="001D76F4"/>
    <w:rsid w:val="001E0089"/>
    <w:rsid w:val="001E176B"/>
    <w:rsid w:val="001E236A"/>
    <w:rsid w:val="001E5287"/>
    <w:rsid w:val="001E79A4"/>
    <w:rsid w:val="00200551"/>
    <w:rsid w:val="00200D12"/>
    <w:rsid w:val="002023A7"/>
    <w:rsid w:val="0020387F"/>
    <w:rsid w:val="0020493B"/>
    <w:rsid w:val="0020536B"/>
    <w:rsid w:val="002055D0"/>
    <w:rsid w:val="0020723A"/>
    <w:rsid w:val="00210677"/>
    <w:rsid w:val="0021277B"/>
    <w:rsid w:val="00212F4F"/>
    <w:rsid w:val="002134BA"/>
    <w:rsid w:val="002145FB"/>
    <w:rsid w:val="0021497D"/>
    <w:rsid w:val="00216925"/>
    <w:rsid w:val="0022376C"/>
    <w:rsid w:val="00223F6B"/>
    <w:rsid w:val="00233276"/>
    <w:rsid w:val="00237DA7"/>
    <w:rsid w:val="00241298"/>
    <w:rsid w:val="00243D29"/>
    <w:rsid w:val="002447CB"/>
    <w:rsid w:val="0024614C"/>
    <w:rsid w:val="002529E5"/>
    <w:rsid w:val="00255CF7"/>
    <w:rsid w:val="00263F13"/>
    <w:rsid w:val="0027089F"/>
    <w:rsid w:val="00273E5A"/>
    <w:rsid w:val="00275E41"/>
    <w:rsid w:val="00277DFB"/>
    <w:rsid w:val="0028188E"/>
    <w:rsid w:val="002818A7"/>
    <w:rsid w:val="00283B44"/>
    <w:rsid w:val="00284C0C"/>
    <w:rsid w:val="002915B3"/>
    <w:rsid w:val="002938D9"/>
    <w:rsid w:val="00296779"/>
    <w:rsid w:val="00297ED7"/>
    <w:rsid w:val="002A31F7"/>
    <w:rsid w:val="002A47BE"/>
    <w:rsid w:val="002A51AF"/>
    <w:rsid w:val="002B0304"/>
    <w:rsid w:val="002B031E"/>
    <w:rsid w:val="002B1DBD"/>
    <w:rsid w:val="002B27FC"/>
    <w:rsid w:val="002B2D4A"/>
    <w:rsid w:val="002B44BC"/>
    <w:rsid w:val="002B5F80"/>
    <w:rsid w:val="002B7837"/>
    <w:rsid w:val="002B7DC7"/>
    <w:rsid w:val="002C3683"/>
    <w:rsid w:val="002C4B2C"/>
    <w:rsid w:val="002C6249"/>
    <w:rsid w:val="002D3051"/>
    <w:rsid w:val="002D43AB"/>
    <w:rsid w:val="002D796C"/>
    <w:rsid w:val="002D7DE8"/>
    <w:rsid w:val="002E0A1C"/>
    <w:rsid w:val="002E156D"/>
    <w:rsid w:val="002E1DDA"/>
    <w:rsid w:val="002E3181"/>
    <w:rsid w:val="002E3BE3"/>
    <w:rsid w:val="002E5B1A"/>
    <w:rsid w:val="002E6752"/>
    <w:rsid w:val="002E73E2"/>
    <w:rsid w:val="002E7C28"/>
    <w:rsid w:val="002F293F"/>
    <w:rsid w:val="002F2D93"/>
    <w:rsid w:val="002F56C6"/>
    <w:rsid w:val="002F6B19"/>
    <w:rsid w:val="002F75FC"/>
    <w:rsid w:val="00304FA2"/>
    <w:rsid w:val="003107EF"/>
    <w:rsid w:val="00315DAD"/>
    <w:rsid w:val="00316A40"/>
    <w:rsid w:val="00322E0F"/>
    <w:rsid w:val="003239F0"/>
    <w:rsid w:val="003255EE"/>
    <w:rsid w:val="003338F4"/>
    <w:rsid w:val="00340987"/>
    <w:rsid w:val="00343EE5"/>
    <w:rsid w:val="00344E5E"/>
    <w:rsid w:val="00346078"/>
    <w:rsid w:val="003477CE"/>
    <w:rsid w:val="00353BA6"/>
    <w:rsid w:val="00355708"/>
    <w:rsid w:val="00355A6D"/>
    <w:rsid w:val="003563FA"/>
    <w:rsid w:val="00360A5C"/>
    <w:rsid w:val="00362EAA"/>
    <w:rsid w:val="00363A59"/>
    <w:rsid w:val="00363E39"/>
    <w:rsid w:val="00364242"/>
    <w:rsid w:val="00365F2B"/>
    <w:rsid w:val="003664E9"/>
    <w:rsid w:val="00367810"/>
    <w:rsid w:val="00370183"/>
    <w:rsid w:val="00370232"/>
    <w:rsid w:val="003722ED"/>
    <w:rsid w:val="00374E2C"/>
    <w:rsid w:val="00380500"/>
    <w:rsid w:val="00380950"/>
    <w:rsid w:val="00383B39"/>
    <w:rsid w:val="003875F3"/>
    <w:rsid w:val="00393E8E"/>
    <w:rsid w:val="0039539C"/>
    <w:rsid w:val="00396A5B"/>
    <w:rsid w:val="00397181"/>
    <w:rsid w:val="003A1A64"/>
    <w:rsid w:val="003A31D8"/>
    <w:rsid w:val="003A4581"/>
    <w:rsid w:val="003A68D8"/>
    <w:rsid w:val="003A6E8C"/>
    <w:rsid w:val="003A74E5"/>
    <w:rsid w:val="003B1123"/>
    <w:rsid w:val="003B3D46"/>
    <w:rsid w:val="003B43AD"/>
    <w:rsid w:val="003B68C4"/>
    <w:rsid w:val="003C053A"/>
    <w:rsid w:val="003C20F8"/>
    <w:rsid w:val="003C2A7C"/>
    <w:rsid w:val="003C2B58"/>
    <w:rsid w:val="003C45D3"/>
    <w:rsid w:val="003C4A5D"/>
    <w:rsid w:val="003C5A33"/>
    <w:rsid w:val="003C65DB"/>
    <w:rsid w:val="003D1628"/>
    <w:rsid w:val="003D279B"/>
    <w:rsid w:val="003D2C96"/>
    <w:rsid w:val="003D4300"/>
    <w:rsid w:val="003D46B0"/>
    <w:rsid w:val="003D4C99"/>
    <w:rsid w:val="003D68BE"/>
    <w:rsid w:val="003E287F"/>
    <w:rsid w:val="003E3B47"/>
    <w:rsid w:val="003E59FB"/>
    <w:rsid w:val="003E5F4D"/>
    <w:rsid w:val="003E5FB2"/>
    <w:rsid w:val="003E64E4"/>
    <w:rsid w:val="003E6DCF"/>
    <w:rsid w:val="003E790F"/>
    <w:rsid w:val="003E7945"/>
    <w:rsid w:val="003E7C5E"/>
    <w:rsid w:val="003F2656"/>
    <w:rsid w:val="003F39BC"/>
    <w:rsid w:val="003F5BA9"/>
    <w:rsid w:val="003F7014"/>
    <w:rsid w:val="0040010D"/>
    <w:rsid w:val="004008E1"/>
    <w:rsid w:val="00401FCD"/>
    <w:rsid w:val="004033B5"/>
    <w:rsid w:val="004054D2"/>
    <w:rsid w:val="00407D85"/>
    <w:rsid w:val="00407FE1"/>
    <w:rsid w:val="00414B59"/>
    <w:rsid w:val="004175D5"/>
    <w:rsid w:val="00417D21"/>
    <w:rsid w:val="004219A7"/>
    <w:rsid w:val="0042253E"/>
    <w:rsid w:val="004229C4"/>
    <w:rsid w:val="00425658"/>
    <w:rsid w:val="0043410F"/>
    <w:rsid w:val="004347B9"/>
    <w:rsid w:val="004367F4"/>
    <w:rsid w:val="004428B4"/>
    <w:rsid w:val="004440FE"/>
    <w:rsid w:val="00450320"/>
    <w:rsid w:val="00451640"/>
    <w:rsid w:val="00451876"/>
    <w:rsid w:val="00452A7A"/>
    <w:rsid w:val="0045400C"/>
    <w:rsid w:val="00456346"/>
    <w:rsid w:val="00456D41"/>
    <w:rsid w:val="00457809"/>
    <w:rsid w:val="00457CD8"/>
    <w:rsid w:val="00460C18"/>
    <w:rsid w:val="00460FFA"/>
    <w:rsid w:val="004613B7"/>
    <w:rsid w:val="00465BE5"/>
    <w:rsid w:val="00466768"/>
    <w:rsid w:val="00475B4F"/>
    <w:rsid w:val="00476314"/>
    <w:rsid w:val="004768C4"/>
    <w:rsid w:val="00481562"/>
    <w:rsid w:val="004825D1"/>
    <w:rsid w:val="00483D6E"/>
    <w:rsid w:val="00485964"/>
    <w:rsid w:val="00490EB2"/>
    <w:rsid w:val="0049128D"/>
    <w:rsid w:val="0049345B"/>
    <w:rsid w:val="00495E6D"/>
    <w:rsid w:val="004964CA"/>
    <w:rsid w:val="00497F39"/>
    <w:rsid w:val="004A0860"/>
    <w:rsid w:val="004A347B"/>
    <w:rsid w:val="004A4BFB"/>
    <w:rsid w:val="004A4FD8"/>
    <w:rsid w:val="004A5F06"/>
    <w:rsid w:val="004A6FD6"/>
    <w:rsid w:val="004B098A"/>
    <w:rsid w:val="004B3CA4"/>
    <w:rsid w:val="004B449C"/>
    <w:rsid w:val="004B78E8"/>
    <w:rsid w:val="004C025B"/>
    <w:rsid w:val="004C171D"/>
    <w:rsid w:val="004C4F1F"/>
    <w:rsid w:val="004C596C"/>
    <w:rsid w:val="004D1259"/>
    <w:rsid w:val="004D55DF"/>
    <w:rsid w:val="004D6DB1"/>
    <w:rsid w:val="004E088A"/>
    <w:rsid w:val="004E0AE4"/>
    <w:rsid w:val="004E1424"/>
    <w:rsid w:val="004E4A8B"/>
    <w:rsid w:val="004E4B1D"/>
    <w:rsid w:val="004F44DB"/>
    <w:rsid w:val="004F47F2"/>
    <w:rsid w:val="004F5735"/>
    <w:rsid w:val="004F6009"/>
    <w:rsid w:val="004F7624"/>
    <w:rsid w:val="00506DD4"/>
    <w:rsid w:val="00513271"/>
    <w:rsid w:val="0052168F"/>
    <w:rsid w:val="0052766C"/>
    <w:rsid w:val="00530157"/>
    <w:rsid w:val="00530651"/>
    <w:rsid w:val="005308C8"/>
    <w:rsid w:val="005319D0"/>
    <w:rsid w:val="00536F69"/>
    <w:rsid w:val="0053709D"/>
    <w:rsid w:val="0054754A"/>
    <w:rsid w:val="00547BD3"/>
    <w:rsid w:val="00552549"/>
    <w:rsid w:val="005537CD"/>
    <w:rsid w:val="00556E12"/>
    <w:rsid w:val="00560A0C"/>
    <w:rsid w:val="00561878"/>
    <w:rsid w:val="005622FD"/>
    <w:rsid w:val="00565478"/>
    <w:rsid w:val="005678C4"/>
    <w:rsid w:val="00575DA6"/>
    <w:rsid w:val="00576527"/>
    <w:rsid w:val="005803CB"/>
    <w:rsid w:val="005822C6"/>
    <w:rsid w:val="005829B9"/>
    <w:rsid w:val="00582E5B"/>
    <w:rsid w:val="00583AB5"/>
    <w:rsid w:val="0058481D"/>
    <w:rsid w:val="005940C6"/>
    <w:rsid w:val="005973D4"/>
    <w:rsid w:val="005A278E"/>
    <w:rsid w:val="005A5EC5"/>
    <w:rsid w:val="005A7DFC"/>
    <w:rsid w:val="005B167F"/>
    <w:rsid w:val="005B2005"/>
    <w:rsid w:val="005B3017"/>
    <w:rsid w:val="005B3577"/>
    <w:rsid w:val="005B5114"/>
    <w:rsid w:val="005C2A63"/>
    <w:rsid w:val="005C57F5"/>
    <w:rsid w:val="005C6361"/>
    <w:rsid w:val="005D5239"/>
    <w:rsid w:val="005D6657"/>
    <w:rsid w:val="005E146D"/>
    <w:rsid w:val="005E2CA5"/>
    <w:rsid w:val="005E4B5E"/>
    <w:rsid w:val="005F1B64"/>
    <w:rsid w:val="005F1D50"/>
    <w:rsid w:val="005F330E"/>
    <w:rsid w:val="005F4BE4"/>
    <w:rsid w:val="005F58E5"/>
    <w:rsid w:val="00602F9A"/>
    <w:rsid w:val="00603210"/>
    <w:rsid w:val="006045AD"/>
    <w:rsid w:val="00604AA5"/>
    <w:rsid w:val="006112B7"/>
    <w:rsid w:val="00614981"/>
    <w:rsid w:val="00614E97"/>
    <w:rsid w:val="00617E12"/>
    <w:rsid w:val="00623FFB"/>
    <w:rsid w:val="006240EB"/>
    <w:rsid w:val="00627F99"/>
    <w:rsid w:val="00630B24"/>
    <w:rsid w:val="006509E3"/>
    <w:rsid w:val="0065146D"/>
    <w:rsid w:val="00651D1C"/>
    <w:rsid w:val="006548F5"/>
    <w:rsid w:val="006612D1"/>
    <w:rsid w:val="00661D17"/>
    <w:rsid w:val="006621C9"/>
    <w:rsid w:val="00664CA5"/>
    <w:rsid w:val="00665879"/>
    <w:rsid w:val="00666A53"/>
    <w:rsid w:val="00667CC5"/>
    <w:rsid w:val="006749B9"/>
    <w:rsid w:val="00674FAD"/>
    <w:rsid w:val="006764FC"/>
    <w:rsid w:val="00677D1F"/>
    <w:rsid w:val="00683A96"/>
    <w:rsid w:val="006915DB"/>
    <w:rsid w:val="0069442C"/>
    <w:rsid w:val="006A166B"/>
    <w:rsid w:val="006A7D7C"/>
    <w:rsid w:val="006B3655"/>
    <w:rsid w:val="006B4629"/>
    <w:rsid w:val="006B4D8F"/>
    <w:rsid w:val="006B7752"/>
    <w:rsid w:val="006C00E5"/>
    <w:rsid w:val="006C364B"/>
    <w:rsid w:val="006C503E"/>
    <w:rsid w:val="006C52B4"/>
    <w:rsid w:val="006C53B9"/>
    <w:rsid w:val="006C5A27"/>
    <w:rsid w:val="006C6883"/>
    <w:rsid w:val="006C68DF"/>
    <w:rsid w:val="006D446A"/>
    <w:rsid w:val="006D5CC6"/>
    <w:rsid w:val="006E04F6"/>
    <w:rsid w:val="006E0D34"/>
    <w:rsid w:val="006E233A"/>
    <w:rsid w:val="006E2800"/>
    <w:rsid w:val="006E2D19"/>
    <w:rsid w:val="006E43CE"/>
    <w:rsid w:val="006E5782"/>
    <w:rsid w:val="006E6698"/>
    <w:rsid w:val="006F41B1"/>
    <w:rsid w:val="006F4F25"/>
    <w:rsid w:val="007005E4"/>
    <w:rsid w:val="00700889"/>
    <w:rsid w:val="00701272"/>
    <w:rsid w:val="007025DC"/>
    <w:rsid w:val="0070274B"/>
    <w:rsid w:val="007118C5"/>
    <w:rsid w:val="00711C92"/>
    <w:rsid w:val="0071678F"/>
    <w:rsid w:val="00721C41"/>
    <w:rsid w:val="007237E4"/>
    <w:rsid w:val="00724A58"/>
    <w:rsid w:val="007321E9"/>
    <w:rsid w:val="00732B2E"/>
    <w:rsid w:val="00733839"/>
    <w:rsid w:val="00733EB3"/>
    <w:rsid w:val="007348AD"/>
    <w:rsid w:val="00734CF7"/>
    <w:rsid w:val="00744639"/>
    <w:rsid w:val="007446B7"/>
    <w:rsid w:val="00744A40"/>
    <w:rsid w:val="00746CF9"/>
    <w:rsid w:val="007550B1"/>
    <w:rsid w:val="00755206"/>
    <w:rsid w:val="007615E9"/>
    <w:rsid w:val="0076493A"/>
    <w:rsid w:val="0076615F"/>
    <w:rsid w:val="00773599"/>
    <w:rsid w:val="0077399E"/>
    <w:rsid w:val="00776487"/>
    <w:rsid w:val="007800EA"/>
    <w:rsid w:val="00782465"/>
    <w:rsid w:val="00783374"/>
    <w:rsid w:val="00783D7B"/>
    <w:rsid w:val="0078406F"/>
    <w:rsid w:val="00791A3A"/>
    <w:rsid w:val="00792A1A"/>
    <w:rsid w:val="0079384E"/>
    <w:rsid w:val="00793E12"/>
    <w:rsid w:val="00793E57"/>
    <w:rsid w:val="00794776"/>
    <w:rsid w:val="00796A20"/>
    <w:rsid w:val="007A3C12"/>
    <w:rsid w:val="007A49B3"/>
    <w:rsid w:val="007A5046"/>
    <w:rsid w:val="007A66E5"/>
    <w:rsid w:val="007B008C"/>
    <w:rsid w:val="007B1083"/>
    <w:rsid w:val="007B2960"/>
    <w:rsid w:val="007B70D7"/>
    <w:rsid w:val="007B75F3"/>
    <w:rsid w:val="007B79A5"/>
    <w:rsid w:val="007C2F1C"/>
    <w:rsid w:val="007C60A1"/>
    <w:rsid w:val="007D15FF"/>
    <w:rsid w:val="007D349B"/>
    <w:rsid w:val="007D5C4F"/>
    <w:rsid w:val="007D7377"/>
    <w:rsid w:val="007E0BCE"/>
    <w:rsid w:val="007E129E"/>
    <w:rsid w:val="007E3AFC"/>
    <w:rsid w:val="007E4992"/>
    <w:rsid w:val="007E5558"/>
    <w:rsid w:val="007F4405"/>
    <w:rsid w:val="007F6626"/>
    <w:rsid w:val="00801355"/>
    <w:rsid w:val="008058E1"/>
    <w:rsid w:val="00807234"/>
    <w:rsid w:val="008128BC"/>
    <w:rsid w:val="00813802"/>
    <w:rsid w:val="008138AE"/>
    <w:rsid w:val="00816CB3"/>
    <w:rsid w:val="0081735A"/>
    <w:rsid w:val="008262F4"/>
    <w:rsid w:val="00827616"/>
    <w:rsid w:val="00831E26"/>
    <w:rsid w:val="00832726"/>
    <w:rsid w:val="00836DB1"/>
    <w:rsid w:val="00837E98"/>
    <w:rsid w:val="00845B5E"/>
    <w:rsid w:val="0085018B"/>
    <w:rsid w:val="00850B7D"/>
    <w:rsid w:val="00855237"/>
    <w:rsid w:val="008558B3"/>
    <w:rsid w:val="00855D99"/>
    <w:rsid w:val="00864035"/>
    <w:rsid w:val="00873864"/>
    <w:rsid w:val="008759A8"/>
    <w:rsid w:val="0088091B"/>
    <w:rsid w:val="00881360"/>
    <w:rsid w:val="00881871"/>
    <w:rsid w:val="0089532C"/>
    <w:rsid w:val="00895332"/>
    <w:rsid w:val="008973F6"/>
    <w:rsid w:val="008A2CCC"/>
    <w:rsid w:val="008A5858"/>
    <w:rsid w:val="008A5F6B"/>
    <w:rsid w:val="008A679A"/>
    <w:rsid w:val="008B06D1"/>
    <w:rsid w:val="008B76CE"/>
    <w:rsid w:val="008B7A81"/>
    <w:rsid w:val="008D211C"/>
    <w:rsid w:val="008D2469"/>
    <w:rsid w:val="008D4D65"/>
    <w:rsid w:val="008D6B92"/>
    <w:rsid w:val="008E24C2"/>
    <w:rsid w:val="008E389C"/>
    <w:rsid w:val="008E4800"/>
    <w:rsid w:val="008E59C2"/>
    <w:rsid w:val="008E5BBB"/>
    <w:rsid w:val="008E63E6"/>
    <w:rsid w:val="008F3416"/>
    <w:rsid w:val="00901452"/>
    <w:rsid w:val="009034ED"/>
    <w:rsid w:val="00904FF6"/>
    <w:rsid w:val="0091495B"/>
    <w:rsid w:val="00922E84"/>
    <w:rsid w:val="00923A00"/>
    <w:rsid w:val="009245F4"/>
    <w:rsid w:val="00931672"/>
    <w:rsid w:val="00931911"/>
    <w:rsid w:val="00933F65"/>
    <w:rsid w:val="0093472F"/>
    <w:rsid w:val="00935F80"/>
    <w:rsid w:val="009368D5"/>
    <w:rsid w:val="00942CE9"/>
    <w:rsid w:val="00950B8D"/>
    <w:rsid w:val="00950F72"/>
    <w:rsid w:val="00951B1B"/>
    <w:rsid w:val="00952B91"/>
    <w:rsid w:val="00954D25"/>
    <w:rsid w:val="00956221"/>
    <w:rsid w:val="00957195"/>
    <w:rsid w:val="00960032"/>
    <w:rsid w:val="009605AB"/>
    <w:rsid w:val="00961269"/>
    <w:rsid w:val="009658D7"/>
    <w:rsid w:val="00967F2D"/>
    <w:rsid w:val="00967FE5"/>
    <w:rsid w:val="00971BD5"/>
    <w:rsid w:val="00972A46"/>
    <w:rsid w:val="00977752"/>
    <w:rsid w:val="00983E2A"/>
    <w:rsid w:val="0098674A"/>
    <w:rsid w:val="00986ED8"/>
    <w:rsid w:val="00987191"/>
    <w:rsid w:val="00990CA9"/>
    <w:rsid w:val="009915F2"/>
    <w:rsid w:val="009933EB"/>
    <w:rsid w:val="009941B9"/>
    <w:rsid w:val="0099502A"/>
    <w:rsid w:val="009A0491"/>
    <w:rsid w:val="009A07DB"/>
    <w:rsid w:val="009A2362"/>
    <w:rsid w:val="009A46CD"/>
    <w:rsid w:val="009A6739"/>
    <w:rsid w:val="009B0CCE"/>
    <w:rsid w:val="009B1150"/>
    <w:rsid w:val="009B26DB"/>
    <w:rsid w:val="009B382A"/>
    <w:rsid w:val="009B4630"/>
    <w:rsid w:val="009B50AC"/>
    <w:rsid w:val="009B51FD"/>
    <w:rsid w:val="009C1043"/>
    <w:rsid w:val="009C25CE"/>
    <w:rsid w:val="009C48B1"/>
    <w:rsid w:val="009D43FC"/>
    <w:rsid w:val="009D6637"/>
    <w:rsid w:val="009E03D0"/>
    <w:rsid w:val="009E1ACB"/>
    <w:rsid w:val="009E3373"/>
    <w:rsid w:val="009E6DD2"/>
    <w:rsid w:val="009F6DC0"/>
    <w:rsid w:val="00A003E6"/>
    <w:rsid w:val="00A007FB"/>
    <w:rsid w:val="00A00BB2"/>
    <w:rsid w:val="00A01E9F"/>
    <w:rsid w:val="00A0204D"/>
    <w:rsid w:val="00A04D00"/>
    <w:rsid w:val="00A07EC0"/>
    <w:rsid w:val="00A10E98"/>
    <w:rsid w:val="00A12290"/>
    <w:rsid w:val="00A16F91"/>
    <w:rsid w:val="00A26047"/>
    <w:rsid w:val="00A3051C"/>
    <w:rsid w:val="00A32953"/>
    <w:rsid w:val="00A34832"/>
    <w:rsid w:val="00A34966"/>
    <w:rsid w:val="00A3562E"/>
    <w:rsid w:val="00A360F0"/>
    <w:rsid w:val="00A41FDB"/>
    <w:rsid w:val="00A4772B"/>
    <w:rsid w:val="00A5242D"/>
    <w:rsid w:val="00A533B6"/>
    <w:rsid w:val="00A54DD1"/>
    <w:rsid w:val="00A56244"/>
    <w:rsid w:val="00A6228B"/>
    <w:rsid w:val="00A63827"/>
    <w:rsid w:val="00A64843"/>
    <w:rsid w:val="00A655A2"/>
    <w:rsid w:val="00A6566E"/>
    <w:rsid w:val="00A7507B"/>
    <w:rsid w:val="00A75099"/>
    <w:rsid w:val="00A77CF2"/>
    <w:rsid w:val="00A84458"/>
    <w:rsid w:val="00A859E2"/>
    <w:rsid w:val="00A91D35"/>
    <w:rsid w:val="00A96491"/>
    <w:rsid w:val="00AA716A"/>
    <w:rsid w:val="00AA7EC8"/>
    <w:rsid w:val="00AB0056"/>
    <w:rsid w:val="00AB1C14"/>
    <w:rsid w:val="00AB303E"/>
    <w:rsid w:val="00AB42C8"/>
    <w:rsid w:val="00AB4899"/>
    <w:rsid w:val="00AB5A4D"/>
    <w:rsid w:val="00AB6152"/>
    <w:rsid w:val="00AB77EF"/>
    <w:rsid w:val="00AC04F6"/>
    <w:rsid w:val="00AC1129"/>
    <w:rsid w:val="00AC49AB"/>
    <w:rsid w:val="00AC5C18"/>
    <w:rsid w:val="00AD2CAE"/>
    <w:rsid w:val="00AD5D01"/>
    <w:rsid w:val="00AD5E80"/>
    <w:rsid w:val="00AE0D80"/>
    <w:rsid w:val="00AE271A"/>
    <w:rsid w:val="00AE425B"/>
    <w:rsid w:val="00AF330C"/>
    <w:rsid w:val="00AF4AD7"/>
    <w:rsid w:val="00AF4D22"/>
    <w:rsid w:val="00B02457"/>
    <w:rsid w:val="00B02D6A"/>
    <w:rsid w:val="00B05544"/>
    <w:rsid w:val="00B06F8C"/>
    <w:rsid w:val="00B10AD7"/>
    <w:rsid w:val="00B12CEA"/>
    <w:rsid w:val="00B130FE"/>
    <w:rsid w:val="00B14808"/>
    <w:rsid w:val="00B16FCA"/>
    <w:rsid w:val="00B26702"/>
    <w:rsid w:val="00B2798A"/>
    <w:rsid w:val="00B27B57"/>
    <w:rsid w:val="00B301CB"/>
    <w:rsid w:val="00B3570A"/>
    <w:rsid w:val="00B369F9"/>
    <w:rsid w:val="00B42D96"/>
    <w:rsid w:val="00B44312"/>
    <w:rsid w:val="00B46FD3"/>
    <w:rsid w:val="00B55B20"/>
    <w:rsid w:val="00B56A6C"/>
    <w:rsid w:val="00B61A8F"/>
    <w:rsid w:val="00B75336"/>
    <w:rsid w:val="00B76AF0"/>
    <w:rsid w:val="00B77B20"/>
    <w:rsid w:val="00B874DC"/>
    <w:rsid w:val="00B926B5"/>
    <w:rsid w:val="00B92BB6"/>
    <w:rsid w:val="00B92FD3"/>
    <w:rsid w:val="00B97216"/>
    <w:rsid w:val="00BA1F81"/>
    <w:rsid w:val="00BA4562"/>
    <w:rsid w:val="00BA5770"/>
    <w:rsid w:val="00BB11D5"/>
    <w:rsid w:val="00BB3091"/>
    <w:rsid w:val="00BB31E9"/>
    <w:rsid w:val="00BB31FE"/>
    <w:rsid w:val="00BB42B1"/>
    <w:rsid w:val="00BC64F6"/>
    <w:rsid w:val="00BD36DF"/>
    <w:rsid w:val="00BD470C"/>
    <w:rsid w:val="00BD77CA"/>
    <w:rsid w:val="00BE220C"/>
    <w:rsid w:val="00BE7B84"/>
    <w:rsid w:val="00C023C5"/>
    <w:rsid w:val="00C02464"/>
    <w:rsid w:val="00C0254A"/>
    <w:rsid w:val="00C03731"/>
    <w:rsid w:val="00C03FED"/>
    <w:rsid w:val="00C06534"/>
    <w:rsid w:val="00C11641"/>
    <w:rsid w:val="00C12945"/>
    <w:rsid w:val="00C14F9B"/>
    <w:rsid w:val="00C16DE4"/>
    <w:rsid w:val="00C1721E"/>
    <w:rsid w:val="00C21FCC"/>
    <w:rsid w:val="00C2204B"/>
    <w:rsid w:val="00C26675"/>
    <w:rsid w:val="00C26B02"/>
    <w:rsid w:val="00C30DF2"/>
    <w:rsid w:val="00C33F49"/>
    <w:rsid w:val="00C33FB6"/>
    <w:rsid w:val="00C377C0"/>
    <w:rsid w:val="00C37ADC"/>
    <w:rsid w:val="00C4039C"/>
    <w:rsid w:val="00C40FC1"/>
    <w:rsid w:val="00C418EF"/>
    <w:rsid w:val="00C4372D"/>
    <w:rsid w:val="00C45128"/>
    <w:rsid w:val="00C600E1"/>
    <w:rsid w:val="00C60ECA"/>
    <w:rsid w:val="00C67671"/>
    <w:rsid w:val="00C708C8"/>
    <w:rsid w:val="00C712F2"/>
    <w:rsid w:val="00C7198B"/>
    <w:rsid w:val="00C7217B"/>
    <w:rsid w:val="00C72A0C"/>
    <w:rsid w:val="00C72C88"/>
    <w:rsid w:val="00C734DE"/>
    <w:rsid w:val="00C82357"/>
    <w:rsid w:val="00C85494"/>
    <w:rsid w:val="00C87C95"/>
    <w:rsid w:val="00C903FF"/>
    <w:rsid w:val="00CA30B7"/>
    <w:rsid w:val="00CA7A13"/>
    <w:rsid w:val="00CA7CC7"/>
    <w:rsid w:val="00CB10B7"/>
    <w:rsid w:val="00CB1F2E"/>
    <w:rsid w:val="00CB3639"/>
    <w:rsid w:val="00CB3D84"/>
    <w:rsid w:val="00CC0762"/>
    <w:rsid w:val="00CC1636"/>
    <w:rsid w:val="00CC48C6"/>
    <w:rsid w:val="00CC4B53"/>
    <w:rsid w:val="00CC632A"/>
    <w:rsid w:val="00CC6529"/>
    <w:rsid w:val="00CC7E5A"/>
    <w:rsid w:val="00CD46D4"/>
    <w:rsid w:val="00CE2CE7"/>
    <w:rsid w:val="00CE3B2A"/>
    <w:rsid w:val="00CF1BEE"/>
    <w:rsid w:val="00CF37FD"/>
    <w:rsid w:val="00D0011F"/>
    <w:rsid w:val="00D0325C"/>
    <w:rsid w:val="00D046CD"/>
    <w:rsid w:val="00D0640F"/>
    <w:rsid w:val="00D07D1C"/>
    <w:rsid w:val="00D07E94"/>
    <w:rsid w:val="00D10723"/>
    <w:rsid w:val="00D11723"/>
    <w:rsid w:val="00D14620"/>
    <w:rsid w:val="00D14A65"/>
    <w:rsid w:val="00D1656A"/>
    <w:rsid w:val="00D16EB3"/>
    <w:rsid w:val="00D22069"/>
    <w:rsid w:val="00D23D22"/>
    <w:rsid w:val="00D316BF"/>
    <w:rsid w:val="00D323E4"/>
    <w:rsid w:val="00D337CA"/>
    <w:rsid w:val="00D3498B"/>
    <w:rsid w:val="00D420E3"/>
    <w:rsid w:val="00D459DB"/>
    <w:rsid w:val="00D4632C"/>
    <w:rsid w:val="00D50C2B"/>
    <w:rsid w:val="00D52DE8"/>
    <w:rsid w:val="00D5371C"/>
    <w:rsid w:val="00D54C8C"/>
    <w:rsid w:val="00D60C0E"/>
    <w:rsid w:val="00D61124"/>
    <w:rsid w:val="00D611EC"/>
    <w:rsid w:val="00D62BA6"/>
    <w:rsid w:val="00D636F0"/>
    <w:rsid w:val="00D64FB7"/>
    <w:rsid w:val="00D65006"/>
    <w:rsid w:val="00D74DBB"/>
    <w:rsid w:val="00D80C59"/>
    <w:rsid w:val="00D81DC2"/>
    <w:rsid w:val="00D851BD"/>
    <w:rsid w:val="00D8545D"/>
    <w:rsid w:val="00D870E8"/>
    <w:rsid w:val="00D93D2A"/>
    <w:rsid w:val="00D94664"/>
    <w:rsid w:val="00D94CDB"/>
    <w:rsid w:val="00D95433"/>
    <w:rsid w:val="00DA02D8"/>
    <w:rsid w:val="00DA070C"/>
    <w:rsid w:val="00DA156B"/>
    <w:rsid w:val="00DA2339"/>
    <w:rsid w:val="00DB2D53"/>
    <w:rsid w:val="00DB6D49"/>
    <w:rsid w:val="00DC1AF6"/>
    <w:rsid w:val="00DC436C"/>
    <w:rsid w:val="00DC43A5"/>
    <w:rsid w:val="00DC5707"/>
    <w:rsid w:val="00DC6037"/>
    <w:rsid w:val="00DC6D8F"/>
    <w:rsid w:val="00DD01A6"/>
    <w:rsid w:val="00DD1164"/>
    <w:rsid w:val="00DD1C1F"/>
    <w:rsid w:val="00DD3E03"/>
    <w:rsid w:val="00DD5C30"/>
    <w:rsid w:val="00DD5D33"/>
    <w:rsid w:val="00DD5FD0"/>
    <w:rsid w:val="00DD6A24"/>
    <w:rsid w:val="00DE3B5F"/>
    <w:rsid w:val="00E03692"/>
    <w:rsid w:val="00E04E05"/>
    <w:rsid w:val="00E05913"/>
    <w:rsid w:val="00E064BB"/>
    <w:rsid w:val="00E13154"/>
    <w:rsid w:val="00E14158"/>
    <w:rsid w:val="00E148DD"/>
    <w:rsid w:val="00E14B65"/>
    <w:rsid w:val="00E154F8"/>
    <w:rsid w:val="00E15AB9"/>
    <w:rsid w:val="00E15EAE"/>
    <w:rsid w:val="00E164A1"/>
    <w:rsid w:val="00E1756B"/>
    <w:rsid w:val="00E205D4"/>
    <w:rsid w:val="00E233E6"/>
    <w:rsid w:val="00E24DB3"/>
    <w:rsid w:val="00E277FF"/>
    <w:rsid w:val="00E3092C"/>
    <w:rsid w:val="00E30F68"/>
    <w:rsid w:val="00E32E03"/>
    <w:rsid w:val="00E33016"/>
    <w:rsid w:val="00E353A2"/>
    <w:rsid w:val="00E3613C"/>
    <w:rsid w:val="00E400BF"/>
    <w:rsid w:val="00E4335E"/>
    <w:rsid w:val="00E4396B"/>
    <w:rsid w:val="00E46395"/>
    <w:rsid w:val="00E51461"/>
    <w:rsid w:val="00E5413A"/>
    <w:rsid w:val="00E565EA"/>
    <w:rsid w:val="00E5686C"/>
    <w:rsid w:val="00E569C3"/>
    <w:rsid w:val="00E77E48"/>
    <w:rsid w:val="00E801C2"/>
    <w:rsid w:val="00E802E9"/>
    <w:rsid w:val="00E821A8"/>
    <w:rsid w:val="00E823CC"/>
    <w:rsid w:val="00E82818"/>
    <w:rsid w:val="00E83621"/>
    <w:rsid w:val="00E877A0"/>
    <w:rsid w:val="00E904F4"/>
    <w:rsid w:val="00E91D31"/>
    <w:rsid w:val="00E92011"/>
    <w:rsid w:val="00E9319E"/>
    <w:rsid w:val="00E960DD"/>
    <w:rsid w:val="00E9638E"/>
    <w:rsid w:val="00EA0EB2"/>
    <w:rsid w:val="00EA1D56"/>
    <w:rsid w:val="00EA1F34"/>
    <w:rsid w:val="00EA2B0C"/>
    <w:rsid w:val="00EA2EAD"/>
    <w:rsid w:val="00EA6FB1"/>
    <w:rsid w:val="00EB0C2E"/>
    <w:rsid w:val="00EB6C69"/>
    <w:rsid w:val="00EB7F3D"/>
    <w:rsid w:val="00EC3926"/>
    <w:rsid w:val="00EC40CB"/>
    <w:rsid w:val="00EC538F"/>
    <w:rsid w:val="00EC792E"/>
    <w:rsid w:val="00EC7FED"/>
    <w:rsid w:val="00ED1F88"/>
    <w:rsid w:val="00ED32A4"/>
    <w:rsid w:val="00ED468E"/>
    <w:rsid w:val="00ED5714"/>
    <w:rsid w:val="00EE7CA3"/>
    <w:rsid w:val="00EF0B65"/>
    <w:rsid w:val="00EF3674"/>
    <w:rsid w:val="00EF40F1"/>
    <w:rsid w:val="00EF49E2"/>
    <w:rsid w:val="00EF4AFF"/>
    <w:rsid w:val="00F0400D"/>
    <w:rsid w:val="00F07195"/>
    <w:rsid w:val="00F07B2A"/>
    <w:rsid w:val="00F13C94"/>
    <w:rsid w:val="00F14198"/>
    <w:rsid w:val="00F25588"/>
    <w:rsid w:val="00F2698D"/>
    <w:rsid w:val="00F326F4"/>
    <w:rsid w:val="00F32EA5"/>
    <w:rsid w:val="00F33816"/>
    <w:rsid w:val="00F33FA3"/>
    <w:rsid w:val="00F353EB"/>
    <w:rsid w:val="00F355CA"/>
    <w:rsid w:val="00F362FE"/>
    <w:rsid w:val="00F36F1B"/>
    <w:rsid w:val="00F447C8"/>
    <w:rsid w:val="00F47401"/>
    <w:rsid w:val="00F52E71"/>
    <w:rsid w:val="00F53572"/>
    <w:rsid w:val="00F70BCC"/>
    <w:rsid w:val="00F7197D"/>
    <w:rsid w:val="00F7235B"/>
    <w:rsid w:val="00F72912"/>
    <w:rsid w:val="00F73621"/>
    <w:rsid w:val="00F73EE9"/>
    <w:rsid w:val="00F754A7"/>
    <w:rsid w:val="00F76070"/>
    <w:rsid w:val="00F77B07"/>
    <w:rsid w:val="00F837EA"/>
    <w:rsid w:val="00F84AA8"/>
    <w:rsid w:val="00FA0F42"/>
    <w:rsid w:val="00FA2800"/>
    <w:rsid w:val="00FA3BC4"/>
    <w:rsid w:val="00FA404B"/>
    <w:rsid w:val="00FA4E86"/>
    <w:rsid w:val="00FA5710"/>
    <w:rsid w:val="00FA5E4D"/>
    <w:rsid w:val="00FB0101"/>
    <w:rsid w:val="00FB4C53"/>
    <w:rsid w:val="00FB61D6"/>
    <w:rsid w:val="00FC09A2"/>
    <w:rsid w:val="00FC4B24"/>
    <w:rsid w:val="00FC4BAF"/>
    <w:rsid w:val="00FC5953"/>
    <w:rsid w:val="00FC64F4"/>
    <w:rsid w:val="00FC6D9F"/>
    <w:rsid w:val="00FC706D"/>
    <w:rsid w:val="00FD6456"/>
    <w:rsid w:val="00FD7E73"/>
    <w:rsid w:val="00FE1CB6"/>
    <w:rsid w:val="00FE216C"/>
    <w:rsid w:val="00FE6623"/>
    <w:rsid w:val="00FF3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8EDBC"/>
  <w15:docId w15:val="{73BBA8CE-3DF1-4933-9E04-B2B1747CD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70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5913"/>
    <w:pPr>
      <w:ind w:left="720"/>
      <w:contextualSpacing/>
    </w:pPr>
  </w:style>
  <w:style w:type="paragraph" w:styleId="a4">
    <w:name w:val="footnote text"/>
    <w:aliases w:val="Table_Footnote_last,Текст сноски-FN,Oaeno niinee-FN,Oaeno niinee Ciae,Текст сноски Знак Знак,Текст сноски Знак Знак Знак,F1,Footnote Text Char Знак Знак,Footnote Text Char Знак,Текст сноски1,Текст сноски-FN1,Текст сноски Знак2,Style 7,ft,f"/>
    <w:basedOn w:val="a"/>
    <w:link w:val="a5"/>
    <w:uiPriority w:val="99"/>
    <w:unhideWhenUsed/>
    <w:qFormat/>
    <w:rsid w:val="00E05913"/>
    <w:rPr>
      <w:sz w:val="20"/>
      <w:szCs w:val="20"/>
    </w:rPr>
  </w:style>
  <w:style w:type="character" w:customStyle="1" w:styleId="a5">
    <w:name w:val="Текст сноски Знак"/>
    <w:aliases w:val="Table_Footnote_last Знак,Текст сноски-FN Знак,Oaeno niinee-FN Знак,Oaeno niinee Ciae Знак,Текст сноски Знак Знак Знак1,Текст сноски Знак Знак Знак Знак,F1 Знак,Footnote Text Char Знак Знак Знак,Footnote Text Char Знак Знак1,ft Знак"/>
    <w:basedOn w:val="a0"/>
    <w:link w:val="a4"/>
    <w:uiPriority w:val="99"/>
    <w:rsid w:val="00E05913"/>
    <w:rPr>
      <w:rFonts w:ascii="Times New Roman" w:eastAsia="Times New Roman" w:hAnsi="Times New Roman" w:cs="Times New Roman"/>
      <w:sz w:val="20"/>
      <w:szCs w:val="20"/>
      <w:lang w:eastAsia="ru-RU"/>
    </w:rPr>
  </w:style>
  <w:style w:type="character" w:styleId="a6">
    <w:name w:val="footnote reference"/>
    <w:aliases w:val="Знак сноски-FN,Ciae niinee-FN,Знак сноски 1,SUPERS,ftref,16 Point,Superscript 6 Point,Referencia nota al pie,Ссылка на сноску 45,Appel note de bas de page,fr,Used by Word for Help footnote symbols,Ciae niinee 1,Footnote Reference Number"/>
    <w:uiPriority w:val="99"/>
    <w:qFormat/>
    <w:rsid w:val="00E05913"/>
    <w:rPr>
      <w:vertAlign w:val="superscript"/>
    </w:rPr>
  </w:style>
  <w:style w:type="paragraph" w:styleId="a7">
    <w:name w:val="header"/>
    <w:basedOn w:val="a"/>
    <w:link w:val="a8"/>
    <w:uiPriority w:val="99"/>
    <w:unhideWhenUsed/>
    <w:rsid w:val="00711C92"/>
    <w:pPr>
      <w:tabs>
        <w:tab w:val="center" w:pos="4677"/>
        <w:tab w:val="right" w:pos="9355"/>
      </w:tabs>
    </w:pPr>
  </w:style>
  <w:style w:type="character" w:customStyle="1" w:styleId="a8">
    <w:name w:val="Верхний колонтитул Знак"/>
    <w:basedOn w:val="a0"/>
    <w:link w:val="a7"/>
    <w:uiPriority w:val="99"/>
    <w:rsid w:val="00711C9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11C92"/>
    <w:pPr>
      <w:tabs>
        <w:tab w:val="center" w:pos="4677"/>
        <w:tab w:val="right" w:pos="9355"/>
      </w:tabs>
    </w:pPr>
  </w:style>
  <w:style w:type="character" w:customStyle="1" w:styleId="aa">
    <w:name w:val="Нижний колонтитул Знак"/>
    <w:basedOn w:val="a0"/>
    <w:link w:val="a9"/>
    <w:uiPriority w:val="99"/>
    <w:rsid w:val="00711C92"/>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355708"/>
    <w:rPr>
      <w:rFonts w:ascii="Calibri" w:hAnsi="Calibri" w:cs="Calibri"/>
      <w:sz w:val="16"/>
      <w:szCs w:val="16"/>
    </w:rPr>
  </w:style>
  <w:style w:type="character" w:customStyle="1" w:styleId="ac">
    <w:name w:val="Текст выноски Знак"/>
    <w:basedOn w:val="a0"/>
    <w:link w:val="ab"/>
    <w:uiPriority w:val="99"/>
    <w:semiHidden/>
    <w:rsid w:val="00355708"/>
    <w:rPr>
      <w:rFonts w:ascii="Calibri" w:eastAsia="Times New Roman" w:hAnsi="Calibri" w:cs="Calibri"/>
      <w:sz w:val="16"/>
      <w:szCs w:val="16"/>
      <w:lang w:eastAsia="ru-RU"/>
    </w:rPr>
  </w:style>
  <w:style w:type="table" w:styleId="ad">
    <w:name w:val="Table Grid"/>
    <w:basedOn w:val="a1"/>
    <w:uiPriority w:val="39"/>
    <w:rsid w:val="00D07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EC538F"/>
    <w:rPr>
      <w:sz w:val="16"/>
      <w:szCs w:val="16"/>
    </w:rPr>
  </w:style>
  <w:style w:type="paragraph" w:styleId="af">
    <w:name w:val="annotation text"/>
    <w:basedOn w:val="a"/>
    <w:link w:val="af0"/>
    <w:uiPriority w:val="99"/>
    <w:semiHidden/>
    <w:unhideWhenUsed/>
    <w:rsid w:val="00EC538F"/>
    <w:rPr>
      <w:sz w:val="20"/>
      <w:szCs w:val="20"/>
    </w:rPr>
  </w:style>
  <w:style w:type="character" w:customStyle="1" w:styleId="af0">
    <w:name w:val="Текст примечания Знак"/>
    <w:basedOn w:val="a0"/>
    <w:link w:val="af"/>
    <w:uiPriority w:val="99"/>
    <w:semiHidden/>
    <w:rsid w:val="00EC538F"/>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EC538F"/>
    <w:rPr>
      <w:b/>
      <w:bCs/>
    </w:rPr>
  </w:style>
  <w:style w:type="character" w:customStyle="1" w:styleId="af2">
    <w:name w:val="Тема примечания Знак"/>
    <w:basedOn w:val="af0"/>
    <w:link w:val="af1"/>
    <w:uiPriority w:val="99"/>
    <w:semiHidden/>
    <w:rsid w:val="00EC538F"/>
    <w:rPr>
      <w:rFonts w:ascii="Times New Roman" w:eastAsia="Times New Roman" w:hAnsi="Times New Roman" w:cs="Times New Roman"/>
      <w:b/>
      <w:bCs/>
      <w:sz w:val="20"/>
      <w:szCs w:val="20"/>
      <w:lang w:eastAsia="ru-RU"/>
    </w:rPr>
  </w:style>
  <w:style w:type="table" w:customStyle="1" w:styleId="9">
    <w:name w:val="Сетка таблицы9"/>
    <w:basedOn w:val="a1"/>
    <w:next w:val="ad"/>
    <w:uiPriority w:val="59"/>
    <w:rsid w:val="00D87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d"/>
    <w:uiPriority w:val="59"/>
    <w:rsid w:val="00004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d"/>
    <w:uiPriority w:val="39"/>
    <w:rsid w:val="00DD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39"/>
    <w:rsid w:val="00BB30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next w:val="ad"/>
    <w:uiPriority w:val="59"/>
    <w:rsid w:val="00831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uiPriority w:val="99"/>
    <w:semiHidden/>
    <w:unhideWhenUsed/>
    <w:rsid w:val="009933EB"/>
  </w:style>
  <w:style w:type="table" w:customStyle="1" w:styleId="912">
    <w:name w:val="Сетка таблицы912"/>
    <w:basedOn w:val="a1"/>
    <w:next w:val="ad"/>
    <w:uiPriority w:val="59"/>
    <w:rsid w:val="00033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d"/>
    <w:uiPriority w:val="59"/>
    <w:rsid w:val="003D4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39"/>
    <w:rsid w:val="00CC7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457CD8"/>
    <w:rPr>
      <w:color w:val="0000FF" w:themeColor="hyperlink"/>
      <w:u w:val="single"/>
    </w:rPr>
  </w:style>
  <w:style w:type="table" w:customStyle="1" w:styleId="7">
    <w:name w:val="Сетка таблицы7"/>
    <w:basedOn w:val="a1"/>
    <w:uiPriority w:val="59"/>
    <w:rsid w:val="00076E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d"/>
    <w:uiPriority w:val="39"/>
    <w:rsid w:val="004A4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1"/>
    <w:next w:val="ad"/>
    <w:uiPriority w:val="59"/>
    <w:rsid w:val="00EF4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d"/>
    <w:uiPriority w:val="59"/>
    <w:rsid w:val="004E4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d"/>
    <w:uiPriority w:val="39"/>
    <w:rsid w:val="00CE3B2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d"/>
    <w:uiPriority w:val="59"/>
    <w:rsid w:val="0047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d"/>
    <w:uiPriority w:val="39"/>
    <w:rsid w:val="00C8235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24671">
      <w:bodyDiv w:val="1"/>
      <w:marLeft w:val="0"/>
      <w:marRight w:val="0"/>
      <w:marTop w:val="0"/>
      <w:marBottom w:val="0"/>
      <w:divBdr>
        <w:top w:val="none" w:sz="0" w:space="0" w:color="auto"/>
        <w:left w:val="none" w:sz="0" w:space="0" w:color="auto"/>
        <w:bottom w:val="none" w:sz="0" w:space="0" w:color="auto"/>
        <w:right w:val="none" w:sz="0" w:space="0" w:color="auto"/>
      </w:divBdr>
    </w:div>
    <w:div w:id="304435152">
      <w:bodyDiv w:val="1"/>
      <w:marLeft w:val="0"/>
      <w:marRight w:val="0"/>
      <w:marTop w:val="0"/>
      <w:marBottom w:val="0"/>
      <w:divBdr>
        <w:top w:val="none" w:sz="0" w:space="0" w:color="auto"/>
        <w:left w:val="none" w:sz="0" w:space="0" w:color="auto"/>
        <w:bottom w:val="none" w:sz="0" w:space="0" w:color="auto"/>
        <w:right w:val="none" w:sz="0" w:space="0" w:color="auto"/>
      </w:divBdr>
    </w:div>
    <w:div w:id="346639557">
      <w:bodyDiv w:val="1"/>
      <w:marLeft w:val="0"/>
      <w:marRight w:val="0"/>
      <w:marTop w:val="0"/>
      <w:marBottom w:val="0"/>
      <w:divBdr>
        <w:top w:val="none" w:sz="0" w:space="0" w:color="auto"/>
        <w:left w:val="none" w:sz="0" w:space="0" w:color="auto"/>
        <w:bottom w:val="none" w:sz="0" w:space="0" w:color="auto"/>
        <w:right w:val="none" w:sz="0" w:space="0" w:color="auto"/>
      </w:divBdr>
    </w:div>
    <w:div w:id="442459271">
      <w:bodyDiv w:val="1"/>
      <w:marLeft w:val="0"/>
      <w:marRight w:val="0"/>
      <w:marTop w:val="0"/>
      <w:marBottom w:val="0"/>
      <w:divBdr>
        <w:top w:val="none" w:sz="0" w:space="0" w:color="auto"/>
        <w:left w:val="none" w:sz="0" w:space="0" w:color="auto"/>
        <w:bottom w:val="none" w:sz="0" w:space="0" w:color="auto"/>
        <w:right w:val="none" w:sz="0" w:space="0" w:color="auto"/>
      </w:divBdr>
    </w:div>
    <w:div w:id="1493445215">
      <w:bodyDiv w:val="1"/>
      <w:marLeft w:val="0"/>
      <w:marRight w:val="0"/>
      <w:marTop w:val="0"/>
      <w:marBottom w:val="0"/>
      <w:divBdr>
        <w:top w:val="none" w:sz="0" w:space="0" w:color="auto"/>
        <w:left w:val="none" w:sz="0" w:space="0" w:color="auto"/>
        <w:bottom w:val="none" w:sz="0" w:space="0" w:color="auto"/>
        <w:right w:val="none" w:sz="0" w:space="0" w:color="auto"/>
      </w:divBdr>
    </w:div>
    <w:div w:id="205639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vsemirnyjbank.org/ru/news/press-release/2025/06/10/global-economic-prospects-june-2025-press-release" TargetMode="External"/><Relationship Id="rId18" Type="http://schemas.openxmlformats.org/officeDocument/2006/relationships/hyperlink" Target="https://inveb-docs.ru/attachments/article/2024_09/Prognoz_razvitiya_rossiyskoy_economiki_2024-2027.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center.hse.ru/consensus_forecast" TargetMode="External"/><Relationship Id="rId7" Type="http://schemas.openxmlformats.org/officeDocument/2006/relationships/endnotes" Target="endnotes.xml"/><Relationship Id="rId12" Type="http://schemas.openxmlformats.org/officeDocument/2006/relationships/hyperlink" Target="https://desapublications.un.org/publications/world-economic-situation-and-prospects-mid-2025" TargetMode="External"/><Relationship Id="rId17" Type="http://schemas.openxmlformats.org/officeDocument/2006/relationships/hyperlink" Target="https://eabr.org/analytics/ceg-quarterly-reviews/macroeconomic-outlook-2025-2027-ju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br.ru/Content/Document/File/179982/forecast_250725.pdf" TargetMode="External"/><Relationship Id="rId20" Type="http://schemas.openxmlformats.org/officeDocument/2006/relationships/hyperlink" Target="https://ecfor.ru/publication/kvartalnyj-prognoz-vvp-vypusk-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conomy-finance.ec.europa.eu/economic-forecast-and-surveys/economic-forecasts/spring-2025-economic-forecast-moderate-growth-amid-global-economic-uncertainty_en" TargetMode="External"/><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hyperlink" Target="http://www.forecast.ru/Forecast/2025/24032025.pdf"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momr.opec.org/pdf-download/" TargetMode="Externa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ru-RU" sz="1100"/>
              <a:t>Цена на нефть марки «Юралс»</a:t>
            </a:r>
          </a:p>
          <a:p>
            <a:pPr>
              <a:defRPr sz="1100"/>
            </a:pPr>
            <a:r>
              <a:rPr lang="ru-RU" sz="1100"/>
              <a:t> и базовая цена на нефть</a:t>
            </a:r>
          </a:p>
        </c:rich>
      </c:tx>
      <c:layout/>
      <c:overlay val="0"/>
      <c:spPr>
        <a:noFill/>
        <a:ln>
          <a:noFill/>
        </a:ln>
        <a:effectLst/>
      </c:spPr>
    </c:title>
    <c:autoTitleDeleted val="0"/>
    <c:plotArea>
      <c:layout/>
      <c:areaChart>
        <c:grouping val="stacked"/>
        <c:varyColors val="0"/>
        <c:ser>
          <c:idx val="2"/>
          <c:order val="2"/>
          <c:tx>
            <c:strRef>
              <c:f>'Основные показатели'!$N$2</c:f>
              <c:strCache>
                <c:ptCount val="1"/>
                <c:pt idx="0">
                  <c:v>Планируемая базовая цена на нефть</c:v>
                </c:pt>
              </c:strCache>
            </c:strRef>
          </c:tx>
          <c:spPr>
            <a:pattFill prst="dkUpDiag">
              <a:fgClr>
                <a:schemeClr val="bg1">
                  <a:lumMod val="75000"/>
                </a:schemeClr>
              </a:fgClr>
              <a:bgClr>
                <a:schemeClr val="bg1"/>
              </a:bgClr>
            </a:pattFill>
            <a:ln>
              <a:noFill/>
            </a:ln>
            <a:effectLst/>
          </c:spPr>
          <c:dLbls>
            <c:dLbl>
              <c:idx val="0"/>
              <c:layout>
                <c:manualLayout>
                  <c:x val="-3.7525353471338945E-3"/>
                  <c:y val="-3.70377661125692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C56-436E-A96B-5337BB7A00A5}"/>
                </c:ext>
              </c:extLst>
            </c:dLbl>
            <c:dLbl>
              <c:idx val="1"/>
              <c:layout>
                <c:manualLayout>
                  <c:x val="-3.4395135036890078E-17"/>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C56-436E-A96B-5337BB7A00A5}"/>
                </c:ext>
              </c:extLst>
            </c:dLbl>
            <c:dLbl>
              <c:idx val="2"/>
              <c:layout>
                <c:manualLayout>
                  <c:x val="6.8790270073780157E-17"/>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C56-436E-A96B-5337BB7A00A5}"/>
                </c:ext>
              </c:extLst>
            </c:dLbl>
            <c:dLbl>
              <c:idx val="3"/>
              <c:layout>
                <c:manualLayout>
                  <c:x val="-2.9545196024989328E-7"/>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A4E-4770-B469-1DFEA97E9EB2}"/>
                </c:ext>
              </c:extLst>
            </c:dLbl>
            <c:dLbl>
              <c:idx val="4"/>
              <c:layout>
                <c:manualLayout>
                  <c:x val="-9.3156003066791355E-3"/>
                  <c:y val="-0.1018518518518518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A4E-4770-B469-1DFEA97E9EB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'Основные показатели'!$A$3:$A$21</c:f>
              <c:strCache>
                <c:ptCount val="5"/>
                <c:pt idx="0">
                  <c:v>2024</c:v>
                </c:pt>
                <c:pt idx="1">
                  <c:v>2025
(оценка)</c:v>
                </c:pt>
                <c:pt idx="2">
                  <c:v>2026
(прогноз)</c:v>
                </c:pt>
                <c:pt idx="3">
                  <c:v>2027
(прогноз)</c:v>
                </c:pt>
                <c:pt idx="4">
                  <c:v>2028
(прогноз)</c:v>
                </c:pt>
              </c:strCache>
            </c:strRef>
          </c:cat>
          <c:val>
            <c:numRef>
              <c:f>'Основные показатели'!$N$3:$N$21</c:f>
              <c:numCache>
                <c:formatCode>0.0</c:formatCode>
                <c:ptCount val="5"/>
                <c:pt idx="0">
                  <c:v>60</c:v>
                </c:pt>
                <c:pt idx="1">
                  <c:v>60</c:v>
                </c:pt>
                <c:pt idx="2">
                  <c:v>59</c:v>
                </c:pt>
                <c:pt idx="3">
                  <c:v>58</c:v>
                </c:pt>
                <c:pt idx="4">
                  <c:v>57</c:v>
                </c:pt>
              </c:numCache>
            </c:numRef>
          </c:val>
          <c:extLst>
            <c:ext xmlns:c16="http://schemas.microsoft.com/office/drawing/2014/chart" uri="{C3380CC4-5D6E-409C-BE32-E72D297353CC}">
              <c16:uniqueId val="{00000002-CA4E-4770-B469-1DFEA97E9EB2}"/>
            </c:ext>
          </c:extLst>
        </c:ser>
        <c:dLbls>
          <c:showLegendKey val="0"/>
          <c:showVal val="0"/>
          <c:showCatName val="0"/>
          <c:showSerName val="0"/>
          <c:showPercent val="0"/>
          <c:showBubbleSize val="0"/>
        </c:dLbls>
        <c:axId val="83060736"/>
        <c:axId val="144970816"/>
      </c:areaChart>
      <c:lineChart>
        <c:grouping val="standard"/>
        <c:varyColors val="0"/>
        <c:ser>
          <c:idx val="0"/>
          <c:order val="0"/>
          <c:tx>
            <c:strRef>
              <c:f>'Основные показатели'!$J$2</c:f>
              <c:strCache>
                <c:ptCount val="1"/>
                <c:pt idx="0">
                  <c:v>Цена на нефть марки «Юралс»(базовый)</c:v>
                </c:pt>
              </c:strCache>
            </c:strRef>
          </c:tx>
          <c:spPr>
            <a:ln w="28575" cap="rnd">
              <a:solidFill>
                <a:schemeClr val="accent1">
                  <a:lumMod val="75000"/>
                </a:schemeClr>
              </a:solidFill>
              <a:round/>
            </a:ln>
            <a:effectLst/>
          </c:spPr>
          <c:marker>
            <c:symbol val="circle"/>
            <c:size val="6"/>
            <c:spPr>
              <a:solidFill>
                <a:schemeClr val="bg1"/>
              </a:solidFill>
              <a:ln w="9525">
                <a:solidFill>
                  <a:schemeClr val="accent1">
                    <a:lumMod val="75000"/>
                  </a:schemeClr>
                </a:solidFill>
              </a:ln>
              <a:effectLst/>
            </c:spPr>
          </c:marker>
          <c:dLbls>
            <c:dLbl>
              <c:idx val="0"/>
              <c:layout>
                <c:manualLayout>
                  <c:x val="-6.660255359129244E-2"/>
                  <c:y val="-3.81944444444444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C56-436E-A96B-5337BB7A00A5}"/>
                </c:ext>
              </c:extLst>
            </c:dLbl>
            <c:dLbl>
              <c:idx val="1"/>
              <c:layout>
                <c:manualLayout>
                  <c:x val="-6.2850018244158548E-2"/>
                  <c:y val="-4.74537037037037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C56-436E-A96B-5337BB7A00A5}"/>
                </c:ext>
              </c:extLst>
            </c:dLbl>
            <c:dLbl>
              <c:idx val="2"/>
              <c:layout>
                <c:manualLayout>
                  <c:x val="-5.909777834898497E-2"/>
                  <c:y val="-3.81944444444444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C56-436E-A96B-5337BB7A00A5}"/>
                </c:ext>
              </c:extLst>
            </c:dLbl>
            <c:dLbl>
              <c:idx val="3"/>
              <c:layout>
                <c:manualLayout>
                  <c:x val="-6.6602258139332196E-2"/>
                  <c:y val="-4.74537037037037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C56-436E-A96B-5337BB7A00A5}"/>
                </c:ext>
              </c:extLst>
            </c:dLbl>
            <c:dLbl>
              <c:idx val="4"/>
              <c:layout>
                <c:manualLayout>
                  <c:x val="-6.6602258139332196E-2"/>
                  <c:y val="-4.74537037037037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C56-436E-A96B-5337BB7A00A5}"/>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'Основные показатели'!$A$3:$A$21</c:f>
              <c:strCache>
                <c:ptCount val="5"/>
                <c:pt idx="0">
                  <c:v>2024</c:v>
                </c:pt>
                <c:pt idx="1">
                  <c:v>2025
(оценка)</c:v>
                </c:pt>
                <c:pt idx="2">
                  <c:v>2026
(прогноз)</c:v>
                </c:pt>
                <c:pt idx="3">
                  <c:v>2027
(прогноз)</c:v>
                </c:pt>
                <c:pt idx="4">
                  <c:v>2028
(прогноз)</c:v>
                </c:pt>
              </c:strCache>
            </c:strRef>
          </c:cat>
          <c:val>
            <c:numRef>
              <c:f>'Основные показатели'!$J$3:$J$21</c:f>
              <c:numCache>
                <c:formatCode>0.0</c:formatCode>
                <c:ptCount val="5"/>
                <c:pt idx="0">
                  <c:v>66.599999999999994</c:v>
                </c:pt>
                <c:pt idx="1">
                  <c:v>58.047199999999997</c:v>
                </c:pt>
                <c:pt idx="2">
                  <c:v>58.994999999999997</c:v>
                </c:pt>
                <c:pt idx="3">
                  <c:v>61.0411</c:v>
                </c:pt>
                <c:pt idx="4">
                  <c:v>64.957999999999998</c:v>
                </c:pt>
              </c:numCache>
            </c:numRef>
          </c:val>
          <c:smooth val="0"/>
          <c:extLst>
            <c:ext xmlns:c16="http://schemas.microsoft.com/office/drawing/2014/chart" uri="{C3380CC4-5D6E-409C-BE32-E72D297353CC}">
              <c16:uniqueId val="{00000000-CA4E-4770-B469-1DFEA97E9EB2}"/>
            </c:ext>
          </c:extLst>
        </c:ser>
        <c:ser>
          <c:idx val="1"/>
          <c:order val="1"/>
          <c:tx>
            <c:strRef>
              <c:f>'Основные показатели'!$K$2</c:f>
              <c:strCache>
                <c:ptCount val="1"/>
                <c:pt idx="0">
                  <c:v>Цена на нефть марки «Юралс» (консервативный)</c:v>
                </c:pt>
              </c:strCache>
            </c:strRef>
          </c:tx>
          <c:spPr>
            <a:ln w="28575" cap="rnd">
              <a:solidFill>
                <a:schemeClr val="accent2"/>
              </a:solidFill>
              <a:round/>
            </a:ln>
            <a:effectLst/>
          </c:spPr>
          <c:marker>
            <c:symbol val="circle"/>
            <c:size val="6"/>
            <c:spPr>
              <a:solidFill>
                <a:schemeClr val="bg1"/>
              </a:solidFill>
              <a:ln w="9525">
                <a:solidFill>
                  <a:schemeClr val="accent2"/>
                </a:solidFill>
              </a:ln>
              <a:effectLst/>
            </c:spPr>
          </c:marker>
          <c:dPt>
            <c:idx val="0"/>
            <c:marker>
              <c:symbol val="none"/>
            </c:marker>
            <c:bubble3D val="0"/>
            <c:spPr>
              <a:ln w="28575" cap="rnd">
                <a:noFill/>
                <a:round/>
              </a:ln>
              <a:effectLst/>
            </c:spPr>
            <c:extLst>
              <c:ext xmlns:c16="http://schemas.microsoft.com/office/drawing/2014/chart" uri="{C3380CC4-5D6E-409C-BE32-E72D297353CC}">
                <c16:uniqueId val="{00000005-CA4E-4770-B469-1DFEA97E9EB2}"/>
              </c:ext>
            </c:extLst>
          </c:dPt>
          <c:dPt>
            <c:idx val="1"/>
            <c:bubble3D val="0"/>
            <c:spPr>
              <a:ln w="28575" cap="rnd">
                <a:noFill/>
                <a:round/>
              </a:ln>
              <a:effectLst/>
            </c:spPr>
            <c:extLst>
              <c:ext xmlns:c16="http://schemas.microsoft.com/office/drawing/2014/chart" uri="{C3380CC4-5D6E-409C-BE32-E72D297353CC}">
                <c16:uniqueId val="{00000006-CA4E-4770-B469-1DFEA97E9EB2}"/>
              </c:ext>
            </c:extLst>
          </c:dPt>
          <c:dLbls>
            <c:dLbl>
              <c:idx val="0"/>
              <c:delete val="1"/>
              <c:extLst>
                <c:ext xmlns:c15="http://schemas.microsoft.com/office/drawing/2012/chart" uri="{CE6537A1-D6FC-4f65-9D91-7224C49458BB}"/>
                <c:ext xmlns:c16="http://schemas.microsoft.com/office/drawing/2014/chart" uri="{C3380CC4-5D6E-409C-BE32-E72D297353CC}">
                  <c16:uniqueId val="{00000005-CA4E-4770-B469-1DFEA97E9EB2}"/>
                </c:ext>
              </c:extLst>
            </c:dLbl>
            <c:dLbl>
              <c:idx val="1"/>
              <c:delete val="1"/>
              <c:extLst>
                <c:ext xmlns:c15="http://schemas.microsoft.com/office/drawing/2012/chart" uri="{CE6537A1-D6FC-4f65-9D91-7224C49458BB}"/>
                <c:ext xmlns:c16="http://schemas.microsoft.com/office/drawing/2014/chart" uri="{C3380CC4-5D6E-409C-BE32-E72D297353CC}">
                  <c16:uniqueId val="{00000006-CA4E-4770-B469-1DFEA97E9EB2}"/>
                </c:ext>
              </c:extLst>
            </c:dLbl>
            <c:dLbl>
              <c:idx val="2"/>
              <c:layout>
                <c:manualLayout>
                  <c:x val="-6.2850018244158548E-2"/>
                  <c:y val="3.35648148148148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C56-436E-A96B-5337BB7A00A5}"/>
                </c:ext>
              </c:extLst>
            </c:dLbl>
            <c:dLbl>
              <c:idx val="3"/>
              <c:layout>
                <c:manualLayout>
                  <c:x val="-5.90977783489849E-2"/>
                  <c:y val="4.28240740740740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C56-436E-A96B-5337BB7A00A5}"/>
                </c:ext>
              </c:extLst>
            </c:dLbl>
            <c:dLbl>
              <c:idx val="4"/>
              <c:layout>
                <c:manualLayout>
                  <c:x val="-6.6602258139332196E-2"/>
                  <c:y val="4.74537037037037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C56-436E-A96B-5337BB7A00A5}"/>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'Основные показатели'!$A$3:$A$21</c:f>
              <c:strCache>
                <c:ptCount val="5"/>
                <c:pt idx="0">
                  <c:v>2024</c:v>
                </c:pt>
                <c:pt idx="1">
                  <c:v>2025
(оценка)</c:v>
                </c:pt>
                <c:pt idx="2">
                  <c:v>2026
(прогноз)</c:v>
                </c:pt>
                <c:pt idx="3">
                  <c:v>2027
(прогноз)</c:v>
                </c:pt>
                <c:pt idx="4">
                  <c:v>2028
(прогноз)</c:v>
                </c:pt>
              </c:strCache>
            </c:strRef>
          </c:cat>
          <c:val>
            <c:numRef>
              <c:f>'Основные показатели'!$K$3:$K$21</c:f>
              <c:numCache>
                <c:formatCode>0.0</c:formatCode>
                <c:ptCount val="5"/>
                <c:pt idx="0">
                  <c:v>66.599999999999994</c:v>
                </c:pt>
                <c:pt idx="1">
                  <c:v>58.047199999999997</c:v>
                </c:pt>
                <c:pt idx="2">
                  <c:v>44</c:v>
                </c:pt>
                <c:pt idx="3">
                  <c:v>48.299799999999998</c:v>
                </c:pt>
                <c:pt idx="4">
                  <c:v>51.234499999999997</c:v>
                </c:pt>
              </c:numCache>
            </c:numRef>
          </c:val>
          <c:smooth val="0"/>
          <c:extLst>
            <c:ext xmlns:c16="http://schemas.microsoft.com/office/drawing/2014/chart" uri="{C3380CC4-5D6E-409C-BE32-E72D297353CC}">
              <c16:uniqueId val="{00000001-CA4E-4770-B469-1DFEA97E9EB2}"/>
            </c:ext>
          </c:extLst>
        </c:ser>
        <c:dLbls>
          <c:showLegendKey val="0"/>
          <c:showVal val="0"/>
          <c:showCatName val="0"/>
          <c:showSerName val="0"/>
          <c:showPercent val="0"/>
          <c:showBubbleSize val="0"/>
        </c:dLbls>
        <c:marker val="1"/>
        <c:smooth val="0"/>
        <c:axId val="83060736"/>
        <c:axId val="144970816"/>
      </c:lineChart>
      <c:catAx>
        <c:axId val="830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ru-RU"/>
          </a:p>
        </c:txPr>
        <c:crossAx val="144970816"/>
        <c:crosses val="autoZero"/>
        <c:auto val="1"/>
        <c:lblAlgn val="ctr"/>
        <c:lblOffset val="100"/>
        <c:noMultiLvlLbl val="0"/>
      </c:catAx>
      <c:valAx>
        <c:axId val="144970816"/>
        <c:scaling>
          <c:orientation val="minMax"/>
          <c:min val="40"/>
        </c:scaling>
        <c:delete val="1"/>
        <c:axPos val="l"/>
        <c:numFmt formatCode="0.0" sourceLinked="1"/>
        <c:majorTickMark val="none"/>
        <c:minorTickMark val="none"/>
        <c:tickLblPos val="nextTo"/>
        <c:crossAx val="83060736"/>
        <c:crosses val="autoZero"/>
        <c:crossBetween val="between"/>
      </c:valAx>
      <c:spPr>
        <a:noFill/>
        <a:ln>
          <a:noFill/>
        </a:ln>
        <a:effectLst/>
      </c:spPr>
    </c:plotArea>
    <c:legend>
      <c:legendPos val="b"/>
      <c:layout/>
      <c:overlay val="0"/>
      <c:spPr>
        <a:noFill/>
        <a:ln>
          <a:noFill/>
        </a:ln>
        <a:effectLst/>
      </c:spPr>
      <c:txPr>
        <a:bodyPr rot="0" vert="horz"/>
        <a:lstStyle/>
        <a:p>
          <a:pPr>
            <a:defRPr sz="800"/>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ru-RU" sz="1100"/>
              <a:t> Курс доллара США к рублю </a:t>
            </a:r>
            <a:r>
              <a:rPr lang="ru-RU" sz="1000" b="0"/>
              <a:t>(рублей за доллар США)</a:t>
            </a:r>
          </a:p>
        </c:rich>
      </c:tx>
      <c:layout/>
      <c:overlay val="0"/>
      <c:spPr>
        <a:noFill/>
        <a:ln>
          <a:noFill/>
        </a:ln>
        <a:effectLst/>
      </c:spPr>
    </c:title>
    <c:autoTitleDeleted val="0"/>
    <c:plotArea>
      <c:layout>
        <c:manualLayout>
          <c:layoutTarget val="inner"/>
          <c:xMode val="edge"/>
          <c:yMode val="edge"/>
          <c:x val="3.0769075199215293E-3"/>
          <c:y val="3.875358991965604E-3"/>
          <c:w val="0.93888888888888888"/>
          <c:h val="0.51992111111111106"/>
        </c:manualLayout>
      </c:layout>
      <c:lineChart>
        <c:grouping val="standard"/>
        <c:varyColors val="0"/>
        <c:ser>
          <c:idx val="0"/>
          <c:order val="0"/>
          <c:tx>
            <c:strRef>
              <c:f>'Основные показатели'!$H$2</c:f>
              <c:strCache>
                <c:ptCount val="1"/>
                <c:pt idx="0">
                  <c:v>курс доллара США (среднегодовой), рублей за доллар США</c:v>
                </c:pt>
              </c:strCache>
            </c:strRef>
          </c:tx>
          <c:spPr>
            <a:ln w="22225" cap="rnd">
              <a:solidFill>
                <a:schemeClr val="accent1"/>
              </a:solidFill>
              <a:round/>
            </a:ln>
            <a:effectLst/>
          </c:spPr>
          <c:marker>
            <c:symbol val="circle"/>
            <c:size val="20"/>
            <c:spPr>
              <a:solidFill>
                <a:schemeClr val="bg1"/>
              </a:solidFill>
              <a:ln w="9525">
                <a:noFill/>
              </a:ln>
              <a:effectLst/>
            </c:spPr>
          </c:marker>
          <c:dLbls>
            <c:dLbl>
              <c:idx val="0"/>
              <c:layout>
                <c:manualLayout>
                  <c:x val="-0.10131840173300087"/>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F52-46EA-8D4B-BB784CF15868}"/>
                </c:ext>
              </c:extLst>
            </c:dLbl>
            <c:dLbl>
              <c:idx val="4"/>
              <c:layout>
                <c:manualLayout>
                  <c:x val="-7.4849366235234055E-2"/>
                  <c:y val="3.2581950669891223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757-4451-8DF3-FE0D84A187AB}"/>
                </c:ext>
              </c:extLst>
            </c:dLbl>
            <c:spPr>
              <a:noFill/>
              <a:ln>
                <a:noFill/>
              </a:ln>
              <a:effectLst/>
            </c:spPr>
            <c:txPr>
              <a:bodyPr rot="0" vert="horz"/>
              <a:lstStyle/>
              <a:p>
                <a:pPr>
                  <a:defRPr b="1">
                    <a:solidFill>
                      <a:schemeClr val="accent1">
                        <a:lumMod val="50000"/>
                      </a:schemeClr>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'Основные показатели'!$A$3:$A$21</c:f>
              <c:strCache>
                <c:ptCount val="5"/>
                <c:pt idx="0">
                  <c:v>2024</c:v>
                </c:pt>
                <c:pt idx="1">
                  <c:v>2025
(оценка)</c:v>
                </c:pt>
                <c:pt idx="2">
                  <c:v>2026
(прогноз)</c:v>
                </c:pt>
                <c:pt idx="3">
                  <c:v>2027
(прогноз)</c:v>
                </c:pt>
                <c:pt idx="4">
                  <c:v>2028
(прогноз)</c:v>
                </c:pt>
              </c:strCache>
            </c:strRef>
          </c:cat>
          <c:val>
            <c:numRef>
              <c:f>'Основные показатели'!$H$3:$H$21</c:f>
              <c:numCache>
                <c:formatCode>0.0</c:formatCode>
                <c:ptCount val="5"/>
                <c:pt idx="0">
                  <c:v>92.443399999999997</c:v>
                </c:pt>
                <c:pt idx="1">
                  <c:v>86.064400000000006</c:v>
                </c:pt>
                <c:pt idx="2">
                  <c:v>92.206900000000005</c:v>
                </c:pt>
                <c:pt idx="3">
                  <c:v>95.782899999999998</c:v>
                </c:pt>
                <c:pt idx="4">
                  <c:v>100.0825</c:v>
                </c:pt>
              </c:numCache>
            </c:numRef>
          </c:val>
          <c:smooth val="0"/>
          <c:extLst>
            <c:ext xmlns:c16="http://schemas.microsoft.com/office/drawing/2014/chart" uri="{C3380CC4-5D6E-409C-BE32-E72D297353CC}">
              <c16:uniqueId val="{00000000-3EC2-490E-BF86-E28AB25D446E}"/>
            </c:ext>
          </c:extLst>
        </c:ser>
        <c:dLbls>
          <c:showLegendKey val="0"/>
          <c:showVal val="0"/>
          <c:showCatName val="0"/>
          <c:showSerName val="0"/>
          <c:showPercent val="0"/>
          <c:showBubbleSize val="0"/>
        </c:dLbls>
        <c:marker val="1"/>
        <c:smooth val="0"/>
        <c:axId val="83062272"/>
        <c:axId val="145163392"/>
      </c:lineChart>
      <c:catAx>
        <c:axId val="8306227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vert="horz"/>
          <a:lstStyle/>
          <a:p>
            <a:pPr>
              <a:defRPr sz="900"/>
            </a:pPr>
            <a:endParaRPr lang="ru-RU"/>
          </a:p>
        </c:txPr>
        <c:crossAx val="145163392"/>
        <c:crosses val="autoZero"/>
        <c:auto val="1"/>
        <c:lblAlgn val="ctr"/>
        <c:lblOffset val="100"/>
        <c:noMultiLvlLbl val="0"/>
      </c:catAx>
      <c:valAx>
        <c:axId val="145163392"/>
        <c:scaling>
          <c:orientation val="minMax"/>
          <c:max val="110"/>
          <c:min val="80"/>
        </c:scaling>
        <c:delete val="1"/>
        <c:axPos val="l"/>
        <c:numFmt formatCode="0.0" sourceLinked="1"/>
        <c:majorTickMark val="out"/>
        <c:minorTickMark val="none"/>
        <c:tickLblPos val="nextTo"/>
        <c:crossAx val="8306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ru-RU" sz="1400"/>
              <a:t>Динамика инфляции в 2024</a:t>
            </a:r>
            <a:r>
              <a:rPr lang="ru-RU" sz="1400" b="1" i="0" u="none" strike="noStrike" baseline="0">
                <a:effectLst/>
              </a:rPr>
              <a:t>–</a:t>
            </a:r>
            <a:r>
              <a:rPr lang="ru-RU" sz="1400"/>
              <a:t>2028 годах</a:t>
            </a:r>
          </a:p>
          <a:p>
            <a:pPr>
              <a:defRPr sz="1400"/>
            </a:pPr>
            <a:r>
              <a:rPr lang="ru-RU" sz="1100" b="0"/>
              <a:t>(%, декабрь к декабрю предыдущего года)</a:t>
            </a:r>
          </a:p>
        </c:rich>
      </c:tx>
      <c:layout/>
      <c:overlay val="0"/>
      <c:spPr>
        <a:noFill/>
        <a:ln>
          <a:noFill/>
        </a:ln>
        <a:effectLst/>
      </c:spPr>
    </c:title>
    <c:autoTitleDeleted val="0"/>
    <c:plotArea>
      <c:layout>
        <c:manualLayout>
          <c:layoutTarget val="inner"/>
          <c:xMode val="edge"/>
          <c:yMode val="edge"/>
          <c:x val="7.5569358178053825E-2"/>
          <c:y val="0.17130014492403647"/>
          <c:w val="0.91407867494824013"/>
          <c:h val="0.57363222771830158"/>
        </c:manualLayout>
      </c:layout>
      <c:barChart>
        <c:barDir val="col"/>
        <c:grouping val="clustered"/>
        <c:varyColors val="0"/>
        <c:ser>
          <c:idx val="1"/>
          <c:order val="0"/>
          <c:tx>
            <c:strRef>
              <c:f>'Структура инфляции'!$A$4</c:f>
              <c:strCache>
                <c:ptCount val="1"/>
                <c:pt idx="0">
                  <c:v>Продовольственные товары</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'Структура инфляции'!$H$3:$M$3</c:f>
              <c:strCache>
                <c:ptCount val="5"/>
                <c:pt idx="0">
                  <c:v>2024</c:v>
                </c:pt>
                <c:pt idx="1">
                  <c:v>2025 год
(оценка)</c:v>
                </c:pt>
                <c:pt idx="2">
                  <c:v>2026 год
(прогноз)</c:v>
                </c:pt>
                <c:pt idx="3">
                  <c:v>2027 год
(прогноз)</c:v>
                </c:pt>
                <c:pt idx="4">
                  <c:v>2028 год
(прогноз)</c:v>
                </c:pt>
              </c:strCache>
            </c:strRef>
          </c:cat>
          <c:val>
            <c:numRef>
              <c:f>'Структура инфляции'!$H$4:$M$4</c:f>
              <c:numCache>
                <c:formatCode>0.0</c:formatCode>
                <c:ptCount val="5"/>
                <c:pt idx="0">
                  <c:v>11.049999999999997</c:v>
                </c:pt>
                <c:pt idx="1">
                  <c:v>6.0600000000000023</c:v>
                </c:pt>
                <c:pt idx="2">
                  <c:v>3.4699999999999989</c:v>
                </c:pt>
                <c:pt idx="3">
                  <c:v>3.6899999999999977</c:v>
                </c:pt>
                <c:pt idx="4">
                  <c:v>3.7900000000000063</c:v>
                </c:pt>
              </c:numCache>
            </c:numRef>
          </c:val>
          <c:extLst>
            <c:ext xmlns:c16="http://schemas.microsoft.com/office/drawing/2014/chart" uri="{C3380CC4-5D6E-409C-BE32-E72D297353CC}">
              <c16:uniqueId val="{00000000-57CB-43E5-9AFA-51BEB15BC897}"/>
            </c:ext>
          </c:extLst>
        </c:ser>
        <c:ser>
          <c:idx val="0"/>
          <c:order val="1"/>
          <c:tx>
            <c:strRef>
              <c:f>'Структура инфляции'!$A$5</c:f>
              <c:strCache>
                <c:ptCount val="1"/>
                <c:pt idx="0">
                  <c:v>Непродовольственные товары</c:v>
                </c:pt>
              </c:strCache>
            </c:strRef>
          </c:tx>
          <c:spPr>
            <a:solidFill>
              <a:schemeClr val="accent1"/>
            </a:solidFill>
            <a:ln>
              <a:noFill/>
            </a:ln>
            <a:effectLst/>
          </c:spPr>
          <c:invertIfNegative val="0"/>
          <c:dLbls>
            <c:spPr>
              <a:noFill/>
              <a:ln>
                <a:noFill/>
              </a:ln>
              <a:effectLst/>
            </c:spPr>
            <c:txPr>
              <a:bodyPr rot="0" vert="horz"/>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'Структура инфляции'!$H$3:$M$3</c:f>
              <c:strCache>
                <c:ptCount val="5"/>
                <c:pt idx="0">
                  <c:v>2024</c:v>
                </c:pt>
                <c:pt idx="1">
                  <c:v>2025 год
(оценка)</c:v>
                </c:pt>
                <c:pt idx="2">
                  <c:v>2026 год
(прогноз)</c:v>
                </c:pt>
                <c:pt idx="3">
                  <c:v>2027 год
(прогноз)</c:v>
                </c:pt>
                <c:pt idx="4">
                  <c:v>2028 год
(прогноз)</c:v>
                </c:pt>
              </c:strCache>
            </c:strRef>
          </c:cat>
          <c:val>
            <c:numRef>
              <c:f>'Структура инфляции'!$H$5:$M$5</c:f>
              <c:numCache>
                <c:formatCode>0.0</c:formatCode>
                <c:ptCount val="5"/>
                <c:pt idx="0">
                  <c:v>6.1200000000000045</c:v>
                </c:pt>
                <c:pt idx="1">
                  <c:v>4.4899999999999949</c:v>
                </c:pt>
                <c:pt idx="2">
                  <c:v>3.7399999999999949</c:v>
                </c:pt>
                <c:pt idx="3">
                  <c:v>3.6899999999999977</c:v>
                </c:pt>
                <c:pt idx="4">
                  <c:v>3.7900000000000063</c:v>
                </c:pt>
              </c:numCache>
            </c:numRef>
          </c:val>
          <c:extLst>
            <c:ext xmlns:c16="http://schemas.microsoft.com/office/drawing/2014/chart" uri="{C3380CC4-5D6E-409C-BE32-E72D297353CC}">
              <c16:uniqueId val="{00000001-57CB-43E5-9AFA-51BEB15BC897}"/>
            </c:ext>
          </c:extLst>
        </c:ser>
        <c:ser>
          <c:idx val="5"/>
          <c:order val="2"/>
          <c:tx>
            <c:strRef>
              <c:f>'Структура инфляции'!$A$6</c:f>
              <c:strCache>
                <c:ptCount val="1"/>
                <c:pt idx="0">
                  <c:v>Услуги</c:v>
                </c:pt>
              </c:strCache>
            </c:strRef>
          </c:tx>
          <c:spPr>
            <a:solidFill>
              <a:schemeClr val="accent6"/>
            </a:solidFill>
            <a:ln>
              <a:noFill/>
            </a:ln>
            <a:effectLst/>
          </c:spPr>
          <c:invertIfNegative val="0"/>
          <c:dLbls>
            <c:spPr>
              <a:noFill/>
              <a:ln>
                <a:noFill/>
              </a:ln>
              <a:effectLst/>
            </c:spPr>
            <c:txPr>
              <a:bodyPr rot="0" vert="horz"/>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'Структура инфляции'!$H$3:$M$3</c:f>
              <c:strCache>
                <c:ptCount val="5"/>
                <c:pt idx="0">
                  <c:v>2024</c:v>
                </c:pt>
                <c:pt idx="1">
                  <c:v>2025 год
(оценка)</c:v>
                </c:pt>
                <c:pt idx="2">
                  <c:v>2026 год
(прогноз)</c:v>
                </c:pt>
                <c:pt idx="3">
                  <c:v>2027 год
(прогноз)</c:v>
                </c:pt>
                <c:pt idx="4">
                  <c:v>2028 год
(прогноз)</c:v>
                </c:pt>
              </c:strCache>
            </c:strRef>
          </c:cat>
          <c:val>
            <c:numRef>
              <c:f>'Структура инфляции'!$H$6:$M$6</c:f>
              <c:numCache>
                <c:formatCode>0.0</c:formatCode>
                <c:ptCount val="5"/>
                <c:pt idx="0">
                  <c:v>11.519999999999996</c:v>
                </c:pt>
                <c:pt idx="1">
                  <c:v>10.760000000000005</c:v>
                </c:pt>
                <c:pt idx="2">
                  <c:v>4.980000000000004</c:v>
                </c:pt>
                <c:pt idx="3">
                  <c:v>4.7600000000000051</c:v>
                </c:pt>
                <c:pt idx="4">
                  <c:v>4.4599999999999937</c:v>
                </c:pt>
              </c:numCache>
            </c:numRef>
          </c:val>
          <c:extLst>
            <c:ext xmlns:c16="http://schemas.microsoft.com/office/drawing/2014/chart" uri="{C3380CC4-5D6E-409C-BE32-E72D297353CC}">
              <c16:uniqueId val="{00000002-57CB-43E5-9AFA-51BEB15BC897}"/>
            </c:ext>
          </c:extLst>
        </c:ser>
        <c:ser>
          <c:idx val="2"/>
          <c:order val="3"/>
          <c:tx>
            <c:strRef>
              <c:f>'Структура инфляции'!$A$7</c:f>
              <c:strCache>
                <c:ptCount val="1"/>
                <c:pt idx="0">
                  <c:v>Услуги организаций ЖКХ</c:v>
                </c:pt>
              </c:strCache>
            </c:strRef>
          </c:tx>
          <c:spPr>
            <a:solidFill>
              <a:schemeClr val="accent3"/>
            </a:solidFill>
            <a:ln>
              <a:noFill/>
            </a:ln>
            <a:effectLst/>
          </c:spPr>
          <c:invertIfNegative val="0"/>
          <c:dLbls>
            <c:spPr>
              <a:noFill/>
              <a:ln>
                <a:noFill/>
              </a:ln>
              <a:effectLst/>
            </c:spPr>
            <c:txPr>
              <a:bodyPr rot="0" vert="horz"/>
              <a:lstStyle/>
              <a:p>
                <a:pPr>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'Структура инфляции'!$H$3:$M$3</c:f>
              <c:strCache>
                <c:ptCount val="5"/>
                <c:pt idx="0">
                  <c:v>2024</c:v>
                </c:pt>
                <c:pt idx="1">
                  <c:v>2025 год
(оценка)</c:v>
                </c:pt>
                <c:pt idx="2">
                  <c:v>2026 год
(прогноз)</c:v>
                </c:pt>
                <c:pt idx="3">
                  <c:v>2027 год
(прогноз)</c:v>
                </c:pt>
                <c:pt idx="4">
                  <c:v>2028 год
(прогноз)</c:v>
                </c:pt>
              </c:strCache>
            </c:strRef>
          </c:cat>
          <c:val>
            <c:numRef>
              <c:f>'Структура инфляции'!$H$7:$M$7</c:f>
              <c:numCache>
                <c:formatCode>0.0</c:formatCode>
                <c:ptCount val="5"/>
                <c:pt idx="0">
                  <c:v>9.480000000000004</c:v>
                </c:pt>
                <c:pt idx="1">
                  <c:v>13.170000000000002</c:v>
                </c:pt>
                <c:pt idx="2">
                  <c:v>9.36</c:v>
                </c:pt>
                <c:pt idx="3">
                  <c:v>8.25</c:v>
                </c:pt>
                <c:pt idx="4">
                  <c:v>6.0900000000000034</c:v>
                </c:pt>
              </c:numCache>
            </c:numRef>
          </c:val>
          <c:extLst>
            <c:ext xmlns:c16="http://schemas.microsoft.com/office/drawing/2014/chart" uri="{C3380CC4-5D6E-409C-BE32-E72D297353CC}">
              <c16:uniqueId val="{00000003-57CB-43E5-9AFA-51BEB15BC897}"/>
            </c:ext>
          </c:extLst>
        </c:ser>
        <c:dLbls>
          <c:showLegendKey val="0"/>
          <c:showVal val="0"/>
          <c:showCatName val="0"/>
          <c:showSerName val="0"/>
          <c:showPercent val="0"/>
          <c:showBubbleSize val="0"/>
        </c:dLbls>
        <c:gapWidth val="50"/>
        <c:overlap val="-5"/>
        <c:axId val="144958976"/>
        <c:axId val="145166272"/>
      </c:barChart>
      <c:lineChart>
        <c:grouping val="standard"/>
        <c:varyColors val="0"/>
        <c:ser>
          <c:idx val="3"/>
          <c:order val="4"/>
          <c:tx>
            <c:strRef>
              <c:f>'Структура инфляции'!$A$8</c:f>
              <c:strCache>
                <c:ptCount val="1"/>
                <c:pt idx="0">
                  <c:v>Индекс потребительских цен</c:v>
                </c:pt>
              </c:strCache>
            </c:strRef>
          </c:tx>
          <c:spPr>
            <a:ln w="22225" cap="rnd">
              <a:solidFill>
                <a:srgbClr val="002060"/>
              </a:solidFill>
              <a:round/>
            </a:ln>
            <a:effectLst/>
          </c:spPr>
          <c:marker>
            <c:symbol val="circle"/>
            <c:size val="6"/>
            <c:spPr>
              <a:solidFill>
                <a:schemeClr val="lt1"/>
              </a:solidFill>
              <a:ln w="15875">
                <a:solidFill>
                  <a:srgbClr val="002060"/>
                </a:solidFill>
                <a:round/>
              </a:ln>
              <a:effectLst/>
            </c:spPr>
          </c:marker>
          <c:dLbls>
            <c:dLbl>
              <c:idx val="0"/>
              <c:layout>
                <c:manualLayout>
                  <c:x val="-4.1889565705296644E-2"/>
                  <c:y val="-4.17956104426480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7CB-43E5-9AFA-51BEB15BC897}"/>
                </c:ext>
              </c:extLst>
            </c:dLbl>
            <c:dLbl>
              <c:idx val="1"/>
              <c:layout>
                <c:manualLayout>
                  <c:x val="-3.8183252302712321E-2"/>
                  <c:y val="-3.70460680533070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7CB-43E5-9AFA-51BEB15BC897}"/>
                </c:ext>
              </c:extLst>
            </c:dLbl>
            <c:dLbl>
              <c:idx val="2"/>
              <c:layout>
                <c:manualLayout>
                  <c:x val="-3.8898191012952089E-2"/>
                  <c:y val="-3.91768507322072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7CB-43E5-9AFA-51BEB15BC897}"/>
                </c:ext>
              </c:extLst>
            </c:dLbl>
            <c:dLbl>
              <c:idx val="3"/>
              <c:layout>
                <c:manualLayout>
                  <c:x val="-3.7551032461678763E-2"/>
                  <c:y val="-4.48062625431247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7CB-43E5-9AFA-51BEB15BC897}"/>
                </c:ext>
              </c:extLst>
            </c:dLbl>
            <c:dLbl>
              <c:idx val="4"/>
              <c:layout>
                <c:manualLayout>
                  <c:x val="-3.4782411269326755E-2"/>
                  <c:y val="-5.08447894628385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174-44AE-81AA-78FBFC34BDE3}"/>
                </c:ext>
              </c:extLst>
            </c:dLbl>
            <c:dLbl>
              <c:idx val="5"/>
              <c:layout>
                <c:manualLayout>
                  <c:x val="-2.9109313725490197E-2"/>
                  <c:y val="-5.21493506493506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CB-43E5-9AFA-51BEB15BC897}"/>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'Структура инфляции'!$H$3:$M$3</c:f>
              <c:strCache>
                <c:ptCount val="5"/>
                <c:pt idx="0">
                  <c:v>2024</c:v>
                </c:pt>
                <c:pt idx="1">
                  <c:v>2025 год
(оценка)</c:v>
                </c:pt>
                <c:pt idx="2">
                  <c:v>2026 год
(прогноз)</c:v>
                </c:pt>
                <c:pt idx="3">
                  <c:v>2027 год
(прогноз)</c:v>
                </c:pt>
                <c:pt idx="4">
                  <c:v>2028 год
(прогноз)</c:v>
                </c:pt>
              </c:strCache>
            </c:strRef>
          </c:cat>
          <c:val>
            <c:numRef>
              <c:f>'Структура инфляции'!$H$8:$M$8</c:f>
              <c:numCache>
                <c:formatCode>0.0</c:formatCode>
                <c:ptCount val="5"/>
                <c:pt idx="0">
                  <c:v>9.519999999999996</c:v>
                </c:pt>
                <c:pt idx="1">
                  <c:v>6.8400000000000034</c:v>
                </c:pt>
                <c:pt idx="2">
                  <c:v>3.980000000000004</c:v>
                </c:pt>
                <c:pt idx="3">
                  <c:v>3.980000000000004</c:v>
                </c:pt>
                <c:pt idx="4">
                  <c:v>3.980000000000004</c:v>
                </c:pt>
              </c:numCache>
            </c:numRef>
          </c:val>
          <c:smooth val="0"/>
          <c:extLst>
            <c:ext xmlns:c16="http://schemas.microsoft.com/office/drawing/2014/chart" uri="{C3380CC4-5D6E-409C-BE32-E72D297353CC}">
              <c16:uniqueId val="{00000009-57CB-43E5-9AFA-51BEB15BC897}"/>
            </c:ext>
          </c:extLst>
        </c:ser>
        <c:dLbls>
          <c:showLegendKey val="0"/>
          <c:showVal val="0"/>
          <c:showCatName val="0"/>
          <c:showSerName val="0"/>
          <c:showPercent val="0"/>
          <c:showBubbleSize val="0"/>
        </c:dLbls>
        <c:marker val="1"/>
        <c:smooth val="0"/>
        <c:axId val="144959488"/>
        <c:axId val="145166848"/>
      </c:lineChart>
      <c:catAx>
        <c:axId val="14495897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a:lstStyle/>
          <a:p>
            <a:pPr>
              <a:defRPr/>
            </a:pPr>
            <a:endParaRPr lang="ru-RU"/>
          </a:p>
        </c:txPr>
        <c:crossAx val="145166272"/>
        <c:crosses val="autoZero"/>
        <c:auto val="0"/>
        <c:lblAlgn val="ctr"/>
        <c:lblOffset val="100"/>
        <c:tickLblSkip val="1"/>
        <c:tickMarkSkip val="1"/>
        <c:noMultiLvlLbl val="0"/>
      </c:catAx>
      <c:valAx>
        <c:axId val="145166272"/>
        <c:scaling>
          <c:orientation val="minMax"/>
          <c:max val="15"/>
        </c:scaling>
        <c:delete val="1"/>
        <c:axPos val="l"/>
        <c:title>
          <c:tx>
            <c:rich>
              <a:bodyPr rot="-120000"/>
              <a:lstStyle/>
              <a:p>
                <a:pPr>
                  <a:defRPr/>
                </a:pPr>
                <a:r>
                  <a:rPr lang="ru-RU"/>
                  <a:t>%</a:t>
                </a:r>
              </a:p>
            </c:rich>
          </c:tx>
          <c:layout>
            <c:manualLayout>
              <c:xMode val="edge"/>
              <c:yMode val="edge"/>
              <c:x val="6.659018733021764E-2"/>
              <c:y val="7.492711081140048E-2"/>
            </c:manualLayout>
          </c:layout>
          <c:overlay val="0"/>
          <c:spPr>
            <a:noFill/>
            <a:ln>
              <a:noFill/>
            </a:ln>
            <a:effectLst/>
          </c:spPr>
        </c:title>
        <c:numFmt formatCode="0.0" sourceLinked="1"/>
        <c:majorTickMark val="none"/>
        <c:minorTickMark val="none"/>
        <c:tickLblPos val="nextTo"/>
        <c:crossAx val="144958976"/>
        <c:crosses val="autoZero"/>
        <c:crossBetween val="between"/>
      </c:valAx>
      <c:catAx>
        <c:axId val="144959488"/>
        <c:scaling>
          <c:orientation val="minMax"/>
        </c:scaling>
        <c:delete val="1"/>
        <c:axPos val="b"/>
        <c:numFmt formatCode="General" sourceLinked="1"/>
        <c:majorTickMark val="out"/>
        <c:minorTickMark val="none"/>
        <c:tickLblPos val="nextTo"/>
        <c:crossAx val="145166848"/>
        <c:crosses val="autoZero"/>
        <c:auto val="0"/>
        <c:lblAlgn val="ctr"/>
        <c:lblOffset val="100"/>
        <c:noMultiLvlLbl val="0"/>
      </c:catAx>
      <c:valAx>
        <c:axId val="145166848"/>
        <c:scaling>
          <c:orientation val="minMax"/>
        </c:scaling>
        <c:delete val="1"/>
        <c:axPos val="l"/>
        <c:numFmt formatCode="0.0" sourceLinked="1"/>
        <c:majorTickMark val="none"/>
        <c:minorTickMark val="none"/>
        <c:tickLblPos val="nextTo"/>
        <c:crossAx val="144959488"/>
        <c:crosses val="autoZero"/>
        <c:crossBetween val="between"/>
      </c:valAx>
      <c:spPr>
        <a:noFill/>
        <a:ln>
          <a:noFill/>
        </a:ln>
        <a:effectLst/>
      </c:spPr>
    </c:plotArea>
    <c:legend>
      <c:legendPos val="b"/>
      <c:layout/>
      <c:overlay val="0"/>
      <c:spPr>
        <a:noFill/>
        <a:ln>
          <a:noFill/>
        </a:ln>
        <a:effectLst/>
      </c:spPr>
      <c:txPr>
        <a:bodyPr rot="0" vert="horz"/>
        <a:lstStyle/>
        <a:p>
          <a:pPr>
            <a:defRPr sz="900"/>
          </a:pPr>
          <a:endParaRPr lang="ru-RU"/>
        </a:p>
      </c:txPr>
    </c:legend>
    <c:plotVisOnly val="1"/>
    <c:dispBlanksAs val="gap"/>
    <c:showDLblsOverMax val="0"/>
  </c:chart>
  <c:spPr>
    <a:solidFill>
      <a:schemeClr val="lt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ВВП (% прироста)</a:t>
            </a:r>
          </a:p>
        </c:rich>
      </c:tx>
      <c:layout/>
      <c:overlay val="0"/>
      <c:spPr>
        <a:noFill/>
        <a:ln>
          <a:noFill/>
        </a:ln>
        <a:effectLst/>
      </c:spPr>
    </c:title>
    <c:autoTitleDeleted val="0"/>
    <c:plotArea>
      <c:layout/>
      <c:lineChart>
        <c:grouping val="standard"/>
        <c:varyColors val="0"/>
        <c:ser>
          <c:idx val="0"/>
          <c:order val="0"/>
          <c:tx>
            <c:strRef>
              <c:f>'Основные показатели'!$B$2</c:f>
              <c:strCache>
                <c:ptCount val="1"/>
                <c:pt idx="0">
                  <c:v>темпы прироста ВВП (%)</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vert="horz"/>
              <a:lstStyle/>
              <a:p>
                <a:pPr>
                  <a:defRPr b="1">
                    <a:solidFill>
                      <a:schemeClr val="accent1">
                        <a:lumMod val="50000"/>
                      </a:schemeClr>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'Основные показатели'!$A$17:$A$21</c:f>
              <c:strCache>
                <c:ptCount val="5"/>
                <c:pt idx="0">
                  <c:v>2024</c:v>
                </c:pt>
                <c:pt idx="1">
                  <c:v>2025
(оценка)</c:v>
                </c:pt>
                <c:pt idx="2">
                  <c:v>2026
(прогноз)</c:v>
                </c:pt>
                <c:pt idx="3">
                  <c:v>2027
(прогноз)</c:v>
                </c:pt>
                <c:pt idx="4">
                  <c:v>2028
(прогноз)</c:v>
                </c:pt>
              </c:strCache>
            </c:strRef>
          </c:cat>
          <c:val>
            <c:numRef>
              <c:f>'Основные показатели'!$B$17:$B$21</c:f>
              <c:numCache>
                <c:formatCode>0.0</c:formatCode>
                <c:ptCount val="5"/>
                <c:pt idx="0">
                  <c:v>4.2999999999999972</c:v>
                </c:pt>
                <c:pt idx="1">
                  <c:v>1.0300000000000011</c:v>
                </c:pt>
                <c:pt idx="2">
                  <c:v>1.3119999999999976</c:v>
                </c:pt>
                <c:pt idx="3">
                  <c:v>2.8199999999999932</c:v>
                </c:pt>
                <c:pt idx="4">
                  <c:v>2.5100000000000051</c:v>
                </c:pt>
              </c:numCache>
            </c:numRef>
          </c:val>
          <c:smooth val="0"/>
          <c:extLst>
            <c:ext xmlns:c16="http://schemas.microsoft.com/office/drawing/2014/chart" uri="{C3380CC4-5D6E-409C-BE32-E72D297353CC}">
              <c16:uniqueId val="{00000000-77F1-4FB8-B1A6-11768905DCFE}"/>
            </c:ext>
          </c:extLst>
        </c:ser>
        <c:dLbls>
          <c:dLblPos val="ctr"/>
          <c:showLegendKey val="0"/>
          <c:showVal val="1"/>
          <c:showCatName val="0"/>
          <c:showSerName val="0"/>
          <c:showPercent val="0"/>
          <c:showBubbleSize val="0"/>
        </c:dLbls>
        <c:marker val="1"/>
        <c:smooth val="0"/>
        <c:axId val="156741120"/>
        <c:axId val="156441344"/>
      </c:lineChart>
      <c:catAx>
        <c:axId val="156741120"/>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vert="horz"/>
          <a:lstStyle/>
          <a:p>
            <a:pPr>
              <a:defRPr sz="900"/>
            </a:pPr>
            <a:endParaRPr lang="ru-RU"/>
          </a:p>
        </c:txPr>
        <c:crossAx val="156441344"/>
        <c:crosses val="autoZero"/>
        <c:auto val="1"/>
        <c:lblAlgn val="ctr"/>
        <c:lblOffset val="100"/>
        <c:noMultiLvlLbl val="0"/>
      </c:catAx>
      <c:valAx>
        <c:axId val="156441344"/>
        <c:scaling>
          <c:orientation val="minMax"/>
        </c:scaling>
        <c:delete val="1"/>
        <c:axPos val="l"/>
        <c:numFmt formatCode="0.0" sourceLinked="1"/>
        <c:majorTickMark val="out"/>
        <c:minorTickMark val="none"/>
        <c:tickLblPos val="nextTo"/>
        <c:crossAx val="15674112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ru-RU" sz="1100"/>
              <a:t>Инвестиции в основной капитал </a:t>
            </a:r>
            <a:r>
              <a:rPr lang="ru-RU" sz="1000" b="0"/>
              <a:t>(% прироста)</a:t>
            </a:r>
          </a:p>
        </c:rich>
      </c:tx>
      <c:layout>
        <c:manualLayout>
          <c:xMode val="edge"/>
          <c:yMode val="edge"/>
          <c:x val="0.1771642361111111"/>
          <c:y val="6.3500000000000001E-2"/>
        </c:manualLayout>
      </c:layout>
      <c:overlay val="0"/>
      <c:spPr>
        <a:noFill/>
        <a:ln>
          <a:noFill/>
        </a:ln>
        <a:effectLst/>
      </c:spPr>
    </c:title>
    <c:autoTitleDeleted val="0"/>
    <c:plotArea>
      <c:layout/>
      <c:lineChart>
        <c:grouping val="standard"/>
        <c:varyColors val="0"/>
        <c:ser>
          <c:idx val="0"/>
          <c:order val="0"/>
          <c:tx>
            <c:strRef>
              <c:f>'Основные показатели'!$C$2</c:f>
              <c:strCache>
                <c:ptCount val="1"/>
                <c:pt idx="0">
                  <c:v>инвестиции в основной капитал (%)</c:v>
                </c:pt>
              </c:strCache>
            </c:strRef>
          </c:tx>
          <c:spPr>
            <a:ln w="19050" cap="rnd" cmpd="sng" algn="ctr">
              <a:solidFill>
                <a:schemeClr val="accent1">
                  <a:shade val="95000"/>
                  <a:satMod val="105000"/>
                </a:schemeClr>
              </a:solidFill>
              <a:round/>
            </a:ln>
            <a:effectLst/>
          </c:spPr>
          <c:marker>
            <c:symbol val="circle"/>
            <c:size val="13"/>
            <c:spPr>
              <a:solidFill>
                <a:schemeClr val="bg1"/>
              </a:solidFill>
              <a:ln>
                <a:noFill/>
              </a:ln>
              <a:effectLst/>
            </c:spPr>
          </c:marker>
          <c:dLbls>
            <c:dLbl>
              <c:idx val="0"/>
              <c:layout>
                <c:manualLayout>
                  <c:x val="-9.1511999436047861E-2"/>
                  <c:y val="-7.0496612554503037E-3"/>
                </c:manualLayout>
              </c:layout>
              <c:spPr>
                <a:noFill/>
                <a:ln>
                  <a:noFill/>
                </a:ln>
                <a:effectLst/>
              </c:spPr>
              <c:txPr>
                <a:bodyPr rot="0" vert="horz"/>
                <a:lstStyle/>
                <a:p>
                  <a:pPr>
                    <a:defRPr b="1">
                      <a:solidFill>
                        <a:schemeClr val="accent1">
                          <a:lumMod val="50000"/>
                        </a:schemeClr>
                      </a:solidFill>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11E-4B56-84AD-6B935B1D4256}"/>
                </c:ext>
              </c:extLst>
            </c:dLbl>
            <c:dLbl>
              <c:idx val="1"/>
              <c:spPr>
                <a:noFill/>
                <a:ln>
                  <a:noFill/>
                </a:ln>
                <a:effectLst/>
              </c:spPr>
              <c:txPr>
                <a:bodyPr rot="0" vert="horz"/>
                <a:lstStyle/>
                <a:p>
                  <a:pPr>
                    <a:defRPr b="1">
                      <a:solidFill>
                        <a:schemeClr val="accent1">
                          <a:lumMod val="50000"/>
                        </a:schemeClr>
                      </a:solidFill>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FCFE-4A34-89D3-E9B40254AA29}"/>
                </c:ext>
              </c:extLst>
            </c:dLbl>
            <c:dLbl>
              <c:idx val="2"/>
              <c:spPr>
                <a:noFill/>
                <a:ln>
                  <a:noFill/>
                </a:ln>
                <a:effectLst/>
              </c:spPr>
              <c:txPr>
                <a:bodyPr rot="0" vert="horz"/>
                <a:lstStyle/>
                <a:p>
                  <a:pPr>
                    <a:defRPr b="1">
                      <a:solidFill>
                        <a:schemeClr val="accent1">
                          <a:lumMod val="50000"/>
                        </a:schemeClr>
                      </a:solidFill>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1-FCFE-4A34-89D3-E9B40254AA29}"/>
                </c:ext>
              </c:extLst>
            </c:dLbl>
            <c:dLbl>
              <c:idx val="3"/>
              <c:layout>
                <c:manualLayout>
                  <c:x val="-9.1511999436047861E-2"/>
                  <c:y val="-7.0496612554503037E-3"/>
                </c:manualLayout>
              </c:layout>
              <c:spPr>
                <a:noFill/>
                <a:ln>
                  <a:noFill/>
                </a:ln>
                <a:effectLst/>
              </c:spPr>
              <c:txPr>
                <a:bodyPr rot="0" vert="horz"/>
                <a:lstStyle/>
                <a:p>
                  <a:pPr>
                    <a:defRPr b="1">
                      <a:solidFill>
                        <a:schemeClr val="accent1">
                          <a:lumMod val="50000"/>
                        </a:schemeClr>
                      </a:solidFill>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1E-4B56-84AD-6B935B1D4256}"/>
                </c:ext>
              </c:extLst>
            </c:dLbl>
            <c:dLbl>
              <c:idx val="4"/>
              <c:layout>
                <c:manualLayout>
                  <c:x val="-7.8281348915173479E-2"/>
                  <c:y val="0"/>
                </c:manualLayout>
              </c:layout>
              <c:spPr>
                <a:noFill/>
                <a:ln>
                  <a:noFill/>
                </a:ln>
                <a:effectLst/>
              </c:spPr>
              <c:txPr>
                <a:bodyPr rot="0" vert="horz"/>
                <a:lstStyle/>
                <a:p>
                  <a:pPr>
                    <a:defRPr b="1">
                      <a:solidFill>
                        <a:schemeClr val="accent1">
                          <a:lumMod val="50000"/>
                        </a:schemeClr>
                      </a:solidFill>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11E-4B56-84AD-6B935B1D4256}"/>
                </c:ext>
              </c:extLst>
            </c:dLbl>
            <c:spPr>
              <a:noFill/>
              <a:ln>
                <a:noFill/>
              </a:ln>
              <a:effectLst/>
            </c:spPr>
            <c:txPr>
              <a:bodyPr rot="0" vert="horz"/>
              <a:lstStyle/>
              <a:p>
                <a:pPr>
                  <a:defRPr>
                    <a:solidFill>
                      <a:schemeClr val="accent1">
                        <a:lumMod val="50000"/>
                      </a:schemeClr>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'Основные показатели'!$A$17:$A$21</c:f>
              <c:strCache>
                <c:ptCount val="5"/>
                <c:pt idx="0">
                  <c:v>2024</c:v>
                </c:pt>
                <c:pt idx="1">
                  <c:v>2025
(оценка)</c:v>
                </c:pt>
                <c:pt idx="2">
                  <c:v>2026
(прогноз)</c:v>
                </c:pt>
                <c:pt idx="3">
                  <c:v>2027
(прогноз)</c:v>
                </c:pt>
                <c:pt idx="4">
                  <c:v>2028
(прогноз)</c:v>
                </c:pt>
              </c:strCache>
            </c:strRef>
          </c:cat>
          <c:val>
            <c:numRef>
              <c:f>'Основные показатели'!$C$17:$C$21</c:f>
              <c:numCache>
                <c:formatCode>0.0</c:formatCode>
                <c:ptCount val="5"/>
                <c:pt idx="0">
                  <c:v>7.4000000000000057</c:v>
                </c:pt>
                <c:pt idx="1">
                  <c:v>1.7000000000000028</c:v>
                </c:pt>
                <c:pt idx="2">
                  <c:v>-0.5</c:v>
                </c:pt>
                <c:pt idx="3">
                  <c:v>3.7999999999999972</c:v>
                </c:pt>
                <c:pt idx="4">
                  <c:v>3.2999999999999972</c:v>
                </c:pt>
              </c:numCache>
            </c:numRef>
          </c:val>
          <c:smooth val="0"/>
          <c:extLst>
            <c:ext xmlns:c16="http://schemas.microsoft.com/office/drawing/2014/chart" uri="{C3380CC4-5D6E-409C-BE32-E72D297353CC}">
              <c16:uniqueId val="{00000000-038D-4AFD-A99D-3160D12C23CB}"/>
            </c:ext>
          </c:extLst>
        </c:ser>
        <c:dLbls>
          <c:dLblPos val="ctr"/>
          <c:showLegendKey val="0"/>
          <c:showVal val="1"/>
          <c:showCatName val="0"/>
          <c:showSerName val="0"/>
          <c:showPercent val="0"/>
          <c:showBubbleSize val="0"/>
        </c:dLbls>
        <c:marker val="1"/>
        <c:smooth val="0"/>
        <c:axId val="83036160"/>
        <c:axId val="145165696"/>
      </c:lineChart>
      <c:catAx>
        <c:axId val="83036160"/>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vert="horz"/>
          <a:lstStyle/>
          <a:p>
            <a:pPr>
              <a:defRPr sz="900"/>
            </a:pPr>
            <a:endParaRPr lang="ru-RU"/>
          </a:p>
        </c:txPr>
        <c:crossAx val="145165696"/>
        <c:crosses val="autoZero"/>
        <c:auto val="1"/>
        <c:lblAlgn val="ctr"/>
        <c:lblOffset val="100"/>
        <c:noMultiLvlLbl val="0"/>
      </c:catAx>
      <c:valAx>
        <c:axId val="145165696"/>
        <c:scaling>
          <c:orientation val="minMax"/>
          <c:max val="8"/>
          <c:min val="-1"/>
        </c:scaling>
        <c:delete val="1"/>
        <c:axPos val="l"/>
        <c:numFmt formatCode="0.0" sourceLinked="1"/>
        <c:majorTickMark val="out"/>
        <c:minorTickMark val="none"/>
        <c:tickLblPos val="nextTo"/>
        <c:crossAx val="8303616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246E2-9F5E-4177-A837-BECB6FDF2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7607</Words>
  <Characters>43364</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Орехина И.Н.</dc:creator>
  <cp:lastModifiedBy>Виноградов Павел Владимирович</cp:lastModifiedBy>
  <cp:revision>4</cp:revision>
  <cp:lastPrinted>2024-10-03T08:38:00Z</cp:lastPrinted>
  <dcterms:created xsi:type="dcterms:W3CDTF">2025-10-10T09:01:00Z</dcterms:created>
  <dcterms:modified xsi:type="dcterms:W3CDTF">2025-10-10T11:16:00Z</dcterms:modified>
</cp:coreProperties>
</file>