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20" w:rsidRPr="00E85F20" w:rsidRDefault="00E85F20" w:rsidP="00E85F20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5F20">
        <w:rPr>
          <w:rFonts w:ascii="Times New Roman" w:eastAsia="Calibri" w:hAnsi="Times New Roman" w:cs="Times New Roman"/>
          <w:b/>
          <w:bCs/>
          <w:sz w:val="28"/>
          <w:szCs w:val="28"/>
        </w:rPr>
        <w:t>Приложение № 4.5.</w:t>
      </w:r>
    </w:p>
    <w:p w:rsidR="00E85F20" w:rsidRPr="00E85F20" w:rsidRDefault="00E85F20" w:rsidP="00E85F2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5F20">
        <w:rPr>
          <w:rFonts w:ascii="Times New Roman" w:eastAsia="Calibri" w:hAnsi="Times New Roman" w:cs="Times New Roman"/>
          <w:b/>
          <w:bCs/>
          <w:sz w:val="28"/>
          <w:szCs w:val="28"/>
        </w:rPr>
        <w:t>Анализ действующей системы лекарственного обеспечения в системе ОМС</w:t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проблемами нормативного правового регулирования: лекарственного обеспечения в системе ОМС являются: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Отсутствие возможности расходования средств ОМС на лекарственное лечение в амбулаторных условиях, что приводит к госпитализациям пациентов с заболеваниями/состояниями, которые могут успешно лечиться на уровне первичной медико-санитарной помощи (ПМСП) в амбулаторных условиях и в результате к нерациональному расходованию средств ОМС. 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Отсутствие механизмов использования нескольких источников финансирования для оплаты одного случая лечения.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5F20">
        <w:rPr>
          <w:rFonts w:ascii="Times New Roman" w:eastAsia="Calibri" w:hAnsi="Times New Roman" w:cs="Times New Roman"/>
          <w:b/>
          <w:bCs/>
          <w:sz w:val="28"/>
          <w:szCs w:val="28"/>
        </w:rPr>
        <w:t>Отсутствие возможности расходования средств ОМС на лекарственное лечение в амбулаторных условиях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Согласно п. 2 ст. 80 «Программа государственных гарантий бесплатного оказания гражданам медицинской помощи» Федерального закона от </w:t>
      </w:r>
      <w:r w:rsidRPr="00E85F20">
        <w:rPr>
          <w:rFonts w:ascii="Times New Roman" w:eastAsia="Calibri" w:hAnsi="Times New Roman" w:cs="Times New Roman"/>
          <w:iCs/>
          <w:sz w:val="28"/>
          <w:szCs w:val="28"/>
        </w:rPr>
        <w:t xml:space="preserve">21.11.2011 </w:t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№ 323-ФЗ «Об основах охраны здоровья граждан»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(ПЖНВЛП), осуществляется при оказании в рамках программы следующих видов и форм медицинской помощи: </w:t>
      </w:r>
      <w:proofErr w:type="gramEnd"/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первичная медико-санитарная помощь (ПМСП) в условиях дневного стационара и в неотложной форме; 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специализированная медицинская помощь, в том числе высокотехнологичная; 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скорая медицинская помощь, в том числе скорая специализированная; 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паллиативная медицинская помощь в стационарных условиях, условиях дневного стационара и при посещениях на дому.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Согласно п. 3,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>. 1 и 2 той же статьи назначение и применение по медицинским показаниям в соответствии со стандартами медицинской помощи лекарственных препаратов, включенных в перечень жизненно необходимых и важнейших лекарственных препаратов (ПЖНВЛП), а также препаратов, не входящих в ПЖНВЛП, - при их замене по решению врачебной комиссии из-за индивидуальной непереносимости или по жизненным показаниям, - не подлежит оплате за счет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личных сре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дств гр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аждан.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>Не включенные в ПЖНВЛП лекарственные препараты, если их назначение и применение не обусловлено жизненными показаниями или заменой из-за индивидуальной непереносимости, могут назначаться и применяться при оказании платных медицинских услуг медицинскими организациями, участвующие в реализации ПГГ и ТПГГ (Постановление Правительства РФ от 4 октября 2012 г. N 1006 «Об утверждении правил предоставления медицинскими организациями платных медицинских услуг»).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Соответственно, в постановлении Правительства РФ от 7 декабря 2019 г. № 1610 «О программе государственных гарантий бесплатного оказания гражданам медицинской помощи на 2020 год и на плановый период 2021 и 2022 годов» также указано, что обеспечение граждан лекарственными препаратами для медицинского применения, включенными в утвержденный Правительством РФ ПЖНВЛП, осуществляется при оказании в рамках Программы государственных гарантий (ПГГ) тех же видов и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форм медицинской помощи, что перечислены в 80-й статье 323-ФЗ: ПМСП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 медицинской помощи, паллиативной медицинской помощи в стационарных условиях, условиях дневного стационара и при посещениях на дому.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ПМСП,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раздел I перечня видов высокотехнологичной медицинской помощи (приложение к ПГГ), оказываются застрахованным лицам, в том числе находящимся в стационарных организациях социального обслуживания, за счет средств обязательного медицинского страхования (ОМС) в рамках базовой программы ОМС.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Исключениями являются 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 и расстройства поведения, медицинская помощь при которых оказывается за счет средств бюджетов субъектов РФ.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Тарифы на оплату медицинской помощи в системе ОМС рассчитываются в соответствии с методикой расчета тарифов на оплату медицинской помощи, утвержденной уполномоченным федеральным органом исполнительной власти в составе правил ОМС, и включают в себя статьи затрат, установленные территориальной программой ОМС (это установлено ст. 30 «Тарифы на оплату медицинской помощи по обязательному медицинскому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>страхованию» Федерального закона от 29.11.2010 № 326-ФЗ «Об обязательном медицинском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страховании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Федерации»).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Как указано в актуальной утвержденной методике,</w:t>
      </w:r>
      <w:r w:rsidRPr="00E85F2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расчет тарифов на оплату медицинской помощи по ОМС по всем видам и условиям оказания медицинской помощи осуществляется на единицу объема медицинской помощи - на медицинскую услугу, за вызов скорой медицинской помощи, за законченный случай лечения заболевания, на основе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подушевого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норматива финансирования медицинской организации на прикрепленных к медицинской организации застрахованных лиц (обслуживаемых медицинской организацией), а также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подушевого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норматива финансирования медицинской помощи.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В свою очередь тариф за законченный случай лечения заболевания может рассчитываться на однородные группы случаев оказания медицинской помощи, такие как: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клинико-статистическая группа заболеваний (КСГ) -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 (стоимость, структура затрат и набор используемых ресурсов);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клинико-профильная группа (КПГ) - группа КСГ и (или) отдельных заболеваний, объединенных одним профилем медицинской помощи (п. 184 Правил ОМС).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В соответствие с п. 186 Правил ОМС тариф на оплату медицинской помощи включает в себя следующие расходы: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>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хозяйственный инвентарь) стоимостью до ста тысяч рублей за единицу</w:t>
      </w:r>
      <w:r w:rsidRPr="00E85F2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 этом согласно п. 192 Правил ОМС в расчет тарифов включаются затраты медицинской организации, </w:t>
      </w:r>
      <w:r w:rsidRPr="00E85F20">
        <w:rPr>
          <w:rFonts w:ascii="Times New Roman" w:eastAsia="Calibri" w:hAnsi="Times New Roman" w:cs="Times New Roman"/>
          <w:b/>
          <w:bCs/>
          <w:sz w:val="28"/>
          <w:szCs w:val="28"/>
        </w:rPr>
        <w:t>непосредственно связанные с оказанием медицинской помощи (медицинской услуги) и потребляемые в процессе ее предоставления, и затраты, необходимые для обеспечения деятельности медицинской организации в целом, но не потребляемые непосредственно в процессе оказания медицинской помощи (медицинской услуги)</w:t>
      </w:r>
      <w:r w:rsidRPr="00E85F2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[выделено авторами]</w:t>
      </w:r>
      <w:r w:rsidRPr="00E85F2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К непосредственно связанным с оказанием медицинской помощи (медицинской услуги), относятся затраты: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1) на оплату труда и начисления на выплаты по оплате труда работников, принимающих непосредственное участие в оказании медицинской помощи (медицинской услуги);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2) приобретение материальных запасов, потребляемых в процессе оказания медицинской помощи (медицинской услуги);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3) амортизацию основных средств (оборудование, производственный и хозяйственный инвентарь), используемых при оказании медицинской помощи (медицинской услуги), а также иные затраты, непосредственно связанные с оказанием медицинской помощи (медицинской услуги).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Таким образом, в настоящее время не предусмотрено финансовое обеспечение за счет средств ОМС назначения и применения лекарственных препаратов в амбулаторных условиях, заключающееся в потреблении лекарственных препаратов пациентом вне процесса предоставления медицинской помощи (медицинской услуги).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Отсутствие возможности расходования средств ОМС на лекарственную терапию в амбулаторных условиях приводит к необоснованным госпитализациям в круглосуточный и дневной стационар.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Так, финансовое обеспечение оказания медицинской помощи больным с онкологическими заболеваниями в соответствии с клиническими рекомендациями (протоколами лечения) реализуется в рамках ПГГ - за счет расходов федерального бюджета в рамках подпрограммы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«Совершенствование оказания медицинской помощи, включая профилактику заболеваний и формирование здорового образа жизни" государственной программы РФ «Развитие здравоохранения» по предоставлению межбюджетных трансфертов бюджету Федерального фонда ОМС. 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 этом существенная часть дорогостоящего лекарственного лечения подразумевает длительное применение лекарственных форм для перорального применения (таблетки, капсулы) в амбулаторных условиях.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КСГ для оплаты лекарственного лечения ЗНО в условиях дневного стационара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включают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том числе лечение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таблетированными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препаратами; длительность 1 законченного случая принята равной 21 или 28-30 дням.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Всего в КСГ для оплаты лекарственного противоопухолевого лечения в дневном стационаре (без ЗНО лимфоидной и кроветворной ткани; по состоянию на 2020 г.) включены 616 схем противоопухолевой лекарственной терапии, из них 458 в круглосуточном стационаре и 611 в дневном стационаре. Разница в 153 схемы складывается за счет схем, включающих препараты для перорального применения, которые могли бы применяться в амбулаторных условиях.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5F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Отсутствие механизмов использования нескольких источников финансирования для оплаты одного случая лечения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ПГГ определяет источники финансового обеспечения лекарственного лечения отдельных категорий граждан, групп населения и заболеваний в амбулаторных условиях. Так, за счет бюджетных ассигнований бюджетов субъектов Российской Федерации осуществляется обеспечение лекарственными препаратами в соответствии с </w:t>
      </w:r>
      <w:hyperlink r:id="rId7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перечнем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или с 50-процентной скидкой. Этот перечень определен Постановлением Правительства Российской Федерации от 30 июля 1994 г. N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последние изменения в которое вносились в 2002 г.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Кроме того, ПГГ определено, что за счет бюджетных ассигнований федерального бюджета осуществляются: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закупки лекарственных препаратов, предназначенных для лечения лиц, больных гемофилией,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муковисцидозом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, гипофизарным нанизмом, болезнью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гемолитико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мукополисахаридозом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I, II и VI типов,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апластической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Прауэра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), лиц после трансплантации органов и (или) тканей, по </w:t>
      </w:r>
      <w:hyperlink r:id="rId8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перечню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лекарственных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препаратов,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сформированному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установленном </w:t>
      </w:r>
      <w:hyperlink r:id="rId9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и утверждаемому Правительством Российской Федерации;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закупки антивирусных лекарственных препаратов для медицинского применения, включенных в </w:t>
      </w:r>
      <w:hyperlink r:id="rId10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перечень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11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перечень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предоставление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12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пунктом 1 части 1 статьи 6.2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"О государственной социальной помощи".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За счет бюджетных ассигнований бюджетов субъектов Российской Федерации осуществляется, помимо упомянутого ранее, также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13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перечень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жизнеугрожающих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и хронических прогрессирующих редких (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орфанных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>) заболеваний, приводящих к сокращению продолжительности жизни граждан или к их инвалидности.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 этом в формулировках текста Постановления, утвердившего ПГГ, не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указано в каких условиях оказания медицинской помощи должны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и могут применяться лекарственные препараты, финансовое обеспечение которых осуществлено за счет средств федерального бюджета и бюджета субъекта РФ.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п. 1 статьи 6.2 «Набор социальных услуг» Федерального закона «О государственной социальной помощи» от 17.07.1999 г. № 178-ФЗ указано, что в состав предоставляемого гражданам набора социальных услуг включается обеспечение в соответствии со </w:t>
      </w:r>
      <w:hyperlink r:id="rId14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стандартами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медицинской помощи необходимыми </w:t>
      </w:r>
      <w:r w:rsidRPr="00E85F20">
        <w:rPr>
          <w:rFonts w:ascii="Times New Roman" w:eastAsia="Calibri" w:hAnsi="Times New Roman" w:cs="Times New Roman"/>
          <w:b/>
          <w:sz w:val="28"/>
          <w:szCs w:val="28"/>
        </w:rPr>
        <w:t xml:space="preserve">лекарственными препаратами для медицинского применения по рецептам на лекарственные препараты </w:t>
      </w:r>
      <w:r w:rsidRPr="00E85F20">
        <w:rPr>
          <w:rFonts w:ascii="Times New Roman" w:eastAsia="Calibri" w:hAnsi="Times New Roman" w:cs="Times New Roman"/>
          <w:bCs/>
          <w:sz w:val="28"/>
          <w:szCs w:val="28"/>
        </w:rPr>
        <w:t>[выделено авторами]</w:t>
      </w:r>
      <w:r w:rsidRPr="00E85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Порядок назначения лекарственных препаратов утвержден приказом Минздрава России от 14 января 2019 г. № 4н вместе с формами рецептурных бланков на лекарственные препараты, порядком их оформления учета и хранения.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Согласно данному порядку при оказании пациенту медицинской помощи в стационарных условиях назначение лекарственных препаратов производится медицинским работником без оформления рецепта.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Медицинский работник оформляет назначение лекарственных препаратов на рецептурном бланке (на бумажном носителе или в форме электронного документа с использованием усиленной квалифицированной электронной подписи медицинского работника) в следующих случаях: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при назначении отдельных групп лекарственных препаратов</w:t>
      </w:r>
      <w:r w:rsidRPr="00E85F2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E85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 назначении </w:t>
      </w:r>
      <w:bookmarkStart w:id="1" w:name="P111"/>
      <w:bookmarkEnd w:id="1"/>
      <w:r w:rsidRPr="00E85F20">
        <w:rPr>
          <w:rFonts w:ascii="Times New Roman" w:eastAsia="Calibri" w:hAnsi="Times New Roman" w:cs="Times New Roman"/>
          <w:sz w:val="28"/>
          <w:szCs w:val="28"/>
        </w:rPr>
        <w:t>лекарственных препаратов гражданам, имеющим право на бесплатное получение лекарственных препаратов или получение лекарственных препаратов со скидкой.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112"/>
      <w:bookmarkEnd w:id="2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Последнее описано в разделе </w:t>
      </w:r>
      <w:r w:rsidRPr="00E85F20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Порядка под названием «Назначение лекарственных препаратов гражданам, имеющим право на бесплатное получение лекарственных препаратов или получение лекарственных препаратов со скидкой, при оказании первичной медико-санитарной помощи».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Согласно этому разделу, назначение медицинским работником при оказании ПМСП в соответствии со стандартами медицинской помощи лекарственных препаратов, отпускаемых бесплатно или со скидкой, осуществляется следующим категориям граждан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гражданам, имеющим право на получение государственной социальной помощи в виде набора социальных услуг, в соответствии с </w:t>
      </w:r>
      <w:hyperlink r:id="rId15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перечнем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лекарственных препаратов для медицинского применения, в том числе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>лекарственных препаратов для медицинского применения, назначаемых по решению врачебных комиссий медицинских организаций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лицам, больным гемофилией,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муковисцидозом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гемолитико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мукополисахаридозом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I, II и VI типов, лиц после трансплантации органов и (или) тканей в соответствии с </w:t>
      </w:r>
      <w:hyperlink r:id="rId16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перечнем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лекарственных препаратов, утверждаемым Правительством Российской Федерации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гражданам,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Федерации, в соответствии с </w:t>
      </w:r>
      <w:hyperlink r:id="rId17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Перечнем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18" w:history="1">
        <w:r w:rsidRPr="00E85F20">
          <w:rPr>
            <w:rFonts w:ascii="Times New Roman" w:eastAsia="Calibri" w:hAnsi="Times New Roman" w:cs="Times New Roman"/>
            <w:sz w:val="28"/>
            <w:szCs w:val="28"/>
          </w:rPr>
          <w:t>Перечнем</w:t>
        </w:r>
      </w:hyperlink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групп населения, при амбулаторном лечении которых лекарственные средства отпускаются по рецептам врачей с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50-процентной скидкой со свободных цен, утвержденными постановлением Правительства Российской Федерации от 30 июля 1994 г. N 890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гражданам, страдающим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жизнеугрожающими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и хроническими прогрессирующими редкими (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орфанными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>) заболеваниями, приводящими к сокращению продолжительности жизни граждан и их инвалидности.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Таким образом, из текста порядка следует, что лекарственные препараты во всех перечисленных выше случаях применяются в амбулаторных условиях.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Однако, в перечнях лекарственных препаратов, утвержденных Правительством Российской Федерации, есть препараты, применение которых в амбулаторных условиях не соответствует инструкции по их применению.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85F20">
        <w:rPr>
          <w:rFonts w:ascii="Times New Roman" w:eastAsia="Calibri" w:hAnsi="Times New Roman" w:cs="Times New Roman"/>
          <w:i/>
          <w:sz w:val="28"/>
          <w:szCs w:val="28"/>
        </w:rPr>
        <w:t xml:space="preserve">Например, препарат </w:t>
      </w:r>
      <w:proofErr w:type="spellStart"/>
      <w:r w:rsidRPr="00E85F20">
        <w:rPr>
          <w:rFonts w:ascii="Times New Roman" w:eastAsia="Calibri" w:hAnsi="Times New Roman" w:cs="Times New Roman"/>
          <w:i/>
          <w:sz w:val="28"/>
          <w:szCs w:val="28"/>
        </w:rPr>
        <w:t>экулизумаб</w:t>
      </w:r>
      <w:proofErr w:type="spellEnd"/>
      <w:r w:rsidRPr="00E85F20">
        <w:rPr>
          <w:rFonts w:ascii="Times New Roman" w:eastAsia="Calibri" w:hAnsi="Times New Roman" w:cs="Times New Roman"/>
          <w:i/>
          <w:sz w:val="28"/>
          <w:szCs w:val="28"/>
        </w:rPr>
        <w:t xml:space="preserve">, показанный при </w:t>
      </w:r>
      <w:proofErr w:type="spellStart"/>
      <w:r w:rsidRPr="00E85F20">
        <w:rPr>
          <w:rFonts w:ascii="Times New Roman" w:eastAsia="Calibri" w:hAnsi="Times New Roman" w:cs="Times New Roman"/>
          <w:i/>
          <w:sz w:val="28"/>
          <w:szCs w:val="28"/>
        </w:rPr>
        <w:t>гемолитико</w:t>
      </w:r>
      <w:proofErr w:type="spellEnd"/>
      <w:r w:rsidRPr="00E85F20">
        <w:rPr>
          <w:rFonts w:ascii="Times New Roman" w:eastAsia="Calibri" w:hAnsi="Times New Roman" w:cs="Times New Roman"/>
          <w:i/>
          <w:sz w:val="28"/>
          <w:szCs w:val="28"/>
        </w:rPr>
        <w:t xml:space="preserve">-уремическом синдроме, выпускается в форме концентрата для приготовления </w:t>
      </w:r>
      <w:proofErr w:type="spellStart"/>
      <w:r w:rsidRPr="00E85F20">
        <w:rPr>
          <w:rFonts w:ascii="Times New Roman" w:eastAsia="Calibri" w:hAnsi="Times New Roman" w:cs="Times New Roman"/>
          <w:i/>
          <w:sz w:val="28"/>
          <w:szCs w:val="28"/>
        </w:rPr>
        <w:t>инфузий</w:t>
      </w:r>
      <w:proofErr w:type="spellEnd"/>
      <w:r w:rsidRPr="00E85F20">
        <w:rPr>
          <w:rFonts w:ascii="Times New Roman" w:eastAsia="Calibri" w:hAnsi="Times New Roman" w:cs="Times New Roman"/>
          <w:i/>
          <w:sz w:val="28"/>
          <w:szCs w:val="28"/>
        </w:rPr>
        <w:t xml:space="preserve"> и вводится внутривенно-</w:t>
      </w:r>
      <w:proofErr w:type="spellStart"/>
      <w:r w:rsidRPr="00E85F20">
        <w:rPr>
          <w:rFonts w:ascii="Times New Roman" w:eastAsia="Calibri" w:hAnsi="Times New Roman" w:cs="Times New Roman"/>
          <w:i/>
          <w:sz w:val="28"/>
          <w:szCs w:val="28"/>
        </w:rPr>
        <w:t>капельно</w:t>
      </w:r>
      <w:proofErr w:type="spellEnd"/>
      <w:r w:rsidRPr="00E85F20">
        <w:rPr>
          <w:rFonts w:ascii="Times New Roman" w:eastAsia="Calibri" w:hAnsi="Times New Roman" w:cs="Times New Roman"/>
          <w:i/>
          <w:sz w:val="28"/>
          <w:szCs w:val="28"/>
        </w:rPr>
        <w:t xml:space="preserve"> в течение 25-45 минут у взрослых и в течение 1-4 ч у детей. После окончания введения наблюдение за пациентом должно проводиться в течение 1 часа. Применение должно проводиться под наблюдением врача-гематолога. Выполнение всего вышеперечисленного вряд ли возможно в амбулаторных условиях.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 этом среди КСГ, предложенных для оплаты медицинской помощи в условиях дневного и круглосуточного стационара, нет КСГ для оплаты введения лекарственных препаратов, полученных пациентом по рецепту в рамках программ лекарственного обеспечения.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Сотрудниками Федерального фонда ОМС неоднократно в устной форме разъяснялось, что может производиться оплата введения лекарственных препаратов, полученных в рамках программ лекарственного обеспечения, в амбулаторных условиях в соответствии с установленными способами оплаты – за услугу или посещение. Однако, как отмечалось выше, среди предоставленных в рамках программ лекарственного обеспечения есть лекарственные препараты, введение которых в амбулаторных условиях не соответствует инструкции по их применению.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 некоторых субъектах РФ такие КСГ сформированы, например, в тарифном соглашении Свердловской области выделена для дневного стационара КСГ ds36.002.1 «Лекарственная терапия препаратами, полученными по программам льготного лекарственного обеспечения или за счет других источников» с коэффициентом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0,12. Однако на федеральном уровне этот вопрос не решен.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85F20" w:rsidRPr="00E85F20" w:rsidRDefault="00E85F20" w:rsidP="00E85F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5F2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СПОСОБЫ ОПЛАТЫ МЕДИЦИНСКОЙ ПОМОЩИ ЗА СЧЕТ СРЕДСТВ ОБЯЗАТЕЛЬНОГО МЕДИЦИНСКОГО СТРАХОВАНИЯ (ОМС): ПРИНЦИПЫ ОПЛАТЫ ЛЕКАРСТВЕННОГО ЛЕЧЕНИЯ И ОЦЕНКА ДОСТАТОЧНОСТИ ФИНАНСОВЫХ СРЕДСТВ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Способы оплаты медицинской помощи за счет средств ОМС устанавливаются Программой государственных гарантий бесплатного оказания гражданам медицинской помощи.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В постановлении Правительства РФ от 7 декабря 2019 г. № 1610 «О программе государственных гарантий бесплатного оказания гражданам медицинской помощи на 2020 год и на плановый период 2021 и 2022 годов» установлены 2 способа оплаты медицинской помощи в условиях стационара и дневного стационара.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В условиях стационара: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за законченный случай лечения заболевания, включенного в соответствующую группу заболеваний (в том числе клиник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статистические группы заболеваний, КСГ);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В условиях дневного стационара: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за законченный случай лечения заболевания, включенного в соответствующую группу заболеваний (в том числе клинико-статистические группы заболеваний);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Особенности оплаты по КСГ на 2020 год описаны в методических рекомендациях по способам оплаты медицинской помощи за счет средств ОМС и в инструкции по группировке случаев.</w:t>
      </w:r>
      <w:r w:rsidRPr="00E85F2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Содержание КСГ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детализировано в файлах – расшифровщиках, которые рассылаются письмом Федерального фонда ОМС вместе с инструкцией по группировке случаев.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Отнесение каждого конкретного законченного случая лечения к КСГ производится путем автоматизированной обработки реестров счетов на основе определенных методическими рекомендациями классификационных критериев, к которым относятся диагноз, явившийся поводом к госпитализации, хирургическая операция и (или) другая применяемая медицинская технология (закодированная в соответствии с Номенклатурой медицинских услуг, утвержденной приказом Министерства здравоохранения Российской Федерации от 13.10.2017 № 804н), возраст пациента и др.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Всего в 2020 г. сформировано 364 КСГ для круглосуточного стационара и 153 КСГ для дневного стационара.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Среди 364 КСГ для круглосуточного стационара есть 36 КСГ, где классификационным критерием (основным или одним из) отнесения случая к группе является лекарственная терапия, в том числе это 25 КСГ профиля «онкология». 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Среди 153 КСГ для дневного стационара есть 35 КСГ, где классификационным критерием (основным или одним из) отнесения случая к группе является лекарственная терапия, в том числе это 22 КСГ профиля «онкология».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Принципы построения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разных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КСГ, где лекарственная терапия является классификационным критерием, в настоящее время отличаются.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КСГ, охватывающие лекарственное противоопухолевое лечение злокачественных новообразований (ЗНО), кроме ЗНО лимфоидной и кроветворной ткани, формируются на основе комбинации классификационных критериев «диагноз» + «схема лекарственной терапии». Оплата лекарственного лечения дифференцирована по 13 уровням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применения конкретных схем лекарственной терапии.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Разброс коэффициентов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5"/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круглосуточном стационаре составляет от 0,61 до 29,52, в дневном – от 1,18 до 48,92. 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Одновременно КСГ для оплаты лекарственного лечения ЗНО лимфоидной и кроветворной ткани формируются по комбинации критериев «диагноз» + «услуга» и разделены всего на три уровня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с коэффициентами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от 4,27 до 7,92 в круглосуточном стационаре и от 7,77 до 14,41 в дневном стационаре.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КСГ для оплаты лечения с применением генно-инженерных биологических препаратов и селективных иммунодепрессантов сформированы по комбинации критериев «диагноз» + «услуга из номенклатуры» и «диагноз» + «дополнительный классификационный критерий». «Дополнительный классификационный критерий» применяется для кодирования назначения в соответствии с клиническими рекомендациями генно-инженерных препаратов и селективных иммунодепрессантов, включенных в перечень ЖНВЛП и имеющих соответствующие показания согласно инструкции по применению, в тех случаях, когда в номенклатуре отсутствует услуга, пригодная для кодирования такого назначения.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Все остальные КСГ для оплаты лекарственного лечения построены на основе комбинации классификационных критериев «диагноз» + «услуга из номенклатуры».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 этом в рамках практически каждой КСГ для оплаты лекарственного лечения (за исключением КСГ для оплаты противоопухолевого лечения, кроме лечения ЗНО лимфоидной и кроветворной тканей) могут применяться лекарственные препараты с разной стоимостью курса лечения. Коэффициенты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КСГ определены с учетом того, что пациентам применяются препараты с разной стоимостью курса лечения, однако в условиях, когда в содержании КСГ не определены конкретные препараты, медицинская организация может выбирать лекарственные препараты с наименьшей стоимостью, что приводит к нерациональному расходованию средств ОМС.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Примером служат результаты анализа стоимости схем, входящих в КСГ ds19.036: 14, st19.061 (для оплаты лекарственной терапии злокачественных новообразований лимфоидной и кроветворной тканей с применением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антител, ингибиторов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протеинкиназы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>), который выявил значительный разброс стоимостей 1 цикла лечения разными схемами лекарственной терапии: от 3,2 тыс. рублей за цикл (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иматиниб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монотерапии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>, 400 мг внутрь 1 раз в сутки) до 4,8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рублей (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блинатумомаб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монотерапии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>) (рисунок № 4.5.1.).</w:t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C8ED16" wp14:editId="113C2BA7">
            <wp:extent cx="5953125" cy="3057525"/>
            <wp:effectExtent l="0" t="0" r="9525" b="9525"/>
            <wp:docPr id="1" name="Рисунок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arto="http://schemas.microsoft.com/office/word/2006/arto" id="{0C850472-C426-FD48-BA22-9B5A83F6F4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sz w:val="24"/>
          <w:szCs w:val="24"/>
        </w:rPr>
        <w:t xml:space="preserve">Рисунок № 4.5.1. Стоимость 1 цикла применения схем лекарственной терапии, оплачиваемых по КСГ ds19.036 и st19.061 (лекарственная терапия злокачественных новообразований лимфоидной и кроветворной тканей с применением </w:t>
      </w:r>
      <w:proofErr w:type="spellStart"/>
      <w:r w:rsidRPr="00E85F20">
        <w:rPr>
          <w:rFonts w:ascii="Times New Roman" w:eastAsia="Calibri" w:hAnsi="Times New Roman" w:cs="Times New Roman"/>
          <w:sz w:val="24"/>
          <w:szCs w:val="24"/>
        </w:rPr>
        <w:t>моноклональных</w:t>
      </w:r>
      <w:proofErr w:type="spellEnd"/>
      <w:r w:rsidRPr="00E85F20">
        <w:rPr>
          <w:rFonts w:ascii="Times New Roman" w:eastAsia="Calibri" w:hAnsi="Times New Roman" w:cs="Times New Roman"/>
          <w:sz w:val="24"/>
          <w:szCs w:val="24"/>
        </w:rPr>
        <w:t xml:space="preserve"> антител, ингибиторов </w:t>
      </w:r>
      <w:proofErr w:type="spellStart"/>
      <w:r w:rsidRPr="00E85F20">
        <w:rPr>
          <w:rFonts w:ascii="Times New Roman" w:eastAsia="Calibri" w:hAnsi="Times New Roman" w:cs="Times New Roman"/>
          <w:sz w:val="24"/>
          <w:szCs w:val="24"/>
        </w:rPr>
        <w:t>протеинкиназы</w:t>
      </w:r>
      <w:proofErr w:type="spellEnd"/>
      <w:r w:rsidRPr="00E85F2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sz w:val="24"/>
          <w:szCs w:val="24"/>
        </w:rPr>
        <w:t>Примечание: для определения стоимости терапии для МНН, представленных одним торговым наименованием, использовались данные реестра предельных зарегистрированных цен + 10% НДС; для прочих лекарств – средневзвешенные цены государственных закупок за 2019 г. На рисунке схемы ранжированы по основному (наиболее дорогостоящему) лекарственному препарату.</w:t>
      </w:r>
    </w:p>
    <w:p w:rsidR="00E85F20" w:rsidRPr="00E85F20" w:rsidRDefault="00E85F20" w:rsidP="00E85F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Для оценки частоты назначений отдельных схем лекарственной терапии и проверки сбалансированности КСГ ds19.036 и st19.061 был проведен опрос 24 практикующих врачей-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онкогематологов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из 22 субъектов РФ. Было определено общее фактическое количество случаев применения рассматриваемых схем терапии за 2019 г. в дневном и круглосуточном стационаре, а также количество случаев терапии, которое не было оказано в связи с финансовыми ограничениями.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 результате было установлено, что в текущей практике, в основном, используются более дешевые схемы, в то время как дефицит наблюдается преимущественно по более дорогим (рисунки 2, 3).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При этом, как видно из рисунков 2 и 3, наиболее остро проблема дефицита стоит при назначении схем стоимостью от 200 до 300 тыс. рублей за 1 цикл терапии, что незначительно выше расчетного тарифа ОМС по данной КСГ (</w:t>
      </w:r>
      <w:r w:rsidRPr="00E85F20">
        <w:rPr>
          <w:rFonts w:ascii="Times New Roman" w:eastAsia="Calibri" w:hAnsi="Times New Roman" w:cs="Times New Roman"/>
          <w:color w:val="000000"/>
          <w:sz w:val="28"/>
          <w:szCs w:val="28"/>
        </w:rPr>
        <w:t>176 849 руб. в дневном стационаре и 178 706 руб. – в круглосуточном.</w:t>
      </w:r>
      <w:proofErr w:type="gramEnd"/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636428" wp14:editId="1C063F1B">
            <wp:extent cx="5953125" cy="2686050"/>
            <wp:effectExtent l="0" t="0" r="9525" b="19050"/>
            <wp:docPr id="2" name="Рисунок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arto="http://schemas.microsoft.com/office/word/2006/arto" id="{1A505A06-471B-2B4A-B076-27AECBECF8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sz w:val="24"/>
          <w:szCs w:val="24"/>
        </w:rPr>
        <w:t>Рисунок № 4.5.2. Выборочное распределение числа случаев лекарственной терапии по стоимостным группам.</w:t>
      </w:r>
    </w:p>
    <w:p w:rsidR="00E85F20" w:rsidRPr="00E85F20" w:rsidRDefault="00E85F20" w:rsidP="00E85F20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20" w:rsidRPr="00E85F20" w:rsidRDefault="00E85F20" w:rsidP="00E85F2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AFA9DA" wp14:editId="0C13EF22">
            <wp:extent cx="5953125" cy="2381250"/>
            <wp:effectExtent l="0" t="0" r="9525" b="19050"/>
            <wp:docPr id="3" name="Chart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arto="http://schemas.microsoft.com/office/word/2006/arto" id="{249D6836-63C3-6C42-819D-5B53B20AC2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sz w:val="24"/>
          <w:szCs w:val="24"/>
        </w:rPr>
        <w:t>Рисунок № 4.5.3. Выборочное распределение случаев лекарственной терапии, не оказанной из-за финансовых ограничений</w:t>
      </w:r>
    </w:p>
    <w:p w:rsidR="00E85F20" w:rsidRPr="00E85F20" w:rsidRDefault="00E85F20" w:rsidP="00E85F20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Calibri" w:hAnsi="Times New Roman" w:cs="Times New Roman"/>
          <w:sz w:val="24"/>
          <w:szCs w:val="24"/>
        </w:rPr>
        <w:t>Источник: расчеты авторов на основе опроса враче</w:t>
      </w:r>
      <w:proofErr w:type="gramStart"/>
      <w:r w:rsidRPr="00E85F20">
        <w:rPr>
          <w:rFonts w:ascii="Times New Roman" w:eastAsia="Calibri" w:hAnsi="Times New Roman" w:cs="Times New Roman"/>
          <w:sz w:val="24"/>
          <w:szCs w:val="24"/>
        </w:rPr>
        <w:t>й-</w:t>
      </w:r>
      <w:proofErr w:type="gramEnd"/>
      <w:r w:rsidRPr="00E85F2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E85F20">
        <w:rPr>
          <w:rFonts w:ascii="Times New Roman" w:eastAsia="Calibri" w:hAnsi="Times New Roman" w:cs="Times New Roman"/>
          <w:sz w:val="24"/>
          <w:szCs w:val="24"/>
        </w:rPr>
        <w:t>онко</w:t>
      </w:r>
      <w:proofErr w:type="spellEnd"/>
      <w:r w:rsidRPr="00E85F20">
        <w:rPr>
          <w:rFonts w:ascii="Times New Roman" w:eastAsia="Calibri" w:hAnsi="Times New Roman" w:cs="Times New Roman"/>
          <w:sz w:val="24"/>
          <w:szCs w:val="24"/>
        </w:rPr>
        <w:t>)гематологов.</w:t>
      </w:r>
    </w:p>
    <w:p w:rsidR="00E85F20" w:rsidRPr="00E85F20" w:rsidRDefault="00E85F20" w:rsidP="00E85F20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Мы также оценили фактические расходы медицинских организаций на лекарственные препараты на один случай лекарственной терапии, которые составили 224 985 руб. в дневном стационаре и 202 542 руб. – в круглосуточном (таблица № 4.5.4.). Это на 27 и 13% больше, чем предусмотрено расчетным тарифом ОМС, но сопоставимо со средней фактической стоимостью случая лекарственной терапии за счет средств ОМС в 2019 г. Разница между расчетным тарифом ОМС и фактическими затратами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>покрывается за счет коэффициента дифференциации и (или) коэффициентов (под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)у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>ровня стационара.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Средняя стоимость лекарственных препаратов в одном случае лекарственной терапии без учета финансовых ограничений должна составлять 316 933 руб. в дневном стационаре и 403 258 руб. – в круглосуточном (см. таблицу 1). Это на 41 и 99% выше, чем фактические средние расходы медицинских организаций на лекарственные препараты в 1 случае лекарственной терапии в данных условиях, и на 46% и 74% выше по сравнению с фактическими выплатами за оказанную помощь за счет средств ОМС. В реальности данное превышение не оплачивается, в результате чего возникает неудовлетворенная потребность пациентов в дорогостоящей лекарственной терапии.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Таблица № 4.5.4. Оценка фактической средней стоимости 1 случая лекарственной терапии и соответствующих тарифов ОМС, руб.</w:t>
      </w:r>
    </w:p>
    <w:tbl>
      <w:tblPr>
        <w:tblStyle w:val="59"/>
        <w:tblW w:w="0" w:type="auto"/>
        <w:tblInd w:w="0" w:type="dxa"/>
        <w:tblLook w:val="04A0" w:firstRow="1" w:lastRow="0" w:firstColumn="1" w:lastColumn="0" w:noHBand="0" w:noVBand="1"/>
      </w:tblPr>
      <w:tblGrid>
        <w:gridCol w:w="5115"/>
        <w:gridCol w:w="2300"/>
        <w:gridCol w:w="1923"/>
      </w:tblGrid>
      <w:tr w:rsidR="00E85F20" w:rsidRPr="00E85F20" w:rsidTr="00E85F20">
        <w:trPr>
          <w:trHeight w:val="174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spacing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Показатель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ДС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КС</w:t>
            </w:r>
          </w:p>
        </w:tc>
      </w:tr>
      <w:tr w:rsidR="00E85F20" w:rsidRPr="00E85F20" w:rsidTr="00E85F20">
        <w:trPr>
          <w:trHeight w:val="68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spacing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Фактические средние расходы медицинских организаций на закупку лекарственных препаратов на 1 случай терапии (без учета препаратов, закупленных за счет ВЗН)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224 985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202 542</w:t>
            </w:r>
          </w:p>
        </w:tc>
      </w:tr>
      <w:tr w:rsidR="00E85F20" w:rsidRPr="00E85F20" w:rsidTr="00E85F20">
        <w:trPr>
          <w:trHeight w:val="68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spacing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Средняя стоимость лекарственных препаратов на 1 случай лекарственной терапии без учета финансовых ограничений (без учета ВЗН)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316 933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403 258</w:t>
            </w:r>
          </w:p>
        </w:tc>
      </w:tr>
      <w:tr w:rsidR="00E85F20" w:rsidRPr="00E85F20" w:rsidTr="00E85F20">
        <w:trPr>
          <w:trHeight w:val="34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spacing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Расчетный тариф ОМС в 2019 г.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176 849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178 706</w:t>
            </w:r>
          </w:p>
        </w:tc>
      </w:tr>
      <w:tr w:rsidR="00E85F20" w:rsidRPr="00E85F20" w:rsidTr="00E85F20">
        <w:trPr>
          <w:trHeight w:val="340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spacing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Фактические средние расходы на 1 случай лекарственной терапии в 2019 г. за счет средств ОМС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216 044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232 409</w:t>
            </w:r>
          </w:p>
        </w:tc>
      </w:tr>
    </w:tbl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Еще одним источником дефицита средств ОМС является недостаточное число случаев лекарственной терапии. Было установлено, что при отсутствии финансовых ограничений общее число случаев лекарственной терапии с использованием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антител и ингибиторов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протеинкиназы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увеличилось бы на 127% в дневном стационаре и на 96% - в круглосуточном (таблица 2).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В итоге дефицит бюджета ОМС для лекарственной терапии с использованием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антител и ингибиторов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протеинкиназы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составляет 231% по дневному стационару и 241% по круглосуточному стационару (таблица 2). 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Исходя из оценки расходов бюджета ОМС на рассматриваемые КСГ в 2019 году, получена оценка объема дефицита бюджета ОМС в размере 4,3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рублей по дневному стационару и 12,0 млрд рублей по круглосуточному стационару (таблица 2). Итого дефицит по КСГ ds19.036 и st19.061 (лекарственная терапия злокачественных новообразований лимфоидной и кроветворной тканей с применением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антител, ингибиторов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протеинкиназы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) составляет 16,3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млрд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Таблица № 4.5.5. Оценки дефицита бюджета ОМС на ЛТ использованием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моноклональных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антител и ингибиторов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протеинкиназы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59"/>
        <w:tblW w:w="0" w:type="auto"/>
        <w:tblInd w:w="0" w:type="dxa"/>
        <w:tblLook w:val="04A0" w:firstRow="1" w:lastRow="0" w:firstColumn="1" w:lastColumn="0" w:noHBand="0" w:noVBand="1"/>
      </w:tblPr>
      <w:tblGrid>
        <w:gridCol w:w="5298"/>
        <w:gridCol w:w="2300"/>
        <w:gridCol w:w="1740"/>
      </w:tblGrid>
      <w:tr w:rsidR="00E85F20" w:rsidRPr="00E85F20" w:rsidTr="00E85F20">
        <w:trPr>
          <w:trHeight w:val="340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Показатель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ДС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КС</w:t>
            </w:r>
          </w:p>
        </w:tc>
      </w:tr>
      <w:tr w:rsidR="00E85F20" w:rsidRPr="00E85F20" w:rsidTr="00E85F20">
        <w:trPr>
          <w:trHeight w:val="340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eastAsia="Times New Roman" w:hAnsi="Times New Roman"/>
                <w:kern w:val="24"/>
                <w:lang w:eastAsia="ru-RU"/>
              </w:rPr>
            </w:pPr>
            <w:bookmarkStart w:id="3" w:name="OLE_LINK3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Превышение средней стоимости лекарственных препаратов на 1 случай лекарственной терапии без учета финансовых ограничений над фактическими средними расходами на 1 случай лекарственной терапии в 2019 г. за счет средств ОМС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i/>
                <w:iCs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46%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i/>
                <w:iCs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74%</w:t>
            </w:r>
          </w:p>
        </w:tc>
      </w:tr>
      <w:tr w:rsidR="00E85F20" w:rsidRPr="00E85F20" w:rsidTr="00E85F20">
        <w:trPr>
          <w:trHeight w:val="340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Превышение числа случаев без учета финансовых ограничений над фактическим числом случаев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i/>
                <w:iCs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127%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i/>
                <w:iCs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96%</w:t>
            </w:r>
          </w:p>
        </w:tc>
      </w:tr>
      <w:tr w:rsidR="00E85F20" w:rsidRPr="00E85F20" w:rsidTr="00E85F20">
        <w:trPr>
          <w:trHeight w:val="340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ИТОГО дефицит бюджета ОМС, %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231%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241%</w:t>
            </w:r>
          </w:p>
        </w:tc>
      </w:tr>
      <w:tr w:rsidR="00E85F20" w:rsidRPr="00E85F20" w:rsidTr="00E85F20">
        <w:trPr>
          <w:trHeight w:val="1700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Расходы ОМС на лекарственную терапию злокачественных новообразований лимфоидной и кроветворной тканей с применением </w:t>
            </w:r>
            <w:proofErr w:type="spellStart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моноклональных</w:t>
            </w:r>
            <w:proofErr w:type="spellEnd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антител, ингибиторов </w:t>
            </w:r>
            <w:proofErr w:type="spellStart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протеинкиназы</w:t>
            </w:r>
            <w:proofErr w:type="spellEnd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в 2019 г., </w:t>
            </w:r>
            <w:proofErr w:type="gramStart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млн</w:t>
            </w:r>
            <w:proofErr w:type="gramEnd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руб.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1 322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color w:val="000000"/>
                <w:lang w:eastAsia="ru-RU"/>
              </w:rPr>
              <w:t>3 518</w:t>
            </w:r>
          </w:p>
        </w:tc>
      </w:tr>
      <w:tr w:rsidR="00E85F20" w:rsidRPr="00E85F20" w:rsidTr="00E85F20">
        <w:trPr>
          <w:trHeight w:val="1700"/>
        </w:trPr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20" w:rsidRPr="00E85F20" w:rsidRDefault="00E85F20" w:rsidP="00E85F20">
            <w:pPr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Оценка дефицита бюджета ОМС на лекарственную терапию злокачественных новообразований лимфоидной и кроветворной тканей с применением </w:t>
            </w:r>
            <w:proofErr w:type="spellStart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моноклональных</w:t>
            </w:r>
            <w:proofErr w:type="spellEnd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антител, ингибиторов </w:t>
            </w:r>
            <w:proofErr w:type="spellStart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протеинкиназы</w:t>
            </w:r>
            <w:proofErr w:type="spellEnd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, </w:t>
            </w:r>
            <w:proofErr w:type="gramStart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>млн</w:t>
            </w:r>
            <w:proofErr w:type="gramEnd"/>
            <w:r w:rsidRPr="00E85F20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руб.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4 375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E85F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11 996</w:t>
            </w:r>
          </w:p>
        </w:tc>
      </w:tr>
      <w:bookmarkEnd w:id="3"/>
    </w:tbl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F20" w:rsidRPr="00E85F20" w:rsidRDefault="00E85F20" w:rsidP="00E85F20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несовершенстве планирования финансовых средств на лекарственное лечение свидетельствуют и результаты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сопоставления фактического числа случаев применения различных схем противоопухолевого лечения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в разрезе КСГ в 2019 году с планом, сформированным на федеральном уровне. Выявлено систематическое превышение плана над фактическими случаями: разница по </w:t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отдельным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КСГ колеблется от -21% до -89% в дневном стационаре и от -8% до -69% в круглосуточном стационаре. Не выявлено закономерностей между уровнем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лекарственной терапии и величиной расхождения факта с планом (таблица 3). Суммарно по всем </w:t>
      </w: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уровням </w:t>
      </w:r>
      <w:proofErr w:type="spellStart"/>
      <w:r w:rsidRPr="00E85F20">
        <w:rPr>
          <w:rFonts w:ascii="Times New Roman" w:eastAsia="Calibri" w:hAnsi="Times New Roman" w:cs="Times New Roman"/>
          <w:sz w:val="28"/>
          <w:szCs w:val="28"/>
        </w:rPr>
        <w:t>затратоемкости</w:t>
      </w:r>
      <w:proofErr w:type="spell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противоопухолевой лекарственной терапии расхождение составило -54% для дневного стационара и -51% для круглосуточного стационара.</w:t>
      </w:r>
    </w:p>
    <w:p w:rsidR="00E85F20" w:rsidRPr="00E85F20" w:rsidRDefault="00E85F20" w:rsidP="00E85F20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Таблица № 4.5.6. Число фактических случаев лечения с применением схем терапии, включенных в различные КСГ, и плана, 2019 г. </w:t>
      </w:r>
    </w:p>
    <w:tbl>
      <w:tblPr>
        <w:tblStyle w:val="59"/>
        <w:tblW w:w="0" w:type="auto"/>
        <w:tblInd w:w="0" w:type="dxa"/>
        <w:tblLook w:val="04A0" w:firstRow="1" w:lastRow="0" w:firstColumn="1" w:lastColumn="0" w:noHBand="0" w:noVBand="1"/>
      </w:tblPr>
      <w:tblGrid>
        <w:gridCol w:w="1118"/>
        <w:gridCol w:w="1004"/>
        <w:gridCol w:w="1107"/>
        <w:gridCol w:w="1163"/>
        <w:gridCol w:w="1132"/>
        <w:gridCol w:w="1123"/>
        <w:gridCol w:w="1228"/>
        <w:gridCol w:w="1141"/>
      </w:tblGrid>
      <w:tr w:rsidR="00E85F20" w:rsidRPr="00E85F20" w:rsidTr="00E85F20">
        <w:trPr>
          <w:trHeight w:val="26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КСГ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Число случаев, ДС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КСГ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</w:t>
            </w:r>
          </w:p>
        </w:tc>
      </w:tr>
      <w:tr w:rsidR="00E85F20" w:rsidRPr="00E85F20" w:rsidTr="00E85F20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факт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план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Разница (фа</w:t>
            </w:r>
            <w:proofErr w:type="gramStart"/>
            <w:r w:rsidRPr="00E85F20">
              <w:rPr>
                <w:rFonts w:ascii="Times New Roman" w:hAnsi="Times New Roman"/>
              </w:rPr>
              <w:t>кт к пл</w:t>
            </w:r>
            <w:proofErr w:type="gramEnd"/>
            <w:r w:rsidRPr="00E85F20">
              <w:rPr>
                <w:rFonts w:ascii="Times New Roman" w:hAnsi="Times New Roman"/>
              </w:rPr>
              <w:t>ану)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факт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план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Разница (фа</w:t>
            </w:r>
            <w:proofErr w:type="gramStart"/>
            <w:r w:rsidRPr="00E85F20">
              <w:rPr>
                <w:rFonts w:ascii="Times New Roman" w:hAnsi="Times New Roman"/>
              </w:rPr>
              <w:t>кт к пл</w:t>
            </w:r>
            <w:proofErr w:type="gramEnd"/>
            <w:r w:rsidRPr="00E85F20">
              <w:rPr>
                <w:rFonts w:ascii="Times New Roman" w:hAnsi="Times New Roman"/>
              </w:rPr>
              <w:t>ану)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106 527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245 822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-57%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131 690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421 087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-69%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ds19.019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183 563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359 457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-49%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171 531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329 039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-48%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24 148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222 279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-89%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113 483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122 778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-8%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163 176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266 516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-39%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56 607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107 971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-48%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199 464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313 829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-36%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42 391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110 042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-61%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82 711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105 337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-21%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76 974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115 643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-33%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26 103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85 410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-69%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29 502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42 225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-30%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37 936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91 958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-59%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30 795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52 627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-41%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43 366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186 404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-77%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32 052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87 849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-64%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9 726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26 616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-63%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17 601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52 064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-66%</w:t>
            </w:r>
          </w:p>
        </w:tc>
      </w:tr>
      <w:tr w:rsidR="00E85F20" w:rsidRPr="00E85F20" w:rsidTr="00E85F20">
        <w:trPr>
          <w:trHeight w:val="2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876 720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1 903 628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-54%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702 626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1 441 325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-51%</w:t>
            </w:r>
          </w:p>
        </w:tc>
      </w:tr>
    </w:tbl>
    <w:p w:rsidR="00E85F20" w:rsidRPr="00E85F20" w:rsidRDefault="00E85F20" w:rsidP="00E85F20">
      <w:pPr>
        <w:spacing w:after="160" w:line="256" w:lineRule="auto"/>
        <w:rPr>
          <w:rFonts w:ascii="Times New Roman" w:eastAsia="Calibri" w:hAnsi="Times New Roman" w:cs="Times New Roman"/>
        </w:rPr>
      </w:pPr>
      <w:r w:rsidRPr="00E85F20">
        <w:rPr>
          <w:rFonts w:ascii="Times New Roman" w:eastAsia="Calibri" w:hAnsi="Times New Roman" w:cs="Times New Roman"/>
        </w:rPr>
        <w:t xml:space="preserve">Примечание. ДС – дневной стационар. КС – круглосуточный стационар. </w:t>
      </w:r>
    </w:p>
    <w:p w:rsidR="00E85F20" w:rsidRPr="00E85F20" w:rsidRDefault="00E85F20" w:rsidP="00E85F20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ab/>
        <w:t>В денежном выражении разница между фактически случаями и планом составила от -5% до -86% в дневном стационаре и от 0% до -50% в круглосуточном стационаре. Суммарное расхождение фактических случаев и плана в денежном выражении составило -50% в дневном стационаре и -30% в круглосуточном стационаре (таблица № 4.5.7.).</w:t>
      </w:r>
    </w:p>
    <w:p w:rsidR="00E85F20" w:rsidRPr="00E85F20" w:rsidRDefault="00E85F20" w:rsidP="00E85F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№ 4.5.7. Затраты фактические и плановые на КСГ для оплаты лекарственного противоопухолевого лечения, 2019 г. </w:t>
      </w:r>
    </w:p>
    <w:tbl>
      <w:tblPr>
        <w:tblStyle w:val="5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128"/>
        <w:gridCol w:w="1224"/>
        <w:gridCol w:w="1013"/>
        <w:gridCol w:w="1061"/>
        <w:gridCol w:w="1224"/>
        <w:gridCol w:w="1224"/>
        <w:gridCol w:w="1013"/>
      </w:tblGrid>
      <w:tr w:rsidR="00E85F20" w:rsidRPr="00E85F20" w:rsidTr="00E85F20">
        <w:trPr>
          <w:trHeight w:val="26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КСГ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 xml:space="preserve">ДС, </w:t>
            </w:r>
            <w:proofErr w:type="gramStart"/>
            <w:r w:rsidRPr="00E85F20">
              <w:rPr>
                <w:rFonts w:ascii="Times New Roman" w:hAnsi="Times New Roman"/>
              </w:rPr>
              <w:t>млн</w:t>
            </w:r>
            <w:proofErr w:type="gramEnd"/>
            <w:r w:rsidRPr="00E85F20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КСГ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 xml:space="preserve">КС, </w:t>
            </w:r>
            <w:proofErr w:type="gramStart"/>
            <w:r w:rsidRPr="00E85F20">
              <w:rPr>
                <w:rFonts w:ascii="Times New Roman" w:hAnsi="Times New Roman"/>
              </w:rPr>
              <w:t>млн</w:t>
            </w:r>
            <w:proofErr w:type="gramEnd"/>
            <w:r w:rsidRPr="00E85F20">
              <w:rPr>
                <w:rFonts w:ascii="Times New Roman" w:hAnsi="Times New Roman"/>
              </w:rPr>
              <w:t xml:space="preserve"> руб. </w:t>
            </w:r>
          </w:p>
        </w:tc>
      </w:tr>
      <w:tr w:rsidR="00E85F20" w:rsidRPr="00E85F20" w:rsidTr="00E85F20">
        <w:trPr>
          <w:trHeight w:val="56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факт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план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Разница (фа</w:t>
            </w:r>
            <w:proofErr w:type="gramStart"/>
            <w:r w:rsidRPr="00E85F20">
              <w:rPr>
                <w:rFonts w:ascii="Times New Roman" w:hAnsi="Times New Roman"/>
              </w:rPr>
              <w:t>кт к пл</w:t>
            </w:r>
            <w:proofErr w:type="gramEnd"/>
            <w:r w:rsidRPr="00E85F20">
              <w:rPr>
                <w:rFonts w:ascii="Times New Roman" w:hAnsi="Times New Roman"/>
              </w:rPr>
              <w:t>ану)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факт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Разница (фа</w:t>
            </w:r>
            <w:proofErr w:type="gramStart"/>
            <w:r w:rsidRPr="00E85F20">
              <w:rPr>
                <w:rFonts w:ascii="Times New Roman" w:hAnsi="Times New Roman"/>
              </w:rPr>
              <w:t>кт к пл</w:t>
            </w:r>
            <w:proofErr w:type="gramEnd"/>
            <w:r w:rsidRPr="00E85F20">
              <w:rPr>
                <w:rFonts w:ascii="Times New Roman" w:hAnsi="Times New Roman"/>
              </w:rPr>
              <w:t>ану)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1 865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2 170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-14%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3 592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-28%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2 976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4 444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-33%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5 427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6 875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-21%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555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3 897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-86%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5 638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4 285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32%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5 738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7 427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-23%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3 647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4 932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-26%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12 127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15 555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-22%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3 203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6 200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-48%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8 275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8 683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7 587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8 325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-9%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3 554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9 398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-62%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3 903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3 906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7 899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15 585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-49%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4 814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5 930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-19%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13 051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43 374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-70%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8 164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15 900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-49%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5 467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11 793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-54%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7 945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15 943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-50%</w:t>
            </w:r>
          </w:p>
        </w:tc>
      </w:tr>
      <w:tr w:rsidR="00E85F20" w:rsidRPr="00E85F20" w:rsidTr="00E85F20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61 507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122 327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-50%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Итого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53 920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77 297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-30%</w:t>
            </w:r>
          </w:p>
        </w:tc>
      </w:tr>
    </w:tbl>
    <w:p w:rsidR="00E85F20" w:rsidRPr="00E85F20" w:rsidRDefault="00E85F20" w:rsidP="00E85F20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</w:rPr>
        <w:tab/>
      </w:r>
      <w:proofErr w:type="gramStart"/>
      <w:r w:rsidRPr="00E85F20">
        <w:rPr>
          <w:rFonts w:ascii="Times New Roman" w:eastAsia="Calibri" w:hAnsi="Times New Roman" w:cs="Times New Roman"/>
          <w:sz w:val="28"/>
          <w:szCs w:val="28"/>
        </w:rPr>
        <w:t>Фактическая стоимость 1 случая в разрезе КСГ, рассчитанная как отношение суммарных расходов к числу госпитализаций в данной КСГ, представлена в таблице № 4.5.8.</w:t>
      </w:r>
      <w:proofErr w:type="gramEnd"/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 Значительное превышение фактической стоимости 1 случая над тарифом обнаружено для 1-го уровня лекарственной терапии: 128% в дневном стационаре и 149% в круглосуточном стационаре. Величина превышения фактической стоимости 1 случая над тарифом для остальных уровней колеблется в диапазоне 23-39% в дневном стационаре и 35-54% в круглосуточном стационаре.</w:t>
      </w: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>Таблица 4.5.8. Фактическая стоимость 1 случая и размер тарифа в разрезе уровней лекарственной терапии в России в 2019 году.</w:t>
      </w:r>
    </w:p>
    <w:tbl>
      <w:tblPr>
        <w:tblStyle w:val="59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1214"/>
        <w:gridCol w:w="1011"/>
        <w:gridCol w:w="1136"/>
        <w:gridCol w:w="1083"/>
        <w:gridCol w:w="1289"/>
        <w:gridCol w:w="1018"/>
        <w:gridCol w:w="1136"/>
      </w:tblGrid>
      <w:tr w:rsidR="00E85F20" w:rsidRPr="00E85F20" w:rsidTr="00E85F20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КСГ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ДС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КСГ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</w:t>
            </w:r>
          </w:p>
        </w:tc>
      </w:tr>
      <w:tr w:rsidR="00E85F20" w:rsidRPr="00E85F20" w:rsidTr="00E85F20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Факт, руб.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Тариф,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Разница,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 xml:space="preserve">Факт, руб.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Тариф,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Разница, 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20 034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8 785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128%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11 886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29 566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149%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ds19.019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17 059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12 253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39%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20 853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32 075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54%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23 464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17 455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34%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34 825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50 043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44%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35 927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27 743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29%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45 460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65 139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43%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61 146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49 244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56 096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75 937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35%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100 653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81 958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71 736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98 950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38%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137 381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109 354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92 172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132 555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44%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210 267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168 424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25%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112 400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157 569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40%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301 036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231 309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180 382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255 803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42%</w:t>
            </w:r>
          </w:p>
        </w:tc>
      </w:tr>
      <w:tr w:rsidR="00E85F20" w:rsidRPr="00E85F20" w:rsidTr="00E85F20">
        <w:trPr>
          <w:trHeight w:val="3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ds19.027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562 201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440 423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28%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st19.036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305 294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451 473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48%</w:t>
            </w:r>
          </w:p>
        </w:tc>
      </w:tr>
    </w:tbl>
    <w:p w:rsidR="00E85F20" w:rsidRPr="00E85F20" w:rsidRDefault="00E85F20" w:rsidP="00E85F20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E85F20" w:rsidRPr="00E85F20" w:rsidRDefault="00E85F20" w:rsidP="00E85F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</w:rPr>
        <w:lastRenderedPageBreak/>
        <w:tab/>
      </w: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Анализ стоимостей 1 случая в разрезе КСГ по регионам показал, что в рамках любой КСГ присутствует значительная неоднородность, которую нельзя объяснить исключительно отличиями в региональных коэффициентах дифференциации. Для примера на рисунках 4-6 приведены стоимости 1 случая по регионам, упорядоченным по возрастанию региональных коэффициентов дифференциации, для лекарственной терапии уровней 2, 6 и 9 дневного стационара. </w:t>
      </w:r>
    </w:p>
    <w:p w:rsidR="00E85F20" w:rsidRPr="00E85F20" w:rsidRDefault="00E85F20" w:rsidP="00E85F2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E85F2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3C9A425" wp14:editId="19AB1382">
            <wp:extent cx="5934075" cy="3810000"/>
            <wp:effectExtent l="0" t="0" r="9525" b="19050"/>
            <wp:docPr id="4" name="Chart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arto="http://schemas.microsoft.com/office/word/2006/arto" id="{144B22E8-2157-6D48-BFD1-6C309B98F0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85F20" w:rsidRPr="00E85F20" w:rsidRDefault="00E85F20" w:rsidP="00E85F2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Рисунок № 4.5.9. Фактическая стоимость 1 случая для КСГ </w:t>
      </w:r>
      <w:r w:rsidRPr="00E85F20">
        <w:rPr>
          <w:rFonts w:ascii="Times New Roman" w:eastAsia="Calibri" w:hAnsi="Times New Roman" w:cs="Times New Roman"/>
          <w:sz w:val="28"/>
          <w:szCs w:val="28"/>
          <w:lang w:val="en-US"/>
        </w:rPr>
        <w:t>ds</w:t>
      </w:r>
      <w:r w:rsidRPr="00E85F20">
        <w:rPr>
          <w:rFonts w:ascii="Times New Roman" w:eastAsia="Calibri" w:hAnsi="Times New Roman" w:cs="Times New Roman"/>
          <w:sz w:val="28"/>
          <w:szCs w:val="28"/>
        </w:rPr>
        <w:t>19.019 по регионам в 2019 г.</w:t>
      </w:r>
    </w:p>
    <w:p w:rsidR="00E85F20" w:rsidRPr="00E85F20" w:rsidRDefault="00E85F20" w:rsidP="00E85F20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E85F20" w:rsidRPr="00E85F20" w:rsidRDefault="00E85F20" w:rsidP="00E85F2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E85F2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31823A3" wp14:editId="601C1402">
            <wp:extent cx="5248275" cy="2743200"/>
            <wp:effectExtent l="0" t="0" r="9525" b="19050"/>
            <wp:docPr id="5" name="Chart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arto="http://schemas.microsoft.com/office/word/2006/arto" id="{76B7AE9C-3D44-9A4C-A0C0-B62628C01C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85F20" w:rsidRPr="00E85F20" w:rsidRDefault="00E85F20" w:rsidP="00E85F20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Рисунок № 4.5.10. Фактическая стоимость 1 случая для КСГ </w:t>
      </w:r>
      <w:r w:rsidRPr="00E85F20">
        <w:rPr>
          <w:rFonts w:ascii="Times New Roman" w:eastAsia="Calibri" w:hAnsi="Times New Roman" w:cs="Times New Roman"/>
          <w:sz w:val="28"/>
          <w:szCs w:val="28"/>
          <w:lang w:val="en-US"/>
        </w:rPr>
        <w:t>ds</w:t>
      </w:r>
      <w:r w:rsidRPr="00E85F20">
        <w:rPr>
          <w:rFonts w:ascii="Times New Roman" w:eastAsia="Calibri" w:hAnsi="Times New Roman" w:cs="Times New Roman"/>
          <w:sz w:val="28"/>
          <w:szCs w:val="28"/>
        </w:rPr>
        <w:t>19.023 по регионам в 2019 г.</w:t>
      </w:r>
    </w:p>
    <w:p w:rsidR="00E85F20" w:rsidRPr="00E85F20" w:rsidRDefault="00E85F20" w:rsidP="00E85F20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E85F2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30386ADE" wp14:editId="7F688DD4">
            <wp:extent cx="5191125" cy="2857500"/>
            <wp:effectExtent l="0" t="0" r="9525" b="19050"/>
            <wp:docPr id="6" name="Chart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arto="http://schemas.microsoft.com/office/word/2006/arto" id="{5D77F83A-9D32-1445-9CF8-9378957527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85F20" w:rsidRPr="00E85F20" w:rsidRDefault="00E85F20" w:rsidP="00E85F20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F20">
        <w:rPr>
          <w:rFonts w:ascii="Times New Roman" w:eastAsia="Calibri" w:hAnsi="Times New Roman" w:cs="Times New Roman"/>
          <w:sz w:val="28"/>
          <w:szCs w:val="28"/>
        </w:rPr>
        <w:t xml:space="preserve">Рисунок № 4.5.11. Фактическая стоимость 1 случая для КСГ </w:t>
      </w:r>
      <w:r w:rsidRPr="00E85F20">
        <w:rPr>
          <w:rFonts w:ascii="Times New Roman" w:eastAsia="Calibri" w:hAnsi="Times New Roman" w:cs="Times New Roman"/>
          <w:sz w:val="28"/>
          <w:szCs w:val="28"/>
          <w:lang w:val="en-US"/>
        </w:rPr>
        <w:t>ds</w:t>
      </w:r>
      <w:r w:rsidRPr="00E85F20">
        <w:rPr>
          <w:rFonts w:ascii="Times New Roman" w:eastAsia="Calibri" w:hAnsi="Times New Roman" w:cs="Times New Roman"/>
          <w:sz w:val="28"/>
          <w:szCs w:val="28"/>
        </w:rPr>
        <w:t>19.026 по регионам в 2019 г.</w:t>
      </w:r>
    </w:p>
    <w:p w:rsidR="00E85F20" w:rsidRPr="00E85F20" w:rsidRDefault="00E85F20" w:rsidP="00E85F2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№ 4.5.11 приведены примеры расхождения фактических стоимостей 1 случая с расчетным тарифом ОМС, полученным как произведение базовой ставки в данном регионе в 2019 г. на коэффициент </w:t>
      </w:r>
      <w:proofErr w:type="spellStart"/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затратоемкости</w:t>
      </w:r>
      <w:proofErr w:type="spellEnd"/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соответствующей КСГ (во всех субъектах использовались </w:t>
      </w:r>
      <w:proofErr w:type="gramStart"/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</w:t>
      </w:r>
      <w:proofErr w:type="gramEnd"/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определенные на федеральном уровне). Выбраны субъекты РФ с региональным коэффициентом дифференциации, равным 1. Таким образом, расхождения стоимости с оценкой тарифа могут объясняться вариацией в коэффициентах уровня (подуровня) стационара. В Тульской и Ленинградской областях расхождение присутствует и в дневном, и в круглосуточном стационаре. В Смоленской и Калужской областях расхождения в дневном стационаре пренебрежительно малы, но существенны в круглосуточном стационаре.</w:t>
      </w:r>
      <w:r w:rsidRPr="00E85F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5F20" w:rsidRPr="00E85F20" w:rsidRDefault="00E85F20" w:rsidP="00E85F20">
      <w:pPr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№ 4.5.11. </w:t>
      </w:r>
      <w:proofErr w:type="gramStart"/>
      <w:r w:rsidRPr="00E85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фактических стоимостей 1 случая лекарственной терапии при злокачественных новообразованиях (кроме лимфоидной и кроветворной тканей) у взрослых с оценкой тарифа для соответствующих регионов в 2019 году.</w:t>
      </w:r>
      <w:proofErr w:type="gramEnd"/>
    </w:p>
    <w:tbl>
      <w:tblPr>
        <w:tblStyle w:val="5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950"/>
        <w:gridCol w:w="950"/>
        <w:gridCol w:w="951"/>
        <w:gridCol w:w="950"/>
        <w:gridCol w:w="950"/>
        <w:gridCol w:w="951"/>
        <w:gridCol w:w="950"/>
        <w:gridCol w:w="951"/>
      </w:tblGrid>
      <w:tr w:rsidR="00E85F20" w:rsidRPr="00E85F20" w:rsidTr="00E85F20">
        <w:trPr>
          <w:trHeight w:val="2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Уровни ЛТ / субъект / тип стационара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Тульская область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Смоленская область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Калужская область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Ленинградская область</w:t>
            </w:r>
          </w:p>
        </w:tc>
      </w:tr>
      <w:tr w:rsidR="00E85F20" w:rsidRPr="00E85F20" w:rsidTr="00E85F20">
        <w:trPr>
          <w:trHeight w:val="260"/>
        </w:trPr>
        <w:tc>
          <w:tcPr>
            <w:tcW w:w="9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ДС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ДС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ДС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ДС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КС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Базовая ставка, 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11 560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20 854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11 560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21 246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11 940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21 204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13 435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27 256</w:t>
            </w:r>
          </w:p>
        </w:tc>
      </w:tr>
      <w:tr w:rsidR="00E85F20" w:rsidRPr="00E85F20" w:rsidTr="00E85F20">
        <w:trPr>
          <w:trHeight w:val="260"/>
        </w:trPr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5F20">
              <w:rPr>
                <w:rFonts w:ascii="Times New Roman" w:hAnsi="Times New Roman"/>
                <w:b/>
                <w:bCs/>
              </w:rPr>
              <w:t>Фактические расходы на 1 случай, руб.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9 343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17 813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9 037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14 814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9 296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17 469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12 996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20 636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14 961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27 063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12 308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25 717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12 627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28 194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17 774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35 873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21 312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43 031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17 937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43 933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17 858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44 696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26 300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59 629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34 140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58 039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27 842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57 217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28 447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58 328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41 892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77 249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59 916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72 946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49 463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69 733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50 582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74 525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74 423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96 048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101 600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91 327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82 182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88 082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83 920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96 121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123 618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122 827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133 934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119 096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109 355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114 542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112 351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119 112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165 224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157 818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167 703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144 732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168 425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141 170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172 073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145 861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254 473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188 503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230 522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233 223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231 310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226 307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236 427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220 459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349 485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308 852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437 909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396 893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440 425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388 598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454 137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364 956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665 437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522 727</w:t>
            </w:r>
          </w:p>
        </w:tc>
      </w:tr>
      <w:tr w:rsidR="00E85F20" w:rsidRPr="00E85F20" w:rsidTr="00E85F20">
        <w:trPr>
          <w:trHeight w:val="260"/>
        </w:trPr>
        <w:tc>
          <w:tcPr>
            <w:tcW w:w="9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5F20">
              <w:rPr>
                <w:rFonts w:ascii="Times New Roman" w:hAnsi="Times New Roman"/>
                <w:b/>
                <w:bCs/>
              </w:rPr>
              <w:t>Разница (факт к тарифу</w:t>
            </w:r>
            <w:proofErr w:type="gramStart"/>
            <w:r w:rsidRPr="00E85F20">
              <w:rPr>
                <w:rFonts w:ascii="Times New Roman" w:hAnsi="Times New Roman"/>
                <w:b/>
                <w:bCs/>
              </w:rPr>
              <w:t>, %)</w:t>
            </w:r>
            <w:proofErr w:type="gramEnd"/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33%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21%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25%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32%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28%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26%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24%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21%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29%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22%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27%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29%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28%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28%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29%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23%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</w:tr>
      <w:tr w:rsidR="00E85F20" w:rsidRPr="00E85F20" w:rsidTr="00E85F20">
        <w:trPr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-1%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25%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18%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30%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F20" w:rsidRPr="00E85F20" w:rsidRDefault="00E85F20" w:rsidP="00E85F20">
            <w:pPr>
              <w:jc w:val="center"/>
              <w:rPr>
                <w:rFonts w:ascii="Times New Roman" w:hAnsi="Times New Roman"/>
              </w:rPr>
            </w:pPr>
            <w:r w:rsidRPr="00E85F20">
              <w:rPr>
                <w:rFonts w:ascii="Times New Roman" w:hAnsi="Times New Roman"/>
              </w:rPr>
              <w:t>31%</w:t>
            </w:r>
          </w:p>
        </w:tc>
      </w:tr>
    </w:tbl>
    <w:p w:rsidR="00D9646A" w:rsidRDefault="00D9646A">
      <w:bookmarkStart w:id="4" w:name="_GoBack"/>
      <w:bookmarkEnd w:id="4"/>
    </w:p>
    <w:sectPr w:rsidR="00D9646A" w:rsidSect="00E85F20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DB" w:rsidRDefault="00E832DB" w:rsidP="00E85F20">
      <w:pPr>
        <w:spacing w:after="0" w:line="240" w:lineRule="auto"/>
      </w:pPr>
      <w:r>
        <w:separator/>
      </w:r>
    </w:p>
  </w:endnote>
  <w:endnote w:type="continuationSeparator" w:id="0">
    <w:p w:rsidR="00E832DB" w:rsidRDefault="00E832DB" w:rsidP="00E8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DB" w:rsidRDefault="00E832DB" w:rsidP="00E85F20">
      <w:pPr>
        <w:spacing w:after="0" w:line="240" w:lineRule="auto"/>
      </w:pPr>
      <w:r>
        <w:separator/>
      </w:r>
    </w:p>
  </w:footnote>
  <w:footnote w:type="continuationSeparator" w:id="0">
    <w:p w:rsidR="00E832DB" w:rsidRDefault="00E832DB" w:rsidP="00E85F20">
      <w:pPr>
        <w:spacing w:after="0" w:line="240" w:lineRule="auto"/>
      </w:pPr>
      <w:r>
        <w:continuationSeparator/>
      </w:r>
    </w:p>
  </w:footnote>
  <w:footnote w:id="1">
    <w:p w:rsidR="00E85F20" w:rsidRDefault="00E85F20" w:rsidP="00E85F20">
      <w:pPr>
        <w:pStyle w:val="ConsPlusTitle"/>
        <w:outlineLvl w:val="1"/>
        <w:rPr>
          <w:rFonts w:ascii="Times New Roman" w:hAnsi="Times New Roman" w:cs="Times New Roman"/>
          <w:b w:val="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b w:val="0"/>
          <w:sz w:val="20"/>
        </w:rPr>
        <w:t>Приказ Минздрава России от 28 февраля 2019 г. N 108н «Об утверждении правил обязательного медицинского страхования». Раздел XII. Методика расчета тарифов на оплату медицинской помощи по обязательному медицинскому страхованию.</w:t>
      </w:r>
    </w:p>
    <w:p w:rsidR="00E85F20" w:rsidRDefault="00E85F20" w:rsidP="00E85F20">
      <w:pPr>
        <w:pStyle w:val="a4"/>
      </w:pPr>
    </w:p>
  </w:footnote>
  <w:footnote w:id="2">
    <w:p w:rsidR="00E85F20" w:rsidRDefault="00E85F20" w:rsidP="00E85F2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Также тариф может включать дополнительные элементы структуры тарифа на оплату медицинской помощи, определенные ПГГ, и расходы, определенные ТПГГ - в случае установления дополнительного объема страхового обеспечения по страховым случаям,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фонда.</w:t>
      </w:r>
      <w:proofErr w:type="gramEnd"/>
    </w:p>
    <w:p w:rsidR="00E85F20" w:rsidRDefault="00E85F20" w:rsidP="00E85F20">
      <w:pPr>
        <w:pStyle w:val="a4"/>
      </w:pPr>
    </w:p>
  </w:footnote>
  <w:footnote w:id="3">
    <w:p w:rsidR="00E85F20" w:rsidRDefault="00E85F20" w:rsidP="00E8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Наркотических и психотропных лекарственных препаратов, лекарственных препаратов, обладающих анаболической активностью (в соответствии с основным фармакологическим действием), лекарственных препаратов, содержащих кроме малых количеств наркотических средств, психотропных веществ и их </w:t>
      </w:r>
      <w:proofErr w:type="spellStart"/>
      <w:r>
        <w:rPr>
          <w:rFonts w:ascii="Times New Roman" w:hAnsi="Times New Roman"/>
          <w:sz w:val="20"/>
          <w:szCs w:val="20"/>
        </w:rPr>
        <w:t>прекурсоров</w:t>
      </w:r>
      <w:proofErr w:type="spellEnd"/>
      <w:r>
        <w:rPr>
          <w:rFonts w:ascii="Times New Roman" w:hAnsi="Times New Roman"/>
          <w:sz w:val="20"/>
          <w:szCs w:val="20"/>
        </w:rPr>
        <w:t xml:space="preserve"> другие фармакологические активные вещества, </w:t>
      </w:r>
      <w:bookmarkStart w:id="0" w:name="Par9"/>
      <w:bookmarkEnd w:id="0"/>
      <w:r>
        <w:rPr>
          <w:rFonts w:ascii="Times New Roman" w:hAnsi="Times New Roman"/>
          <w:sz w:val="20"/>
          <w:szCs w:val="20"/>
        </w:rPr>
        <w:t>лекарственных препаратов индивидуального изготовления, содержащих наркотическое средство или психотропное вещество и другие фармакологические активные вещества в дозе, не превышающей высшую разовую дозу;</w:t>
      </w:r>
      <w:proofErr w:type="gramEnd"/>
      <w:r>
        <w:rPr>
          <w:rFonts w:ascii="Times New Roman" w:hAnsi="Times New Roman"/>
          <w:sz w:val="20"/>
          <w:szCs w:val="20"/>
        </w:rPr>
        <w:t xml:space="preserve"> лекарственных препаратов, подлежащих предметно-количественному учету и др.</w:t>
      </w:r>
    </w:p>
  </w:footnote>
  <w:footnote w:id="4">
    <w:p w:rsidR="00E85F20" w:rsidRDefault="00E85F20" w:rsidP="00E85F20">
      <w:pPr>
        <w:spacing w:after="0" w:line="240" w:lineRule="auto"/>
        <w:ind w:left="357"/>
        <w:jc w:val="both"/>
        <w:rPr>
          <w:rFonts w:ascii="Times New Roman" w:hAnsi="Times New Roman"/>
          <w:sz w:val="18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24"/>
        </w:rPr>
        <w:t>Письмо Минздрава России N 11-7/и/2-11779, ФОМС N 17033/26-2/и от 12.12.2019 (ред. от 07.04.2020) "О методических рекомендациях по способам оплаты медицинской помощи за счет средств обязательного медицинского страхования»</w:t>
      </w:r>
    </w:p>
    <w:p w:rsidR="00E85F20" w:rsidRDefault="00E85F20" w:rsidP="00E85F20">
      <w:pPr>
        <w:spacing w:after="0" w:line="240" w:lineRule="auto"/>
        <w:ind w:left="357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Письмо ФОМС от 13.12.2019 N 17151/26-1/и «В дополнение к Методическим рекомендациям по способам оплаты медицинской помощи за счет средств обязательного медицинского страхования» (вместе с "Инструкцией по группировке случаев, в том числе правила учета классификационных критериев, и подходам к оплате медицинской помощи в амбулаторных условиях по </w:t>
      </w:r>
      <w:proofErr w:type="spellStart"/>
      <w:r>
        <w:rPr>
          <w:rFonts w:ascii="Times New Roman" w:hAnsi="Times New Roman"/>
          <w:sz w:val="18"/>
          <w:szCs w:val="24"/>
        </w:rPr>
        <w:t>подушевому</w:t>
      </w:r>
      <w:proofErr w:type="spellEnd"/>
      <w:r>
        <w:rPr>
          <w:rFonts w:ascii="Times New Roman" w:hAnsi="Times New Roman"/>
          <w:sz w:val="18"/>
          <w:szCs w:val="24"/>
        </w:rPr>
        <w:t xml:space="preserve"> нормативу финансирования").</w:t>
      </w:r>
    </w:p>
    <w:p w:rsidR="00E85F20" w:rsidRDefault="00E85F20" w:rsidP="00E85F20">
      <w:pPr>
        <w:pStyle w:val="a4"/>
      </w:pPr>
    </w:p>
  </w:footnote>
  <w:footnote w:id="5">
    <w:p w:rsidR="00E85F20" w:rsidRDefault="00E85F20" w:rsidP="00E85F20">
      <w:pPr>
        <w:pStyle w:val="a4"/>
        <w:rPr>
          <w:sz w:val="18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24"/>
        </w:rPr>
        <w:t xml:space="preserve">Тариф в денежном выражении на каждую КСГ определяется путем умножения коэффициента </w:t>
      </w:r>
      <w:proofErr w:type="spellStart"/>
      <w:r>
        <w:rPr>
          <w:sz w:val="18"/>
          <w:szCs w:val="24"/>
        </w:rPr>
        <w:t>затратоемкости</w:t>
      </w:r>
      <w:proofErr w:type="spellEnd"/>
      <w:r>
        <w:rPr>
          <w:sz w:val="18"/>
          <w:szCs w:val="24"/>
        </w:rPr>
        <w:t xml:space="preserve"> КСГ на базовую ставку и </w:t>
      </w:r>
      <w:proofErr w:type="gramStart"/>
      <w:r>
        <w:rPr>
          <w:sz w:val="18"/>
          <w:szCs w:val="24"/>
        </w:rPr>
        <w:t>на</w:t>
      </w:r>
      <w:proofErr w:type="gramEnd"/>
      <w:r>
        <w:rPr>
          <w:sz w:val="18"/>
          <w:szCs w:val="24"/>
        </w:rPr>
        <w:t xml:space="preserve"> поправочные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129847"/>
      <w:docPartObj>
        <w:docPartGallery w:val="Page Numbers (Top of Page)"/>
        <w:docPartUnique/>
      </w:docPartObj>
    </w:sdtPr>
    <w:sdtContent>
      <w:p w:rsidR="00E85F20" w:rsidRDefault="00E85F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5F20" w:rsidRDefault="00E85F2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20"/>
    <w:rsid w:val="00307855"/>
    <w:rsid w:val="00687926"/>
    <w:rsid w:val="0077566D"/>
    <w:rsid w:val="00D9646A"/>
    <w:rsid w:val="00E832DB"/>
    <w:rsid w:val="00E8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5F20"/>
  </w:style>
  <w:style w:type="character" w:customStyle="1" w:styleId="a3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0"/>
    <w:link w:val="a4"/>
    <w:semiHidden/>
    <w:locked/>
    <w:rsid w:val="00E85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ootnote text,FOOTNOTES,fn,ADB,Знак"/>
    <w:basedOn w:val="a"/>
    <w:link w:val="a3"/>
    <w:semiHidden/>
    <w:unhideWhenUsed/>
    <w:qFormat/>
    <w:rsid w:val="00E85F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Текст сноски Знак1 Знак Знак1,Текст сноски Знак Знак Знак Знак1,Footnote Text Char Знак Знак Знак1,Footnote Text Char Знак Знак2,Текст сноски-FN Знак1,Oaeno niinee-FN Знак1,Oaeno niinee Ciae Знак1,Table_Footnote_last Знак1,fn Знак"/>
    <w:basedOn w:val="a0"/>
    <w:semiHidden/>
    <w:rsid w:val="00E85F20"/>
    <w:rPr>
      <w:sz w:val="20"/>
      <w:szCs w:val="20"/>
    </w:rPr>
  </w:style>
  <w:style w:type="paragraph" w:customStyle="1" w:styleId="ConsPlusTitle">
    <w:name w:val="ConsPlusTitle"/>
    <w:uiPriority w:val="99"/>
    <w:rsid w:val="00E8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0"/>
    <w:uiPriority w:val="99"/>
    <w:semiHidden/>
    <w:unhideWhenUsed/>
    <w:qFormat/>
    <w:rsid w:val="00E85F20"/>
    <w:rPr>
      <w:vertAlign w:val="superscript"/>
    </w:rPr>
  </w:style>
  <w:style w:type="table" w:styleId="a6">
    <w:name w:val="Table Grid"/>
    <w:basedOn w:val="a1"/>
    <w:uiPriority w:val="39"/>
    <w:rsid w:val="00E8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uiPriority w:val="39"/>
    <w:rsid w:val="00E85F2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85F2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85F2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8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5F20"/>
  </w:style>
  <w:style w:type="paragraph" w:styleId="ad">
    <w:name w:val="footer"/>
    <w:basedOn w:val="a"/>
    <w:link w:val="ae"/>
    <w:uiPriority w:val="99"/>
    <w:unhideWhenUsed/>
    <w:rsid w:val="00E8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5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5F20"/>
  </w:style>
  <w:style w:type="character" w:customStyle="1" w:styleId="a3">
    <w:name w:val="Текст сноски Знак"/>
    <w:aliases w:val="Текст сноски Знак1 Знак Знак,Текст сноски Знак Знак Знак Знак,Footnote Text Char Знак Знак Знак,Footnote Text Char Знак Знак1,Текст сноски-FN Знак,Oaeno niinee-FN Знак,Oaeno niinee Ciae Знак,Table_Footnote_last Знак,single space Знак"/>
    <w:basedOn w:val="a0"/>
    <w:link w:val="a4"/>
    <w:semiHidden/>
    <w:locked/>
    <w:rsid w:val="00E85F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1 Знак,Текст сноски Знак Знак Знак,Footnote Text Char Знак Знак,Footnote Text Char Знак,Текст сноски-FN,Oaeno niinee-FN,Oaeno niinee Ciae,Table_Footnote_last,single space,footnote text,FOOTNOTES,fn,ADB,Знак"/>
    <w:basedOn w:val="a"/>
    <w:link w:val="a3"/>
    <w:semiHidden/>
    <w:unhideWhenUsed/>
    <w:qFormat/>
    <w:rsid w:val="00E85F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aliases w:val="Текст сноски Знак1 Знак Знак1,Текст сноски Знак Знак Знак Знак1,Footnote Text Char Знак Знак Знак1,Footnote Text Char Знак Знак2,Текст сноски-FN Знак1,Oaeno niinee-FN Знак1,Oaeno niinee Ciae Знак1,Table_Footnote_last Знак1,fn Знак"/>
    <w:basedOn w:val="a0"/>
    <w:semiHidden/>
    <w:rsid w:val="00E85F20"/>
    <w:rPr>
      <w:sz w:val="20"/>
      <w:szCs w:val="20"/>
    </w:rPr>
  </w:style>
  <w:style w:type="paragraph" w:customStyle="1" w:styleId="ConsPlusTitle">
    <w:name w:val="ConsPlusTitle"/>
    <w:uiPriority w:val="99"/>
    <w:rsid w:val="00E8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0"/>
    <w:uiPriority w:val="99"/>
    <w:semiHidden/>
    <w:unhideWhenUsed/>
    <w:qFormat/>
    <w:rsid w:val="00E85F20"/>
    <w:rPr>
      <w:vertAlign w:val="superscript"/>
    </w:rPr>
  </w:style>
  <w:style w:type="table" w:styleId="a6">
    <w:name w:val="Table Grid"/>
    <w:basedOn w:val="a1"/>
    <w:uiPriority w:val="39"/>
    <w:rsid w:val="00E85F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1"/>
    <w:uiPriority w:val="39"/>
    <w:rsid w:val="00E85F2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85F2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85F2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8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5F20"/>
  </w:style>
  <w:style w:type="paragraph" w:styleId="ad">
    <w:name w:val="footer"/>
    <w:basedOn w:val="a"/>
    <w:link w:val="ae"/>
    <w:uiPriority w:val="99"/>
    <w:unhideWhenUsed/>
    <w:rsid w:val="00E8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6B0B6FD8FC6AAB73D4477C3B48F053929D36DB6FF80DBCF05875E3F90DF5B2934724A8343E0241B5A53EBF5896F8955BF575FB3E45F59ZCLDK" TargetMode="External"/><Relationship Id="rId13" Type="http://schemas.openxmlformats.org/officeDocument/2006/relationships/hyperlink" Target="consultantplus://offline/ref=BF66B0B6FD8FC6AAB73D4477C3B48F05392AD26AB0FB80DBCF05875E3F90DF5B2934724A8347E321195A53EBF5896F8955BF575FB3E45F59ZCLDK" TargetMode="External"/><Relationship Id="rId18" Type="http://schemas.openxmlformats.org/officeDocument/2006/relationships/hyperlink" Target="consultantplus://offline/ref=8C0D353FE3181F168537175DC4ECC1868DCC3A7246CD40D5179639A689A789BEB44184A22A54BA332D124BA4DF8D3DD691A13F906AB79BM2k8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hyperlink" Target="consultantplus://offline/ref=BF66B0B6FD8FC6AAB73D4477C3B48F05392AD36CB5F6DDD1C75C8B5C389F804C2E7D7E4B8347E022130556FEE4D163894AA05740AFE65DZ5LBK" TargetMode="External"/><Relationship Id="rId12" Type="http://schemas.openxmlformats.org/officeDocument/2006/relationships/hyperlink" Target="consultantplus://offline/ref=BF66B0B6FD8FC6AAB73D4477C3B48F05392AD76EB5F980DBCF05875E3F90DF5B2934724A8347E226105A53EBF5896F8955BF575FB3E45F59ZCLDK" TargetMode="External"/><Relationship Id="rId17" Type="http://schemas.openxmlformats.org/officeDocument/2006/relationships/hyperlink" Target="consultantplus://offline/ref=8C0D353FE3181F168537175DC4ECC1868DCC3A7246CD40D5179639A689A789BEB44184A22A53B93D2D124BA4DF8D3DD691A13F906AB79BM2k8L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5B5797092EAB0DEA825709F79FFE53CF90C95477BE81DBF5EE5DB3EB9CAB9704BBA6CC55F925EBD0D92D22B1C6C9723B4B3371205A395335Bj0L" TargetMode="External"/><Relationship Id="rId20" Type="http://schemas.openxmlformats.org/officeDocument/2006/relationships/chart" Target="charts/chart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66B0B6FD8FC6AAB73D4477C3B48F053929D36DB6FF80DBCF05875E3F90DF5B2934724A8347E3251A5A53EBF5896F8955BF575FB3E45F59ZCLDK" TargetMode="External"/><Relationship Id="rId24" Type="http://schemas.openxmlformats.org/officeDocument/2006/relationships/chart" Target="charts/chart6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B6C76284C2B39F433C9985E2AA6E733956CEACD3FE06AE6D2FB03BD9B90D42FE33F201E5208C3D769AAE5349ED6300172067C90907D3C2AP6j9L" TargetMode="External"/><Relationship Id="rId23" Type="http://schemas.openxmlformats.org/officeDocument/2006/relationships/chart" Target="charts/chart5.xml"/><Relationship Id="rId10" Type="http://schemas.openxmlformats.org/officeDocument/2006/relationships/hyperlink" Target="consultantplus://offline/ref=BF66B0B6FD8FC6AAB73D4477C3B48F053929D36DB6FF80DBCF05875E3F90DF5B2934724A8347E3251A5A53EBF5896F8955BF575FB3E45F59ZCLDK" TargetMode="External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66B0B6FD8FC6AAB73D4477C3B48F053929D66CB5F580DBCF05875E3F90DF5B2934724A8347E3251A5A53EBF5896F8955BF575FB3E45F59ZCLDK" TargetMode="External"/><Relationship Id="rId14" Type="http://schemas.openxmlformats.org/officeDocument/2006/relationships/hyperlink" Target="consultantplus://offline/ref=F25B75BAE2FADB3F26B883CA70B903F41244604909617F539F2CC5AA5619663D73C0EB882EA4FA87445951E17EFF81580796194FABAF6A98nFA9L" TargetMode="External"/><Relationship Id="rId22" Type="http://schemas.openxmlformats.org/officeDocument/2006/relationships/chart" Target="charts/chart4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atya\Documents\Zdrav\Pharma\Brentuximab_2020\&#1054;&#1085;&#1082;&#1086;&#1075;&#1077;&#1084;_&#1089;&#1090;&#1086;&#1080;&#1084;&#1086;&#1089;&#1090;&#1100;_&#1089;&#1093;&#1077;&#1084;_09092020_FINAL_v2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atya\Documents\Zdrav\Pharma\Brentuximab_2020\&#1054;&#1085;&#1082;&#1086;&#1075;&#1077;&#1084;_&#1089;&#1090;&#1086;&#1080;&#1084;&#1086;&#1089;&#1090;&#1100;_&#1089;&#1093;&#1077;&#1084;_09092020_FINAL_v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atya\Documents\Zdrav\Pharma\Brentuximab_2020\&#1054;&#1085;&#1082;&#1086;&#1075;&#1077;&#1084;_&#1089;&#1090;&#1086;&#1080;&#1084;&#1086;&#1089;&#1090;&#1100;_&#1089;&#1093;&#1077;&#1084;_09092020_FINAL_v2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atya\Documents\__Zdrav\Pharma\Schet\L1\&#1055;&#1088;&#1086;&#1090;&#1080;&#1074;&#1086;&#1086;&#1087;&#1091;&#1093;&#1086;&#1083;&#1077;&#1074;&#1072;&#1103;_&#1090;&#1077;&#1088;&#1072;&#1087;&#1080;&#1103;_&#1087;&#1083;&#1072;&#1085;_&#1092;&#1072;&#1082;&#1090;_v2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atya\Documents\__Zdrav\Pharma\Schet\L1\&#1055;&#1088;&#1086;&#1090;&#1080;&#1074;&#1086;&#1086;&#1087;&#1091;&#1093;&#1086;&#1083;&#1077;&#1074;&#1072;&#1103;_&#1090;&#1077;&#1088;&#1072;&#1087;&#1080;&#1103;_&#1087;&#1083;&#1072;&#1085;_&#1092;&#1072;&#1082;&#1090;_v2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\\Users\Katya\Documents\__Zdrav\Pharma\Schet\L1\&#1055;&#1088;&#1086;&#1090;&#1080;&#1074;&#1086;&#1086;&#1087;&#1091;&#1093;&#1086;&#1083;&#1077;&#1074;&#1072;&#1103;_&#1090;&#1077;&#1088;&#1072;&#1087;&#1080;&#1103;_&#1087;&#1083;&#1072;&#1085;_&#1092;&#1072;&#1082;&#1090;_v2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Обинутузумаб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Sheet1!$J$3:$J$55</c:f>
              <c:numCache>
                <c:formatCode>General</c:formatCode>
                <c:ptCount val="53"/>
                <c:pt idx="10" formatCode="#,##0">
                  <c:v>769372.61397613655</c:v>
                </c:pt>
                <c:pt idx="11" formatCode="#,##0">
                  <c:v>732133.29552564607</c:v>
                </c:pt>
                <c:pt idx="12" formatCode="#,##0">
                  <c:v>731497.82100445405</c:v>
                </c:pt>
                <c:pt idx="13" formatCode="#,##0">
                  <c:v>728945.20913919259</c:v>
                </c:pt>
                <c:pt idx="25" formatCode="#,##0">
                  <c:v>284373.10997613647</c:v>
                </c:pt>
                <c:pt idx="26" formatCode="#,##0">
                  <c:v>247133.79152564603</c:v>
                </c:pt>
                <c:pt idx="27" formatCode="#,##0">
                  <c:v>246498.31700445406</c:v>
                </c:pt>
                <c:pt idx="28" formatCode="#,##0">
                  <c:v>243945.70513919258</c:v>
                </c:pt>
                <c:pt idx="29" formatCode="#,##0">
                  <c:v>242499.75200000001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21-4458-B844-7F777BBD25A2}"/>
            </c:ext>
          </c:extLst>
        </c:ser>
        <c:ser>
          <c:idx val="1"/>
          <c:order val="1"/>
          <c:tx>
            <c:v>Брентуксимаб ведотин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Sheet1!$K$3:$K$55</c:f>
              <c:numCache>
                <c:formatCode>General</c:formatCode>
                <c:ptCount val="53"/>
                <c:pt idx="9" formatCode="#,##0">
                  <c:v>819406.03753222723</c:v>
                </c:pt>
                <c:pt idx="16" formatCode="#,##0">
                  <c:v>609539.69999999995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21-4458-B844-7F777BBD25A2}"/>
            </c:ext>
          </c:extLst>
        </c:ser>
        <c:ser>
          <c:idx val="2"/>
          <c:order val="2"/>
          <c:tx>
            <c:v>Ниволумаб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Sheet1!$L$3:$L$55</c:f>
              <c:numCache>
                <c:formatCode>General</c:formatCode>
                <c:ptCount val="53"/>
                <c:pt idx="20" formatCode="#,##0">
                  <c:v>417057.39240000007</c:v>
                </c:pt>
                <c:pt idx="36" formatCode="#,##0">
                  <c:v>208528.69620000003</c:v>
                </c:pt>
                <c:pt idx="37" formatCode="#,##0">
                  <c:v>208528.69620000003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21-4458-B844-7F777BBD25A2}"/>
            </c:ext>
          </c:extLst>
        </c:ser>
        <c:ser>
          <c:idx val="3"/>
          <c:order val="3"/>
          <c:tx>
            <c:v>Пембролизумаб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Sheet1!$M$3:$M$55</c:f>
              <c:numCache>
                <c:formatCode>General</c:formatCode>
                <c:ptCount val="53"/>
                <c:pt idx="24" formatCode="#,##0">
                  <c:v>340950.50000000006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021-4458-B844-7F777BBD25A2}"/>
            </c:ext>
          </c:extLst>
        </c:ser>
        <c:ser>
          <c:idx val="4"/>
          <c:order val="4"/>
          <c:tx>
            <c:v>Элотузумаб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Sheet1!$N$3:$N$55</c:f>
              <c:numCache>
                <c:formatCode>General</c:formatCode>
                <c:ptCount val="53"/>
                <c:pt idx="4" formatCode="#,##0">
                  <c:v>1323259.0172699341</c:v>
                </c:pt>
                <c:pt idx="5" formatCode="#,##0">
                  <c:v>1299031.127544994</c:v>
                </c:pt>
                <c:pt idx="6" formatCode="#,##0">
                  <c:v>1000515.500158506</c:v>
                </c:pt>
                <c:pt idx="7" formatCode="#,##0">
                  <c:v>956120.96079451847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021-4458-B844-7F777BBD25A2}"/>
            </c:ext>
          </c:extLst>
        </c:ser>
        <c:ser>
          <c:idx val="5"/>
          <c:order val="5"/>
          <c:tx>
            <c:v>Даратумумаб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val>
            <c:numRef>
              <c:f>Sheet1!$O$3:$O$55</c:f>
              <c:numCache>
                <c:formatCode>General</c:formatCode>
                <c:ptCount val="53"/>
                <c:pt idx="8" formatCode="#,##0">
                  <c:v>891362.83304707776</c:v>
                </c:pt>
                <c:pt idx="30" formatCode="#,##0">
                  <c:v>236667.68477124014</c:v>
                </c:pt>
                <c:pt idx="32" formatCode="#,##0">
                  <c:v>227281.9704278475</c:v>
                </c:pt>
                <c:pt idx="33" formatCode="#,##0">
                  <c:v>223859.19032088565</c:v>
                </c:pt>
                <c:pt idx="34" formatCode="#,##0">
                  <c:v>219861.50926923857</c:v>
                </c:pt>
                <c:pt idx="35" formatCode="#,##0">
                  <c:v>213590.85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021-4458-B844-7F777BBD25A2}"/>
            </c:ext>
          </c:extLst>
        </c:ser>
        <c:ser>
          <c:idx val="6"/>
          <c:order val="6"/>
          <c:tx>
            <c:v>Ритуксимаб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Sheet1!$P$3:$P$55</c:f>
              <c:numCache>
                <c:formatCode>General</c:formatCode>
                <c:ptCount val="53"/>
                <c:pt idx="44" formatCode="#,##0">
                  <c:v>104413.20900008557</c:v>
                </c:pt>
                <c:pt idx="45" formatCode="#,##0">
                  <c:v>90515.464328096874</c:v>
                </c:pt>
                <c:pt idx="47" formatCode="#,##0">
                  <c:v>62539.851023949093</c:v>
                </c:pt>
                <c:pt idx="48" formatCode="#,##0">
                  <c:v>48642.106351960407</c:v>
                </c:pt>
                <c:pt idx="49" formatCode="#,##0">
                  <c:v>48642.106351960407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021-4458-B844-7F777BBD25A2}"/>
            </c:ext>
          </c:extLst>
        </c:ser>
        <c:ser>
          <c:idx val="7"/>
          <c:order val="7"/>
          <c:tx>
            <c:v>Блинатумомаб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Sheet1!$Q$3:$Q$55</c:f>
              <c:numCache>
                <c:formatCode>#,##0</c:formatCode>
                <c:ptCount val="53"/>
                <c:pt idx="0">
                  <c:v>4807003.432000001</c:v>
                </c:pt>
                <c:pt idx="1">
                  <c:v>4807003.432000001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021-4458-B844-7F777BBD25A2}"/>
            </c:ext>
          </c:extLst>
        </c:ser>
        <c:ser>
          <c:idx val="8"/>
          <c:order val="8"/>
          <c:tx>
            <c:v>Бозутиниб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Sheet1!$R$3:$R$55</c:f>
              <c:numCache>
                <c:formatCode>General</c:formatCode>
                <c:ptCount val="53"/>
                <c:pt idx="41" formatCode="#,##0">
                  <c:v>132873.41571428571</c:v>
                </c:pt>
                <c:pt idx="43" formatCode="#,##0">
                  <c:v>110727.84642857143</c:v>
                </c:pt>
                <c:pt idx="46" formatCode="#,##0">
                  <c:v>88582.277142857143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21-4458-B844-7F777BBD25A2}"/>
            </c:ext>
          </c:extLst>
        </c:ser>
        <c:ser>
          <c:idx val="9"/>
          <c:order val="9"/>
          <c:tx>
            <c:v>Дазатиниб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Sheet1!$S$3:$S$55</c:f>
              <c:numCache>
                <c:formatCode>General</c:formatCode>
                <c:ptCount val="53"/>
                <c:pt idx="31" formatCode="#,##0">
                  <c:v>230143.55237500006</c:v>
                </c:pt>
                <c:pt idx="40" formatCode="#,##0">
                  <c:v>164388.2516964286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021-4458-B844-7F777BBD25A2}"/>
            </c:ext>
          </c:extLst>
        </c:ser>
        <c:ser>
          <c:idx val="10"/>
          <c:order val="10"/>
          <c:tx>
            <c:v>Ибрутиниб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Sheet1!$T$3:$T$55</c:f>
              <c:numCache>
                <c:formatCode>General</c:formatCode>
                <c:ptCount val="53"/>
                <c:pt idx="3" formatCode="#,##0">
                  <c:v>1427352.8690666668</c:v>
                </c:pt>
                <c:pt idx="14" formatCode="#,##0">
                  <c:v>699853.61306666664</c:v>
                </c:pt>
                <c:pt idx="15" formatCode="#,##0">
                  <c:v>653362.65866666671</c:v>
                </c:pt>
                <c:pt idx="17" formatCode="#,##0">
                  <c:v>561767.07006675226</c:v>
                </c:pt>
                <c:pt idx="18" formatCode="#,##0">
                  <c:v>547869.32539476361</c:v>
                </c:pt>
                <c:pt idx="19" formatCode="#,##0">
                  <c:v>490021.99400000001</c:v>
                </c:pt>
                <c:pt idx="21" formatCode="#,##0">
                  <c:v>405555.2468239491</c:v>
                </c:pt>
                <c:pt idx="22" formatCode="#,##0">
                  <c:v>391657.50215196039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021-4458-B844-7F777BBD25A2}"/>
            </c:ext>
          </c:extLst>
        </c:ser>
        <c:ser>
          <c:idx val="11"/>
          <c:order val="11"/>
          <c:tx>
            <c:v>Иматиниб</c:v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Sheet1!$U$3:$U$55</c:f>
              <c:numCache>
                <c:formatCode>General</c:formatCode>
                <c:ptCount val="53"/>
                <c:pt idx="50" formatCode="#,##0">
                  <c:v>6399.6666002993352</c:v>
                </c:pt>
                <c:pt idx="51" formatCode="#,##0">
                  <c:v>4799.7499502245018</c:v>
                </c:pt>
                <c:pt idx="52" formatCode="#,##0">
                  <c:v>3199.8333001496676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C021-4458-B844-7F777BBD25A2}"/>
            </c:ext>
          </c:extLst>
        </c:ser>
        <c:ser>
          <c:idx val="12"/>
          <c:order val="12"/>
          <c:tx>
            <c:v>Мидостаурин</c:v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Sheet1!$V$3:$V$55</c:f>
              <c:numCache>
                <c:formatCode>General</c:formatCode>
                <c:ptCount val="53"/>
                <c:pt idx="2" formatCode="#,##0">
                  <c:v>1757024.3877551018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021-4458-B844-7F777BBD25A2}"/>
            </c:ext>
          </c:extLst>
        </c:ser>
        <c:ser>
          <c:idx val="13"/>
          <c:order val="13"/>
          <c:tx>
            <c:v>Нилотиниб</c:v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Sheet1!$W$3:$W$55</c:f>
              <c:numCache>
                <c:formatCode>General</c:formatCode>
                <c:ptCount val="53"/>
                <c:pt idx="39" formatCode="#,##0">
                  <c:v>174337.04933333336</c:v>
                </c:pt>
                <c:pt idx="42" formatCode="#,##0">
                  <c:v>130752.78700000003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021-4458-B844-7F777BBD25A2}"/>
            </c:ext>
          </c:extLst>
        </c:ser>
        <c:ser>
          <c:idx val="14"/>
          <c:order val="14"/>
          <c:tx>
            <c:v>Темсиролимус</c:v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Sheet1!$X$3:$X$55</c:f>
              <c:numCache>
                <c:formatCode>General</c:formatCode>
                <c:ptCount val="53"/>
                <c:pt idx="23" formatCode="#,##0">
                  <c:v>383684.11380347738</c:v>
                </c:pt>
                <c:pt idx="38" formatCode="#,##0">
                  <c:v>191842.05690173869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C021-4458-B844-7F777BBD2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7643392"/>
        <c:axId val="213552512"/>
      </c:barChart>
      <c:catAx>
        <c:axId val="14764339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Схемы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213552512"/>
        <c:crosses val="autoZero"/>
        <c:auto val="1"/>
        <c:lblAlgn val="ctr"/>
        <c:lblOffset val="100"/>
        <c:noMultiLvlLbl val="0"/>
      </c:catAx>
      <c:valAx>
        <c:axId val="213552512"/>
        <c:scaling>
          <c:orientation val="minMax"/>
          <c:max val="5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Стоимость схем, руб.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7643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Sheet1!$BJ$1</c:f>
              <c:strCache>
                <c:ptCount val="1"/>
                <c:pt idx="0">
                  <c:v>Случаи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Sheet1!$BI$2:$BI$12</c:f>
              <c:strCache>
                <c:ptCount val="11"/>
                <c:pt idx="0">
                  <c:v>&lt; 100</c:v>
                </c:pt>
                <c:pt idx="1">
                  <c:v>100 - 200</c:v>
                </c:pt>
                <c:pt idx="2">
                  <c:v>200 - 300</c:v>
                </c:pt>
                <c:pt idx="3">
                  <c:v>300 - 400</c:v>
                </c:pt>
                <c:pt idx="4">
                  <c:v>400 - 500</c:v>
                </c:pt>
                <c:pt idx="5">
                  <c:v>500 - 600</c:v>
                </c:pt>
                <c:pt idx="6">
                  <c:v>600 - 700</c:v>
                </c:pt>
                <c:pt idx="7">
                  <c:v>700 - 800</c:v>
                </c:pt>
                <c:pt idx="8">
                  <c:v>800 - 900</c:v>
                </c:pt>
                <c:pt idx="9">
                  <c:v>900 - 1000</c:v>
                </c:pt>
                <c:pt idx="10">
                  <c:v>&gt; 1 000</c:v>
                </c:pt>
              </c:strCache>
            </c:strRef>
          </c:cat>
          <c:val>
            <c:numRef>
              <c:f>Sheet1!$BJ$2:$BJ$12</c:f>
              <c:numCache>
                <c:formatCode>General</c:formatCode>
                <c:ptCount val="11"/>
                <c:pt idx="0">
                  <c:v>11431</c:v>
                </c:pt>
                <c:pt idx="1">
                  <c:v>1136</c:v>
                </c:pt>
                <c:pt idx="2">
                  <c:v>2821</c:v>
                </c:pt>
                <c:pt idx="3">
                  <c:v>1180</c:v>
                </c:pt>
                <c:pt idx="4">
                  <c:v>587</c:v>
                </c:pt>
                <c:pt idx="5">
                  <c:v>54</c:v>
                </c:pt>
                <c:pt idx="6">
                  <c:v>549</c:v>
                </c:pt>
                <c:pt idx="7">
                  <c:v>47</c:v>
                </c:pt>
                <c:pt idx="8">
                  <c:v>62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46-4379-8FEA-70475E22F9F1}"/>
            </c:ext>
          </c:extLst>
        </c:ser>
        <c:ser>
          <c:idx val="1"/>
          <c:order val="1"/>
          <c:tx>
            <c:strRef>
              <c:f>Sheet1!$BK$1</c:f>
              <c:strCache>
                <c:ptCount val="1"/>
                <c:pt idx="0">
                  <c:v>Всего случаи (с учетом дефицита)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Sheet1!$BI$2:$BI$12</c:f>
              <c:strCache>
                <c:ptCount val="11"/>
                <c:pt idx="0">
                  <c:v>&lt; 100</c:v>
                </c:pt>
                <c:pt idx="1">
                  <c:v>100 - 200</c:v>
                </c:pt>
                <c:pt idx="2">
                  <c:v>200 - 300</c:v>
                </c:pt>
                <c:pt idx="3">
                  <c:v>300 - 400</c:v>
                </c:pt>
                <c:pt idx="4">
                  <c:v>400 - 500</c:v>
                </c:pt>
                <c:pt idx="5">
                  <c:v>500 - 600</c:v>
                </c:pt>
                <c:pt idx="6">
                  <c:v>600 - 700</c:v>
                </c:pt>
                <c:pt idx="7">
                  <c:v>700 - 800</c:v>
                </c:pt>
                <c:pt idx="8">
                  <c:v>800 - 900</c:v>
                </c:pt>
                <c:pt idx="9">
                  <c:v>900 - 1000</c:v>
                </c:pt>
                <c:pt idx="10">
                  <c:v>&gt; 1 000</c:v>
                </c:pt>
              </c:strCache>
            </c:strRef>
          </c:cat>
          <c:val>
            <c:numRef>
              <c:f>Sheet1!$BK$2:$BK$12</c:f>
              <c:numCache>
                <c:formatCode>General</c:formatCode>
                <c:ptCount val="11"/>
                <c:pt idx="0">
                  <c:v>13067</c:v>
                </c:pt>
                <c:pt idx="1">
                  <c:v>1330</c:v>
                </c:pt>
                <c:pt idx="2">
                  <c:v>7733</c:v>
                </c:pt>
                <c:pt idx="3">
                  <c:v>1685</c:v>
                </c:pt>
                <c:pt idx="4">
                  <c:v>1426</c:v>
                </c:pt>
                <c:pt idx="5">
                  <c:v>474</c:v>
                </c:pt>
                <c:pt idx="6">
                  <c:v>1355</c:v>
                </c:pt>
                <c:pt idx="7">
                  <c:v>176</c:v>
                </c:pt>
                <c:pt idx="8">
                  <c:v>207</c:v>
                </c:pt>
                <c:pt idx="9">
                  <c:v>297</c:v>
                </c:pt>
                <c:pt idx="10">
                  <c:v>550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46-4379-8FEA-70475E22F9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643904"/>
        <c:axId val="167706624"/>
      </c:barChart>
      <c:catAx>
        <c:axId val="147643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Стоимость 1 цикла, тыс. руб.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06624"/>
        <c:crosses val="autoZero"/>
        <c:auto val="1"/>
        <c:lblAlgn val="ctr"/>
        <c:lblOffset val="100"/>
        <c:noMultiLvlLbl val="0"/>
      </c:catAx>
      <c:valAx>
        <c:axId val="16770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Число случаев, шт.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764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Sheet1!$BL$1</c:f>
              <c:strCache>
                <c:ptCount val="1"/>
                <c:pt idx="0">
                  <c:v>Дефицит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Sheet1!$BI$2:$BI$12</c:f>
              <c:strCache>
                <c:ptCount val="11"/>
                <c:pt idx="0">
                  <c:v>&lt; 100</c:v>
                </c:pt>
                <c:pt idx="1">
                  <c:v>100 - 200</c:v>
                </c:pt>
                <c:pt idx="2">
                  <c:v>200 - 300</c:v>
                </c:pt>
                <c:pt idx="3">
                  <c:v>300 - 400</c:v>
                </c:pt>
                <c:pt idx="4">
                  <c:v>400 - 500</c:v>
                </c:pt>
                <c:pt idx="5">
                  <c:v>500 - 600</c:v>
                </c:pt>
                <c:pt idx="6">
                  <c:v>600 - 700</c:v>
                </c:pt>
                <c:pt idx="7">
                  <c:v>700 - 800</c:v>
                </c:pt>
                <c:pt idx="8">
                  <c:v>800 - 900</c:v>
                </c:pt>
                <c:pt idx="9">
                  <c:v>900 - 1000</c:v>
                </c:pt>
                <c:pt idx="10">
                  <c:v>&gt; 1 000</c:v>
                </c:pt>
              </c:strCache>
            </c:strRef>
          </c:cat>
          <c:val>
            <c:numRef>
              <c:f>Sheet1!$BL$2:$BL$12</c:f>
              <c:numCache>
                <c:formatCode>General</c:formatCode>
                <c:ptCount val="11"/>
                <c:pt idx="0">
                  <c:v>1636</c:v>
                </c:pt>
                <c:pt idx="1">
                  <c:v>194</c:v>
                </c:pt>
                <c:pt idx="2">
                  <c:v>4912</c:v>
                </c:pt>
                <c:pt idx="3">
                  <c:v>505</c:v>
                </c:pt>
                <c:pt idx="4">
                  <c:v>839</c:v>
                </c:pt>
                <c:pt idx="5">
                  <c:v>420</c:v>
                </c:pt>
                <c:pt idx="6">
                  <c:v>806</c:v>
                </c:pt>
                <c:pt idx="7">
                  <c:v>129</c:v>
                </c:pt>
                <c:pt idx="8">
                  <c:v>145</c:v>
                </c:pt>
                <c:pt idx="9">
                  <c:v>297</c:v>
                </c:pt>
                <c:pt idx="10">
                  <c:v>550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F9-4317-83D6-59D467BC0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631104"/>
        <c:axId val="167707776"/>
      </c:barChart>
      <c:catAx>
        <c:axId val="147631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Стоимость 1 цикла, тыс.</a:t>
                </a:r>
                <a:r>
                  <a:rPr lang="ru-RU" baseline="0"/>
                  <a:t> </a:t>
                </a:r>
                <a:r>
                  <a:rPr lang="ru-RU"/>
                  <a:t>руб.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07776"/>
        <c:crosses val="autoZero"/>
        <c:auto val="1"/>
        <c:lblAlgn val="ctr"/>
        <c:lblOffset val="100"/>
        <c:noMultiLvlLbl val="0"/>
      </c:catAx>
      <c:valAx>
        <c:axId val="16770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Число случаев, шт.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763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ДС уровень 2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Регионы_сравнение!$AB$4:$AB$88</c:f>
              <c:strCache>
                <c:ptCount val="85"/>
                <c:pt idx="0">
                  <c:v>Белгородская область</c:v>
                </c:pt>
                <c:pt idx="1">
                  <c:v>Брянская область</c:v>
                </c:pt>
                <c:pt idx="2">
                  <c:v>Владимирская область</c:v>
                </c:pt>
                <c:pt idx="3">
                  <c:v>Воронежская область</c:v>
                </c:pt>
                <c:pt idx="4">
                  <c:v>Ивановская область</c:v>
                </c:pt>
                <c:pt idx="5">
                  <c:v>Калужская область</c:v>
                </c:pt>
                <c:pt idx="6">
                  <c:v>Костромская область</c:v>
                </c:pt>
                <c:pt idx="7">
                  <c:v>Курская область</c:v>
                </c:pt>
                <c:pt idx="8">
                  <c:v>Липецкая область</c:v>
                </c:pt>
                <c:pt idx="9">
                  <c:v>Орловская область</c:v>
                </c:pt>
                <c:pt idx="10">
                  <c:v>Рязанская область</c:v>
                </c:pt>
                <c:pt idx="11">
                  <c:v>Смоленская область</c:v>
                </c:pt>
                <c:pt idx="12">
                  <c:v>Тамбовская область</c:v>
                </c:pt>
                <c:pt idx="13">
                  <c:v>Тверская область</c:v>
                </c:pt>
                <c:pt idx="14">
                  <c:v>Тульская область</c:v>
                </c:pt>
                <c:pt idx="15">
                  <c:v>Ярославская область</c:v>
                </c:pt>
                <c:pt idx="16">
                  <c:v>Калининградская область</c:v>
                </c:pt>
                <c:pt idx="17">
                  <c:v>Псковская область</c:v>
                </c:pt>
                <c:pt idx="18">
                  <c:v>Республика Адыгея</c:v>
                </c:pt>
                <c:pt idx="19">
                  <c:v>Республика Крым</c:v>
                </c:pt>
                <c:pt idx="20">
                  <c:v>Краснодарский край</c:v>
                </c:pt>
                <c:pt idx="21">
                  <c:v>Астраханская область</c:v>
                </c:pt>
                <c:pt idx="22">
                  <c:v>Волгоградская область</c:v>
                </c:pt>
                <c:pt idx="23">
                  <c:v>г. Севастополь</c:v>
                </c:pt>
                <c:pt idx="24">
                  <c:v>Республика Ингушетия</c:v>
                </c:pt>
                <c:pt idx="25">
                  <c:v>Кабардино-Балкарская Республика</c:v>
                </c:pt>
                <c:pt idx="26">
                  <c:v>Чеченская Республика</c:v>
                </c:pt>
                <c:pt idx="27">
                  <c:v>Республика Марий Эл</c:v>
                </c:pt>
                <c:pt idx="28">
                  <c:v>Республика Мордовия</c:v>
                </c:pt>
                <c:pt idx="29">
                  <c:v>Республика Татарстан</c:v>
                </c:pt>
                <c:pt idx="30">
                  <c:v>Чувашская Республика</c:v>
                </c:pt>
                <c:pt idx="31">
                  <c:v>Самарская область</c:v>
                </c:pt>
                <c:pt idx="32">
                  <c:v>Ульяновская область</c:v>
                </c:pt>
                <c:pt idx="33">
                  <c:v>Ростовская область</c:v>
                </c:pt>
                <c:pt idx="34">
                  <c:v>Саратовская область</c:v>
                </c:pt>
                <c:pt idx="35">
                  <c:v>Ленинградская область</c:v>
                </c:pt>
                <c:pt idx="36">
                  <c:v>Ставропольский край</c:v>
                </c:pt>
                <c:pt idx="37">
                  <c:v>Нижегородская область</c:v>
                </c:pt>
                <c:pt idx="38">
                  <c:v>Республика Дагестан</c:v>
                </c:pt>
                <c:pt idx="39">
                  <c:v>Пензенская область</c:v>
                </c:pt>
                <c:pt idx="40">
                  <c:v>Новгородская область</c:v>
                </c:pt>
                <c:pt idx="41">
                  <c:v>Республика Северная Осетия-Алания</c:v>
                </c:pt>
                <c:pt idx="42">
                  <c:v>Карачаево-Черкесская Республика</c:v>
                </c:pt>
                <c:pt idx="43">
                  <c:v>Республика Калмыкия</c:v>
                </c:pt>
                <c:pt idx="44">
                  <c:v>Кировская область</c:v>
                </c:pt>
                <c:pt idx="45">
                  <c:v>Удмуртская Республика</c:v>
                </c:pt>
                <c:pt idx="46">
                  <c:v>Оренбургская область</c:v>
                </c:pt>
                <c:pt idx="47">
                  <c:v>Курганская область</c:v>
                </c:pt>
                <c:pt idx="48">
                  <c:v>Омская область</c:v>
                </c:pt>
                <c:pt idx="49">
                  <c:v>Республика Башкортостан</c:v>
                </c:pt>
                <c:pt idx="50">
                  <c:v>Пермский край</c:v>
                </c:pt>
                <c:pt idx="51">
                  <c:v>Свердловская область</c:v>
                </c:pt>
                <c:pt idx="52">
                  <c:v>Челябинская область</c:v>
                </c:pt>
                <c:pt idx="53">
                  <c:v>Тюменская область</c:v>
                </c:pt>
                <c:pt idx="54">
                  <c:v>Вологодская область</c:v>
                </c:pt>
                <c:pt idx="55">
                  <c:v>Московская область</c:v>
                </c:pt>
                <c:pt idx="56">
                  <c:v>Новосибирская область</c:v>
                </c:pt>
                <c:pt idx="57">
                  <c:v>Алтайский край</c:v>
                </c:pt>
                <c:pt idx="58">
                  <c:v>Кемеровская область</c:v>
                </c:pt>
                <c:pt idx="59">
                  <c:v>г. Санкт-Петербург</c:v>
                </c:pt>
                <c:pt idx="60">
                  <c:v>Байконур</c:v>
                </c:pt>
                <c:pt idx="61">
                  <c:v>Забайкальский край</c:v>
                </c:pt>
                <c:pt idx="62">
                  <c:v>Томская область</c:v>
                </c:pt>
                <c:pt idx="63">
                  <c:v>Приморский край</c:v>
                </c:pt>
                <c:pt idx="64">
                  <c:v>Иркутская область</c:v>
                </c:pt>
                <c:pt idx="65">
                  <c:v>Республика Хакасия</c:v>
                </c:pt>
                <c:pt idx="66">
                  <c:v>Республика Бурятия</c:v>
                </c:pt>
                <c:pt idx="67">
                  <c:v>Амурская область</c:v>
                </c:pt>
                <c:pt idx="68">
                  <c:v>Еврейская автономная область</c:v>
                </c:pt>
                <c:pt idx="69">
                  <c:v>Красноярский край</c:v>
                </c:pt>
                <c:pt idx="70">
                  <c:v>Республика Карелия</c:v>
                </c:pt>
                <c:pt idx="71">
                  <c:v>Хабаровский край</c:v>
                </c:pt>
                <c:pt idx="72">
                  <c:v>Архангельская область</c:v>
                </c:pt>
                <c:pt idx="73">
                  <c:v>г. Москва*</c:v>
                </c:pt>
                <c:pt idx="74">
                  <c:v>Республика Коми</c:v>
                </c:pt>
                <c:pt idx="75">
                  <c:v>Республика Алтай</c:v>
                </c:pt>
                <c:pt idx="76">
                  <c:v>Республика Тыва</c:v>
                </c:pt>
                <c:pt idx="77">
                  <c:v>Ханты-Мансийский автономный округ - Югра</c:v>
                </c:pt>
                <c:pt idx="78">
                  <c:v>Сахалинская область</c:v>
                </c:pt>
                <c:pt idx="79">
                  <c:v>Мурманская область</c:v>
                </c:pt>
                <c:pt idx="80">
                  <c:v>Ямало-Ненецкий автономный округ</c:v>
                </c:pt>
                <c:pt idx="81">
                  <c:v>Республика Саха (Якутия)</c:v>
                </c:pt>
                <c:pt idx="82">
                  <c:v>Ненецкий автономный округ</c:v>
                </c:pt>
                <c:pt idx="83">
                  <c:v>Камчатский край</c:v>
                </c:pt>
                <c:pt idx="84">
                  <c:v>Магаданская область</c:v>
                </c:pt>
              </c:strCache>
            </c:strRef>
          </c:cat>
          <c:val>
            <c:numRef>
              <c:f>Регионы_сравнение!$AD$4:$AD$88</c:f>
              <c:numCache>
                <c:formatCode>#,##0</c:formatCode>
                <c:ptCount val="85"/>
                <c:pt idx="0">
                  <c:v>16460.21139710943</c:v>
                </c:pt>
                <c:pt idx="1">
                  <c:v>12866.912875197471</c:v>
                </c:pt>
                <c:pt idx="2">
                  <c:v>11975.442219589258</c:v>
                </c:pt>
                <c:pt idx="3">
                  <c:v>12177.131663405089</c:v>
                </c:pt>
                <c:pt idx="4">
                  <c:v>13823.809115566039</c:v>
                </c:pt>
                <c:pt idx="5">
                  <c:v>12626.928591975777</c:v>
                </c:pt>
                <c:pt idx="6">
                  <c:v>12293.185577889448</c:v>
                </c:pt>
                <c:pt idx="7">
                  <c:v>12569.63834191555</c:v>
                </c:pt>
                <c:pt idx="8">
                  <c:v>16987.035958199358</c:v>
                </c:pt>
                <c:pt idx="9">
                  <c:v>15434.812026817948</c:v>
                </c:pt>
                <c:pt idx="10">
                  <c:v>18772.514815436243</c:v>
                </c:pt>
                <c:pt idx="11">
                  <c:v>12308.454221388369</c:v>
                </c:pt>
                <c:pt idx="12">
                  <c:v>14713.3705210643</c:v>
                </c:pt>
                <c:pt idx="13">
                  <c:v>13375.679755011137</c:v>
                </c:pt>
                <c:pt idx="14">
                  <c:v>14960.728321678322</c:v>
                </c:pt>
                <c:pt idx="15">
                  <c:v>13569.756427221173</c:v>
                </c:pt>
                <c:pt idx="16">
                  <c:v>12270.748873239436</c:v>
                </c:pt>
                <c:pt idx="17">
                  <c:v>14999.945454545454</c:v>
                </c:pt>
                <c:pt idx="18">
                  <c:v>19497.372829457367</c:v>
                </c:pt>
                <c:pt idx="19">
                  <c:v>15777.78852216749</c:v>
                </c:pt>
                <c:pt idx="20">
                  <c:v>14076.42</c:v>
                </c:pt>
                <c:pt idx="21">
                  <c:v>15832.035570698468</c:v>
                </c:pt>
                <c:pt idx="22">
                  <c:v>12256.371419053965</c:v>
                </c:pt>
                <c:pt idx="23">
                  <c:v>16156.114812252967</c:v>
                </c:pt>
                <c:pt idx="24">
                  <c:v>32636.913636363639</c:v>
                </c:pt>
                <c:pt idx="25">
                  <c:v>19986.223915592029</c:v>
                </c:pt>
                <c:pt idx="26">
                  <c:v>18580.846332574034</c:v>
                </c:pt>
                <c:pt idx="27">
                  <c:v>14293.617817028986</c:v>
                </c:pt>
                <c:pt idx="28">
                  <c:v>19220.497972440946</c:v>
                </c:pt>
                <c:pt idx="29">
                  <c:v>18187.750657276993</c:v>
                </c:pt>
                <c:pt idx="30">
                  <c:v>13569.35844660194</c:v>
                </c:pt>
                <c:pt idx="31">
                  <c:v>17056.181274820145</c:v>
                </c:pt>
                <c:pt idx="32">
                  <c:v>16704.90929602888</c:v>
                </c:pt>
                <c:pt idx="33">
                  <c:v>16227.918932988739</c:v>
                </c:pt>
                <c:pt idx="34">
                  <c:v>14966.751877671821</c:v>
                </c:pt>
                <c:pt idx="35">
                  <c:v>17774.280904198062</c:v>
                </c:pt>
                <c:pt idx="36">
                  <c:v>11574.268550034038</c:v>
                </c:pt>
                <c:pt idx="37">
                  <c:v>11790.225000784807</c:v>
                </c:pt>
                <c:pt idx="38">
                  <c:v>18820.226424148608</c:v>
                </c:pt>
                <c:pt idx="39">
                  <c:v>12917.529921428573</c:v>
                </c:pt>
                <c:pt idx="40">
                  <c:v>30917.381818181821</c:v>
                </c:pt>
                <c:pt idx="41">
                  <c:v>13665.928664596275</c:v>
                </c:pt>
                <c:pt idx="42">
                  <c:v>12584.079999999998</c:v>
                </c:pt>
                <c:pt idx="43">
                  <c:v>13487.553373493976</c:v>
                </c:pt>
                <c:pt idx="44">
                  <c:v>13957.517594936709</c:v>
                </c:pt>
                <c:pt idx="45">
                  <c:v>16867.219153543305</c:v>
                </c:pt>
                <c:pt idx="46">
                  <c:v>13414.498573997944</c:v>
                </c:pt>
                <c:pt idx="47">
                  <c:v>14887.765163204747</c:v>
                </c:pt>
                <c:pt idx="48">
                  <c:v>13540.64</c:v>
                </c:pt>
                <c:pt idx="49">
                  <c:v>17520.955373472952</c:v>
                </c:pt>
                <c:pt idx="50">
                  <c:v>15564.715622654385</c:v>
                </c:pt>
                <c:pt idx="51">
                  <c:v>12966.240626667814</c:v>
                </c:pt>
                <c:pt idx="52">
                  <c:v>16057.156719254896</c:v>
                </c:pt>
                <c:pt idx="53">
                  <c:v>12007.354922168546</c:v>
                </c:pt>
                <c:pt idx="54">
                  <c:v>13931.733445692884</c:v>
                </c:pt>
                <c:pt idx="55">
                  <c:v>13111.854664268587</c:v>
                </c:pt>
                <c:pt idx="56">
                  <c:v>18930.215529648824</c:v>
                </c:pt>
                <c:pt idx="57">
                  <c:v>15371.892027334852</c:v>
                </c:pt>
                <c:pt idx="58">
                  <c:v>15631.340289948454</c:v>
                </c:pt>
                <c:pt idx="59">
                  <c:v>16220.31887431163</c:v>
                </c:pt>
                <c:pt idx="60">
                  <c:v>0</c:v>
                </c:pt>
                <c:pt idx="61">
                  <c:v>20049.989500446027</c:v>
                </c:pt>
                <c:pt idx="62">
                  <c:v>20955.233154417838</c:v>
                </c:pt>
                <c:pt idx="63">
                  <c:v>19069.258397660822</c:v>
                </c:pt>
                <c:pt idx="64">
                  <c:v>18426.65283266129</c:v>
                </c:pt>
                <c:pt idx="65">
                  <c:v>20311.603209876543</c:v>
                </c:pt>
                <c:pt idx="66">
                  <c:v>15690.788905529955</c:v>
                </c:pt>
                <c:pt idx="67">
                  <c:v>17395.336445623343</c:v>
                </c:pt>
                <c:pt idx="68">
                  <c:v>20221.180375939854</c:v>
                </c:pt>
                <c:pt idx="69">
                  <c:v>16849.347496542188</c:v>
                </c:pt>
                <c:pt idx="70">
                  <c:v>18522.560951760101</c:v>
                </c:pt>
                <c:pt idx="71">
                  <c:v>20790.893543307084</c:v>
                </c:pt>
                <c:pt idx="72">
                  <c:v>19174.441499999997</c:v>
                </c:pt>
                <c:pt idx="73">
                  <c:v>28389.671628837656</c:v>
                </c:pt>
                <c:pt idx="74">
                  <c:v>21718.967743902438</c:v>
                </c:pt>
                <c:pt idx="75">
                  <c:v>24731.848402061853</c:v>
                </c:pt>
                <c:pt idx="76">
                  <c:v>22764.535376344087</c:v>
                </c:pt>
                <c:pt idx="77">
                  <c:v>23460.134484507042</c:v>
                </c:pt>
                <c:pt idx="78">
                  <c:v>38873.109848484848</c:v>
                </c:pt>
                <c:pt idx="79">
                  <c:v>28240.828397976391</c:v>
                </c:pt>
                <c:pt idx="80">
                  <c:v>39094.608695652169</c:v>
                </c:pt>
                <c:pt idx="81">
                  <c:v>41257.262626886142</c:v>
                </c:pt>
                <c:pt idx="82">
                  <c:v>44059.487234042557</c:v>
                </c:pt>
                <c:pt idx="83">
                  <c:v>32350.54</c:v>
                </c:pt>
                <c:pt idx="84">
                  <c:v>49598.991060606058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04-4B23-85AA-7BC5EF24D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640320"/>
        <c:axId val="167709504"/>
      </c:barChart>
      <c:catAx>
        <c:axId val="14764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09504"/>
        <c:crosses val="autoZero"/>
        <c:auto val="1"/>
        <c:lblAlgn val="ctr"/>
        <c:lblOffset val="100"/>
        <c:noMultiLvlLbl val="0"/>
      </c:catAx>
      <c:valAx>
        <c:axId val="167709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764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ДС уровень 6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Регионы_сравнение!$AB$4:$AB$88</c:f>
              <c:strCache>
                <c:ptCount val="85"/>
                <c:pt idx="0">
                  <c:v>Белгородская область</c:v>
                </c:pt>
                <c:pt idx="1">
                  <c:v>Брянская область</c:v>
                </c:pt>
                <c:pt idx="2">
                  <c:v>Владимирская область</c:v>
                </c:pt>
                <c:pt idx="3">
                  <c:v>Воронежская область</c:v>
                </c:pt>
                <c:pt idx="4">
                  <c:v>Ивановская область</c:v>
                </c:pt>
                <c:pt idx="5">
                  <c:v>Калужская область</c:v>
                </c:pt>
                <c:pt idx="6">
                  <c:v>Костромская область</c:v>
                </c:pt>
                <c:pt idx="7">
                  <c:v>Курская область</c:v>
                </c:pt>
                <c:pt idx="8">
                  <c:v>Липецкая область</c:v>
                </c:pt>
                <c:pt idx="9">
                  <c:v>Орловская область</c:v>
                </c:pt>
                <c:pt idx="10">
                  <c:v>Рязанская область</c:v>
                </c:pt>
                <c:pt idx="11">
                  <c:v>Смоленская область</c:v>
                </c:pt>
                <c:pt idx="12">
                  <c:v>Тамбовская область</c:v>
                </c:pt>
                <c:pt idx="13">
                  <c:v>Тверская область</c:v>
                </c:pt>
                <c:pt idx="14">
                  <c:v>Тульская область</c:v>
                </c:pt>
                <c:pt idx="15">
                  <c:v>Ярославская область</c:v>
                </c:pt>
                <c:pt idx="16">
                  <c:v>Калининградская область</c:v>
                </c:pt>
                <c:pt idx="17">
                  <c:v>Псковская область</c:v>
                </c:pt>
                <c:pt idx="18">
                  <c:v>Республика Адыгея</c:v>
                </c:pt>
                <c:pt idx="19">
                  <c:v>Республика Крым</c:v>
                </c:pt>
                <c:pt idx="20">
                  <c:v>Краснодарский край</c:v>
                </c:pt>
                <c:pt idx="21">
                  <c:v>Астраханская область</c:v>
                </c:pt>
                <c:pt idx="22">
                  <c:v>Волгоградская область</c:v>
                </c:pt>
                <c:pt idx="23">
                  <c:v>г. Севастополь</c:v>
                </c:pt>
                <c:pt idx="24">
                  <c:v>Республика Ингушетия</c:v>
                </c:pt>
                <c:pt idx="25">
                  <c:v>Кабардино-Балкарская Республика</c:v>
                </c:pt>
                <c:pt idx="26">
                  <c:v>Чеченская Республика</c:v>
                </c:pt>
                <c:pt idx="27">
                  <c:v>Республика Марий Эл</c:v>
                </c:pt>
                <c:pt idx="28">
                  <c:v>Республика Мордовия</c:v>
                </c:pt>
                <c:pt idx="29">
                  <c:v>Республика Татарстан</c:v>
                </c:pt>
                <c:pt idx="30">
                  <c:v>Чувашская Республика</c:v>
                </c:pt>
                <c:pt idx="31">
                  <c:v>Самарская область</c:v>
                </c:pt>
                <c:pt idx="32">
                  <c:v>Ульяновская область</c:v>
                </c:pt>
                <c:pt idx="33">
                  <c:v>Ростовская область</c:v>
                </c:pt>
                <c:pt idx="34">
                  <c:v>Саратовская область</c:v>
                </c:pt>
                <c:pt idx="35">
                  <c:v>Ленинградская область</c:v>
                </c:pt>
                <c:pt idx="36">
                  <c:v>Ставропольский край</c:v>
                </c:pt>
                <c:pt idx="37">
                  <c:v>Нижегородская область</c:v>
                </c:pt>
                <c:pt idx="38">
                  <c:v>Республика Дагестан</c:v>
                </c:pt>
                <c:pt idx="39">
                  <c:v>Пензенская область</c:v>
                </c:pt>
                <c:pt idx="40">
                  <c:v>Новгородская область</c:v>
                </c:pt>
                <c:pt idx="41">
                  <c:v>Республика Северная Осетия-Алания</c:v>
                </c:pt>
                <c:pt idx="42">
                  <c:v>Карачаево-Черкесская Республика</c:v>
                </c:pt>
                <c:pt idx="43">
                  <c:v>Республика Калмыкия</c:v>
                </c:pt>
                <c:pt idx="44">
                  <c:v>Кировская область</c:v>
                </c:pt>
                <c:pt idx="45">
                  <c:v>Удмуртская Республика</c:v>
                </c:pt>
                <c:pt idx="46">
                  <c:v>Оренбургская область</c:v>
                </c:pt>
                <c:pt idx="47">
                  <c:v>Курганская область</c:v>
                </c:pt>
                <c:pt idx="48">
                  <c:v>Омская область</c:v>
                </c:pt>
                <c:pt idx="49">
                  <c:v>Республика Башкортостан</c:v>
                </c:pt>
                <c:pt idx="50">
                  <c:v>Пермский край</c:v>
                </c:pt>
                <c:pt idx="51">
                  <c:v>Свердловская область</c:v>
                </c:pt>
                <c:pt idx="52">
                  <c:v>Челябинская область</c:v>
                </c:pt>
                <c:pt idx="53">
                  <c:v>Тюменская область</c:v>
                </c:pt>
                <c:pt idx="54">
                  <c:v>Вологодская область</c:v>
                </c:pt>
                <c:pt idx="55">
                  <c:v>Московская область</c:v>
                </c:pt>
                <c:pt idx="56">
                  <c:v>Новосибирская область</c:v>
                </c:pt>
                <c:pt idx="57">
                  <c:v>Алтайский край</c:v>
                </c:pt>
                <c:pt idx="58">
                  <c:v>Кемеровская область</c:v>
                </c:pt>
                <c:pt idx="59">
                  <c:v>г. Санкт-Петербург</c:v>
                </c:pt>
                <c:pt idx="60">
                  <c:v>Байконур</c:v>
                </c:pt>
                <c:pt idx="61">
                  <c:v>Забайкальский край</c:v>
                </c:pt>
                <c:pt idx="62">
                  <c:v>Томская область</c:v>
                </c:pt>
                <c:pt idx="63">
                  <c:v>Приморский край</c:v>
                </c:pt>
                <c:pt idx="64">
                  <c:v>Иркутская область</c:v>
                </c:pt>
                <c:pt idx="65">
                  <c:v>Республика Хакасия</c:v>
                </c:pt>
                <c:pt idx="66">
                  <c:v>Республика Бурятия</c:v>
                </c:pt>
                <c:pt idx="67">
                  <c:v>Амурская область</c:v>
                </c:pt>
                <c:pt idx="68">
                  <c:v>Еврейская автономная область</c:v>
                </c:pt>
                <c:pt idx="69">
                  <c:v>Красноярский край</c:v>
                </c:pt>
                <c:pt idx="70">
                  <c:v>Республика Карелия</c:v>
                </c:pt>
                <c:pt idx="71">
                  <c:v>Хабаровский край</c:v>
                </c:pt>
                <c:pt idx="72">
                  <c:v>Архангельская область</c:v>
                </c:pt>
                <c:pt idx="73">
                  <c:v>г. Москва*</c:v>
                </c:pt>
                <c:pt idx="74">
                  <c:v>Республика Коми</c:v>
                </c:pt>
                <c:pt idx="75">
                  <c:v>Республика Алтай</c:v>
                </c:pt>
                <c:pt idx="76">
                  <c:v>Республика Тыва</c:v>
                </c:pt>
                <c:pt idx="77">
                  <c:v>Ханты-Мансийский автономный округ - Югра</c:v>
                </c:pt>
                <c:pt idx="78">
                  <c:v>Сахалинская область</c:v>
                </c:pt>
                <c:pt idx="79">
                  <c:v>Мурманская область</c:v>
                </c:pt>
                <c:pt idx="80">
                  <c:v>Ямало-Ненецкий автономный округ</c:v>
                </c:pt>
                <c:pt idx="81">
                  <c:v>Республика Саха (Якутия)</c:v>
                </c:pt>
                <c:pt idx="82">
                  <c:v>Ненецкий автономный округ</c:v>
                </c:pt>
                <c:pt idx="83">
                  <c:v>Камчатский край</c:v>
                </c:pt>
                <c:pt idx="84">
                  <c:v>Магаданская область</c:v>
                </c:pt>
              </c:strCache>
            </c:strRef>
          </c:cat>
          <c:val>
            <c:numRef>
              <c:f>Регионы_сравнение!$AE$4:$AE$88</c:f>
              <c:numCache>
                <c:formatCode>#,##0</c:formatCode>
                <c:ptCount val="85"/>
                <c:pt idx="0">
                  <c:v>90431.907767220895</c:v>
                </c:pt>
                <c:pt idx="1">
                  <c:v>89175.639503546103</c:v>
                </c:pt>
                <c:pt idx="2">
                  <c:v>74901.61532945736</c:v>
                </c:pt>
                <c:pt idx="3">
                  <c:v>82496.710121177151</c:v>
                </c:pt>
                <c:pt idx="4">
                  <c:v>87377.747677725129</c:v>
                </c:pt>
                <c:pt idx="5">
                  <c:v>83920.142443820223</c:v>
                </c:pt>
                <c:pt idx="6">
                  <c:v>81969.676528117358</c:v>
                </c:pt>
                <c:pt idx="7">
                  <c:v>84123.35</c:v>
                </c:pt>
                <c:pt idx="8">
                  <c:v>111695.79300791556</c:v>
                </c:pt>
                <c:pt idx="9">
                  <c:v>82972.500000000015</c:v>
                </c:pt>
                <c:pt idx="10">
                  <c:v>102526.52830396476</c:v>
                </c:pt>
                <c:pt idx="11">
                  <c:v>82181.766766467073</c:v>
                </c:pt>
                <c:pt idx="12">
                  <c:v>95846.540978021978</c:v>
                </c:pt>
                <c:pt idx="13">
                  <c:v>101772.0202918288</c:v>
                </c:pt>
                <c:pt idx="14">
                  <c:v>101599.98053007136</c:v>
                </c:pt>
                <c:pt idx="15">
                  <c:v>90751.364271047234</c:v>
                </c:pt>
                <c:pt idx="16">
                  <c:v>87919.057669376693</c:v>
                </c:pt>
                <c:pt idx="17">
                  <c:v>100066.96876325089</c:v>
                </c:pt>
                <c:pt idx="18">
                  <c:v>119173.27999999998</c:v>
                </c:pt>
                <c:pt idx="19">
                  <c:v>112254.84583987443</c:v>
                </c:pt>
                <c:pt idx="20">
                  <c:v>101919.04467005075</c:v>
                </c:pt>
                <c:pt idx="21">
                  <c:v>108931.94282843893</c:v>
                </c:pt>
                <c:pt idx="22">
                  <c:v>84674.665880966422</c:v>
                </c:pt>
                <c:pt idx="23">
                  <c:v>108533.09565836299</c:v>
                </c:pt>
                <c:pt idx="24">
                  <c:v>99303.217209302326</c:v>
                </c:pt>
                <c:pt idx="25">
                  <c:v>126791.82252559726</c:v>
                </c:pt>
                <c:pt idx="26">
                  <c:v>99827.285615550747</c:v>
                </c:pt>
                <c:pt idx="27">
                  <c:v>87884.882489082971</c:v>
                </c:pt>
                <c:pt idx="28">
                  <c:v>117125.33633093526</c:v>
                </c:pt>
                <c:pt idx="29">
                  <c:v>110190.31566951566</c:v>
                </c:pt>
                <c:pt idx="30">
                  <c:v>90628.831376975169</c:v>
                </c:pt>
                <c:pt idx="31">
                  <c:v>115479.61401954398</c:v>
                </c:pt>
                <c:pt idx="32">
                  <c:v>127947.30828306264</c:v>
                </c:pt>
                <c:pt idx="33">
                  <c:v>109822.25532041139</c:v>
                </c:pt>
                <c:pt idx="34">
                  <c:v>97502.18396984924</c:v>
                </c:pt>
                <c:pt idx="35">
                  <c:v>123617.61005361931</c:v>
                </c:pt>
                <c:pt idx="36">
                  <c:v>81585.933405541553</c:v>
                </c:pt>
                <c:pt idx="37">
                  <c:v>81805.300871127081</c:v>
                </c:pt>
                <c:pt idx="38">
                  <c:v>121599.3070846395</c:v>
                </c:pt>
                <c:pt idx="39">
                  <c:v>87154.771286089235</c:v>
                </c:pt>
                <c:pt idx="40">
                  <c:v>82619.416666666686</c:v>
                </c:pt>
                <c:pt idx="41">
                  <c:v>116591.71154791155</c:v>
                </c:pt>
                <c:pt idx="42">
                  <c:v>84170.85</c:v>
                </c:pt>
                <c:pt idx="43">
                  <c:v>91478.762749999994</c:v>
                </c:pt>
                <c:pt idx="44">
                  <c:v>92817.323791773772</c:v>
                </c:pt>
                <c:pt idx="45">
                  <c:v>104518.70352867832</c:v>
                </c:pt>
                <c:pt idx="46">
                  <c:v>88598.412105778654</c:v>
                </c:pt>
                <c:pt idx="47">
                  <c:v>104511.53217687075</c:v>
                </c:pt>
                <c:pt idx="48">
                  <c:v>90544.421126696834</c:v>
                </c:pt>
                <c:pt idx="49">
                  <c:v>111225.35322252374</c:v>
                </c:pt>
                <c:pt idx="50">
                  <c:v>104285.26591304348</c:v>
                </c:pt>
                <c:pt idx="51">
                  <c:v>95730.901561216102</c:v>
                </c:pt>
                <c:pt idx="52">
                  <c:v>106280.71669383596</c:v>
                </c:pt>
                <c:pt idx="53">
                  <c:v>80302.924417475719</c:v>
                </c:pt>
                <c:pt idx="54">
                  <c:v>93061.63162062614</c:v>
                </c:pt>
                <c:pt idx="55">
                  <c:v>87541.711125409449</c:v>
                </c:pt>
                <c:pt idx="56">
                  <c:v>128306.13816263511</c:v>
                </c:pt>
                <c:pt idx="57">
                  <c:v>105138.24867669174</c:v>
                </c:pt>
                <c:pt idx="58">
                  <c:v>99168.932368421054</c:v>
                </c:pt>
                <c:pt idx="59">
                  <c:v>110392.2931535869</c:v>
                </c:pt>
                <c:pt idx="60">
                  <c:v>0</c:v>
                </c:pt>
                <c:pt idx="61">
                  <c:v>131067.56526666666</c:v>
                </c:pt>
                <c:pt idx="62">
                  <c:v>117479.82270245679</c:v>
                </c:pt>
                <c:pt idx="63">
                  <c:v>126726.65929292928</c:v>
                </c:pt>
                <c:pt idx="64">
                  <c:v>126632.03374240584</c:v>
                </c:pt>
                <c:pt idx="65">
                  <c:v>193096.40792682927</c:v>
                </c:pt>
                <c:pt idx="66">
                  <c:v>103625.84913043478</c:v>
                </c:pt>
                <c:pt idx="67">
                  <c:v>116129.30923728814</c:v>
                </c:pt>
                <c:pt idx="68">
                  <c:v>131931.83775510202</c:v>
                </c:pt>
                <c:pt idx="69">
                  <c:v>117066.77868806307</c:v>
                </c:pt>
                <c:pt idx="70">
                  <c:v>111944.28532051282</c:v>
                </c:pt>
                <c:pt idx="71">
                  <c:v>138749.61796610171</c:v>
                </c:pt>
                <c:pt idx="72">
                  <c:v>112941.43932069509</c:v>
                </c:pt>
                <c:pt idx="73">
                  <c:v>60390.387749758454</c:v>
                </c:pt>
                <c:pt idx="74">
                  <c:v>146597.09718181819</c:v>
                </c:pt>
                <c:pt idx="75">
                  <c:v>168981.83409090911</c:v>
                </c:pt>
                <c:pt idx="76">
                  <c:v>149198.71122340424</c:v>
                </c:pt>
                <c:pt idx="77">
                  <c:v>162049.50459379615</c:v>
                </c:pt>
                <c:pt idx="78">
                  <c:v>253020.78929765886</c:v>
                </c:pt>
                <c:pt idx="79">
                  <c:v>187936.4</c:v>
                </c:pt>
                <c:pt idx="80">
                  <c:v>257801.98058252427</c:v>
                </c:pt>
                <c:pt idx="81">
                  <c:v>271411.85657097289</c:v>
                </c:pt>
                <c:pt idx="82">
                  <c:v>309141.22499999998</c:v>
                </c:pt>
                <c:pt idx="83">
                  <c:v>216676.39782608693</c:v>
                </c:pt>
                <c:pt idx="84">
                  <c:v>304788.91882352938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D0-4D50-957B-65331D4CD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334976"/>
        <c:axId val="167711232"/>
      </c:barChart>
      <c:catAx>
        <c:axId val="1663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11232"/>
        <c:crosses val="autoZero"/>
        <c:auto val="1"/>
        <c:lblAlgn val="ctr"/>
        <c:lblOffset val="100"/>
        <c:noMultiLvlLbl val="0"/>
      </c:catAx>
      <c:valAx>
        <c:axId val="16771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633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ДС уровень 9</a:t>
            </a:r>
            <a:endParaRPr lang="en-GB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Регионы_сравнение!$AB$4:$AB$88</c:f>
              <c:strCache>
                <c:ptCount val="85"/>
                <c:pt idx="0">
                  <c:v>Белгородская область</c:v>
                </c:pt>
                <c:pt idx="1">
                  <c:v>Брянская область</c:v>
                </c:pt>
                <c:pt idx="2">
                  <c:v>Владимирская область</c:v>
                </c:pt>
                <c:pt idx="3">
                  <c:v>Воронежская область</c:v>
                </c:pt>
                <c:pt idx="4">
                  <c:v>Ивановская область</c:v>
                </c:pt>
                <c:pt idx="5">
                  <c:v>Калужская область</c:v>
                </c:pt>
                <c:pt idx="6">
                  <c:v>Костромская область</c:v>
                </c:pt>
                <c:pt idx="7">
                  <c:v>Курская область</c:v>
                </c:pt>
                <c:pt idx="8">
                  <c:v>Липецкая область</c:v>
                </c:pt>
                <c:pt idx="9">
                  <c:v>Орловская область</c:v>
                </c:pt>
                <c:pt idx="10">
                  <c:v>Рязанская область</c:v>
                </c:pt>
                <c:pt idx="11">
                  <c:v>Смоленская область</c:v>
                </c:pt>
                <c:pt idx="12">
                  <c:v>Тамбовская область</c:v>
                </c:pt>
                <c:pt idx="13">
                  <c:v>Тверская область</c:v>
                </c:pt>
                <c:pt idx="14">
                  <c:v>Тульская область</c:v>
                </c:pt>
                <c:pt idx="15">
                  <c:v>Ярославская область</c:v>
                </c:pt>
                <c:pt idx="16">
                  <c:v>Калининградская область</c:v>
                </c:pt>
                <c:pt idx="17">
                  <c:v>Псковская область</c:v>
                </c:pt>
                <c:pt idx="18">
                  <c:v>Республика Адыгея</c:v>
                </c:pt>
                <c:pt idx="19">
                  <c:v>Республика Крым</c:v>
                </c:pt>
                <c:pt idx="20">
                  <c:v>Краснодарский край</c:v>
                </c:pt>
                <c:pt idx="21">
                  <c:v>Астраханская область</c:v>
                </c:pt>
                <c:pt idx="22">
                  <c:v>Волгоградская область</c:v>
                </c:pt>
                <c:pt idx="23">
                  <c:v>г. Севастополь</c:v>
                </c:pt>
                <c:pt idx="24">
                  <c:v>Республика Ингушетия</c:v>
                </c:pt>
                <c:pt idx="25">
                  <c:v>Кабардино-Балкарская Республика</c:v>
                </c:pt>
                <c:pt idx="26">
                  <c:v>Чеченская Республика</c:v>
                </c:pt>
                <c:pt idx="27">
                  <c:v>Республика Марий Эл</c:v>
                </c:pt>
                <c:pt idx="28">
                  <c:v>Республика Мордовия</c:v>
                </c:pt>
                <c:pt idx="29">
                  <c:v>Республика Татарстан</c:v>
                </c:pt>
                <c:pt idx="30">
                  <c:v>Чувашская Республика</c:v>
                </c:pt>
                <c:pt idx="31">
                  <c:v>Самарская область</c:v>
                </c:pt>
                <c:pt idx="32">
                  <c:v>Ульяновская область</c:v>
                </c:pt>
                <c:pt idx="33">
                  <c:v>Ростовская область</c:v>
                </c:pt>
                <c:pt idx="34">
                  <c:v>Саратовская область</c:v>
                </c:pt>
                <c:pt idx="35">
                  <c:v>Ленинградская область</c:v>
                </c:pt>
                <c:pt idx="36">
                  <c:v>Ставропольский край</c:v>
                </c:pt>
                <c:pt idx="37">
                  <c:v>Нижегородская область</c:v>
                </c:pt>
                <c:pt idx="38">
                  <c:v>Республика Дагестан</c:v>
                </c:pt>
                <c:pt idx="39">
                  <c:v>Пензенская область</c:v>
                </c:pt>
                <c:pt idx="40">
                  <c:v>Новгородская область</c:v>
                </c:pt>
                <c:pt idx="41">
                  <c:v>Республика Северная Осетия-Алания</c:v>
                </c:pt>
                <c:pt idx="42">
                  <c:v>Карачаево-Черкесская Республика</c:v>
                </c:pt>
                <c:pt idx="43">
                  <c:v>Республика Калмыкия</c:v>
                </c:pt>
                <c:pt idx="44">
                  <c:v>Кировская область</c:v>
                </c:pt>
                <c:pt idx="45">
                  <c:v>Удмуртская Республика</c:v>
                </c:pt>
                <c:pt idx="46">
                  <c:v>Оренбургская область</c:v>
                </c:pt>
                <c:pt idx="47">
                  <c:v>Курганская область</c:v>
                </c:pt>
                <c:pt idx="48">
                  <c:v>Омская область</c:v>
                </c:pt>
                <c:pt idx="49">
                  <c:v>Республика Башкортостан</c:v>
                </c:pt>
                <c:pt idx="50">
                  <c:v>Пермский край</c:v>
                </c:pt>
                <c:pt idx="51">
                  <c:v>Свердловская область</c:v>
                </c:pt>
                <c:pt idx="52">
                  <c:v>Челябинская область</c:v>
                </c:pt>
                <c:pt idx="53">
                  <c:v>Тюменская область</c:v>
                </c:pt>
                <c:pt idx="54">
                  <c:v>Вологодская область</c:v>
                </c:pt>
                <c:pt idx="55">
                  <c:v>Московская область</c:v>
                </c:pt>
                <c:pt idx="56">
                  <c:v>Новосибирская область</c:v>
                </c:pt>
                <c:pt idx="57">
                  <c:v>Алтайский край</c:v>
                </c:pt>
                <c:pt idx="58">
                  <c:v>Кемеровская область</c:v>
                </c:pt>
                <c:pt idx="59">
                  <c:v>г. Санкт-Петербург</c:v>
                </c:pt>
                <c:pt idx="60">
                  <c:v>Байконур</c:v>
                </c:pt>
                <c:pt idx="61">
                  <c:v>Забайкальский край</c:v>
                </c:pt>
                <c:pt idx="62">
                  <c:v>Томская область</c:v>
                </c:pt>
                <c:pt idx="63">
                  <c:v>Приморский край</c:v>
                </c:pt>
                <c:pt idx="64">
                  <c:v>Иркутская область</c:v>
                </c:pt>
                <c:pt idx="65">
                  <c:v>Республика Хакасия</c:v>
                </c:pt>
                <c:pt idx="66">
                  <c:v>Республика Бурятия</c:v>
                </c:pt>
                <c:pt idx="67">
                  <c:v>Амурская область</c:v>
                </c:pt>
                <c:pt idx="68">
                  <c:v>Еврейская автономная область</c:v>
                </c:pt>
                <c:pt idx="69">
                  <c:v>Красноярский край</c:v>
                </c:pt>
                <c:pt idx="70">
                  <c:v>Республика Карелия</c:v>
                </c:pt>
                <c:pt idx="71">
                  <c:v>Хабаровский край</c:v>
                </c:pt>
                <c:pt idx="72">
                  <c:v>Архангельская область</c:v>
                </c:pt>
                <c:pt idx="73">
                  <c:v>г. Москва*</c:v>
                </c:pt>
                <c:pt idx="74">
                  <c:v>Республика Коми</c:v>
                </c:pt>
                <c:pt idx="75">
                  <c:v>Республика Алтай</c:v>
                </c:pt>
                <c:pt idx="76">
                  <c:v>Республика Тыва</c:v>
                </c:pt>
                <c:pt idx="77">
                  <c:v>Ханты-Мансийский автономный округ - Югра</c:v>
                </c:pt>
                <c:pt idx="78">
                  <c:v>Сахалинская область</c:v>
                </c:pt>
                <c:pt idx="79">
                  <c:v>Мурманская область</c:v>
                </c:pt>
                <c:pt idx="80">
                  <c:v>Ямало-Ненецкий автономный округ</c:v>
                </c:pt>
                <c:pt idx="81">
                  <c:v>Республика Саха (Якутия)</c:v>
                </c:pt>
                <c:pt idx="82">
                  <c:v>Ненецкий автономный округ</c:v>
                </c:pt>
                <c:pt idx="83">
                  <c:v>Камчатский край</c:v>
                </c:pt>
                <c:pt idx="84">
                  <c:v>Магаданская область</c:v>
                </c:pt>
              </c:strCache>
            </c:strRef>
          </c:cat>
          <c:val>
            <c:numRef>
              <c:f>Регионы_сравнение!$AF$4:$AF$88</c:f>
              <c:numCache>
                <c:formatCode>#,##0</c:formatCode>
                <c:ptCount val="85"/>
                <c:pt idx="0">
                  <c:v>257514.43388174806</c:v>
                </c:pt>
                <c:pt idx="1">
                  <c:v>262365.05555555556</c:v>
                </c:pt>
                <c:pt idx="2">
                  <c:v>207396.56902439022</c:v>
                </c:pt>
                <c:pt idx="3">
                  <c:v>231580.73952930729</c:v>
                </c:pt>
                <c:pt idx="4">
                  <c:v>241923.86583877995</c:v>
                </c:pt>
                <c:pt idx="5">
                  <c:v>236427.08876712329</c:v>
                </c:pt>
                <c:pt idx="6">
                  <c:v>231543.16144144145</c:v>
                </c:pt>
                <c:pt idx="7">
                  <c:v>237420.05000000002</c:v>
                </c:pt>
                <c:pt idx="8">
                  <c:v>313012.02022099448</c:v>
                </c:pt>
                <c:pt idx="9">
                  <c:v>234172.02999999997</c:v>
                </c:pt>
                <c:pt idx="10">
                  <c:v>315107.43128289469</c:v>
                </c:pt>
                <c:pt idx="11">
                  <c:v>231309.6</c:v>
                </c:pt>
                <c:pt idx="12">
                  <c:v>256214.85513020831</c:v>
                </c:pt>
                <c:pt idx="13">
                  <c:v>286385.7863057325</c:v>
                </c:pt>
                <c:pt idx="14">
                  <c:v>230521.86999999997</c:v>
                </c:pt>
                <c:pt idx="15">
                  <c:v>251781.99717391303</c:v>
                </c:pt>
                <c:pt idx="16">
                  <c:v>220355.97339805827</c:v>
                </c:pt>
                <c:pt idx="17">
                  <c:v>279941.50080000004</c:v>
                </c:pt>
                <c:pt idx="18">
                  <c:v>325970.43766666669</c:v>
                </c:pt>
                <c:pt idx="19">
                  <c:v>309472.44314868806</c:v>
                </c:pt>
                <c:pt idx="20">
                  <c:v>287708.08754966885</c:v>
                </c:pt>
                <c:pt idx="21">
                  <c:v>307683.39976744185</c:v>
                </c:pt>
                <c:pt idx="22">
                  <c:v>230797.25400457665</c:v>
                </c:pt>
                <c:pt idx="23">
                  <c:v>296391.4433333333</c:v>
                </c:pt>
                <c:pt idx="24">
                  <c:v>276369.8175</c:v>
                </c:pt>
                <c:pt idx="25">
                  <c:v>382492.62500000006</c:v>
                </c:pt>
                <c:pt idx="26">
                  <c:v>280189.86295404815</c:v>
                </c:pt>
                <c:pt idx="27">
                  <c:v>237162.8814950166</c:v>
                </c:pt>
                <c:pt idx="28">
                  <c:v>330834.2884057971</c:v>
                </c:pt>
                <c:pt idx="29">
                  <c:v>312872.31542553188</c:v>
                </c:pt>
                <c:pt idx="30">
                  <c:v>301408.27323287667</c:v>
                </c:pt>
                <c:pt idx="31">
                  <c:v>387487.4064983165</c:v>
                </c:pt>
                <c:pt idx="32">
                  <c:v>367790.84642857144</c:v>
                </c:pt>
                <c:pt idx="33">
                  <c:v>313889.25069166126</c:v>
                </c:pt>
                <c:pt idx="34">
                  <c:v>310214.22553191485</c:v>
                </c:pt>
                <c:pt idx="35">
                  <c:v>349485.43488372094</c:v>
                </c:pt>
                <c:pt idx="36">
                  <c:v>262717.1328532974</c:v>
                </c:pt>
                <c:pt idx="37">
                  <c:v>226845.49182919442</c:v>
                </c:pt>
                <c:pt idx="38">
                  <c:v>338791.38194968551</c:v>
                </c:pt>
                <c:pt idx="39">
                  <c:v>267861.29619834712</c:v>
                </c:pt>
                <c:pt idx="40">
                  <c:v>233176.52380952382</c:v>
                </c:pt>
                <c:pt idx="41">
                  <c:v>265209.59322580649</c:v>
                </c:pt>
                <c:pt idx="42">
                  <c:v>237554.12000000002</c:v>
                </c:pt>
                <c:pt idx="43">
                  <c:v>254387.78333333333</c:v>
                </c:pt>
                <c:pt idx="44">
                  <c:v>262589.94188811188</c:v>
                </c:pt>
                <c:pt idx="45">
                  <c:v>293570.81157766987</c:v>
                </c:pt>
                <c:pt idx="46">
                  <c:v>247809.53749674055</c:v>
                </c:pt>
                <c:pt idx="47">
                  <c:v>285884.25481865287</c:v>
                </c:pt>
                <c:pt idx="48">
                  <c:v>254921.73376311842</c:v>
                </c:pt>
                <c:pt idx="49">
                  <c:v>366201.52999999997</c:v>
                </c:pt>
                <c:pt idx="50">
                  <c:v>301391.04022690433</c:v>
                </c:pt>
                <c:pt idx="51">
                  <c:v>303576.97135007853</c:v>
                </c:pt>
                <c:pt idx="52">
                  <c:v>298757.2541395349</c:v>
                </c:pt>
                <c:pt idx="53">
                  <c:v>229315.44340836012</c:v>
                </c:pt>
                <c:pt idx="54">
                  <c:v>264577.84416666668</c:v>
                </c:pt>
                <c:pt idx="55">
                  <c:v>250239.86323064769</c:v>
                </c:pt>
                <c:pt idx="56">
                  <c:v>368355.31853021978</c:v>
                </c:pt>
                <c:pt idx="57">
                  <c:v>297255.51054409007</c:v>
                </c:pt>
                <c:pt idx="58">
                  <c:v>278839.03299424186</c:v>
                </c:pt>
                <c:pt idx="59">
                  <c:v>326408.00948780484</c:v>
                </c:pt>
                <c:pt idx="60">
                  <c:v>0</c:v>
                </c:pt>
                <c:pt idx="61">
                  <c:v>367663.60762711865</c:v>
                </c:pt>
                <c:pt idx="62">
                  <c:v>336594.49010460248</c:v>
                </c:pt>
                <c:pt idx="63">
                  <c:v>379171.87749638211</c:v>
                </c:pt>
                <c:pt idx="64">
                  <c:v>367246.89590375591</c:v>
                </c:pt>
                <c:pt idx="65">
                  <c:v>470129.23116883117</c:v>
                </c:pt>
                <c:pt idx="66">
                  <c:v>293563.82179104473</c:v>
                </c:pt>
                <c:pt idx="67">
                  <c:v>326262.37840506324</c:v>
                </c:pt>
                <c:pt idx="68">
                  <c:v>385122.88142857142</c:v>
                </c:pt>
                <c:pt idx="69">
                  <c:v>322025.70639072848</c:v>
                </c:pt>
                <c:pt idx="70">
                  <c:v>280101.93278571428</c:v>
                </c:pt>
                <c:pt idx="71">
                  <c:v>417491.57480916026</c:v>
                </c:pt>
                <c:pt idx="72">
                  <c:v>333863.17648437503</c:v>
                </c:pt>
                <c:pt idx="73">
                  <c:v>241070.22867277885</c:v>
                </c:pt>
                <c:pt idx="74">
                  <c:v>419505.3568992248</c:v>
                </c:pt>
                <c:pt idx="75">
                  <c:v>513292.99410714279</c:v>
                </c:pt>
                <c:pt idx="76">
                  <c:v>424084.83091743127</c:v>
                </c:pt>
                <c:pt idx="77">
                  <c:v>579755.51625418058</c:v>
                </c:pt>
                <c:pt idx="78">
                  <c:v>649795.19597989949</c:v>
                </c:pt>
                <c:pt idx="79">
                  <c:v>530410.07000000007</c:v>
                </c:pt>
                <c:pt idx="80">
                  <c:v>632792.54516129033</c:v>
                </c:pt>
                <c:pt idx="81">
                  <c:v>770238.84643356642</c:v>
                </c:pt>
                <c:pt idx="82">
                  <c:v>855093.73</c:v>
                </c:pt>
                <c:pt idx="83">
                  <c:v>609385.50314960629</c:v>
                </c:pt>
                <c:pt idx="84">
                  <c:v>878044.58771428571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0B-45BB-86BD-338FDE962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315776"/>
        <c:axId val="167712960"/>
      </c:barChart>
      <c:catAx>
        <c:axId val="4231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7712960"/>
        <c:crosses val="autoZero"/>
        <c:auto val="1"/>
        <c:lblAlgn val="ctr"/>
        <c:lblOffset val="100"/>
        <c:noMultiLvlLbl val="0"/>
      </c:catAx>
      <c:valAx>
        <c:axId val="167712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231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5810</Words>
  <Characters>33117</Characters>
  <Application>Microsoft Office Word</Application>
  <DocSecurity>0</DocSecurity>
  <Lines>275</Lines>
  <Paragraphs>77</Paragraphs>
  <ScaleCrop>false</ScaleCrop>
  <Company/>
  <LinksUpToDate>false</LinksUpToDate>
  <CharactersWithSpaces>38850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Е.В.</dc:creator>
  <cp:lastModifiedBy>Наумова Е.В.</cp:lastModifiedBy>
  <cp:revision>1</cp:revision>
  <dcterms:created xsi:type="dcterms:W3CDTF">2021-11-12T06:59:00Z</dcterms:created>
  <dcterms:modified xsi:type="dcterms:W3CDTF">2021-11-12T07:00:00Z</dcterms:modified>
</cp:coreProperties>
</file>