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7" w:type="dxa"/>
        <w:tblInd w:w="142" w:type="dxa"/>
        <w:tblLayout w:type="fixed"/>
        <w:tblCellMar>
          <w:left w:w="0" w:type="dxa"/>
          <w:right w:w="0" w:type="dxa"/>
        </w:tblCellMar>
        <w:tblLook w:val="0000" w:firstRow="0" w:lastRow="0" w:firstColumn="0" w:lastColumn="0" w:noHBand="0" w:noVBand="0"/>
      </w:tblPr>
      <w:tblGrid>
        <w:gridCol w:w="4385"/>
        <w:gridCol w:w="1578"/>
        <w:gridCol w:w="3534"/>
      </w:tblGrid>
      <w:tr w:rsidR="000C6266" w:rsidTr="006776A9">
        <w:trPr>
          <w:cantSplit/>
        </w:trPr>
        <w:tc>
          <w:tcPr>
            <w:tcW w:w="4385" w:type="dxa"/>
            <w:shd w:val="clear" w:color="auto" w:fill="auto"/>
          </w:tcPr>
          <w:p w:rsidR="000C6266" w:rsidRPr="00DB02B2" w:rsidRDefault="000C6266" w:rsidP="006776A9">
            <w:pPr>
              <w:snapToGrid w:val="0"/>
              <w:ind w:left="284"/>
              <w:rPr>
                <w:sz w:val="28"/>
                <w:szCs w:val="28"/>
                <w:lang w:val="en-US"/>
              </w:rPr>
            </w:pPr>
            <w:bookmarkStart w:id="0" w:name="_GoBack"/>
            <w:bookmarkEnd w:id="0"/>
          </w:p>
        </w:tc>
        <w:tc>
          <w:tcPr>
            <w:tcW w:w="1578" w:type="dxa"/>
            <w:shd w:val="clear" w:color="auto" w:fill="auto"/>
          </w:tcPr>
          <w:p w:rsidR="000C6266" w:rsidRDefault="000C6266" w:rsidP="006776A9">
            <w:pPr>
              <w:snapToGrid w:val="0"/>
              <w:jc w:val="center"/>
              <w:rPr>
                <w:sz w:val="28"/>
                <w:szCs w:val="28"/>
              </w:rPr>
            </w:pPr>
          </w:p>
        </w:tc>
        <w:tc>
          <w:tcPr>
            <w:tcW w:w="3534" w:type="dxa"/>
            <w:shd w:val="clear" w:color="auto" w:fill="auto"/>
          </w:tcPr>
          <w:p w:rsidR="000C6266" w:rsidRPr="00A170A7" w:rsidRDefault="002260B8" w:rsidP="00A170A7">
            <w:pPr>
              <w:spacing w:line="240" w:lineRule="auto"/>
              <w:ind w:firstLine="1405"/>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Приложение № </w:t>
            </w:r>
            <w:r w:rsidR="00A170A7">
              <w:rPr>
                <w:rFonts w:ascii="Times New Roman" w:hAnsi="Times New Roman" w:cs="Times New Roman"/>
                <w:color w:val="000000"/>
                <w:sz w:val="27"/>
                <w:szCs w:val="27"/>
              </w:rPr>
              <w:t>7</w:t>
            </w:r>
            <w:r w:rsidR="000C6266" w:rsidRPr="000C6266">
              <w:rPr>
                <w:rFonts w:ascii="Times New Roman" w:hAnsi="Times New Roman" w:cs="Times New Roman"/>
                <w:color w:val="000000"/>
                <w:sz w:val="27"/>
                <w:szCs w:val="27"/>
              </w:rPr>
              <w:t xml:space="preserve"> отчету о результатах </w:t>
            </w:r>
            <w:r w:rsidR="00187A8C">
              <w:rPr>
                <w:rFonts w:ascii="Times New Roman" w:hAnsi="Times New Roman" w:cs="Times New Roman"/>
                <w:color w:val="000000"/>
                <w:sz w:val="27"/>
                <w:szCs w:val="27"/>
              </w:rPr>
              <w:t xml:space="preserve">контрольного </w:t>
            </w:r>
            <w:r w:rsidR="000C6266" w:rsidRPr="000C6266">
              <w:rPr>
                <w:rFonts w:ascii="Times New Roman" w:hAnsi="Times New Roman" w:cs="Times New Roman"/>
                <w:color w:val="000000"/>
                <w:sz w:val="27"/>
                <w:szCs w:val="27"/>
              </w:rPr>
              <w:t xml:space="preserve">мероприятия от «    » ________ 2023 г. № </w:t>
            </w:r>
          </w:p>
        </w:tc>
      </w:tr>
    </w:tbl>
    <w:p w:rsidR="000C6266" w:rsidRPr="00E46A56" w:rsidRDefault="000C6266" w:rsidP="00E46A56">
      <w:pPr>
        <w:jc w:val="right"/>
        <w:rPr>
          <w:rFonts w:ascii="Times New Roman" w:hAnsi="Times New Roman" w:cs="Times New Roman"/>
          <w:sz w:val="28"/>
          <w:szCs w:val="28"/>
        </w:rPr>
      </w:pPr>
    </w:p>
    <w:p w:rsidR="00E46A56" w:rsidRDefault="00E46A56" w:rsidP="00E46A56">
      <w:pPr>
        <w:jc w:val="both"/>
        <w:rPr>
          <w:rFonts w:ascii="Times New Roman" w:hAnsi="Times New Roman" w:cs="Times New Roman"/>
          <w:sz w:val="28"/>
          <w:szCs w:val="28"/>
        </w:rPr>
      </w:pPr>
      <w:r w:rsidRPr="00E46A56">
        <w:rPr>
          <w:rFonts w:ascii="Times New Roman" w:hAnsi="Times New Roman" w:cs="Times New Roman"/>
          <w:sz w:val="28"/>
          <w:szCs w:val="28"/>
        </w:rPr>
        <w:t>Анализ участия субъектов Российской Федерации, расположенных в сейсмических районах Российской Федерации, в мероприятиях по сейсмоуси</w:t>
      </w:r>
      <w:r w:rsidR="00D01FFD">
        <w:rPr>
          <w:rFonts w:ascii="Times New Roman" w:hAnsi="Times New Roman" w:cs="Times New Roman"/>
          <w:sz w:val="28"/>
          <w:szCs w:val="28"/>
        </w:rPr>
        <w:t>л</w:t>
      </w:r>
      <w:r w:rsidRPr="00E46A56">
        <w:rPr>
          <w:rFonts w:ascii="Times New Roman" w:hAnsi="Times New Roman" w:cs="Times New Roman"/>
          <w:sz w:val="28"/>
          <w:szCs w:val="28"/>
        </w:rPr>
        <w:t>ению объектов</w:t>
      </w:r>
    </w:p>
    <w:tbl>
      <w:tblPr>
        <w:tblW w:w="5000" w:type="pct"/>
        <w:tblLook w:val="04A0" w:firstRow="1" w:lastRow="0" w:firstColumn="1" w:lastColumn="0" w:noHBand="0" w:noVBand="1"/>
      </w:tblPr>
      <w:tblGrid>
        <w:gridCol w:w="694"/>
        <w:gridCol w:w="4548"/>
        <w:gridCol w:w="1134"/>
        <w:gridCol w:w="992"/>
        <w:gridCol w:w="992"/>
        <w:gridCol w:w="985"/>
      </w:tblGrid>
      <w:tr w:rsidR="00E46A56" w:rsidRPr="00E46A56" w:rsidTr="00E46A56">
        <w:tc>
          <w:tcPr>
            <w:tcW w:w="37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 п/п</w:t>
            </w:r>
          </w:p>
        </w:tc>
        <w:tc>
          <w:tcPr>
            <w:tcW w:w="24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Наименование субъекта Российской Федерации</w:t>
            </w:r>
          </w:p>
        </w:tc>
        <w:tc>
          <w:tcPr>
            <w:tcW w:w="2196" w:type="pct"/>
            <w:gridSpan w:val="4"/>
            <w:tcBorders>
              <w:top w:val="single" w:sz="4" w:space="0" w:color="auto"/>
              <w:left w:val="single" w:sz="4" w:space="0" w:color="auto"/>
              <w:bottom w:val="single" w:sz="4" w:space="0" w:color="000000"/>
              <w:right w:val="single" w:sz="4" w:space="0" w:color="auto"/>
            </w:tcBorders>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год</w:t>
            </w:r>
          </w:p>
        </w:tc>
      </w:tr>
      <w:tr w:rsidR="00E46A56" w:rsidRPr="00E46A56" w:rsidTr="00FA0306">
        <w:tc>
          <w:tcPr>
            <w:tcW w:w="371" w:type="pct"/>
            <w:vMerge/>
            <w:tcBorders>
              <w:top w:val="single" w:sz="4" w:space="0" w:color="auto"/>
              <w:left w:val="single" w:sz="4" w:space="0" w:color="auto"/>
              <w:bottom w:val="single" w:sz="4" w:space="0" w:color="000000"/>
              <w:right w:val="single" w:sz="4" w:space="0" w:color="auto"/>
            </w:tcBorders>
            <w:vAlign w:val="center"/>
            <w:hideMark/>
          </w:tcPr>
          <w:p w:rsidR="00E46A56" w:rsidRPr="00E46A56" w:rsidRDefault="00E46A56" w:rsidP="00E46A56">
            <w:pPr>
              <w:spacing w:after="0" w:line="240" w:lineRule="auto"/>
              <w:jc w:val="center"/>
              <w:rPr>
                <w:rFonts w:ascii="Times New Roman" w:hAnsi="Times New Roman" w:cs="Times New Roman"/>
                <w:sz w:val="20"/>
                <w:szCs w:val="20"/>
              </w:rPr>
            </w:pPr>
          </w:p>
        </w:tc>
        <w:tc>
          <w:tcPr>
            <w:tcW w:w="2433" w:type="pct"/>
            <w:vMerge/>
            <w:tcBorders>
              <w:top w:val="single" w:sz="4" w:space="0" w:color="auto"/>
              <w:left w:val="single" w:sz="4" w:space="0" w:color="auto"/>
              <w:bottom w:val="single" w:sz="4" w:space="0" w:color="000000"/>
              <w:right w:val="single" w:sz="4" w:space="0" w:color="auto"/>
            </w:tcBorders>
            <w:vAlign w:val="center"/>
            <w:hideMark/>
          </w:tcPr>
          <w:p w:rsidR="00E46A56" w:rsidRPr="00E46A56" w:rsidRDefault="00E46A56" w:rsidP="00E46A56">
            <w:pPr>
              <w:spacing w:after="0" w:line="240" w:lineRule="auto"/>
              <w:jc w:val="center"/>
              <w:rPr>
                <w:rFonts w:ascii="Times New Roman" w:hAnsi="Times New Roman" w:cs="Times New Roman"/>
                <w:sz w:val="20"/>
                <w:szCs w:val="20"/>
              </w:rPr>
            </w:pPr>
          </w:p>
        </w:tc>
        <w:tc>
          <w:tcPr>
            <w:tcW w:w="607"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2019</w:t>
            </w:r>
          </w:p>
        </w:tc>
        <w:tc>
          <w:tcPr>
            <w:tcW w:w="531"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2020</w:t>
            </w:r>
          </w:p>
        </w:tc>
        <w:tc>
          <w:tcPr>
            <w:tcW w:w="531"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2021</w:t>
            </w:r>
          </w:p>
        </w:tc>
        <w:tc>
          <w:tcPr>
            <w:tcW w:w="527"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center"/>
              <w:rPr>
                <w:rFonts w:ascii="Times New Roman" w:hAnsi="Times New Roman" w:cs="Times New Roman"/>
                <w:sz w:val="20"/>
                <w:szCs w:val="20"/>
              </w:rPr>
            </w:pPr>
            <w:r w:rsidRPr="00E46A56">
              <w:rPr>
                <w:rFonts w:ascii="Times New Roman" w:hAnsi="Times New Roman" w:cs="Times New Roman"/>
                <w:sz w:val="20"/>
                <w:szCs w:val="20"/>
              </w:rPr>
              <w:t>2022</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Адыгея</w:t>
            </w:r>
          </w:p>
        </w:tc>
        <w:tc>
          <w:tcPr>
            <w:tcW w:w="607"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Алтай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3</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Амурская область</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4</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Бурятия</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5</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Дагестан</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6</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 xml:space="preserve">Республика Ингушетия                                         </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7</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 xml:space="preserve">Кабардино-Балкарская Республика </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8</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 xml:space="preserve">Карачаево-Черкесская Республика </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9</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 xml:space="preserve">Республика Саха (Якутия) </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10</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Северная Осетия - Алания</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11</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Тыва</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12</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Республика Хакасия</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13</w:t>
            </w:r>
          </w:p>
        </w:tc>
        <w:tc>
          <w:tcPr>
            <w:tcW w:w="2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Чеченская Республика</w:t>
            </w:r>
          </w:p>
        </w:tc>
        <w:tc>
          <w:tcPr>
            <w:tcW w:w="607"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14</w:t>
            </w:r>
          </w:p>
        </w:tc>
        <w:tc>
          <w:tcPr>
            <w:tcW w:w="2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Алтайский край</w:t>
            </w:r>
          </w:p>
        </w:tc>
        <w:tc>
          <w:tcPr>
            <w:tcW w:w="607"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single" w:sz="4" w:space="0" w:color="auto"/>
              <w:left w:val="single" w:sz="4" w:space="0" w:color="auto"/>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15</w:t>
            </w:r>
          </w:p>
        </w:tc>
        <w:tc>
          <w:tcPr>
            <w:tcW w:w="2433" w:type="pct"/>
            <w:tcBorders>
              <w:top w:val="single" w:sz="4" w:space="0" w:color="auto"/>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Забайкальский край</w:t>
            </w:r>
          </w:p>
        </w:tc>
        <w:tc>
          <w:tcPr>
            <w:tcW w:w="607"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single" w:sz="4" w:space="0" w:color="auto"/>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16</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Камчатский край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17</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Краснодарский край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18</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Красноярский край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19</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Ставропольский край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20</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Приморский край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21</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Хабаровский край</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22</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FA030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Иркутская область</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23</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Кемеровская область-Кузбасс</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24</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Магаданская область</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25</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Сахалинская область</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26</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Чукотский автономный округ</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r w:rsidR="00E46A56" w:rsidRPr="00E46A56" w:rsidTr="00FA0306">
        <w:tc>
          <w:tcPr>
            <w:tcW w:w="371" w:type="pct"/>
            <w:tcBorders>
              <w:top w:val="nil"/>
              <w:left w:val="single" w:sz="4" w:space="0" w:color="auto"/>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27</w:t>
            </w:r>
          </w:p>
        </w:tc>
        <w:tc>
          <w:tcPr>
            <w:tcW w:w="2433" w:type="pct"/>
            <w:tcBorders>
              <w:top w:val="nil"/>
              <w:left w:val="nil"/>
              <w:bottom w:val="single" w:sz="4" w:space="0" w:color="auto"/>
              <w:right w:val="single" w:sz="4" w:space="0" w:color="auto"/>
            </w:tcBorders>
            <w:shd w:val="clear" w:color="auto" w:fill="auto"/>
            <w:vAlign w:val="center"/>
            <w:hideMark/>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Еврейская автономная область</w:t>
            </w:r>
          </w:p>
        </w:tc>
        <w:tc>
          <w:tcPr>
            <w:tcW w:w="60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31"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c>
          <w:tcPr>
            <w:tcW w:w="527" w:type="pct"/>
            <w:tcBorders>
              <w:top w:val="nil"/>
              <w:left w:val="nil"/>
              <w:bottom w:val="single" w:sz="4" w:space="0" w:color="auto"/>
              <w:right w:val="single" w:sz="4" w:space="0" w:color="auto"/>
            </w:tcBorders>
            <w:vAlign w:val="center"/>
          </w:tcPr>
          <w:p w:rsidR="00E46A56" w:rsidRPr="00E46A56" w:rsidRDefault="00E46A56" w:rsidP="00E46A56">
            <w:pPr>
              <w:spacing w:after="0" w:line="240" w:lineRule="auto"/>
              <w:jc w:val="both"/>
              <w:rPr>
                <w:rFonts w:ascii="Times New Roman" w:hAnsi="Times New Roman" w:cs="Times New Roman"/>
                <w:sz w:val="20"/>
                <w:szCs w:val="20"/>
              </w:rPr>
            </w:pPr>
            <w:r w:rsidRPr="00E46A56">
              <w:rPr>
                <w:rFonts w:ascii="Times New Roman" w:hAnsi="Times New Roman" w:cs="Times New Roman"/>
                <w:sz w:val="20"/>
                <w:szCs w:val="20"/>
              </w:rPr>
              <w:t>-</w:t>
            </w:r>
          </w:p>
        </w:tc>
      </w:tr>
    </w:tbl>
    <w:p w:rsidR="00FA0306" w:rsidRPr="00FA0306" w:rsidRDefault="00FA0306" w:rsidP="00FA0306">
      <w:pPr>
        <w:jc w:val="both"/>
        <w:rPr>
          <w:rFonts w:ascii="Times New Roman" w:hAnsi="Times New Roman" w:cs="Times New Roman"/>
          <w:sz w:val="16"/>
          <w:szCs w:val="16"/>
          <w:lang w:bidi="ru-RU"/>
        </w:rPr>
      </w:pPr>
    </w:p>
    <w:p w:rsidR="00FA0306" w:rsidRDefault="00FA0306" w:rsidP="00FA0306">
      <w:pPr>
        <w:spacing w:after="0" w:line="240" w:lineRule="auto"/>
        <w:ind w:firstLine="709"/>
        <w:jc w:val="both"/>
        <w:rPr>
          <w:rFonts w:ascii="Times New Roman" w:hAnsi="Times New Roman" w:cs="Times New Roman"/>
          <w:sz w:val="28"/>
          <w:szCs w:val="28"/>
          <w:lang w:bidi="ru-RU"/>
        </w:rPr>
      </w:pPr>
      <w:r w:rsidRPr="00FA0306">
        <w:rPr>
          <w:rFonts w:ascii="Times New Roman" w:hAnsi="Times New Roman" w:cs="Times New Roman"/>
          <w:sz w:val="28"/>
          <w:szCs w:val="28"/>
          <w:lang w:bidi="ru-RU"/>
        </w:rPr>
        <w:t>Ежегодно в реализации мероприятий по сейсмоусилению участвуют 4</w:t>
      </w:r>
      <w:r>
        <w:rPr>
          <w:rFonts w:ascii="Times New Roman" w:hAnsi="Times New Roman" w:cs="Times New Roman"/>
          <w:sz w:val="28"/>
          <w:szCs w:val="28"/>
          <w:lang w:bidi="ru-RU"/>
        </w:rPr>
        <w:t> </w:t>
      </w:r>
      <w:r w:rsidRPr="00FA0306">
        <w:rPr>
          <w:rFonts w:ascii="Times New Roman" w:hAnsi="Times New Roman" w:cs="Times New Roman"/>
          <w:sz w:val="28"/>
          <w:szCs w:val="28"/>
          <w:lang w:bidi="ru-RU"/>
        </w:rPr>
        <w:t>региона: Карачаево-Черкесская Республика, Республика Ингушетия, Республика Северная Осетия-Алания и Камчатский край.</w:t>
      </w:r>
    </w:p>
    <w:p w:rsidR="00FA0306" w:rsidRPr="00FA0306" w:rsidRDefault="00FA0306" w:rsidP="00FA0306">
      <w:pPr>
        <w:spacing w:after="0" w:line="240" w:lineRule="auto"/>
        <w:ind w:firstLine="709"/>
        <w:jc w:val="both"/>
        <w:rPr>
          <w:rFonts w:ascii="Times New Roman" w:hAnsi="Times New Roman" w:cs="Times New Roman"/>
          <w:sz w:val="28"/>
          <w:szCs w:val="28"/>
          <w:lang w:bidi="ru-RU"/>
        </w:rPr>
      </w:pPr>
      <w:r w:rsidRPr="00FA0306">
        <w:rPr>
          <w:rFonts w:ascii="Times New Roman" w:hAnsi="Times New Roman" w:cs="Times New Roman"/>
          <w:sz w:val="28"/>
          <w:szCs w:val="28"/>
          <w:lang w:bidi="ru-RU"/>
        </w:rPr>
        <w:t>Приказом Минстроя России</w:t>
      </w:r>
      <w:r w:rsidRPr="00FA0306">
        <w:rPr>
          <w:rFonts w:ascii="Times New Roman" w:hAnsi="Times New Roman" w:cs="Times New Roman"/>
          <w:sz w:val="28"/>
          <w:szCs w:val="28"/>
          <w:vertAlign w:val="superscript"/>
          <w:lang w:bidi="ru-RU"/>
        </w:rPr>
        <w:t xml:space="preserve"> </w:t>
      </w:r>
      <w:r w:rsidRPr="00FA0306">
        <w:rPr>
          <w:rFonts w:ascii="Times New Roman" w:hAnsi="Times New Roman" w:cs="Times New Roman"/>
          <w:sz w:val="28"/>
          <w:szCs w:val="28"/>
          <w:vertAlign w:val="superscript"/>
          <w:lang w:bidi="ru-RU"/>
        </w:rPr>
        <w:footnoteReference w:id="1"/>
      </w:r>
      <w:r w:rsidRPr="00FA0306">
        <w:rPr>
          <w:rFonts w:ascii="Times New Roman" w:hAnsi="Times New Roman" w:cs="Times New Roman"/>
          <w:sz w:val="28"/>
          <w:szCs w:val="28"/>
          <w:lang w:bidi="ru-RU"/>
        </w:rPr>
        <w:t xml:space="preserve"> создана Единая комиссия по проведению отбора заявок субъектов Российской Федерации на предоставление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государственной программы Российской Федерации «Обеспечение доступным и комфортным жильем и </w:t>
      </w:r>
      <w:r w:rsidRPr="00FA0306">
        <w:rPr>
          <w:rFonts w:ascii="Times New Roman" w:hAnsi="Times New Roman" w:cs="Times New Roman"/>
          <w:sz w:val="28"/>
          <w:szCs w:val="28"/>
          <w:lang w:bidi="ru-RU"/>
        </w:rPr>
        <w:lastRenderedPageBreak/>
        <w:t>коммунальными услугами граждан Российской Федерации», утверждены Положение о Единой комиссии и определен ее состав.</w:t>
      </w:r>
    </w:p>
    <w:p w:rsidR="00FA0306" w:rsidRPr="00FA0306" w:rsidRDefault="00FA0306" w:rsidP="00FA0306">
      <w:pPr>
        <w:spacing w:after="0" w:line="240" w:lineRule="auto"/>
        <w:ind w:firstLine="709"/>
        <w:jc w:val="both"/>
        <w:rPr>
          <w:rFonts w:ascii="Times New Roman" w:hAnsi="Times New Roman" w:cs="Times New Roman"/>
          <w:sz w:val="28"/>
          <w:szCs w:val="28"/>
          <w:lang w:bidi="ru-RU"/>
        </w:rPr>
      </w:pPr>
      <w:r w:rsidRPr="00FA0306">
        <w:rPr>
          <w:rFonts w:ascii="Times New Roman" w:hAnsi="Times New Roman" w:cs="Times New Roman"/>
          <w:sz w:val="28"/>
          <w:szCs w:val="28"/>
          <w:lang w:bidi="ru-RU"/>
        </w:rPr>
        <w:t>В 2019–2021 годах Минстроем России в соответствии с пунктом 2.1 Порядка представления заявки о представлении субсидии</w:t>
      </w:r>
      <w:r w:rsidRPr="00FA0306">
        <w:rPr>
          <w:rFonts w:ascii="Times New Roman" w:hAnsi="Times New Roman" w:cs="Times New Roman"/>
          <w:sz w:val="28"/>
          <w:szCs w:val="28"/>
          <w:vertAlign w:val="superscript"/>
          <w:lang w:bidi="ru-RU"/>
        </w:rPr>
        <w:footnoteReference w:id="2"/>
      </w:r>
      <w:r w:rsidRPr="00FA0306">
        <w:rPr>
          <w:rFonts w:ascii="Times New Roman" w:hAnsi="Times New Roman" w:cs="Times New Roman"/>
          <w:sz w:val="28"/>
          <w:szCs w:val="28"/>
          <w:lang w:bidi="ru-RU"/>
        </w:rPr>
        <w:t xml:space="preserve"> изданы приказы</w:t>
      </w:r>
      <w:r w:rsidRPr="00FA0306">
        <w:rPr>
          <w:rFonts w:ascii="Times New Roman" w:hAnsi="Times New Roman" w:cs="Times New Roman"/>
          <w:sz w:val="28"/>
          <w:szCs w:val="28"/>
          <w:vertAlign w:val="superscript"/>
          <w:lang w:bidi="ru-RU"/>
        </w:rPr>
        <w:footnoteReference w:id="3"/>
      </w:r>
      <w:r w:rsidRPr="00FA0306">
        <w:rPr>
          <w:rFonts w:ascii="Times New Roman" w:hAnsi="Times New Roman" w:cs="Times New Roman"/>
          <w:sz w:val="28"/>
          <w:szCs w:val="28"/>
          <w:lang w:bidi="ru-RU"/>
        </w:rPr>
        <w:t xml:space="preserve"> «Об объявлении приема заявок субъектов Российской Федерации о предоставлении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мероприятий по сейсмоусилению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тех, сейсмоусиление или реконструкция которых экономически нецелесообразна, в рамках основного мероприятия «Повышение устойчивости жилых домов, основных объектов и систем жизнеобеспечения в сейсмических районах Российской Федерации» подпрограммы 2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3B0537" w:rsidRPr="003B0537" w:rsidRDefault="003B0537" w:rsidP="003B0537">
      <w:pPr>
        <w:spacing w:after="0" w:line="240" w:lineRule="auto"/>
        <w:ind w:firstLine="70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Среди причин неучастия субъектов Российской Федерации:</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нарушение срока представления заявки для участия в отборе (Амурская область);</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отсутствие согласования объектов строительства (реконструкции) со стороны Минэкономразвития России (Республика Бурятия, Республика Хакасия, Забайкальский край, Краснодарский край, Магаданская область в 2019 – 2021 годах);</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отклонение заявки ввиду наличия неисполненных обязательств (Кабардино-Балкарская Республика, Республика Тыва);</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отсутствие в составе заявок экспертизы проектно-сметной документации (Алтайский край в 2019 – 2021 годах);</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отказ от участия (Красноярский край, Ставропольский край, Приморский край, Хабаровский край, Чукотский автономный округ, Еврейская автономная область).</w:t>
      </w:r>
    </w:p>
    <w:p w:rsidR="003B0537" w:rsidRPr="003B0537" w:rsidRDefault="003B0537" w:rsidP="003B0537">
      <w:pPr>
        <w:spacing w:after="0" w:line="240" w:lineRule="auto"/>
        <w:ind w:firstLine="70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Так, при рассмотрении Минэкономразвития России представленного Минстроем России перечня инвестиционных проектов были обозначены следующие причины исключения объектов для финансирования в рамках мероприятия в 2019 – 2021 годах</w:t>
      </w:r>
      <w:r w:rsidRPr="003B0537">
        <w:rPr>
          <w:rFonts w:ascii="Times New Roman" w:hAnsi="Times New Roman" w:cs="Times New Roman"/>
          <w:sz w:val="28"/>
          <w:szCs w:val="28"/>
          <w:vertAlign w:val="superscript"/>
          <w:lang w:bidi="ru-RU"/>
        </w:rPr>
        <w:footnoteReference w:id="4"/>
      </w:r>
      <w:r w:rsidRPr="003B0537">
        <w:rPr>
          <w:rFonts w:ascii="Times New Roman" w:hAnsi="Times New Roman" w:cs="Times New Roman"/>
          <w:sz w:val="28"/>
          <w:szCs w:val="28"/>
          <w:lang w:bidi="ru-RU"/>
        </w:rPr>
        <w:t>:</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 xml:space="preserve">стоимость инвестиционного проекта, указанная в паспорте инвестиционного проекта, не соответствует стоимости, представленной в заключении о проверке достоверности определения сметной стоимости и титульном списке проекта («Строительство лечебно-диагностического </w:t>
      </w:r>
      <w:r w:rsidRPr="003B0537">
        <w:rPr>
          <w:rFonts w:ascii="Times New Roman" w:hAnsi="Times New Roman" w:cs="Times New Roman"/>
          <w:sz w:val="28"/>
          <w:szCs w:val="28"/>
          <w:lang w:bidi="ru-RU"/>
        </w:rPr>
        <w:lastRenderedPageBreak/>
        <w:t>корпуса с терапевтическим отделением и дневным стационаром по адресу: Республика Адыгея, г. Майкоп, квартал 356, ул. Гагарина, 4»);</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при расчете интегральной оценки эффективности инвестиционного проекта следует произвести сравнение стоимости инвестиционного проекта с проектом-аналогом в соответствии с Методикой оценки эффективности использования средств федерального бюджета, направляемых на капитальные вложения, утвержденной приказом Минэкономразвития России от 24 февраля 2009 г. № 58 с уточнением сроков реализации в паспорте инвестиционного проекта в связи с тем, что заявка субъекта Российской Федерации подана в 2019 году («Реконструкция школы в с. Беляши, Кош-Агачского района, Республики Алтай»);</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функциональное назначение здания (культурно-просветительское учреждение) не соответствует целям и задачам основного мероприятия ГП-05; некорректно произведен расчет интегральной оценки эффективности инвестиционного проекта (оценка соответствия инвестиционного проекта количественным критериям) с учетом сравнения стоимости проекта с проектом-аналогом («Реконструкция и сейсмоусиление Дома культуры на 200 мест в г. Кяхта Кяхтинского района Республики Бурятии»);</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показатели мощности объекта капитального строительства, указанные в титульном списке и паспорте инвестиционного проекта необходимо привести в соответствие с заключением государственной экспертизы проектной документации и результатов инженерных изысканий; некорректный расчет интегральной оценки эффективности инвестиционного проекта с учетом сравнения стоимости с проектом-аналогом («Строительство школы-интерната в с. Красный Яр Кабанского района Республики Бурятия»);</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реализация проекта предполагает создание объекта капитального строительства, кратно превышающего по мощностным показателям сносимый объект; показатели мощности инвестиционного проекта, указанные в титульном списке, не соответствуют показателям мощности, указанным в паспорте проекта; отсутствуют документы, подтверждающие показатели проектов-аналогов («Школа на 110 мест в с. Алкадар Сулейман-Стальского района Республики Дагестан», «Школа на 360 мест в г. Бавтугай Республики Дагестан», «Школа на 604 места в г. Хасавюрте Республики Дагестан (модифицированная проектная документация», «Школа-детский сад в п. Мозгон Забайкальского края»);</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реализация проекта предполагает создание объекта капитального строительства, кратно превышающего по мощностным показателям сносимый объект («Строительство поликлиники на 300 посещений в смену в г. Карабулак Республики Ингушетия»);</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 xml:space="preserve">функциональное назначение здания (культурно-просветительское учреждение) не соответствует целям и задачам основного мероприятия ГП-05; наименование проекта, указанное в заключении экспертизы на проектную часть и в заключении о достоверности определения сметной стоимости, не соответствует наименованию, указанному в титульном списке и в паспорте </w:t>
      </w:r>
      <w:r w:rsidRPr="003B0537">
        <w:rPr>
          <w:rFonts w:ascii="Times New Roman" w:hAnsi="Times New Roman" w:cs="Times New Roman"/>
          <w:sz w:val="28"/>
          <w:szCs w:val="28"/>
          <w:lang w:bidi="ru-RU"/>
        </w:rPr>
        <w:lastRenderedPageBreak/>
        <w:t>проекта («Реконструкция кинотеатра имени Кирова по адресу: РСО – Алания, г. Моздок, ул. Кирова, 100 под молодежный киноконцертный комплекс с вводом антисейсмических мероприятий»);</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необходимо уточнить сроки реализации в титульном списке и паспорте; представить доработанный расчет интегральной оценки эффективности инвестиционного проекта с учетом сравнения стоимости с проектом-аналогом; отсутствуют документы, подтверждающие показатели проектов-аналогов («Поликлиника на 350 посещений в смену в с. Белый Яр Республики Хакасия»);</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необходимость дополнительных пояснений ввиду того, что реализация проекта предполагает строительство объекта взамен ранее введенного в эксплуатацию («Строительство общеобразовательной школы на 480 мест в с. Дачу-Борзой Грозненского муниципального района Чеченской Республики», «Строительство общеобразовательной школы на 720 мест в г. Грозный, ул. Алексеева, 156а Октябрьского района Чеченской Республики», «Строительство МБДОУ детский сад «Чебурашка» на 140 мест с. Закан-Юрт, Ачхой-Мартановского района Чеченской Республики»);</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функциональное назначение здания (культурно-просветительское учреждение) не соответствует целям и задачам основного мероприятия ГП-05 («Реконструкция сельского дома культуры в ст. Шелкозаводская Шелковского муниципального района Чеченской Республики», «Строительство сельского дома культуры в пос. Ойсхара Гудермесского муниципального района Чеченской Республики»);</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функциональное назначение здания (физкультурно-спортивное учреждение) не соответствует целям и задачам основного мероприятия ГП-05 («Физкультурно-спортивный комплекс, г. Грозный, Старопромысловский район, Чеченская Республика»);</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затраты на проведение ремонтных работ не относятся к расходам инвестиционного характера и не соответствуют целям и задачам основного мероприятия ГП-05 («Ремонтно-восстановительные работы МУЗ «Центральная районная больница Ачхой-Мартановского района Чеченской Республики»);</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достройка ранее начатых и брошенных объектов не относится к целям и задачам основного мероприятия ГП-05; функциональное назначение здания (культурно-просветительское учреждение) не соответствует целям и задачам основного мероприятия ГП-05 («Реконструкция объекта «Этнокультурный центр» по ул. Центральной в с. Гадля Ольского района Магаданской области»);</w:t>
      </w:r>
    </w:p>
    <w:p w:rsidR="003B0537" w:rsidRPr="003B0537" w:rsidRDefault="003B0537" w:rsidP="003B0537">
      <w:pPr>
        <w:pStyle w:val="aa"/>
        <w:numPr>
          <w:ilvl w:val="0"/>
          <w:numId w:val="1"/>
        </w:numPr>
        <w:spacing w:after="0" w:line="240" w:lineRule="auto"/>
        <w:ind w:left="0" w:firstLine="1069"/>
        <w:jc w:val="both"/>
        <w:rPr>
          <w:rFonts w:ascii="Times New Roman" w:hAnsi="Times New Roman" w:cs="Times New Roman"/>
          <w:sz w:val="28"/>
          <w:szCs w:val="28"/>
          <w:lang w:bidi="ru-RU"/>
        </w:rPr>
      </w:pPr>
      <w:r w:rsidRPr="003B0537">
        <w:rPr>
          <w:rFonts w:ascii="Times New Roman" w:hAnsi="Times New Roman" w:cs="Times New Roman"/>
          <w:sz w:val="28"/>
          <w:szCs w:val="28"/>
          <w:lang w:bidi="ru-RU"/>
        </w:rPr>
        <w:t>реализация проекта предполагает переоборудование общежития в жилой многоквартирный дом, что не относится к целям и задачам основного мероприятия ГП-05; в паспорте проекта произведено неверное распределение сметной стоимости проекта по годам реализации и источникам финансирования («Реконструкция общежития по ул. Марии Амамич, дом 12 в поселке Эвенск Магаданской области»).</w:t>
      </w:r>
    </w:p>
    <w:sectPr w:rsidR="003B0537" w:rsidRPr="003B0537" w:rsidSect="003B053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E19" w:rsidRDefault="00145E19" w:rsidP="00FA0306">
      <w:pPr>
        <w:spacing w:after="0" w:line="240" w:lineRule="auto"/>
      </w:pPr>
      <w:r>
        <w:separator/>
      </w:r>
    </w:p>
  </w:endnote>
  <w:endnote w:type="continuationSeparator" w:id="0">
    <w:p w:rsidR="00145E19" w:rsidRDefault="00145E19" w:rsidP="00FA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E19" w:rsidRDefault="00145E19" w:rsidP="00FA0306">
      <w:pPr>
        <w:spacing w:after="0" w:line="240" w:lineRule="auto"/>
      </w:pPr>
      <w:r>
        <w:separator/>
      </w:r>
    </w:p>
  </w:footnote>
  <w:footnote w:type="continuationSeparator" w:id="0">
    <w:p w:rsidR="00145E19" w:rsidRDefault="00145E19" w:rsidP="00FA0306">
      <w:pPr>
        <w:spacing w:after="0" w:line="240" w:lineRule="auto"/>
      </w:pPr>
      <w:r>
        <w:continuationSeparator/>
      </w:r>
    </w:p>
  </w:footnote>
  <w:footnote w:id="1">
    <w:p w:rsidR="00FA0306" w:rsidRDefault="00FA0306" w:rsidP="00FA0306">
      <w:pPr>
        <w:pStyle w:val="a3"/>
        <w:ind w:firstLine="0"/>
      </w:pPr>
      <w:r>
        <w:rPr>
          <w:rStyle w:val="a5"/>
        </w:rPr>
        <w:footnoteRef/>
      </w:r>
      <w:r>
        <w:t xml:space="preserve"> </w:t>
      </w:r>
      <w:r>
        <w:rPr>
          <w:lang w:bidi="ru-RU"/>
        </w:rPr>
        <w:t>О</w:t>
      </w:r>
      <w:r w:rsidRPr="00AB7D39">
        <w:rPr>
          <w:lang w:bidi="ru-RU"/>
        </w:rPr>
        <w:t>т 25 июня 2018 г. № 362/пр</w:t>
      </w:r>
      <w:r>
        <w:rPr>
          <w:lang w:bidi="ru-RU"/>
        </w:rPr>
        <w:t>.</w:t>
      </w:r>
    </w:p>
  </w:footnote>
  <w:footnote w:id="2">
    <w:p w:rsidR="00FA0306" w:rsidRDefault="00FA0306" w:rsidP="00FA0306">
      <w:pPr>
        <w:pStyle w:val="a3"/>
        <w:ind w:firstLine="0"/>
      </w:pPr>
      <w:r>
        <w:rPr>
          <w:rStyle w:val="a5"/>
        </w:rPr>
        <w:footnoteRef/>
      </w:r>
      <w:r>
        <w:t xml:space="preserve"> П</w:t>
      </w:r>
      <w:r w:rsidRPr="0049125E">
        <w:rPr>
          <w:lang w:bidi="ru-RU"/>
        </w:rPr>
        <w:t>риложение № 2 к приказу Минстроя России от 15 </w:t>
      </w:r>
      <w:r>
        <w:rPr>
          <w:lang w:bidi="ru-RU"/>
        </w:rPr>
        <w:t>мая 2018 г. № 281/пр.</w:t>
      </w:r>
    </w:p>
  </w:footnote>
  <w:footnote w:id="3">
    <w:p w:rsidR="00FA0306" w:rsidRDefault="00FA0306" w:rsidP="00FA0306">
      <w:pPr>
        <w:pStyle w:val="a3"/>
        <w:ind w:firstLine="0"/>
      </w:pPr>
      <w:r>
        <w:rPr>
          <w:rStyle w:val="a5"/>
        </w:rPr>
        <w:footnoteRef/>
      </w:r>
      <w:r>
        <w:t xml:space="preserve"> </w:t>
      </w:r>
      <w:r>
        <w:rPr>
          <w:lang w:bidi="ru-RU"/>
        </w:rPr>
        <w:t>О</w:t>
      </w:r>
      <w:r w:rsidRPr="0049125E">
        <w:rPr>
          <w:lang w:bidi="ru-RU"/>
        </w:rPr>
        <w:t>т 19 июня 2018 г. № 355/пр; от 15 мая 2019 г. № 276/пр; от 23 марта 2020 г. № 146/пр</w:t>
      </w:r>
      <w:r>
        <w:rPr>
          <w:lang w:bidi="ru-RU"/>
        </w:rPr>
        <w:t>.</w:t>
      </w:r>
    </w:p>
  </w:footnote>
  <w:footnote w:id="4">
    <w:p w:rsidR="003B0537" w:rsidRPr="00C07237" w:rsidRDefault="003B0537" w:rsidP="003B0537">
      <w:pPr>
        <w:pStyle w:val="a3"/>
        <w:ind w:firstLine="0"/>
      </w:pPr>
      <w:r w:rsidRPr="00C07237">
        <w:rPr>
          <w:rStyle w:val="a5"/>
        </w:rPr>
        <w:footnoteRef/>
      </w:r>
      <w:r w:rsidRPr="00C07237">
        <w:t xml:space="preserve"> Письмо Минэкономразвития России от 16</w:t>
      </w:r>
      <w:r>
        <w:t xml:space="preserve"> августа </w:t>
      </w:r>
      <w:r w:rsidRPr="00C07237">
        <w:t xml:space="preserve">2018 </w:t>
      </w:r>
      <w:r>
        <w:t xml:space="preserve">г. </w:t>
      </w:r>
      <w:r w:rsidRPr="00C07237">
        <w:t>№ 23245-АТ/Д17и</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30095"/>
      <w:docPartObj>
        <w:docPartGallery w:val="Page Numbers (Top of Page)"/>
        <w:docPartUnique/>
      </w:docPartObj>
    </w:sdtPr>
    <w:sdtEndPr/>
    <w:sdtContent>
      <w:p w:rsidR="003B0537" w:rsidRDefault="003B0537">
        <w:pPr>
          <w:pStyle w:val="a6"/>
          <w:jc w:val="center"/>
        </w:pPr>
        <w:r>
          <w:fldChar w:fldCharType="begin"/>
        </w:r>
        <w:r>
          <w:instrText>PAGE   \* MERGEFORMAT</w:instrText>
        </w:r>
        <w:r>
          <w:fldChar w:fldCharType="separate"/>
        </w:r>
        <w:r w:rsidR="006A05F8">
          <w:rPr>
            <w:noProof/>
          </w:rPr>
          <w:t>2</w:t>
        </w:r>
        <w:r>
          <w:fldChar w:fldCharType="end"/>
        </w:r>
      </w:p>
    </w:sdtContent>
  </w:sdt>
  <w:p w:rsidR="003B0537" w:rsidRDefault="003B053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D3B32"/>
    <w:multiLevelType w:val="hybridMultilevel"/>
    <w:tmpl w:val="74C63B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70"/>
    <w:rsid w:val="000C6266"/>
    <w:rsid w:val="00145E19"/>
    <w:rsid w:val="00187A8C"/>
    <w:rsid w:val="002260B8"/>
    <w:rsid w:val="003B0537"/>
    <w:rsid w:val="004C75E6"/>
    <w:rsid w:val="00680CEF"/>
    <w:rsid w:val="006A05F8"/>
    <w:rsid w:val="006E71F4"/>
    <w:rsid w:val="00720DA3"/>
    <w:rsid w:val="00931C70"/>
    <w:rsid w:val="009C0B71"/>
    <w:rsid w:val="00A170A7"/>
    <w:rsid w:val="00AD1957"/>
    <w:rsid w:val="00C05DF9"/>
    <w:rsid w:val="00C6666D"/>
    <w:rsid w:val="00C74BDD"/>
    <w:rsid w:val="00D01FFD"/>
    <w:rsid w:val="00E10956"/>
    <w:rsid w:val="00E46A56"/>
    <w:rsid w:val="00F36D74"/>
    <w:rsid w:val="00FA0306"/>
    <w:rsid w:val="00FE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0253F-0C49-47EF-9968-BF5BEFB3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FA0306"/>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FA0306"/>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qFormat/>
    <w:rsid w:val="00FA0306"/>
    <w:rPr>
      <w:vertAlign w:val="superscript"/>
    </w:rPr>
  </w:style>
  <w:style w:type="paragraph" w:styleId="a6">
    <w:name w:val="header"/>
    <w:basedOn w:val="a"/>
    <w:link w:val="a7"/>
    <w:uiPriority w:val="99"/>
    <w:unhideWhenUsed/>
    <w:rsid w:val="003B05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0537"/>
  </w:style>
  <w:style w:type="paragraph" w:styleId="a8">
    <w:name w:val="footer"/>
    <w:basedOn w:val="a"/>
    <w:link w:val="a9"/>
    <w:uiPriority w:val="99"/>
    <w:unhideWhenUsed/>
    <w:rsid w:val="003B05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B0537"/>
  </w:style>
  <w:style w:type="paragraph" w:styleId="aa">
    <w:name w:val="List Paragraph"/>
    <w:basedOn w:val="a"/>
    <w:uiPriority w:val="34"/>
    <w:qFormat/>
    <w:rsid w:val="003B0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7EF01-A535-4C4A-88C5-F1F88641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Ж.В.</dc:creator>
  <cp:keywords/>
  <dc:description/>
  <cp:lastModifiedBy>Асташенкова Ирина Александровна</cp:lastModifiedBy>
  <cp:revision>2</cp:revision>
  <dcterms:created xsi:type="dcterms:W3CDTF">2023-05-22T07:02:00Z</dcterms:created>
  <dcterms:modified xsi:type="dcterms:W3CDTF">2023-05-22T07:02:00Z</dcterms:modified>
</cp:coreProperties>
</file>