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83008" w:rsidRPr="00464E10" w:rsidRDefault="00E83008" w:rsidP="00E83008">
      <w:pPr>
        <w:ind w:left="11624" w:hanging="401"/>
        <w:jc w:val="center"/>
        <w:rPr>
          <w:sz w:val="28"/>
          <w:szCs w:val="28"/>
        </w:rPr>
      </w:pPr>
      <w:r w:rsidRPr="00464E1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E83008" w:rsidRDefault="00E83008" w:rsidP="00E83008">
      <w:pPr>
        <w:widowControl w:val="0"/>
        <w:shd w:val="clear" w:color="auto" w:fill="FFFFFF"/>
        <w:ind w:left="11624" w:hanging="401"/>
        <w:jc w:val="center"/>
        <w:rPr>
          <w:sz w:val="28"/>
          <w:szCs w:val="28"/>
        </w:rPr>
      </w:pPr>
      <w:r w:rsidRPr="00464E10">
        <w:rPr>
          <w:sz w:val="28"/>
          <w:szCs w:val="28"/>
        </w:rPr>
        <w:t>к отчету о результатах</w:t>
      </w:r>
    </w:p>
    <w:p w:rsidR="00E83008" w:rsidRPr="00464E10" w:rsidRDefault="00E83008" w:rsidP="00E83008">
      <w:pPr>
        <w:widowControl w:val="0"/>
        <w:shd w:val="clear" w:color="auto" w:fill="FFFFFF"/>
        <w:ind w:left="11624" w:hanging="401"/>
        <w:jc w:val="center"/>
        <w:rPr>
          <w:sz w:val="28"/>
          <w:szCs w:val="28"/>
        </w:rPr>
      </w:pPr>
      <w:r w:rsidRPr="00464E10">
        <w:rPr>
          <w:sz w:val="28"/>
          <w:szCs w:val="28"/>
        </w:rPr>
        <w:t>контрольного мероприятия</w:t>
      </w:r>
    </w:p>
    <w:p w:rsidR="00725AB3" w:rsidRPr="00453D20" w:rsidRDefault="00725AB3">
      <w:pPr>
        <w:spacing w:before="135"/>
        <w:ind w:left="10828" w:right="162"/>
        <w:jc w:val="right"/>
        <w:rPr>
          <w:sz w:val="24"/>
        </w:rPr>
      </w:pPr>
    </w:p>
    <w:p w:rsidR="00725AB3" w:rsidRPr="00453D20" w:rsidRDefault="004817B6">
      <w:pPr>
        <w:spacing w:before="660"/>
        <w:ind w:left="3643" w:right="3642"/>
        <w:jc w:val="center"/>
        <w:rPr>
          <w:sz w:val="24"/>
        </w:rPr>
      </w:pPr>
      <w:r>
        <w:rPr>
          <w:b/>
          <w:color w:val="000000"/>
          <w:sz w:val="36"/>
        </w:rPr>
        <w:t>КАРТА ПРЕДЛОЖЕНИЙ (РЕКОМЕНДАЦИЙ)</w:t>
      </w:r>
    </w:p>
    <w:p w:rsidR="00725AB3" w:rsidRPr="00453D20" w:rsidRDefault="004817B6">
      <w:pPr>
        <w:ind w:left="358" w:right="357"/>
        <w:jc w:val="center"/>
        <w:rPr>
          <w:sz w:val="24"/>
        </w:rPr>
      </w:pPr>
      <w:r>
        <w:rPr>
          <w:b/>
          <w:color w:val="000000"/>
          <w:sz w:val="36"/>
        </w:rPr>
        <w:t>по результатам контрольное мероприятие «Аудит системы мониторинга и учета лесных ресурсов Российской Федерации, а также охраны лесов от пожаров за 2020–2021 годы и истекший период 2022 года»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35"/>
        <w:gridCol w:w="4980"/>
        <w:gridCol w:w="1530"/>
        <w:gridCol w:w="1710"/>
        <w:gridCol w:w="3225"/>
      </w:tblGrid>
      <w:tr w:rsidR="00725AB3">
        <w:trPr>
          <w:trHeight w:hRule="exact" w:val="210"/>
        </w:trPr>
        <w:tc>
          <w:tcPr>
            <w:tcW w:w="855" w:type="dxa"/>
          </w:tcPr>
          <w:p w:rsidR="00725AB3" w:rsidRPr="00453D20" w:rsidRDefault="00725AB3">
            <w:pPr>
              <w:rPr>
                <w:sz w:val="1"/>
              </w:rPr>
            </w:pPr>
          </w:p>
        </w:tc>
        <w:tc>
          <w:tcPr>
            <w:tcW w:w="2835" w:type="dxa"/>
          </w:tcPr>
          <w:p w:rsidR="00725AB3" w:rsidRPr="00453D20" w:rsidRDefault="00725AB3">
            <w:pPr>
              <w:rPr>
                <w:sz w:val="1"/>
              </w:rPr>
            </w:pPr>
          </w:p>
        </w:tc>
        <w:tc>
          <w:tcPr>
            <w:tcW w:w="4980" w:type="dxa"/>
          </w:tcPr>
          <w:p w:rsidR="00725AB3" w:rsidRPr="00453D20" w:rsidRDefault="00725AB3">
            <w:pPr>
              <w:rPr>
                <w:sz w:val="1"/>
              </w:rPr>
            </w:pPr>
          </w:p>
        </w:tc>
        <w:tc>
          <w:tcPr>
            <w:tcW w:w="1530" w:type="dxa"/>
          </w:tcPr>
          <w:p w:rsidR="00725AB3" w:rsidRPr="00453D20" w:rsidRDefault="00725AB3">
            <w:pPr>
              <w:rPr>
                <w:sz w:val="1"/>
              </w:rPr>
            </w:pPr>
          </w:p>
        </w:tc>
        <w:tc>
          <w:tcPr>
            <w:tcW w:w="1710" w:type="dxa"/>
          </w:tcPr>
          <w:p w:rsidR="00725AB3" w:rsidRPr="00453D20" w:rsidRDefault="00725AB3">
            <w:pPr>
              <w:rPr>
                <w:sz w:val="1"/>
              </w:rPr>
            </w:pPr>
          </w:p>
        </w:tc>
        <w:tc>
          <w:tcPr>
            <w:tcW w:w="3225" w:type="dxa"/>
          </w:tcPr>
          <w:p w:rsidR="00725AB3" w:rsidRPr="00453D20" w:rsidRDefault="00725AB3">
            <w:pPr>
              <w:rPr>
                <w:sz w:val="1"/>
              </w:rPr>
            </w:pP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Получатель (адресат)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Предложение (рекомендация)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Отметка о приоритетности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Рекомендованный срок реализации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поручить Минприроды России, МЧС России совместно с заинтересованными федеральными органами исполнительной власти в рамках установленной компетенции:</w:t>
            </w:r>
            <w:r>
              <w:rPr>
                <w:color w:val="000000"/>
                <w:sz w:val="19"/>
              </w:rPr>
              <w:br/>
              <w:t>проработать вопрос по внесению изменений в Федеральный закон от 21 декабря 1994 г. № 68-ФЗ «О защите населения и территорий от чрезвычайных ситуаций природного и техногенного характера» в части установления возможности привлечения сил и средств федеральных органов исполнительной власти для ликвидации ЧС в лесах и тушению лесных пожаров при введении ЧС м</w:t>
            </w:r>
            <w:r w:rsidR="002D7A62">
              <w:rPr>
                <w:color w:val="000000"/>
                <w:sz w:val="19"/>
              </w:rPr>
              <w:t>естного и регионального уровней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Да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поручить Минприроды России, МЧС России совместно с заинтересованными федеральными органами исполнительной власти в рамках установленной компетенции:</w:t>
            </w:r>
            <w:r>
              <w:rPr>
                <w:color w:val="000000"/>
                <w:sz w:val="19"/>
              </w:rPr>
              <w:br/>
              <w:t>проработать вопрос по определению механизма финансирования мероприятий по привлечению сил и ср</w:t>
            </w:r>
            <w:r w:rsidR="002D7A62">
              <w:rPr>
                <w:color w:val="000000"/>
                <w:sz w:val="19"/>
              </w:rPr>
              <w:t>едств для ликвидации ЧС в лесах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Да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поручить Минприроды России совместно с заинтересованными федеральными органами исполнительной власти проработать вопрос по </w:t>
            </w:r>
            <w:r>
              <w:rPr>
                <w:color w:val="000000"/>
                <w:sz w:val="19"/>
              </w:rPr>
              <w:lastRenderedPageBreak/>
              <w:t>закреплению в нормативных</w:t>
            </w:r>
            <w:r w:rsidR="00314F05">
              <w:rPr>
                <w:color w:val="000000"/>
                <w:sz w:val="19"/>
              </w:rPr>
              <w:t xml:space="preserve"> правовых актах полномочий по у</w:t>
            </w:r>
            <w:r>
              <w:rPr>
                <w:color w:val="000000"/>
                <w:sz w:val="19"/>
              </w:rPr>
              <w:t>становлению механизма расчета размера ущерб</w:t>
            </w:r>
            <w:r w:rsidR="002D7A62">
              <w:rPr>
                <w:color w:val="000000"/>
                <w:sz w:val="19"/>
              </w:rPr>
              <w:t>а, нанесенного лесными пожарами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поручить Минприроды России совместно с заинтересованными федеральными органами исполнительной власти </w:t>
            </w:r>
            <w:r>
              <w:rPr>
                <w:color w:val="000000"/>
                <w:sz w:val="19"/>
              </w:rPr>
              <w:br/>
              <w:t>проработать вопрос по обеспечению проведения лесоустройства в отношении лесничества как территориальной единицы управления лесами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2025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поручить Рослесхозу  принять меры, направленные на: повышение качества представляемой из ИСДМ-Рослесхоз информации в отношении </w:t>
            </w:r>
            <w:proofErr w:type="spellStart"/>
            <w:r>
              <w:rPr>
                <w:color w:val="000000"/>
                <w:sz w:val="19"/>
              </w:rPr>
              <w:t>термоточек</w:t>
            </w:r>
            <w:proofErr w:type="spellEnd"/>
            <w:r>
              <w:rPr>
                <w:color w:val="000000"/>
                <w:sz w:val="19"/>
              </w:rPr>
              <w:t xml:space="preserve"> для субъектов Российской Федерации (алгоритмы распознавания, качество дистанционного зондирования Земли и др.); развитие модуля </w:t>
            </w:r>
            <w:proofErr w:type="spellStart"/>
            <w:r>
              <w:rPr>
                <w:color w:val="000000"/>
                <w:sz w:val="19"/>
              </w:rPr>
              <w:t>грозопеленгации</w:t>
            </w:r>
            <w:proofErr w:type="spellEnd"/>
            <w:r>
              <w:rPr>
                <w:color w:val="000000"/>
                <w:sz w:val="19"/>
              </w:rPr>
              <w:t xml:space="preserve">; </w:t>
            </w:r>
            <w:r>
              <w:rPr>
                <w:color w:val="000000"/>
                <w:sz w:val="19"/>
              </w:rPr>
              <w:br/>
              <w:t>модернизацию блока моделирования развития пожара подсистемы автоматизированной подготовки рекомендаций по организации мониторинга и тушени</w:t>
            </w:r>
            <w:r w:rsidR="002D7A62">
              <w:rPr>
                <w:color w:val="000000"/>
                <w:sz w:val="19"/>
              </w:rPr>
              <w:t>я лесных пожаров ИСДМ-Рослесхоз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725AB3">
            <w:pPr>
              <w:ind w:left="28" w:right="28"/>
              <w:rPr>
                <w:color w:val="000000"/>
                <w:sz w:val="19"/>
              </w:rPr>
            </w:pP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установить классификацию природной пожарной опасности лесов, классификацию пожарной опасности в лесах в зависимости от условий погоды, нормативы противопожарного обустройства лесов, а также правила пожарной безопасности в лесах для каждого лесного района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2025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внести изменения в Типовую форму лесного плана субъекта Российской Федерации, утвержденную приказом Минприроды России от 20 декабря 2017 г. № 692, предусмотрев мероприятия по охране лесов от пожаров, включая их объемы в разрезе лесничеств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Да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внести изменения в Порядок осуществления государственного мониторинга воспроизводства лесов, утвержденный приказом Минприроды России от 19 февраля 2015 г. № 59, предусматривающие включение в состав государственного мониторинга воспроизводства лесов нового вида работ, - оценку установленных требований к выращиванию саженцев, сеянцев основных лесных древесных пород в лесных питомниках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подготовить и направить в Правительство Российской Федерации предложения о внесении изменений в Лесной кодекс в части отнесения мероприятия по закреплению на местности местоположения границ лесничеств к полномочиям федерального уровня или к переданным </w:t>
            </w:r>
            <w:r>
              <w:rPr>
                <w:color w:val="000000"/>
                <w:sz w:val="19"/>
              </w:rPr>
              <w:lastRenderedPageBreak/>
              <w:t>полномочиям, осуществляемым органами государственной власти субъектов Российской Федерации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внесения изменений в нормативные правовые акты</w:t>
            </w:r>
          </w:p>
        </w:tc>
      </w:tr>
      <w:tr w:rsidR="00725AB3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 w:rsidP="00314F05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  <w:r w:rsidR="00314F05">
              <w:rPr>
                <w:color w:val="000000"/>
                <w:sz w:val="19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ФЕДЕРАЛЬНОЕ АГЕНТСТВО ЛЕСНОГО ХОЗЯЙСТВА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 w:rsidP="002D7A62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рассмотреть вопрос о развитии дистанционного мониторинга использования лесов и применени</w:t>
            </w:r>
            <w:r w:rsidR="002D7A62">
              <w:rPr>
                <w:color w:val="000000"/>
                <w:sz w:val="19"/>
              </w:rPr>
              <w:t>и</w:t>
            </w:r>
            <w:r>
              <w:rPr>
                <w:color w:val="000000"/>
                <w:sz w:val="19"/>
              </w:rPr>
              <w:t xml:space="preserve"> при его осуществлении методов и технологий, позволяющих обеспечить сокращение временного промежутка между появлением незаконной рубки, ее выявления и реагированием на нее компетентных органов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AB3" w:rsidRDefault="004817B6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31 января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B3" w:rsidRDefault="004817B6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Необходимость применения новых методов и технологий</w:t>
            </w:r>
          </w:p>
        </w:tc>
      </w:tr>
    </w:tbl>
    <w:p w:rsidR="00725AB3" w:rsidRDefault="00725AB3"/>
    <w:sectPr w:rsidR="00725AB3">
      <w:headerReference w:type="default" r:id="rId6"/>
      <w:headerReference w:type="first" r:id="rId7"/>
      <w:pgSz w:w="16833" w:h="11908" w:orient="landscape"/>
      <w:pgMar w:top="1132" w:right="566" w:bottom="1132" w:left="1132" w:header="0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0D2" w:rsidRDefault="004700D2">
      <w:r>
        <w:separator/>
      </w:r>
    </w:p>
  </w:endnote>
  <w:endnote w:type="continuationSeparator" w:id="0">
    <w:p w:rsidR="004700D2" w:rsidRDefault="0047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0D2" w:rsidRDefault="004700D2">
      <w:r>
        <w:separator/>
      </w:r>
    </w:p>
  </w:footnote>
  <w:footnote w:type="continuationSeparator" w:id="0">
    <w:p w:rsidR="004700D2" w:rsidRDefault="0047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AB3" w:rsidRPr="00E83008" w:rsidRDefault="00725AB3">
    <w:pPr>
      <w:rPr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725AB3">
      <w:trPr>
        <w:trHeight w:hRule="exact" w:val="390"/>
      </w:trPr>
      <w:tc>
        <w:tcPr>
          <w:tcW w:w="9465" w:type="dxa"/>
        </w:tcPr>
        <w:p w:rsidR="00725AB3" w:rsidRPr="00E83008" w:rsidRDefault="00725AB3">
          <w:pPr>
            <w:rPr>
              <w:sz w:val="1"/>
            </w:rPr>
          </w:pPr>
        </w:p>
      </w:tc>
      <w:tc>
        <w:tcPr>
          <w:tcW w:w="5670" w:type="dxa"/>
          <w:vAlign w:val="center"/>
        </w:tcPr>
        <w:p w:rsidR="00725AB3" w:rsidRDefault="00725AB3">
          <w:pPr>
            <w:ind w:left="28" w:right="28"/>
            <w:jc w:val="right"/>
            <w:rPr>
              <w:color w:val="000000"/>
              <w:sz w:val="16"/>
            </w:rPr>
          </w:pPr>
        </w:p>
      </w:tc>
    </w:tr>
    <w:tr w:rsidR="00725AB3">
      <w:trPr>
        <w:trHeight w:hRule="exact" w:val="345"/>
      </w:trPr>
      <w:tc>
        <w:tcPr>
          <w:tcW w:w="15135" w:type="dxa"/>
          <w:gridSpan w:val="2"/>
          <w:vAlign w:val="center"/>
        </w:tcPr>
        <w:p w:rsidR="00725AB3" w:rsidRDefault="004817B6">
          <w:pPr>
            <w:ind w:left="28" w:right="28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fldChar w:fldCharType="begin"/>
          </w:r>
          <w:r>
            <w:rPr>
              <w:color w:val="000000"/>
              <w:sz w:val="24"/>
            </w:rPr>
            <w:instrText xml:space="preserve"> PAGE </w:instrText>
          </w:r>
          <w:r>
            <w:rPr>
              <w:color w:val="000000"/>
              <w:sz w:val="24"/>
            </w:rPr>
            <w:fldChar w:fldCharType="separate"/>
          </w:r>
          <w:r w:rsidR="002D7A62">
            <w:rPr>
              <w:noProof/>
              <w:color w:val="000000"/>
              <w:sz w:val="24"/>
            </w:rPr>
            <w:t>2</w:t>
          </w:r>
          <w:r>
            <w:rPr>
              <w:color w:val="000000"/>
              <w:sz w:val="24"/>
            </w:rP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AB3" w:rsidRPr="00E83008" w:rsidRDefault="00725AB3">
    <w:pPr>
      <w:rPr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725AB3">
      <w:trPr>
        <w:trHeight w:hRule="exact" w:val="390"/>
      </w:trPr>
      <w:tc>
        <w:tcPr>
          <w:tcW w:w="9465" w:type="dxa"/>
        </w:tcPr>
        <w:p w:rsidR="00725AB3" w:rsidRPr="00E83008" w:rsidRDefault="00725AB3">
          <w:pPr>
            <w:rPr>
              <w:sz w:val="1"/>
            </w:rPr>
          </w:pPr>
        </w:p>
      </w:tc>
      <w:tc>
        <w:tcPr>
          <w:tcW w:w="5670" w:type="dxa"/>
          <w:vAlign w:val="center"/>
        </w:tcPr>
        <w:p w:rsidR="00725AB3" w:rsidRDefault="00725AB3">
          <w:pPr>
            <w:ind w:left="28" w:right="28"/>
            <w:jc w:val="right"/>
            <w:rPr>
              <w:color w:val="000000"/>
              <w:sz w:val="16"/>
            </w:rPr>
          </w:pPr>
        </w:p>
      </w:tc>
    </w:tr>
  </w:tbl>
  <w:p w:rsidR="00725AB3" w:rsidRDefault="00725A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B3"/>
    <w:rsid w:val="000A63D4"/>
    <w:rsid w:val="002D7A62"/>
    <w:rsid w:val="00314F05"/>
    <w:rsid w:val="00453D20"/>
    <w:rsid w:val="004700D2"/>
    <w:rsid w:val="004817B6"/>
    <w:rsid w:val="005A3A0E"/>
    <w:rsid w:val="005F6EFA"/>
    <w:rsid w:val="00725AB3"/>
    <w:rsid w:val="00E83008"/>
    <w:rsid w:val="00E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E04C7-9233-4470-8406-7627DAA0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931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31B1"/>
    <w:rPr>
      <w:szCs w:val="22"/>
    </w:rPr>
  </w:style>
  <w:style w:type="paragraph" w:styleId="a7">
    <w:name w:val="footer"/>
    <w:basedOn w:val="a"/>
    <w:link w:val="a8"/>
    <w:uiPriority w:val="99"/>
    <w:unhideWhenUsed/>
    <w:rsid w:val="00E931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31B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Юлиана Суворова</dc:creator>
  <cp:lastModifiedBy>Юлиана Суворова</cp:lastModifiedBy>
  <cp:revision>4</cp:revision>
  <dcterms:created xsi:type="dcterms:W3CDTF">2023-04-25T07:33:00Z</dcterms:created>
  <dcterms:modified xsi:type="dcterms:W3CDTF">2023-04-25T07:35:00Z</dcterms:modified>
</cp:coreProperties>
</file>