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4BBF8" w14:textId="77777777" w:rsidR="00B13C55" w:rsidRDefault="00BF3AC8">
      <w:pPr>
        <w:widowControl w:val="0"/>
        <w:spacing w:after="0" w:line="240" w:lineRule="auto"/>
        <w:ind w:left="70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 1</w:t>
      </w:r>
    </w:p>
    <w:p w14:paraId="1FCBEDEA" w14:textId="77777777" w:rsidR="00B13C55" w:rsidRDefault="00BF3AC8">
      <w:pPr>
        <w:spacing w:after="0" w:line="240" w:lineRule="auto"/>
        <w:ind w:left="70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аналитической записке</w:t>
      </w:r>
    </w:p>
    <w:p w14:paraId="6D72F529" w14:textId="77777777" w:rsidR="00B13C55" w:rsidRPr="00E2105D" w:rsidRDefault="00B13C55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E3406D9" w14:textId="77777777" w:rsidR="00B13C55" w:rsidRDefault="00BF3A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Информация об основных показателях </w:t>
      </w:r>
    </w:p>
    <w:p w14:paraId="5CF7B4D5" w14:textId="77777777" w:rsidR="00B13C55" w:rsidRDefault="00BF3A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социально-экономического развития Российской Федерации</w:t>
      </w:r>
    </w:p>
    <w:p w14:paraId="25E12EEA" w14:textId="77777777" w:rsidR="00B13C55" w:rsidRDefault="00BF3A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 январе – </w:t>
      </w:r>
      <w:r w:rsidR="00F847D8">
        <w:rPr>
          <w:rFonts w:ascii="Times New Roman" w:hAnsi="Times New Roman"/>
          <w:b/>
          <w:bCs/>
          <w:sz w:val="24"/>
          <w:szCs w:val="24"/>
        </w:rPr>
        <w:t xml:space="preserve">июне </w:t>
      </w:r>
      <w:r w:rsidR="00195B0D">
        <w:rPr>
          <w:rFonts w:ascii="Times New Roman" w:hAnsi="Times New Roman"/>
          <w:b/>
          <w:bCs/>
          <w:sz w:val="24"/>
          <w:szCs w:val="24"/>
        </w:rPr>
        <w:t xml:space="preserve">2022 </w:t>
      </w:r>
      <w:r>
        <w:rPr>
          <w:rFonts w:ascii="Times New Roman" w:hAnsi="Times New Roman"/>
          <w:b/>
          <w:bCs/>
          <w:sz w:val="24"/>
          <w:szCs w:val="24"/>
        </w:rPr>
        <w:t>года</w:t>
      </w:r>
    </w:p>
    <w:p w14:paraId="4AD19130" w14:textId="77777777" w:rsidR="00B13C55" w:rsidRDefault="00B13C55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shd w:val="clear" w:color="auto" w:fill="FFFF00"/>
        </w:rPr>
      </w:pPr>
    </w:p>
    <w:p w14:paraId="64BBB188" w14:textId="77777777" w:rsidR="00B13C55" w:rsidRDefault="00BF3AC8" w:rsidP="00E2105D">
      <w:pPr>
        <w:widowControl w:val="0"/>
        <w:spacing w:after="0" w:line="35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1.</w:t>
      </w:r>
      <w:r>
        <w:rPr>
          <w:rFonts w:ascii="Times New Roman" w:hAnsi="Times New Roman"/>
          <w:sz w:val="24"/>
          <w:szCs w:val="24"/>
          <w:u w:val="single"/>
        </w:rPr>
        <w:t> </w:t>
      </w:r>
      <w:r w:rsidR="00727AA0">
        <w:rPr>
          <w:rFonts w:ascii="Times New Roman" w:hAnsi="Times New Roman"/>
          <w:b/>
          <w:bCs/>
          <w:sz w:val="24"/>
          <w:szCs w:val="24"/>
          <w:u w:val="single"/>
        </w:rPr>
        <w:t xml:space="preserve">Исходные условия формирования экономики </w:t>
      </w:r>
    </w:p>
    <w:p w14:paraId="0F96991B" w14:textId="40DE35C0" w:rsidR="000C59D4" w:rsidRDefault="00727AA0" w:rsidP="00E210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35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</w:pPr>
      <w:r w:rsidRPr="00727AA0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В </w:t>
      </w:r>
      <w:r w:rsidR="00E90DB3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первом</w:t>
      </w:r>
      <w:r w:rsidRPr="00727AA0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 полугодии 2022 года экономика России развивалась в условиях резко возросшего </w:t>
      </w:r>
      <w:proofErr w:type="spellStart"/>
      <w:r w:rsidRPr="00727AA0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санкционного</w:t>
      </w:r>
      <w:proofErr w:type="spellEnd"/>
      <w:r w:rsidRPr="00727AA0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 давления, что привело к сокращению и трансформации внешнеторговых потоков, изменениям экономической политики и замедлению или сокращению</w:t>
      </w:r>
      <w:r w:rsidR="000C59D4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 ряда основных показателей.</w:t>
      </w:r>
    </w:p>
    <w:p w14:paraId="1F7C6D76" w14:textId="77777777" w:rsidR="00727AA0" w:rsidRDefault="007559ED" w:rsidP="00E210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35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</w:pPr>
      <w:r w:rsidRPr="007559ED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При этом динамика основных социально-экономических показателей нетрадиционна для кризисного периода. В 2015 и 2020 годах резкое изменение внешних условий функционирования экономики сопровождалось критическим падением цен на нефть и долгосрочной девальвацией рубля. </w:t>
      </w:r>
      <w:r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Однако в 2022 году, </w:t>
      </w:r>
      <w:r w:rsidR="00727AA0" w:rsidRPr="00727AA0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несмотря на неопределенность дальнейшего развития ситуации, цена на нефть сохранялась достаточно высокой, а курс рубля после мартовской девальвации укрепился почти в 2 раза.</w:t>
      </w:r>
    </w:p>
    <w:p w14:paraId="03801ABE" w14:textId="4B1CBF1A" w:rsidR="00CB4FE5" w:rsidRPr="00CB4FE5" w:rsidRDefault="00E42391" w:rsidP="00E210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35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</w:pPr>
      <w:r w:rsidRPr="00E42391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Динамика нефтяных цен формировалась под воздействием шока спроса и предложения</w:t>
      </w:r>
      <w:r w:rsidR="002F747A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 и </w:t>
      </w:r>
      <w:r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по итогам </w:t>
      </w:r>
      <w:r w:rsidR="00E90DB3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первого</w:t>
      </w:r>
      <w:r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 полугодия 2022 года </w:t>
      </w:r>
      <w:r w:rsidRPr="00E42391">
        <w:rPr>
          <w:rFonts w:ascii="Times New Roman" w:eastAsia="Calibri" w:hAnsi="Times New Roman" w:cs="Times New Roman"/>
          <w:b/>
          <w:color w:val="auto"/>
          <w:sz w:val="24"/>
          <w:szCs w:val="24"/>
          <w:bdr w:val="none" w:sz="0" w:space="0" w:color="auto"/>
        </w:rPr>
        <w:t>ц</w:t>
      </w:r>
      <w:r w:rsidR="00CB4FE5" w:rsidRPr="00CB4FE5">
        <w:rPr>
          <w:rFonts w:ascii="Times New Roman" w:eastAsia="Calibri" w:hAnsi="Times New Roman" w:cs="Times New Roman"/>
          <w:b/>
          <w:color w:val="auto"/>
          <w:sz w:val="24"/>
          <w:szCs w:val="24"/>
          <w:bdr w:val="none" w:sz="0" w:space="0" w:color="auto"/>
        </w:rPr>
        <w:t>ена на нефть марки «Юралс»</w:t>
      </w:r>
      <w:r w:rsidR="00CB4FE5" w:rsidRPr="00CB4FE5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 составила </w:t>
      </w:r>
      <w:r w:rsidR="00CB4FE5" w:rsidRPr="00E21BB7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85,4 доллара США за баррель</w:t>
      </w:r>
      <w:r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. При этом</w:t>
      </w:r>
      <w:r w:rsidR="002F747A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 в результате эскалации </w:t>
      </w:r>
      <w:r w:rsidR="002F747A" w:rsidRPr="00CB4FE5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геополитических рисков</w:t>
      </w:r>
      <w:r w:rsidR="00373FD0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 начал расти</w:t>
      </w:r>
      <w:r w:rsidR="002F747A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 дисконт относительно </w:t>
      </w:r>
      <w:r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марки нефти «</w:t>
      </w:r>
      <w:proofErr w:type="spellStart"/>
      <w:r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Брент</w:t>
      </w:r>
      <w:proofErr w:type="spellEnd"/>
      <w:r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»</w:t>
      </w:r>
      <w:r w:rsidR="00373FD0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 - с </w:t>
      </w:r>
      <w:r w:rsidR="00320826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2</w:t>
      </w:r>
      <w:r w:rsidR="00373FD0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-4 долларов США за баррель </w:t>
      </w:r>
      <w:r w:rsidR="00320826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в январе – феврале </w:t>
      </w:r>
      <w:r w:rsidR="00373FD0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до 20 долларов США в марте и свыше </w:t>
      </w:r>
      <w:r w:rsidR="004A0E33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30</w:t>
      </w:r>
      <w:r w:rsidR="004C4F3A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 долларов США</w:t>
      </w:r>
      <w:r w:rsidR="00373FD0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 в апреле и мае. В</w:t>
      </w:r>
      <w:r w:rsidR="00CB4FE5" w:rsidRPr="00CB4FE5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 дальнейшем по мере переориентации экспортных потоков и увеличения прямых среднесрочных и долгосрочных договоров, исключающих цепочки посредников, </w:t>
      </w:r>
      <w:r w:rsidR="00373FD0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дисконт </w:t>
      </w:r>
      <w:r w:rsidR="00CB4FE5" w:rsidRPr="00CB4FE5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с</w:t>
      </w:r>
      <w:r w:rsidR="004A0E33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ократился до 20-25 долларов США.</w:t>
      </w:r>
      <w:r w:rsidR="002F747A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 Однако даже с учетом дисконта </w:t>
      </w:r>
      <w:r w:rsidR="002F747A">
        <w:rPr>
          <w:rFonts w:ascii="Times New Roman" w:hAnsi="Times New Roman"/>
          <w:sz w:val="24"/>
          <w:szCs w:val="24"/>
        </w:rPr>
        <w:t>т</w:t>
      </w:r>
      <w:r w:rsidR="002F747A" w:rsidRPr="001A5B03">
        <w:rPr>
          <w:rFonts w:ascii="Times New Roman" w:hAnsi="Times New Roman"/>
          <w:sz w:val="24"/>
          <w:szCs w:val="24"/>
        </w:rPr>
        <w:t xml:space="preserve">екущая цена на нефть марки «Юралс» за </w:t>
      </w:r>
      <w:r w:rsidR="00E90DB3">
        <w:rPr>
          <w:rFonts w:ascii="Times New Roman" w:hAnsi="Times New Roman"/>
          <w:sz w:val="24"/>
          <w:szCs w:val="24"/>
        </w:rPr>
        <w:t>первое</w:t>
      </w:r>
      <w:r w:rsidR="002F747A" w:rsidRPr="001A5B03">
        <w:rPr>
          <w:rFonts w:ascii="Times New Roman" w:hAnsi="Times New Roman"/>
          <w:bCs/>
          <w:sz w:val="24"/>
          <w:szCs w:val="24"/>
        </w:rPr>
        <w:t xml:space="preserve"> полугодие 2022 года </w:t>
      </w:r>
      <w:r w:rsidR="002F747A" w:rsidRPr="001A5B03">
        <w:rPr>
          <w:rFonts w:ascii="Times New Roman" w:hAnsi="Times New Roman"/>
          <w:sz w:val="24"/>
          <w:szCs w:val="24"/>
        </w:rPr>
        <w:t>на 37,3 %</w:t>
      </w:r>
      <w:r w:rsidR="002F747A">
        <w:rPr>
          <w:rFonts w:ascii="Times New Roman" w:hAnsi="Times New Roman"/>
          <w:sz w:val="24"/>
          <w:szCs w:val="24"/>
        </w:rPr>
        <w:t xml:space="preserve"> </w:t>
      </w:r>
      <w:r w:rsidR="002F747A" w:rsidRPr="00E21BB7">
        <w:rPr>
          <w:rFonts w:ascii="Times New Roman" w:hAnsi="Times New Roman"/>
          <w:sz w:val="24"/>
          <w:szCs w:val="24"/>
        </w:rPr>
        <w:t>превышает прогнозное значение</w:t>
      </w:r>
      <w:r w:rsidR="002F747A">
        <w:rPr>
          <w:rFonts w:ascii="Times New Roman" w:hAnsi="Times New Roman"/>
          <w:sz w:val="24"/>
          <w:szCs w:val="24"/>
        </w:rPr>
        <w:t>, которое использовалось</w:t>
      </w:r>
      <w:r w:rsidR="002F747A" w:rsidRPr="001A5B03">
        <w:rPr>
          <w:rFonts w:ascii="Times New Roman" w:hAnsi="Times New Roman"/>
          <w:sz w:val="24"/>
          <w:szCs w:val="24"/>
        </w:rPr>
        <w:t xml:space="preserve"> в расчетах к проекту Федерального закона № 390-ФЗ (62,2</w:t>
      </w:r>
      <w:r w:rsidR="00E90DB3">
        <w:rPr>
          <w:rFonts w:ascii="Times New Roman" w:hAnsi="Times New Roman"/>
          <w:sz w:val="24"/>
          <w:szCs w:val="24"/>
        </w:rPr>
        <w:t> </w:t>
      </w:r>
      <w:r w:rsidR="002F747A" w:rsidRPr="001A5B03">
        <w:rPr>
          <w:rFonts w:ascii="Times New Roman" w:hAnsi="Times New Roman"/>
          <w:sz w:val="24"/>
          <w:szCs w:val="24"/>
        </w:rPr>
        <w:t>доллара США).</w:t>
      </w:r>
    </w:p>
    <w:p w14:paraId="4DC82D28" w14:textId="1E82AC96" w:rsidR="00B13C55" w:rsidRDefault="00B0057F" w:rsidP="00E2105D">
      <w:pPr>
        <w:spacing w:after="0" w:line="35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</w:pPr>
      <w:r w:rsidRPr="00B0057F">
        <w:rPr>
          <w:rFonts w:ascii="Times New Roman" w:eastAsia="Calibri" w:hAnsi="Times New Roman" w:cs="Times New Roman"/>
          <w:b/>
          <w:color w:val="auto"/>
          <w:sz w:val="24"/>
          <w:szCs w:val="24"/>
          <w:bdr w:val="none" w:sz="0" w:space="0" w:color="auto"/>
        </w:rPr>
        <w:t>Курс рубля</w:t>
      </w:r>
      <w:r w:rsidRPr="00B0057F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 после рекордного ослабления в марте (до 103,7 рубля за доллар США) во II квартале начал укрепляться, и уже к концу первого полугодия достиг значений 2015 года, приблизившись к уровню в 50 рублей за доллар США. Этому способствовало введение валютного контроля, а также ужесточение денежно-кредитной политики. В среднем за январь – июнь </w:t>
      </w:r>
      <w:bookmarkStart w:id="0" w:name="_GoBack"/>
      <w:bookmarkEnd w:id="0"/>
      <w:r w:rsidRPr="00B0057F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2022 года курс доллара США к рублю составил </w:t>
      </w:r>
      <w:r w:rsidRPr="00E21BB7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74,8 рубля за доллар США</w:t>
      </w:r>
      <w:r w:rsidR="00E90DB3" w:rsidRPr="00E90DB3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, что</w:t>
      </w:r>
      <w:r w:rsidR="00E90DB3">
        <w:rPr>
          <w:rFonts w:ascii="Times New Roman" w:eastAsia="Calibri" w:hAnsi="Times New Roman" w:cs="Times New Roman"/>
          <w:b/>
          <w:color w:val="auto"/>
          <w:sz w:val="24"/>
          <w:szCs w:val="24"/>
          <w:bdr w:val="none" w:sz="0" w:space="0" w:color="auto"/>
        </w:rPr>
        <w:t xml:space="preserve"> </w:t>
      </w:r>
      <w:r w:rsidR="00036188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на 3,7 % </w:t>
      </w:r>
      <w:r w:rsidR="00036188" w:rsidRPr="00E21BB7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больше прогнозного значения</w:t>
      </w:r>
      <w:r w:rsidR="00036188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 на 2022 год в соответствии с Прогнозом 2022-2024.</w:t>
      </w:r>
    </w:p>
    <w:p w14:paraId="13792948" w14:textId="2700DF7E" w:rsidR="000B007E" w:rsidRDefault="0022550A" w:rsidP="00E210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35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К</w:t>
      </w:r>
      <w:r w:rsidR="0038655E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 началу мая </w:t>
      </w:r>
      <w:r w:rsidRPr="00E16DB9">
        <w:rPr>
          <w:rFonts w:ascii="Times New Roman" w:eastAsia="Calibri" w:hAnsi="Times New Roman" w:cs="Times New Roman"/>
          <w:b/>
          <w:color w:val="auto"/>
          <w:sz w:val="24"/>
          <w:szCs w:val="24"/>
          <w:bdr w:val="none" w:sz="0" w:space="0" w:color="auto"/>
        </w:rPr>
        <w:t>прирост потребительских цен</w:t>
      </w:r>
      <w:r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 в годовом выражении </w:t>
      </w:r>
      <w:r w:rsidR="0038655E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приблизилс</w:t>
      </w:r>
      <w:r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я</w:t>
      </w:r>
      <w:r w:rsidR="0038655E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 к 18 %</w:t>
      </w:r>
      <w:r w:rsidR="000B007E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.</w:t>
      </w:r>
    </w:p>
    <w:p w14:paraId="2A316927" w14:textId="70BB0695" w:rsidR="00214B91" w:rsidRPr="00B0057F" w:rsidRDefault="00752C9B" w:rsidP="00B0057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</w:pPr>
      <w:proofErr w:type="spellStart"/>
      <w:r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lastRenderedPageBreak/>
        <w:t>П</w:t>
      </w:r>
      <w:r w:rsidR="006E721F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роинфляционными</w:t>
      </w:r>
      <w:proofErr w:type="spellEnd"/>
      <w:r w:rsidR="006E721F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 факторами стали</w:t>
      </w:r>
      <w:r w:rsidR="0038655E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 девальваци</w:t>
      </w:r>
      <w:r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я</w:t>
      </w:r>
      <w:r w:rsidR="0038655E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 рубля в марте 2022 года, нарушени</w:t>
      </w:r>
      <w:r w:rsidR="006E721F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е</w:t>
      </w:r>
      <w:r w:rsidR="0038655E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 логистических цепочек, сокращени</w:t>
      </w:r>
      <w:r w:rsidR="006E721F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е</w:t>
      </w:r>
      <w:r w:rsidR="0038655E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 импорта </w:t>
      </w:r>
      <w:r w:rsidR="0038655E" w:rsidRPr="0038655E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и </w:t>
      </w:r>
      <w:proofErr w:type="gramStart"/>
      <w:r w:rsidR="0038655E" w:rsidRPr="0038655E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традиционн</w:t>
      </w:r>
      <w:r w:rsidR="006E721F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ый</w:t>
      </w:r>
      <w:proofErr w:type="gramEnd"/>
      <w:r w:rsidR="0038655E" w:rsidRPr="0038655E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 для начала кризиса ажиотажн</w:t>
      </w:r>
      <w:r w:rsidR="006E721F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ый</w:t>
      </w:r>
      <w:r w:rsidR="0038655E" w:rsidRPr="0038655E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 потребительск</w:t>
      </w:r>
      <w:r w:rsidR="006E721F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ий</w:t>
      </w:r>
      <w:r w:rsidR="0038655E" w:rsidRPr="0038655E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 спроса</w:t>
      </w:r>
      <w:r w:rsidR="0022550A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.</w:t>
      </w:r>
      <w:r w:rsidR="00A7454D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 Однако уже в мае инфляция начала замедляться благодаря ужесточению денежно-кредитной политики</w:t>
      </w:r>
      <w:r w:rsidR="00F436D9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,</w:t>
      </w:r>
      <w:r w:rsidR="00F436D9" w:rsidRPr="00F436D9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F436D9" w:rsidRPr="00A7454D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укреплени</w:t>
      </w:r>
      <w:r w:rsidR="00F436D9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ю</w:t>
      </w:r>
      <w:r w:rsidR="00F436D9" w:rsidRPr="00A7454D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 рубля</w:t>
      </w:r>
      <w:r w:rsidR="00A7454D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, а также по мере исчерпания ажиотажного спроса,</w:t>
      </w:r>
      <w:r w:rsidR="00A7454D" w:rsidRPr="00A7454D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 сезонно</w:t>
      </w:r>
      <w:r w:rsidR="00A7454D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го</w:t>
      </w:r>
      <w:r w:rsidR="00A7454D" w:rsidRPr="00A7454D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 замедлени</w:t>
      </w:r>
      <w:r w:rsidR="00A7454D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я роста цен</w:t>
      </w:r>
      <w:r w:rsidR="008B4D74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 и улучшения инфляционных ожиданий</w:t>
      </w:r>
      <w:r w:rsidR="00A7454D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. </w:t>
      </w:r>
      <w:r w:rsidR="00A7454D" w:rsidRPr="00A7454D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В результате по итогам июня потребительские цены снизились на 0,35</w:t>
      </w:r>
      <w:r w:rsidR="00A7454D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 </w:t>
      </w:r>
      <w:r w:rsidR="00A7454D" w:rsidRPr="00A7454D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% (как за счет удешевления продовольствия – на 1,1</w:t>
      </w:r>
      <w:r w:rsidR="00A7454D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 </w:t>
      </w:r>
      <w:r w:rsidR="00A7454D" w:rsidRPr="00A7454D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%, так и непродовольственных товаров – на 0,41</w:t>
      </w:r>
      <w:r w:rsidR="00A7454D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 </w:t>
      </w:r>
      <w:r w:rsidR="00A7454D" w:rsidRPr="00A7454D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%), а в годовом выражении инфляция замедлилась до 15,9</w:t>
      </w:r>
      <w:r w:rsidR="00A7454D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 </w:t>
      </w:r>
      <w:r w:rsidR="00A7454D" w:rsidRPr="00A7454D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%.</w:t>
      </w:r>
      <w:r w:rsidR="007A54F5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D2731B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По итогам </w:t>
      </w:r>
      <w:r w:rsidR="00E90DB3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первого</w:t>
      </w:r>
      <w:r w:rsidR="00D2731B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 полугодия инфляция составила </w:t>
      </w:r>
      <w:r w:rsidR="00D2731B" w:rsidRPr="00E21BB7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11,4 %</w:t>
      </w:r>
      <w:r w:rsidR="00F436D9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 xml:space="preserve"> (к декабрю 2021 года)</w:t>
      </w:r>
      <w:r w:rsidR="00D2731B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</w:rPr>
        <w:t>.</w:t>
      </w:r>
    </w:p>
    <w:p w14:paraId="449BC746" w14:textId="77777777" w:rsidR="00B13C55" w:rsidRPr="00F847D8" w:rsidRDefault="00B13C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shd w:val="clear" w:color="auto" w:fill="FFFF00"/>
        </w:rPr>
      </w:pPr>
    </w:p>
    <w:p w14:paraId="2738948F" w14:textId="77777777" w:rsidR="00B13C55" w:rsidRPr="00F72317" w:rsidRDefault="00F72317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F72317"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 w:rsidR="00BF3AC8" w:rsidRPr="00F72317">
        <w:rPr>
          <w:rFonts w:ascii="Times New Roman" w:hAnsi="Times New Roman"/>
          <w:b/>
          <w:bCs/>
          <w:sz w:val="24"/>
          <w:szCs w:val="24"/>
          <w:u w:val="single"/>
        </w:rPr>
        <w:t xml:space="preserve">. </w:t>
      </w:r>
      <w:r w:rsidRPr="00F72317">
        <w:rPr>
          <w:rFonts w:ascii="Times New Roman" w:hAnsi="Times New Roman"/>
          <w:b/>
          <w:bCs/>
          <w:sz w:val="24"/>
          <w:szCs w:val="24"/>
          <w:u w:val="single"/>
        </w:rPr>
        <w:t>Показатели реального сектора экономики</w:t>
      </w:r>
    </w:p>
    <w:p w14:paraId="40A7FA68" w14:textId="3CFAFEA4" w:rsidR="000B3A6D" w:rsidRPr="00681C0B" w:rsidRDefault="000D72A0" w:rsidP="000B3A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Во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II</w:t>
      </w:r>
      <w:r w:rsidRPr="007964D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квартале 2022 года </w:t>
      </w:r>
      <w:r w:rsidR="007964D7">
        <w:rPr>
          <w:rFonts w:ascii="Times New Roman" w:eastAsia="Times New Roman" w:hAnsi="Times New Roman" w:cs="Times New Roman"/>
          <w:bCs/>
          <w:sz w:val="24"/>
          <w:szCs w:val="24"/>
        </w:rPr>
        <w:t>на динамику показателей реального сектора экономики оказывал</w:t>
      </w:r>
      <w:r w:rsidR="00347965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7964D7">
        <w:rPr>
          <w:rFonts w:ascii="Times New Roman" w:eastAsia="Times New Roman" w:hAnsi="Times New Roman" w:cs="Times New Roman"/>
          <w:bCs/>
          <w:sz w:val="24"/>
          <w:szCs w:val="24"/>
        </w:rPr>
        <w:t xml:space="preserve"> влияние </w:t>
      </w:r>
      <w:r w:rsidR="00347965">
        <w:rPr>
          <w:rFonts w:ascii="Times New Roman" w:eastAsia="Times New Roman" w:hAnsi="Times New Roman" w:cs="Times New Roman"/>
          <w:bCs/>
          <w:sz w:val="24"/>
          <w:szCs w:val="24"/>
        </w:rPr>
        <w:t>резкое сжатие импорта, трансформация спроса и предложения на внешнем и внутреннем рынках, нарушение логистических цепочек.</w:t>
      </w:r>
      <w:proofErr w:type="gramEnd"/>
      <w:r w:rsidR="003479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4A59">
        <w:rPr>
          <w:rFonts w:ascii="Times New Roman" w:eastAsia="Times New Roman" w:hAnsi="Times New Roman" w:cs="Times New Roman"/>
          <w:bCs/>
          <w:sz w:val="24"/>
          <w:szCs w:val="24"/>
        </w:rPr>
        <w:t xml:space="preserve">Однако </w:t>
      </w:r>
      <w:r w:rsidR="00574A59" w:rsidRPr="00574A59">
        <w:rPr>
          <w:rFonts w:ascii="Times New Roman" w:eastAsia="Times New Roman" w:hAnsi="Times New Roman" w:cs="Times New Roman"/>
          <w:bCs/>
          <w:sz w:val="24"/>
          <w:szCs w:val="24"/>
        </w:rPr>
        <w:t>предпринятые антикризисные меры, особенно в части денежно-кредитной политики, оказались достаточно эффективны, чтобы поддержать российскую экономику.</w:t>
      </w:r>
      <w:r w:rsidR="00574A59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результате сокращение </w:t>
      </w:r>
      <w:r w:rsidR="00574A59" w:rsidRPr="00B026B7">
        <w:rPr>
          <w:rFonts w:ascii="Times New Roman" w:eastAsia="Times New Roman" w:hAnsi="Times New Roman" w:cs="Times New Roman"/>
          <w:b/>
          <w:bCs/>
          <w:sz w:val="24"/>
          <w:szCs w:val="24"/>
        </w:rPr>
        <w:t>ВВП</w:t>
      </w:r>
      <w:r w:rsidR="00574A59">
        <w:rPr>
          <w:rFonts w:ascii="Times New Roman" w:eastAsia="Times New Roman" w:hAnsi="Times New Roman" w:cs="Times New Roman"/>
          <w:bCs/>
          <w:sz w:val="24"/>
          <w:szCs w:val="24"/>
        </w:rPr>
        <w:t xml:space="preserve"> оказалось не столь существенным и, </w:t>
      </w:r>
      <w:r w:rsidR="00A92C14">
        <w:rPr>
          <w:rFonts w:ascii="Times New Roman" w:eastAsia="Times New Roman" w:hAnsi="Times New Roman" w:cs="Times New Roman"/>
          <w:bCs/>
          <w:sz w:val="24"/>
          <w:szCs w:val="24"/>
        </w:rPr>
        <w:t>по оценке Минэкономразвития России</w:t>
      </w:r>
      <w:r w:rsidR="00071168">
        <w:rPr>
          <w:rStyle w:val="af2"/>
          <w:rFonts w:ascii="Times New Roman" w:eastAsia="Times New Roman" w:hAnsi="Times New Roman" w:cs="Times New Roman"/>
          <w:bCs/>
          <w:sz w:val="24"/>
          <w:szCs w:val="24"/>
        </w:rPr>
        <w:footnoteReference w:id="2"/>
      </w:r>
      <w:r w:rsidR="00A92C14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3479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92C14">
        <w:rPr>
          <w:rFonts w:ascii="Times New Roman" w:eastAsia="Times New Roman" w:hAnsi="Times New Roman" w:cs="Times New Roman"/>
          <w:bCs/>
          <w:sz w:val="24"/>
          <w:szCs w:val="24"/>
        </w:rPr>
        <w:t xml:space="preserve">в целом за </w:t>
      </w:r>
      <w:r w:rsidR="00F80FD5">
        <w:rPr>
          <w:rFonts w:ascii="Times New Roman" w:eastAsia="Times New Roman" w:hAnsi="Times New Roman" w:cs="Times New Roman"/>
          <w:bCs/>
          <w:sz w:val="24"/>
          <w:szCs w:val="24"/>
        </w:rPr>
        <w:t>первое</w:t>
      </w:r>
      <w:r w:rsidR="00A92C14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полугодие составил</w:t>
      </w:r>
      <w:r w:rsidR="00574A59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A92C14">
        <w:rPr>
          <w:rFonts w:ascii="Times New Roman" w:eastAsia="Times New Roman" w:hAnsi="Times New Roman" w:cs="Times New Roman"/>
          <w:bCs/>
          <w:sz w:val="24"/>
          <w:szCs w:val="24"/>
        </w:rPr>
        <w:t xml:space="preserve"> только 0,5 %.</w:t>
      </w:r>
      <w:r w:rsidR="00681C0B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Дополнительную поддержку динамике оказал рост ВВП в </w:t>
      </w:r>
      <w:r w:rsidR="00681C0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r w:rsidR="00681C0B" w:rsidRPr="00681C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81C0B">
        <w:rPr>
          <w:rFonts w:ascii="Times New Roman" w:eastAsia="Times New Roman" w:hAnsi="Times New Roman" w:cs="Times New Roman"/>
          <w:bCs/>
          <w:sz w:val="24"/>
          <w:szCs w:val="24"/>
        </w:rPr>
        <w:t>квартале на 3,5 %.</w:t>
      </w:r>
    </w:p>
    <w:p w14:paraId="073E3410" w14:textId="7E595DAC" w:rsidR="008D45D4" w:rsidRDefault="00551986" w:rsidP="000B3A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Относительно успешное прохождение кризиса позволило улучшить оценки спада ВВП по итогам года. </w:t>
      </w:r>
      <w:r w:rsidR="00823DB8" w:rsidRPr="00823DB8">
        <w:rPr>
          <w:rFonts w:ascii="Times New Roman" w:eastAsia="Times New Roman" w:hAnsi="Times New Roman" w:cs="Times New Roman"/>
          <w:bCs/>
          <w:sz w:val="24"/>
          <w:szCs w:val="24"/>
        </w:rPr>
        <w:t>Июльские прогнозы (</w:t>
      </w:r>
      <w:r w:rsidR="00823DB8">
        <w:rPr>
          <w:rFonts w:ascii="Times New Roman" w:eastAsia="Times New Roman" w:hAnsi="Times New Roman" w:cs="Times New Roman"/>
          <w:bCs/>
          <w:sz w:val="24"/>
          <w:szCs w:val="24"/>
        </w:rPr>
        <w:t>МВФ, ОПЕК, Банк России, ВЭБ</w:t>
      </w:r>
      <w:proofErr w:type="gramStart"/>
      <w:r w:rsidR="00823DB8">
        <w:rPr>
          <w:rFonts w:ascii="Times New Roman" w:eastAsia="Times New Roman" w:hAnsi="Times New Roman" w:cs="Times New Roman"/>
          <w:bCs/>
          <w:sz w:val="24"/>
          <w:szCs w:val="24"/>
        </w:rPr>
        <w:t>.Р</w:t>
      </w:r>
      <w:proofErr w:type="gramEnd"/>
      <w:r w:rsidR="00823DB8">
        <w:rPr>
          <w:rFonts w:ascii="Times New Roman" w:eastAsia="Times New Roman" w:hAnsi="Times New Roman" w:cs="Times New Roman"/>
          <w:bCs/>
          <w:sz w:val="24"/>
          <w:szCs w:val="24"/>
        </w:rPr>
        <w:t>Ф, ЦМАКП</w:t>
      </w:r>
      <w:r w:rsidR="00823DB8" w:rsidRPr="00823DB8">
        <w:rPr>
          <w:rFonts w:ascii="Times New Roman" w:eastAsia="Times New Roman" w:hAnsi="Times New Roman" w:cs="Times New Roman"/>
          <w:bCs/>
          <w:sz w:val="24"/>
          <w:szCs w:val="24"/>
        </w:rPr>
        <w:t xml:space="preserve">) предполагают, что снижение российского ВВП не превысит </w:t>
      </w:r>
      <w:r w:rsidR="00F80FD5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823DB8" w:rsidRPr="00823DB8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F80FD5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823DB8" w:rsidRPr="00823DB8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F80FD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823DB8" w:rsidRPr="00823DB8">
        <w:rPr>
          <w:rFonts w:ascii="Times New Roman" w:eastAsia="Times New Roman" w:hAnsi="Times New Roman" w:cs="Times New Roman"/>
          <w:bCs/>
          <w:sz w:val="24"/>
          <w:szCs w:val="24"/>
        </w:rPr>
        <w:t xml:space="preserve">%, а некоторые эксперты </w:t>
      </w:r>
      <w:r w:rsidR="00C72EBB">
        <w:rPr>
          <w:rFonts w:ascii="Times New Roman" w:eastAsia="Times New Roman" w:hAnsi="Times New Roman" w:cs="Times New Roman"/>
          <w:bCs/>
          <w:sz w:val="24"/>
          <w:szCs w:val="24"/>
        </w:rPr>
        <w:t xml:space="preserve">(Банк России, ВЭБ.РФ) </w:t>
      </w:r>
      <w:r w:rsidR="00823DB8" w:rsidRPr="00823DB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повышают планку до </w:t>
      </w:r>
      <w:r w:rsidR="00F80FD5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823DB8" w:rsidRPr="00823DB8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F80FD5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823DB8" w:rsidRPr="00823DB8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F80FD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F80FD5" w:rsidRPr="00F80FD5">
        <w:rPr>
          <w:rFonts w:ascii="Times New Roman" w:eastAsia="Times New Roman" w:hAnsi="Times New Roman" w:cs="Times New Roman"/>
          <w:bCs/>
          <w:sz w:val="24"/>
          <w:szCs w:val="24"/>
        </w:rPr>
        <w:t>%</w:t>
      </w:r>
      <w:r w:rsidR="00F80FD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F80FD5" w:rsidRPr="00F80FD5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F80FD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823DB8" w:rsidRPr="00823DB8">
        <w:rPr>
          <w:rFonts w:ascii="Times New Roman" w:eastAsia="Times New Roman" w:hAnsi="Times New Roman" w:cs="Times New Roman"/>
          <w:bCs/>
          <w:sz w:val="24"/>
          <w:szCs w:val="24"/>
        </w:rPr>
        <w:t>(-)4</w:t>
      </w:r>
      <w:r w:rsidR="00F80FD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823DB8" w:rsidRPr="00823DB8">
        <w:rPr>
          <w:rFonts w:ascii="Times New Roman" w:eastAsia="Times New Roman" w:hAnsi="Times New Roman" w:cs="Times New Roman"/>
          <w:bCs/>
          <w:sz w:val="24"/>
          <w:szCs w:val="24"/>
        </w:rPr>
        <w:t>%.</w:t>
      </w:r>
    </w:p>
    <w:p w14:paraId="785FF9D7" w14:textId="4C9C0BDA" w:rsidR="00B026B7" w:rsidRPr="00451EEE" w:rsidRDefault="000B3A6D" w:rsidP="000B3A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26B7">
        <w:rPr>
          <w:rFonts w:ascii="Times New Roman" w:eastAsia="Times New Roman" w:hAnsi="Times New Roman" w:cs="Times New Roman"/>
          <w:bCs/>
          <w:sz w:val="24"/>
          <w:szCs w:val="24"/>
        </w:rPr>
        <w:t>Российскую экономику поддерживает</w:t>
      </w:r>
      <w:r w:rsidR="00451EEE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продолжающийся</w:t>
      </w:r>
      <w:r w:rsidRPr="00B026B7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</w:t>
      </w:r>
      <w:proofErr w:type="gramStart"/>
      <w:r w:rsidRPr="00B026B7">
        <w:rPr>
          <w:rFonts w:ascii="Times New Roman" w:eastAsia="Times New Roman" w:hAnsi="Times New Roman" w:cs="Times New Roman"/>
          <w:bCs/>
          <w:sz w:val="24"/>
          <w:szCs w:val="24"/>
        </w:rPr>
        <w:t>ст в стр</w:t>
      </w:r>
      <w:proofErr w:type="gramEnd"/>
      <w:r w:rsidRPr="00B026B7">
        <w:rPr>
          <w:rFonts w:ascii="Times New Roman" w:eastAsia="Times New Roman" w:hAnsi="Times New Roman" w:cs="Times New Roman"/>
          <w:bCs/>
          <w:sz w:val="24"/>
          <w:szCs w:val="24"/>
        </w:rPr>
        <w:t xml:space="preserve">оительстве и сельском хозяйстве, а также умеренное сокращение в промышленности и транспорте. </w:t>
      </w:r>
      <w:r w:rsidR="00451EEE">
        <w:rPr>
          <w:rFonts w:ascii="Times New Roman" w:eastAsia="Times New Roman" w:hAnsi="Times New Roman" w:cs="Times New Roman"/>
          <w:bCs/>
          <w:sz w:val="24"/>
          <w:szCs w:val="24"/>
        </w:rPr>
        <w:t xml:space="preserve">Ряд показателей за </w:t>
      </w:r>
      <w:r w:rsidR="00F80FD5">
        <w:rPr>
          <w:rFonts w:ascii="Times New Roman" w:eastAsia="Times New Roman" w:hAnsi="Times New Roman" w:cs="Times New Roman"/>
          <w:bCs/>
          <w:sz w:val="24"/>
          <w:szCs w:val="24"/>
        </w:rPr>
        <w:t>первое</w:t>
      </w:r>
      <w:r w:rsidR="00451EEE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полугодие остались в области положительных значений благодаря росту в </w:t>
      </w:r>
      <w:r w:rsidR="00451EE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r w:rsidR="00451EEE" w:rsidRPr="00451EE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51EEE">
        <w:rPr>
          <w:rFonts w:ascii="Times New Roman" w:eastAsia="Times New Roman" w:hAnsi="Times New Roman" w:cs="Times New Roman"/>
          <w:bCs/>
          <w:sz w:val="24"/>
          <w:szCs w:val="24"/>
        </w:rPr>
        <w:t>квартале.</w:t>
      </w:r>
    </w:p>
    <w:p w14:paraId="15009782" w14:textId="0447C81B" w:rsidR="00B026B7" w:rsidRDefault="00B77956" w:rsidP="000B3A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7956">
        <w:rPr>
          <w:rFonts w:ascii="Times New Roman" w:eastAsia="Times New Roman" w:hAnsi="Times New Roman" w:cs="Times New Roman"/>
          <w:b/>
          <w:bCs/>
          <w:sz w:val="24"/>
          <w:szCs w:val="24"/>
        </w:rPr>
        <w:t>Промышленное производство</w:t>
      </w:r>
      <w:r w:rsidR="00B026B7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целом за </w:t>
      </w:r>
      <w:r w:rsidR="00F80FD5">
        <w:rPr>
          <w:rFonts w:ascii="Times New Roman" w:eastAsia="Times New Roman" w:hAnsi="Times New Roman" w:cs="Times New Roman"/>
          <w:bCs/>
          <w:sz w:val="24"/>
          <w:szCs w:val="24"/>
        </w:rPr>
        <w:t>первое</w:t>
      </w:r>
      <w:r w:rsidR="00B026B7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полугодие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выросло на</w:t>
      </w:r>
      <w:r w:rsidR="00B026B7">
        <w:rPr>
          <w:rFonts w:ascii="Times New Roman" w:eastAsia="Times New Roman" w:hAnsi="Times New Roman" w:cs="Times New Roman"/>
          <w:bCs/>
          <w:sz w:val="24"/>
          <w:szCs w:val="24"/>
        </w:rPr>
        <w:t xml:space="preserve"> 2</w:t>
      </w:r>
      <w:r w:rsidR="00F80FD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B026B7">
        <w:rPr>
          <w:rFonts w:ascii="Times New Roman" w:eastAsia="Times New Roman" w:hAnsi="Times New Roman" w:cs="Times New Roman"/>
          <w:bCs/>
          <w:sz w:val="24"/>
          <w:szCs w:val="24"/>
        </w:rPr>
        <w:t xml:space="preserve">%. Этому способствовал заметный рост в </w:t>
      </w:r>
      <w:r w:rsidR="00B026B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r w:rsidR="00B026B7" w:rsidRPr="00B026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026B7">
        <w:rPr>
          <w:rFonts w:ascii="Times New Roman" w:eastAsia="Times New Roman" w:hAnsi="Times New Roman" w:cs="Times New Roman"/>
          <w:bCs/>
          <w:sz w:val="24"/>
          <w:szCs w:val="24"/>
        </w:rPr>
        <w:t xml:space="preserve">квартале (на 5,9 %) и умеренное сокращение во </w:t>
      </w:r>
      <w:r w:rsidR="00B026B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II</w:t>
      </w:r>
      <w:r w:rsidR="00B026B7" w:rsidRPr="00B026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026B7">
        <w:rPr>
          <w:rFonts w:ascii="Times New Roman" w:eastAsia="Times New Roman" w:hAnsi="Times New Roman" w:cs="Times New Roman"/>
          <w:bCs/>
          <w:sz w:val="24"/>
          <w:szCs w:val="24"/>
        </w:rPr>
        <w:t xml:space="preserve">квартале (на 1,7 %). </w:t>
      </w:r>
      <w:r w:rsidR="009C30C8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Основное давление оказывает снижение в обрабатывающем секторе – на 3,3 % во </w:t>
      </w:r>
      <w:r w:rsidR="009C30C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II</w:t>
      </w:r>
      <w:r w:rsidR="009C30C8" w:rsidRPr="009C30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C30C8">
        <w:rPr>
          <w:rFonts w:ascii="Times New Roman" w:eastAsia="Times New Roman" w:hAnsi="Times New Roman" w:cs="Times New Roman"/>
          <w:bCs/>
          <w:sz w:val="24"/>
          <w:szCs w:val="24"/>
        </w:rPr>
        <w:t xml:space="preserve">квартале. Особенно заметный спад отмечается в производстве </w:t>
      </w:r>
      <w:r w:rsidR="00FB3C06">
        <w:rPr>
          <w:rFonts w:ascii="Times New Roman" w:eastAsia="Times New Roman" w:hAnsi="Times New Roman" w:cs="Times New Roman"/>
          <w:bCs/>
          <w:sz w:val="24"/>
          <w:szCs w:val="24"/>
        </w:rPr>
        <w:t>автотранспортных сре</w:t>
      </w:r>
      <w:proofErr w:type="gramStart"/>
      <w:r w:rsidR="00FB3C06">
        <w:rPr>
          <w:rFonts w:ascii="Times New Roman" w:eastAsia="Times New Roman" w:hAnsi="Times New Roman" w:cs="Times New Roman"/>
          <w:bCs/>
          <w:sz w:val="24"/>
          <w:szCs w:val="24"/>
        </w:rPr>
        <w:t>дств в св</w:t>
      </w:r>
      <w:proofErr w:type="gramEnd"/>
      <w:r w:rsidR="00FB3C06">
        <w:rPr>
          <w:rFonts w:ascii="Times New Roman" w:eastAsia="Times New Roman" w:hAnsi="Times New Roman" w:cs="Times New Roman"/>
          <w:bCs/>
          <w:sz w:val="24"/>
          <w:szCs w:val="24"/>
        </w:rPr>
        <w:t xml:space="preserve">язи с высокой долей импортных составляющих. </w:t>
      </w:r>
      <w:r w:rsidR="006B1838">
        <w:rPr>
          <w:rFonts w:ascii="Times New Roman" w:eastAsia="Times New Roman" w:hAnsi="Times New Roman" w:cs="Times New Roman"/>
          <w:bCs/>
          <w:sz w:val="24"/>
          <w:szCs w:val="24"/>
        </w:rPr>
        <w:t xml:space="preserve">Одновременно в отраслях, </w:t>
      </w:r>
      <w:r w:rsidR="006B183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ориентированных на внутренне потребление (фармацевтика, </w:t>
      </w:r>
      <w:r w:rsidR="001639C0">
        <w:rPr>
          <w:rFonts w:ascii="Times New Roman" w:eastAsia="Times New Roman" w:hAnsi="Times New Roman" w:cs="Times New Roman"/>
          <w:bCs/>
          <w:sz w:val="24"/>
          <w:szCs w:val="24"/>
        </w:rPr>
        <w:t xml:space="preserve">пищевая и </w:t>
      </w:r>
      <w:r w:rsidR="006B1838">
        <w:rPr>
          <w:rFonts w:ascii="Times New Roman" w:eastAsia="Times New Roman" w:hAnsi="Times New Roman" w:cs="Times New Roman"/>
          <w:bCs/>
          <w:sz w:val="24"/>
          <w:szCs w:val="24"/>
        </w:rPr>
        <w:t>полиграфическая промышленность, производство компьютеров)</w:t>
      </w:r>
      <w:r w:rsidR="00F436D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6B1838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отмечался рост. </w:t>
      </w:r>
      <w:r w:rsidR="00CB58D3">
        <w:rPr>
          <w:rFonts w:ascii="Times New Roman" w:eastAsia="Times New Roman" w:hAnsi="Times New Roman" w:cs="Times New Roman"/>
          <w:bCs/>
          <w:sz w:val="24"/>
          <w:szCs w:val="24"/>
        </w:rPr>
        <w:t xml:space="preserve">Динамика в добывающих производствах после спада в марте и апреле в мае вернулась в зону положительных значений, и в целом за </w:t>
      </w:r>
      <w:r w:rsidR="00F80FD5">
        <w:rPr>
          <w:rFonts w:ascii="Times New Roman" w:eastAsia="Times New Roman" w:hAnsi="Times New Roman" w:cs="Times New Roman"/>
          <w:bCs/>
          <w:sz w:val="24"/>
          <w:szCs w:val="24"/>
        </w:rPr>
        <w:t xml:space="preserve">первое </w:t>
      </w:r>
      <w:r w:rsidR="00CB58D3">
        <w:rPr>
          <w:rFonts w:ascii="Times New Roman" w:eastAsia="Times New Roman" w:hAnsi="Times New Roman" w:cs="Times New Roman"/>
          <w:bCs/>
          <w:sz w:val="24"/>
          <w:szCs w:val="24"/>
        </w:rPr>
        <w:t>полугодие прирост составил 4,2 %.</w:t>
      </w:r>
    </w:p>
    <w:p w14:paraId="52C10701" w14:textId="25A33360" w:rsidR="002A54B8" w:rsidRPr="00451EEE" w:rsidRDefault="002A54B8" w:rsidP="000B3A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34FD">
        <w:rPr>
          <w:rFonts w:ascii="Times New Roman" w:eastAsia="Times New Roman" w:hAnsi="Times New Roman" w:cs="Times New Roman"/>
          <w:b/>
          <w:bCs/>
          <w:sz w:val="24"/>
          <w:szCs w:val="24"/>
        </w:rPr>
        <w:t>Грузооборот транспорта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за 6 месяцев 2022 года </w:t>
      </w:r>
      <w:r w:rsidR="00451EEE">
        <w:rPr>
          <w:rFonts w:ascii="Times New Roman" w:eastAsia="Times New Roman" w:hAnsi="Times New Roman" w:cs="Times New Roman"/>
          <w:bCs/>
          <w:sz w:val="24"/>
          <w:szCs w:val="24"/>
        </w:rPr>
        <w:t xml:space="preserve">также показал </w:t>
      </w:r>
      <w:r w:rsidR="00F436D9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незначительный </w:t>
      </w:r>
      <w:r w:rsidR="00451EEE">
        <w:rPr>
          <w:rFonts w:ascii="Times New Roman" w:eastAsia="Times New Roman" w:hAnsi="Times New Roman" w:cs="Times New Roman"/>
          <w:bCs/>
          <w:sz w:val="24"/>
          <w:szCs w:val="24"/>
        </w:rPr>
        <w:t>рост на 0,5 %</w:t>
      </w:r>
      <w:r w:rsidR="00F436D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51EE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23694B8" w14:textId="16600412" w:rsidR="002A54B8" w:rsidRDefault="00D645F8" w:rsidP="000B3A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Динамика объема работ по виду деятельности </w:t>
      </w:r>
      <w:r w:rsidRPr="00D645F8">
        <w:rPr>
          <w:rFonts w:ascii="Times New Roman" w:eastAsia="Times New Roman" w:hAnsi="Times New Roman" w:cs="Times New Roman"/>
          <w:b/>
          <w:bCs/>
          <w:sz w:val="24"/>
          <w:szCs w:val="24"/>
        </w:rPr>
        <w:t>«строительство»</w:t>
      </w:r>
      <w:r w:rsidR="00F565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F565D2" w:rsidRPr="00F565D2">
        <w:rPr>
          <w:rFonts w:ascii="Times New Roman" w:eastAsia="Times New Roman" w:hAnsi="Times New Roman" w:cs="Times New Roman"/>
          <w:bCs/>
          <w:sz w:val="24"/>
          <w:szCs w:val="24"/>
        </w:rPr>
        <w:t>для которо</w:t>
      </w:r>
      <w:r w:rsidR="00F436D9">
        <w:rPr>
          <w:rFonts w:ascii="Times New Roman" w:eastAsia="Times New Roman" w:hAnsi="Times New Roman" w:cs="Times New Roman"/>
          <w:bCs/>
          <w:sz w:val="24"/>
          <w:szCs w:val="24"/>
        </w:rPr>
        <w:t>го</w:t>
      </w:r>
      <w:r w:rsidR="00F565D2" w:rsidRPr="00F565D2">
        <w:rPr>
          <w:rFonts w:ascii="Times New Roman" w:eastAsia="Times New Roman" w:hAnsi="Times New Roman" w:cs="Times New Roman"/>
          <w:bCs/>
          <w:sz w:val="24"/>
          <w:szCs w:val="24"/>
        </w:rPr>
        <w:t xml:space="preserve"> характерен продолжительный производственны</w:t>
      </w:r>
      <w:r w:rsidR="00F80FD5"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="00F565D2" w:rsidRPr="00F565D2">
        <w:rPr>
          <w:rFonts w:ascii="Times New Roman" w:eastAsia="Times New Roman" w:hAnsi="Times New Roman" w:cs="Times New Roman"/>
          <w:bCs/>
          <w:sz w:val="24"/>
          <w:szCs w:val="24"/>
        </w:rPr>
        <w:t xml:space="preserve"> цикл,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росла в течение всего </w:t>
      </w:r>
      <w:r w:rsidR="00F80FD5">
        <w:rPr>
          <w:rFonts w:ascii="Times New Roman" w:eastAsia="Times New Roman" w:hAnsi="Times New Roman" w:cs="Times New Roman"/>
          <w:bCs/>
          <w:sz w:val="24"/>
          <w:szCs w:val="24"/>
        </w:rPr>
        <w:t xml:space="preserve">первого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полугодия, хотя к июню прирост замедлился до 0,1 % в годовом выражении.</w:t>
      </w:r>
      <w:r w:rsidR="00F565D2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Заметную поддержку отрасли оказали темпы жилищного строительства – в среднем за </w:t>
      </w:r>
      <w:r w:rsidR="00F80FD5">
        <w:rPr>
          <w:rFonts w:ascii="Times New Roman" w:eastAsia="Times New Roman" w:hAnsi="Times New Roman" w:cs="Times New Roman"/>
          <w:bCs/>
          <w:sz w:val="24"/>
          <w:szCs w:val="24"/>
        </w:rPr>
        <w:t>первое</w:t>
      </w:r>
      <w:r w:rsidR="00F565D2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полугодие было введено на 44,2 % жилых домов, чем годом ранее.</w:t>
      </w:r>
    </w:p>
    <w:p w14:paraId="12F42B24" w14:textId="48182A20" w:rsidR="00435BCB" w:rsidRPr="009C30C8" w:rsidRDefault="00435BCB" w:rsidP="000B3A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Российское </w:t>
      </w:r>
      <w:r w:rsidRPr="00DC3F1A">
        <w:rPr>
          <w:rFonts w:ascii="Times New Roman" w:eastAsia="Times New Roman" w:hAnsi="Times New Roman" w:cs="Times New Roman"/>
          <w:b/>
          <w:bCs/>
          <w:sz w:val="24"/>
          <w:szCs w:val="24"/>
        </w:rPr>
        <w:t>сельское хозяйство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C3F1A">
        <w:rPr>
          <w:rFonts w:ascii="Times New Roman" w:eastAsia="Times New Roman" w:hAnsi="Times New Roman" w:cs="Times New Roman"/>
          <w:bCs/>
          <w:sz w:val="24"/>
          <w:szCs w:val="24"/>
        </w:rPr>
        <w:t xml:space="preserve">традиционно в меньшей степени зависит от внешнеэкономической конъюнктуры. В январе – июне 2022 года </w:t>
      </w:r>
      <w:r w:rsidR="00C00539">
        <w:rPr>
          <w:rFonts w:ascii="Times New Roman" w:eastAsia="Times New Roman" w:hAnsi="Times New Roman" w:cs="Times New Roman"/>
          <w:bCs/>
          <w:sz w:val="24"/>
          <w:szCs w:val="24"/>
        </w:rPr>
        <w:t>его прирост составил</w:t>
      </w:r>
      <w:r w:rsidR="00DC3F1A">
        <w:rPr>
          <w:rFonts w:ascii="Times New Roman" w:eastAsia="Times New Roman" w:hAnsi="Times New Roman" w:cs="Times New Roman"/>
          <w:bCs/>
          <w:sz w:val="24"/>
          <w:szCs w:val="24"/>
        </w:rPr>
        <w:t xml:space="preserve"> 2,2 %, сбор урожая</w:t>
      </w:r>
      <w:r w:rsidR="00E760A7">
        <w:rPr>
          <w:rFonts w:ascii="Times New Roman" w:eastAsia="Times New Roman" w:hAnsi="Times New Roman" w:cs="Times New Roman"/>
          <w:bCs/>
          <w:sz w:val="24"/>
          <w:szCs w:val="24"/>
        </w:rPr>
        <w:t xml:space="preserve"> и урожайность</w:t>
      </w:r>
      <w:r w:rsidR="00DC3F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760A7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заметно </w:t>
      </w:r>
      <w:r w:rsidR="00DC3F1A">
        <w:rPr>
          <w:rFonts w:ascii="Times New Roman" w:eastAsia="Times New Roman" w:hAnsi="Times New Roman" w:cs="Times New Roman"/>
          <w:bCs/>
          <w:sz w:val="24"/>
          <w:szCs w:val="24"/>
        </w:rPr>
        <w:t>опережа</w:t>
      </w:r>
      <w:r w:rsidR="00E760A7">
        <w:rPr>
          <w:rFonts w:ascii="Times New Roman" w:eastAsia="Times New Roman" w:hAnsi="Times New Roman" w:cs="Times New Roman"/>
          <w:bCs/>
          <w:sz w:val="24"/>
          <w:szCs w:val="24"/>
        </w:rPr>
        <w:t>ю</w:t>
      </w:r>
      <w:r w:rsidR="00DC3F1A">
        <w:rPr>
          <w:rFonts w:ascii="Times New Roman" w:eastAsia="Times New Roman" w:hAnsi="Times New Roman" w:cs="Times New Roman"/>
          <w:bCs/>
          <w:sz w:val="24"/>
          <w:szCs w:val="24"/>
        </w:rPr>
        <w:t>т аналогичные показатели 2021 года.</w:t>
      </w:r>
    </w:p>
    <w:p w14:paraId="3C27C4D1" w14:textId="77777777" w:rsidR="00B13C55" w:rsidRDefault="00B13C55" w:rsidP="00DA1F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shd w:val="clear" w:color="auto" w:fill="FFFF00"/>
        </w:rPr>
      </w:pPr>
    </w:p>
    <w:p w14:paraId="5CB65D5E" w14:textId="77777777" w:rsidR="007D7441" w:rsidRPr="007D7441" w:rsidRDefault="007D7441" w:rsidP="00DA1FED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7D7441">
        <w:rPr>
          <w:rFonts w:ascii="Times New Roman" w:hAnsi="Times New Roman"/>
          <w:b/>
          <w:bCs/>
          <w:sz w:val="24"/>
          <w:szCs w:val="24"/>
          <w:u w:val="single"/>
        </w:rPr>
        <w:t>3. Рынок труда и показатели уровня жизни населения</w:t>
      </w:r>
    </w:p>
    <w:p w14:paraId="44283543" w14:textId="32727643" w:rsidR="00F436D9" w:rsidRDefault="00F436D9" w:rsidP="00DA1F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На р</w:t>
      </w:r>
      <w:r w:rsidR="00E815EF">
        <w:rPr>
          <w:rFonts w:ascii="Times New Roman" w:eastAsia="Times New Roman" w:hAnsi="Times New Roman" w:cs="Times New Roman"/>
          <w:bCs/>
          <w:sz w:val="24"/>
          <w:szCs w:val="24"/>
        </w:rPr>
        <w:t>ынк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E815EF">
        <w:rPr>
          <w:rFonts w:ascii="Times New Roman" w:eastAsia="Times New Roman" w:hAnsi="Times New Roman" w:cs="Times New Roman"/>
          <w:bCs/>
          <w:sz w:val="24"/>
          <w:szCs w:val="24"/>
        </w:rPr>
        <w:t xml:space="preserve"> труда </w:t>
      </w:r>
      <w:r w:rsidR="00D65AF5">
        <w:rPr>
          <w:rFonts w:ascii="Times New Roman" w:eastAsia="Times New Roman" w:hAnsi="Times New Roman" w:cs="Times New Roman"/>
          <w:bCs/>
          <w:sz w:val="24"/>
          <w:szCs w:val="24"/>
        </w:rPr>
        <w:t>заметного ухудшения ситуации не произошло.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  <w:r w:rsidR="00D65AF5" w:rsidRPr="00D65AF5">
        <w:rPr>
          <w:rFonts w:ascii="Times New Roman" w:eastAsia="Times New Roman" w:hAnsi="Times New Roman" w:cs="Times New Roman"/>
          <w:b/>
          <w:bCs/>
          <w:sz w:val="24"/>
          <w:szCs w:val="24"/>
        </w:rPr>
        <w:t>езработиц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 </w:t>
      </w:r>
      <w:r w:rsidRPr="00DF75EB">
        <w:rPr>
          <w:rFonts w:ascii="Times New Roman" w:eastAsia="Times New Roman" w:hAnsi="Times New Roman" w:cs="Times New Roman"/>
          <w:bCs/>
          <w:sz w:val="24"/>
          <w:szCs w:val="24"/>
        </w:rPr>
        <w:t>сохранилась</w:t>
      </w:r>
      <w:r w:rsidR="00D65AF5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историческом минимуме (3,9 % в мае и июне, 4,1 % в среднем за полугодие)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EF63073" w14:textId="37544807" w:rsidR="00914A3B" w:rsidRPr="006F0A85" w:rsidRDefault="00F436D9" w:rsidP="00DA1F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Высокий уровень инфляции оказал влияние на уровень доходов населения.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="00D65AF5" w:rsidRPr="00D65AF5">
        <w:rPr>
          <w:rFonts w:ascii="Times New Roman" w:eastAsia="Times New Roman" w:hAnsi="Times New Roman" w:cs="Times New Roman"/>
          <w:b/>
          <w:bCs/>
          <w:sz w:val="24"/>
          <w:szCs w:val="24"/>
        </w:rPr>
        <w:t>еальная начисленная заработная плата</w:t>
      </w:r>
      <w:r w:rsidR="00D65AF5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 5 месяцев 2022 года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сократилась</w:t>
      </w:r>
      <w:r w:rsidR="00D65AF5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0,9 %</w:t>
      </w:r>
      <w:r w:rsidR="004C29C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4133F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="004C29CA" w:rsidRPr="000E7524">
        <w:rPr>
          <w:rFonts w:ascii="Times New Roman" w:eastAsia="Times New Roman" w:hAnsi="Times New Roman" w:cs="Times New Roman"/>
          <w:b/>
          <w:bCs/>
          <w:sz w:val="24"/>
          <w:szCs w:val="24"/>
        </w:rPr>
        <w:t>еальны</w:t>
      </w:r>
      <w:r w:rsidR="0044133F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4C29CA" w:rsidRPr="000E75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назначенны</w:t>
      </w:r>
      <w:r w:rsidR="0044133F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4C29CA" w:rsidRPr="000E75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пенси</w:t>
      </w:r>
      <w:r w:rsidR="0044133F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4C29CA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 </w:t>
      </w:r>
      <w:r w:rsidR="00F80FD5">
        <w:rPr>
          <w:rFonts w:ascii="Times New Roman" w:eastAsia="Times New Roman" w:hAnsi="Times New Roman" w:cs="Times New Roman"/>
          <w:bCs/>
          <w:sz w:val="24"/>
          <w:szCs w:val="24"/>
        </w:rPr>
        <w:t>первое</w:t>
      </w:r>
      <w:r w:rsidR="004C29CA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полугодие снизились на 4,8 %</w:t>
      </w:r>
      <w:r w:rsidR="0044133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914A3B" w:rsidRPr="00DE0F85">
        <w:rPr>
          <w:rFonts w:ascii="Times New Roman" w:eastAsia="Times New Roman" w:hAnsi="Times New Roman" w:cs="Times New Roman"/>
          <w:b/>
          <w:bCs/>
          <w:sz w:val="24"/>
          <w:szCs w:val="24"/>
        </w:rPr>
        <w:t>реальны</w:t>
      </w:r>
      <w:r w:rsidR="006F0A85" w:rsidRPr="00DE0F85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914A3B" w:rsidRPr="00DE0F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располагаемы</w:t>
      </w:r>
      <w:r w:rsidR="006F0A85" w:rsidRPr="00DE0F85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914A3B" w:rsidRPr="00DE0F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денежны</w:t>
      </w:r>
      <w:r w:rsidR="006F0A85" w:rsidRPr="00DE0F85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914A3B" w:rsidRPr="00DE0F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доход</w:t>
      </w:r>
      <w:r w:rsidR="00F80FD5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="00914A3B" w:rsidRPr="00DE0F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населения</w:t>
      </w:r>
      <w:r w:rsidR="00914A3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4133F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DE0F85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="00914A3B">
        <w:rPr>
          <w:rFonts w:ascii="Times New Roman" w:eastAsia="Times New Roman" w:hAnsi="Times New Roman" w:cs="Times New Roman"/>
          <w:bCs/>
          <w:sz w:val="24"/>
          <w:szCs w:val="24"/>
        </w:rPr>
        <w:t xml:space="preserve"> 0,8 %.</w:t>
      </w:r>
      <w:r w:rsidR="006F0A8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07DE706" w14:textId="77777777" w:rsidR="00B13C55" w:rsidRPr="00F847D8" w:rsidRDefault="00B13C55" w:rsidP="00DA1F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00"/>
        </w:rPr>
      </w:pPr>
    </w:p>
    <w:p w14:paraId="1914851C" w14:textId="77777777" w:rsidR="00B13C55" w:rsidRPr="00C02C3B" w:rsidRDefault="00DE033B" w:rsidP="00DA1F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02C3B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="00BF3AC8" w:rsidRPr="00C02C3B">
        <w:rPr>
          <w:rFonts w:ascii="Times New Roman" w:hAnsi="Times New Roman"/>
          <w:b/>
          <w:bCs/>
          <w:sz w:val="24"/>
          <w:szCs w:val="24"/>
          <w:u w:val="single"/>
        </w:rPr>
        <w:t>. Потребительский спрос</w:t>
      </w:r>
    </w:p>
    <w:p w14:paraId="434331ED" w14:textId="7279C33E" w:rsidR="00C02C3B" w:rsidRPr="003B13C4" w:rsidRDefault="00C02C3B" w:rsidP="00DA1FE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C02C3B">
        <w:rPr>
          <w:rFonts w:ascii="Times New Roman" w:hAnsi="Times New Roman"/>
          <w:sz w:val="24"/>
          <w:szCs w:val="24"/>
        </w:rPr>
        <w:t xml:space="preserve">Снижение уровня доходов отражается </w:t>
      </w:r>
      <w:r w:rsidR="00F81279">
        <w:rPr>
          <w:rFonts w:ascii="Times New Roman" w:hAnsi="Times New Roman"/>
          <w:sz w:val="24"/>
          <w:szCs w:val="24"/>
        </w:rPr>
        <w:t>на</w:t>
      </w:r>
      <w:r w:rsidRPr="00C02C3B">
        <w:rPr>
          <w:rFonts w:ascii="Times New Roman" w:hAnsi="Times New Roman"/>
          <w:sz w:val="24"/>
          <w:szCs w:val="24"/>
        </w:rPr>
        <w:t xml:space="preserve"> показателях потребительского спроса, особенно розничной торговли, в которой после февральского и мартовского ажиотажа в апреле началось снижение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F81279">
        <w:rPr>
          <w:rFonts w:ascii="Times New Roman" w:hAnsi="Times New Roman"/>
          <w:sz w:val="24"/>
          <w:szCs w:val="24"/>
        </w:rPr>
        <w:t xml:space="preserve">Продажи продовольствия сократились во </w:t>
      </w:r>
      <w:r w:rsidR="00F81279">
        <w:rPr>
          <w:rFonts w:ascii="Times New Roman" w:hAnsi="Times New Roman"/>
          <w:sz w:val="24"/>
          <w:szCs w:val="24"/>
          <w:lang w:val="en-US"/>
        </w:rPr>
        <w:t>II</w:t>
      </w:r>
      <w:r w:rsidR="00F81279" w:rsidRPr="003B13C4">
        <w:rPr>
          <w:rFonts w:ascii="Times New Roman" w:hAnsi="Times New Roman"/>
          <w:sz w:val="24"/>
          <w:szCs w:val="24"/>
        </w:rPr>
        <w:t xml:space="preserve"> </w:t>
      </w:r>
      <w:r w:rsidR="00F81279">
        <w:rPr>
          <w:rFonts w:ascii="Times New Roman" w:hAnsi="Times New Roman"/>
          <w:sz w:val="24"/>
          <w:szCs w:val="24"/>
        </w:rPr>
        <w:t xml:space="preserve">квартале только на 1,8 %, а в целом за </w:t>
      </w:r>
      <w:r w:rsidR="00F80FD5">
        <w:rPr>
          <w:rFonts w:ascii="Times New Roman" w:hAnsi="Times New Roman"/>
          <w:sz w:val="24"/>
          <w:szCs w:val="24"/>
        </w:rPr>
        <w:t>первое</w:t>
      </w:r>
      <w:r w:rsidR="00F81279">
        <w:rPr>
          <w:rFonts w:ascii="Times New Roman" w:hAnsi="Times New Roman"/>
          <w:sz w:val="24"/>
          <w:szCs w:val="24"/>
        </w:rPr>
        <w:t xml:space="preserve"> полугодие выросли на 0,6 %. Торговля непродовольственными товарами сократилась в большей степени (в целом за 6 месяцев 2022 года снижение составило 6,9 %), т</w:t>
      </w:r>
      <w:r w:rsidR="00320826">
        <w:rPr>
          <w:rFonts w:ascii="Times New Roman" w:hAnsi="Times New Roman"/>
          <w:sz w:val="24"/>
          <w:szCs w:val="24"/>
        </w:rPr>
        <w:t>ак как</w:t>
      </w:r>
      <w:r w:rsidR="00F81279">
        <w:rPr>
          <w:rFonts w:ascii="Times New Roman" w:hAnsi="Times New Roman"/>
          <w:sz w:val="24"/>
          <w:szCs w:val="24"/>
        </w:rPr>
        <w:t xml:space="preserve"> в условиях снижения доходов и высокого уровня неопределенности население традиционно начинает экономить на их покупке.</w:t>
      </w:r>
      <w:proofErr w:type="gramEnd"/>
      <w:r w:rsidR="00F812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результате </w:t>
      </w:r>
      <w:r w:rsidRPr="00C02C3B">
        <w:rPr>
          <w:rFonts w:ascii="Times New Roman" w:hAnsi="Times New Roman"/>
          <w:b/>
          <w:sz w:val="24"/>
          <w:szCs w:val="24"/>
        </w:rPr>
        <w:t>оборот розничной торговли</w:t>
      </w:r>
      <w:r>
        <w:rPr>
          <w:rFonts w:ascii="Times New Roman" w:hAnsi="Times New Roman"/>
          <w:sz w:val="24"/>
          <w:szCs w:val="24"/>
        </w:rPr>
        <w:t xml:space="preserve"> в целом за </w:t>
      </w:r>
      <w:r w:rsidR="00F80FD5">
        <w:rPr>
          <w:rFonts w:ascii="Times New Roman" w:hAnsi="Times New Roman"/>
          <w:sz w:val="24"/>
          <w:szCs w:val="24"/>
        </w:rPr>
        <w:t xml:space="preserve">первое </w:t>
      </w:r>
      <w:r>
        <w:rPr>
          <w:rFonts w:ascii="Times New Roman" w:hAnsi="Times New Roman"/>
          <w:sz w:val="24"/>
          <w:szCs w:val="24"/>
        </w:rPr>
        <w:t xml:space="preserve">полугодие </w:t>
      </w:r>
      <w:r w:rsidR="00F81279">
        <w:rPr>
          <w:rFonts w:ascii="Times New Roman" w:hAnsi="Times New Roman"/>
          <w:sz w:val="24"/>
          <w:szCs w:val="24"/>
        </w:rPr>
        <w:t xml:space="preserve">сократился </w:t>
      </w:r>
      <w:r>
        <w:rPr>
          <w:rFonts w:ascii="Times New Roman" w:hAnsi="Times New Roman"/>
          <w:sz w:val="24"/>
          <w:szCs w:val="24"/>
        </w:rPr>
        <w:t xml:space="preserve">на 3,4 %. </w:t>
      </w:r>
    </w:p>
    <w:p w14:paraId="03DF3821" w14:textId="03C63A38" w:rsidR="003B13C4" w:rsidRPr="003B13C4" w:rsidRDefault="003B13C4" w:rsidP="00DA1FE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3692">
        <w:rPr>
          <w:rFonts w:ascii="Times New Roman" w:hAnsi="Times New Roman"/>
          <w:b/>
          <w:sz w:val="24"/>
          <w:szCs w:val="24"/>
        </w:rPr>
        <w:t>Платные услуги населению</w:t>
      </w:r>
      <w:r>
        <w:rPr>
          <w:rFonts w:ascii="Times New Roman" w:hAnsi="Times New Roman"/>
          <w:sz w:val="24"/>
          <w:szCs w:val="24"/>
        </w:rPr>
        <w:t xml:space="preserve"> преимущественно</w:t>
      </w:r>
      <w:r w:rsidRPr="003B13C4">
        <w:rPr>
          <w:rFonts w:ascii="Times New Roman" w:hAnsi="Times New Roman"/>
          <w:sz w:val="24"/>
          <w:szCs w:val="24"/>
        </w:rPr>
        <w:t xml:space="preserve"> ориентированы на </w:t>
      </w:r>
      <w:r w:rsidR="002742DA">
        <w:rPr>
          <w:rFonts w:ascii="Times New Roman" w:hAnsi="Times New Roman"/>
          <w:sz w:val="24"/>
          <w:szCs w:val="24"/>
        </w:rPr>
        <w:t xml:space="preserve">реализацию внутреннего спроса, </w:t>
      </w:r>
      <w:r w:rsidR="008056BE">
        <w:rPr>
          <w:rFonts w:ascii="Times New Roman" w:hAnsi="Times New Roman"/>
          <w:sz w:val="24"/>
          <w:szCs w:val="24"/>
        </w:rPr>
        <w:t xml:space="preserve">рост </w:t>
      </w:r>
      <w:r w:rsidR="002742DA">
        <w:rPr>
          <w:rFonts w:ascii="Times New Roman" w:hAnsi="Times New Roman"/>
          <w:sz w:val="24"/>
          <w:szCs w:val="24"/>
        </w:rPr>
        <w:t>котор</w:t>
      </w:r>
      <w:r w:rsidR="008056BE">
        <w:rPr>
          <w:rFonts w:ascii="Times New Roman" w:hAnsi="Times New Roman"/>
          <w:sz w:val="24"/>
          <w:szCs w:val="24"/>
        </w:rPr>
        <w:t>ого</w:t>
      </w:r>
      <w:r w:rsidR="002742DA">
        <w:rPr>
          <w:rFonts w:ascii="Times New Roman" w:hAnsi="Times New Roman"/>
          <w:sz w:val="24"/>
          <w:szCs w:val="24"/>
        </w:rPr>
        <w:t xml:space="preserve"> </w:t>
      </w:r>
      <w:r w:rsidR="008056BE">
        <w:rPr>
          <w:rFonts w:ascii="Times New Roman" w:hAnsi="Times New Roman"/>
          <w:sz w:val="24"/>
          <w:szCs w:val="24"/>
        </w:rPr>
        <w:t xml:space="preserve">отмечался </w:t>
      </w:r>
      <w:r w:rsidR="002742DA">
        <w:rPr>
          <w:rFonts w:ascii="Times New Roman" w:hAnsi="Times New Roman"/>
          <w:sz w:val="24"/>
          <w:szCs w:val="24"/>
        </w:rPr>
        <w:t>в течение</w:t>
      </w:r>
      <w:r w:rsidR="008056BE">
        <w:rPr>
          <w:rFonts w:ascii="Times New Roman" w:hAnsi="Times New Roman"/>
          <w:sz w:val="24"/>
          <w:szCs w:val="24"/>
        </w:rPr>
        <w:t xml:space="preserve"> всего</w:t>
      </w:r>
      <w:r w:rsidR="002742DA">
        <w:rPr>
          <w:rFonts w:ascii="Times New Roman" w:hAnsi="Times New Roman"/>
          <w:sz w:val="24"/>
          <w:szCs w:val="24"/>
        </w:rPr>
        <w:t xml:space="preserve"> </w:t>
      </w:r>
      <w:r w:rsidR="00F80FD5">
        <w:rPr>
          <w:rFonts w:ascii="Times New Roman" w:hAnsi="Times New Roman"/>
          <w:sz w:val="24"/>
          <w:szCs w:val="24"/>
        </w:rPr>
        <w:t>первого</w:t>
      </w:r>
      <w:r w:rsidR="002742DA">
        <w:rPr>
          <w:rFonts w:ascii="Times New Roman" w:hAnsi="Times New Roman"/>
          <w:sz w:val="24"/>
          <w:szCs w:val="24"/>
        </w:rPr>
        <w:t xml:space="preserve"> полугодия 2022 года</w:t>
      </w:r>
      <w:r w:rsidR="008056BE">
        <w:rPr>
          <w:rFonts w:ascii="Times New Roman" w:hAnsi="Times New Roman"/>
          <w:sz w:val="24"/>
          <w:szCs w:val="24"/>
        </w:rPr>
        <w:t xml:space="preserve"> и составил 4,5 %. </w:t>
      </w:r>
      <w:r w:rsidR="007F01CF">
        <w:rPr>
          <w:rFonts w:ascii="Times New Roman" w:hAnsi="Times New Roman"/>
          <w:sz w:val="24"/>
          <w:szCs w:val="24"/>
        </w:rPr>
        <w:t xml:space="preserve">В условиях переориентации спроса наибольший рост отмечался в отношении </w:t>
      </w:r>
      <w:r w:rsidR="007F01CF">
        <w:rPr>
          <w:rFonts w:ascii="Times New Roman" w:hAnsi="Times New Roman"/>
          <w:sz w:val="24"/>
          <w:szCs w:val="24"/>
        </w:rPr>
        <w:lastRenderedPageBreak/>
        <w:t>туристских услуг и услуг в сфере культуры (на 35,8 % и 16,6 % за январь – июнь соответственно).</w:t>
      </w:r>
    </w:p>
    <w:p w14:paraId="2578F41A" w14:textId="77777777" w:rsidR="00B13C55" w:rsidRDefault="00B13C55" w:rsidP="00DA1F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00"/>
        </w:rPr>
      </w:pPr>
    </w:p>
    <w:p w14:paraId="2C394012" w14:textId="77777777" w:rsidR="00B13C55" w:rsidRPr="00F23A87" w:rsidRDefault="00DE033B" w:rsidP="00DA1FE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23A87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="00BF3AC8" w:rsidRPr="00F23A87">
        <w:rPr>
          <w:rFonts w:ascii="Times New Roman" w:hAnsi="Times New Roman"/>
          <w:b/>
          <w:bCs/>
          <w:sz w:val="24"/>
          <w:szCs w:val="24"/>
          <w:u w:val="single"/>
        </w:rPr>
        <w:t>. </w:t>
      </w:r>
      <w:r w:rsidRPr="00F23A87">
        <w:rPr>
          <w:rFonts w:ascii="Times New Roman" w:hAnsi="Times New Roman"/>
          <w:b/>
          <w:bCs/>
          <w:sz w:val="24"/>
          <w:szCs w:val="24"/>
          <w:u w:val="single"/>
        </w:rPr>
        <w:t>Внешняя торговля</w:t>
      </w:r>
    </w:p>
    <w:p w14:paraId="2B5BB5FA" w14:textId="0161D146" w:rsidR="003045A9" w:rsidRDefault="00BF3AC8" w:rsidP="00DA1FE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45A9">
        <w:rPr>
          <w:rFonts w:ascii="Times New Roman" w:hAnsi="Times New Roman"/>
          <w:sz w:val="24"/>
          <w:szCs w:val="24"/>
        </w:rPr>
        <w:t xml:space="preserve">По оценке Банка России, </w:t>
      </w:r>
      <w:r w:rsidR="003045A9" w:rsidRPr="00FE1F66">
        <w:rPr>
          <w:rFonts w:ascii="Times New Roman" w:hAnsi="Times New Roman"/>
          <w:b/>
          <w:sz w:val="24"/>
          <w:szCs w:val="24"/>
        </w:rPr>
        <w:t>профицит платежного баланса</w:t>
      </w:r>
      <w:r w:rsidR="003045A9">
        <w:rPr>
          <w:rFonts w:ascii="Times New Roman" w:hAnsi="Times New Roman"/>
          <w:sz w:val="24"/>
          <w:szCs w:val="24"/>
        </w:rPr>
        <w:t xml:space="preserve"> в </w:t>
      </w:r>
      <w:r w:rsidR="00E21BB7">
        <w:rPr>
          <w:rFonts w:ascii="Times New Roman" w:hAnsi="Times New Roman"/>
          <w:sz w:val="24"/>
          <w:szCs w:val="24"/>
        </w:rPr>
        <w:t>первом</w:t>
      </w:r>
      <w:r w:rsidR="003045A9">
        <w:rPr>
          <w:rFonts w:ascii="Times New Roman" w:hAnsi="Times New Roman"/>
          <w:sz w:val="24"/>
          <w:szCs w:val="24"/>
        </w:rPr>
        <w:t xml:space="preserve"> полугодии 2022</w:t>
      </w:r>
      <w:r w:rsidR="00E21BB7">
        <w:rPr>
          <w:rFonts w:ascii="Times New Roman" w:hAnsi="Times New Roman"/>
          <w:sz w:val="24"/>
          <w:szCs w:val="24"/>
        </w:rPr>
        <w:t> </w:t>
      </w:r>
      <w:r w:rsidR="003045A9">
        <w:rPr>
          <w:rFonts w:ascii="Times New Roman" w:hAnsi="Times New Roman"/>
          <w:sz w:val="24"/>
          <w:szCs w:val="24"/>
        </w:rPr>
        <w:t xml:space="preserve">года составил 138,5 </w:t>
      </w:r>
      <w:proofErr w:type="gramStart"/>
      <w:r w:rsidR="003045A9">
        <w:rPr>
          <w:rFonts w:ascii="Times New Roman" w:hAnsi="Times New Roman"/>
          <w:sz w:val="24"/>
          <w:szCs w:val="24"/>
        </w:rPr>
        <w:t>млрд</w:t>
      </w:r>
      <w:proofErr w:type="gramEnd"/>
      <w:r w:rsidR="003045A9">
        <w:rPr>
          <w:rFonts w:ascii="Times New Roman" w:hAnsi="Times New Roman"/>
          <w:sz w:val="24"/>
          <w:szCs w:val="24"/>
        </w:rPr>
        <w:t xml:space="preserve"> долларов США, увеличившись в 3,5 раз</w:t>
      </w:r>
      <w:r w:rsidR="00E21BB7">
        <w:rPr>
          <w:rFonts w:ascii="Times New Roman" w:hAnsi="Times New Roman"/>
          <w:sz w:val="24"/>
          <w:szCs w:val="24"/>
        </w:rPr>
        <w:t>а</w:t>
      </w:r>
      <w:r w:rsidR="003045A9">
        <w:rPr>
          <w:rFonts w:ascii="Times New Roman" w:hAnsi="Times New Roman"/>
          <w:sz w:val="24"/>
          <w:szCs w:val="24"/>
        </w:rPr>
        <w:t xml:space="preserve"> по сравнению с аналогичным периодом 2021 года. Столь существенный рост произошел за счет опережающего роста экспорта товаров и услуг (в 1,3 раза)</w:t>
      </w:r>
      <w:r w:rsidR="00F33B51">
        <w:rPr>
          <w:rFonts w:ascii="Times New Roman" w:hAnsi="Times New Roman"/>
          <w:sz w:val="24"/>
          <w:szCs w:val="24"/>
        </w:rPr>
        <w:t>, обусловленного благоприятной ценовой конъюнктурой,</w:t>
      </w:r>
      <w:r w:rsidR="003045A9">
        <w:rPr>
          <w:rFonts w:ascii="Times New Roman" w:hAnsi="Times New Roman"/>
          <w:sz w:val="24"/>
          <w:szCs w:val="24"/>
        </w:rPr>
        <w:t xml:space="preserve"> при снижении импорта (на 6,5 %)</w:t>
      </w:r>
      <w:r w:rsidR="00F33B51">
        <w:rPr>
          <w:rFonts w:ascii="Times New Roman" w:hAnsi="Times New Roman"/>
          <w:sz w:val="24"/>
          <w:szCs w:val="24"/>
        </w:rPr>
        <w:t xml:space="preserve"> на фоне </w:t>
      </w:r>
      <w:proofErr w:type="spellStart"/>
      <w:r w:rsidR="00F33B51">
        <w:rPr>
          <w:rFonts w:ascii="Times New Roman" w:hAnsi="Times New Roman"/>
          <w:sz w:val="24"/>
          <w:szCs w:val="24"/>
        </w:rPr>
        <w:t>санкционных</w:t>
      </w:r>
      <w:proofErr w:type="spellEnd"/>
      <w:r w:rsidR="00F33B51">
        <w:rPr>
          <w:rFonts w:ascii="Times New Roman" w:hAnsi="Times New Roman"/>
          <w:sz w:val="24"/>
          <w:szCs w:val="24"/>
        </w:rPr>
        <w:t xml:space="preserve"> ограничений</w:t>
      </w:r>
      <w:r w:rsidR="003045A9">
        <w:rPr>
          <w:rFonts w:ascii="Times New Roman" w:hAnsi="Times New Roman"/>
          <w:sz w:val="24"/>
          <w:szCs w:val="24"/>
        </w:rPr>
        <w:t>.</w:t>
      </w:r>
    </w:p>
    <w:p w14:paraId="437A1590" w14:textId="2231C3CC" w:rsidR="00DE033B" w:rsidRDefault="00F33B51" w:rsidP="00DA1FED">
      <w:pPr>
        <w:widowControl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Следует отметить, что во 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F33B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квартале 2022 года профицит счета текущих операций достиг исторического максимума.</w:t>
      </w:r>
    </w:p>
    <w:sectPr w:rsidR="00DE033B">
      <w:headerReference w:type="default" r:id="rId9"/>
      <w:pgSz w:w="11900" w:h="16840"/>
      <w:pgMar w:top="993" w:right="850" w:bottom="1134" w:left="1418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B83647" w14:textId="77777777" w:rsidR="00E53AB7" w:rsidRDefault="00E53AB7">
      <w:pPr>
        <w:spacing w:after="0" w:line="240" w:lineRule="auto"/>
      </w:pPr>
      <w:r>
        <w:separator/>
      </w:r>
    </w:p>
  </w:endnote>
  <w:endnote w:type="continuationSeparator" w:id="0">
    <w:p w14:paraId="521AC341" w14:textId="77777777" w:rsidR="00E53AB7" w:rsidRDefault="00E53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12BC0" w14:textId="77777777" w:rsidR="00E53AB7" w:rsidRDefault="00E53AB7">
      <w:r>
        <w:separator/>
      </w:r>
    </w:p>
  </w:footnote>
  <w:footnote w:type="continuationSeparator" w:id="0">
    <w:p w14:paraId="078F90E7" w14:textId="77777777" w:rsidR="00E53AB7" w:rsidRDefault="00E53AB7">
      <w:r>
        <w:continuationSeparator/>
      </w:r>
    </w:p>
  </w:footnote>
  <w:footnote w:type="continuationNotice" w:id="1">
    <w:p w14:paraId="5C57E883" w14:textId="77777777" w:rsidR="00E53AB7" w:rsidRDefault="00E53AB7"/>
  </w:footnote>
  <w:footnote w:id="2">
    <w:p w14:paraId="71C78FE2" w14:textId="77777777" w:rsidR="00071168" w:rsidRPr="00F80FD5" w:rsidRDefault="00071168">
      <w:pPr>
        <w:pStyle w:val="a6"/>
        <w:rPr>
          <w:rFonts w:ascii="Times New Roman" w:hAnsi="Times New Roman" w:cs="Times New Roman"/>
        </w:rPr>
      </w:pPr>
      <w:r>
        <w:rPr>
          <w:rStyle w:val="af2"/>
        </w:rPr>
        <w:footnoteRef/>
      </w:r>
      <w:r>
        <w:t xml:space="preserve"> </w:t>
      </w:r>
      <w:r w:rsidRPr="00F80FD5">
        <w:rPr>
          <w:rFonts w:ascii="Times New Roman" w:hAnsi="Times New Roman" w:cs="Times New Roman"/>
        </w:rPr>
        <w:t>О текущей ситуации в российской экономике. Июнь-июль 2022 года. Минэкономразвития России. 27 июля 2022 года.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7FE73" w14:textId="77777777" w:rsidR="00B13C55" w:rsidRDefault="00BF3AC8">
    <w:pPr>
      <w:pStyle w:val="a4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E16DB9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E3611"/>
    <w:multiLevelType w:val="hybridMultilevel"/>
    <w:tmpl w:val="ADECB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C55"/>
    <w:rsid w:val="00022E12"/>
    <w:rsid w:val="00036188"/>
    <w:rsid w:val="000416AC"/>
    <w:rsid w:val="00044F70"/>
    <w:rsid w:val="0004653D"/>
    <w:rsid w:val="00070973"/>
    <w:rsid w:val="00071168"/>
    <w:rsid w:val="0008192F"/>
    <w:rsid w:val="000927D4"/>
    <w:rsid w:val="00095791"/>
    <w:rsid w:val="000A2023"/>
    <w:rsid w:val="000B007E"/>
    <w:rsid w:val="000B3A6D"/>
    <w:rsid w:val="000B6869"/>
    <w:rsid w:val="000C59D4"/>
    <w:rsid w:val="000C6AB6"/>
    <w:rsid w:val="000D332D"/>
    <w:rsid w:val="000D672B"/>
    <w:rsid w:val="000D72A0"/>
    <w:rsid w:val="000E0D6D"/>
    <w:rsid w:val="000E7524"/>
    <w:rsid w:val="000F0F77"/>
    <w:rsid w:val="000F63D0"/>
    <w:rsid w:val="00114350"/>
    <w:rsid w:val="001313E8"/>
    <w:rsid w:val="001639C0"/>
    <w:rsid w:val="00167B69"/>
    <w:rsid w:val="00176779"/>
    <w:rsid w:val="00180C3B"/>
    <w:rsid w:val="00195B0D"/>
    <w:rsid w:val="001A4296"/>
    <w:rsid w:val="001A5B03"/>
    <w:rsid w:val="001C3BA3"/>
    <w:rsid w:val="001F51EC"/>
    <w:rsid w:val="00214B91"/>
    <w:rsid w:val="0022550A"/>
    <w:rsid w:val="00262FE2"/>
    <w:rsid w:val="002653E6"/>
    <w:rsid w:val="00267F5E"/>
    <w:rsid w:val="002742DA"/>
    <w:rsid w:val="002936A9"/>
    <w:rsid w:val="002A54B8"/>
    <w:rsid w:val="002A7BD7"/>
    <w:rsid w:val="002B7F55"/>
    <w:rsid w:val="002F747A"/>
    <w:rsid w:val="003045A9"/>
    <w:rsid w:val="00306464"/>
    <w:rsid w:val="00320826"/>
    <w:rsid w:val="00323112"/>
    <w:rsid w:val="00336371"/>
    <w:rsid w:val="00347965"/>
    <w:rsid w:val="00351074"/>
    <w:rsid w:val="003534FD"/>
    <w:rsid w:val="00373FD0"/>
    <w:rsid w:val="003757AB"/>
    <w:rsid w:val="003829ED"/>
    <w:rsid w:val="0038655E"/>
    <w:rsid w:val="003B13C4"/>
    <w:rsid w:val="003B78FE"/>
    <w:rsid w:val="003D0ED5"/>
    <w:rsid w:val="003E0BBB"/>
    <w:rsid w:val="00435BCB"/>
    <w:rsid w:val="0044133F"/>
    <w:rsid w:val="00451EEE"/>
    <w:rsid w:val="00454429"/>
    <w:rsid w:val="00482B4C"/>
    <w:rsid w:val="0049092B"/>
    <w:rsid w:val="004A0E33"/>
    <w:rsid w:val="004B6084"/>
    <w:rsid w:val="004C29CA"/>
    <w:rsid w:val="004C3692"/>
    <w:rsid w:val="004C4F3A"/>
    <w:rsid w:val="005111B9"/>
    <w:rsid w:val="00517750"/>
    <w:rsid w:val="005407D0"/>
    <w:rsid w:val="0054590B"/>
    <w:rsid w:val="00551986"/>
    <w:rsid w:val="00574A59"/>
    <w:rsid w:val="005C66B9"/>
    <w:rsid w:val="00624D85"/>
    <w:rsid w:val="00630E80"/>
    <w:rsid w:val="006402E3"/>
    <w:rsid w:val="006417C5"/>
    <w:rsid w:val="006544F6"/>
    <w:rsid w:val="006563BE"/>
    <w:rsid w:val="006700AE"/>
    <w:rsid w:val="00681C0B"/>
    <w:rsid w:val="006A36A0"/>
    <w:rsid w:val="006B1838"/>
    <w:rsid w:val="006B76E3"/>
    <w:rsid w:val="006C1484"/>
    <w:rsid w:val="006D224F"/>
    <w:rsid w:val="006D6233"/>
    <w:rsid w:val="006E0581"/>
    <w:rsid w:val="006E721F"/>
    <w:rsid w:val="006F0A85"/>
    <w:rsid w:val="006F6CA1"/>
    <w:rsid w:val="00727AA0"/>
    <w:rsid w:val="007328C2"/>
    <w:rsid w:val="00740EFF"/>
    <w:rsid w:val="00741255"/>
    <w:rsid w:val="00752C9B"/>
    <w:rsid w:val="007559ED"/>
    <w:rsid w:val="00777DD7"/>
    <w:rsid w:val="007964D7"/>
    <w:rsid w:val="007A54F5"/>
    <w:rsid w:val="007A5B77"/>
    <w:rsid w:val="007B52AB"/>
    <w:rsid w:val="007C7CFA"/>
    <w:rsid w:val="007D7441"/>
    <w:rsid w:val="007E29FF"/>
    <w:rsid w:val="007E4F98"/>
    <w:rsid w:val="007F01CF"/>
    <w:rsid w:val="00801365"/>
    <w:rsid w:val="008056BE"/>
    <w:rsid w:val="00823DB8"/>
    <w:rsid w:val="00841CD5"/>
    <w:rsid w:val="00896504"/>
    <w:rsid w:val="008B3A25"/>
    <w:rsid w:val="008B4D74"/>
    <w:rsid w:val="008C313B"/>
    <w:rsid w:val="008D1A2B"/>
    <w:rsid w:val="008D4356"/>
    <w:rsid w:val="008D45D4"/>
    <w:rsid w:val="0090391B"/>
    <w:rsid w:val="009042C5"/>
    <w:rsid w:val="00914A3B"/>
    <w:rsid w:val="00931BCB"/>
    <w:rsid w:val="00975F90"/>
    <w:rsid w:val="00976100"/>
    <w:rsid w:val="009968A3"/>
    <w:rsid w:val="009B27E8"/>
    <w:rsid w:val="009C30C8"/>
    <w:rsid w:val="009E7B27"/>
    <w:rsid w:val="00A52BF4"/>
    <w:rsid w:val="00A72139"/>
    <w:rsid w:val="00A7454D"/>
    <w:rsid w:val="00A77CE4"/>
    <w:rsid w:val="00A80977"/>
    <w:rsid w:val="00A854B3"/>
    <w:rsid w:val="00A87FDA"/>
    <w:rsid w:val="00A92C14"/>
    <w:rsid w:val="00A9641F"/>
    <w:rsid w:val="00AA03E6"/>
    <w:rsid w:val="00AB5610"/>
    <w:rsid w:val="00AC460B"/>
    <w:rsid w:val="00AD33F2"/>
    <w:rsid w:val="00AD5D9D"/>
    <w:rsid w:val="00AF4188"/>
    <w:rsid w:val="00AF60E4"/>
    <w:rsid w:val="00B0057F"/>
    <w:rsid w:val="00B01341"/>
    <w:rsid w:val="00B026B7"/>
    <w:rsid w:val="00B02B70"/>
    <w:rsid w:val="00B03CFE"/>
    <w:rsid w:val="00B06A29"/>
    <w:rsid w:val="00B13098"/>
    <w:rsid w:val="00B13C55"/>
    <w:rsid w:val="00B13EFD"/>
    <w:rsid w:val="00B24291"/>
    <w:rsid w:val="00B26805"/>
    <w:rsid w:val="00B63391"/>
    <w:rsid w:val="00B77956"/>
    <w:rsid w:val="00B97C11"/>
    <w:rsid w:val="00BE2706"/>
    <w:rsid w:val="00BF060E"/>
    <w:rsid w:val="00BF36F4"/>
    <w:rsid w:val="00BF3AC8"/>
    <w:rsid w:val="00C00539"/>
    <w:rsid w:val="00C021F2"/>
    <w:rsid w:val="00C02345"/>
    <w:rsid w:val="00C02C3B"/>
    <w:rsid w:val="00C246F1"/>
    <w:rsid w:val="00C3197A"/>
    <w:rsid w:val="00C3434B"/>
    <w:rsid w:val="00C422D1"/>
    <w:rsid w:val="00C47957"/>
    <w:rsid w:val="00C50B16"/>
    <w:rsid w:val="00C515F2"/>
    <w:rsid w:val="00C60A6A"/>
    <w:rsid w:val="00C72EBB"/>
    <w:rsid w:val="00C848BF"/>
    <w:rsid w:val="00CB4C92"/>
    <w:rsid w:val="00CB4FE5"/>
    <w:rsid w:val="00CB58D3"/>
    <w:rsid w:val="00CB602E"/>
    <w:rsid w:val="00CD0FAE"/>
    <w:rsid w:val="00CE5575"/>
    <w:rsid w:val="00D2731B"/>
    <w:rsid w:val="00D335B3"/>
    <w:rsid w:val="00D3674A"/>
    <w:rsid w:val="00D45FA7"/>
    <w:rsid w:val="00D47D6E"/>
    <w:rsid w:val="00D645F8"/>
    <w:rsid w:val="00D64C31"/>
    <w:rsid w:val="00D65AF5"/>
    <w:rsid w:val="00D66031"/>
    <w:rsid w:val="00D754D1"/>
    <w:rsid w:val="00D75FAE"/>
    <w:rsid w:val="00D96913"/>
    <w:rsid w:val="00DA1FED"/>
    <w:rsid w:val="00DB77DC"/>
    <w:rsid w:val="00DC3F1A"/>
    <w:rsid w:val="00DC5C00"/>
    <w:rsid w:val="00DE033B"/>
    <w:rsid w:val="00DE0F85"/>
    <w:rsid w:val="00DE246A"/>
    <w:rsid w:val="00DF30EF"/>
    <w:rsid w:val="00DF75EB"/>
    <w:rsid w:val="00E16DB9"/>
    <w:rsid w:val="00E2105D"/>
    <w:rsid w:val="00E21BB7"/>
    <w:rsid w:val="00E42391"/>
    <w:rsid w:val="00E53AB7"/>
    <w:rsid w:val="00E6095F"/>
    <w:rsid w:val="00E71291"/>
    <w:rsid w:val="00E729F4"/>
    <w:rsid w:val="00E760A7"/>
    <w:rsid w:val="00E76713"/>
    <w:rsid w:val="00E80948"/>
    <w:rsid w:val="00E815EF"/>
    <w:rsid w:val="00E82656"/>
    <w:rsid w:val="00E90DB3"/>
    <w:rsid w:val="00E95490"/>
    <w:rsid w:val="00EB7908"/>
    <w:rsid w:val="00EC5B8F"/>
    <w:rsid w:val="00F02F73"/>
    <w:rsid w:val="00F05258"/>
    <w:rsid w:val="00F136FB"/>
    <w:rsid w:val="00F1426B"/>
    <w:rsid w:val="00F169F9"/>
    <w:rsid w:val="00F23A87"/>
    <w:rsid w:val="00F33B51"/>
    <w:rsid w:val="00F436D9"/>
    <w:rsid w:val="00F565D2"/>
    <w:rsid w:val="00F60903"/>
    <w:rsid w:val="00F72317"/>
    <w:rsid w:val="00F80FD5"/>
    <w:rsid w:val="00F81279"/>
    <w:rsid w:val="00F847D8"/>
    <w:rsid w:val="00FB3C06"/>
    <w:rsid w:val="00FE1F66"/>
    <w:rsid w:val="00FE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256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a5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footnote text"/>
    <w:rPr>
      <w:rFonts w:ascii="Calibri" w:eastAsia="Calibri" w:hAnsi="Calibri" w:cs="Calibri"/>
      <w:color w:val="000000"/>
      <w:u w:color="000000"/>
    </w:rPr>
  </w:style>
  <w:style w:type="paragraph" w:customStyle="1" w:styleId="a7">
    <w:name w:val="По умолчанию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Calibri" w:hAnsi="Calibri" w:cs="Arial Unicode MS"/>
      <w:color w:val="000000"/>
      <w:u w:color="00000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903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0391B"/>
    <w:rPr>
      <w:rFonts w:ascii="Segoe UI" w:hAnsi="Segoe UI" w:cs="Segoe UI"/>
      <w:color w:val="000000"/>
      <w:sz w:val="18"/>
      <w:szCs w:val="18"/>
      <w:u w:color="000000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90391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90391B"/>
    <w:rPr>
      <w:rFonts w:ascii="Calibri" w:hAnsi="Calibri" w:cs="Arial Unicode MS"/>
      <w:b/>
      <w:bCs/>
      <w:color w:val="000000"/>
      <w:u w:color="000000"/>
    </w:rPr>
  </w:style>
  <w:style w:type="paragraph" w:styleId="af">
    <w:name w:val="endnote text"/>
    <w:basedOn w:val="a"/>
    <w:link w:val="af0"/>
    <w:uiPriority w:val="99"/>
    <w:semiHidden/>
    <w:unhideWhenUsed/>
    <w:rsid w:val="006A36A0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6A36A0"/>
    <w:rPr>
      <w:rFonts w:ascii="Calibri" w:hAnsi="Calibri" w:cs="Arial Unicode MS"/>
      <w:color w:val="000000"/>
      <w:u w:color="000000"/>
    </w:rPr>
  </w:style>
  <w:style w:type="character" w:styleId="af1">
    <w:name w:val="endnote reference"/>
    <w:basedOn w:val="a0"/>
    <w:uiPriority w:val="99"/>
    <w:semiHidden/>
    <w:unhideWhenUsed/>
    <w:rsid w:val="006A36A0"/>
    <w:rPr>
      <w:vertAlign w:val="superscript"/>
    </w:rPr>
  </w:style>
  <w:style w:type="character" w:styleId="af2">
    <w:name w:val="footnote reference"/>
    <w:basedOn w:val="a0"/>
    <w:uiPriority w:val="99"/>
    <w:semiHidden/>
    <w:unhideWhenUsed/>
    <w:rsid w:val="00AF60E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a5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footnote text"/>
    <w:rPr>
      <w:rFonts w:ascii="Calibri" w:eastAsia="Calibri" w:hAnsi="Calibri" w:cs="Calibri"/>
      <w:color w:val="000000"/>
      <w:u w:color="000000"/>
    </w:rPr>
  </w:style>
  <w:style w:type="paragraph" w:customStyle="1" w:styleId="a7">
    <w:name w:val="По умолчанию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Calibri" w:hAnsi="Calibri" w:cs="Arial Unicode MS"/>
      <w:color w:val="000000"/>
      <w:u w:color="00000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903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0391B"/>
    <w:rPr>
      <w:rFonts w:ascii="Segoe UI" w:hAnsi="Segoe UI" w:cs="Segoe UI"/>
      <w:color w:val="000000"/>
      <w:sz w:val="18"/>
      <w:szCs w:val="18"/>
      <w:u w:color="000000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90391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90391B"/>
    <w:rPr>
      <w:rFonts w:ascii="Calibri" w:hAnsi="Calibri" w:cs="Arial Unicode MS"/>
      <w:b/>
      <w:bCs/>
      <w:color w:val="000000"/>
      <w:u w:color="000000"/>
    </w:rPr>
  </w:style>
  <w:style w:type="paragraph" w:styleId="af">
    <w:name w:val="endnote text"/>
    <w:basedOn w:val="a"/>
    <w:link w:val="af0"/>
    <w:uiPriority w:val="99"/>
    <w:semiHidden/>
    <w:unhideWhenUsed/>
    <w:rsid w:val="006A36A0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6A36A0"/>
    <w:rPr>
      <w:rFonts w:ascii="Calibri" w:hAnsi="Calibri" w:cs="Arial Unicode MS"/>
      <w:color w:val="000000"/>
      <w:u w:color="000000"/>
    </w:rPr>
  </w:style>
  <w:style w:type="character" w:styleId="af1">
    <w:name w:val="endnote reference"/>
    <w:basedOn w:val="a0"/>
    <w:uiPriority w:val="99"/>
    <w:semiHidden/>
    <w:unhideWhenUsed/>
    <w:rsid w:val="006A36A0"/>
    <w:rPr>
      <w:vertAlign w:val="superscript"/>
    </w:rPr>
  </w:style>
  <w:style w:type="character" w:styleId="af2">
    <w:name w:val="footnote reference"/>
    <w:basedOn w:val="a0"/>
    <w:uiPriority w:val="99"/>
    <w:semiHidden/>
    <w:unhideWhenUsed/>
    <w:rsid w:val="00AF60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2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0186A-6BAC-4EB4-896A-5ADE3395E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Калинкина Татьяна Павловна</dc:creator>
  <cp:lastModifiedBy>Березкин Д.И.</cp:lastModifiedBy>
  <cp:revision>7</cp:revision>
  <dcterms:created xsi:type="dcterms:W3CDTF">2022-08-01T09:20:00Z</dcterms:created>
  <dcterms:modified xsi:type="dcterms:W3CDTF">2022-08-26T07:49:00Z</dcterms:modified>
</cp:coreProperties>
</file>