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985"/>
        <w:gridCol w:w="4677"/>
      </w:tblGrid>
      <w:tr w:rsidR="009D4D41" w:rsidRPr="009D4D41" w:rsidTr="0047498D">
        <w:tc>
          <w:tcPr>
            <w:tcW w:w="2977" w:type="dxa"/>
          </w:tcPr>
          <w:p w:rsidR="00D759F8" w:rsidRPr="009D4D41" w:rsidRDefault="00D759F8" w:rsidP="005272AF">
            <w:pPr>
              <w:spacing w:after="120"/>
              <w:jc w:val="right"/>
              <w:rPr>
                <w:rFonts w:ascii="Times New Roman" w:hAnsi="Times New Roman" w:cs="Times New Roman"/>
                <w:color w:val="000000" w:themeColor="text1"/>
                <w:sz w:val="28"/>
                <w:szCs w:val="28"/>
              </w:rPr>
            </w:pPr>
          </w:p>
        </w:tc>
        <w:tc>
          <w:tcPr>
            <w:tcW w:w="1985" w:type="dxa"/>
          </w:tcPr>
          <w:p w:rsidR="00D759F8" w:rsidRPr="009D4D41" w:rsidRDefault="00D759F8" w:rsidP="005272AF">
            <w:pPr>
              <w:spacing w:after="120"/>
              <w:jc w:val="right"/>
              <w:rPr>
                <w:rFonts w:ascii="Times New Roman" w:hAnsi="Times New Roman" w:cs="Times New Roman"/>
                <w:color w:val="000000" w:themeColor="text1"/>
                <w:sz w:val="28"/>
                <w:szCs w:val="28"/>
              </w:rPr>
            </w:pPr>
          </w:p>
        </w:tc>
        <w:tc>
          <w:tcPr>
            <w:tcW w:w="4677" w:type="dxa"/>
          </w:tcPr>
          <w:p w:rsidR="0047498D" w:rsidRDefault="00D759F8" w:rsidP="0047498D">
            <w:pPr>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 xml:space="preserve">Приложение </w:t>
            </w:r>
          </w:p>
          <w:p w:rsidR="00D759F8" w:rsidRPr="009D4D41" w:rsidRDefault="00D759F8" w:rsidP="002E69B7">
            <w:pPr>
              <w:jc w:val="both"/>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к подразделу 1</w:t>
            </w:r>
            <w:r w:rsidR="00BD70E6" w:rsidRPr="009D4D41">
              <w:rPr>
                <w:rFonts w:ascii="Times New Roman" w:hAnsi="Times New Roman" w:cs="Times New Roman"/>
                <w:color w:val="000000" w:themeColor="text1"/>
                <w:sz w:val="24"/>
                <w:szCs w:val="24"/>
              </w:rPr>
              <w:t>7</w:t>
            </w:r>
            <w:r w:rsidRPr="009D4D41">
              <w:rPr>
                <w:rFonts w:ascii="Times New Roman" w:hAnsi="Times New Roman" w:cs="Times New Roman"/>
                <w:color w:val="000000" w:themeColor="text1"/>
                <w:sz w:val="24"/>
                <w:szCs w:val="24"/>
              </w:rPr>
              <w:t xml:space="preserve"> «</w:t>
            </w:r>
            <w:r w:rsidR="003B37DF" w:rsidRPr="009D4D41">
              <w:rPr>
                <w:rFonts w:ascii="Times New Roman" w:hAnsi="Times New Roman" w:cs="Times New Roman"/>
                <w:color w:val="000000" w:themeColor="text1"/>
                <w:sz w:val="24"/>
                <w:szCs w:val="24"/>
              </w:rPr>
              <w:t>Результаты проверки и анализа формирования источников финансирования дефицита федерального бюджета, Фонда национального благосостояния</w:t>
            </w:r>
            <w:r w:rsidRPr="009D4D41">
              <w:rPr>
                <w:rFonts w:ascii="Times New Roman" w:hAnsi="Times New Roman" w:cs="Times New Roman"/>
                <w:color w:val="000000" w:themeColor="text1"/>
                <w:sz w:val="24"/>
                <w:szCs w:val="24"/>
              </w:rPr>
              <w:t>» Заключения Счетной палаты</w:t>
            </w:r>
          </w:p>
        </w:tc>
      </w:tr>
    </w:tbl>
    <w:p w:rsidR="008A160D" w:rsidRPr="009D4D41" w:rsidRDefault="008A160D" w:rsidP="00691A30">
      <w:pPr>
        <w:spacing w:after="0" w:line="240" w:lineRule="auto"/>
        <w:ind w:left="6237"/>
        <w:jc w:val="right"/>
        <w:rPr>
          <w:rFonts w:ascii="Times New Roman" w:hAnsi="Times New Roman" w:cs="Times New Roman"/>
          <w:color w:val="000000" w:themeColor="text1"/>
          <w:sz w:val="24"/>
          <w:szCs w:val="28"/>
        </w:rPr>
      </w:pPr>
    </w:p>
    <w:p w:rsidR="008A160D" w:rsidRPr="009D4D41" w:rsidRDefault="008A160D" w:rsidP="008A160D">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1</w:t>
      </w:r>
    </w:p>
    <w:p w:rsidR="00DF6F5C" w:rsidRPr="009D4D41" w:rsidRDefault="00DF6F5C" w:rsidP="008A160D">
      <w:pPr>
        <w:spacing w:after="0" w:line="240" w:lineRule="auto"/>
        <w:ind w:left="6237"/>
        <w:jc w:val="right"/>
        <w:rPr>
          <w:rFonts w:ascii="Times New Roman" w:hAnsi="Times New Roman" w:cs="Times New Roman"/>
          <w:color w:val="000000" w:themeColor="text1"/>
          <w:sz w:val="24"/>
          <w:szCs w:val="28"/>
        </w:rPr>
      </w:pPr>
    </w:p>
    <w:p w:rsidR="00DF6F5C" w:rsidRPr="009D4D41" w:rsidRDefault="00DF6F5C" w:rsidP="00DF6F5C">
      <w:pPr>
        <w:spacing w:after="0" w:line="240" w:lineRule="auto"/>
        <w:jc w:val="center"/>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 xml:space="preserve">Динамика профицита федерального бюджета и </w:t>
      </w:r>
    </w:p>
    <w:p w:rsidR="008A160D" w:rsidRPr="009D4D41" w:rsidRDefault="008274BD" w:rsidP="00DF6F5C">
      <w:pPr>
        <w:spacing w:after="0" w:line="240" w:lineRule="auto"/>
        <w:jc w:val="center"/>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ненефтегазового дефицита в 2019 – 2023</w:t>
      </w:r>
      <w:r w:rsidR="00DF6F5C" w:rsidRPr="009D4D41">
        <w:rPr>
          <w:rFonts w:ascii="Times New Roman" w:hAnsi="Times New Roman" w:cs="Times New Roman"/>
          <w:color w:val="000000" w:themeColor="text1"/>
          <w:sz w:val="24"/>
          <w:szCs w:val="28"/>
        </w:rPr>
        <w:t xml:space="preserve"> годах</w:t>
      </w:r>
    </w:p>
    <w:p w:rsidR="00DF6F5C" w:rsidRPr="009D4D41" w:rsidRDefault="00DF6F5C" w:rsidP="00DF6F5C">
      <w:pPr>
        <w:spacing w:after="0" w:line="240" w:lineRule="auto"/>
        <w:jc w:val="center"/>
        <w:rPr>
          <w:rFonts w:ascii="Times New Roman" w:hAnsi="Times New Roman" w:cs="Times New Roman"/>
          <w:color w:val="000000" w:themeColor="text1"/>
          <w:sz w:val="24"/>
          <w:szCs w:val="28"/>
        </w:rPr>
      </w:pPr>
    </w:p>
    <w:p w:rsidR="008A160D" w:rsidRPr="009D4D41" w:rsidRDefault="008A160D" w:rsidP="008A160D">
      <w:pPr>
        <w:spacing w:after="0" w:line="240" w:lineRule="auto"/>
        <w:ind w:right="-142"/>
        <w:jc w:val="right"/>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(млрд.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531"/>
        <w:gridCol w:w="1074"/>
        <w:gridCol w:w="1182"/>
        <w:gridCol w:w="1177"/>
        <w:gridCol w:w="1177"/>
      </w:tblGrid>
      <w:tr w:rsidR="009D4D41" w:rsidRPr="009D4D41" w:rsidTr="008274BD">
        <w:trPr>
          <w:trHeight w:val="54"/>
          <w:tblHeader/>
        </w:trPr>
        <w:tc>
          <w:tcPr>
            <w:tcW w:w="1884" w:type="pct"/>
            <w:shd w:val="clear" w:color="000000" w:fill="FFFFFF"/>
            <w:noWrap/>
            <w:vAlign w:val="center"/>
            <w:hideMark/>
          </w:tcPr>
          <w:p w:rsidR="008274BD" w:rsidRPr="009D4D41" w:rsidRDefault="008274BD" w:rsidP="008A160D">
            <w:pPr>
              <w:spacing w:after="0" w:line="240" w:lineRule="auto"/>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w:t>
            </w:r>
          </w:p>
        </w:tc>
        <w:tc>
          <w:tcPr>
            <w:tcW w:w="777" w:type="pct"/>
            <w:shd w:val="clear" w:color="000000" w:fill="FFFFFF"/>
          </w:tcPr>
          <w:p w:rsidR="008274BD" w:rsidRPr="009D4D41" w:rsidRDefault="008274BD" w:rsidP="008A160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2019 год</w:t>
            </w:r>
          </w:p>
          <w:p w:rsidR="008274BD" w:rsidRPr="009D4D41" w:rsidRDefault="008274BD" w:rsidP="008A160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(исполнение)</w:t>
            </w:r>
          </w:p>
        </w:tc>
        <w:tc>
          <w:tcPr>
            <w:tcW w:w="545" w:type="pct"/>
            <w:shd w:val="clear" w:color="000000" w:fill="FFFFFF"/>
            <w:vAlign w:val="center"/>
            <w:hideMark/>
          </w:tcPr>
          <w:p w:rsidR="008274BD" w:rsidRPr="009D4D41" w:rsidRDefault="008274BD" w:rsidP="008A160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2020 год (оценка)</w:t>
            </w:r>
          </w:p>
        </w:tc>
        <w:tc>
          <w:tcPr>
            <w:tcW w:w="600" w:type="pct"/>
            <w:shd w:val="clear" w:color="000000" w:fill="FFFFFF"/>
            <w:vAlign w:val="center"/>
            <w:hideMark/>
          </w:tcPr>
          <w:p w:rsidR="008274BD" w:rsidRPr="009D4D41" w:rsidRDefault="008274BD" w:rsidP="008A160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2021 год (проект)</w:t>
            </w:r>
          </w:p>
        </w:tc>
        <w:tc>
          <w:tcPr>
            <w:tcW w:w="597" w:type="pct"/>
            <w:shd w:val="clear" w:color="000000" w:fill="FFFFFF"/>
            <w:vAlign w:val="center"/>
            <w:hideMark/>
          </w:tcPr>
          <w:p w:rsidR="008274BD" w:rsidRPr="009D4D41" w:rsidRDefault="008274BD" w:rsidP="008A160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2022 год (проект)</w:t>
            </w:r>
          </w:p>
        </w:tc>
        <w:tc>
          <w:tcPr>
            <w:tcW w:w="597"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2023 год (проект)</w:t>
            </w:r>
          </w:p>
        </w:tc>
      </w:tr>
      <w:tr w:rsidR="009D4D41" w:rsidRPr="009D4D41" w:rsidTr="00FA3211">
        <w:trPr>
          <w:trHeight w:val="54"/>
        </w:trPr>
        <w:tc>
          <w:tcPr>
            <w:tcW w:w="1884" w:type="pct"/>
            <w:shd w:val="clear" w:color="000000" w:fill="FFFFFF"/>
            <w:noWrap/>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Нефтегазовые доходы</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7 924,3 </w:t>
            </w:r>
          </w:p>
        </w:tc>
        <w:tc>
          <w:tcPr>
            <w:tcW w:w="545"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5 127,0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5 987,2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6 884,3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7 489,8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 дополнительные</w:t>
            </w:r>
            <w:r w:rsidR="002F3CA6" w:rsidRPr="009D4D41">
              <w:rPr>
                <w:rFonts w:ascii="Times New Roman" w:hAnsi="Times New Roman" w:cs="Times New Roman"/>
                <w:color w:val="000000" w:themeColor="text1"/>
                <w:sz w:val="16"/>
                <w:szCs w:val="16"/>
              </w:rPr>
              <w:t>/ недополученные</w:t>
            </w:r>
            <w:r w:rsidRPr="009D4D41">
              <w:rPr>
                <w:rFonts w:ascii="Times New Roman" w:hAnsi="Times New Roman" w:cs="Times New Roman"/>
                <w:color w:val="000000" w:themeColor="text1"/>
                <w:sz w:val="16"/>
                <w:szCs w:val="16"/>
              </w:rPr>
              <w:t xml:space="preserve"> нефтегазовые доходы</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2 956,8 </w:t>
            </w:r>
          </w:p>
        </w:tc>
        <w:tc>
          <w:tcPr>
            <w:tcW w:w="545"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-381,7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-91,1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702,7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787,3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Ненефтегазовые доходы</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12 264,5 </w:t>
            </w:r>
          </w:p>
        </w:tc>
        <w:tc>
          <w:tcPr>
            <w:tcW w:w="545"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12 725,5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12 777,9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13 753,2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14 772,9 </w:t>
            </w:r>
          </w:p>
        </w:tc>
      </w:tr>
      <w:tr w:rsidR="009D4D41" w:rsidRPr="009D4D41" w:rsidTr="00FA3211">
        <w:trPr>
          <w:trHeight w:val="54"/>
        </w:trPr>
        <w:tc>
          <w:tcPr>
            <w:tcW w:w="1884" w:type="pct"/>
            <w:shd w:val="clear" w:color="auto" w:fill="auto"/>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Расходы</w:t>
            </w:r>
          </w:p>
        </w:tc>
        <w:tc>
          <w:tcPr>
            <w:tcW w:w="777" w:type="pct"/>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18 214,5 </w:t>
            </w:r>
          </w:p>
        </w:tc>
        <w:tc>
          <w:tcPr>
            <w:tcW w:w="545" w:type="pct"/>
            <w:shd w:val="clear" w:color="auto" w:fill="auto"/>
            <w:vAlign w:val="center"/>
            <w:hideMark/>
          </w:tcPr>
          <w:p w:rsidR="008274BD"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23 734,2</w:t>
            </w:r>
            <w:r w:rsidR="008274BD" w:rsidRPr="009D4D41">
              <w:rPr>
                <w:rFonts w:ascii="Times New Roman" w:hAnsi="Times New Roman" w:cs="Times New Roman"/>
                <w:i/>
                <w:iCs/>
                <w:color w:val="000000" w:themeColor="text1"/>
                <w:sz w:val="16"/>
                <w:szCs w:val="16"/>
              </w:rPr>
              <w:t xml:space="preserve">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21 520,1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21 885,0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23 671,3 </w:t>
            </w:r>
          </w:p>
        </w:tc>
      </w:tr>
      <w:tr w:rsidR="009D4D41" w:rsidRPr="009D4D41" w:rsidTr="00FA3211">
        <w:trPr>
          <w:trHeight w:val="54"/>
        </w:trPr>
        <w:tc>
          <w:tcPr>
            <w:tcW w:w="1884" w:type="pct"/>
            <w:shd w:val="clear" w:color="auto" w:fill="auto"/>
            <w:vAlign w:val="center"/>
          </w:tcPr>
          <w:p w:rsidR="008274BD" w:rsidRPr="009D4D41" w:rsidRDefault="008274BD" w:rsidP="008274BD">
            <w:pPr>
              <w:spacing w:after="0" w:line="240" w:lineRule="auto"/>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 к ВВП</w:t>
            </w:r>
          </w:p>
        </w:tc>
        <w:tc>
          <w:tcPr>
            <w:tcW w:w="777" w:type="pct"/>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16,6 </w:t>
            </w:r>
          </w:p>
        </w:tc>
        <w:tc>
          <w:tcPr>
            <w:tcW w:w="545" w:type="pct"/>
            <w:shd w:val="clear" w:color="auto" w:fill="auto"/>
            <w:vAlign w:val="center"/>
          </w:tcPr>
          <w:p w:rsidR="008274BD"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22,2</w:t>
            </w:r>
            <w:r w:rsidR="008274BD" w:rsidRPr="009D4D41">
              <w:rPr>
                <w:rFonts w:ascii="Times New Roman" w:hAnsi="Times New Roman" w:cs="Times New Roman"/>
                <w:i/>
                <w:iCs/>
                <w:color w:val="000000" w:themeColor="text1"/>
                <w:sz w:val="16"/>
                <w:szCs w:val="16"/>
              </w:rPr>
              <w:t xml:space="preserve"> </w:t>
            </w:r>
          </w:p>
        </w:tc>
        <w:tc>
          <w:tcPr>
            <w:tcW w:w="600" w:type="pct"/>
            <w:shd w:val="clear" w:color="auto" w:fill="auto"/>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18,6 </w:t>
            </w:r>
          </w:p>
        </w:tc>
        <w:tc>
          <w:tcPr>
            <w:tcW w:w="597" w:type="pct"/>
            <w:shd w:val="clear" w:color="auto" w:fill="auto"/>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17,6 </w:t>
            </w:r>
          </w:p>
        </w:tc>
        <w:tc>
          <w:tcPr>
            <w:tcW w:w="597" w:type="pct"/>
            <w:shd w:val="clear" w:color="auto" w:fill="auto"/>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17,8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Профицит</w:t>
            </w:r>
            <w:r w:rsidR="00126D52" w:rsidRPr="009D4D41">
              <w:rPr>
                <w:rFonts w:ascii="Times New Roman" w:hAnsi="Times New Roman" w:cs="Times New Roman"/>
                <w:color w:val="000000" w:themeColor="text1"/>
                <w:sz w:val="16"/>
                <w:szCs w:val="16"/>
              </w:rPr>
              <w:t>+/дефицит-</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1 974,3 </w:t>
            </w:r>
          </w:p>
        </w:tc>
        <w:tc>
          <w:tcPr>
            <w:tcW w:w="545" w:type="pct"/>
            <w:shd w:val="clear" w:color="000000" w:fill="FFFFFF"/>
            <w:vAlign w:val="center"/>
            <w:hideMark/>
          </w:tcPr>
          <w:p w:rsidR="008274BD" w:rsidRPr="009D4D41" w:rsidRDefault="008274BD" w:rsidP="00126D52">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w:t>
            </w:r>
            <w:r w:rsidR="00126D52" w:rsidRPr="009D4D41">
              <w:rPr>
                <w:rFonts w:ascii="Times New Roman" w:hAnsi="Times New Roman" w:cs="Times New Roman"/>
                <w:i/>
                <w:iCs/>
                <w:color w:val="000000" w:themeColor="text1"/>
                <w:sz w:val="16"/>
                <w:szCs w:val="16"/>
              </w:rPr>
              <w:t>5 881,8</w:t>
            </w:r>
            <w:r w:rsidRPr="009D4D41">
              <w:rPr>
                <w:rFonts w:ascii="Times New Roman" w:hAnsi="Times New Roman" w:cs="Times New Roman"/>
                <w:i/>
                <w:iCs/>
                <w:color w:val="000000" w:themeColor="text1"/>
                <w:sz w:val="16"/>
                <w:szCs w:val="16"/>
              </w:rPr>
              <w:t xml:space="preserve"> </w:t>
            </w:r>
          </w:p>
        </w:tc>
        <w:tc>
          <w:tcPr>
            <w:tcW w:w="600"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-2 755,0 </w:t>
            </w:r>
          </w:p>
        </w:tc>
        <w:tc>
          <w:tcPr>
            <w:tcW w:w="597"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-1 247,5 </w:t>
            </w:r>
          </w:p>
        </w:tc>
        <w:tc>
          <w:tcPr>
            <w:tcW w:w="597"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-1 408,6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Ненефтегазовый дефицит</w:t>
            </w:r>
          </w:p>
        </w:tc>
        <w:tc>
          <w:tcPr>
            <w:tcW w:w="777" w:type="pct"/>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-5 950,0 </w:t>
            </w:r>
          </w:p>
        </w:tc>
        <w:tc>
          <w:tcPr>
            <w:tcW w:w="545" w:type="pct"/>
            <w:shd w:val="clear" w:color="auto" w:fill="auto"/>
            <w:vAlign w:val="center"/>
            <w:hideMark/>
          </w:tcPr>
          <w:p w:rsidR="008274BD" w:rsidRPr="009D4D41" w:rsidRDefault="008274BD" w:rsidP="00126D52">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w:t>
            </w:r>
            <w:r w:rsidR="00126D52" w:rsidRPr="009D4D41">
              <w:rPr>
                <w:rFonts w:ascii="Times New Roman" w:hAnsi="Times New Roman" w:cs="Times New Roman"/>
                <w:i/>
                <w:iCs/>
                <w:color w:val="000000" w:themeColor="text1"/>
                <w:sz w:val="16"/>
                <w:szCs w:val="16"/>
              </w:rPr>
              <w:t>11 008,8</w:t>
            </w:r>
            <w:r w:rsidRPr="009D4D41">
              <w:rPr>
                <w:rFonts w:ascii="Times New Roman" w:hAnsi="Times New Roman" w:cs="Times New Roman"/>
                <w:i/>
                <w:iCs/>
                <w:color w:val="000000" w:themeColor="text1"/>
                <w:sz w:val="16"/>
                <w:szCs w:val="16"/>
              </w:rPr>
              <w:t xml:space="preserve">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-8 742,2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-8 131,8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-8 898,4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 к ВВП</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-5,4 </w:t>
            </w:r>
          </w:p>
        </w:tc>
        <w:tc>
          <w:tcPr>
            <w:tcW w:w="545" w:type="pct"/>
            <w:shd w:val="clear" w:color="000000" w:fill="FFFFFF"/>
            <w:vAlign w:val="center"/>
            <w:hideMark/>
          </w:tcPr>
          <w:p w:rsidR="008274BD" w:rsidRPr="009D4D41" w:rsidRDefault="008274BD" w:rsidP="00126D52">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w:t>
            </w:r>
            <w:r w:rsidR="00126D52" w:rsidRPr="009D4D41">
              <w:rPr>
                <w:rFonts w:ascii="Times New Roman" w:hAnsi="Times New Roman" w:cs="Times New Roman"/>
                <w:i/>
                <w:iCs/>
                <w:color w:val="000000" w:themeColor="text1"/>
                <w:sz w:val="16"/>
                <w:szCs w:val="16"/>
              </w:rPr>
              <w:t>10,3</w:t>
            </w:r>
            <w:r w:rsidRPr="009D4D41">
              <w:rPr>
                <w:rFonts w:ascii="Times New Roman" w:hAnsi="Times New Roman" w:cs="Times New Roman"/>
                <w:i/>
                <w:iCs/>
                <w:color w:val="000000" w:themeColor="text1"/>
                <w:sz w:val="16"/>
                <w:szCs w:val="16"/>
              </w:rPr>
              <w:t xml:space="preserve"> </w:t>
            </w:r>
          </w:p>
        </w:tc>
        <w:tc>
          <w:tcPr>
            <w:tcW w:w="600"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-7,6 </w:t>
            </w:r>
          </w:p>
        </w:tc>
        <w:tc>
          <w:tcPr>
            <w:tcW w:w="597"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-6,5 </w:t>
            </w:r>
          </w:p>
        </w:tc>
        <w:tc>
          <w:tcPr>
            <w:tcW w:w="597"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-6,7 </w:t>
            </w:r>
          </w:p>
        </w:tc>
      </w:tr>
      <w:tr w:rsidR="009D4D41" w:rsidRPr="009D4D41" w:rsidTr="00FA3211">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Использование дополнительных нефтегазовых доходов на:</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45" w:type="pct"/>
            <w:shd w:val="clear" w:color="000000" w:fill="FFFFFF"/>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600"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r>
      <w:tr w:rsidR="009D4D41" w:rsidRPr="009D4D41" w:rsidTr="00126D52">
        <w:trPr>
          <w:trHeight w:val="54"/>
        </w:trPr>
        <w:tc>
          <w:tcPr>
            <w:tcW w:w="1884" w:type="pct"/>
            <w:shd w:val="clear" w:color="000000" w:fill="FFFFFF"/>
            <w:vAlign w:val="center"/>
            <w:hideMark/>
          </w:tcPr>
          <w:p w:rsidR="008274BD" w:rsidRPr="009D4D41" w:rsidRDefault="008274BD" w:rsidP="008274BD">
            <w:pPr>
              <w:spacing w:after="0" w:line="240" w:lineRule="auto"/>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покупку иностранной валюты</w:t>
            </w:r>
          </w:p>
        </w:tc>
        <w:tc>
          <w:tcPr>
            <w:tcW w:w="777"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2 956,8 </w:t>
            </w:r>
          </w:p>
        </w:tc>
        <w:tc>
          <w:tcPr>
            <w:tcW w:w="545" w:type="pct"/>
            <w:shd w:val="clear" w:color="000000" w:fill="FFFFFF"/>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p>
        </w:tc>
        <w:tc>
          <w:tcPr>
            <w:tcW w:w="600" w:type="pct"/>
            <w:shd w:val="clear" w:color="auto" w:fill="auto"/>
            <w:vAlign w:val="center"/>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702,7 </w:t>
            </w:r>
          </w:p>
        </w:tc>
        <w:tc>
          <w:tcPr>
            <w:tcW w:w="597" w:type="pct"/>
            <w:shd w:val="clear" w:color="auto" w:fill="auto"/>
            <w:vAlign w:val="center"/>
            <w:hideMark/>
          </w:tcPr>
          <w:p w:rsidR="008274BD" w:rsidRPr="009D4D41" w:rsidRDefault="008274BD"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787,3 </w:t>
            </w:r>
          </w:p>
        </w:tc>
      </w:tr>
      <w:tr w:rsidR="009D4D41" w:rsidRPr="009D4D41" w:rsidTr="00FA3211">
        <w:trPr>
          <w:trHeight w:val="54"/>
        </w:trPr>
        <w:tc>
          <w:tcPr>
            <w:tcW w:w="1884" w:type="pct"/>
            <w:shd w:val="clear" w:color="000000" w:fill="FFFFFF"/>
            <w:vAlign w:val="center"/>
          </w:tcPr>
          <w:p w:rsidR="00126D52" w:rsidRPr="009D4D41" w:rsidRDefault="00126D52" w:rsidP="008274BD">
            <w:pPr>
              <w:spacing w:after="0" w:line="240" w:lineRule="auto"/>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использование средств Фонда национального благосостояния</w:t>
            </w:r>
          </w:p>
        </w:tc>
        <w:tc>
          <w:tcPr>
            <w:tcW w:w="777" w:type="pct"/>
            <w:shd w:val="clear" w:color="000000" w:fill="FFFFFF"/>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p>
        </w:tc>
        <w:tc>
          <w:tcPr>
            <w:tcW w:w="545" w:type="pct"/>
            <w:shd w:val="clear" w:color="000000" w:fill="FFFFFF"/>
            <w:vAlign w:val="center"/>
          </w:tcPr>
          <w:p w:rsidR="00126D52" w:rsidRPr="009D4D41" w:rsidRDefault="00126D52" w:rsidP="00064A94">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-381,7 </w:t>
            </w:r>
          </w:p>
        </w:tc>
        <w:tc>
          <w:tcPr>
            <w:tcW w:w="600" w:type="pct"/>
            <w:shd w:val="clear" w:color="auto" w:fill="auto"/>
            <w:vAlign w:val="center"/>
          </w:tcPr>
          <w:p w:rsidR="00126D52" w:rsidRPr="009D4D41" w:rsidRDefault="00126D52" w:rsidP="00064A94">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-91,1 </w:t>
            </w:r>
          </w:p>
        </w:tc>
        <w:tc>
          <w:tcPr>
            <w:tcW w:w="597"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p>
        </w:tc>
        <w:tc>
          <w:tcPr>
            <w:tcW w:w="597"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p>
        </w:tc>
      </w:tr>
      <w:tr w:rsidR="009D4D41" w:rsidRPr="009D4D41" w:rsidTr="008274BD">
        <w:trPr>
          <w:trHeight w:val="54"/>
        </w:trPr>
        <w:tc>
          <w:tcPr>
            <w:tcW w:w="1884" w:type="pct"/>
            <w:shd w:val="clear" w:color="auto" w:fill="auto"/>
            <w:vAlign w:val="center"/>
            <w:hideMark/>
          </w:tcPr>
          <w:p w:rsidR="00126D52" w:rsidRPr="009D4D41" w:rsidRDefault="00126D52" w:rsidP="008274BD">
            <w:pPr>
              <w:spacing w:after="0" w:line="240" w:lineRule="auto"/>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перечисление в Фонд национального благосостояния</w:t>
            </w:r>
          </w:p>
        </w:tc>
        <w:tc>
          <w:tcPr>
            <w:tcW w:w="777" w:type="pct"/>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4 122,2 </w:t>
            </w:r>
          </w:p>
        </w:tc>
        <w:tc>
          <w:tcPr>
            <w:tcW w:w="545"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2 539,0 </w:t>
            </w:r>
          </w:p>
        </w:tc>
        <w:tc>
          <w:tcPr>
            <w:tcW w:w="600"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0,0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0,0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702,7 </w:t>
            </w:r>
          </w:p>
        </w:tc>
      </w:tr>
      <w:tr w:rsidR="009D4D41" w:rsidRPr="009D4D41" w:rsidTr="00FA3211">
        <w:trPr>
          <w:trHeight w:val="54"/>
        </w:trPr>
        <w:tc>
          <w:tcPr>
            <w:tcW w:w="1884" w:type="pct"/>
            <w:shd w:val="clear" w:color="auto" w:fill="auto"/>
            <w:vAlign w:val="center"/>
            <w:hideMark/>
          </w:tcPr>
          <w:p w:rsidR="00126D52" w:rsidRPr="009D4D41" w:rsidRDefault="00126D52" w:rsidP="008274BD">
            <w:pPr>
              <w:spacing w:after="0" w:line="240" w:lineRule="auto"/>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Справочно: </w:t>
            </w:r>
          </w:p>
        </w:tc>
        <w:tc>
          <w:tcPr>
            <w:tcW w:w="777" w:type="pct"/>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45"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600"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w:t>
            </w:r>
          </w:p>
        </w:tc>
      </w:tr>
      <w:tr w:rsidR="009D4D41" w:rsidRPr="009D4D41" w:rsidTr="00FA3211">
        <w:trPr>
          <w:trHeight w:val="54"/>
        </w:trPr>
        <w:tc>
          <w:tcPr>
            <w:tcW w:w="1884" w:type="pct"/>
            <w:shd w:val="clear" w:color="auto" w:fill="auto"/>
            <w:vAlign w:val="center"/>
          </w:tcPr>
          <w:p w:rsidR="00126D52" w:rsidRPr="009D4D41" w:rsidRDefault="00126D52" w:rsidP="008274BD">
            <w:pPr>
              <w:spacing w:after="0" w:line="240" w:lineRule="auto"/>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ВВП</w:t>
            </w:r>
          </w:p>
        </w:tc>
        <w:tc>
          <w:tcPr>
            <w:tcW w:w="777" w:type="pct"/>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110 046,0 </w:t>
            </w:r>
          </w:p>
        </w:tc>
        <w:tc>
          <w:tcPr>
            <w:tcW w:w="545"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106 974,0 </w:t>
            </w:r>
          </w:p>
        </w:tc>
        <w:tc>
          <w:tcPr>
            <w:tcW w:w="600"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115 533,0 </w:t>
            </w:r>
          </w:p>
        </w:tc>
        <w:tc>
          <w:tcPr>
            <w:tcW w:w="597"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124 223,0 </w:t>
            </w:r>
          </w:p>
        </w:tc>
        <w:tc>
          <w:tcPr>
            <w:tcW w:w="597" w:type="pct"/>
            <w:shd w:val="clear" w:color="auto" w:fill="auto"/>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132 822,0 </w:t>
            </w:r>
          </w:p>
        </w:tc>
      </w:tr>
      <w:tr w:rsidR="009D4D41" w:rsidRPr="009D4D41" w:rsidTr="008274BD">
        <w:trPr>
          <w:trHeight w:val="54"/>
        </w:trPr>
        <w:tc>
          <w:tcPr>
            <w:tcW w:w="1884" w:type="pct"/>
            <w:shd w:val="clear" w:color="auto" w:fill="auto"/>
            <w:vAlign w:val="center"/>
            <w:hideMark/>
          </w:tcPr>
          <w:p w:rsidR="00126D52" w:rsidRPr="009D4D41" w:rsidRDefault="00126D52" w:rsidP="008274BD">
            <w:pPr>
              <w:spacing w:after="0" w:line="240" w:lineRule="auto"/>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прогнозируемая цена на нефть, долларов США за баррель</w:t>
            </w:r>
          </w:p>
        </w:tc>
        <w:tc>
          <w:tcPr>
            <w:tcW w:w="777" w:type="pct"/>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63,8 </w:t>
            </w:r>
          </w:p>
        </w:tc>
        <w:tc>
          <w:tcPr>
            <w:tcW w:w="545"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41,8 </w:t>
            </w:r>
          </w:p>
        </w:tc>
        <w:tc>
          <w:tcPr>
            <w:tcW w:w="600"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45,3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46,6 </w:t>
            </w:r>
          </w:p>
        </w:tc>
        <w:tc>
          <w:tcPr>
            <w:tcW w:w="597"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47,5 </w:t>
            </w:r>
          </w:p>
        </w:tc>
      </w:tr>
      <w:tr w:rsidR="009D4D41" w:rsidRPr="009D4D41" w:rsidTr="008274BD">
        <w:trPr>
          <w:trHeight w:val="54"/>
        </w:trPr>
        <w:tc>
          <w:tcPr>
            <w:tcW w:w="1884" w:type="pct"/>
            <w:shd w:val="clear" w:color="auto" w:fill="auto"/>
            <w:vAlign w:val="center"/>
            <w:hideMark/>
          </w:tcPr>
          <w:p w:rsidR="00126D52" w:rsidRPr="009D4D41" w:rsidRDefault="00126D52" w:rsidP="008274BD">
            <w:pPr>
              <w:spacing w:after="0" w:line="240" w:lineRule="auto"/>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базовая цена на нефть, долларов США за баррель</w:t>
            </w:r>
          </w:p>
        </w:tc>
        <w:tc>
          <w:tcPr>
            <w:tcW w:w="777" w:type="pct"/>
            <w:vAlign w:val="center"/>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41,62 </w:t>
            </w:r>
          </w:p>
        </w:tc>
        <w:tc>
          <w:tcPr>
            <w:tcW w:w="545" w:type="pct"/>
            <w:shd w:val="clear" w:color="auto" w:fill="auto"/>
            <w:vAlign w:val="center"/>
            <w:hideMark/>
          </w:tcPr>
          <w:p w:rsidR="00126D52" w:rsidRPr="009D4D41" w:rsidRDefault="00126D52"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 xml:space="preserve">42,45 </w:t>
            </w:r>
          </w:p>
        </w:tc>
        <w:tc>
          <w:tcPr>
            <w:tcW w:w="600" w:type="pct"/>
            <w:shd w:val="clear" w:color="auto" w:fill="auto"/>
            <w:vAlign w:val="center"/>
            <w:hideMark/>
          </w:tcPr>
          <w:p w:rsidR="00126D52" w:rsidRPr="009D4D41" w:rsidRDefault="00A00E76"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43,30</w:t>
            </w:r>
          </w:p>
        </w:tc>
        <w:tc>
          <w:tcPr>
            <w:tcW w:w="597" w:type="pct"/>
            <w:shd w:val="clear" w:color="auto" w:fill="auto"/>
            <w:vAlign w:val="center"/>
            <w:hideMark/>
          </w:tcPr>
          <w:p w:rsidR="00126D52" w:rsidRPr="009D4D41" w:rsidRDefault="00A00E76"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44,16</w:t>
            </w:r>
            <w:r w:rsidR="00126D52" w:rsidRPr="009D4D41">
              <w:rPr>
                <w:rFonts w:ascii="Times New Roman" w:hAnsi="Times New Roman" w:cs="Times New Roman"/>
                <w:i/>
                <w:iCs/>
                <w:color w:val="000000" w:themeColor="text1"/>
                <w:sz w:val="16"/>
                <w:szCs w:val="16"/>
              </w:rPr>
              <w:t xml:space="preserve"> </w:t>
            </w:r>
          </w:p>
        </w:tc>
        <w:tc>
          <w:tcPr>
            <w:tcW w:w="597" w:type="pct"/>
            <w:shd w:val="clear" w:color="auto" w:fill="auto"/>
            <w:vAlign w:val="center"/>
            <w:hideMark/>
          </w:tcPr>
          <w:p w:rsidR="00126D52" w:rsidRPr="009D4D41" w:rsidRDefault="00A00E76" w:rsidP="008274BD">
            <w:pPr>
              <w:spacing w:after="0" w:line="240" w:lineRule="auto"/>
              <w:jc w:val="center"/>
              <w:rPr>
                <w:rFonts w:ascii="Times New Roman" w:hAnsi="Times New Roman" w:cs="Times New Roman"/>
                <w:i/>
                <w:iCs/>
                <w:color w:val="000000" w:themeColor="text1"/>
                <w:sz w:val="16"/>
                <w:szCs w:val="16"/>
              </w:rPr>
            </w:pPr>
            <w:r w:rsidRPr="009D4D41">
              <w:rPr>
                <w:rFonts w:ascii="Times New Roman" w:hAnsi="Times New Roman" w:cs="Times New Roman"/>
                <w:i/>
                <w:iCs/>
                <w:color w:val="000000" w:themeColor="text1"/>
                <w:sz w:val="16"/>
                <w:szCs w:val="16"/>
              </w:rPr>
              <w:t>45,05</w:t>
            </w:r>
          </w:p>
        </w:tc>
      </w:tr>
    </w:tbl>
    <w:p w:rsidR="005868DE" w:rsidRPr="009D4D41" w:rsidRDefault="005868DE" w:rsidP="005868DE">
      <w:pPr>
        <w:widowControl w:val="0"/>
        <w:rPr>
          <w:rFonts w:ascii="Times New Roman" w:hAnsi="Times New Roman" w:cs="Times New Roman"/>
          <w:bCs/>
          <w:i/>
          <w:color w:val="000000" w:themeColor="text1"/>
          <w:sz w:val="16"/>
          <w:szCs w:val="16"/>
        </w:rPr>
      </w:pPr>
    </w:p>
    <w:p w:rsidR="00792606" w:rsidRPr="009D4D41" w:rsidRDefault="00792606">
      <w:pPr>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br w:type="page"/>
      </w:r>
    </w:p>
    <w:p w:rsidR="008A160D" w:rsidRPr="009D4D41" w:rsidRDefault="008A160D" w:rsidP="00691A30">
      <w:pPr>
        <w:spacing w:after="0" w:line="240" w:lineRule="auto"/>
        <w:ind w:left="6237"/>
        <w:jc w:val="right"/>
        <w:rPr>
          <w:rFonts w:ascii="Times New Roman" w:hAnsi="Times New Roman" w:cs="Times New Roman"/>
          <w:color w:val="000000" w:themeColor="text1"/>
          <w:sz w:val="24"/>
          <w:szCs w:val="28"/>
        </w:rPr>
      </w:pPr>
    </w:p>
    <w:p w:rsidR="00691A30" w:rsidRPr="009D4D41" w:rsidRDefault="00691A30" w:rsidP="00691A30">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w:t>
      </w:r>
      <w:r w:rsidR="00792606" w:rsidRPr="009D4D41">
        <w:rPr>
          <w:rFonts w:ascii="Times New Roman" w:hAnsi="Times New Roman" w:cs="Times New Roman"/>
          <w:color w:val="000000" w:themeColor="text1"/>
          <w:sz w:val="24"/>
          <w:szCs w:val="28"/>
        </w:rPr>
        <w:t>2</w:t>
      </w:r>
    </w:p>
    <w:p w:rsidR="00691A30" w:rsidRPr="009D4D41" w:rsidRDefault="00691A30" w:rsidP="00691A30">
      <w:pPr>
        <w:spacing w:after="0" w:line="240" w:lineRule="auto"/>
        <w:ind w:left="6237"/>
        <w:jc w:val="right"/>
        <w:rPr>
          <w:rFonts w:ascii="Times New Roman" w:hAnsi="Times New Roman" w:cs="Times New Roman"/>
          <w:color w:val="000000" w:themeColor="text1"/>
          <w:sz w:val="10"/>
          <w:szCs w:val="10"/>
        </w:rPr>
      </w:pPr>
    </w:p>
    <w:p w:rsidR="003B37DF" w:rsidRPr="009D4D41" w:rsidRDefault="003B37DF" w:rsidP="003B37DF">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hAnsi="Times New Roman" w:cs="Times New Roman"/>
          <w:color w:val="000000" w:themeColor="text1"/>
        </w:rPr>
        <w:t>Динамика профицита федерального бюджета и источников финансирования дефицита федерального бюджета в 201</w:t>
      </w:r>
      <w:r w:rsidR="00AD1C24" w:rsidRPr="009D4D41">
        <w:rPr>
          <w:rFonts w:ascii="Times New Roman" w:hAnsi="Times New Roman" w:cs="Times New Roman"/>
          <w:color w:val="000000" w:themeColor="text1"/>
        </w:rPr>
        <w:t>9</w:t>
      </w:r>
      <w:r w:rsidRPr="009D4D41">
        <w:rPr>
          <w:rFonts w:ascii="Times New Roman" w:hAnsi="Times New Roman" w:cs="Times New Roman"/>
          <w:color w:val="000000" w:themeColor="text1"/>
        </w:rPr>
        <w:t> – 202</w:t>
      </w:r>
      <w:r w:rsidR="00AD1C24" w:rsidRPr="009D4D41">
        <w:rPr>
          <w:rFonts w:ascii="Times New Roman" w:hAnsi="Times New Roman" w:cs="Times New Roman"/>
          <w:color w:val="000000" w:themeColor="text1"/>
        </w:rPr>
        <w:t>3</w:t>
      </w:r>
      <w:r w:rsidRPr="009D4D41">
        <w:rPr>
          <w:rFonts w:ascii="Times New Roman" w:hAnsi="Times New Roman" w:cs="Times New Roman"/>
          <w:color w:val="000000" w:themeColor="text1"/>
        </w:rPr>
        <w:t xml:space="preserve"> годах</w:t>
      </w:r>
    </w:p>
    <w:p w:rsidR="003B37DF" w:rsidRPr="009D4D41" w:rsidRDefault="003B37DF" w:rsidP="0085570D">
      <w:pPr>
        <w:spacing w:after="0" w:line="240" w:lineRule="auto"/>
        <w:ind w:right="-142"/>
        <w:jc w:val="right"/>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(млн. рублей)</w:t>
      </w:r>
    </w:p>
    <w:tbl>
      <w:tblPr>
        <w:tblW w:w="10774" w:type="dxa"/>
        <w:tblInd w:w="-459" w:type="dxa"/>
        <w:tblLayout w:type="fixed"/>
        <w:tblLook w:val="04A0" w:firstRow="1" w:lastRow="0" w:firstColumn="1" w:lastColumn="0" w:noHBand="0" w:noVBand="1"/>
      </w:tblPr>
      <w:tblGrid>
        <w:gridCol w:w="1844"/>
        <w:gridCol w:w="992"/>
        <w:gridCol w:w="992"/>
        <w:gridCol w:w="992"/>
        <w:gridCol w:w="993"/>
        <w:gridCol w:w="1026"/>
        <w:gridCol w:w="1056"/>
        <w:gridCol w:w="1036"/>
        <w:gridCol w:w="885"/>
        <w:gridCol w:w="958"/>
      </w:tblGrid>
      <w:tr w:rsidR="009D4D41" w:rsidRPr="009D4D41" w:rsidTr="000C189B">
        <w:trPr>
          <w:trHeight w:val="300"/>
          <w:tblHeader/>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4"/>
                <w:szCs w:val="14"/>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rsidR="00067007" w:rsidRPr="009D4D41" w:rsidRDefault="00AD1C24" w:rsidP="00067007">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2019</w:t>
            </w:r>
            <w:r w:rsidR="00067007" w:rsidRPr="009D4D41">
              <w:rPr>
                <w:rFonts w:ascii="Times New Roman" w:hAnsi="Times New Roman" w:cs="Times New Roman"/>
                <w:b/>
                <w:bCs/>
                <w:color w:val="000000" w:themeColor="text1"/>
                <w:sz w:val="12"/>
                <w:szCs w:val="12"/>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007" w:rsidRPr="009D4D41" w:rsidRDefault="00AD1C24"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2020</w:t>
            </w:r>
            <w:r w:rsidR="00067007" w:rsidRPr="009D4D41">
              <w:rPr>
                <w:rFonts w:ascii="Times New Roman" w:hAnsi="Times New Roman" w:cs="Times New Roman"/>
                <w:b/>
                <w:bCs/>
                <w:color w:val="000000" w:themeColor="text1"/>
                <w:sz w:val="12"/>
                <w:szCs w:val="12"/>
              </w:rPr>
              <w:t xml:space="preserve"> год</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7007" w:rsidRPr="009D4D41" w:rsidRDefault="00AD1C24"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2021</w:t>
            </w:r>
            <w:r w:rsidR="00067007" w:rsidRPr="009D4D41">
              <w:rPr>
                <w:rFonts w:ascii="Times New Roman" w:hAnsi="Times New Roman" w:cs="Times New Roman"/>
                <w:b/>
                <w:bCs/>
                <w:color w:val="000000" w:themeColor="text1"/>
                <w:sz w:val="12"/>
                <w:szCs w:val="12"/>
              </w:rPr>
              <w:t xml:space="preserve"> год</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067007" w:rsidRPr="009D4D41" w:rsidRDefault="00AD1C24"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2022</w:t>
            </w:r>
            <w:r w:rsidR="00067007" w:rsidRPr="009D4D41">
              <w:rPr>
                <w:rFonts w:ascii="Times New Roman" w:hAnsi="Times New Roman" w:cs="Times New Roman"/>
                <w:b/>
                <w:bCs/>
                <w:color w:val="000000" w:themeColor="text1"/>
                <w:sz w:val="12"/>
                <w:szCs w:val="12"/>
              </w:rPr>
              <w:t xml:space="preserve"> год</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067007" w:rsidRPr="009D4D41" w:rsidRDefault="00067007" w:rsidP="00AD1C24">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202</w:t>
            </w:r>
            <w:r w:rsidR="00AD1C24" w:rsidRPr="009D4D41">
              <w:rPr>
                <w:rFonts w:ascii="Times New Roman" w:hAnsi="Times New Roman" w:cs="Times New Roman"/>
                <w:b/>
                <w:bCs/>
                <w:color w:val="000000" w:themeColor="text1"/>
                <w:sz w:val="12"/>
                <w:szCs w:val="12"/>
              </w:rPr>
              <w:t>3</w:t>
            </w:r>
            <w:r w:rsidRPr="009D4D41">
              <w:rPr>
                <w:rFonts w:ascii="Times New Roman" w:hAnsi="Times New Roman" w:cs="Times New Roman"/>
                <w:b/>
                <w:bCs/>
                <w:color w:val="000000" w:themeColor="text1"/>
                <w:sz w:val="12"/>
                <w:szCs w:val="12"/>
              </w:rPr>
              <w:t xml:space="preserve"> год</w:t>
            </w:r>
          </w:p>
        </w:tc>
      </w:tr>
      <w:tr w:rsidR="009D4D41" w:rsidRPr="009D4D41" w:rsidTr="000C189B">
        <w:trPr>
          <w:trHeight w:val="498"/>
          <w:tblHeader/>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067007" w:rsidRPr="009D4D41" w:rsidRDefault="00067007" w:rsidP="003B37DF">
            <w:pPr>
              <w:spacing w:after="0" w:line="240" w:lineRule="auto"/>
              <w:rPr>
                <w:rFonts w:ascii="Times New Roman" w:hAnsi="Times New Roman" w:cs="Times New Roman"/>
                <w:b/>
                <w:bCs/>
                <w:color w:val="000000" w:themeColor="text1"/>
                <w:sz w:val="12"/>
                <w:szCs w:val="12"/>
              </w:rPr>
            </w:pPr>
          </w:p>
        </w:tc>
        <w:tc>
          <w:tcPr>
            <w:tcW w:w="992" w:type="dxa"/>
            <w:tcBorders>
              <w:top w:val="single" w:sz="4" w:space="0" w:color="auto"/>
              <w:left w:val="nil"/>
              <w:bottom w:val="single" w:sz="4" w:space="0" w:color="auto"/>
              <w:right w:val="single" w:sz="4" w:space="0" w:color="auto"/>
            </w:tcBorders>
            <w:vAlign w:val="center"/>
          </w:tcPr>
          <w:p w:rsidR="008F64B1" w:rsidRPr="009D4D41" w:rsidRDefault="008F64B1" w:rsidP="008F64B1">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проект федерального закона </w:t>
            </w:r>
          </w:p>
          <w:p w:rsidR="00067007" w:rsidRPr="009D4D41" w:rsidRDefault="008F64B1" w:rsidP="008F64B1">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«Об исполне</w:t>
            </w:r>
            <w:r w:rsidR="00A52B75" w:rsidRPr="009D4D41">
              <w:rPr>
                <w:rFonts w:ascii="Times New Roman" w:hAnsi="Times New Roman" w:cs="Times New Roman"/>
                <w:b/>
                <w:bCs/>
                <w:color w:val="000000" w:themeColor="text1"/>
                <w:sz w:val="12"/>
                <w:szCs w:val="12"/>
              </w:rPr>
              <w:t>нии федерального бюджета за 2019</w:t>
            </w:r>
            <w:r w:rsidRPr="009D4D41">
              <w:rPr>
                <w:rFonts w:ascii="Times New Roman" w:hAnsi="Times New Roman" w:cs="Times New Roman"/>
                <w:b/>
                <w:bCs/>
                <w:color w:val="000000" w:themeColor="text1"/>
                <w:sz w:val="12"/>
                <w:szCs w:val="12"/>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показатели, установленные Федеральным законом </w:t>
            </w:r>
          </w:p>
          <w:p w:rsidR="00067007" w:rsidRPr="009D4D41" w:rsidRDefault="00067007"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 </w:t>
            </w:r>
            <w:r w:rsidR="00A52B75" w:rsidRPr="009D4D41">
              <w:rPr>
                <w:rFonts w:ascii="Times New Roman" w:hAnsi="Times New Roman" w:cs="Times New Roman"/>
                <w:b/>
                <w:bCs/>
                <w:color w:val="000000" w:themeColor="text1"/>
                <w:sz w:val="12"/>
                <w:szCs w:val="12"/>
              </w:rPr>
              <w:t>380-ФЗ</w:t>
            </w:r>
            <w:r w:rsidRPr="009D4D41">
              <w:rPr>
                <w:rFonts w:ascii="Times New Roman" w:hAnsi="Times New Roman" w:cs="Times New Roman"/>
                <w:b/>
                <w:bCs/>
                <w:color w:val="000000" w:themeColor="text1"/>
                <w:sz w:val="12"/>
                <w:szCs w:val="12"/>
              </w:rPr>
              <w:t xml:space="preserve"> (с изменениями) и в расчетах к нему</w:t>
            </w:r>
          </w:p>
        </w:tc>
        <w:tc>
          <w:tcPr>
            <w:tcW w:w="992"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показатели, установленные Федеральным законом </w:t>
            </w:r>
          </w:p>
          <w:p w:rsidR="00067007" w:rsidRPr="009D4D41" w:rsidRDefault="00067007"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 </w:t>
            </w:r>
            <w:r w:rsidR="00A52B75" w:rsidRPr="009D4D41">
              <w:rPr>
                <w:rFonts w:ascii="Times New Roman" w:hAnsi="Times New Roman" w:cs="Times New Roman"/>
                <w:b/>
                <w:bCs/>
                <w:color w:val="000000" w:themeColor="text1"/>
                <w:sz w:val="12"/>
                <w:szCs w:val="12"/>
              </w:rPr>
              <w:t>380-ФЗ</w:t>
            </w:r>
            <w:r w:rsidRPr="009D4D41">
              <w:rPr>
                <w:rFonts w:ascii="Times New Roman" w:hAnsi="Times New Roman" w:cs="Times New Roman"/>
                <w:b/>
                <w:bCs/>
                <w:color w:val="000000" w:themeColor="text1"/>
                <w:sz w:val="12"/>
                <w:szCs w:val="12"/>
              </w:rPr>
              <w:t xml:space="preserve"> (с изменениями) и в расчетах к нему</w:t>
            </w:r>
          </w:p>
        </w:tc>
        <w:tc>
          <w:tcPr>
            <w:tcW w:w="993"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проект</w:t>
            </w:r>
          </w:p>
        </w:tc>
        <w:tc>
          <w:tcPr>
            <w:tcW w:w="102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к предыдуще-</w:t>
            </w:r>
          </w:p>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му бюджетному циклу</w:t>
            </w:r>
          </w:p>
        </w:tc>
        <w:tc>
          <w:tcPr>
            <w:tcW w:w="105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показатели, установленные Федеральным законом </w:t>
            </w:r>
          </w:p>
          <w:p w:rsidR="00067007" w:rsidRPr="009D4D41" w:rsidRDefault="00067007" w:rsidP="001270C2">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xml:space="preserve">№ </w:t>
            </w:r>
            <w:r w:rsidR="00A52B75" w:rsidRPr="009D4D41">
              <w:rPr>
                <w:rFonts w:ascii="Times New Roman" w:hAnsi="Times New Roman" w:cs="Times New Roman"/>
                <w:b/>
                <w:bCs/>
                <w:color w:val="000000" w:themeColor="text1"/>
                <w:sz w:val="12"/>
                <w:szCs w:val="12"/>
              </w:rPr>
              <w:t>380-ФЗ</w:t>
            </w:r>
            <w:r w:rsidRPr="009D4D41">
              <w:rPr>
                <w:rFonts w:ascii="Times New Roman" w:hAnsi="Times New Roman" w:cs="Times New Roman"/>
                <w:b/>
                <w:bCs/>
                <w:color w:val="000000" w:themeColor="text1"/>
                <w:sz w:val="12"/>
                <w:szCs w:val="12"/>
              </w:rPr>
              <w:t xml:space="preserve"> (с изменениями) и в расчетах к нему</w:t>
            </w:r>
          </w:p>
        </w:tc>
        <w:tc>
          <w:tcPr>
            <w:tcW w:w="103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проект</w:t>
            </w:r>
          </w:p>
        </w:tc>
        <w:tc>
          <w:tcPr>
            <w:tcW w:w="885"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 к предыдуще-му бюджетно-му циклу</w:t>
            </w:r>
          </w:p>
        </w:tc>
        <w:tc>
          <w:tcPr>
            <w:tcW w:w="958"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2"/>
                <w:szCs w:val="12"/>
              </w:rPr>
            </w:pPr>
            <w:r w:rsidRPr="009D4D41">
              <w:rPr>
                <w:rFonts w:ascii="Times New Roman" w:hAnsi="Times New Roman" w:cs="Times New Roman"/>
                <w:b/>
                <w:bCs/>
                <w:color w:val="000000" w:themeColor="text1"/>
                <w:sz w:val="12"/>
                <w:szCs w:val="12"/>
              </w:rPr>
              <w:t>проект</w:t>
            </w:r>
          </w:p>
        </w:tc>
      </w:tr>
      <w:tr w:rsidR="009D4D41" w:rsidRPr="009D4D41" w:rsidTr="000C189B">
        <w:trPr>
          <w:trHeight w:val="70"/>
          <w:tblHeader/>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1</w:t>
            </w:r>
          </w:p>
        </w:tc>
        <w:tc>
          <w:tcPr>
            <w:tcW w:w="992" w:type="dxa"/>
            <w:tcBorders>
              <w:top w:val="single" w:sz="4" w:space="0" w:color="auto"/>
              <w:left w:val="nil"/>
              <w:bottom w:val="single" w:sz="4" w:space="0" w:color="auto"/>
              <w:right w:val="single" w:sz="4" w:space="0" w:color="auto"/>
            </w:tcBorders>
            <w:vAlign w:val="center"/>
          </w:tcPr>
          <w:p w:rsidR="00067007" w:rsidRPr="009D4D41" w:rsidRDefault="00067007" w:rsidP="00067007">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3</w:t>
            </w:r>
          </w:p>
        </w:tc>
        <w:tc>
          <w:tcPr>
            <w:tcW w:w="992"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4</w:t>
            </w:r>
          </w:p>
        </w:tc>
        <w:tc>
          <w:tcPr>
            <w:tcW w:w="993"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5</w:t>
            </w:r>
          </w:p>
        </w:tc>
        <w:tc>
          <w:tcPr>
            <w:tcW w:w="102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6</w:t>
            </w:r>
          </w:p>
        </w:tc>
        <w:tc>
          <w:tcPr>
            <w:tcW w:w="105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7</w:t>
            </w:r>
          </w:p>
        </w:tc>
        <w:tc>
          <w:tcPr>
            <w:tcW w:w="1036"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8</w:t>
            </w:r>
          </w:p>
        </w:tc>
        <w:tc>
          <w:tcPr>
            <w:tcW w:w="885"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9</w:t>
            </w:r>
          </w:p>
        </w:tc>
        <w:tc>
          <w:tcPr>
            <w:tcW w:w="958" w:type="dxa"/>
            <w:tcBorders>
              <w:top w:val="nil"/>
              <w:left w:val="nil"/>
              <w:bottom w:val="single" w:sz="4" w:space="0" w:color="auto"/>
              <w:right w:val="single" w:sz="4" w:space="0" w:color="auto"/>
            </w:tcBorders>
            <w:shd w:val="clear" w:color="auto" w:fill="auto"/>
            <w:vAlign w:val="center"/>
            <w:hideMark/>
          </w:tcPr>
          <w:p w:rsidR="00067007" w:rsidRPr="009D4D41" w:rsidRDefault="00067007" w:rsidP="003B37DF">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10</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Дефицит/профицит</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1 974 279,5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927 583,0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701 394,6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-2 754 966,5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-392,8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372 658,9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-1 247 495,0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-334,8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-1 408 621,3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к ВВП</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1,8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0,8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-2,4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0,3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к предыдущему году</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47,0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75,6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-297,0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53,1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45,3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112,9 </w:t>
            </w:r>
          </w:p>
        </w:tc>
      </w:tr>
      <w:tr w:rsidR="009D4D41" w:rsidRPr="009D4D41" w:rsidTr="000C189B">
        <w:trPr>
          <w:trHeight w:val="301"/>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Источники финансирования дефицита федерального бюджета </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-1 974 279,5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-927 583,0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-701 394,6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2 754 966,5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-392,8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-372 658,9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1 247 495,0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-334,8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1 408 621,3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к ВВП</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-1,8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-0,8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2,4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-0,3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в</w:t>
            </w:r>
            <w:r w:rsidRPr="009D4D41">
              <w:rPr>
                <w:rFonts w:ascii="Times New Roman" w:hAnsi="Times New Roman" w:cs="Times New Roman"/>
                <w:b/>
                <w:bCs/>
                <w:color w:val="000000" w:themeColor="text1"/>
                <w:sz w:val="16"/>
                <w:szCs w:val="16"/>
              </w:rPr>
              <w:t xml:space="preserve"> </w:t>
            </w:r>
            <w:r w:rsidRPr="009D4D41">
              <w:rPr>
                <w:rFonts w:ascii="Times New Roman" w:hAnsi="Times New Roman" w:cs="Times New Roman"/>
                <w:color w:val="000000" w:themeColor="text1"/>
                <w:sz w:val="16"/>
                <w:szCs w:val="16"/>
              </w:rPr>
              <w:t>том числе:</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Источники внутреннего финансирования</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-2 263 614,0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-601 607,9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-664 409,5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2 738 073,1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-412,1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-146 919,2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1 391 312,3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-947,0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1 627 800,9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к ВВП</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-2,1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-0,5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-0,6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2,4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-0,1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1,2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изменение остатков средств федерального бюджета </w:t>
            </w:r>
          </w:p>
        </w:tc>
        <w:tc>
          <w:tcPr>
            <w:tcW w:w="992" w:type="dxa"/>
            <w:tcBorders>
              <w:top w:val="single" w:sz="4" w:space="0" w:color="auto"/>
              <w:left w:val="nil"/>
              <w:bottom w:val="single" w:sz="4" w:space="0" w:color="auto"/>
              <w:right w:val="single" w:sz="4" w:space="0" w:color="auto"/>
            </w:tcBorders>
            <w:vAlign w:val="center"/>
          </w:tcPr>
          <w:p w:rsidR="00F50A5C" w:rsidRPr="009D4D41" w:rsidRDefault="00F50A5C" w:rsidP="00E441E7">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w:t>
            </w:r>
            <w:r w:rsidR="009D4D41" w:rsidRPr="009D4D41">
              <w:rPr>
                <w:rFonts w:ascii="Times New Roman" w:hAnsi="Times New Roman" w:cs="Times New Roman"/>
                <w:color w:val="000000" w:themeColor="text1"/>
                <w:sz w:val="14"/>
                <w:szCs w:val="14"/>
              </w:rPr>
              <w:t>2</w:t>
            </w:r>
            <w:r w:rsidR="00895B90">
              <w:rPr>
                <w:rFonts w:ascii="Times New Roman" w:hAnsi="Times New Roman" w:cs="Times New Roman"/>
                <w:color w:val="000000" w:themeColor="text1"/>
                <w:sz w:val="14"/>
                <w:szCs w:val="14"/>
              </w:rPr>
              <w:t> 773 944,8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-2 379 963,4 </w:t>
            </w:r>
          </w:p>
        </w:tc>
        <w:tc>
          <w:tcPr>
            <w:tcW w:w="992"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-2 319 156,9 </w:t>
            </w:r>
          </w:p>
        </w:tc>
        <w:tc>
          <w:tcPr>
            <w:tcW w:w="993"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94 957,2 </w:t>
            </w:r>
          </w:p>
        </w:tc>
        <w:tc>
          <w:tcPr>
            <w:tcW w:w="1026"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-4,1 </w:t>
            </w:r>
          </w:p>
        </w:tc>
        <w:tc>
          <w:tcPr>
            <w:tcW w:w="1056"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-2 109 247,8 </w:t>
            </w:r>
          </w:p>
        </w:tc>
        <w:tc>
          <w:tcPr>
            <w:tcW w:w="1036"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-698 842,6 </w:t>
            </w:r>
          </w:p>
        </w:tc>
        <w:tc>
          <w:tcPr>
            <w:tcW w:w="885"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33,1 </w:t>
            </w:r>
          </w:p>
        </w:tc>
        <w:tc>
          <w:tcPr>
            <w:tcW w:w="958" w:type="dxa"/>
            <w:tcBorders>
              <w:top w:val="nil"/>
              <w:left w:val="nil"/>
              <w:bottom w:val="single" w:sz="4" w:space="0" w:color="auto"/>
              <w:right w:val="single" w:sz="4" w:space="0" w:color="auto"/>
            </w:tcBorders>
            <w:shd w:val="clear" w:color="auto" w:fill="auto"/>
            <w:vAlign w:val="center"/>
            <w:hideMark/>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-783 558,0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ind w:firstLineChars="100" w:firstLine="160"/>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изменение остатков средств ФНБ*</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-3 782 141,1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4 492,0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4 290,2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94 957,2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2 213,3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4 122,3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3 808,1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92,4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3 777,2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tcPr>
          <w:p w:rsidR="00B53C6C" w:rsidRPr="009D4D41" w:rsidRDefault="00B53C6C" w:rsidP="00B53C6C">
            <w:pPr>
              <w:spacing w:after="0" w:line="240" w:lineRule="auto"/>
              <w:ind w:firstLineChars="100" w:firstLine="160"/>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изменение остатков средств на счетах по учету средств федерального бюджета для зачисления дополнительных нефтегазовых доходов в иностранной валюте</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1 720 172,7 </w:t>
            </w:r>
          </w:p>
        </w:tc>
        <w:tc>
          <w:tcPr>
            <w:tcW w:w="992" w:type="dxa"/>
            <w:tcBorders>
              <w:top w:val="nil"/>
              <w:left w:val="single" w:sz="4" w:space="0" w:color="auto"/>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-2 510 977,3 </w:t>
            </w:r>
          </w:p>
        </w:tc>
        <w:tc>
          <w:tcPr>
            <w:tcW w:w="992"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-2 323 447,1 </w:t>
            </w:r>
          </w:p>
        </w:tc>
        <w:tc>
          <w:tcPr>
            <w:tcW w:w="993"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0,0 </w:t>
            </w:r>
          </w:p>
        </w:tc>
        <w:tc>
          <w:tcPr>
            <w:tcW w:w="102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0,0 </w:t>
            </w:r>
          </w:p>
        </w:tc>
        <w:tc>
          <w:tcPr>
            <w:tcW w:w="105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-2 113 370,1 </w:t>
            </w:r>
          </w:p>
        </w:tc>
        <w:tc>
          <w:tcPr>
            <w:tcW w:w="103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-702 650,7 </w:t>
            </w:r>
          </w:p>
        </w:tc>
        <w:tc>
          <w:tcPr>
            <w:tcW w:w="885"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33,2 </w:t>
            </w:r>
          </w:p>
        </w:tc>
        <w:tc>
          <w:tcPr>
            <w:tcW w:w="958"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-787 335,2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tcPr>
          <w:p w:rsidR="00F50A5C" w:rsidRPr="009D4D41" w:rsidRDefault="00F50A5C" w:rsidP="00F50A5C">
            <w:pPr>
              <w:spacing w:after="0" w:line="240" w:lineRule="auto"/>
              <w:ind w:firstLineChars="100" w:firstLine="160"/>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изменение остатков средств ФНБ на депозитных счетах</w:t>
            </w:r>
          </w:p>
        </w:tc>
        <w:tc>
          <w:tcPr>
            <w:tcW w:w="992" w:type="dxa"/>
            <w:tcBorders>
              <w:top w:val="single" w:sz="4" w:space="0" w:color="auto"/>
              <w:left w:val="nil"/>
              <w:bottom w:val="single" w:sz="4" w:space="0" w:color="auto"/>
              <w:right w:val="single" w:sz="4" w:space="0" w:color="auto"/>
            </w:tcBorders>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36 280,6</w:t>
            </w:r>
          </w:p>
        </w:tc>
        <w:tc>
          <w:tcPr>
            <w:tcW w:w="992" w:type="dxa"/>
            <w:tcBorders>
              <w:top w:val="nil"/>
              <w:left w:val="single" w:sz="4" w:space="0" w:color="auto"/>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992"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993"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1026"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1056"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1036"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885"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c>
          <w:tcPr>
            <w:tcW w:w="958" w:type="dxa"/>
            <w:tcBorders>
              <w:top w:val="nil"/>
              <w:left w:val="nil"/>
              <w:bottom w:val="single" w:sz="4" w:space="0" w:color="auto"/>
              <w:right w:val="single" w:sz="4" w:space="0" w:color="auto"/>
            </w:tcBorders>
            <w:shd w:val="clear" w:color="auto" w:fill="auto"/>
            <w:vAlign w:val="center"/>
          </w:tcPr>
          <w:p w:rsidR="00F50A5C" w:rsidRPr="009D4D41" w:rsidRDefault="00F50A5C" w:rsidP="00F50A5C">
            <w:pPr>
              <w:spacing w:after="0" w:line="240" w:lineRule="auto"/>
              <w:jc w:val="center"/>
              <w:rPr>
                <w:rFonts w:ascii="Times New Roman" w:hAnsi="Times New Roman" w:cs="Times New Roman"/>
                <w:color w:val="000000" w:themeColor="text1"/>
                <w:sz w:val="14"/>
                <w:szCs w:val="14"/>
              </w:rPr>
            </w:pPr>
          </w:p>
        </w:tc>
      </w:tr>
      <w:tr w:rsidR="009D4D41" w:rsidRPr="009D4D41" w:rsidTr="001F6E21">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ind w:firstLineChars="100" w:firstLine="160"/>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изменение иных остатков</w:t>
            </w:r>
          </w:p>
        </w:tc>
        <w:tc>
          <w:tcPr>
            <w:tcW w:w="992" w:type="dxa"/>
            <w:tcBorders>
              <w:top w:val="single" w:sz="4" w:space="0" w:color="auto"/>
              <w:left w:val="nil"/>
              <w:bottom w:val="single" w:sz="4" w:space="0" w:color="auto"/>
              <w:right w:val="single" w:sz="4" w:space="0" w:color="auto"/>
            </w:tcBorders>
            <w:shd w:val="clear" w:color="auto" w:fill="auto"/>
            <w:vAlign w:val="center"/>
          </w:tcPr>
          <w:p w:rsidR="00B53C6C" w:rsidRPr="009D4D41" w:rsidRDefault="00B53C6C" w:rsidP="009D4D41">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w:t>
            </w:r>
            <w:r w:rsidR="00E441E7">
              <w:rPr>
                <w:rFonts w:ascii="Times New Roman" w:hAnsi="Times New Roman" w:cs="Times New Roman"/>
                <w:color w:val="000000" w:themeColor="text1"/>
                <w:sz w:val="14"/>
                <w:szCs w:val="14"/>
              </w:rPr>
              <w:t>711 976,5</w:t>
            </w:r>
          </w:p>
        </w:tc>
        <w:tc>
          <w:tcPr>
            <w:tcW w:w="992" w:type="dxa"/>
            <w:tcBorders>
              <w:top w:val="nil"/>
              <w:left w:val="single" w:sz="4" w:space="0" w:color="auto"/>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3"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2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36"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государственные ценные бумаги (сальдо)</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1 377 556,5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1 740 216,0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1 549 038,9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2 681 586,0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173,1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1 825 928,4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2 056 086,4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112,6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2 400 855,4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Иные источники внутреннего финансирования </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-459 034,2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38 139,6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105 708,5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-38 470,0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-36,4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136 400,2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34 068,5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25,0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10 503,6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поступления от приватизации</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11 527,5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11 257,3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3 600,0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3 600,0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3 600,0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3 600,0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3 300,0 </w:t>
            </w:r>
          </w:p>
        </w:tc>
      </w:tr>
      <w:tr w:rsidR="009D4D41" w:rsidRPr="009D4D41" w:rsidTr="000C189B">
        <w:trPr>
          <w:trHeight w:val="101"/>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Источники внешнего финансирования</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289 334,6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-325 975,1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-36 985,1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16 893,3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-45,7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-225 739,7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-143 817,3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63,7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b/>
                <w:color w:val="000000" w:themeColor="text1"/>
                <w:sz w:val="14"/>
                <w:szCs w:val="14"/>
              </w:rPr>
            </w:pPr>
            <w:r w:rsidRPr="009D4D41">
              <w:rPr>
                <w:rFonts w:ascii="Times New Roman" w:hAnsi="Times New Roman" w:cs="Times New Roman"/>
                <w:b/>
                <w:color w:val="000000" w:themeColor="text1"/>
                <w:sz w:val="14"/>
                <w:szCs w:val="14"/>
              </w:rPr>
              <w:t xml:space="preserve">-219 179,7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к ВВП</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0,3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-0,3 </w:t>
            </w:r>
          </w:p>
        </w:tc>
        <w:tc>
          <w:tcPr>
            <w:tcW w:w="992"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-0,0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0,0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-0,2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-0,1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w:t>
            </w:r>
          </w:p>
        </w:tc>
        <w:tc>
          <w:tcPr>
            <w:tcW w:w="958" w:type="dxa"/>
            <w:tcBorders>
              <w:top w:val="nil"/>
              <w:left w:val="nil"/>
              <w:bottom w:val="single" w:sz="4" w:space="0" w:color="auto"/>
              <w:right w:val="single" w:sz="4" w:space="0" w:color="auto"/>
            </w:tcBorders>
            <w:shd w:val="clear" w:color="auto" w:fill="auto"/>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-0,2 </w:t>
            </w:r>
          </w:p>
        </w:tc>
      </w:tr>
      <w:tr w:rsidR="009D4D41" w:rsidRPr="009D4D41" w:rsidTr="000C189B">
        <w:trPr>
          <w:trHeight w:val="64"/>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 государственные ценные бумаги (сальдо)</w:t>
            </w:r>
          </w:p>
        </w:tc>
        <w:tc>
          <w:tcPr>
            <w:tcW w:w="992" w:type="dxa"/>
            <w:tcBorders>
              <w:top w:val="single" w:sz="4" w:space="0" w:color="auto"/>
              <w:left w:val="nil"/>
              <w:bottom w:val="single" w:sz="4" w:space="0" w:color="auto"/>
              <w:right w:val="single" w:sz="4" w:space="0" w:color="auto"/>
            </w:tcBorders>
            <w:vAlign w:val="center"/>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259 961,0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-133 674,7 </w:t>
            </w:r>
          </w:p>
        </w:tc>
        <w:tc>
          <w:tcPr>
            <w:tcW w:w="992"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163 304,5 </w:t>
            </w:r>
          </w:p>
        </w:tc>
        <w:tc>
          <w:tcPr>
            <w:tcW w:w="993"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178 869,1 </w:t>
            </w:r>
          </w:p>
        </w:tc>
        <w:tc>
          <w:tcPr>
            <w:tcW w:w="102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109,5 </w:t>
            </w:r>
          </w:p>
        </w:tc>
        <w:tc>
          <w:tcPr>
            <w:tcW w:w="105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32 254,3 </w:t>
            </w:r>
          </w:p>
        </w:tc>
        <w:tc>
          <w:tcPr>
            <w:tcW w:w="1036"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35 455,5 </w:t>
            </w:r>
          </w:p>
        </w:tc>
        <w:tc>
          <w:tcPr>
            <w:tcW w:w="885"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109,9 </w:t>
            </w:r>
          </w:p>
        </w:tc>
        <w:tc>
          <w:tcPr>
            <w:tcW w:w="958" w:type="dxa"/>
            <w:tcBorders>
              <w:top w:val="nil"/>
              <w:left w:val="nil"/>
              <w:bottom w:val="single" w:sz="4" w:space="0" w:color="auto"/>
              <w:right w:val="single" w:sz="4" w:space="0" w:color="auto"/>
            </w:tcBorders>
            <w:shd w:val="clear" w:color="auto" w:fill="auto"/>
            <w:vAlign w:val="center"/>
            <w:hideMark/>
          </w:tcPr>
          <w:p w:rsidR="00B53C6C" w:rsidRPr="009D4D41" w:rsidRDefault="00B53C6C" w:rsidP="00B53C6C">
            <w:pPr>
              <w:spacing w:after="0" w:line="240" w:lineRule="auto"/>
              <w:jc w:val="center"/>
              <w:rPr>
                <w:rFonts w:ascii="Times New Roman" w:hAnsi="Times New Roman" w:cs="Times New Roman"/>
                <w:color w:val="000000" w:themeColor="text1"/>
                <w:sz w:val="14"/>
                <w:szCs w:val="14"/>
              </w:rPr>
            </w:pPr>
            <w:r w:rsidRPr="009D4D41">
              <w:rPr>
                <w:rFonts w:ascii="Times New Roman" w:hAnsi="Times New Roman" w:cs="Times New Roman"/>
                <w:color w:val="000000" w:themeColor="text1"/>
                <w:sz w:val="14"/>
                <w:szCs w:val="14"/>
              </w:rPr>
              <w:t xml:space="preserve">-21 978,7 </w:t>
            </w:r>
          </w:p>
        </w:tc>
      </w:tr>
    </w:tbl>
    <w:p w:rsidR="003B37DF" w:rsidRPr="009D4D41" w:rsidRDefault="003B37DF" w:rsidP="003B37DF">
      <w:pPr>
        <w:pStyle w:val="ad"/>
        <w:spacing w:after="0"/>
        <w:jc w:val="both"/>
        <w:rPr>
          <w:color w:val="000000" w:themeColor="text1"/>
          <w:sz w:val="20"/>
          <w:szCs w:val="20"/>
        </w:rPr>
      </w:pPr>
      <w:r w:rsidRPr="009D4D41">
        <w:rPr>
          <w:color w:val="000000" w:themeColor="text1"/>
          <w:sz w:val="20"/>
          <w:szCs w:val="20"/>
        </w:rPr>
        <w:t xml:space="preserve">* </w:t>
      </w:r>
      <w:r w:rsidR="00B53C6C" w:rsidRPr="009D4D41">
        <w:rPr>
          <w:color w:val="000000" w:themeColor="text1"/>
          <w:sz w:val="20"/>
          <w:szCs w:val="20"/>
        </w:rPr>
        <w:t>В 2021 году в связи с образованием недополученных нефтегазовых доходов федерального бюджета средства Фонда национального благосостояния в объеме 91,1 млрд. руб. будут использованы на финансирование дефицита федерального бюджета. Н</w:t>
      </w:r>
      <w:r w:rsidRPr="009D4D41">
        <w:rPr>
          <w:color w:val="000000" w:themeColor="text1"/>
          <w:sz w:val="20"/>
          <w:szCs w:val="20"/>
        </w:rPr>
        <w:t>а софинан</w:t>
      </w:r>
      <w:r w:rsidR="00FC487F" w:rsidRPr="009D4D41">
        <w:rPr>
          <w:color w:val="000000" w:themeColor="text1"/>
          <w:sz w:val="20"/>
          <w:szCs w:val="20"/>
        </w:rPr>
        <w:t>сирование пенсионных накоплений</w:t>
      </w:r>
      <w:r w:rsidR="00B53C6C" w:rsidRPr="009D4D41">
        <w:rPr>
          <w:color w:val="000000" w:themeColor="text1"/>
          <w:sz w:val="20"/>
          <w:szCs w:val="20"/>
        </w:rPr>
        <w:t xml:space="preserve"> в 2021 – 2023 годах предусматривается направить средства в размере 3,8 млрд. рублей ежегодно</w:t>
      </w:r>
      <w:r w:rsidR="00DB1F67" w:rsidRPr="009D4D41">
        <w:rPr>
          <w:color w:val="000000" w:themeColor="text1"/>
          <w:sz w:val="20"/>
          <w:szCs w:val="20"/>
        </w:rPr>
        <w:t>.</w:t>
      </w:r>
    </w:p>
    <w:p w:rsidR="001270C2" w:rsidRPr="009D4D41" w:rsidRDefault="001270C2" w:rsidP="003B37DF">
      <w:pPr>
        <w:pStyle w:val="ad"/>
        <w:spacing w:after="0"/>
        <w:jc w:val="both"/>
        <w:rPr>
          <w:color w:val="000000" w:themeColor="text1"/>
          <w:sz w:val="20"/>
          <w:szCs w:val="20"/>
        </w:rPr>
      </w:pPr>
    </w:p>
    <w:p w:rsidR="0005494F" w:rsidRPr="009D4D41" w:rsidRDefault="0005494F">
      <w:pPr>
        <w:rPr>
          <w:rFonts w:ascii="Times New Roman" w:eastAsia="Times New Roman" w:hAnsi="Times New Roman" w:cs="Times New Roman"/>
          <w:color w:val="000000" w:themeColor="text1"/>
          <w:sz w:val="20"/>
          <w:szCs w:val="20"/>
          <w:lang w:eastAsia="ru-RU"/>
        </w:rPr>
      </w:pPr>
      <w:r w:rsidRPr="009D4D41">
        <w:rPr>
          <w:color w:val="000000" w:themeColor="text1"/>
          <w:sz w:val="20"/>
          <w:szCs w:val="20"/>
        </w:rPr>
        <w:br w:type="page"/>
      </w:r>
    </w:p>
    <w:p w:rsidR="0005494F" w:rsidRPr="009D4D41" w:rsidRDefault="0005494F" w:rsidP="003B37DF">
      <w:pPr>
        <w:pStyle w:val="ad"/>
        <w:spacing w:after="0"/>
        <w:jc w:val="both"/>
        <w:rPr>
          <w:color w:val="000000" w:themeColor="text1"/>
          <w:sz w:val="20"/>
          <w:szCs w:val="20"/>
        </w:rPr>
      </w:pPr>
    </w:p>
    <w:p w:rsidR="009C0F09" w:rsidRPr="009D4D41" w:rsidRDefault="009C0F09" w:rsidP="009C0F0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w:t>
      </w:r>
      <w:r w:rsidR="009760AD" w:rsidRPr="009D4D41">
        <w:rPr>
          <w:rFonts w:ascii="Times New Roman" w:hAnsi="Times New Roman" w:cs="Times New Roman"/>
          <w:color w:val="000000" w:themeColor="text1"/>
          <w:sz w:val="24"/>
          <w:szCs w:val="28"/>
        </w:rPr>
        <w:t>3</w:t>
      </w:r>
    </w:p>
    <w:p w:rsidR="009C0F09" w:rsidRPr="009D4D41" w:rsidRDefault="009C0F09" w:rsidP="009C0F09">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9D4D41">
        <w:rPr>
          <w:rFonts w:ascii="Times New Roman" w:eastAsia="Times New Roman" w:hAnsi="Times New Roman" w:cs="Times New Roman"/>
          <w:bCs/>
          <w:color w:val="000000" w:themeColor="text1"/>
          <w:sz w:val="24"/>
          <w:szCs w:val="24"/>
          <w:lang w:eastAsia="ru-RU"/>
        </w:rPr>
        <w:t xml:space="preserve">Динамика источников внутреннего финансирования </w:t>
      </w:r>
    </w:p>
    <w:p w:rsidR="00AA0C44" w:rsidRPr="009D4D41" w:rsidRDefault="009C0F09" w:rsidP="009C0F09">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9D4D41">
        <w:rPr>
          <w:rFonts w:ascii="Times New Roman" w:eastAsia="Times New Roman" w:hAnsi="Times New Roman" w:cs="Times New Roman"/>
          <w:bCs/>
          <w:color w:val="000000" w:themeColor="text1"/>
          <w:sz w:val="24"/>
          <w:szCs w:val="24"/>
          <w:lang w:eastAsia="ru-RU"/>
        </w:rPr>
        <w:t>дефи</w:t>
      </w:r>
      <w:r w:rsidR="00A52B75" w:rsidRPr="009D4D41">
        <w:rPr>
          <w:rFonts w:ascii="Times New Roman" w:eastAsia="Times New Roman" w:hAnsi="Times New Roman" w:cs="Times New Roman"/>
          <w:bCs/>
          <w:color w:val="000000" w:themeColor="text1"/>
          <w:sz w:val="24"/>
          <w:szCs w:val="24"/>
          <w:lang w:eastAsia="ru-RU"/>
        </w:rPr>
        <w:t>цита федерального бюджета в 2019</w:t>
      </w:r>
      <w:r w:rsidRPr="009D4D41">
        <w:rPr>
          <w:rFonts w:ascii="Times New Roman" w:eastAsia="Times New Roman" w:hAnsi="Times New Roman" w:cs="Times New Roman"/>
          <w:bCs/>
          <w:color w:val="000000" w:themeColor="text1"/>
          <w:sz w:val="24"/>
          <w:szCs w:val="24"/>
          <w:lang w:eastAsia="ru-RU"/>
        </w:rPr>
        <w:t xml:space="preserve"> – 202</w:t>
      </w:r>
      <w:r w:rsidR="00A52B75" w:rsidRPr="009D4D41">
        <w:rPr>
          <w:rFonts w:ascii="Times New Roman" w:eastAsia="Times New Roman" w:hAnsi="Times New Roman" w:cs="Times New Roman"/>
          <w:bCs/>
          <w:color w:val="000000" w:themeColor="text1"/>
          <w:sz w:val="24"/>
          <w:szCs w:val="24"/>
          <w:lang w:eastAsia="ru-RU"/>
        </w:rPr>
        <w:t>3</w:t>
      </w:r>
      <w:r w:rsidRPr="009D4D41">
        <w:rPr>
          <w:rFonts w:ascii="Times New Roman" w:eastAsia="Times New Roman" w:hAnsi="Times New Roman" w:cs="Times New Roman"/>
          <w:bCs/>
          <w:color w:val="000000" w:themeColor="text1"/>
          <w:sz w:val="24"/>
          <w:szCs w:val="24"/>
          <w:lang w:eastAsia="ru-RU"/>
        </w:rPr>
        <w:t xml:space="preserve"> годах</w:t>
      </w:r>
    </w:p>
    <w:p w:rsidR="009C0F09" w:rsidRPr="009D4D41" w:rsidRDefault="009C0F09" w:rsidP="009C0F09">
      <w:pPr>
        <w:spacing w:after="0" w:line="240" w:lineRule="auto"/>
        <w:ind w:right="-680" w:firstLine="709"/>
        <w:jc w:val="right"/>
        <w:rPr>
          <w:rFonts w:ascii="Times New Roman" w:hAnsi="Times New Roman" w:cs="Times New Roman"/>
          <w:bCs/>
          <w:color w:val="000000" w:themeColor="text1"/>
          <w:sz w:val="20"/>
          <w:szCs w:val="20"/>
        </w:rPr>
      </w:pPr>
      <w:r w:rsidRPr="009D4D41">
        <w:rPr>
          <w:rFonts w:ascii="Times New Roman" w:hAnsi="Times New Roman" w:cs="Times New Roman"/>
          <w:bCs/>
          <w:color w:val="000000" w:themeColor="text1"/>
          <w:sz w:val="20"/>
          <w:szCs w:val="20"/>
        </w:rPr>
        <w:t>(млн. рублей)</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1275"/>
        <w:gridCol w:w="1277"/>
        <w:gridCol w:w="1275"/>
        <w:gridCol w:w="1134"/>
        <w:gridCol w:w="1276"/>
      </w:tblGrid>
      <w:tr w:rsidR="009D4D41" w:rsidRPr="009D4D41" w:rsidTr="00A723B9">
        <w:trPr>
          <w:trHeight w:val="300"/>
          <w:tblHeader/>
        </w:trPr>
        <w:tc>
          <w:tcPr>
            <w:tcW w:w="2552" w:type="dxa"/>
            <w:vMerge w:val="restart"/>
            <w:shd w:val="clear" w:color="auto" w:fill="auto"/>
            <w:noWrap/>
            <w:vAlign w:val="center"/>
            <w:hideMark/>
          </w:tcPr>
          <w:p w:rsidR="00A723B9" w:rsidRPr="009D4D41" w:rsidRDefault="00A723B9" w:rsidP="009C0F09">
            <w:pPr>
              <w:spacing w:after="0" w:line="240" w:lineRule="auto"/>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w:t>
            </w:r>
          </w:p>
        </w:tc>
        <w:tc>
          <w:tcPr>
            <w:tcW w:w="1134" w:type="dxa"/>
            <w:vAlign w:val="center"/>
          </w:tcPr>
          <w:p w:rsidR="00A723B9" w:rsidRPr="009D4D41" w:rsidRDefault="00A52B75" w:rsidP="00A723B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2019</w:t>
            </w:r>
            <w:r w:rsidR="00A723B9" w:rsidRPr="009D4D41">
              <w:rPr>
                <w:rFonts w:ascii="Times New Roman" w:hAnsi="Times New Roman" w:cs="Times New Roman"/>
                <w:b/>
                <w:bCs/>
                <w:color w:val="000000" w:themeColor="text1"/>
                <w:sz w:val="16"/>
                <w:szCs w:val="16"/>
              </w:rPr>
              <w:t xml:space="preserve"> год</w:t>
            </w:r>
          </w:p>
        </w:tc>
        <w:tc>
          <w:tcPr>
            <w:tcW w:w="1134" w:type="dxa"/>
            <w:shd w:val="clear" w:color="auto" w:fill="auto"/>
            <w:vAlign w:val="center"/>
            <w:hideMark/>
          </w:tcPr>
          <w:p w:rsidR="00A723B9" w:rsidRPr="009D4D41" w:rsidRDefault="00A52B75" w:rsidP="009C0F0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2020</w:t>
            </w:r>
            <w:r w:rsidR="00A723B9" w:rsidRPr="009D4D41">
              <w:rPr>
                <w:rFonts w:ascii="Times New Roman" w:hAnsi="Times New Roman" w:cs="Times New Roman"/>
                <w:b/>
                <w:bCs/>
                <w:color w:val="000000" w:themeColor="text1"/>
                <w:sz w:val="16"/>
                <w:szCs w:val="16"/>
              </w:rPr>
              <w:t xml:space="preserve"> год</w:t>
            </w:r>
          </w:p>
        </w:tc>
        <w:tc>
          <w:tcPr>
            <w:tcW w:w="2552" w:type="dxa"/>
            <w:gridSpan w:val="2"/>
            <w:shd w:val="clear" w:color="auto" w:fill="auto"/>
            <w:vAlign w:val="center"/>
            <w:hideMark/>
          </w:tcPr>
          <w:p w:rsidR="00A723B9" w:rsidRPr="009D4D41" w:rsidRDefault="00A52B75" w:rsidP="009C0F0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2021</w:t>
            </w:r>
            <w:r w:rsidR="00A723B9" w:rsidRPr="009D4D41">
              <w:rPr>
                <w:rFonts w:ascii="Times New Roman" w:hAnsi="Times New Roman" w:cs="Times New Roman"/>
                <w:b/>
                <w:bCs/>
                <w:color w:val="000000" w:themeColor="text1"/>
                <w:sz w:val="16"/>
                <w:szCs w:val="16"/>
              </w:rPr>
              <w:t xml:space="preserve"> год</w:t>
            </w:r>
          </w:p>
        </w:tc>
        <w:tc>
          <w:tcPr>
            <w:tcW w:w="2409" w:type="dxa"/>
            <w:gridSpan w:val="2"/>
            <w:shd w:val="clear" w:color="auto" w:fill="auto"/>
            <w:vAlign w:val="center"/>
            <w:hideMark/>
          </w:tcPr>
          <w:p w:rsidR="00A723B9" w:rsidRPr="009D4D41" w:rsidRDefault="00A52B75" w:rsidP="009C0F0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2022</w:t>
            </w:r>
            <w:r w:rsidR="00A723B9" w:rsidRPr="009D4D41">
              <w:rPr>
                <w:rFonts w:ascii="Times New Roman" w:hAnsi="Times New Roman" w:cs="Times New Roman"/>
                <w:b/>
                <w:bCs/>
                <w:color w:val="000000" w:themeColor="text1"/>
                <w:sz w:val="16"/>
                <w:szCs w:val="16"/>
              </w:rPr>
              <w:t xml:space="preserve"> год</w:t>
            </w:r>
          </w:p>
        </w:tc>
        <w:tc>
          <w:tcPr>
            <w:tcW w:w="1276" w:type="dxa"/>
            <w:shd w:val="clear" w:color="auto" w:fill="auto"/>
            <w:vAlign w:val="center"/>
            <w:hideMark/>
          </w:tcPr>
          <w:p w:rsidR="00A723B9" w:rsidRPr="009D4D41" w:rsidRDefault="00A52B75" w:rsidP="00A723B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2023</w:t>
            </w:r>
            <w:r w:rsidR="00A723B9" w:rsidRPr="009D4D41">
              <w:rPr>
                <w:rFonts w:ascii="Times New Roman" w:hAnsi="Times New Roman" w:cs="Times New Roman"/>
                <w:b/>
                <w:bCs/>
                <w:color w:val="000000" w:themeColor="text1"/>
                <w:sz w:val="16"/>
                <w:szCs w:val="16"/>
              </w:rPr>
              <w:t xml:space="preserve"> год</w:t>
            </w:r>
          </w:p>
        </w:tc>
      </w:tr>
      <w:tr w:rsidR="009D4D41" w:rsidRPr="009D4D41" w:rsidTr="00A723B9">
        <w:trPr>
          <w:trHeight w:val="1335"/>
          <w:tblHeader/>
        </w:trPr>
        <w:tc>
          <w:tcPr>
            <w:tcW w:w="2552" w:type="dxa"/>
            <w:vMerge/>
            <w:vAlign w:val="center"/>
            <w:hideMark/>
          </w:tcPr>
          <w:p w:rsidR="00596334" w:rsidRPr="009D4D41" w:rsidRDefault="00596334" w:rsidP="009C0F09">
            <w:pPr>
              <w:spacing w:after="0" w:line="240" w:lineRule="auto"/>
              <w:rPr>
                <w:rFonts w:ascii="Times New Roman" w:hAnsi="Times New Roman" w:cs="Times New Roman"/>
                <w:b/>
                <w:bCs/>
                <w:color w:val="000000" w:themeColor="text1"/>
                <w:sz w:val="16"/>
                <w:szCs w:val="16"/>
              </w:rPr>
            </w:pPr>
          </w:p>
        </w:tc>
        <w:tc>
          <w:tcPr>
            <w:tcW w:w="1134" w:type="dxa"/>
            <w:vAlign w:val="center"/>
          </w:tcPr>
          <w:p w:rsidR="008F64B1" w:rsidRPr="009D4D41" w:rsidRDefault="008F64B1" w:rsidP="008F64B1">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проект федерального закона </w:t>
            </w:r>
          </w:p>
          <w:p w:rsidR="00596334" w:rsidRPr="009D4D41" w:rsidRDefault="008F64B1" w:rsidP="008F64B1">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«Об исполне</w:t>
            </w:r>
            <w:r w:rsidR="00A52B75" w:rsidRPr="009D4D41">
              <w:rPr>
                <w:rFonts w:ascii="Times New Roman" w:hAnsi="Times New Roman" w:cs="Times New Roman"/>
                <w:b/>
                <w:bCs/>
                <w:color w:val="000000" w:themeColor="text1"/>
                <w:sz w:val="16"/>
                <w:szCs w:val="16"/>
              </w:rPr>
              <w:t>нии федерального бюджета за 2019</w:t>
            </w:r>
            <w:r w:rsidRPr="009D4D41">
              <w:rPr>
                <w:rFonts w:ascii="Times New Roman" w:hAnsi="Times New Roman" w:cs="Times New Roman"/>
                <w:b/>
                <w:bCs/>
                <w:color w:val="000000" w:themeColor="text1"/>
                <w:sz w:val="16"/>
                <w:szCs w:val="16"/>
              </w:rPr>
              <w:t xml:space="preserve"> год»</w:t>
            </w:r>
          </w:p>
        </w:tc>
        <w:tc>
          <w:tcPr>
            <w:tcW w:w="1134" w:type="dxa"/>
            <w:shd w:val="clear" w:color="auto" w:fill="auto"/>
            <w:vAlign w:val="center"/>
            <w:hideMark/>
          </w:tcPr>
          <w:p w:rsidR="00596334" w:rsidRPr="009D4D41" w:rsidRDefault="00596334" w:rsidP="009C0F09">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 xml:space="preserve">показатели, установлен-ные Федераль-ным законом </w:t>
            </w:r>
          </w:p>
          <w:p w:rsidR="00596334" w:rsidRPr="009D4D41" w:rsidRDefault="00596334" w:rsidP="008F64B1">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 xml:space="preserve">№ </w:t>
            </w:r>
            <w:r w:rsidR="00A52B75" w:rsidRPr="009D4D41">
              <w:rPr>
                <w:rFonts w:ascii="Times New Roman" w:hAnsi="Times New Roman" w:cs="Times New Roman"/>
                <w:b/>
                <w:bCs/>
                <w:color w:val="000000" w:themeColor="text1"/>
                <w:sz w:val="14"/>
                <w:szCs w:val="14"/>
              </w:rPr>
              <w:t>380-ФЗ</w:t>
            </w:r>
            <w:r w:rsidRPr="009D4D41">
              <w:rPr>
                <w:rFonts w:ascii="Times New Roman" w:hAnsi="Times New Roman" w:cs="Times New Roman"/>
                <w:b/>
                <w:bCs/>
                <w:color w:val="000000" w:themeColor="text1"/>
                <w:sz w:val="14"/>
                <w:szCs w:val="14"/>
              </w:rPr>
              <w:t xml:space="preserve"> и в расчетах к нему</w:t>
            </w:r>
          </w:p>
        </w:tc>
        <w:tc>
          <w:tcPr>
            <w:tcW w:w="1275" w:type="dxa"/>
            <w:shd w:val="clear" w:color="auto" w:fill="auto"/>
            <w:vAlign w:val="center"/>
            <w:hideMark/>
          </w:tcPr>
          <w:p w:rsidR="00596334" w:rsidRPr="009D4D41" w:rsidRDefault="00596334" w:rsidP="009C0F09">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 xml:space="preserve">показатели, установленные Федеральным законом </w:t>
            </w:r>
          </w:p>
          <w:p w:rsidR="00596334" w:rsidRPr="009D4D41" w:rsidRDefault="00596334" w:rsidP="008F64B1">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 xml:space="preserve">№ </w:t>
            </w:r>
            <w:r w:rsidR="00A52B75" w:rsidRPr="009D4D41">
              <w:rPr>
                <w:rFonts w:ascii="Times New Roman" w:hAnsi="Times New Roman" w:cs="Times New Roman"/>
                <w:b/>
                <w:bCs/>
                <w:color w:val="000000" w:themeColor="text1"/>
                <w:sz w:val="14"/>
                <w:szCs w:val="14"/>
              </w:rPr>
              <w:t>380-ФЗ</w:t>
            </w:r>
            <w:r w:rsidRPr="009D4D41">
              <w:rPr>
                <w:rFonts w:ascii="Times New Roman" w:hAnsi="Times New Roman" w:cs="Times New Roman"/>
                <w:b/>
                <w:bCs/>
                <w:color w:val="000000" w:themeColor="text1"/>
                <w:sz w:val="14"/>
                <w:szCs w:val="14"/>
              </w:rPr>
              <w:t xml:space="preserve"> (с изменениями) и в расчетах к нему</w:t>
            </w:r>
          </w:p>
        </w:tc>
        <w:tc>
          <w:tcPr>
            <w:tcW w:w="1277" w:type="dxa"/>
            <w:shd w:val="clear" w:color="auto" w:fill="auto"/>
            <w:vAlign w:val="center"/>
            <w:hideMark/>
          </w:tcPr>
          <w:p w:rsidR="00596334" w:rsidRPr="009D4D41" w:rsidRDefault="00596334" w:rsidP="009C0F09">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законопроект</w:t>
            </w:r>
          </w:p>
        </w:tc>
        <w:tc>
          <w:tcPr>
            <w:tcW w:w="1275" w:type="dxa"/>
            <w:shd w:val="clear" w:color="auto" w:fill="auto"/>
            <w:vAlign w:val="center"/>
            <w:hideMark/>
          </w:tcPr>
          <w:p w:rsidR="00596334" w:rsidRPr="009D4D41" w:rsidRDefault="00596334" w:rsidP="008F64B1">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 xml:space="preserve">показатели, установленные Федеральным законом № </w:t>
            </w:r>
            <w:r w:rsidR="00A52B75" w:rsidRPr="009D4D41">
              <w:rPr>
                <w:rFonts w:ascii="Times New Roman" w:hAnsi="Times New Roman" w:cs="Times New Roman"/>
                <w:b/>
                <w:bCs/>
                <w:color w:val="000000" w:themeColor="text1"/>
                <w:sz w:val="14"/>
                <w:szCs w:val="14"/>
              </w:rPr>
              <w:t>380-ФЗ</w:t>
            </w:r>
            <w:r w:rsidRPr="009D4D41">
              <w:rPr>
                <w:rFonts w:ascii="Times New Roman" w:hAnsi="Times New Roman" w:cs="Times New Roman"/>
                <w:b/>
                <w:bCs/>
                <w:color w:val="000000" w:themeColor="text1"/>
                <w:sz w:val="14"/>
                <w:szCs w:val="14"/>
              </w:rPr>
              <w:t xml:space="preserve"> (с изменениями) и в расчетах к нему</w:t>
            </w:r>
          </w:p>
        </w:tc>
        <w:tc>
          <w:tcPr>
            <w:tcW w:w="1134" w:type="dxa"/>
            <w:shd w:val="clear" w:color="auto" w:fill="auto"/>
            <w:vAlign w:val="center"/>
            <w:hideMark/>
          </w:tcPr>
          <w:p w:rsidR="00596334" w:rsidRPr="009D4D41" w:rsidRDefault="00596334" w:rsidP="009C0F09">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законопроект</w:t>
            </w:r>
          </w:p>
        </w:tc>
        <w:tc>
          <w:tcPr>
            <w:tcW w:w="1276" w:type="dxa"/>
            <w:shd w:val="clear" w:color="auto" w:fill="auto"/>
            <w:vAlign w:val="center"/>
            <w:hideMark/>
          </w:tcPr>
          <w:p w:rsidR="00596334" w:rsidRPr="009D4D41" w:rsidRDefault="00596334" w:rsidP="009C0F09">
            <w:pPr>
              <w:spacing w:after="0" w:line="240" w:lineRule="auto"/>
              <w:jc w:val="center"/>
              <w:rPr>
                <w:rFonts w:ascii="Times New Roman" w:hAnsi="Times New Roman" w:cs="Times New Roman"/>
                <w:b/>
                <w:bCs/>
                <w:color w:val="000000" w:themeColor="text1"/>
                <w:sz w:val="14"/>
                <w:szCs w:val="14"/>
              </w:rPr>
            </w:pPr>
            <w:r w:rsidRPr="009D4D41">
              <w:rPr>
                <w:rFonts w:ascii="Times New Roman" w:hAnsi="Times New Roman" w:cs="Times New Roman"/>
                <w:b/>
                <w:bCs/>
                <w:color w:val="000000" w:themeColor="text1"/>
                <w:sz w:val="14"/>
                <w:szCs w:val="14"/>
              </w:rPr>
              <w:t>законопроект</w:t>
            </w:r>
          </w:p>
        </w:tc>
      </w:tr>
      <w:tr w:rsidR="009D4D41" w:rsidRPr="009D4D41" w:rsidTr="008F64B1">
        <w:trPr>
          <w:trHeight w:val="70"/>
          <w:tblHeader/>
        </w:trPr>
        <w:tc>
          <w:tcPr>
            <w:tcW w:w="2552" w:type="dxa"/>
            <w:shd w:val="clear" w:color="auto" w:fill="auto"/>
            <w:vAlign w:val="center"/>
            <w:hideMark/>
          </w:tcPr>
          <w:p w:rsidR="008F64B1" w:rsidRPr="009D4D41" w:rsidRDefault="008F64B1" w:rsidP="009C0F0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1</w:t>
            </w:r>
          </w:p>
        </w:tc>
        <w:tc>
          <w:tcPr>
            <w:tcW w:w="1134" w:type="dxa"/>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w:t>
            </w:r>
          </w:p>
        </w:tc>
        <w:tc>
          <w:tcPr>
            <w:tcW w:w="1134" w:type="dxa"/>
            <w:shd w:val="clear" w:color="auto" w:fill="auto"/>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3</w:t>
            </w:r>
          </w:p>
        </w:tc>
        <w:tc>
          <w:tcPr>
            <w:tcW w:w="1275" w:type="dxa"/>
            <w:shd w:val="clear" w:color="auto" w:fill="auto"/>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4</w:t>
            </w:r>
          </w:p>
        </w:tc>
        <w:tc>
          <w:tcPr>
            <w:tcW w:w="1277" w:type="dxa"/>
            <w:shd w:val="clear" w:color="auto" w:fill="auto"/>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5</w:t>
            </w:r>
          </w:p>
        </w:tc>
        <w:tc>
          <w:tcPr>
            <w:tcW w:w="1275" w:type="dxa"/>
            <w:shd w:val="clear" w:color="auto" w:fill="auto"/>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6</w:t>
            </w:r>
          </w:p>
        </w:tc>
        <w:tc>
          <w:tcPr>
            <w:tcW w:w="1134" w:type="dxa"/>
            <w:shd w:val="clear" w:color="auto" w:fill="auto"/>
            <w:vAlign w:val="center"/>
          </w:tcPr>
          <w:p w:rsidR="008F64B1" w:rsidRPr="009D4D41" w:rsidRDefault="008F64B1" w:rsidP="002E5EE7">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7</w:t>
            </w:r>
          </w:p>
        </w:tc>
        <w:tc>
          <w:tcPr>
            <w:tcW w:w="1276" w:type="dxa"/>
            <w:shd w:val="clear" w:color="auto" w:fill="auto"/>
            <w:vAlign w:val="center"/>
          </w:tcPr>
          <w:p w:rsidR="008F64B1" w:rsidRPr="009D4D41" w:rsidRDefault="008F64B1" w:rsidP="009C0F09">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8</w:t>
            </w:r>
          </w:p>
        </w:tc>
      </w:tr>
      <w:tr w:rsidR="009D4D41" w:rsidRPr="009D4D41" w:rsidTr="00A723B9">
        <w:trPr>
          <w:trHeight w:val="70"/>
        </w:trPr>
        <w:tc>
          <w:tcPr>
            <w:tcW w:w="2552" w:type="dxa"/>
            <w:shd w:val="clear" w:color="auto" w:fill="auto"/>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Источники внутреннего  финансирования дефицита федерального бюджета</w:t>
            </w:r>
          </w:p>
        </w:tc>
        <w:tc>
          <w:tcPr>
            <w:tcW w:w="1134" w:type="dxa"/>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-1 974 279,5</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-601 608,0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-664 409,4</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2 738 073,1</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-146 919,2</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1 391 312,3</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1 627 800,9</w:t>
            </w:r>
          </w:p>
        </w:tc>
      </w:tr>
      <w:tr w:rsidR="009D4D41" w:rsidRPr="009D4D41" w:rsidTr="00A723B9">
        <w:trPr>
          <w:trHeight w:val="70"/>
        </w:trPr>
        <w:tc>
          <w:tcPr>
            <w:tcW w:w="2552" w:type="dxa"/>
            <w:shd w:val="clear" w:color="auto" w:fill="auto"/>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Государственные ценные бумаги Российской Федерации, номинальная стоимость которых указана в валюте Российской Федерации</w:t>
            </w:r>
          </w:p>
        </w:tc>
        <w:tc>
          <w:tcPr>
            <w:tcW w:w="1134" w:type="dxa"/>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1 377 556,5</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1 740 216,0</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1 549 038,9</w:t>
            </w:r>
          </w:p>
        </w:tc>
        <w:tc>
          <w:tcPr>
            <w:tcW w:w="1277"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2 681 586,0</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1 825 928,3</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2 056 086,4</w:t>
            </w:r>
          </w:p>
        </w:tc>
        <w:tc>
          <w:tcPr>
            <w:tcW w:w="1276"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2 400 855,4</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привлечение*</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2 082 744,9</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2 324 807,0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2 535 900,8</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3 667 760,6</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2 893 257,8</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3 116 633,4</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3 173 133,8</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погашение </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-705 188,3</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-584 591,0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-986 861,9</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-986 174,6</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-1 067 329,5</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-1 060 547,0</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-772 278,4</w:t>
            </w:r>
          </w:p>
        </w:tc>
      </w:tr>
      <w:tr w:rsidR="009D4D41" w:rsidRPr="009D4D41" w:rsidTr="00A723B9">
        <w:trPr>
          <w:trHeight w:val="70"/>
        </w:trPr>
        <w:tc>
          <w:tcPr>
            <w:tcW w:w="2552" w:type="dxa"/>
            <w:shd w:val="clear" w:color="auto" w:fill="auto"/>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Изменение остатков средств фондов</w:t>
            </w:r>
          </w:p>
        </w:tc>
        <w:tc>
          <w:tcPr>
            <w:tcW w:w="1134" w:type="dxa"/>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-2 199 969,2</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-2 379 963,4</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-2 319 156,9</w:t>
            </w:r>
          </w:p>
        </w:tc>
        <w:tc>
          <w:tcPr>
            <w:tcW w:w="1277"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94 957,2</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-2 109 247,8</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-698 842,6</w:t>
            </w:r>
          </w:p>
        </w:tc>
        <w:tc>
          <w:tcPr>
            <w:tcW w:w="1276"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-783 558,0</w:t>
            </w:r>
          </w:p>
        </w:tc>
      </w:tr>
      <w:tr w:rsidR="009D4D41" w:rsidRPr="009D4D41" w:rsidTr="00380F5E">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изменение остатков средств ФНБ (использование)</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2 113 347,1</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4 492,0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4 290,2</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94 957,2</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4 122,3</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3 808,1</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3 777,2</w:t>
            </w:r>
          </w:p>
        </w:tc>
      </w:tr>
      <w:tr w:rsidR="009D4D41" w:rsidRPr="009D4D41" w:rsidTr="00A723B9">
        <w:trPr>
          <w:trHeight w:val="70"/>
        </w:trPr>
        <w:tc>
          <w:tcPr>
            <w:tcW w:w="2552" w:type="dxa"/>
            <w:shd w:val="clear" w:color="000000" w:fill="FFFFFF"/>
            <w:vAlign w:val="center"/>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изменение остатков средств на счетах по учету средств федерального бюджета для зачисления дополнительных нефтегазовых доходов в иностранной валюте</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-4 313 316,3</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-2 510 977,3</w:t>
            </w:r>
          </w:p>
        </w:tc>
        <w:tc>
          <w:tcPr>
            <w:tcW w:w="1275"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-2 323 447,1</w:t>
            </w:r>
          </w:p>
        </w:tc>
        <w:tc>
          <w:tcPr>
            <w:tcW w:w="1277"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0,0</w:t>
            </w:r>
          </w:p>
        </w:tc>
        <w:tc>
          <w:tcPr>
            <w:tcW w:w="1275"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-2 113 370,1</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-702 650,7</w:t>
            </w:r>
          </w:p>
        </w:tc>
        <w:tc>
          <w:tcPr>
            <w:tcW w:w="1276"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-787 335,2</w:t>
            </w:r>
          </w:p>
        </w:tc>
      </w:tr>
      <w:tr w:rsidR="009D4D41" w:rsidRPr="009D4D41" w:rsidTr="00380F5E">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изменение иных остатков </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-1 203 787,5</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126 521,9</w:t>
            </w:r>
          </w:p>
        </w:tc>
        <w:tc>
          <w:tcPr>
            <w:tcW w:w="1275"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7"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5"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6"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r>
      <w:tr w:rsidR="009D4D41" w:rsidRPr="009D4D41" w:rsidTr="00A723B9">
        <w:trPr>
          <w:trHeight w:val="207"/>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Иные источники внутреннего финансирования дефицита федерального бюджета</w:t>
            </w:r>
            <w:r w:rsidRPr="009D4D41">
              <w:rPr>
                <w:rFonts w:ascii="Times New Roman" w:hAnsi="Times New Roman" w:cs="Times New Roman"/>
                <w:color w:val="000000" w:themeColor="text1"/>
                <w:sz w:val="16"/>
                <w:szCs w:val="16"/>
              </w:rPr>
              <w:t xml:space="preserve"> </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51 920,6</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38 139,4</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105 708,6</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-38 470,0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136 400,3</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34 068,5</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10 503,6</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r>
      <w:tr w:rsidR="009D4D41" w:rsidRPr="009D4D41" w:rsidTr="00A723B9">
        <w:trPr>
          <w:trHeight w:val="70"/>
        </w:trPr>
        <w:tc>
          <w:tcPr>
            <w:tcW w:w="2552" w:type="dxa"/>
            <w:shd w:val="clear" w:color="auto" w:fill="auto"/>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средства от приватизации*</w:t>
            </w:r>
          </w:p>
        </w:tc>
        <w:tc>
          <w:tcPr>
            <w:tcW w:w="1134" w:type="dxa"/>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11 527,5</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11 257,3</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3 600,0</w:t>
            </w:r>
          </w:p>
        </w:tc>
        <w:tc>
          <w:tcPr>
            <w:tcW w:w="1277"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3 600,0</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3 600,0</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3 600,0</w:t>
            </w:r>
          </w:p>
        </w:tc>
        <w:tc>
          <w:tcPr>
            <w:tcW w:w="1276"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3 300,0</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государственные запасы драгоценных металлов и драгоценных камней</w:t>
            </w:r>
          </w:p>
        </w:tc>
        <w:tc>
          <w:tcPr>
            <w:tcW w:w="1134" w:type="dxa"/>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-2 996,0</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-4 000,0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-6 500,0</w:t>
            </w:r>
          </w:p>
        </w:tc>
        <w:tc>
          <w:tcPr>
            <w:tcW w:w="1277"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-34 820,0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-7 000,0</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-7 000,0</w:t>
            </w:r>
          </w:p>
        </w:tc>
        <w:tc>
          <w:tcPr>
            <w:tcW w:w="1276"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-7 000,0</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поступления от реализации </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7 504,0</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6 500,0</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5 000,0</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5 000,0</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4 500,0</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4 500,0</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4 500,0</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выплаты на приобретение </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-10 500,0</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-10 500,0</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-11 500,0</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-39 820,0</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-11 500,0</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-11 500,0</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-11 500,0</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Исполнение государственных гарантий Российской Федерации в валюте Российской Федерации</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0,0</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-38 894,8</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-36 757,1</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-56 108,6</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-11 742,9</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-15 480,6</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-26 354,8</w:t>
            </w:r>
          </w:p>
        </w:tc>
      </w:tr>
      <w:tr w:rsidR="009D4D41" w:rsidRPr="009D4D41" w:rsidTr="00A723B9">
        <w:trPr>
          <w:trHeight w:val="179"/>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Бюджетные кредиты, предоставленные из федерального бюджета другим бюджетам бюджетной системы Российской Федерации</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53 325,5</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73 498,5</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150 278,5</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51 509,6</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154 348,8</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55 579,9</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43 053,7</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возврат кредитов*</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53 325,5</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73 498,5</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150 278,5</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51 509,6</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154 348,8</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55 579,9</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43 053,7</w:t>
            </w:r>
          </w:p>
        </w:tc>
      </w:tr>
      <w:tr w:rsidR="009D4D41" w:rsidRPr="009D4D41" w:rsidTr="00A723B9">
        <w:trPr>
          <w:trHeight w:val="371"/>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Бюджетные кредиты, предоставленные федеральным бюджетом внутри страны за счет средств целевых иностранных кредитов (заимствований)</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685,5</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-217,0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-1 418,3</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684,9</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678,8</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687,5</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780,1</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возврат  кредитов*</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685,5</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749,2</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676,1</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684,9</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678,8</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687,5</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780,1</w:t>
            </w: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предоставление  кредитов </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-966,2</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-2 094,4</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0,0</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0,0</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0,0</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0,0</w:t>
            </w:r>
          </w:p>
        </w:tc>
      </w:tr>
      <w:tr w:rsidR="009D4D41" w:rsidRPr="009D4D41" w:rsidTr="00A723B9">
        <w:trPr>
          <w:trHeight w:val="381"/>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Прочие бюджетные кредиты (ссуды), предоставленные федеральным бюджетом внутри страны</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1 929,9</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1 995,4</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2 005,5</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2 164,1</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2 015,6</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2 181,7</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2 224,5</w:t>
            </w:r>
          </w:p>
        </w:tc>
      </w:tr>
      <w:tr w:rsidR="009D4D41" w:rsidRPr="009D4D41" w:rsidTr="00A723B9">
        <w:trPr>
          <w:trHeight w:val="295"/>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возврат прочих бюджетных кредитов (ссуд), предоставленных федеральным бюджетом внутри страны*</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1 929,9</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1 995,4</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2 005,5</w:t>
            </w:r>
          </w:p>
        </w:tc>
        <w:tc>
          <w:tcPr>
            <w:tcW w:w="1277"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2 164,1</w:t>
            </w:r>
          </w:p>
        </w:tc>
        <w:tc>
          <w:tcPr>
            <w:tcW w:w="1275"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2 015,6</w:t>
            </w:r>
          </w:p>
        </w:tc>
        <w:tc>
          <w:tcPr>
            <w:tcW w:w="1134"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2 181,7</w:t>
            </w:r>
          </w:p>
        </w:tc>
        <w:tc>
          <w:tcPr>
            <w:tcW w:w="1276" w:type="dxa"/>
            <w:shd w:val="clear" w:color="auto" w:fill="auto"/>
            <w:noWrap/>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2 224,5</w:t>
            </w:r>
          </w:p>
        </w:tc>
      </w:tr>
      <w:tr w:rsidR="009D4D41" w:rsidRPr="009D4D41" w:rsidTr="00A723B9">
        <w:trPr>
          <w:trHeight w:val="81"/>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Прочие источники внутреннего финансирования дефицита федерального бюджета</w:t>
            </w:r>
          </w:p>
        </w:tc>
        <w:tc>
          <w:tcPr>
            <w:tcW w:w="1134" w:type="dxa"/>
            <w:shd w:val="clear" w:color="000000" w:fill="FFFFFF"/>
            <w:vAlign w:val="center"/>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-12 551,9</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c>
          <w:tcPr>
            <w:tcW w:w="1277"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c>
          <w:tcPr>
            <w:tcW w:w="1275"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c>
          <w:tcPr>
            <w:tcW w:w="1134"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c>
          <w:tcPr>
            <w:tcW w:w="1276" w:type="dxa"/>
            <w:shd w:val="clear" w:color="000000" w:fill="FFFFFF"/>
            <w:vAlign w:val="center"/>
            <w:hideMark/>
          </w:tcPr>
          <w:p w:rsidR="00A52B75" w:rsidRPr="009D4D41" w:rsidRDefault="00A52B75" w:rsidP="00A52B75">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-5 500,0</w:t>
            </w:r>
          </w:p>
        </w:tc>
      </w:tr>
      <w:tr w:rsidR="009D4D41" w:rsidRPr="009D4D41" w:rsidTr="00A723B9">
        <w:trPr>
          <w:trHeight w:val="70"/>
        </w:trPr>
        <w:tc>
          <w:tcPr>
            <w:tcW w:w="2552" w:type="dxa"/>
            <w:shd w:val="clear" w:color="000000" w:fill="FFFFFF"/>
            <w:vAlign w:val="center"/>
            <w:hideMark/>
          </w:tcPr>
          <w:p w:rsidR="00AC1A98" w:rsidRPr="009D4D41" w:rsidRDefault="00653B19" w:rsidP="00A723B9">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из них</w:t>
            </w:r>
          </w:p>
        </w:tc>
        <w:tc>
          <w:tcPr>
            <w:tcW w:w="1134" w:type="dxa"/>
            <w:vAlign w:val="center"/>
          </w:tcPr>
          <w:p w:rsidR="00AC1A98" w:rsidRPr="009D4D41" w:rsidRDefault="00AC1A98" w:rsidP="00A723B9">
            <w:pPr>
              <w:spacing w:after="0" w:line="240" w:lineRule="auto"/>
              <w:jc w:val="center"/>
              <w:rPr>
                <w:rFonts w:ascii="Times New Roman" w:hAnsi="Times New Roman" w:cs="Times New Roman"/>
                <w:b/>
                <w:bCs/>
                <w:color w:val="000000" w:themeColor="text1"/>
                <w:sz w:val="16"/>
                <w:szCs w:val="16"/>
              </w:rPr>
            </w:pPr>
          </w:p>
        </w:tc>
        <w:tc>
          <w:tcPr>
            <w:tcW w:w="1134"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c>
          <w:tcPr>
            <w:tcW w:w="1275"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c>
          <w:tcPr>
            <w:tcW w:w="1277"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c>
          <w:tcPr>
            <w:tcW w:w="1275"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c>
          <w:tcPr>
            <w:tcW w:w="1134"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c>
          <w:tcPr>
            <w:tcW w:w="1276" w:type="dxa"/>
            <w:shd w:val="clear" w:color="auto" w:fill="auto"/>
            <w:noWrap/>
            <w:vAlign w:val="center"/>
            <w:hideMark/>
          </w:tcPr>
          <w:p w:rsidR="00AC1A98" w:rsidRPr="009D4D41" w:rsidRDefault="00AC1A98" w:rsidP="009C0F09">
            <w:pPr>
              <w:spacing w:after="0" w:line="240" w:lineRule="auto"/>
              <w:jc w:val="center"/>
              <w:rPr>
                <w:rFonts w:ascii="Times New Roman" w:hAnsi="Times New Roman" w:cs="Times New Roman"/>
                <w:b/>
                <w:bCs/>
                <w:color w:val="000000" w:themeColor="text1"/>
                <w:sz w:val="16"/>
                <w:szCs w:val="16"/>
              </w:rPr>
            </w:pPr>
          </w:p>
        </w:tc>
      </w:tr>
      <w:tr w:rsidR="009D4D41" w:rsidRPr="009D4D41" w:rsidTr="00A723B9">
        <w:trPr>
          <w:trHeight w:val="70"/>
        </w:trPr>
        <w:tc>
          <w:tcPr>
            <w:tcW w:w="2552" w:type="dxa"/>
            <w:shd w:val="clear" w:color="000000" w:fill="FFFFFF"/>
            <w:vAlign w:val="center"/>
            <w:hideMark/>
          </w:tcPr>
          <w:p w:rsidR="00A52B75" w:rsidRPr="009D4D41" w:rsidRDefault="00A52B75" w:rsidP="00A52B75">
            <w:pPr>
              <w:spacing w:after="0" w:line="240" w:lineRule="auto"/>
              <w:jc w:val="both"/>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погашение основной суммы задолженности</w:t>
            </w:r>
          </w:p>
        </w:tc>
        <w:tc>
          <w:tcPr>
            <w:tcW w:w="1134" w:type="dxa"/>
            <w:vAlign w:val="center"/>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-3 866,3</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c>
          <w:tcPr>
            <w:tcW w:w="1277"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c>
          <w:tcPr>
            <w:tcW w:w="1275"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c>
          <w:tcPr>
            <w:tcW w:w="1134"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c>
          <w:tcPr>
            <w:tcW w:w="1276" w:type="dxa"/>
            <w:shd w:val="clear" w:color="auto" w:fill="auto"/>
            <w:vAlign w:val="center"/>
            <w:hideMark/>
          </w:tcPr>
          <w:p w:rsidR="00A52B75" w:rsidRPr="009D4D41" w:rsidRDefault="00A52B75" w:rsidP="00A52B75">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-5 500,0</w:t>
            </w:r>
          </w:p>
        </w:tc>
      </w:tr>
    </w:tbl>
    <w:p w:rsidR="00320AA6" w:rsidRPr="009D4D41" w:rsidRDefault="009C0F09" w:rsidP="00D00225">
      <w:pPr>
        <w:spacing w:line="324" w:lineRule="auto"/>
        <w:rPr>
          <w:rFonts w:ascii="Times New Roman" w:hAnsi="Times New Roman" w:cs="Times New Roman"/>
          <w:color w:val="000000" w:themeColor="text1"/>
          <w:sz w:val="16"/>
          <w:szCs w:val="16"/>
        </w:rPr>
      </w:pPr>
      <w:r w:rsidRPr="009D4D41">
        <w:rPr>
          <w:rFonts w:ascii="Times New Roman" w:hAnsi="Times New Roman" w:cs="Times New Roman"/>
          <w:bCs/>
          <w:color w:val="000000" w:themeColor="text1"/>
          <w:sz w:val="16"/>
          <w:szCs w:val="16"/>
        </w:rPr>
        <w:t>* Источник представлен в расчетах к законопроекту.</w:t>
      </w:r>
      <w:r w:rsidR="00320AA6" w:rsidRPr="009D4D41">
        <w:rPr>
          <w:rFonts w:ascii="Times New Roman" w:hAnsi="Times New Roman" w:cs="Times New Roman"/>
          <w:color w:val="000000" w:themeColor="text1"/>
          <w:sz w:val="16"/>
          <w:szCs w:val="16"/>
        </w:rPr>
        <w:br w:type="page"/>
      </w:r>
    </w:p>
    <w:p w:rsidR="00C77873" w:rsidRPr="009D4D41" w:rsidRDefault="00C77873" w:rsidP="00C77873">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lastRenderedPageBreak/>
        <w:t xml:space="preserve">Диаграмма № </w:t>
      </w:r>
      <w:r w:rsidR="003F6948" w:rsidRPr="009D4D41">
        <w:rPr>
          <w:rFonts w:ascii="Times New Roman" w:eastAsia="Times New Roman" w:hAnsi="Times New Roman" w:cs="Times New Roman"/>
          <w:snapToGrid w:val="0"/>
          <w:color w:val="000000" w:themeColor="text1"/>
          <w:sz w:val="24"/>
          <w:szCs w:val="24"/>
          <w:lang w:eastAsia="ru-RU"/>
        </w:rPr>
        <w:t>1</w:t>
      </w:r>
    </w:p>
    <w:p w:rsidR="00C77873" w:rsidRPr="009D4D41" w:rsidRDefault="00C77873" w:rsidP="00C77873">
      <w:pPr>
        <w:widowControl w:val="0"/>
        <w:spacing w:after="0" w:line="240" w:lineRule="auto"/>
        <w:jc w:val="both"/>
        <w:rPr>
          <w:rFonts w:ascii="Times New Roman" w:eastAsia="Times New Roman" w:hAnsi="Times New Roman" w:cs="Times New Roman"/>
          <w:color w:val="000000" w:themeColor="text1"/>
          <w:sz w:val="10"/>
          <w:szCs w:val="10"/>
          <w:lang w:eastAsia="ru-RU"/>
        </w:rPr>
      </w:pPr>
    </w:p>
    <w:p w:rsidR="00C77873" w:rsidRPr="009D4D41" w:rsidRDefault="00C77873" w:rsidP="00C77873">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Данные по динамике объемов привлечения государственных ценных бумаг в валюте Российской Федерации, а также сальдо размещения и погашени</w:t>
      </w:r>
      <w:r w:rsidR="008274BD" w:rsidRPr="009D4D41">
        <w:rPr>
          <w:rFonts w:ascii="Times New Roman" w:eastAsia="Times New Roman" w:hAnsi="Times New Roman" w:cs="Times New Roman"/>
          <w:color w:val="000000" w:themeColor="text1"/>
          <w:sz w:val="24"/>
          <w:szCs w:val="24"/>
          <w:lang w:eastAsia="ru-RU"/>
        </w:rPr>
        <w:t xml:space="preserve">я основного долга по ним </w:t>
      </w:r>
      <w:r w:rsidR="008274BD" w:rsidRPr="009D4D41">
        <w:rPr>
          <w:rFonts w:ascii="Times New Roman" w:eastAsia="Times New Roman" w:hAnsi="Times New Roman" w:cs="Times New Roman"/>
          <w:color w:val="000000" w:themeColor="text1"/>
          <w:sz w:val="24"/>
          <w:szCs w:val="24"/>
          <w:lang w:eastAsia="ru-RU"/>
        </w:rPr>
        <w:br/>
        <w:t>в 2016 - 2023</w:t>
      </w:r>
      <w:r w:rsidRPr="009D4D41">
        <w:rPr>
          <w:rFonts w:ascii="Times New Roman" w:eastAsia="Times New Roman" w:hAnsi="Times New Roman" w:cs="Times New Roman"/>
          <w:color w:val="000000" w:themeColor="text1"/>
          <w:sz w:val="24"/>
          <w:szCs w:val="24"/>
          <w:lang w:eastAsia="ru-RU"/>
        </w:rPr>
        <w:t xml:space="preserve"> годах</w:t>
      </w:r>
    </w:p>
    <w:p w:rsidR="00C77873" w:rsidRPr="009D4D41" w:rsidRDefault="00C77873" w:rsidP="00C77873">
      <w:pPr>
        <w:widowControl w:val="0"/>
        <w:spacing w:after="0" w:line="240" w:lineRule="auto"/>
        <w:jc w:val="center"/>
        <w:rPr>
          <w:noProof/>
          <w:color w:val="000000" w:themeColor="text1"/>
          <w:lang w:eastAsia="ru-RU"/>
        </w:rPr>
      </w:pPr>
    </w:p>
    <w:p w:rsidR="00C77873" w:rsidRPr="009D4D41" w:rsidRDefault="00917CAA" w:rsidP="00C77873">
      <w:pPr>
        <w:widowControl w:val="0"/>
        <w:spacing w:after="0" w:line="240" w:lineRule="auto"/>
        <w:jc w:val="center"/>
        <w:rPr>
          <w:noProof/>
          <w:color w:val="000000" w:themeColor="text1"/>
          <w:lang w:eastAsia="ru-RU"/>
        </w:rPr>
      </w:pPr>
      <w:r w:rsidRPr="009D4D41">
        <w:rPr>
          <w:noProof/>
          <w:color w:val="000000" w:themeColor="text1"/>
          <w:lang w:eastAsia="ru-RU"/>
        </w:rPr>
        <w:drawing>
          <wp:inline distT="0" distB="0" distL="0" distR="0" wp14:anchorId="7C3AFE27" wp14:editId="7E351D2B">
            <wp:extent cx="6120130" cy="2952115"/>
            <wp:effectExtent l="0" t="0" r="0" b="6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7873" w:rsidRPr="009D4D41" w:rsidRDefault="00C77873" w:rsidP="00C77873">
      <w:pPr>
        <w:widowControl w:val="0"/>
        <w:spacing w:after="0" w:line="240" w:lineRule="auto"/>
        <w:jc w:val="center"/>
        <w:rPr>
          <w:rFonts w:ascii="Times New Roman" w:eastAsia="Times New Roman" w:hAnsi="Times New Roman" w:cs="Times New Roman"/>
          <w:color w:val="000000" w:themeColor="text1"/>
          <w:sz w:val="24"/>
          <w:szCs w:val="24"/>
          <w:lang w:eastAsia="ru-RU"/>
        </w:rPr>
      </w:pPr>
    </w:p>
    <w:p w:rsidR="00B91F80" w:rsidRPr="009D4D41" w:rsidRDefault="00B91F80" w:rsidP="00B91F80">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w:t>
      </w:r>
      <w:r w:rsidR="009760AD" w:rsidRPr="009D4D41">
        <w:rPr>
          <w:rFonts w:ascii="Times New Roman" w:hAnsi="Times New Roman" w:cs="Times New Roman"/>
          <w:color w:val="000000" w:themeColor="text1"/>
          <w:sz w:val="24"/>
          <w:szCs w:val="28"/>
        </w:rPr>
        <w:t>4</w:t>
      </w:r>
    </w:p>
    <w:p w:rsidR="00B91F80" w:rsidRPr="009D4D41" w:rsidRDefault="00B91F80" w:rsidP="00B91F80">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9D4D41">
        <w:rPr>
          <w:rFonts w:ascii="Times New Roman" w:eastAsia="Times New Roman" w:hAnsi="Times New Roman" w:cs="Times New Roman"/>
          <w:bCs/>
          <w:color w:val="000000" w:themeColor="text1"/>
          <w:sz w:val="24"/>
          <w:szCs w:val="24"/>
          <w:lang w:eastAsia="ru-RU"/>
        </w:rPr>
        <w:t xml:space="preserve">Планируемая структура совокупного объема эмиссии </w:t>
      </w:r>
    </w:p>
    <w:p w:rsidR="00B91F80" w:rsidRPr="009D4D41" w:rsidRDefault="00B91F80" w:rsidP="00B91F80">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9D4D41">
        <w:rPr>
          <w:rFonts w:ascii="Times New Roman" w:eastAsia="Times New Roman" w:hAnsi="Times New Roman" w:cs="Times New Roman"/>
          <w:bCs/>
          <w:color w:val="000000" w:themeColor="text1"/>
          <w:sz w:val="24"/>
          <w:szCs w:val="24"/>
          <w:lang w:eastAsia="ru-RU"/>
        </w:rPr>
        <w:t>гос</w:t>
      </w:r>
      <w:r w:rsidR="00B62767" w:rsidRPr="009D4D41">
        <w:rPr>
          <w:rFonts w:ascii="Times New Roman" w:eastAsia="Times New Roman" w:hAnsi="Times New Roman" w:cs="Times New Roman"/>
          <w:bCs/>
          <w:color w:val="000000" w:themeColor="text1"/>
          <w:sz w:val="24"/>
          <w:szCs w:val="24"/>
          <w:lang w:eastAsia="ru-RU"/>
        </w:rPr>
        <w:t>ударственных ценных бумаг в 2021 – 2023</w:t>
      </w:r>
      <w:r w:rsidRPr="009D4D41">
        <w:rPr>
          <w:rFonts w:ascii="Times New Roman" w:eastAsia="Times New Roman" w:hAnsi="Times New Roman" w:cs="Times New Roman"/>
          <w:bCs/>
          <w:color w:val="000000" w:themeColor="text1"/>
          <w:sz w:val="24"/>
          <w:szCs w:val="24"/>
          <w:lang w:eastAsia="ru-RU"/>
        </w:rPr>
        <w:t xml:space="preserve"> годах</w:t>
      </w:r>
    </w:p>
    <w:p w:rsidR="00B91F80" w:rsidRPr="009D4D41" w:rsidRDefault="00B91F80" w:rsidP="00B91F80">
      <w:pPr>
        <w:widowControl w:val="0"/>
        <w:spacing w:after="0" w:line="240" w:lineRule="auto"/>
        <w:jc w:val="right"/>
        <w:rPr>
          <w:rFonts w:ascii="Times New Roman" w:eastAsia="Times New Roman" w:hAnsi="Times New Roman" w:cs="Times New Roman"/>
          <w:bCs/>
          <w:color w:val="000000" w:themeColor="text1"/>
          <w:sz w:val="24"/>
          <w:szCs w:val="24"/>
          <w:lang w:eastAsia="ru-RU"/>
        </w:rPr>
      </w:pPr>
    </w:p>
    <w:tbl>
      <w:tblPr>
        <w:tblStyle w:val="a3"/>
        <w:tblW w:w="10256" w:type="dxa"/>
        <w:tblLook w:val="04A0" w:firstRow="1" w:lastRow="0" w:firstColumn="1" w:lastColumn="0" w:noHBand="0" w:noVBand="1"/>
      </w:tblPr>
      <w:tblGrid>
        <w:gridCol w:w="2943"/>
        <w:gridCol w:w="1926"/>
        <w:gridCol w:w="1451"/>
        <w:gridCol w:w="1276"/>
        <w:gridCol w:w="1384"/>
        <w:gridCol w:w="1276"/>
      </w:tblGrid>
      <w:tr w:rsidR="009D4D41" w:rsidRPr="009D4D41" w:rsidTr="00B15CEC">
        <w:tc>
          <w:tcPr>
            <w:tcW w:w="2943" w:type="dxa"/>
            <w:vMerge w:val="restart"/>
            <w:vAlign w:val="center"/>
          </w:tcPr>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Государственные ценные бумаги</w:t>
            </w:r>
          </w:p>
        </w:tc>
        <w:tc>
          <w:tcPr>
            <w:tcW w:w="1926" w:type="dxa"/>
            <w:vMerge w:val="restart"/>
            <w:vAlign w:val="center"/>
          </w:tcPr>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 xml:space="preserve">Плановый объем выпуска </w:t>
            </w:r>
          </w:p>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в 202</w:t>
            </w:r>
            <w:r w:rsidR="00917CAA" w:rsidRPr="009D4D41">
              <w:rPr>
                <w:rFonts w:ascii="Times New Roman" w:hAnsi="Times New Roman" w:cs="Times New Roman"/>
                <w:b/>
                <w:color w:val="000000" w:themeColor="text1"/>
                <w:sz w:val="20"/>
                <w:szCs w:val="20"/>
              </w:rPr>
              <w:t>1</w:t>
            </w:r>
            <w:r w:rsidRPr="009D4D41">
              <w:rPr>
                <w:rFonts w:ascii="Times New Roman" w:hAnsi="Times New Roman" w:cs="Times New Roman"/>
                <w:b/>
                <w:color w:val="000000" w:themeColor="text1"/>
                <w:sz w:val="20"/>
                <w:szCs w:val="20"/>
              </w:rPr>
              <w:t xml:space="preserve"> – 202</w:t>
            </w:r>
            <w:r w:rsidR="00917CAA" w:rsidRPr="009D4D41">
              <w:rPr>
                <w:rFonts w:ascii="Times New Roman" w:hAnsi="Times New Roman" w:cs="Times New Roman"/>
                <w:b/>
                <w:color w:val="000000" w:themeColor="text1"/>
                <w:sz w:val="20"/>
                <w:szCs w:val="20"/>
              </w:rPr>
              <w:t>3</w:t>
            </w:r>
            <w:r w:rsidRPr="009D4D41">
              <w:rPr>
                <w:rFonts w:ascii="Times New Roman" w:hAnsi="Times New Roman" w:cs="Times New Roman"/>
                <w:b/>
                <w:color w:val="000000" w:themeColor="text1"/>
                <w:sz w:val="20"/>
                <w:szCs w:val="20"/>
              </w:rPr>
              <w:t xml:space="preserve"> годах, </w:t>
            </w:r>
          </w:p>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млрд. рублей</w:t>
            </w:r>
          </w:p>
        </w:tc>
        <w:tc>
          <w:tcPr>
            <w:tcW w:w="1451" w:type="dxa"/>
            <w:vMerge w:val="restart"/>
            <w:vAlign w:val="center"/>
          </w:tcPr>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Структура, %</w:t>
            </w:r>
          </w:p>
        </w:tc>
        <w:tc>
          <w:tcPr>
            <w:tcW w:w="3936" w:type="dxa"/>
            <w:gridSpan w:val="3"/>
            <w:vAlign w:val="center"/>
          </w:tcPr>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 xml:space="preserve">Справочно: </w:t>
            </w:r>
          </w:p>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 xml:space="preserve">доля в фактическом </w:t>
            </w:r>
          </w:p>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объеме эмиссии</w:t>
            </w:r>
          </w:p>
        </w:tc>
      </w:tr>
      <w:tr w:rsidR="009D4D41" w:rsidRPr="009D4D41" w:rsidTr="00B15CEC">
        <w:tc>
          <w:tcPr>
            <w:tcW w:w="2943" w:type="dxa"/>
            <w:vMerge/>
            <w:vAlign w:val="center"/>
          </w:tcPr>
          <w:p w:rsidR="00B91F80" w:rsidRPr="009D4D41" w:rsidRDefault="00B91F80" w:rsidP="00B15CEC">
            <w:pPr>
              <w:jc w:val="center"/>
              <w:rPr>
                <w:rFonts w:ascii="Times New Roman" w:hAnsi="Times New Roman" w:cs="Times New Roman"/>
                <w:b/>
                <w:color w:val="000000" w:themeColor="text1"/>
                <w:sz w:val="20"/>
                <w:szCs w:val="20"/>
              </w:rPr>
            </w:pPr>
          </w:p>
        </w:tc>
        <w:tc>
          <w:tcPr>
            <w:tcW w:w="1926" w:type="dxa"/>
            <w:vMerge/>
            <w:vAlign w:val="center"/>
          </w:tcPr>
          <w:p w:rsidR="00B91F80" w:rsidRPr="009D4D41" w:rsidRDefault="00B91F80" w:rsidP="00B15CEC">
            <w:pPr>
              <w:jc w:val="center"/>
              <w:rPr>
                <w:rFonts w:ascii="Times New Roman" w:hAnsi="Times New Roman" w:cs="Times New Roman"/>
                <w:b/>
                <w:color w:val="000000" w:themeColor="text1"/>
                <w:sz w:val="20"/>
                <w:szCs w:val="20"/>
              </w:rPr>
            </w:pPr>
          </w:p>
        </w:tc>
        <w:tc>
          <w:tcPr>
            <w:tcW w:w="1451" w:type="dxa"/>
            <w:vMerge/>
            <w:vAlign w:val="center"/>
          </w:tcPr>
          <w:p w:rsidR="00B91F80" w:rsidRPr="009D4D41" w:rsidRDefault="00B91F80" w:rsidP="00B15CEC">
            <w:pPr>
              <w:jc w:val="center"/>
              <w:rPr>
                <w:rFonts w:ascii="Times New Roman" w:hAnsi="Times New Roman" w:cs="Times New Roman"/>
                <w:b/>
                <w:color w:val="000000" w:themeColor="text1"/>
                <w:sz w:val="20"/>
                <w:szCs w:val="20"/>
              </w:rPr>
            </w:pPr>
          </w:p>
        </w:tc>
        <w:tc>
          <w:tcPr>
            <w:tcW w:w="1276" w:type="dxa"/>
            <w:vAlign w:val="center"/>
          </w:tcPr>
          <w:p w:rsidR="00B91F80" w:rsidRPr="009D4D41" w:rsidRDefault="00B91F80" w:rsidP="00917CAA">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201</w:t>
            </w:r>
            <w:r w:rsidR="00917CAA" w:rsidRPr="009D4D41">
              <w:rPr>
                <w:rFonts w:ascii="Times New Roman" w:hAnsi="Times New Roman" w:cs="Times New Roman"/>
                <w:b/>
                <w:color w:val="000000" w:themeColor="text1"/>
                <w:sz w:val="20"/>
                <w:szCs w:val="20"/>
              </w:rPr>
              <w:t>8</w:t>
            </w:r>
          </w:p>
        </w:tc>
        <w:tc>
          <w:tcPr>
            <w:tcW w:w="1384" w:type="dxa"/>
            <w:vAlign w:val="center"/>
          </w:tcPr>
          <w:p w:rsidR="00B91F80" w:rsidRPr="009D4D41" w:rsidRDefault="00B91F80" w:rsidP="00B15CEC">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2</w:t>
            </w:r>
            <w:r w:rsidR="00917CAA" w:rsidRPr="009D4D41">
              <w:rPr>
                <w:rFonts w:ascii="Times New Roman" w:hAnsi="Times New Roman" w:cs="Times New Roman"/>
                <w:b/>
                <w:color w:val="000000" w:themeColor="text1"/>
                <w:sz w:val="20"/>
                <w:szCs w:val="20"/>
              </w:rPr>
              <w:t>019</w:t>
            </w:r>
          </w:p>
        </w:tc>
        <w:tc>
          <w:tcPr>
            <w:tcW w:w="1276" w:type="dxa"/>
            <w:vAlign w:val="center"/>
          </w:tcPr>
          <w:p w:rsidR="00B91F80" w:rsidRPr="009D4D41" w:rsidRDefault="00B91F80" w:rsidP="00917CAA">
            <w:pPr>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январь – август 20</w:t>
            </w:r>
            <w:r w:rsidR="00917CAA" w:rsidRPr="009D4D41">
              <w:rPr>
                <w:rFonts w:ascii="Times New Roman" w:hAnsi="Times New Roman" w:cs="Times New Roman"/>
                <w:b/>
                <w:color w:val="000000" w:themeColor="text1"/>
                <w:sz w:val="20"/>
                <w:szCs w:val="20"/>
              </w:rPr>
              <w:t>20</w:t>
            </w:r>
            <w:r w:rsidRPr="009D4D41">
              <w:rPr>
                <w:rFonts w:ascii="Times New Roman" w:hAnsi="Times New Roman" w:cs="Times New Roman"/>
                <w:b/>
                <w:color w:val="000000" w:themeColor="text1"/>
                <w:sz w:val="20"/>
                <w:szCs w:val="20"/>
              </w:rPr>
              <w:t xml:space="preserve"> </w:t>
            </w:r>
          </w:p>
        </w:tc>
      </w:tr>
      <w:tr w:rsidR="009D4D41" w:rsidRPr="009D4D41" w:rsidTr="00B15CEC">
        <w:tc>
          <w:tcPr>
            <w:tcW w:w="2943" w:type="dxa"/>
          </w:tcPr>
          <w:p w:rsidR="00917CAA" w:rsidRPr="009D4D41" w:rsidRDefault="00917CAA" w:rsidP="00917CAA">
            <w:pPr>
              <w:jc w:val="both"/>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облигации федерального займа с постоянным купонным доходом (далее – ОФЗ-ПД)</w:t>
            </w:r>
          </w:p>
        </w:tc>
        <w:tc>
          <w:tcPr>
            <w:tcW w:w="192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8 584,9</w:t>
            </w:r>
          </w:p>
        </w:tc>
        <w:tc>
          <w:tcPr>
            <w:tcW w:w="1451"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84,4</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88,9</w:t>
            </w:r>
          </w:p>
        </w:tc>
        <w:tc>
          <w:tcPr>
            <w:tcW w:w="1384"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90,6</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76,0</w:t>
            </w:r>
          </w:p>
        </w:tc>
      </w:tr>
      <w:tr w:rsidR="009D4D41" w:rsidRPr="009D4D41" w:rsidTr="00B15CEC">
        <w:tc>
          <w:tcPr>
            <w:tcW w:w="2943" w:type="dxa"/>
          </w:tcPr>
          <w:p w:rsidR="00917CAA" w:rsidRPr="009D4D41" w:rsidRDefault="00917CAA" w:rsidP="00917CAA">
            <w:pPr>
              <w:jc w:val="both"/>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облигации федерального займа с переменным купонным доходом (далее – ОФЗ-ПК)</w:t>
            </w:r>
          </w:p>
        </w:tc>
        <w:tc>
          <w:tcPr>
            <w:tcW w:w="192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929,3</w:t>
            </w:r>
          </w:p>
        </w:tc>
        <w:tc>
          <w:tcPr>
            <w:tcW w:w="1451"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9,1</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2,1</w:t>
            </w:r>
          </w:p>
        </w:tc>
        <w:tc>
          <w:tcPr>
            <w:tcW w:w="1384"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4,3</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19,8</w:t>
            </w:r>
          </w:p>
        </w:tc>
      </w:tr>
      <w:tr w:rsidR="009D4D41" w:rsidRPr="009D4D41" w:rsidTr="00B15CEC">
        <w:tc>
          <w:tcPr>
            <w:tcW w:w="2943" w:type="dxa"/>
          </w:tcPr>
          <w:p w:rsidR="00917CAA" w:rsidRPr="009D4D41" w:rsidRDefault="00917CAA" w:rsidP="00917CAA">
            <w:pPr>
              <w:jc w:val="both"/>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облигации федерального займа с индексируемым номиналом (далее – ОФЗ-ИН)</w:t>
            </w:r>
          </w:p>
        </w:tc>
        <w:tc>
          <w:tcPr>
            <w:tcW w:w="192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476,0</w:t>
            </w:r>
          </w:p>
        </w:tc>
        <w:tc>
          <w:tcPr>
            <w:tcW w:w="1451"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4,7</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7,3</w:t>
            </w:r>
          </w:p>
        </w:tc>
        <w:tc>
          <w:tcPr>
            <w:tcW w:w="1384"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4,6</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3,8</w:t>
            </w:r>
          </w:p>
        </w:tc>
      </w:tr>
      <w:tr w:rsidR="00917CAA" w:rsidRPr="009D4D41" w:rsidTr="00B15CEC">
        <w:tc>
          <w:tcPr>
            <w:tcW w:w="2943" w:type="dxa"/>
          </w:tcPr>
          <w:p w:rsidR="00917CAA" w:rsidRPr="009D4D41" w:rsidRDefault="00917CAA" w:rsidP="00917CAA">
            <w:pPr>
              <w:jc w:val="both"/>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облигации федерального займа для физических лиц (далее – ОФЗ-н)</w:t>
            </w:r>
          </w:p>
        </w:tc>
        <w:tc>
          <w:tcPr>
            <w:tcW w:w="192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180,0</w:t>
            </w:r>
          </w:p>
        </w:tc>
        <w:tc>
          <w:tcPr>
            <w:tcW w:w="1451"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1,8</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1,7</w:t>
            </w:r>
          </w:p>
        </w:tc>
        <w:tc>
          <w:tcPr>
            <w:tcW w:w="1384"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0,4</w:t>
            </w:r>
          </w:p>
        </w:tc>
        <w:tc>
          <w:tcPr>
            <w:tcW w:w="1276" w:type="dxa"/>
            <w:vAlign w:val="center"/>
          </w:tcPr>
          <w:p w:rsidR="00917CAA" w:rsidRPr="009D4D41" w:rsidRDefault="00917CAA" w:rsidP="00917CAA">
            <w:pPr>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0,4</w:t>
            </w:r>
          </w:p>
        </w:tc>
      </w:tr>
    </w:tbl>
    <w:p w:rsidR="00B91F80" w:rsidRPr="009D4D41" w:rsidRDefault="00B91F80" w:rsidP="00B91F80">
      <w:pPr>
        <w:rPr>
          <w:rFonts w:ascii="Times New Roman" w:hAnsi="Times New Roman" w:cs="Times New Roman"/>
          <w:color w:val="000000" w:themeColor="text1"/>
          <w:sz w:val="24"/>
          <w:szCs w:val="28"/>
          <w:highlight w:val="cyan"/>
        </w:rPr>
      </w:pPr>
    </w:p>
    <w:p w:rsidR="00B91F80" w:rsidRPr="009D4D41" w:rsidRDefault="00B91F80">
      <w:pPr>
        <w:rPr>
          <w:rFonts w:ascii="Times New Roman" w:hAnsi="Times New Roman" w:cs="Times New Roman"/>
          <w:color w:val="000000" w:themeColor="text1"/>
          <w:sz w:val="24"/>
          <w:szCs w:val="28"/>
          <w:highlight w:val="cyan"/>
        </w:rPr>
      </w:pPr>
      <w:r w:rsidRPr="009D4D41">
        <w:rPr>
          <w:rFonts w:ascii="Times New Roman" w:hAnsi="Times New Roman" w:cs="Times New Roman"/>
          <w:color w:val="000000" w:themeColor="text1"/>
          <w:sz w:val="24"/>
          <w:szCs w:val="28"/>
          <w:highlight w:val="cyan"/>
        </w:rPr>
        <w:br w:type="page"/>
      </w:r>
    </w:p>
    <w:p w:rsidR="00B91F80" w:rsidRPr="009D4D41" w:rsidRDefault="00B91F80" w:rsidP="00B91F80">
      <w:pPr>
        <w:rPr>
          <w:rFonts w:ascii="Times New Roman" w:hAnsi="Times New Roman" w:cs="Times New Roman"/>
          <w:color w:val="000000" w:themeColor="text1"/>
          <w:sz w:val="24"/>
          <w:szCs w:val="28"/>
          <w:highlight w:val="cyan"/>
        </w:rPr>
      </w:pPr>
    </w:p>
    <w:p w:rsidR="00BA132A" w:rsidRPr="009D4D41" w:rsidRDefault="00BA132A" w:rsidP="00BA132A">
      <w:pPr>
        <w:spacing w:after="0" w:line="336" w:lineRule="auto"/>
        <w:ind w:right="-1"/>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t xml:space="preserve">Диаграмма № </w:t>
      </w:r>
      <w:r w:rsidR="00544248" w:rsidRPr="009D4D41">
        <w:rPr>
          <w:rFonts w:ascii="Times New Roman" w:eastAsia="Times New Roman" w:hAnsi="Times New Roman" w:cs="Times New Roman"/>
          <w:snapToGrid w:val="0"/>
          <w:color w:val="000000" w:themeColor="text1"/>
          <w:sz w:val="24"/>
          <w:szCs w:val="24"/>
          <w:lang w:eastAsia="ru-RU"/>
        </w:rPr>
        <w:t>2</w:t>
      </w:r>
    </w:p>
    <w:p w:rsidR="00BA132A" w:rsidRPr="009D4D41" w:rsidRDefault="00BA132A" w:rsidP="00BA132A">
      <w:pPr>
        <w:pStyle w:val="a5"/>
        <w:widowControl w:val="0"/>
        <w:spacing w:after="0" w:line="240" w:lineRule="auto"/>
        <w:jc w:val="both"/>
        <w:rPr>
          <w:rFonts w:ascii="Times New Roman" w:eastAsia="Times New Roman" w:hAnsi="Times New Roman" w:cs="Times New Roman"/>
          <w:color w:val="000000" w:themeColor="text1"/>
          <w:sz w:val="10"/>
          <w:szCs w:val="10"/>
          <w:lang w:eastAsia="ru-RU"/>
        </w:rPr>
      </w:pPr>
    </w:p>
    <w:p w:rsidR="00BA132A" w:rsidRPr="009D4D41" w:rsidRDefault="00BA132A" w:rsidP="00BA132A">
      <w:pPr>
        <w:widowControl w:val="0"/>
        <w:spacing w:after="0" w:line="240" w:lineRule="auto"/>
        <w:jc w:val="center"/>
        <w:rPr>
          <w:rFonts w:ascii="Times New Roman" w:eastAsia="Times New Roman" w:hAnsi="Times New Roman" w:cs="Times New Roman"/>
          <w:color w:val="000000" w:themeColor="text1"/>
          <w:lang w:eastAsia="ru-RU"/>
        </w:rPr>
      </w:pPr>
      <w:r w:rsidRPr="009D4D41">
        <w:rPr>
          <w:rFonts w:ascii="Times New Roman" w:eastAsia="Times New Roman" w:hAnsi="Times New Roman" w:cs="Times New Roman"/>
          <w:color w:val="000000" w:themeColor="text1"/>
          <w:lang w:eastAsia="ru-RU"/>
        </w:rPr>
        <w:t>Динамика доли нерезидентов на рынке облигаций федеральных займов и объемо</w:t>
      </w:r>
      <w:r w:rsidR="001272DF" w:rsidRPr="009D4D41">
        <w:rPr>
          <w:rFonts w:ascii="Times New Roman" w:eastAsia="Times New Roman" w:hAnsi="Times New Roman" w:cs="Times New Roman"/>
          <w:color w:val="000000" w:themeColor="text1"/>
          <w:lang w:eastAsia="ru-RU"/>
        </w:rPr>
        <w:t>в их вложений в ОФЗ в 2015 – 2020</w:t>
      </w:r>
      <w:r w:rsidRPr="009D4D41">
        <w:rPr>
          <w:rFonts w:ascii="Times New Roman" w:eastAsia="Times New Roman" w:hAnsi="Times New Roman" w:cs="Times New Roman"/>
          <w:color w:val="000000" w:themeColor="text1"/>
          <w:lang w:eastAsia="ru-RU"/>
        </w:rPr>
        <w:t xml:space="preserve"> годах</w:t>
      </w:r>
    </w:p>
    <w:p w:rsidR="001272DF" w:rsidRPr="009D4D41" w:rsidRDefault="001272DF" w:rsidP="00BA132A">
      <w:pPr>
        <w:widowControl w:val="0"/>
        <w:spacing w:after="0" w:line="240" w:lineRule="auto"/>
        <w:jc w:val="center"/>
        <w:rPr>
          <w:rFonts w:ascii="Times New Roman" w:eastAsia="Times New Roman" w:hAnsi="Times New Roman" w:cs="Times New Roman"/>
          <w:color w:val="000000" w:themeColor="text1"/>
          <w:lang w:eastAsia="ru-RU"/>
        </w:rPr>
      </w:pPr>
    </w:p>
    <w:p w:rsidR="001272DF" w:rsidRPr="009D4D41" w:rsidRDefault="001272DF" w:rsidP="00BA132A">
      <w:pPr>
        <w:widowControl w:val="0"/>
        <w:spacing w:after="0" w:line="240" w:lineRule="auto"/>
        <w:jc w:val="center"/>
        <w:rPr>
          <w:rFonts w:ascii="Times New Roman" w:eastAsia="Times New Roman" w:hAnsi="Times New Roman" w:cs="Times New Roman"/>
          <w:color w:val="000000" w:themeColor="text1"/>
          <w:lang w:eastAsia="ru-RU"/>
        </w:rPr>
      </w:pPr>
      <w:r w:rsidRPr="009D4D41">
        <w:rPr>
          <w:noProof/>
          <w:color w:val="000000" w:themeColor="text1"/>
          <w:lang w:eastAsia="ru-RU"/>
        </w:rPr>
        <w:drawing>
          <wp:inline distT="0" distB="0" distL="0" distR="0" wp14:anchorId="1C48D79D" wp14:editId="31846818">
            <wp:extent cx="6120130" cy="1859915"/>
            <wp:effectExtent l="0" t="0" r="0" b="6985"/>
            <wp:docPr id="8" name="Диаграмма 8">
              <a:extLst xmlns:a="http://schemas.openxmlformats.org/drawingml/2006/main">
                <a:ext uri="{FF2B5EF4-FFF2-40B4-BE49-F238E27FC236}">
                  <a16:creationId xmlns:a16="http://schemas.microsoft.com/office/drawing/2014/main" id="{ED7E7B7F-0D10-4108-BD94-A1F81AD6C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67D7D" w:rsidRPr="009D4D41" w:rsidRDefault="00C67D7D" w:rsidP="00BA132A">
      <w:pPr>
        <w:widowControl w:val="0"/>
        <w:spacing w:after="0" w:line="240" w:lineRule="auto"/>
        <w:jc w:val="center"/>
        <w:rPr>
          <w:rFonts w:ascii="Times New Roman" w:eastAsia="Times New Roman" w:hAnsi="Times New Roman" w:cs="Times New Roman"/>
          <w:color w:val="000000" w:themeColor="text1"/>
          <w:lang w:eastAsia="ru-RU"/>
        </w:rPr>
      </w:pPr>
    </w:p>
    <w:p w:rsidR="00C67D7D" w:rsidRPr="009D4D41" w:rsidRDefault="00C67D7D" w:rsidP="00BA132A">
      <w:pPr>
        <w:widowControl w:val="0"/>
        <w:spacing w:after="0" w:line="240" w:lineRule="auto"/>
        <w:jc w:val="center"/>
        <w:rPr>
          <w:rFonts w:ascii="Times New Roman" w:eastAsia="Times New Roman" w:hAnsi="Times New Roman" w:cs="Times New Roman"/>
          <w:color w:val="000000" w:themeColor="text1"/>
          <w:lang w:eastAsia="ru-RU"/>
        </w:rPr>
      </w:pPr>
    </w:p>
    <w:p w:rsidR="007572F4" w:rsidRPr="009D4D41" w:rsidRDefault="007572F4" w:rsidP="007572F4">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t xml:space="preserve">Диаграмма № </w:t>
      </w:r>
      <w:r w:rsidR="00544248" w:rsidRPr="009D4D41">
        <w:rPr>
          <w:rFonts w:ascii="Times New Roman" w:eastAsia="Times New Roman" w:hAnsi="Times New Roman" w:cs="Times New Roman"/>
          <w:snapToGrid w:val="0"/>
          <w:color w:val="000000" w:themeColor="text1"/>
          <w:sz w:val="24"/>
          <w:szCs w:val="24"/>
          <w:lang w:eastAsia="ru-RU"/>
        </w:rPr>
        <w:t>3</w:t>
      </w:r>
    </w:p>
    <w:p w:rsidR="007572F4" w:rsidRPr="009D4D41" w:rsidRDefault="007572F4" w:rsidP="007572F4">
      <w:pPr>
        <w:widowControl w:val="0"/>
        <w:spacing w:after="0" w:line="240" w:lineRule="auto"/>
        <w:jc w:val="both"/>
        <w:rPr>
          <w:rFonts w:ascii="Times New Roman" w:eastAsia="Times New Roman" w:hAnsi="Times New Roman" w:cs="Times New Roman"/>
          <w:color w:val="000000" w:themeColor="text1"/>
          <w:sz w:val="10"/>
          <w:szCs w:val="10"/>
          <w:lang w:eastAsia="ru-RU"/>
        </w:rPr>
      </w:pPr>
    </w:p>
    <w:p w:rsidR="007572F4" w:rsidRPr="009D4D41" w:rsidRDefault="007572F4" w:rsidP="007572F4">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Динамика поступлений средств от продажи акций и иных форм участия в капитале, находящихся в федеральной собственности, за 20</w:t>
      </w:r>
      <w:r w:rsidR="001272DF" w:rsidRPr="009D4D41">
        <w:rPr>
          <w:rFonts w:ascii="Times New Roman" w:eastAsia="Times New Roman" w:hAnsi="Times New Roman" w:cs="Times New Roman"/>
          <w:color w:val="000000" w:themeColor="text1"/>
          <w:sz w:val="24"/>
          <w:szCs w:val="24"/>
          <w:lang w:eastAsia="ru-RU"/>
        </w:rPr>
        <w:t>10</w:t>
      </w:r>
      <w:r w:rsidRPr="009D4D41">
        <w:rPr>
          <w:rFonts w:ascii="Times New Roman" w:eastAsia="Times New Roman" w:hAnsi="Times New Roman" w:cs="Times New Roman"/>
          <w:color w:val="000000" w:themeColor="text1"/>
          <w:sz w:val="24"/>
          <w:szCs w:val="24"/>
          <w:lang w:eastAsia="ru-RU"/>
        </w:rPr>
        <w:t xml:space="preserve"> – 20</w:t>
      </w:r>
      <w:r w:rsidR="000209A5" w:rsidRPr="009D4D41">
        <w:rPr>
          <w:rFonts w:ascii="Times New Roman" w:eastAsia="Times New Roman" w:hAnsi="Times New Roman" w:cs="Times New Roman"/>
          <w:color w:val="000000" w:themeColor="text1"/>
          <w:sz w:val="24"/>
          <w:szCs w:val="24"/>
          <w:lang w:eastAsia="ru-RU"/>
        </w:rPr>
        <w:t>2</w:t>
      </w:r>
      <w:r w:rsidR="001272DF" w:rsidRPr="009D4D41">
        <w:rPr>
          <w:rFonts w:ascii="Times New Roman" w:eastAsia="Times New Roman" w:hAnsi="Times New Roman" w:cs="Times New Roman"/>
          <w:color w:val="000000" w:themeColor="text1"/>
          <w:sz w:val="24"/>
          <w:szCs w:val="24"/>
          <w:lang w:eastAsia="ru-RU"/>
        </w:rPr>
        <w:t>3</w:t>
      </w:r>
      <w:r w:rsidR="000209A5" w:rsidRPr="009D4D41">
        <w:rPr>
          <w:rFonts w:ascii="Times New Roman" w:eastAsia="Times New Roman" w:hAnsi="Times New Roman" w:cs="Times New Roman"/>
          <w:color w:val="000000" w:themeColor="text1"/>
          <w:sz w:val="24"/>
          <w:szCs w:val="24"/>
          <w:lang w:eastAsia="ru-RU"/>
        </w:rPr>
        <w:t xml:space="preserve"> </w:t>
      </w:r>
      <w:r w:rsidRPr="009D4D41">
        <w:rPr>
          <w:rFonts w:ascii="Times New Roman" w:eastAsia="Times New Roman" w:hAnsi="Times New Roman" w:cs="Times New Roman"/>
          <w:color w:val="000000" w:themeColor="text1"/>
          <w:sz w:val="24"/>
          <w:szCs w:val="24"/>
          <w:lang w:eastAsia="ru-RU"/>
        </w:rPr>
        <w:t>годы</w:t>
      </w:r>
    </w:p>
    <w:p w:rsidR="003A3B5C" w:rsidRPr="009D4D41" w:rsidRDefault="003A3B5C" w:rsidP="007572F4">
      <w:pPr>
        <w:widowControl w:val="0"/>
        <w:spacing w:after="0" w:line="240" w:lineRule="auto"/>
        <w:jc w:val="center"/>
        <w:rPr>
          <w:rFonts w:ascii="Times New Roman" w:eastAsia="Times New Roman" w:hAnsi="Times New Roman" w:cs="Times New Roman"/>
          <w:color w:val="000000" w:themeColor="text1"/>
          <w:sz w:val="24"/>
          <w:szCs w:val="24"/>
          <w:lang w:eastAsia="ru-RU"/>
        </w:rPr>
      </w:pPr>
    </w:p>
    <w:p w:rsidR="003A3B5C" w:rsidRPr="009D4D41" w:rsidRDefault="001272DF" w:rsidP="007572F4">
      <w:pPr>
        <w:widowControl w:val="0"/>
        <w:spacing w:after="0" w:line="240" w:lineRule="auto"/>
        <w:jc w:val="center"/>
        <w:rPr>
          <w:rFonts w:ascii="Times New Roman" w:eastAsia="Times New Roman" w:hAnsi="Times New Roman" w:cs="Times New Roman"/>
          <w:noProof/>
          <w:color w:val="000000" w:themeColor="text1"/>
          <w:sz w:val="24"/>
          <w:szCs w:val="24"/>
          <w:lang w:eastAsia="ru-RU"/>
        </w:rPr>
      </w:pPr>
      <w:r w:rsidRPr="009D4D41">
        <w:rPr>
          <w:noProof/>
          <w:color w:val="000000" w:themeColor="text1"/>
          <w:lang w:eastAsia="ru-RU"/>
        </w:rPr>
        <w:drawing>
          <wp:inline distT="0" distB="0" distL="0" distR="0" wp14:anchorId="56EAC3CA" wp14:editId="07660D57">
            <wp:extent cx="6120130" cy="250074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272DF" w:rsidRPr="009D4D41" w:rsidRDefault="001272DF" w:rsidP="007572F4">
      <w:pPr>
        <w:widowControl w:val="0"/>
        <w:spacing w:after="0" w:line="240" w:lineRule="auto"/>
        <w:jc w:val="center"/>
        <w:rPr>
          <w:rFonts w:ascii="Times New Roman" w:eastAsia="Times New Roman" w:hAnsi="Times New Roman" w:cs="Times New Roman"/>
          <w:color w:val="000000" w:themeColor="text1"/>
          <w:sz w:val="24"/>
          <w:szCs w:val="24"/>
          <w:lang w:eastAsia="ru-RU"/>
        </w:rPr>
      </w:pPr>
    </w:p>
    <w:p w:rsidR="00F7314D" w:rsidRPr="009D4D41" w:rsidRDefault="00F7314D" w:rsidP="00F7314D">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t xml:space="preserve">Таблица № </w:t>
      </w:r>
      <w:r w:rsidR="006A223E" w:rsidRPr="009D4D41">
        <w:rPr>
          <w:rFonts w:ascii="Times New Roman" w:eastAsia="Times New Roman" w:hAnsi="Times New Roman" w:cs="Times New Roman"/>
          <w:snapToGrid w:val="0"/>
          <w:color w:val="000000" w:themeColor="text1"/>
          <w:sz w:val="24"/>
          <w:szCs w:val="24"/>
          <w:lang w:eastAsia="ru-RU"/>
        </w:rPr>
        <w:t>5</w:t>
      </w:r>
    </w:p>
    <w:p w:rsidR="00562DFB" w:rsidRPr="009D4D41" w:rsidRDefault="00562DFB" w:rsidP="00562DFB">
      <w:pPr>
        <w:keepNext/>
        <w:spacing w:after="0" w:line="240" w:lineRule="auto"/>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Динамика исполнения показателя «Возврат прочих бюджетных кредитов (ссуд), предоставленных федеральным бюджетом внутри страны»</w:t>
      </w:r>
    </w:p>
    <w:p w:rsidR="00562DFB" w:rsidRPr="009D4D41" w:rsidRDefault="00562DFB" w:rsidP="00562DFB">
      <w:pPr>
        <w:keepNext/>
        <w:spacing w:after="0" w:line="240" w:lineRule="auto"/>
        <w:jc w:val="right"/>
        <w:rPr>
          <w:rFonts w:ascii="Times New Roman" w:hAnsi="Times New Roman" w:cs="Times New Roman"/>
          <w:color w:val="000000" w:themeColor="text1"/>
          <w:sz w:val="20"/>
          <w:szCs w:val="20"/>
        </w:rPr>
      </w:pPr>
    </w:p>
    <w:p w:rsidR="00562DFB" w:rsidRPr="009D4D41" w:rsidRDefault="00562DFB" w:rsidP="00562DFB">
      <w:pPr>
        <w:keepNext/>
        <w:spacing w:after="0" w:line="240" w:lineRule="auto"/>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 (млн. рублей)</w:t>
      </w:r>
    </w:p>
    <w:tbl>
      <w:tblPr>
        <w:tblW w:w="94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2"/>
        <w:gridCol w:w="3245"/>
        <w:gridCol w:w="1984"/>
        <w:gridCol w:w="1843"/>
      </w:tblGrid>
      <w:tr w:rsidR="009D4D41" w:rsidRPr="009D4D41" w:rsidTr="002E5EE7">
        <w:trPr>
          <w:tblHeader/>
        </w:trPr>
        <w:tc>
          <w:tcPr>
            <w:tcW w:w="2392" w:type="dxa"/>
            <w:vAlign w:val="center"/>
          </w:tcPr>
          <w:p w:rsidR="00562DFB" w:rsidRPr="009D4D41" w:rsidRDefault="00562DFB" w:rsidP="002E5EE7">
            <w:pPr>
              <w:spacing w:after="0" w:line="240" w:lineRule="auto"/>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Год</w:t>
            </w:r>
          </w:p>
        </w:tc>
        <w:tc>
          <w:tcPr>
            <w:tcW w:w="3245" w:type="dxa"/>
            <w:vAlign w:val="center"/>
          </w:tcPr>
          <w:p w:rsidR="00562DFB" w:rsidRPr="009D4D41" w:rsidRDefault="00562DFB" w:rsidP="002E5EE7">
            <w:pPr>
              <w:spacing w:after="0" w:line="240" w:lineRule="auto"/>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Утверждено федеральным законом</w:t>
            </w:r>
          </w:p>
        </w:tc>
        <w:tc>
          <w:tcPr>
            <w:tcW w:w="1984" w:type="dxa"/>
            <w:vAlign w:val="center"/>
          </w:tcPr>
          <w:p w:rsidR="00562DFB" w:rsidRPr="009D4D41" w:rsidRDefault="00562DFB" w:rsidP="002E5EE7">
            <w:pPr>
              <w:spacing w:after="0" w:line="240" w:lineRule="auto"/>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Исполнение</w:t>
            </w:r>
          </w:p>
        </w:tc>
        <w:tc>
          <w:tcPr>
            <w:tcW w:w="1843" w:type="dxa"/>
            <w:vAlign w:val="center"/>
          </w:tcPr>
          <w:p w:rsidR="00562DFB" w:rsidRPr="009D4D41" w:rsidRDefault="00C20407" w:rsidP="002E5EE7">
            <w:pPr>
              <w:spacing w:after="0" w:line="240" w:lineRule="auto"/>
              <w:jc w:val="center"/>
              <w:rPr>
                <w:rFonts w:ascii="Times New Roman" w:hAnsi="Times New Roman" w:cs="Times New Roman"/>
                <w:b/>
                <w:color w:val="000000" w:themeColor="text1"/>
                <w:sz w:val="20"/>
                <w:szCs w:val="20"/>
              </w:rPr>
            </w:pPr>
            <w:r w:rsidRPr="009D4D41">
              <w:rPr>
                <w:rFonts w:ascii="Times New Roman" w:hAnsi="Times New Roman" w:cs="Times New Roman"/>
                <w:b/>
                <w:color w:val="000000" w:themeColor="text1"/>
                <w:sz w:val="20"/>
                <w:szCs w:val="20"/>
              </w:rPr>
              <w:t xml:space="preserve">% </w:t>
            </w:r>
            <w:r w:rsidR="00562DFB" w:rsidRPr="009D4D41">
              <w:rPr>
                <w:rFonts w:ascii="Times New Roman" w:hAnsi="Times New Roman" w:cs="Times New Roman"/>
                <w:b/>
                <w:color w:val="000000" w:themeColor="text1"/>
                <w:sz w:val="20"/>
                <w:szCs w:val="20"/>
              </w:rPr>
              <w:t>исполнения</w:t>
            </w:r>
          </w:p>
        </w:tc>
      </w:tr>
      <w:tr w:rsidR="009D4D41" w:rsidRPr="009D4D41" w:rsidTr="00321D81">
        <w:tc>
          <w:tcPr>
            <w:tcW w:w="2392"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2016</w:t>
            </w:r>
          </w:p>
        </w:tc>
        <w:tc>
          <w:tcPr>
            <w:tcW w:w="3245"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1 939,0</w:t>
            </w:r>
          </w:p>
        </w:tc>
        <w:tc>
          <w:tcPr>
            <w:tcW w:w="1984"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3 053,1</w:t>
            </w:r>
          </w:p>
        </w:tc>
        <w:tc>
          <w:tcPr>
            <w:tcW w:w="1843" w:type="dxa"/>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157,5</w:t>
            </w:r>
          </w:p>
        </w:tc>
      </w:tr>
      <w:tr w:rsidR="009D4D41" w:rsidRPr="009D4D41" w:rsidTr="00321D81">
        <w:tc>
          <w:tcPr>
            <w:tcW w:w="2392"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2017</w:t>
            </w:r>
          </w:p>
        </w:tc>
        <w:tc>
          <w:tcPr>
            <w:tcW w:w="3245"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1 956,9</w:t>
            </w:r>
          </w:p>
        </w:tc>
        <w:tc>
          <w:tcPr>
            <w:tcW w:w="1984"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2 901,2</w:t>
            </w:r>
          </w:p>
        </w:tc>
        <w:tc>
          <w:tcPr>
            <w:tcW w:w="1843" w:type="dxa"/>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148,3</w:t>
            </w:r>
          </w:p>
        </w:tc>
      </w:tr>
      <w:tr w:rsidR="009D4D41" w:rsidRPr="009D4D41" w:rsidTr="00321D81">
        <w:tc>
          <w:tcPr>
            <w:tcW w:w="2392"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2018</w:t>
            </w:r>
          </w:p>
        </w:tc>
        <w:tc>
          <w:tcPr>
            <w:tcW w:w="3245"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1 723,0</w:t>
            </w:r>
          </w:p>
        </w:tc>
        <w:tc>
          <w:tcPr>
            <w:tcW w:w="1984"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2 359,6</w:t>
            </w:r>
          </w:p>
        </w:tc>
        <w:tc>
          <w:tcPr>
            <w:tcW w:w="1843" w:type="dxa"/>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136,9</w:t>
            </w:r>
          </w:p>
        </w:tc>
      </w:tr>
      <w:tr w:rsidR="009D4D41" w:rsidRPr="009D4D41" w:rsidTr="00321D81">
        <w:tc>
          <w:tcPr>
            <w:tcW w:w="2392"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2019</w:t>
            </w:r>
          </w:p>
        </w:tc>
        <w:tc>
          <w:tcPr>
            <w:tcW w:w="3245"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1 926,6</w:t>
            </w:r>
          </w:p>
        </w:tc>
        <w:tc>
          <w:tcPr>
            <w:tcW w:w="1984" w:type="dxa"/>
            <w:vAlign w:val="center"/>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1 929,9</w:t>
            </w:r>
          </w:p>
        </w:tc>
        <w:tc>
          <w:tcPr>
            <w:tcW w:w="1843" w:type="dxa"/>
          </w:tcPr>
          <w:p w:rsidR="00BB50B1" w:rsidRPr="009D4D41" w:rsidRDefault="00BB50B1" w:rsidP="00BB50B1">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100,2</w:t>
            </w:r>
          </w:p>
        </w:tc>
      </w:tr>
      <w:tr w:rsidR="009D4D41" w:rsidRPr="009D4D41" w:rsidTr="002E5EE7">
        <w:tc>
          <w:tcPr>
            <w:tcW w:w="2392" w:type="dxa"/>
            <w:vAlign w:val="center"/>
          </w:tcPr>
          <w:p w:rsidR="00562DFB" w:rsidRPr="009D4D41" w:rsidRDefault="00562DFB" w:rsidP="00562DFB">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Январь – сентябрь </w:t>
            </w:r>
          </w:p>
          <w:p w:rsidR="00562DFB" w:rsidRPr="009D4D41" w:rsidRDefault="00BB50B1" w:rsidP="00562DFB">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2020</w:t>
            </w:r>
            <w:r w:rsidR="00562DFB" w:rsidRPr="009D4D41">
              <w:rPr>
                <w:rFonts w:ascii="Times New Roman" w:hAnsi="Times New Roman" w:cs="Times New Roman"/>
                <w:color w:val="000000" w:themeColor="text1"/>
                <w:sz w:val="20"/>
                <w:szCs w:val="20"/>
              </w:rPr>
              <w:t xml:space="preserve"> года</w:t>
            </w:r>
          </w:p>
        </w:tc>
        <w:tc>
          <w:tcPr>
            <w:tcW w:w="3245" w:type="dxa"/>
            <w:vAlign w:val="center"/>
          </w:tcPr>
          <w:p w:rsidR="00562DFB" w:rsidRPr="009D4D41" w:rsidRDefault="00BB50B1" w:rsidP="002E5EE7">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1 995,4</w:t>
            </w:r>
          </w:p>
        </w:tc>
        <w:tc>
          <w:tcPr>
            <w:tcW w:w="1984" w:type="dxa"/>
            <w:vAlign w:val="center"/>
          </w:tcPr>
          <w:p w:rsidR="00562DFB" w:rsidRPr="009D4D41" w:rsidRDefault="00BB50B1" w:rsidP="002E5EE7">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1 180,4</w:t>
            </w:r>
          </w:p>
        </w:tc>
        <w:tc>
          <w:tcPr>
            <w:tcW w:w="1843" w:type="dxa"/>
            <w:vAlign w:val="center"/>
          </w:tcPr>
          <w:p w:rsidR="00562DFB" w:rsidRPr="009D4D41" w:rsidRDefault="00BB50B1" w:rsidP="002E5EE7">
            <w:pPr>
              <w:spacing w:after="0" w:line="240" w:lineRule="auto"/>
              <w:jc w:val="center"/>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59,2</w:t>
            </w:r>
          </w:p>
        </w:tc>
      </w:tr>
    </w:tbl>
    <w:p w:rsidR="00311CFC" w:rsidRPr="009D4D41" w:rsidRDefault="00311CFC" w:rsidP="0095768B">
      <w:pPr>
        <w:spacing w:after="120" w:line="240" w:lineRule="auto"/>
        <w:jc w:val="right"/>
        <w:rPr>
          <w:rFonts w:ascii="Times New Roman" w:eastAsia="Times New Roman" w:hAnsi="Times New Roman" w:cs="Times New Roman"/>
          <w:snapToGrid w:val="0"/>
          <w:color w:val="000000" w:themeColor="text1"/>
          <w:sz w:val="24"/>
          <w:szCs w:val="24"/>
          <w:lang w:eastAsia="ru-RU"/>
        </w:rPr>
      </w:pPr>
    </w:p>
    <w:p w:rsidR="00311CFC" w:rsidRPr="009D4D41" w:rsidRDefault="00311CFC">
      <w:pPr>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br w:type="page"/>
      </w: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lastRenderedPageBreak/>
        <w:t xml:space="preserve">Таблица № 6 </w:t>
      </w: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Экспертный прогноз ПАО Сбербанк предполагаемого объема средств, необходимых для осуществления компенсационных выплат по вкладам в 2020 - 2023 годах, в разрезе категорий граждан при условии неизменности кратности</w:t>
      </w:r>
    </w:p>
    <w:p w:rsidR="00DC2639" w:rsidRPr="009D4D41" w:rsidRDefault="00DC2639" w:rsidP="00DC2639">
      <w:pPr>
        <w:widowControl w:val="0"/>
        <w:tabs>
          <w:tab w:val="left" w:pos="6240"/>
        </w:tabs>
        <w:spacing w:after="0" w:line="240" w:lineRule="auto"/>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(млн. рублей)</w:t>
      </w:r>
    </w:p>
    <w:tbl>
      <w:tblPr>
        <w:tblW w:w="9653" w:type="dxa"/>
        <w:jc w:val="center"/>
        <w:tblLayout w:type="fixed"/>
        <w:tblCellMar>
          <w:left w:w="0" w:type="dxa"/>
          <w:right w:w="0" w:type="dxa"/>
        </w:tblCellMar>
        <w:tblLook w:val="0000" w:firstRow="0" w:lastRow="0" w:firstColumn="0" w:lastColumn="0" w:noHBand="0" w:noVBand="0"/>
      </w:tblPr>
      <w:tblGrid>
        <w:gridCol w:w="663"/>
        <w:gridCol w:w="1283"/>
        <w:gridCol w:w="1284"/>
        <w:gridCol w:w="1295"/>
        <w:gridCol w:w="1295"/>
        <w:gridCol w:w="1134"/>
        <w:gridCol w:w="1276"/>
        <w:gridCol w:w="1423"/>
      </w:tblGrid>
      <w:tr w:rsidR="009D4D41" w:rsidRPr="009D4D41" w:rsidTr="00321D81">
        <w:trPr>
          <w:trHeight w:val="731"/>
          <w:jc w:val="center"/>
        </w:trPr>
        <w:tc>
          <w:tcPr>
            <w:tcW w:w="663" w:type="dxa"/>
            <w:vMerge w:val="restart"/>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Год</w:t>
            </w:r>
          </w:p>
        </w:tc>
        <w:tc>
          <w:tcPr>
            <w:tcW w:w="2567" w:type="dxa"/>
            <w:gridSpan w:val="2"/>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Сумма выплаченной компенсации в двукратном размере остатка вкладов             </w:t>
            </w:r>
          </w:p>
        </w:tc>
        <w:tc>
          <w:tcPr>
            <w:tcW w:w="2590" w:type="dxa"/>
            <w:gridSpan w:val="2"/>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Сумма выплаченной компенсации в трёхкратном размере остатка вклада             </w:t>
            </w:r>
          </w:p>
        </w:tc>
        <w:tc>
          <w:tcPr>
            <w:tcW w:w="1134" w:type="dxa"/>
            <w:vMerge w:val="restart"/>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ритуальные услуги</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Всего по информации ПАО Сбербанк</w:t>
            </w:r>
            <w:r w:rsidRPr="009D4D41">
              <w:rPr>
                <w:rFonts w:ascii="Times New Roman" w:hAnsi="Times New Roman" w:cs="Times New Roman"/>
                <w:color w:val="000000" w:themeColor="text1"/>
                <w:sz w:val="18"/>
                <w:szCs w:val="18"/>
                <w:vertAlign w:val="superscript"/>
              </w:rPr>
              <w:footnoteReference w:id="1"/>
            </w:r>
          </w:p>
        </w:tc>
        <w:tc>
          <w:tcPr>
            <w:tcW w:w="1423" w:type="dxa"/>
            <w:vMerge w:val="restart"/>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Всего по правилам математического счета</w:t>
            </w:r>
            <w:r w:rsidRPr="009D4D41">
              <w:rPr>
                <w:rFonts w:ascii="Times New Roman" w:hAnsi="Times New Roman" w:cs="Times New Roman"/>
                <w:color w:val="000000" w:themeColor="text1"/>
                <w:sz w:val="18"/>
                <w:szCs w:val="18"/>
                <w:vertAlign w:val="superscript"/>
              </w:rPr>
              <w:footnoteReference w:id="2"/>
            </w:r>
          </w:p>
        </w:tc>
      </w:tr>
      <w:tr w:rsidR="009D4D41" w:rsidRPr="009D4D41" w:rsidTr="00321D81">
        <w:trPr>
          <w:trHeight w:val="319"/>
          <w:jc w:val="center"/>
        </w:trPr>
        <w:tc>
          <w:tcPr>
            <w:tcW w:w="663" w:type="dxa"/>
            <w:vMerge/>
            <w:tcBorders>
              <w:top w:val="nil"/>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2567" w:type="dxa"/>
            <w:gridSpan w:val="2"/>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категории граждан</w:t>
            </w:r>
          </w:p>
        </w:tc>
        <w:tc>
          <w:tcPr>
            <w:tcW w:w="2590" w:type="dxa"/>
            <w:gridSpan w:val="2"/>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категории граждан</w:t>
            </w:r>
          </w:p>
        </w:tc>
        <w:tc>
          <w:tcPr>
            <w:tcW w:w="1134" w:type="dxa"/>
            <w:vMerge/>
            <w:tcBorders>
              <w:top w:val="nil"/>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1276" w:type="dxa"/>
            <w:vMerge/>
            <w:tcBorders>
              <w:left w:val="single" w:sz="4" w:space="0" w:color="auto"/>
              <w:right w:val="single" w:sz="4" w:space="0" w:color="auto"/>
            </w:tcBorders>
            <w:shd w:val="clear" w:color="auto" w:fill="FFFFFF"/>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1423" w:type="dxa"/>
            <w:vMerge/>
            <w:tcBorders>
              <w:top w:val="nil"/>
              <w:left w:val="single" w:sz="4" w:space="0" w:color="auto"/>
              <w:bottom w:val="nil"/>
              <w:right w:val="single" w:sz="4" w:space="0" w:color="auto"/>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r>
      <w:tr w:rsidR="009D4D41" w:rsidRPr="009D4D41" w:rsidTr="00321D81">
        <w:trPr>
          <w:trHeight w:val="777"/>
          <w:jc w:val="center"/>
        </w:trPr>
        <w:tc>
          <w:tcPr>
            <w:tcW w:w="663" w:type="dxa"/>
            <w:vMerge/>
            <w:tcBorders>
              <w:top w:val="nil"/>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128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вкладчики </w:t>
            </w:r>
          </w:p>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1946- 1991 года рождения</w:t>
            </w:r>
          </w:p>
        </w:tc>
        <w:tc>
          <w:tcPr>
            <w:tcW w:w="128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наследники 1946- 1991 года рождения</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вкладчики по 1945 год рождения включительно</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наследники по 1945 год рождения включительно</w:t>
            </w:r>
          </w:p>
        </w:tc>
        <w:tc>
          <w:tcPr>
            <w:tcW w:w="1134" w:type="dxa"/>
            <w:vMerge/>
            <w:tcBorders>
              <w:top w:val="nil"/>
              <w:left w:val="single" w:sz="4" w:space="0" w:color="auto"/>
              <w:bottom w:val="nil"/>
              <w:right w:val="nil"/>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1276" w:type="dxa"/>
            <w:vMerge/>
            <w:tcBorders>
              <w:left w:val="single" w:sz="4" w:space="0" w:color="auto"/>
              <w:bottom w:val="nil"/>
              <w:right w:val="single" w:sz="4" w:space="0" w:color="auto"/>
            </w:tcBorders>
            <w:shd w:val="clear" w:color="auto" w:fill="FFFFFF"/>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c>
          <w:tcPr>
            <w:tcW w:w="1423" w:type="dxa"/>
            <w:vMerge/>
            <w:tcBorders>
              <w:top w:val="nil"/>
              <w:left w:val="single" w:sz="4" w:space="0" w:color="auto"/>
              <w:bottom w:val="nil"/>
              <w:right w:val="single" w:sz="4" w:space="0" w:color="auto"/>
            </w:tcBorders>
            <w:shd w:val="clear" w:color="auto" w:fill="FFFFFF"/>
            <w:vAlign w:val="center"/>
          </w:tcPr>
          <w:p w:rsidR="00DC2639" w:rsidRPr="009D4D41" w:rsidRDefault="00DC2639" w:rsidP="00321D81">
            <w:pPr>
              <w:spacing w:after="0" w:line="204" w:lineRule="auto"/>
              <w:jc w:val="center"/>
              <w:rPr>
                <w:rFonts w:ascii="Times New Roman" w:hAnsi="Times New Roman" w:cs="Times New Roman"/>
                <w:color w:val="000000" w:themeColor="text1"/>
                <w:sz w:val="18"/>
                <w:szCs w:val="18"/>
              </w:rPr>
            </w:pPr>
          </w:p>
        </w:tc>
      </w:tr>
      <w:tr w:rsidR="009D4D41" w:rsidRPr="009D4D41" w:rsidTr="00321D81">
        <w:trPr>
          <w:trHeight w:val="203"/>
          <w:jc w:val="center"/>
        </w:trPr>
        <w:tc>
          <w:tcPr>
            <w:tcW w:w="66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w:t>
            </w:r>
          </w:p>
        </w:tc>
        <w:tc>
          <w:tcPr>
            <w:tcW w:w="128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w:t>
            </w:r>
          </w:p>
        </w:tc>
        <w:tc>
          <w:tcPr>
            <w:tcW w:w="128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3</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4</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5</w:t>
            </w:r>
          </w:p>
        </w:tc>
        <w:tc>
          <w:tcPr>
            <w:tcW w:w="113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6</w:t>
            </w:r>
          </w:p>
        </w:tc>
        <w:tc>
          <w:tcPr>
            <w:tcW w:w="1276" w:type="dxa"/>
            <w:tcBorders>
              <w:top w:val="single" w:sz="4" w:space="0" w:color="auto"/>
              <w:left w:val="single" w:sz="4" w:space="0" w:color="auto"/>
              <w:bottom w:val="nil"/>
              <w:right w:val="single" w:sz="4" w:space="0" w:color="auto"/>
            </w:tcBorders>
            <w:shd w:val="clear" w:color="auto" w:fill="FFFFFF"/>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7</w:t>
            </w:r>
          </w:p>
        </w:tc>
        <w:tc>
          <w:tcPr>
            <w:tcW w:w="1423" w:type="dxa"/>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8</w:t>
            </w:r>
          </w:p>
        </w:tc>
      </w:tr>
      <w:tr w:rsidR="009D4D41" w:rsidRPr="009D4D41" w:rsidTr="00321D81">
        <w:trPr>
          <w:trHeight w:val="215"/>
          <w:jc w:val="center"/>
        </w:trPr>
        <w:tc>
          <w:tcPr>
            <w:tcW w:w="66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2020</w:t>
            </w:r>
          </w:p>
        </w:tc>
        <w:tc>
          <w:tcPr>
            <w:tcW w:w="128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436</w:t>
            </w:r>
          </w:p>
        </w:tc>
        <w:tc>
          <w:tcPr>
            <w:tcW w:w="128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342</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127</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94</w:t>
            </w:r>
          </w:p>
        </w:tc>
        <w:tc>
          <w:tcPr>
            <w:tcW w:w="113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2 270</w:t>
            </w:r>
          </w:p>
        </w:tc>
        <w:tc>
          <w:tcPr>
            <w:tcW w:w="1276" w:type="dxa"/>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3 270</w:t>
            </w:r>
          </w:p>
        </w:tc>
        <w:tc>
          <w:tcPr>
            <w:tcW w:w="1423" w:type="dxa"/>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3 269</w:t>
            </w:r>
          </w:p>
        </w:tc>
      </w:tr>
      <w:tr w:rsidR="009D4D41" w:rsidRPr="009D4D41" w:rsidTr="00321D81">
        <w:trPr>
          <w:trHeight w:val="215"/>
          <w:jc w:val="center"/>
        </w:trPr>
        <w:tc>
          <w:tcPr>
            <w:tcW w:w="66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2021</w:t>
            </w:r>
          </w:p>
        </w:tc>
        <w:tc>
          <w:tcPr>
            <w:tcW w:w="1283"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363</w:t>
            </w:r>
          </w:p>
        </w:tc>
        <w:tc>
          <w:tcPr>
            <w:tcW w:w="128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289</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104</w:t>
            </w:r>
          </w:p>
        </w:tc>
        <w:tc>
          <w:tcPr>
            <w:tcW w:w="1295"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77</w:t>
            </w:r>
          </w:p>
        </w:tc>
        <w:tc>
          <w:tcPr>
            <w:tcW w:w="1134" w:type="dxa"/>
            <w:tcBorders>
              <w:top w:val="single" w:sz="4" w:space="0" w:color="auto"/>
              <w:left w:val="single" w:sz="4" w:space="0" w:color="auto"/>
              <w:bottom w:val="nil"/>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2 201</w:t>
            </w:r>
          </w:p>
        </w:tc>
        <w:tc>
          <w:tcPr>
            <w:tcW w:w="1276" w:type="dxa"/>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2 956</w:t>
            </w:r>
          </w:p>
        </w:tc>
        <w:tc>
          <w:tcPr>
            <w:tcW w:w="1423" w:type="dxa"/>
            <w:tcBorders>
              <w:top w:val="single" w:sz="4" w:space="0" w:color="auto"/>
              <w:left w:val="single" w:sz="4" w:space="0" w:color="auto"/>
              <w:bottom w:val="nil"/>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3 034</w:t>
            </w:r>
          </w:p>
        </w:tc>
      </w:tr>
      <w:tr w:rsidR="009D4D41" w:rsidRPr="009D4D41" w:rsidTr="00321D81">
        <w:trPr>
          <w:trHeight w:val="215"/>
          <w:jc w:val="center"/>
        </w:trPr>
        <w:tc>
          <w:tcPr>
            <w:tcW w:w="663"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2022</w:t>
            </w:r>
          </w:p>
        </w:tc>
        <w:tc>
          <w:tcPr>
            <w:tcW w:w="1283"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301</w:t>
            </w:r>
          </w:p>
        </w:tc>
        <w:tc>
          <w:tcPr>
            <w:tcW w:w="1284"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244</w:t>
            </w:r>
          </w:p>
        </w:tc>
        <w:tc>
          <w:tcPr>
            <w:tcW w:w="1295"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86</w:t>
            </w:r>
          </w:p>
        </w:tc>
        <w:tc>
          <w:tcPr>
            <w:tcW w:w="1295"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63</w:t>
            </w:r>
          </w:p>
        </w:tc>
        <w:tc>
          <w:tcPr>
            <w:tcW w:w="1134"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2 134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2 672</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2 828</w:t>
            </w:r>
          </w:p>
        </w:tc>
      </w:tr>
      <w:tr w:rsidR="009D4D41" w:rsidRPr="009D4D41" w:rsidTr="00321D81">
        <w:trPr>
          <w:trHeight w:val="215"/>
          <w:jc w:val="center"/>
        </w:trPr>
        <w:tc>
          <w:tcPr>
            <w:tcW w:w="663"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2023</w:t>
            </w:r>
          </w:p>
        </w:tc>
        <w:tc>
          <w:tcPr>
            <w:tcW w:w="1283"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251</w:t>
            </w:r>
          </w:p>
        </w:tc>
        <w:tc>
          <w:tcPr>
            <w:tcW w:w="1284"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206</w:t>
            </w:r>
          </w:p>
        </w:tc>
        <w:tc>
          <w:tcPr>
            <w:tcW w:w="1295"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70</w:t>
            </w:r>
          </w:p>
        </w:tc>
        <w:tc>
          <w:tcPr>
            <w:tcW w:w="1295"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52</w:t>
            </w:r>
          </w:p>
        </w:tc>
        <w:tc>
          <w:tcPr>
            <w:tcW w:w="1134" w:type="dxa"/>
            <w:tcBorders>
              <w:top w:val="single" w:sz="4" w:space="0" w:color="auto"/>
              <w:left w:val="single" w:sz="4" w:space="0" w:color="auto"/>
              <w:bottom w:val="single" w:sz="4" w:space="0" w:color="auto"/>
              <w:right w:val="nil"/>
            </w:tcBorders>
            <w:shd w:val="clear" w:color="auto" w:fill="FFFFFF"/>
            <w:vAlign w:val="center"/>
          </w:tcPr>
          <w:p w:rsidR="00DC2639" w:rsidRPr="009D4D41" w:rsidRDefault="00DC2639" w:rsidP="00321D81">
            <w:pPr>
              <w:spacing w:after="0"/>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2 070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2 416</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center"/>
          </w:tcPr>
          <w:p w:rsidR="00DC2639" w:rsidRPr="009D4D41" w:rsidRDefault="00DC2639" w:rsidP="00321D81">
            <w:pPr>
              <w:spacing w:after="0"/>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2 649</w:t>
            </w:r>
          </w:p>
        </w:tc>
      </w:tr>
    </w:tbl>
    <w:p w:rsidR="00DC2639" w:rsidRPr="009D4D41" w:rsidRDefault="00DC2639" w:rsidP="00DC2639">
      <w:pPr>
        <w:spacing w:after="120" w:line="240" w:lineRule="auto"/>
        <w:jc w:val="right"/>
        <w:rPr>
          <w:rFonts w:ascii="Times New Roman" w:eastAsia="Times New Roman" w:hAnsi="Times New Roman" w:cs="Times New Roman"/>
          <w:snapToGrid w:val="0"/>
          <w:color w:val="000000" w:themeColor="text1"/>
          <w:sz w:val="24"/>
          <w:szCs w:val="24"/>
          <w:lang w:eastAsia="ru-RU"/>
        </w:rPr>
      </w:pP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7</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Экспертный прогноз ПАО Сбербанк предполагаемого объема средств, необходимых для осуществления выкупа ценных бумаг СССР в 2020 - 2023 годах</w:t>
      </w:r>
    </w:p>
    <w:p w:rsidR="00DC2639" w:rsidRPr="009D4D41" w:rsidRDefault="00DC2639" w:rsidP="00DC2639">
      <w:pPr>
        <w:widowControl w:val="0"/>
        <w:tabs>
          <w:tab w:val="left" w:pos="6240"/>
        </w:tabs>
        <w:spacing w:after="0" w:line="240" w:lineRule="auto"/>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(млн. рублей)</w:t>
      </w:r>
    </w:p>
    <w:tbl>
      <w:tblPr>
        <w:tblW w:w="9644" w:type="dxa"/>
        <w:jc w:val="center"/>
        <w:tblCellMar>
          <w:left w:w="0" w:type="dxa"/>
          <w:right w:w="0" w:type="dxa"/>
        </w:tblCellMar>
        <w:tblLook w:val="04A0" w:firstRow="1" w:lastRow="0" w:firstColumn="1" w:lastColumn="0" w:noHBand="0" w:noVBand="1"/>
      </w:tblPr>
      <w:tblGrid>
        <w:gridCol w:w="4400"/>
        <w:gridCol w:w="1275"/>
        <w:gridCol w:w="1276"/>
        <w:gridCol w:w="1276"/>
        <w:gridCol w:w="1417"/>
      </w:tblGrid>
      <w:tr w:rsidR="009D4D41" w:rsidRPr="009D4D41" w:rsidTr="00321D81">
        <w:trPr>
          <w:trHeight w:val="319"/>
          <w:tblHeader/>
          <w:jc w:val="center"/>
        </w:trPr>
        <w:tc>
          <w:tcPr>
            <w:tcW w:w="4400" w:type="dxa"/>
            <w:tcBorders>
              <w:top w:val="single" w:sz="4" w:space="0" w:color="auto"/>
              <w:left w:val="single" w:sz="4" w:space="0" w:color="auto"/>
              <w:bottom w:val="single" w:sz="4" w:space="0" w:color="auto"/>
              <w:right w:val="single" w:sz="4" w:space="0" w:color="auto"/>
              <w:tl2br w:val="single" w:sz="4" w:space="0" w:color="auto"/>
            </w:tcBorders>
            <w:shd w:val="clear" w:color="000000" w:fill="auto"/>
            <w:vAlign w:val="center"/>
            <w:hideMark/>
          </w:tcPr>
          <w:p w:rsidR="00DC2639" w:rsidRPr="009D4D41" w:rsidRDefault="00DC2639" w:rsidP="00321D81">
            <w:pPr>
              <w:spacing w:after="0" w:line="240" w:lineRule="auto"/>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 xml:space="preserve">                                                                                 Год</w:t>
            </w:r>
            <w:r w:rsidRPr="009D4D41">
              <w:rPr>
                <w:rFonts w:ascii="Times New Roman" w:hAnsi="Times New Roman" w:cs="Times New Roman"/>
                <w:bCs/>
                <w:color w:val="000000" w:themeColor="text1"/>
                <w:sz w:val="18"/>
                <w:szCs w:val="18"/>
              </w:rPr>
              <w:br/>
              <w:t xml:space="preserve">   Виды ценных бумаг</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2020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2021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2022</w:t>
            </w:r>
          </w:p>
        </w:tc>
        <w:tc>
          <w:tcPr>
            <w:tcW w:w="1417"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2023</w:t>
            </w:r>
          </w:p>
        </w:tc>
      </w:tr>
      <w:tr w:rsidR="009D4D41" w:rsidRPr="009D4D41" w:rsidTr="00321D81">
        <w:trPr>
          <w:trHeight w:val="70"/>
          <w:jc w:val="center"/>
        </w:trPr>
        <w:tc>
          <w:tcPr>
            <w:tcW w:w="44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Государственные казначейские обязательства СССР</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0,5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0,5</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0,5</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0,5</w:t>
            </w:r>
          </w:p>
        </w:tc>
      </w:tr>
      <w:tr w:rsidR="009D4D41" w:rsidRPr="009D4D41" w:rsidTr="00321D81">
        <w:trPr>
          <w:trHeight w:val="70"/>
          <w:jc w:val="center"/>
        </w:trPr>
        <w:tc>
          <w:tcPr>
            <w:tcW w:w="440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Сертификаты Сберегательного банка СССР</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8,4</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8,4</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8,4</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8,4</w:t>
            </w:r>
          </w:p>
        </w:tc>
      </w:tr>
    </w:tbl>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8</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Экспертный прогноз предполагаемого объема средств, необходимых для погашения задолженности по специальным (рублевым) счетам в 2020-2023 годах </w:t>
      </w:r>
    </w:p>
    <w:p w:rsidR="00DC2639" w:rsidRPr="009D4D41" w:rsidRDefault="00DC2639" w:rsidP="00DC2639">
      <w:pPr>
        <w:widowControl w:val="0"/>
        <w:tabs>
          <w:tab w:val="left" w:pos="6240"/>
        </w:tabs>
        <w:spacing w:after="0" w:line="240" w:lineRule="auto"/>
        <w:jc w:val="right"/>
        <w:rPr>
          <w:rFonts w:ascii="Times New Roman" w:eastAsia="Times New Roman" w:hAnsi="Times New Roman" w:cs="Times New Roman"/>
          <w:i/>
          <w:color w:val="000000" w:themeColor="text1"/>
          <w:sz w:val="18"/>
          <w:szCs w:val="18"/>
          <w:lang w:eastAsia="ru-RU"/>
        </w:rPr>
      </w:pPr>
      <w:r w:rsidRPr="009D4D41">
        <w:rPr>
          <w:rFonts w:ascii="Times New Roman" w:eastAsia="Times New Roman" w:hAnsi="Times New Roman" w:cs="Times New Roman"/>
          <w:b/>
          <w:color w:val="000000" w:themeColor="text1"/>
          <w:sz w:val="18"/>
          <w:szCs w:val="18"/>
          <w:lang w:eastAsia="ru-RU"/>
        </w:rPr>
        <w:t xml:space="preserve">                                            </w:t>
      </w:r>
      <w:r w:rsidRPr="009D4D41">
        <w:rPr>
          <w:rFonts w:ascii="Times New Roman" w:hAnsi="Times New Roman" w:cs="Times New Roman"/>
          <w:color w:val="000000" w:themeColor="text1"/>
          <w:sz w:val="20"/>
          <w:szCs w:val="20"/>
        </w:rPr>
        <w:t>(млн. рублей)</w:t>
      </w:r>
    </w:p>
    <w:tbl>
      <w:tblPr>
        <w:tblW w:w="9923" w:type="dxa"/>
        <w:jc w:val="center"/>
        <w:tblCellMar>
          <w:left w:w="0" w:type="dxa"/>
          <w:right w:w="0" w:type="dxa"/>
        </w:tblCellMar>
        <w:tblLook w:val="04A0" w:firstRow="1" w:lastRow="0" w:firstColumn="1" w:lastColumn="0" w:noHBand="0" w:noVBand="1"/>
      </w:tblPr>
      <w:tblGrid>
        <w:gridCol w:w="4679"/>
        <w:gridCol w:w="1275"/>
        <w:gridCol w:w="1276"/>
        <w:gridCol w:w="1276"/>
        <w:gridCol w:w="1417"/>
      </w:tblGrid>
      <w:tr w:rsidR="009D4D41" w:rsidRPr="009D4D41" w:rsidTr="00321D81">
        <w:trPr>
          <w:trHeight w:val="319"/>
          <w:jc w:val="center"/>
        </w:trPr>
        <w:tc>
          <w:tcPr>
            <w:tcW w:w="4679" w:type="dxa"/>
            <w:tcBorders>
              <w:top w:val="single" w:sz="4" w:space="0" w:color="auto"/>
              <w:left w:val="single" w:sz="4" w:space="0" w:color="auto"/>
              <w:bottom w:val="single" w:sz="4" w:space="0" w:color="auto"/>
              <w:right w:val="single" w:sz="4" w:space="0" w:color="auto"/>
              <w:tl2br w:val="single" w:sz="4" w:space="0" w:color="auto"/>
            </w:tcBorders>
            <w:shd w:val="clear" w:color="000000" w:fill="auto"/>
            <w:vAlign w:val="center"/>
            <w:hideMark/>
          </w:tcPr>
          <w:p w:rsidR="00DC2639" w:rsidRPr="009D4D41" w:rsidRDefault="00DC2639" w:rsidP="00321D81">
            <w:pPr>
              <w:spacing w:after="0" w:line="240" w:lineRule="auto"/>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 xml:space="preserve">                                                                           Год</w:t>
            </w:r>
            <w:r w:rsidRPr="009D4D41">
              <w:rPr>
                <w:rFonts w:ascii="Times New Roman" w:eastAsia="Times New Roman" w:hAnsi="Times New Roman" w:cs="Times New Roman"/>
                <w:bCs/>
                <w:color w:val="000000" w:themeColor="text1"/>
                <w:sz w:val="18"/>
                <w:szCs w:val="18"/>
                <w:lang w:eastAsia="ru-RU"/>
              </w:rPr>
              <w:br/>
              <w:t xml:space="preserve">   Вид выплат</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2020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2022</w:t>
            </w:r>
          </w:p>
        </w:tc>
        <w:tc>
          <w:tcPr>
            <w:tcW w:w="1417"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2023</w:t>
            </w:r>
          </w:p>
        </w:tc>
      </w:tr>
      <w:tr w:rsidR="009D4D41" w:rsidRPr="009D4D41" w:rsidTr="00321D81">
        <w:trPr>
          <w:trHeight w:val="398"/>
          <w:jc w:val="center"/>
        </w:trPr>
        <w:tc>
          <w:tcPr>
            <w:tcW w:w="467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Погашение задолженности по специальным (рублевым) счетам при сохранении действующего курса доллара США</w:t>
            </w:r>
          </w:p>
        </w:tc>
        <w:tc>
          <w:tcPr>
            <w:tcW w:w="1275" w:type="dxa"/>
            <w:tcBorders>
              <w:top w:val="single" w:sz="4" w:space="0" w:color="auto"/>
              <w:left w:val="nil"/>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bCs/>
                <w:color w:val="000000" w:themeColor="text1"/>
                <w:sz w:val="18"/>
                <w:szCs w:val="18"/>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bCs/>
                <w:color w:val="000000" w:themeColor="text1"/>
                <w:sz w:val="18"/>
                <w:szCs w:val="18"/>
                <w:lang w:eastAsia="ru-RU"/>
              </w:rPr>
              <w:t>1,5</w:t>
            </w:r>
          </w:p>
        </w:tc>
        <w:tc>
          <w:tcPr>
            <w:tcW w:w="1417" w:type="dxa"/>
            <w:tcBorders>
              <w:top w:val="single" w:sz="4" w:space="0" w:color="auto"/>
              <w:left w:val="nil"/>
              <w:bottom w:val="single" w:sz="4" w:space="0" w:color="auto"/>
              <w:right w:val="single" w:sz="4" w:space="0" w:color="auto"/>
            </w:tcBorders>
            <w:shd w:val="clear" w:color="000000" w:fill="auto"/>
            <w:noWrap/>
            <w:vAlign w:val="center"/>
            <w:hideMark/>
          </w:tcPr>
          <w:p w:rsidR="00DC2639" w:rsidRPr="009D4D41" w:rsidRDefault="00DC2639"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bCs/>
                <w:color w:val="000000" w:themeColor="text1"/>
                <w:sz w:val="18"/>
                <w:szCs w:val="18"/>
                <w:lang w:eastAsia="ru-RU"/>
              </w:rPr>
              <w:t>1,5</w:t>
            </w:r>
          </w:p>
        </w:tc>
      </w:tr>
    </w:tbl>
    <w:p w:rsidR="00DC2639" w:rsidRPr="009D4D41" w:rsidRDefault="00DC2639" w:rsidP="00DC2639">
      <w:pPr>
        <w:widowControl w:val="0"/>
        <w:tabs>
          <w:tab w:val="left" w:pos="6240"/>
        </w:tabs>
        <w:spacing w:after="0" w:line="240" w:lineRule="auto"/>
        <w:jc w:val="right"/>
        <w:rPr>
          <w:rFonts w:ascii="Times New Roman" w:eastAsia="Times New Roman" w:hAnsi="Times New Roman" w:cs="Times New Roman"/>
          <w:i/>
          <w:color w:val="000000" w:themeColor="text1"/>
          <w:sz w:val="18"/>
          <w:szCs w:val="18"/>
          <w:highlight w:val="yellow"/>
          <w:lang w:eastAsia="ru-RU"/>
        </w:rPr>
      </w:pPr>
    </w:p>
    <w:p w:rsidR="00DC2639" w:rsidRPr="009D4D41" w:rsidRDefault="00DC2639" w:rsidP="00DC2639">
      <w:pPr>
        <w:rPr>
          <w:rFonts w:ascii="Times New Roman" w:eastAsia="Arial Unicode MS" w:hAnsi="Times New Roman" w:cs="Times New Roman"/>
          <w:color w:val="000000" w:themeColor="text1"/>
          <w:sz w:val="24"/>
          <w:szCs w:val="24"/>
          <w:lang w:eastAsia="ru-RU" w:bidi="ru-RU"/>
        </w:rPr>
      </w:pPr>
      <w:r w:rsidRPr="009D4D41">
        <w:rPr>
          <w:rFonts w:ascii="Times New Roman" w:eastAsia="Arial Unicode MS" w:hAnsi="Times New Roman" w:cs="Times New Roman"/>
          <w:color w:val="000000" w:themeColor="text1"/>
          <w:sz w:val="24"/>
          <w:szCs w:val="24"/>
          <w:lang w:eastAsia="ru-RU" w:bidi="ru-RU"/>
        </w:rPr>
        <w:br w:type="page"/>
      </w: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lastRenderedPageBreak/>
        <w:t>Таблица № 9</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Экспертный прогноз предполагаемых затрат ПАО Сбербанк, связанных с проведением компенсационных выплат по вкладам, внесенным в ПАО Сбербанк на территории Российской Федерации в период до 20 июня 1991 года, и выкупом ценных бумаг СССР,</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за 2020-2023 годы</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4"/>
        <w:gridCol w:w="1276"/>
        <w:gridCol w:w="1417"/>
      </w:tblGrid>
      <w:tr w:rsidR="009D4D41" w:rsidRPr="009D4D41" w:rsidTr="00321D81">
        <w:trPr>
          <w:trHeight w:val="398"/>
          <w:tblHeader/>
          <w:jc w:val="center"/>
        </w:trPr>
        <w:tc>
          <w:tcPr>
            <w:tcW w:w="6934" w:type="dxa"/>
            <w:shd w:val="clear" w:color="000000" w:fill="auto"/>
            <w:noWrap/>
            <w:vAlign w:val="center"/>
            <w:hideMark/>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 xml:space="preserve">Вид выплат (выкупа) </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Год</w:t>
            </w:r>
          </w:p>
        </w:tc>
        <w:tc>
          <w:tcPr>
            <w:tcW w:w="1417" w:type="dxa"/>
            <w:shd w:val="clear" w:color="000000" w:fill="auto"/>
            <w:vAlign w:val="center"/>
          </w:tcPr>
          <w:p w:rsidR="00DC2639" w:rsidRPr="009D4D41" w:rsidRDefault="00DC2639" w:rsidP="00321D81">
            <w:pPr>
              <w:widowControl w:val="0"/>
              <w:spacing w:after="0" w:line="240" w:lineRule="auto"/>
              <w:jc w:val="center"/>
              <w:rPr>
                <w:rFonts w:ascii="Arial Unicode MS" w:eastAsia="Arial Unicode MS" w:hAnsi="Arial Unicode MS" w:cs="Arial Unicode MS"/>
                <w:color w:val="000000" w:themeColor="text1"/>
                <w:sz w:val="24"/>
                <w:szCs w:val="24"/>
                <w:lang w:eastAsia="ru-RU" w:bidi="ru-RU"/>
              </w:rPr>
            </w:pPr>
            <w:r w:rsidRPr="009D4D41">
              <w:rPr>
                <w:rFonts w:ascii="Times New Roman" w:eastAsia="Times New Roman" w:hAnsi="Times New Roman" w:cs="Times New Roman"/>
                <w:bCs/>
                <w:color w:val="000000" w:themeColor="text1"/>
                <w:sz w:val="18"/>
                <w:szCs w:val="18"/>
                <w:lang w:eastAsia="ru-RU"/>
              </w:rPr>
              <w:t>Сумма</w:t>
            </w:r>
            <w:r w:rsidRPr="009D4D41">
              <w:rPr>
                <w:rFonts w:ascii="Times New Roman" w:eastAsia="Times New Roman" w:hAnsi="Times New Roman" w:cs="Times New Roman"/>
                <w:bCs/>
                <w:color w:val="000000" w:themeColor="text1"/>
                <w:sz w:val="18"/>
                <w:szCs w:val="18"/>
                <w:vertAlign w:val="superscript"/>
                <w:lang w:eastAsia="ru-RU"/>
              </w:rPr>
              <w:footnoteReference w:id="3"/>
            </w:r>
            <w:r w:rsidRPr="009D4D41">
              <w:rPr>
                <w:rFonts w:ascii="Times New Roman" w:eastAsia="Times New Roman" w:hAnsi="Times New Roman" w:cs="Times New Roman"/>
                <w:bCs/>
                <w:color w:val="000000" w:themeColor="text1"/>
                <w:sz w:val="18"/>
                <w:szCs w:val="18"/>
                <w:lang w:eastAsia="ru-RU"/>
              </w:rPr>
              <w:t xml:space="preserve">, </w:t>
            </w:r>
            <w:r w:rsidRPr="009D4D41">
              <w:rPr>
                <w:rFonts w:ascii="Times New Roman" w:eastAsia="Times New Roman" w:hAnsi="Times New Roman" w:cs="Times New Roman"/>
                <w:bCs/>
                <w:color w:val="000000" w:themeColor="text1"/>
                <w:sz w:val="18"/>
                <w:szCs w:val="18"/>
                <w:lang w:eastAsia="ru-RU"/>
              </w:rPr>
              <w:br/>
              <w:t>млн. руб.</w:t>
            </w:r>
          </w:p>
        </w:tc>
      </w:tr>
      <w:tr w:rsidR="009D4D41" w:rsidRPr="009D4D41" w:rsidTr="00321D81">
        <w:trPr>
          <w:trHeight w:val="398"/>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Компенсационные выплаты по вкладам, внесенным в ПАО Сбербанк</w:t>
            </w:r>
          </w:p>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на территории РФ до 20.06.1991</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2020</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767,09</w:t>
            </w:r>
          </w:p>
        </w:tc>
      </w:tr>
      <w:tr w:rsidR="009D4D41" w:rsidRPr="009D4D41" w:rsidTr="00321D81">
        <w:trPr>
          <w:trHeight w:val="398"/>
          <w:jc w:val="center"/>
        </w:trPr>
        <w:tc>
          <w:tcPr>
            <w:tcW w:w="6934" w:type="dxa"/>
            <w:shd w:val="clear" w:color="000000" w:fill="auto"/>
            <w:noWrap/>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Компенсационные выплаты по вкладам, внесенным в ПАО Сбербанк</w:t>
            </w:r>
          </w:p>
          <w:p w:rsidR="00DC2639" w:rsidRPr="009D4D41" w:rsidRDefault="00DC2639" w:rsidP="00321D81">
            <w:pPr>
              <w:widowControl w:val="0"/>
              <w:spacing w:after="0" w:line="240" w:lineRule="auto"/>
              <w:jc w:val="center"/>
              <w:rPr>
                <w:rFonts w:ascii="Arial Unicode MS" w:eastAsia="Arial Unicode MS" w:hAnsi="Arial Unicode MS" w:cs="Arial Unicode MS"/>
                <w:color w:val="000000" w:themeColor="text1"/>
                <w:sz w:val="24"/>
                <w:szCs w:val="24"/>
                <w:lang w:eastAsia="ru-RU" w:bidi="ru-RU"/>
              </w:rPr>
            </w:pPr>
            <w:r w:rsidRPr="009D4D41">
              <w:rPr>
                <w:rFonts w:ascii="Times New Roman" w:eastAsia="Times New Roman" w:hAnsi="Times New Roman" w:cs="Times New Roman"/>
                <w:bCs/>
                <w:color w:val="000000" w:themeColor="text1"/>
                <w:sz w:val="18"/>
                <w:szCs w:val="18"/>
                <w:lang w:eastAsia="ru-RU"/>
              </w:rPr>
              <w:t>на территории РФ до 20.06.1991</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2021</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639,46</w:t>
            </w:r>
          </w:p>
        </w:tc>
      </w:tr>
      <w:tr w:rsidR="009D4D41" w:rsidRPr="009D4D41" w:rsidTr="00321D81">
        <w:trPr>
          <w:trHeight w:val="398"/>
          <w:jc w:val="center"/>
        </w:trPr>
        <w:tc>
          <w:tcPr>
            <w:tcW w:w="6934" w:type="dxa"/>
            <w:shd w:val="clear" w:color="000000" w:fill="auto"/>
            <w:noWrap/>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Компенсационные выплаты по вкладам, внесенным в ПАО Сбербанк</w:t>
            </w:r>
          </w:p>
          <w:p w:rsidR="00DC2639" w:rsidRPr="009D4D41" w:rsidRDefault="00DC2639" w:rsidP="00321D81">
            <w:pPr>
              <w:widowControl w:val="0"/>
              <w:spacing w:after="0" w:line="240" w:lineRule="auto"/>
              <w:jc w:val="center"/>
              <w:rPr>
                <w:rFonts w:ascii="Arial Unicode MS" w:eastAsia="Arial Unicode MS" w:hAnsi="Arial Unicode MS" w:cs="Arial Unicode MS"/>
                <w:color w:val="000000" w:themeColor="text1"/>
                <w:sz w:val="24"/>
                <w:szCs w:val="24"/>
                <w:lang w:eastAsia="ru-RU" w:bidi="ru-RU"/>
              </w:rPr>
            </w:pPr>
            <w:r w:rsidRPr="009D4D41">
              <w:rPr>
                <w:rFonts w:ascii="Times New Roman" w:eastAsia="Times New Roman" w:hAnsi="Times New Roman" w:cs="Times New Roman"/>
                <w:bCs/>
                <w:color w:val="000000" w:themeColor="text1"/>
                <w:sz w:val="18"/>
                <w:szCs w:val="18"/>
                <w:lang w:eastAsia="ru-RU"/>
              </w:rPr>
              <w:t>на территории РФ до 20.06.1991</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2022</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513,73</w:t>
            </w:r>
          </w:p>
        </w:tc>
      </w:tr>
      <w:tr w:rsidR="009D4D41" w:rsidRPr="009D4D41" w:rsidTr="00321D81">
        <w:trPr>
          <w:trHeight w:val="398"/>
          <w:jc w:val="center"/>
        </w:trPr>
        <w:tc>
          <w:tcPr>
            <w:tcW w:w="6934" w:type="dxa"/>
            <w:shd w:val="clear" w:color="000000" w:fill="auto"/>
            <w:noWrap/>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Компенсационные выплаты по вкладам, внесенным в ПАО Сбербанк</w:t>
            </w:r>
          </w:p>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на территории РФ до 20.06.1991</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2023</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388,00</w:t>
            </w:r>
          </w:p>
        </w:tc>
      </w:tr>
      <w:tr w:rsidR="009D4D41" w:rsidRPr="009D4D41" w:rsidTr="00321D81">
        <w:trPr>
          <w:trHeight w:val="251"/>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сертификатов Сберегательного банка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2020</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3,10</w:t>
            </w:r>
          </w:p>
        </w:tc>
      </w:tr>
      <w:tr w:rsidR="009D4D41" w:rsidRPr="009D4D41" w:rsidTr="00321D81">
        <w:trPr>
          <w:trHeight w:val="283"/>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сертификатов Сберегательного банка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2021</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3,10</w:t>
            </w:r>
          </w:p>
        </w:tc>
      </w:tr>
      <w:tr w:rsidR="009D4D41" w:rsidRPr="009D4D41" w:rsidTr="00321D81">
        <w:trPr>
          <w:trHeight w:val="273"/>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сертификатов Сберегательного банка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2022</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3,10</w:t>
            </w:r>
          </w:p>
        </w:tc>
      </w:tr>
      <w:tr w:rsidR="009D4D41" w:rsidRPr="009D4D41" w:rsidTr="00321D81">
        <w:trPr>
          <w:trHeight w:val="273"/>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сертификатов Сберегательного банка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2023</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3,10</w:t>
            </w:r>
          </w:p>
        </w:tc>
      </w:tr>
      <w:tr w:rsidR="009D4D41" w:rsidRPr="009D4D41" w:rsidTr="00321D81">
        <w:trPr>
          <w:trHeight w:val="276"/>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государственных казначейских обязательств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2020</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0,32</w:t>
            </w:r>
          </w:p>
        </w:tc>
      </w:tr>
      <w:tr w:rsidR="009D4D41" w:rsidRPr="009D4D41" w:rsidTr="00321D81">
        <w:trPr>
          <w:trHeight w:val="267"/>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государственных казначейских обязательств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2021</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0,32</w:t>
            </w:r>
          </w:p>
        </w:tc>
      </w:tr>
      <w:tr w:rsidR="009D4D41" w:rsidRPr="009D4D41" w:rsidTr="00321D81">
        <w:trPr>
          <w:trHeight w:val="270"/>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государственных казначейских обязательств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2022</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0,32</w:t>
            </w:r>
          </w:p>
        </w:tc>
      </w:tr>
      <w:tr w:rsidR="009D4D41" w:rsidRPr="009D4D41" w:rsidTr="00321D81">
        <w:trPr>
          <w:trHeight w:val="270"/>
          <w:jc w:val="center"/>
        </w:trPr>
        <w:tc>
          <w:tcPr>
            <w:tcW w:w="6934" w:type="dxa"/>
            <w:shd w:val="clear" w:color="000000" w:fill="auto"/>
            <w:noWrap/>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Выкуп государственных казначейских обязательств СССР</w:t>
            </w:r>
          </w:p>
        </w:tc>
        <w:tc>
          <w:tcPr>
            <w:tcW w:w="1276" w:type="dxa"/>
            <w:shd w:val="clear" w:color="000000" w:fill="auto"/>
            <w:vAlign w:val="center"/>
          </w:tcPr>
          <w:p w:rsidR="00DC2639" w:rsidRPr="009D4D41" w:rsidRDefault="00DC2639" w:rsidP="00321D81">
            <w:pPr>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2023</w:t>
            </w:r>
          </w:p>
        </w:tc>
        <w:tc>
          <w:tcPr>
            <w:tcW w:w="1417" w:type="dxa"/>
            <w:shd w:val="clear" w:color="000000" w:fill="auto"/>
            <w:vAlign w:val="center"/>
          </w:tcPr>
          <w:p w:rsidR="00DC2639" w:rsidRPr="009D4D41" w:rsidRDefault="00DC2639" w:rsidP="00321D81">
            <w:pPr>
              <w:widowControl w:val="0"/>
              <w:spacing w:after="0" w:line="240"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0,32</w:t>
            </w:r>
          </w:p>
        </w:tc>
      </w:tr>
    </w:tbl>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p>
    <w:p w:rsidR="00DC2639" w:rsidRPr="009D4D41" w:rsidRDefault="00DC2639" w:rsidP="00DC2639">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 xml:space="preserve">Таблица № </w:t>
      </w:r>
      <w:r w:rsidR="004C03C6" w:rsidRPr="009D4D41">
        <w:rPr>
          <w:rFonts w:ascii="Times New Roman" w:hAnsi="Times New Roman" w:cs="Times New Roman"/>
          <w:color w:val="000000" w:themeColor="text1"/>
          <w:sz w:val="24"/>
          <w:szCs w:val="28"/>
        </w:rPr>
        <w:t>10</w:t>
      </w:r>
    </w:p>
    <w:p w:rsidR="00DC2639" w:rsidRPr="009D4D41" w:rsidRDefault="00DC2639" w:rsidP="00DC2639">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Прогноз объема средств на осуществление компенсационных выплат по вкладам и выкупа </w:t>
      </w:r>
      <w:r w:rsidRPr="009D4D41">
        <w:rPr>
          <w:rFonts w:ascii="Times New Roman" w:eastAsia="Times New Roman" w:hAnsi="Times New Roman" w:cs="Times New Roman"/>
          <w:color w:val="000000" w:themeColor="text1"/>
          <w:sz w:val="24"/>
          <w:szCs w:val="24"/>
          <w:lang w:eastAsia="ru-RU"/>
        </w:rPr>
        <w:br/>
        <w:t>ценных бумаг СССР в ПАО Сбербанк в 2021 - 2023 годах</w:t>
      </w:r>
    </w:p>
    <w:p w:rsidR="00DC2639" w:rsidRPr="009D4D41" w:rsidRDefault="00DC2639" w:rsidP="00DC2639">
      <w:pPr>
        <w:widowControl w:val="0"/>
        <w:tabs>
          <w:tab w:val="left" w:pos="6240"/>
        </w:tabs>
        <w:spacing w:after="0" w:line="240" w:lineRule="auto"/>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 (млн. рублей)</w:t>
      </w: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06"/>
        <w:gridCol w:w="2706"/>
        <w:gridCol w:w="3567"/>
      </w:tblGrid>
      <w:tr w:rsidR="00C42DD3" w:rsidRPr="009D4D41" w:rsidTr="00321D81">
        <w:trPr>
          <w:jc w:val="center"/>
        </w:trPr>
        <w:tc>
          <w:tcPr>
            <w:tcW w:w="709" w:type="dxa"/>
            <w:shd w:val="clear" w:color="auto" w:fill="auto"/>
            <w:vAlign w:val="center"/>
          </w:tcPr>
          <w:p w:rsidR="00C42DD3" w:rsidRPr="00C42DD3" w:rsidRDefault="00C42DD3">
            <w:pPr>
              <w:spacing w:after="0" w:line="204"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Год</w:t>
            </w:r>
          </w:p>
        </w:tc>
        <w:tc>
          <w:tcPr>
            <w:tcW w:w="2706" w:type="dxa"/>
            <w:shd w:val="clear" w:color="auto" w:fill="auto"/>
            <w:vAlign w:val="center"/>
          </w:tcPr>
          <w:p w:rsidR="00C42DD3" w:rsidRPr="00C42DD3" w:rsidRDefault="00C42DD3" w:rsidP="00B84B59">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xml:space="preserve">Прогноз объема бюджетных ассигнований, необходимых для осуществления компенсационных выплат </w:t>
            </w:r>
            <w:r w:rsidRPr="00C42DD3">
              <w:rPr>
                <w:rFonts w:ascii="Times New Roman" w:eastAsia="Times New Roman" w:hAnsi="Times New Roman" w:cs="Times New Roman"/>
                <w:color w:val="000000" w:themeColor="text1"/>
                <w:sz w:val="18"/>
                <w:szCs w:val="18"/>
                <w:lang w:eastAsia="ru-RU"/>
              </w:rPr>
              <w:br/>
              <w:t>в 2021 - 2023 гг., представленный ПАО Сбербанк</w:t>
            </w:r>
          </w:p>
        </w:tc>
        <w:tc>
          <w:tcPr>
            <w:tcW w:w="2706" w:type="dxa"/>
            <w:shd w:val="clear" w:color="auto" w:fill="auto"/>
            <w:vAlign w:val="center"/>
          </w:tcPr>
          <w:p w:rsidR="00C42DD3" w:rsidRPr="00C42DD3" w:rsidRDefault="00C42DD3" w:rsidP="00B84B59">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xml:space="preserve">Объем бюджетных ассигнований, предусмотренный проектом федерального закона </w:t>
            </w:r>
            <w:r w:rsidRPr="00C42DD3">
              <w:rPr>
                <w:rFonts w:ascii="Times New Roman" w:eastAsia="Times New Roman" w:hAnsi="Times New Roman" w:cs="Times New Roman"/>
                <w:color w:val="000000" w:themeColor="text1"/>
                <w:sz w:val="18"/>
                <w:szCs w:val="18"/>
                <w:lang w:eastAsia="ru-RU"/>
              </w:rPr>
              <w:br/>
              <w:t>«О федеральном бюджете на 2021 год и на плановый период 2022 и 2023 годов»</w:t>
            </w:r>
          </w:p>
        </w:tc>
        <w:tc>
          <w:tcPr>
            <w:tcW w:w="3567" w:type="dxa"/>
            <w:shd w:val="clear" w:color="auto" w:fill="auto"/>
            <w:vAlign w:val="center"/>
          </w:tcPr>
          <w:p w:rsidR="00C42DD3" w:rsidRPr="00C42DD3" w:rsidRDefault="00C42DD3" w:rsidP="00B84B59">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xml:space="preserve">Отклонение прогнозных значений </w:t>
            </w:r>
            <w:r w:rsidRPr="00C42DD3">
              <w:rPr>
                <w:rFonts w:ascii="Times New Roman" w:eastAsia="Times New Roman" w:hAnsi="Times New Roman" w:cs="Times New Roman"/>
                <w:color w:val="000000" w:themeColor="text1"/>
                <w:sz w:val="18"/>
                <w:szCs w:val="18"/>
                <w:lang w:eastAsia="ru-RU"/>
              </w:rPr>
              <w:br/>
              <w:t xml:space="preserve">от предусмотренного проектом федерального закона «О федеральном бюджете на 2021 год и на плановый период 2022 и 2023 годов» объема бюджетных ассигнований </w:t>
            </w:r>
            <w:r w:rsidRPr="00C42DD3">
              <w:rPr>
                <w:rFonts w:ascii="Times New Roman" w:eastAsia="Times New Roman" w:hAnsi="Times New Roman" w:cs="Times New Roman"/>
                <w:color w:val="000000" w:themeColor="text1"/>
                <w:sz w:val="18"/>
                <w:szCs w:val="18"/>
                <w:lang w:eastAsia="ru-RU"/>
              </w:rPr>
              <w:br/>
              <w:t xml:space="preserve">в абсолютном значении (млн. рублей) / </w:t>
            </w:r>
            <w:r w:rsidRPr="00C42DD3">
              <w:rPr>
                <w:rFonts w:ascii="Times New Roman" w:eastAsia="Times New Roman" w:hAnsi="Times New Roman" w:cs="Times New Roman"/>
                <w:color w:val="000000" w:themeColor="text1"/>
                <w:sz w:val="18"/>
                <w:szCs w:val="18"/>
                <w:lang w:eastAsia="ru-RU"/>
              </w:rPr>
              <w:br/>
              <w:t>% от общего объема бюджетных ассигнований, предусмотренных на осуществление компенсационных выплат</w:t>
            </w:r>
          </w:p>
        </w:tc>
      </w:tr>
      <w:tr w:rsidR="00C42DD3" w:rsidRPr="009D4D41" w:rsidTr="00321D81">
        <w:trPr>
          <w:jc w:val="center"/>
        </w:trPr>
        <w:tc>
          <w:tcPr>
            <w:tcW w:w="709"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2021</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3 042,9</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5 000,0</w:t>
            </w:r>
          </w:p>
        </w:tc>
        <w:tc>
          <w:tcPr>
            <w:tcW w:w="3567"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1 957,1 / (-) 39,1</w:t>
            </w:r>
          </w:p>
        </w:tc>
      </w:tr>
      <w:tr w:rsidR="00C42DD3" w:rsidRPr="009D4D41" w:rsidTr="00321D81">
        <w:trPr>
          <w:jc w:val="center"/>
        </w:trPr>
        <w:tc>
          <w:tcPr>
            <w:tcW w:w="709"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2022</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2 836,9</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5 000,0</w:t>
            </w:r>
          </w:p>
        </w:tc>
        <w:tc>
          <w:tcPr>
            <w:tcW w:w="3567"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2 163,1 / (-) 43,3</w:t>
            </w:r>
          </w:p>
        </w:tc>
      </w:tr>
      <w:tr w:rsidR="00C42DD3" w:rsidRPr="009D4D41" w:rsidTr="00321D81">
        <w:trPr>
          <w:jc w:val="center"/>
        </w:trPr>
        <w:tc>
          <w:tcPr>
            <w:tcW w:w="709"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2023</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2 657,9</w:t>
            </w:r>
          </w:p>
        </w:tc>
        <w:tc>
          <w:tcPr>
            <w:tcW w:w="2706"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5 000,0</w:t>
            </w:r>
          </w:p>
        </w:tc>
        <w:tc>
          <w:tcPr>
            <w:tcW w:w="3567" w:type="dxa"/>
            <w:shd w:val="clear" w:color="auto" w:fill="auto"/>
            <w:vAlign w:val="center"/>
          </w:tcPr>
          <w:p w:rsidR="00C42DD3" w:rsidRPr="00C42DD3" w:rsidRDefault="00C42DD3">
            <w:pPr>
              <w:spacing w:after="0" w:line="240" w:lineRule="auto"/>
              <w:jc w:val="center"/>
              <w:rPr>
                <w:rFonts w:ascii="Times New Roman" w:eastAsia="Times New Roman" w:hAnsi="Times New Roman" w:cs="Times New Roman"/>
                <w:color w:val="000000" w:themeColor="text1"/>
                <w:sz w:val="18"/>
                <w:szCs w:val="18"/>
                <w:lang w:eastAsia="ru-RU"/>
              </w:rPr>
            </w:pPr>
            <w:r w:rsidRPr="00C42DD3">
              <w:rPr>
                <w:rFonts w:ascii="Times New Roman" w:eastAsia="Times New Roman" w:hAnsi="Times New Roman" w:cs="Times New Roman"/>
                <w:color w:val="000000" w:themeColor="text1"/>
                <w:sz w:val="18"/>
                <w:szCs w:val="18"/>
                <w:lang w:eastAsia="ru-RU"/>
              </w:rPr>
              <w:t>(-) 2 342,1 / (-) 46,8</w:t>
            </w:r>
          </w:p>
        </w:tc>
      </w:tr>
    </w:tbl>
    <w:p w:rsidR="003E0E2D" w:rsidRPr="009D4D41" w:rsidRDefault="003E0E2D" w:rsidP="00947CC8">
      <w:pPr>
        <w:widowControl w:val="0"/>
        <w:spacing w:after="0" w:line="240" w:lineRule="auto"/>
        <w:jc w:val="right"/>
        <w:rPr>
          <w:rFonts w:ascii="Times New Roman" w:hAnsi="Times New Roman"/>
          <w:color w:val="000000" w:themeColor="text1"/>
          <w:sz w:val="18"/>
        </w:rPr>
      </w:pPr>
    </w:p>
    <w:p w:rsidR="004C03C6" w:rsidRPr="009D4D41" w:rsidRDefault="004C03C6" w:rsidP="00947CC8">
      <w:pPr>
        <w:widowControl w:val="0"/>
        <w:spacing w:after="0" w:line="240" w:lineRule="auto"/>
        <w:jc w:val="right"/>
        <w:rPr>
          <w:rFonts w:ascii="Times New Roman" w:hAnsi="Times New Roman"/>
          <w:color w:val="000000" w:themeColor="text1"/>
          <w:sz w:val="18"/>
        </w:rPr>
      </w:pPr>
    </w:p>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11</w:t>
      </w:r>
    </w:p>
    <w:p w:rsidR="004C03C6" w:rsidRPr="009D4D41" w:rsidRDefault="004C03C6" w:rsidP="004C03C6">
      <w:pPr>
        <w:widowControl w:val="0"/>
        <w:spacing w:after="0" w:line="240" w:lineRule="auto"/>
        <w:ind w:firstLine="709"/>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Расчет компенсационных выплат на 2021-2023 гг. в разрезе категорий граждан</w:t>
      </w:r>
    </w:p>
    <w:tbl>
      <w:tblPr>
        <w:tblpPr w:leftFromText="180" w:rightFromText="180" w:bottomFromText="200" w:vertAnchor="text" w:tblpXSpec="center" w:tblpY="1"/>
        <w:tblOverlap w:val="never"/>
        <w:tblW w:w="9463" w:type="dxa"/>
        <w:tblLook w:val="04A0" w:firstRow="1" w:lastRow="0" w:firstColumn="1" w:lastColumn="0" w:noHBand="0" w:noVBand="1"/>
      </w:tblPr>
      <w:tblGrid>
        <w:gridCol w:w="713"/>
        <w:gridCol w:w="1534"/>
        <w:gridCol w:w="1406"/>
        <w:gridCol w:w="1238"/>
        <w:gridCol w:w="1406"/>
        <w:gridCol w:w="1238"/>
        <w:gridCol w:w="1928"/>
      </w:tblGrid>
      <w:tr w:rsidR="009D4D41" w:rsidRPr="009D4D41" w:rsidTr="00321D81">
        <w:trPr>
          <w:trHeight w:val="274"/>
        </w:trPr>
        <w:tc>
          <w:tcPr>
            <w:tcW w:w="713"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год</w:t>
            </w:r>
          </w:p>
        </w:tc>
        <w:tc>
          <w:tcPr>
            <w:tcW w:w="8750" w:type="dxa"/>
            <w:gridSpan w:val="6"/>
            <w:tcBorders>
              <w:top w:val="single" w:sz="4" w:space="0" w:color="auto"/>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Компенсационные выплаты (руб.)</w:t>
            </w:r>
          </w:p>
        </w:tc>
      </w:tr>
      <w:tr w:rsidR="009D4D41" w:rsidRPr="009D4D41" w:rsidTr="00321D81">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spacing w:after="0" w:line="240" w:lineRule="auto"/>
              <w:rPr>
                <w:rFonts w:ascii="Times New Roman" w:eastAsia="Times New Roman" w:hAnsi="Times New Roman" w:cs="Times New Roman"/>
                <w:color w:val="000000" w:themeColor="text1"/>
                <w:sz w:val="16"/>
                <w:szCs w:val="16"/>
                <w:lang w:eastAsia="ru-RU"/>
              </w:rPr>
            </w:pPr>
          </w:p>
        </w:tc>
        <w:tc>
          <w:tcPr>
            <w:tcW w:w="1534" w:type="dxa"/>
            <w:vMerge w:val="restart"/>
            <w:tcBorders>
              <w:top w:val="nil"/>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Всего</w:t>
            </w:r>
          </w:p>
        </w:tc>
        <w:tc>
          <w:tcPr>
            <w:tcW w:w="2644" w:type="dxa"/>
            <w:gridSpan w:val="2"/>
            <w:tcBorders>
              <w:top w:val="single" w:sz="4" w:space="0" w:color="auto"/>
              <w:left w:val="nil"/>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Владельцы взносов</w:t>
            </w:r>
          </w:p>
        </w:tc>
        <w:tc>
          <w:tcPr>
            <w:tcW w:w="2644" w:type="dxa"/>
            <w:gridSpan w:val="2"/>
            <w:tcBorders>
              <w:top w:val="single" w:sz="4" w:space="0" w:color="auto"/>
              <w:left w:val="nil"/>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Наследники</w:t>
            </w:r>
          </w:p>
        </w:tc>
        <w:tc>
          <w:tcPr>
            <w:tcW w:w="1928" w:type="dxa"/>
            <w:vMerge w:val="restart"/>
            <w:tcBorders>
              <w:top w:val="nil"/>
              <w:left w:val="single" w:sz="4" w:space="0" w:color="auto"/>
              <w:bottom w:val="single" w:sz="4" w:space="0" w:color="000000"/>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компенсация на оплату ритуальных услуг</w:t>
            </w:r>
          </w:p>
        </w:tc>
      </w:tr>
      <w:tr w:rsidR="009D4D41" w:rsidRPr="009D4D41" w:rsidTr="00321D81">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spacing w:after="0" w:line="240" w:lineRule="auto"/>
              <w:rPr>
                <w:rFonts w:ascii="Times New Roman" w:eastAsia="Times New Roman" w:hAnsi="Times New Roman" w:cs="Times New Roman"/>
                <w:color w:val="000000" w:themeColor="text1"/>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4C03C6" w:rsidRPr="009D4D41" w:rsidRDefault="004C03C6" w:rsidP="00321D81">
            <w:pPr>
              <w:spacing w:after="0" w:line="240" w:lineRule="auto"/>
              <w:rPr>
                <w:rFonts w:ascii="Times New Roman" w:eastAsia="Times New Roman" w:hAnsi="Times New Roman" w:cs="Times New Roman"/>
                <w:color w:val="000000" w:themeColor="text1"/>
                <w:sz w:val="16"/>
                <w:szCs w:val="16"/>
                <w:lang w:eastAsia="ru-RU"/>
              </w:rPr>
            </w:pP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1946-1991 г.р.</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по 1945 г.р.</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1946-1991 г.р.</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по 1945 г.р.</w:t>
            </w:r>
          </w:p>
        </w:tc>
        <w:tc>
          <w:tcPr>
            <w:tcW w:w="0" w:type="auto"/>
            <w:vMerge/>
            <w:tcBorders>
              <w:top w:val="nil"/>
              <w:left w:val="single" w:sz="4" w:space="0" w:color="auto"/>
              <w:bottom w:val="single" w:sz="4" w:space="0" w:color="000000"/>
              <w:right w:val="single" w:sz="4" w:space="0" w:color="auto"/>
            </w:tcBorders>
            <w:vAlign w:val="center"/>
            <w:hideMark/>
          </w:tcPr>
          <w:p w:rsidR="004C03C6" w:rsidRPr="009D4D41" w:rsidRDefault="004C03C6" w:rsidP="00321D81">
            <w:pPr>
              <w:spacing w:after="0" w:line="240" w:lineRule="auto"/>
              <w:rPr>
                <w:rFonts w:ascii="Times New Roman" w:eastAsia="Times New Roman" w:hAnsi="Times New Roman" w:cs="Times New Roman"/>
                <w:color w:val="000000" w:themeColor="text1"/>
                <w:sz w:val="16"/>
                <w:szCs w:val="16"/>
                <w:lang w:eastAsia="ru-RU"/>
              </w:rPr>
            </w:pPr>
          </w:p>
        </w:tc>
      </w:tr>
      <w:tr w:rsidR="009D4D41" w:rsidRPr="009D4D41" w:rsidTr="00321D81">
        <w:trPr>
          <w:trHeight w:val="375"/>
        </w:trPr>
        <w:tc>
          <w:tcPr>
            <w:tcW w:w="713" w:type="dxa"/>
            <w:tcBorders>
              <w:top w:val="nil"/>
              <w:left w:val="single" w:sz="4" w:space="0" w:color="auto"/>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2021</w:t>
            </w:r>
          </w:p>
        </w:tc>
        <w:tc>
          <w:tcPr>
            <w:tcW w:w="1534"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51 000 000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7 000 000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6 000 000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1 000 000</w:t>
            </w:r>
          </w:p>
        </w:tc>
        <w:tc>
          <w:tcPr>
            <w:tcW w:w="192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35 000 000</w:t>
            </w:r>
          </w:p>
        </w:tc>
      </w:tr>
      <w:tr w:rsidR="009D4D41" w:rsidRPr="009D4D41" w:rsidTr="00321D81">
        <w:trPr>
          <w:trHeight w:val="375"/>
        </w:trPr>
        <w:tc>
          <w:tcPr>
            <w:tcW w:w="713" w:type="dxa"/>
            <w:tcBorders>
              <w:top w:val="nil"/>
              <w:left w:val="single" w:sz="4" w:space="0" w:color="auto"/>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2022</w:t>
            </w:r>
          </w:p>
        </w:tc>
        <w:tc>
          <w:tcPr>
            <w:tcW w:w="1534"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47 000 000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5 500 000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6 500 000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1 000 000</w:t>
            </w:r>
          </w:p>
        </w:tc>
        <w:tc>
          <w:tcPr>
            <w:tcW w:w="192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40 000 000</w:t>
            </w:r>
          </w:p>
        </w:tc>
      </w:tr>
      <w:tr w:rsidR="009D4D41" w:rsidRPr="009D4D41" w:rsidTr="00321D81">
        <w:trPr>
          <w:trHeight w:val="345"/>
        </w:trPr>
        <w:tc>
          <w:tcPr>
            <w:tcW w:w="713" w:type="dxa"/>
            <w:tcBorders>
              <w:top w:val="nil"/>
              <w:left w:val="single" w:sz="4" w:space="0" w:color="auto"/>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2023</w:t>
            </w:r>
          </w:p>
        </w:tc>
        <w:tc>
          <w:tcPr>
            <w:tcW w:w="1534"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46 000 000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5 000 000</w:t>
            </w:r>
          </w:p>
        </w:tc>
        <w:tc>
          <w:tcPr>
            <w:tcW w:w="1406"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6 000 000</w:t>
            </w:r>
          </w:p>
        </w:tc>
        <w:tc>
          <w:tcPr>
            <w:tcW w:w="123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1 000 000</w:t>
            </w:r>
          </w:p>
        </w:tc>
        <w:tc>
          <w:tcPr>
            <w:tcW w:w="1928" w:type="dxa"/>
            <w:tcBorders>
              <w:top w:val="nil"/>
              <w:left w:val="nil"/>
              <w:bottom w:val="single" w:sz="4" w:space="0" w:color="auto"/>
              <w:right w:val="single" w:sz="4" w:space="0" w:color="auto"/>
            </w:tcBorders>
            <w:shd w:val="clear" w:color="auto" w:fill="FFFFFF"/>
            <w:noWrap/>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42 000 000</w:t>
            </w:r>
          </w:p>
        </w:tc>
      </w:tr>
    </w:tbl>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p>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p>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p>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p>
    <w:p w:rsidR="004C03C6" w:rsidRPr="009D4D41" w:rsidRDefault="004C03C6" w:rsidP="004C03C6">
      <w:pPr>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br w:type="page"/>
      </w:r>
    </w:p>
    <w:p w:rsidR="004C03C6" w:rsidRPr="009D4D41" w:rsidRDefault="004C03C6" w:rsidP="004C03C6">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lastRenderedPageBreak/>
        <w:t>Таблица № 12</w:t>
      </w:r>
    </w:p>
    <w:p w:rsidR="004C03C6" w:rsidRPr="009D4D41" w:rsidRDefault="004C03C6" w:rsidP="004C03C6">
      <w:pPr>
        <w:widowControl w:val="0"/>
        <w:spacing w:after="0" w:line="240" w:lineRule="auto"/>
        <w:ind w:firstLine="709"/>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Ожидаемые расходы по компенсационным выплатам за 2021-2023 гг. </w:t>
      </w:r>
    </w:p>
    <w:p w:rsidR="004C03C6" w:rsidRPr="009D4D41" w:rsidRDefault="004C03C6" w:rsidP="004C03C6">
      <w:pPr>
        <w:widowControl w:val="0"/>
        <w:tabs>
          <w:tab w:val="left" w:pos="6240"/>
        </w:tabs>
        <w:spacing w:after="0" w:line="240" w:lineRule="auto"/>
        <w:jc w:val="right"/>
        <w:rPr>
          <w:rFonts w:ascii="Times New Roman" w:eastAsia="Times New Roman" w:hAnsi="Times New Roman" w:cs="Times New Roman"/>
          <w:i/>
          <w:color w:val="000000" w:themeColor="text1"/>
          <w:sz w:val="28"/>
          <w:szCs w:val="28"/>
          <w:lang w:eastAsia="ru-RU" w:bidi="ru-RU"/>
        </w:rPr>
      </w:pPr>
      <w:r w:rsidRPr="009D4D41">
        <w:rPr>
          <w:rFonts w:ascii="Times New Roman" w:hAnsi="Times New Roman" w:cs="Times New Roman"/>
          <w:color w:val="000000" w:themeColor="text1"/>
          <w:sz w:val="20"/>
          <w:szCs w:val="20"/>
        </w:rPr>
        <w:t>(тыс. рублей)</w:t>
      </w:r>
    </w:p>
    <w:tbl>
      <w:tblPr>
        <w:tblpPr w:leftFromText="180" w:rightFromText="180" w:bottomFromText="20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134"/>
        <w:gridCol w:w="1275"/>
        <w:gridCol w:w="1434"/>
      </w:tblGrid>
      <w:tr w:rsidR="009D4D41" w:rsidRPr="009D4D41" w:rsidTr="00321D81">
        <w:trPr>
          <w:trHeight w:val="273"/>
          <w:tblHeader/>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2021 год</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2022 год</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2023 год</w:t>
            </w:r>
          </w:p>
        </w:tc>
      </w:tr>
      <w:tr w:rsidR="009D4D41" w:rsidRPr="009D4D41" w:rsidTr="00321D81">
        <w:trPr>
          <w:trHeight w:val="219"/>
          <w:tblHeader/>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САЛЬДО (Доходы минус расходы)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- 3 652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- 3 652</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-3 652</w:t>
            </w:r>
          </w:p>
        </w:tc>
      </w:tr>
      <w:tr w:rsidR="009D4D41" w:rsidRPr="009D4D41" w:rsidTr="00321D81">
        <w:trPr>
          <w:trHeight w:val="279"/>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Ожидаемый объем компенсационных выплат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100 000</w:t>
            </w:r>
          </w:p>
        </w:tc>
      </w:tr>
      <w:tr w:rsidR="009D4D41" w:rsidRPr="009D4D41" w:rsidTr="00321D81">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 xml:space="preserve">Доходы (до вычета НДС) </w:t>
            </w:r>
            <w:r w:rsidRPr="009D4D41">
              <w:rPr>
                <w:rFonts w:ascii="Times New Roman" w:eastAsia="Times New Roman" w:hAnsi="Times New Roman" w:cs="Times New Roman"/>
                <w:color w:val="000000" w:themeColor="text1"/>
                <w:sz w:val="16"/>
                <w:szCs w:val="16"/>
                <w:lang w:eastAsia="ru-RU"/>
              </w:rPr>
              <w:t>от оказания услуг по осуществлению компенсационных выплат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10 000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10 000</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10 000</w:t>
            </w:r>
          </w:p>
        </w:tc>
      </w:tr>
      <w:tr w:rsidR="009D4D41" w:rsidRPr="009D4D41" w:rsidTr="00321D81">
        <w:trPr>
          <w:trHeight w:val="267"/>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b/>
                <w:bCs/>
                <w:color w:val="000000" w:themeColor="text1"/>
                <w:sz w:val="16"/>
                <w:szCs w:val="16"/>
                <w:lang w:eastAsia="ru-RU"/>
              </w:rPr>
            </w:pPr>
            <w:r w:rsidRPr="009D4D41">
              <w:rPr>
                <w:rFonts w:ascii="Times New Roman" w:eastAsia="Times New Roman" w:hAnsi="Times New Roman" w:cs="Times New Roman"/>
                <w:b/>
                <w:bCs/>
                <w:color w:val="000000" w:themeColor="text1"/>
                <w:sz w:val="16"/>
                <w:szCs w:val="16"/>
                <w:lang w:eastAsia="ru-RU"/>
              </w:rPr>
              <w:t>Расходы (всего), в т.ч.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13 652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13 652</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b/>
                <w:color w:val="000000" w:themeColor="text1"/>
                <w:sz w:val="16"/>
                <w:szCs w:val="16"/>
                <w:lang w:eastAsia="ru-RU"/>
              </w:rPr>
            </w:pPr>
            <w:r w:rsidRPr="009D4D41">
              <w:rPr>
                <w:rFonts w:ascii="Times New Roman" w:eastAsia="Times New Roman" w:hAnsi="Times New Roman" w:cs="Times New Roman"/>
                <w:b/>
                <w:color w:val="000000" w:themeColor="text1"/>
                <w:sz w:val="16"/>
                <w:szCs w:val="16"/>
                <w:lang w:eastAsia="ru-RU"/>
              </w:rPr>
              <w:t>13 652</w:t>
            </w:r>
          </w:p>
        </w:tc>
      </w:tr>
      <w:tr w:rsidR="009D4D41" w:rsidRPr="009D4D41" w:rsidTr="00321D81">
        <w:trPr>
          <w:trHeight w:val="462"/>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Расходы на персонал (оплата труда, отчисления во внебюджетные фонды, страхование сотрудников, подбор персонала, и др.)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7 125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7 125</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7 125</w:t>
            </w:r>
          </w:p>
        </w:tc>
      </w:tr>
      <w:tr w:rsidR="009D4D41" w:rsidRPr="009D4D41" w:rsidTr="00321D81">
        <w:trPr>
          <w:trHeight w:val="267"/>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Расходы на содержание недвижимого имущества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3 706</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3 706</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3 706</w:t>
            </w:r>
          </w:p>
        </w:tc>
      </w:tr>
      <w:tr w:rsidR="009D4D41" w:rsidRPr="009D4D41" w:rsidTr="00321D81">
        <w:trPr>
          <w:trHeight w:val="333"/>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Административно-хозяйственные расходы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1 024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6"/>
                <w:szCs w:val="16"/>
                <w:lang w:eastAsia="ru-RU"/>
              </w:rPr>
              <w:t>1 024</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6"/>
                <w:szCs w:val="16"/>
                <w:lang w:eastAsia="ru-RU"/>
              </w:rPr>
              <w:t>1 024</w:t>
            </w:r>
          </w:p>
        </w:tc>
      </w:tr>
      <w:tr w:rsidR="009D4D41" w:rsidRPr="009D4D41" w:rsidTr="00321D81">
        <w:trPr>
          <w:trHeight w:val="281"/>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Расходы на IT и связь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130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130</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130</w:t>
            </w:r>
          </w:p>
        </w:tc>
      </w:tr>
      <w:tr w:rsidR="009D4D41" w:rsidRPr="009D4D41" w:rsidTr="00321D81">
        <w:trPr>
          <w:trHeight w:val="300"/>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03C6" w:rsidRPr="009D4D41" w:rsidRDefault="004C03C6"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Текущие финансовые расходы (НДС)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1 667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1 667</w:t>
            </w:r>
          </w:p>
        </w:tc>
        <w:tc>
          <w:tcPr>
            <w:tcW w:w="1434" w:type="dxa"/>
            <w:tcBorders>
              <w:top w:val="single" w:sz="4" w:space="0" w:color="auto"/>
              <w:left w:val="single" w:sz="4" w:space="0" w:color="auto"/>
              <w:bottom w:val="single" w:sz="4" w:space="0" w:color="auto"/>
              <w:right w:val="single" w:sz="4" w:space="0" w:color="auto"/>
            </w:tcBorders>
            <w:vAlign w:val="center"/>
            <w:hideMark/>
          </w:tcPr>
          <w:p w:rsidR="004C03C6" w:rsidRPr="009D4D41" w:rsidRDefault="004C03C6" w:rsidP="00321D81">
            <w:pPr>
              <w:widowControl w:val="0"/>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1 667</w:t>
            </w:r>
          </w:p>
        </w:tc>
      </w:tr>
    </w:tbl>
    <w:p w:rsidR="004C4092" w:rsidRPr="009D4D41" w:rsidRDefault="004C4092" w:rsidP="004C4092">
      <w:pPr>
        <w:widowControl w:val="0"/>
        <w:spacing w:after="0" w:line="240" w:lineRule="auto"/>
        <w:ind w:firstLine="709"/>
        <w:jc w:val="right"/>
        <w:rPr>
          <w:rFonts w:ascii="Times New Roman" w:hAnsi="Times New Roman" w:cs="Times New Roman"/>
          <w:color w:val="000000" w:themeColor="text1"/>
          <w:sz w:val="24"/>
          <w:szCs w:val="28"/>
        </w:rPr>
      </w:pPr>
    </w:p>
    <w:p w:rsidR="004C4092" w:rsidRPr="009D4D41" w:rsidRDefault="004C4092" w:rsidP="004C4092">
      <w:pPr>
        <w:widowControl w:val="0"/>
        <w:spacing w:after="0" w:line="240" w:lineRule="auto"/>
        <w:ind w:firstLine="709"/>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13</w:t>
      </w:r>
    </w:p>
    <w:p w:rsidR="004C4092" w:rsidRPr="009D4D41" w:rsidRDefault="004C4092" w:rsidP="004C4092">
      <w:pPr>
        <w:widowControl w:val="0"/>
        <w:spacing w:after="0" w:line="240" w:lineRule="auto"/>
        <w:ind w:firstLine="709"/>
        <w:jc w:val="right"/>
        <w:rPr>
          <w:rFonts w:ascii="Times New Roman" w:eastAsia="Times New Roman" w:hAnsi="Times New Roman" w:cs="Times New Roman"/>
          <w:i/>
          <w:color w:val="000000" w:themeColor="text1"/>
          <w:sz w:val="20"/>
          <w:szCs w:val="20"/>
          <w:lang w:eastAsia="ru-RU" w:bidi="ru-RU"/>
        </w:rPr>
      </w:pPr>
      <w:r w:rsidRPr="009D4D41">
        <w:rPr>
          <w:rFonts w:ascii="Times New Roman" w:eastAsia="Times New Roman" w:hAnsi="Times New Roman" w:cs="Times New Roman"/>
          <w:i/>
          <w:color w:val="000000" w:themeColor="text1"/>
          <w:sz w:val="20"/>
          <w:szCs w:val="20"/>
          <w:lang w:eastAsia="ru-RU" w:bidi="ru-RU"/>
        </w:rPr>
        <w:t>(млн. рублей)</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2781"/>
        <w:gridCol w:w="3311"/>
      </w:tblGrid>
      <w:tr w:rsidR="009D4D41" w:rsidRPr="009D4D41" w:rsidTr="00321D81">
        <w:trPr>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Год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Прогноз объема бюджетных ассигнований, необходимых для осуществления компенсационных выплат в 2021 - 2023 гг., представленный ПАО СК «Росгосстрах»</w:t>
            </w:r>
          </w:p>
        </w:tc>
        <w:tc>
          <w:tcPr>
            <w:tcW w:w="2781"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Объем бюджетных ассигнований, предусмотренный проектом федерального закона «О федеральном бюджете на 2021 год и на плановый период 2022 и 2023 годов»</w:t>
            </w:r>
          </w:p>
        </w:tc>
        <w:tc>
          <w:tcPr>
            <w:tcW w:w="3311"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 xml:space="preserve">Отклонение прогнозных значений </w:t>
            </w:r>
            <w:r w:rsidRPr="009D4D41">
              <w:rPr>
                <w:rFonts w:ascii="Times New Roman" w:eastAsia="Times New Roman" w:hAnsi="Times New Roman" w:cs="Times New Roman"/>
                <w:color w:val="000000" w:themeColor="text1"/>
                <w:sz w:val="18"/>
                <w:szCs w:val="18"/>
                <w:lang w:eastAsia="ru-RU"/>
              </w:rPr>
              <w:br/>
              <w:t xml:space="preserve">от предусмотренного проектом федерального закона «О федеральном бюджете на 2021 год и на плановый период 2022 и 2023 годов» объема бюджетных ассигнований </w:t>
            </w:r>
            <w:r w:rsidRPr="009D4D41">
              <w:rPr>
                <w:rFonts w:ascii="Times New Roman" w:eastAsia="Times New Roman" w:hAnsi="Times New Roman" w:cs="Times New Roman"/>
                <w:color w:val="000000" w:themeColor="text1"/>
                <w:sz w:val="18"/>
                <w:szCs w:val="18"/>
                <w:lang w:eastAsia="ru-RU"/>
              </w:rPr>
              <w:br/>
              <w:t>в абсолютном значении (млн. рублей) /</w:t>
            </w:r>
            <w:r w:rsidRPr="009D4D41">
              <w:rPr>
                <w:rFonts w:ascii="Times New Roman" w:eastAsia="Times New Roman" w:hAnsi="Times New Roman" w:cs="Times New Roman"/>
                <w:color w:val="000000" w:themeColor="text1"/>
                <w:sz w:val="18"/>
                <w:szCs w:val="18"/>
                <w:lang w:eastAsia="ru-RU"/>
              </w:rPr>
              <w:br/>
              <w:t>% от общего объема бюджетных ассигнований, предусмотренных на осуществление компенсационных выплат</w:t>
            </w:r>
          </w:p>
        </w:tc>
      </w:tr>
      <w:tr w:rsidR="009D4D41" w:rsidRPr="009D4D41" w:rsidTr="00321D81">
        <w:trPr>
          <w:jc w:val="center"/>
        </w:trPr>
        <w:tc>
          <w:tcPr>
            <w:tcW w:w="1242"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val="en-US" w:eastAsia="ru-RU"/>
              </w:rPr>
            </w:pPr>
            <w:r w:rsidRPr="009D4D41">
              <w:rPr>
                <w:rFonts w:ascii="Times New Roman" w:eastAsia="Times New Roman" w:hAnsi="Times New Roman" w:cs="Times New Roman"/>
                <w:color w:val="000000" w:themeColor="text1"/>
                <w:sz w:val="18"/>
                <w:szCs w:val="18"/>
                <w:lang w:eastAsia="ru-RU"/>
              </w:rPr>
              <w:t>202</w:t>
            </w:r>
            <w:r w:rsidRPr="009D4D41">
              <w:rPr>
                <w:rFonts w:ascii="Times New Roman" w:eastAsia="Times New Roman" w:hAnsi="Times New Roman" w:cs="Times New Roman"/>
                <w:color w:val="000000" w:themeColor="text1"/>
                <w:sz w:val="18"/>
                <w:szCs w:val="18"/>
                <w:lang w:val="en-US" w:eastAsia="ru-RU"/>
              </w:rPr>
              <w:t>1</w:t>
            </w:r>
          </w:p>
        </w:tc>
        <w:tc>
          <w:tcPr>
            <w:tcW w:w="2694"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val="en-US" w:eastAsia="ru-RU"/>
              </w:rPr>
              <w:t>1</w:t>
            </w:r>
            <w:r w:rsidRPr="009D4D41">
              <w:rPr>
                <w:rFonts w:ascii="Times New Roman" w:eastAsia="Times New Roman" w:hAnsi="Times New Roman" w:cs="Times New Roman"/>
                <w:color w:val="000000" w:themeColor="text1"/>
                <w:sz w:val="18"/>
                <w:szCs w:val="18"/>
                <w:lang w:eastAsia="ru-RU"/>
              </w:rPr>
              <w:t>00,0</w:t>
            </w:r>
          </w:p>
        </w:tc>
        <w:tc>
          <w:tcPr>
            <w:tcW w:w="2781"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500,0</w:t>
            </w:r>
          </w:p>
        </w:tc>
        <w:tc>
          <w:tcPr>
            <w:tcW w:w="3311" w:type="dxa"/>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 xml:space="preserve">(-) </w:t>
            </w:r>
            <w:r w:rsidRPr="009D4D41">
              <w:rPr>
                <w:rFonts w:ascii="Times New Roman" w:eastAsia="Times New Roman" w:hAnsi="Times New Roman" w:cs="Times New Roman"/>
                <w:color w:val="000000" w:themeColor="text1"/>
                <w:sz w:val="18"/>
                <w:szCs w:val="18"/>
                <w:lang w:val="en-US" w:eastAsia="ru-RU"/>
              </w:rPr>
              <w:t>4</w:t>
            </w:r>
            <w:r w:rsidRPr="009D4D41">
              <w:rPr>
                <w:rFonts w:ascii="Times New Roman" w:eastAsia="Times New Roman" w:hAnsi="Times New Roman" w:cs="Times New Roman"/>
                <w:color w:val="000000" w:themeColor="text1"/>
                <w:sz w:val="18"/>
                <w:szCs w:val="18"/>
                <w:lang w:eastAsia="ru-RU"/>
              </w:rPr>
              <w:t>00,0 / (-) 80,0</w:t>
            </w:r>
          </w:p>
        </w:tc>
      </w:tr>
      <w:tr w:rsidR="009D4D41" w:rsidRPr="009D4D41" w:rsidTr="00321D81">
        <w:trPr>
          <w:jc w:val="center"/>
        </w:trPr>
        <w:tc>
          <w:tcPr>
            <w:tcW w:w="1242"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val="en-US" w:eastAsia="ru-RU"/>
              </w:rPr>
            </w:pPr>
            <w:r w:rsidRPr="009D4D41">
              <w:rPr>
                <w:rFonts w:ascii="Times New Roman" w:eastAsia="Times New Roman" w:hAnsi="Times New Roman" w:cs="Times New Roman"/>
                <w:color w:val="000000" w:themeColor="text1"/>
                <w:sz w:val="18"/>
                <w:szCs w:val="18"/>
                <w:lang w:eastAsia="ru-RU"/>
              </w:rPr>
              <w:t>202</w:t>
            </w:r>
            <w:r w:rsidRPr="009D4D41">
              <w:rPr>
                <w:rFonts w:ascii="Times New Roman" w:eastAsia="Times New Roman" w:hAnsi="Times New Roman" w:cs="Times New Roman"/>
                <w:color w:val="000000" w:themeColor="text1"/>
                <w:sz w:val="18"/>
                <w:szCs w:val="18"/>
                <w:lang w:val="en-US" w:eastAsia="ru-RU"/>
              </w:rPr>
              <w:t>2</w:t>
            </w:r>
          </w:p>
        </w:tc>
        <w:tc>
          <w:tcPr>
            <w:tcW w:w="2694"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val="en-US" w:eastAsia="ru-RU"/>
              </w:rPr>
              <w:t>1</w:t>
            </w:r>
            <w:r w:rsidRPr="009D4D41">
              <w:rPr>
                <w:rFonts w:ascii="Times New Roman" w:eastAsia="Times New Roman" w:hAnsi="Times New Roman" w:cs="Times New Roman"/>
                <w:color w:val="000000" w:themeColor="text1"/>
                <w:sz w:val="18"/>
                <w:szCs w:val="18"/>
                <w:lang w:eastAsia="ru-RU"/>
              </w:rPr>
              <w:t>00,0</w:t>
            </w:r>
          </w:p>
        </w:tc>
        <w:tc>
          <w:tcPr>
            <w:tcW w:w="2781"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eastAsia="ru-RU"/>
              </w:rPr>
              <w:t>500,0</w:t>
            </w:r>
          </w:p>
        </w:tc>
        <w:tc>
          <w:tcPr>
            <w:tcW w:w="3311"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eastAsia="ru-RU"/>
              </w:rPr>
              <w:t xml:space="preserve">(-) </w:t>
            </w:r>
            <w:r w:rsidRPr="009D4D41">
              <w:rPr>
                <w:rFonts w:ascii="Times New Roman" w:eastAsia="Times New Roman" w:hAnsi="Times New Roman" w:cs="Times New Roman"/>
                <w:color w:val="000000" w:themeColor="text1"/>
                <w:sz w:val="18"/>
                <w:szCs w:val="18"/>
                <w:lang w:val="en-US" w:eastAsia="ru-RU"/>
              </w:rPr>
              <w:t>4</w:t>
            </w:r>
            <w:r w:rsidRPr="009D4D41">
              <w:rPr>
                <w:rFonts w:ascii="Times New Roman" w:eastAsia="Times New Roman" w:hAnsi="Times New Roman" w:cs="Times New Roman"/>
                <w:color w:val="000000" w:themeColor="text1"/>
                <w:sz w:val="18"/>
                <w:szCs w:val="18"/>
                <w:lang w:eastAsia="ru-RU"/>
              </w:rPr>
              <w:t>00,0 / (-) 80,0</w:t>
            </w:r>
          </w:p>
        </w:tc>
      </w:tr>
      <w:tr w:rsidR="004C4092" w:rsidRPr="009D4D41" w:rsidTr="00321D81">
        <w:trPr>
          <w:jc w:val="center"/>
        </w:trPr>
        <w:tc>
          <w:tcPr>
            <w:tcW w:w="1242"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8"/>
                <w:szCs w:val="18"/>
                <w:lang w:val="en-US" w:eastAsia="ru-RU"/>
              </w:rPr>
            </w:pPr>
            <w:r w:rsidRPr="009D4D41">
              <w:rPr>
                <w:rFonts w:ascii="Times New Roman" w:eastAsia="Times New Roman" w:hAnsi="Times New Roman" w:cs="Times New Roman"/>
                <w:color w:val="000000" w:themeColor="text1"/>
                <w:sz w:val="18"/>
                <w:szCs w:val="18"/>
                <w:lang w:eastAsia="ru-RU"/>
              </w:rPr>
              <w:t>202</w:t>
            </w:r>
            <w:r w:rsidRPr="009D4D41">
              <w:rPr>
                <w:rFonts w:ascii="Times New Roman" w:eastAsia="Times New Roman" w:hAnsi="Times New Roman" w:cs="Times New Roman"/>
                <w:color w:val="000000" w:themeColor="text1"/>
                <w:sz w:val="18"/>
                <w:szCs w:val="18"/>
                <w:lang w:val="en-US" w:eastAsia="ru-RU"/>
              </w:rPr>
              <w:t>3</w:t>
            </w:r>
          </w:p>
        </w:tc>
        <w:tc>
          <w:tcPr>
            <w:tcW w:w="2694"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val="en-US" w:eastAsia="ru-RU"/>
              </w:rPr>
              <w:t>1</w:t>
            </w:r>
            <w:r w:rsidRPr="009D4D41">
              <w:rPr>
                <w:rFonts w:ascii="Times New Roman" w:eastAsia="Times New Roman" w:hAnsi="Times New Roman" w:cs="Times New Roman"/>
                <w:color w:val="000000" w:themeColor="text1"/>
                <w:sz w:val="18"/>
                <w:szCs w:val="18"/>
                <w:lang w:eastAsia="ru-RU"/>
              </w:rPr>
              <w:t>00,0</w:t>
            </w:r>
          </w:p>
        </w:tc>
        <w:tc>
          <w:tcPr>
            <w:tcW w:w="2781"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eastAsia="ru-RU"/>
              </w:rPr>
              <w:t>500,0</w:t>
            </w:r>
          </w:p>
        </w:tc>
        <w:tc>
          <w:tcPr>
            <w:tcW w:w="3311" w:type="dxa"/>
            <w:tcBorders>
              <w:top w:val="single" w:sz="4" w:space="0" w:color="auto"/>
              <w:left w:val="single" w:sz="4" w:space="0" w:color="auto"/>
              <w:bottom w:val="single" w:sz="4" w:space="0" w:color="auto"/>
              <w:right w:val="single" w:sz="4" w:space="0" w:color="auto"/>
            </w:tcBorders>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18"/>
                <w:szCs w:val="18"/>
                <w:lang w:eastAsia="ru-RU"/>
              </w:rPr>
              <w:t xml:space="preserve">(-) </w:t>
            </w:r>
            <w:r w:rsidRPr="009D4D41">
              <w:rPr>
                <w:rFonts w:ascii="Times New Roman" w:eastAsia="Times New Roman" w:hAnsi="Times New Roman" w:cs="Times New Roman"/>
                <w:color w:val="000000" w:themeColor="text1"/>
                <w:sz w:val="18"/>
                <w:szCs w:val="18"/>
                <w:lang w:val="en-US" w:eastAsia="ru-RU"/>
              </w:rPr>
              <w:t>4</w:t>
            </w:r>
            <w:r w:rsidRPr="009D4D41">
              <w:rPr>
                <w:rFonts w:ascii="Times New Roman" w:eastAsia="Times New Roman" w:hAnsi="Times New Roman" w:cs="Times New Roman"/>
                <w:color w:val="000000" w:themeColor="text1"/>
                <w:sz w:val="18"/>
                <w:szCs w:val="18"/>
                <w:lang w:eastAsia="ru-RU"/>
              </w:rPr>
              <w:t>00,0 / (-) 80,0</w:t>
            </w:r>
          </w:p>
        </w:tc>
      </w:tr>
    </w:tbl>
    <w:p w:rsidR="004C03C6" w:rsidRPr="009D4D41" w:rsidRDefault="004C03C6" w:rsidP="00947CC8">
      <w:pPr>
        <w:widowControl w:val="0"/>
        <w:spacing w:after="0" w:line="240" w:lineRule="auto"/>
        <w:jc w:val="right"/>
        <w:rPr>
          <w:rFonts w:ascii="Times New Roman" w:hAnsi="Times New Roman"/>
          <w:color w:val="000000" w:themeColor="text1"/>
          <w:sz w:val="18"/>
        </w:rPr>
      </w:pPr>
    </w:p>
    <w:p w:rsidR="004C03C6" w:rsidRPr="009D4D41" w:rsidRDefault="004C03C6" w:rsidP="00947CC8">
      <w:pPr>
        <w:widowControl w:val="0"/>
        <w:spacing w:after="0" w:line="240" w:lineRule="auto"/>
        <w:jc w:val="right"/>
        <w:rPr>
          <w:rFonts w:ascii="Times New Roman" w:hAnsi="Times New Roman"/>
          <w:color w:val="000000" w:themeColor="text1"/>
          <w:sz w:val="18"/>
        </w:rPr>
      </w:pPr>
    </w:p>
    <w:p w:rsidR="004C4092" w:rsidRPr="009D4D41" w:rsidRDefault="004C4092" w:rsidP="004C4092">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t>Таблица № 14</w:t>
      </w:r>
    </w:p>
    <w:p w:rsidR="004C4092" w:rsidRPr="009D4D41" w:rsidRDefault="004C4092" w:rsidP="004C4092">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Прогноз ПАО СК «Росгосстрах» объема средств на осуществление компенсационных выплат по вкладам (взносам) в организациях государственного страхования </w:t>
      </w:r>
    </w:p>
    <w:p w:rsidR="004C4092" w:rsidRPr="009D4D41" w:rsidRDefault="004C4092" w:rsidP="004C4092">
      <w:pPr>
        <w:widowControl w:val="0"/>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на 2021-2023 годы в разрезе категорий граждан </w:t>
      </w:r>
    </w:p>
    <w:p w:rsidR="004C4092" w:rsidRPr="009D4D41" w:rsidRDefault="004C4092" w:rsidP="004C4092">
      <w:pPr>
        <w:pStyle w:val="af"/>
        <w:jc w:val="right"/>
        <w:rPr>
          <w:color w:val="000000" w:themeColor="text1"/>
          <w:sz w:val="18"/>
        </w:rPr>
      </w:pPr>
      <w:r w:rsidRPr="009D4D41">
        <w:rPr>
          <w:color w:val="000000" w:themeColor="text1"/>
          <w:sz w:val="18"/>
        </w:rPr>
        <w:t>(млн. рублей)</w:t>
      </w:r>
    </w:p>
    <w:tbl>
      <w:tblPr>
        <w:tblpPr w:leftFromText="180" w:rightFromText="180" w:vertAnchor="text" w:tblpXSpec="center" w:tblpY="1"/>
        <w:tblOverlap w:val="never"/>
        <w:tblW w:w="9606" w:type="dxa"/>
        <w:tblLook w:val="04A0" w:firstRow="1" w:lastRow="0" w:firstColumn="1" w:lastColumn="0" w:noHBand="0" w:noVBand="1"/>
      </w:tblPr>
      <w:tblGrid>
        <w:gridCol w:w="713"/>
        <w:gridCol w:w="1534"/>
        <w:gridCol w:w="1406"/>
        <w:gridCol w:w="1238"/>
        <w:gridCol w:w="1406"/>
        <w:gridCol w:w="1238"/>
        <w:gridCol w:w="2071"/>
      </w:tblGrid>
      <w:tr w:rsidR="009D4D41" w:rsidRPr="009D4D41" w:rsidTr="00321D81">
        <w:trPr>
          <w:trHeight w:val="274"/>
        </w:trPr>
        <w:tc>
          <w:tcPr>
            <w:tcW w:w="71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год</w:t>
            </w:r>
          </w:p>
        </w:tc>
        <w:tc>
          <w:tcPr>
            <w:tcW w:w="8893"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b/>
                <w:bCs/>
                <w:color w:val="000000" w:themeColor="text1"/>
                <w:sz w:val="18"/>
                <w:szCs w:val="18"/>
                <w:lang w:eastAsia="ru-RU"/>
              </w:rPr>
            </w:pPr>
            <w:r w:rsidRPr="009D4D41">
              <w:rPr>
                <w:rFonts w:ascii="Times New Roman" w:eastAsia="Times New Roman" w:hAnsi="Times New Roman" w:cs="Times New Roman"/>
                <w:b/>
                <w:bCs/>
                <w:color w:val="000000" w:themeColor="text1"/>
                <w:sz w:val="18"/>
                <w:szCs w:val="18"/>
                <w:lang w:eastAsia="ru-RU"/>
              </w:rPr>
              <w:t xml:space="preserve">Компенсационные выплаты </w:t>
            </w:r>
          </w:p>
        </w:tc>
      </w:tr>
      <w:tr w:rsidR="009D4D41" w:rsidRPr="009D4D41" w:rsidTr="00321D81">
        <w:trPr>
          <w:trHeight w:val="283"/>
        </w:trPr>
        <w:tc>
          <w:tcPr>
            <w:tcW w:w="713" w:type="dxa"/>
            <w:vMerge/>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rPr>
                <w:rFonts w:ascii="Times New Roman" w:eastAsia="Times New Roman" w:hAnsi="Times New Roman" w:cs="Times New Roman"/>
                <w:color w:val="000000" w:themeColor="text1"/>
                <w:sz w:val="16"/>
                <w:szCs w:val="16"/>
                <w:lang w:eastAsia="ru-RU"/>
              </w:rPr>
            </w:pPr>
          </w:p>
        </w:tc>
        <w:tc>
          <w:tcPr>
            <w:tcW w:w="1534" w:type="dxa"/>
            <w:vMerge w:val="restart"/>
            <w:tcBorders>
              <w:top w:val="nil"/>
              <w:left w:val="single" w:sz="4" w:space="0" w:color="auto"/>
              <w:bottom w:val="single" w:sz="4" w:space="0" w:color="auto"/>
              <w:right w:val="single" w:sz="4" w:space="0" w:color="auto"/>
            </w:tcBorders>
            <w:shd w:val="clear" w:color="000000" w:fill="FFFFFF"/>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Всего</w:t>
            </w:r>
          </w:p>
        </w:tc>
        <w:tc>
          <w:tcPr>
            <w:tcW w:w="2644" w:type="dxa"/>
            <w:gridSpan w:val="2"/>
            <w:tcBorders>
              <w:top w:val="single" w:sz="4" w:space="0" w:color="auto"/>
              <w:left w:val="nil"/>
              <w:bottom w:val="single" w:sz="4" w:space="0" w:color="auto"/>
              <w:right w:val="single" w:sz="4" w:space="0" w:color="auto"/>
            </w:tcBorders>
            <w:shd w:val="clear" w:color="000000" w:fill="FFFFFF"/>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Владельцы взносов</w:t>
            </w:r>
          </w:p>
        </w:tc>
        <w:tc>
          <w:tcPr>
            <w:tcW w:w="2644" w:type="dxa"/>
            <w:gridSpan w:val="2"/>
            <w:tcBorders>
              <w:top w:val="single" w:sz="4" w:space="0" w:color="auto"/>
              <w:left w:val="nil"/>
              <w:bottom w:val="single" w:sz="4" w:space="0" w:color="auto"/>
              <w:right w:val="single" w:sz="4" w:space="0" w:color="auto"/>
            </w:tcBorders>
            <w:shd w:val="clear" w:color="000000" w:fill="FFFFFF"/>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Наследники</w:t>
            </w:r>
          </w:p>
        </w:tc>
        <w:tc>
          <w:tcPr>
            <w:tcW w:w="20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компенсация на оплату ритуальных услуг</w:t>
            </w:r>
          </w:p>
        </w:tc>
      </w:tr>
      <w:tr w:rsidR="009D4D41" w:rsidRPr="009D4D41" w:rsidTr="00321D81">
        <w:trPr>
          <w:trHeight w:val="275"/>
        </w:trPr>
        <w:tc>
          <w:tcPr>
            <w:tcW w:w="713" w:type="dxa"/>
            <w:vMerge/>
            <w:tcBorders>
              <w:top w:val="single" w:sz="4" w:space="0" w:color="auto"/>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rPr>
                <w:rFonts w:ascii="Times New Roman" w:eastAsia="Times New Roman" w:hAnsi="Times New Roman" w:cs="Times New Roman"/>
                <w:color w:val="000000" w:themeColor="text1"/>
                <w:sz w:val="16"/>
                <w:szCs w:val="16"/>
                <w:lang w:eastAsia="ru-RU"/>
              </w:rPr>
            </w:pPr>
          </w:p>
        </w:tc>
        <w:tc>
          <w:tcPr>
            <w:tcW w:w="1534" w:type="dxa"/>
            <w:vMerge/>
            <w:tcBorders>
              <w:top w:val="nil"/>
              <w:left w:val="single" w:sz="4" w:space="0" w:color="auto"/>
              <w:bottom w:val="single" w:sz="4" w:space="0" w:color="auto"/>
              <w:right w:val="single" w:sz="4" w:space="0" w:color="auto"/>
            </w:tcBorders>
            <w:vAlign w:val="center"/>
            <w:hideMark/>
          </w:tcPr>
          <w:p w:rsidR="004C4092" w:rsidRPr="009D4D41" w:rsidRDefault="004C4092" w:rsidP="00321D81">
            <w:pPr>
              <w:spacing w:after="0" w:line="240" w:lineRule="auto"/>
              <w:rPr>
                <w:rFonts w:ascii="Times New Roman" w:eastAsia="Times New Roman" w:hAnsi="Times New Roman" w:cs="Times New Roman"/>
                <w:color w:val="000000" w:themeColor="text1"/>
                <w:sz w:val="16"/>
                <w:szCs w:val="16"/>
                <w:lang w:eastAsia="ru-RU"/>
              </w:rPr>
            </w:pP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1946-1991 г.р.</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по 1945 г.р.</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1946-1991 г.р.</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40" w:lineRule="auto"/>
              <w:jc w:val="center"/>
              <w:rPr>
                <w:rFonts w:ascii="Times New Roman" w:eastAsia="Times New Roman" w:hAnsi="Times New Roman" w:cs="Times New Roman"/>
                <w:color w:val="000000" w:themeColor="text1"/>
                <w:sz w:val="16"/>
                <w:szCs w:val="16"/>
                <w:lang w:eastAsia="ru-RU"/>
              </w:rPr>
            </w:pPr>
            <w:r w:rsidRPr="009D4D41">
              <w:rPr>
                <w:rFonts w:ascii="Times New Roman" w:eastAsia="Times New Roman" w:hAnsi="Times New Roman" w:cs="Times New Roman"/>
                <w:color w:val="000000" w:themeColor="text1"/>
                <w:sz w:val="16"/>
                <w:szCs w:val="16"/>
                <w:lang w:eastAsia="ru-RU"/>
              </w:rPr>
              <w:t>по 1945 г.р.</w:t>
            </w:r>
          </w:p>
        </w:tc>
        <w:tc>
          <w:tcPr>
            <w:tcW w:w="2071" w:type="dxa"/>
            <w:vMerge/>
            <w:tcBorders>
              <w:top w:val="nil"/>
              <w:left w:val="single" w:sz="4" w:space="0" w:color="auto"/>
              <w:bottom w:val="single" w:sz="4" w:space="0" w:color="000000"/>
              <w:right w:val="single" w:sz="4" w:space="0" w:color="auto"/>
            </w:tcBorders>
            <w:vAlign w:val="center"/>
            <w:hideMark/>
          </w:tcPr>
          <w:p w:rsidR="004C4092" w:rsidRPr="009D4D41" w:rsidRDefault="004C4092" w:rsidP="00321D81">
            <w:pPr>
              <w:spacing w:after="0" w:line="240" w:lineRule="auto"/>
              <w:rPr>
                <w:rFonts w:ascii="Times New Roman" w:eastAsia="Times New Roman" w:hAnsi="Times New Roman" w:cs="Times New Roman"/>
                <w:color w:val="000000" w:themeColor="text1"/>
                <w:sz w:val="16"/>
                <w:szCs w:val="16"/>
                <w:lang w:eastAsia="ru-RU"/>
              </w:rPr>
            </w:pPr>
          </w:p>
        </w:tc>
      </w:tr>
      <w:tr w:rsidR="009D4D41" w:rsidRPr="009D4D41" w:rsidTr="00321D81">
        <w:trPr>
          <w:trHeight w:val="215"/>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2021</w:t>
            </w:r>
          </w:p>
        </w:tc>
        <w:tc>
          <w:tcPr>
            <w:tcW w:w="1534"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500,0</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255,0</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34,0</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30,5</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6,0</w:t>
            </w:r>
          </w:p>
        </w:tc>
        <w:tc>
          <w:tcPr>
            <w:tcW w:w="2071"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174,5</w:t>
            </w:r>
          </w:p>
        </w:tc>
      </w:tr>
      <w:tr w:rsidR="009D4D41" w:rsidRPr="009D4D41" w:rsidTr="00321D81">
        <w:trPr>
          <w:trHeight w:val="215"/>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2022</w:t>
            </w:r>
          </w:p>
        </w:tc>
        <w:tc>
          <w:tcPr>
            <w:tcW w:w="1534"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500,0</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235,5</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27,5</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31,0</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5,5</w:t>
            </w:r>
          </w:p>
        </w:tc>
        <w:tc>
          <w:tcPr>
            <w:tcW w:w="2071"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200,5</w:t>
            </w:r>
          </w:p>
        </w:tc>
      </w:tr>
      <w:tr w:rsidR="009D4D41" w:rsidRPr="009D4D41" w:rsidTr="00321D81">
        <w:trPr>
          <w:trHeight w:val="215"/>
        </w:trPr>
        <w:tc>
          <w:tcPr>
            <w:tcW w:w="713" w:type="dxa"/>
            <w:tcBorders>
              <w:top w:val="nil"/>
              <w:left w:val="single" w:sz="4" w:space="0" w:color="auto"/>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bCs/>
                <w:color w:val="000000" w:themeColor="text1"/>
                <w:sz w:val="18"/>
                <w:szCs w:val="18"/>
                <w:lang w:eastAsia="ru-RU"/>
              </w:rPr>
            </w:pPr>
            <w:r w:rsidRPr="009D4D41">
              <w:rPr>
                <w:rFonts w:ascii="Times New Roman" w:eastAsia="Times New Roman" w:hAnsi="Times New Roman" w:cs="Times New Roman"/>
                <w:bCs/>
                <w:color w:val="000000" w:themeColor="text1"/>
                <w:sz w:val="18"/>
                <w:szCs w:val="18"/>
                <w:lang w:eastAsia="ru-RU"/>
              </w:rPr>
              <w:t>2023</w:t>
            </w:r>
          </w:p>
        </w:tc>
        <w:tc>
          <w:tcPr>
            <w:tcW w:w="1534"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500,0</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228,5</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26,0</w:t>
            </w:r>
          </w:p>
        </w:tc>
        <w:tc>
          <w:tcPr>
            <w:tcW w:w="1406"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31,0</w:t>
            </w:r>
          </w:p>
        </w:tc>
        <w:tc>
          <w:tcPr>
            <w:tcW w:w="1238"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5,0</w:t>
            </w:r>
          </w:p>
        </w:tc>
        <w:tc>
          <w:tcPr>
            <w:tcW w:w="2071" w:type="dxa"/>
            <w:tcBorders>
              <w:top w:val="nil"/>
              <w:left w:val="nil"/>
              <w:bottom w:val="single" w:sz="4" w:space="0" w:color="auto"/>
              <w:right w:val="single" w:sz="4" w:space="0" w:color="auto"/>
            </w:tcBorders>
            <w:shd w:val="clear" w:color="000000" w:fill="FFFFFF"/>
            <w:noWrap/>
            <w:vAlign w:val="center"/>
            <w:hideMark/>
          </w:tcPr>
          <w:p w:rsidR="004C4092" w:rsidRPr="009D4D41" w:rsidRDefault="004C4092" w:rsidP="00321D81">
            <w:pPr>
              <w:spacing w:after="0" w:line="216" w:lineRule="auto"/>
              <w:jc w:val="center"/>
              <w:rPr>
                <w:rFonts w:ascii="Times New Roman" w:eastAsia="Times New Roman" w:hAnsi="Times New Roman" w:cs="Times New Roman"/>
                <w:color w:val="000000" w:themeColor="text1"/>
                <w:sz w:val="18"/>
                <w:szCs w:val="18"/>
                <w:lang w:eastAsia="ru-RU"/>
              </w:rPr>
            </w:pPr>
            <w:r w:rsidRPr="009D4D41">
              <w:rPr>
                <w:rFonts w:ascii="Times New Roman" w:eastAsia="Times New Roman" w:hAnsi="Times New Roman" w:cs="Times New Roman"/>
                <w:color w:val="000000" w:themeColor="text1"/>
                <w:sz w:val="18"/>
                <w:szCs w:val="18"/>
                <w:lang w:eastAsia="ru-RU"/>
              </w:rPr>
              <w:t>209,5</w:t>
            </w:r>
          </w:p>
        </w:tc>
      </w:tr>
    </w:tbl>
    <w:p w:rsidR="004C4092" w:rsidRPr="009D4D41" w:rsidRDefault="004C4092" w:rsidP="00947CC8">
      <w:pPr>
        <w:widowControl w:val="0"/>
        <w:spacing w:after="0" w:line="240" w:lineRule="auto"/>
        <w:jc w:val="right"/>
        <w:rPr>
          <w:rFonts w:ascii="Times New Roman" w:hAnsi="Times New Roman"/>
          <w:color w:val="000000" w:themeColor="text1"/>
          <w:sz w:val="18"/>
        </w:rPr>
      </w:pPr>
    </w:p>
    <w:p w:rsidR="004C4092" w:rsidRPr="009D4D41" w:rsidRDefault="004C4092" w:rsidP="00947CC8">
      <w:pPr>
        <w:widowControl w:val="0"/>
        <w:spacing w:after="0" w:line="240" w:lineRule="auto"/>
        <w:jc w:val="right"/>
        <w:rPr>
          <w:rFonts w:ascii="Times New Roman" w:hAnsi="Times New Roman"/>
          <w:color w:val="000000" w:themeColor="text1"/>
          <w:sz w:val="18"/>
        </w:rPr>
      </w:pPr>
    </w:p>
    <w:p w:rsidR="00FA6B23" w:rsidRPr="009D4D41" w:rsidRDefault="00FA6B23">
      <w:pPr>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br w:type="page"/>
      </w:r>
    </w:p>
    <w:p w:rsidR="00046DD4" w:rsidRPr="009D4D41" w:rsidRDefault="00046DD4" w:rsidP="00046DD4">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lastRenderedPageBreak/>
        <w:t>Таблица № 1</w:t>
      </w:r>
      <w:r w:rsidR="003F2D18" w:rsidRPr="009D4D41">
        <w:rPr>
          <w:rFonts w:ascii="Times New Roman" w:eastAsia="Times New Roman" w:hAnsi="Times New Roman" w:cs="Times New Roman"/>
          <w:snapToGrid w:val="0"/>
          <w:color w:val="000000" w:themeColor="text1"/>
          <w:sz w:val="24"/>
          <w:szCs w:val="24"/>
          <w:lang w:eastAsia="ru-RU"/>
        </w:rPr>
        <w:t>5</w:t>
      </w:r>
    </w:p>
    <w:p w:rsidR="00046DD4" w:rsidRPr="009D4D41" w:rsidRDefault="00046DD4" w:rsidP="00046DD4">
      <w:pPr>
        <w:tabs>
          <w:tab w:val="num" w:pos="0"/>
        </w:tabs>
        <w:spacing w:after="0" w:line="240" w:lineRule="auto"/>
        <w:jc w:val="center"/>
        <w:rPr>
          <w:rFonts w:ascii="Times New Roman" w:hAnsi="Times New Roman" w:cs="Times New Roman"/>
          <w:color w:val="000000" w:themeColor="text1"/>
        </w:rPr>
      </w:pPr>
      <w:r w:rsidRPr="009D4D41">
        <w:rPr>
          <w:rFonts w:ascii="Times New Roman" w:hAnsi="Times New Roman" w:cs="Times New Roman"/>
          <w:color w:val="000000" w:themeColor="text1"/>
        </w:rPr>
        <w:t xml:space="preserve">Динамика источников внешнего финансирования </w:t>
      </w:r>
    </w:p>
    <w:p w:rsidR="00046DD4" w:rsidRPr="009D4D41" w:rsidRDefault="00046DD4" w:rsidP="00046DD4">
      <w:pPr>
        <w:tabs>
          <w:tab w:val="num" w:pos="0"/>
        </w:tabs>
        <w:spacing w:after="0" w:line="240" w:lineRule="auto"/>
        <w:jc w:val="center"/>
        <w:rPr>
          <w:rFonts w:ascii="Times New Roman" w:hAnsi="Times New Roman" w:cs="Times New Roman"/>
          <w:color w:val="000000" w:themeColor="text1"/>
        </w:rPr>
      </w:pPr>
      <w:r w:rsidRPr="009D4D41">
        <w:rPr>
          <w:rFonts w:ascii="Times New Roman" w:hAnsi="Times New Roman" w:cs="Times New Roman"/>
          <w:color w:val="000000" w:themeColor="text1"/>
        </w:rPr>
        <w:t>дефи</w:t>
      </w:r>
      <w:r w:rsidR="009F7E8C" w:rsidRPr="009D4D41">
        <w:rPr>
          <w:rFonts w:ascii="Times New Roman" w:hAnsi="Times New Roman" w:cs="Times New Roman"/>
          <w:color w:val="000000" w:themeColor="text1"/>
        </w:rPr>
        <w:t>цита федерального бюджета в 2019</w:t>
      </w:r>
      <w:r w:rsidRPr="009D4D41">
        <w:rPr>
          <w:rFonts w:ascii="Times New Roman" w:hAnsi="Times New Roman" w:cs="Times New Roman"/>
          <w:color w:val="000000" w:themeColor="text1"/>
        </w:rPr>
        <w:t> –  202</w:t>
      </w:r>
      <w:r w:rsidR="009F7E8C" w:rsidRPr="009D4D41">
        <w:rPr>
          <w:rFonts w:ascii="Times New Roman" w:hAnsi="Times New Roman" w:cs="Times New Roman"/>
          <w:color w:val="000000" w:themeColor="text1"/>
        </w:rPr>
        <w:t>3</w:t>
      </w:r>
      <w:r w:rsidRPr="009D4D41">
        <w:rPr>
          <w:rFonts w:ascii="Times New Roman" w:hAnsi="Times New Roman" w:cs="Times New Roman"/>
          <w:color w:val="000000" w:themeColor="text1"/>
        </w:rPr>
        <w:t xml:space="preserve"> годах</w:t>
      </w:r>
    </w:p>
    <w:p w:rsidR="00046DD4" w:rsidRPr="009D4D41" w:rsidRDefault="00046DD4" w:rsidP="003413F9">
      <w:pPr>
        <w:pStyle w:val="ad"/>
        <w:spacing w:after="0"/>
        <w:ind w:right="-427"/>
        <w:jc w:val="right"/>
        <w:rPr>
          <w:color w:val="000000" w:themeColor="text1"/>
          <w:sz w:val="22"/>
          <w:szCs w:val="22"/>
        </w:rPr>
      </w:pPr>
      <w:r w:rsidRPr="009D4D41">
        <w:rPr>
          <w:color w:val="000000" w:themeColor="text1"/>
          <w:sz w:val="22"/>
          <w:szCs w:val="22"/>
        </w:rPr>
        <w:t xml:space="preserve"> (млн. рублей)</w:t>
      </w:r>
    </w:p>
    <w:tbl>
      <w:tblPr>
        <w:tblW w:w="111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76"/>
        <w:gridCol w:w="1276"/>
        <w:gridCol w:w="1326"/>
        <w:gridCol w:w="1225"/>
        <w:gridCol w:w="1326"/>
        <w:gridCol w:w="1226"/>
        <w:gridCol w:w="1208"/>
      </w:tblGrid>
      <w:tr w:rsidR="009D4D41" w:rsidRPr="009D4D41" w:rsidTr="00BD3953">
        <w:trPr>
          <w:trHeight w:val="300"/>
          <w:tblHeader/>
        </w:trPr>
        <w:tc>
          <w:tcPr>
            <w:tcW w:w="2269" w:type="dxa"/>
            <w:vMerge w:val="restart"/>
            <w:shd w:val="clear" w:color="auto" w:fill="auto"/>
            <w:noWrap/>
            <w:vAlign w:val="center"/>
            <w:hideMark/>
          </w:tcPr>
          <w:p w:rsidR="00BD3953" w:rsidRPr="009D4D41" w:rsidRDefault="00BD3953" w:rsidP="00046DD4">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Наименование показателя</w:t>
            </w:r>
          </w:p>
        </w:tc>
        <w:tc>
          <w:tcPr>
            <w:tcW w:w="1276" w:type="dxa"/>
            <w:shd w:val="clear" w:color="auto" w:fill="auto"/>
            <w:vAlign w:val="center"/>
            <w:hideMark/>
          </w:tcPr>
          <w:p w:rsidR="00BD3953" w:rsidRPr="009D4D41" w:rsidRDefault="009F7E8C"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2019</w:t>
            </w:r>
            <w:r w:rsidR="00BD3953" w:rsidRPr="009D4D41">
              <w:rPr>
                <w:rFonts w:ascii="Times New Roman" w:hAnsi="Times New Roman" w:cs="Times New Roman"/>
                <w:b/>
                <w:bCs/>
                <w:color w:val="000000" w:themeColor="text1"/>
                <w:sz w:val="16"/>
                <w:szCs w:val="16"/>
              </w:rPr>
              <w:t xml:space="preserve"> год</w:t>
            </w:r>
          </w:p>
        </w:tc>
        <w:tc>
          <w:tcPr>
            <w:tcW w:w="1276" w:type="dxa"/>
            <w:vAlign w:val="center"/>
          </w:tcPr>
          <w:p w:rsidR="00BD3953" w:rsidRPr="009D4D41" w:rsidRDefault="009F7E8C"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2020</w:t>
            </w:r>
            <w:r w:rsidR="00BD3953" w:rsidRPr="009D4D41">
              <w:rPr>
                <w:rFonts w:ascii="Times New Roman" w:hAnsi="Times New Roman" w:cs="Times New Roman"/>
                <w:b/>
                <w:bCs/>
                <w:color w:val="000000" w:themeColor="text1"/>
                <w:sz w:val="16"/>
                <w:szCs w:val="16"/>
              </w:rPr>
              <w:t xml:space="preserve"> год</w:t>
            </w:r>
          </w:p>
        </w:tc>
        <w:tc>
          <w:tcPr>
            <w:tcW w:w="2551" w:type="dxa"/>
            <w:gridSpan w:val="2"/>
            <w:shd w:val="clear" w:color="auto" w:fill="auto"/>
            <w:vAlign w:val="center"/>
            <w:hideMark/>
          </w:tcPr>
          <w:p w:rsidR="00BD3953" w:rsidRPr="009D4D41" w:rsidRDefault="009F7E8C"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2021</w:t>
            </w:r>
            <w:r w:rsidR="00BD3953" w:rsidRPr="009D4D41">
              <w:rPr>
                <w:rFonts w:ascii="Times New Roman" w:hAnsi="Times New Roman" w:cs="Times New Roman"/>
                <w:b/>
                <w:bCs/>
                <w:color w:val="000000" w:themeColor="text1"/>
                <w:sz w:val="16"/>
                <w:szCs w:val="16"/>
              </w:rPr>
              <w:t xml:space="preserve"> год</w:t>
            </w:r>
          </w:p>
        </w:tc>
        <w:tc>
          <w:tcPr>
            <w:tcW w:w="2552" w:type="dxa"/>
            <w:gridSpan w:val="2"/>
            <w:shd w:val="clear" w:color="auto" w:fill="auto"/>
            <w:vAlign w:val="center"/>
            <w:hideMark/>
          </w:tcPr>
          <w:p w:rsidR="00BD3953" w:rsidRPr="009D4D41" w:rsidRDefault="00BD3953" w:rsidP="009F7E8C">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w:t>
            </w:r>
            <w:r w:rsidR="009F7E8C" w:rsidRPr="009D4D41">
              <w:rPr>
                <w:rFonts w:ascii="Times New Roman" w:hAnsi="Times New Roman" w:cs="Times New Roman"/>
                <w:b/>
                <w:bCs/>
                <w:color w:val="000000" w:themeColor="text1"/>
                <w:sz w:val="16"/>
                <w:szCs w:val="16"/>
              </w:rPr>
              <w:t>2</w:t>
            </w:r>
            <w:r w:rsidRPr="009D4D41">
              <w:rPr>
                <w:rFonts w:ascii="Times New Roman" w:hAnsi="Times New Roman" w:cs="Times New Roman"/>
                <w:b/>
                <w:bCs/>
                <w:color w:val="000000" w:themeColor="text1"/>
                <w:sz w:val="16"/>
                <w:szCs w:val="16"/>
              </w:rPr>
              <w:t xml:space="preserve"> год</w:t>
            </w:r>
          </w:p>
        </w:tc>
        <w:tc>
          <w:tcPr>
            <w:tcW w:w="1208" w:type="dxa"/>
            <w:shd w:val="clear" w:color="auto" w:fill="auto"/>
            <w:vAlign w:val="center"/>
            <w:hideMark/>
          </w:tcPr>
          <w:p w:rsidR="00BD3953" w:rsidRPr="009D4D41" w:rsidRDefault="00BD3953" w:rsidP="009F7E8C">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202</w:t>
            </w:r>
            <w:r w:rsidR="009F7E8C" w:rsidRPr="009D4D41">
              <w:rPr>
                <w:rFonts w:ascii="Times New Roman" w:hAnsi="Times New Roman" w:cs="Times New Roman"/>
                <w:b/>
                <w:bCs/>
                <w:color w:val="000000" w:themeColor="text1"/>
                <w:sz w:val="16"/>
                <w:szCs w:val="16"/>
              </w:rPr>
              <w:t>3</w:t>
            </w:r>
            <w:r w:rsidRPr="009D4D41">
              <w:rPr>
                <w:rFonts w:ascii="Times New Roman" w:hAnsi="Times New Roman" w:cs="Times New Roman"/>
                <w:b/>
                <w:bCs/>
                <w:color w:val="000000" w:themeColor="text1"/>
                <w:sz w:val="16"/>
                <w:szCs w:val="16"/>
              </w:rPr>
              <w:t xml:space="preserve"> год</w:t>
            </w:r>
          </w:p>
        </w:tc>
      </w:tr>
      <w:tr w:rsidR="009D4D41" w:rsidRPr="009D4D41" w:rsidTr="00BD3953">
        <w:trPr>
          <w:trHeight w:val="1530"/>
          <w:tblHeader/>
        </w:trPr>
        <w:tc>
          <w:tcPr>
            <w:tcW w:w="2269" w:type="dxa"/>
            <w:vMerge/>
            <w:vAlign w:val="center"/>
            <w:hideMark/>
          </w:tcPr>
          <w:p w:rsidR="00BD3953" w:rsidRPr="009D4D41" w:rsidRDefault="00BD3953" w:rsidP="00046DD4">
            <w:pPr>
              <w:spacing w:after="0" w:line="240" w:lineRule="auto"/>
              <w:rPr>
                <w:rFonts w:ascii="Times New Roman" w:hAnsi="Times New Roman" w:cs="Times New Roman"/>
                <w:b/>
                <w:bCs/>
                <w:color w:val="000000" w:themeColor="text1"/>
                <w:sz w:val="16"/>
                <w:szCs w:val="16"/>
              </w:rPr>
            </w:pPr>
          </w:p>
        </w:tc>
        <w:tc>
          <w:tcPr>
            <w:tcW w:w="1276"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проект федерального закона </w:t>
            </w:r>
          </w:p>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«Об исполнении федерального бюджета за 2018 год»</w:t>
            </w:r>
          </w:p>
        </w:tc>
        <w:tc>
          <w:tcPr>
            <w:tcW w:w="1276" w:type="dxa"/>
            <w:vAlign w:val="center"/>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показатели, установлен-ные Федераль-ным законом </w:t>
            </w:r>
          </w:p>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 </w:t>
            </w:r>
            <w:r w:rsidR="00A52B75" w:rsidRPr="009D4D41">
              <w:rPr>
                <w:rFonts w:ascii="Times New Roman" w:hAnsi="Times New Roman" w:cs="Times New Roman"/>
                <w:b/>
                <w:bCs/>
                <w:color w:val="000000" w:themeColor="text1"/>
                <w:sz w:val="16"/>
                <w:szCs w:val="16"/>
              </w:rPr>
              <w:t>380-ФЗ</w:t>
            </w:r>
            <w:r w:rsidRPr="009D4D41">
              <w:rPr>
                <w:rFonts w:ascii="Times New Roman" w:hAnsi="Times New Roman" w:cs="Times New Roman"/>
                <w:b/>
                <w:bCs/>
                <w:color w:val="000000" w:themeColor="text1"/>
                <w:sz w:val="16"/>
                <w:szCs w:val="16"/>
              </w:rPr>
              <w:t xml:space="preserve"> и в расчетах к нему</w:t>
            </w:r>
          </w:p>
        </w:tc>
        <w:tc>
          <w:tcPr>
            <w:tcW w:w="1326"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показатели, установленные Федеральным законом </w:t>
            </w:r>
          </w:p>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 </w:t>
            </w:r>
            <w:r w:rsidR="00A52B75" w:rsidRPr="009D4D41">
              <w:rPr>
                <w:rFonts w:ascii="Times New Roman" w:hAnsi="Times New Roman" w:cs="Times New Roman"/>
                <w:b/>
                <w:bCs/>
                <w:color w:val="000000" w:themeColor="text1"/>
                <w:sz w:val="16"/>
                <w:szCs w:val="16"/>
              </w:rPr>
              <w:t>380-ФЗ</w:t>
            </w:r>
            <w:r w:rsidRPr="009D4D41">
              <w:rPr>
                <w:rFonts w:ascii="Times New Roman" w:hAnsi="Times New Roman" w:cs="Times New Roman"/>
                <w:b/>
                <w:bCs/>
                <w:color w:val="000000" w:themeColor="text1"/>
                <w:sz w:val="16"/>
                <w:szCs w:val="16"/>
              </w:rPr>
              <w:t xml:space="preserve"> (с изменениями) и в расчетах к нему</w:t>
            </w:r>
          </w:p>
        </w:tc>
        <w:tc>
          <w:tcPr>
            <w:tcW w:w="1225"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законопроект</w:t>
            </w:r>
          </w:p>
        </w:tc>
        <w:tc>
          <w:tcPr>
            <w:tcW w:w="1326"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 xml:space="preserve">показатели, установленные Федеральным законом № </w:t>
            </w:r>
            <w:r w:rsidR="00A52B75" w:rsidRPr="009D4D41">
              <w:rPr>
                <w:rFonts w:ascii="Times New Roman" w:hAnsi="Times New Roman" w:cs="Times New Roman"/>
                <w:b/>
                <w:bCs/>
                <w:color w:val="000000" w:themeColor="text1"/>
                <w:sz w:val="16"/>
                <w:szCs w:val="16"/>
              </w:rPr>
              <w:t>380-ФЗ</w:t>
            </w:r>
            <w:r w:rsidRPr="009D4D41">
              <w:rPr>
                <w:rFonts w:ascii="Times New Roman" w:hAnsi="Times New Roman" w:cs="Times New Roman"/>
                <w:b/>
                <w:bCs/>
                <w:color w:val="000000" w:themeColor="text1"/>
                <w:sz w:val="16"/>
                <w:szCs w:val="16"/>
              </w:rPr>
              <w:t xml:space="preserve"> (с изменениями) и в расчетах к нему</w:t>
            </w:r>
          </w:p>
        </w:tc>
        <w:tc>
          <w:tcPr>
            <w:tcW w:w="1226"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законопроект</w:t>
            </w:r>
          </w:p>
        </w:tc>
        <w:tc>
          <w:tcPr>
            <w:tcW w:w="1208" w:type="dxa"/>
            <w:shd w:val="clear" w:color="auto" w:fill="auto"/>
            <w:vAlign w:val="center"/>
            <w:hideMark/>
          </w:tcPr>
          <w:p w:rsidR="00BD3953" w:rsidRPr="009D4D41" w:rsidRDefault="00BD3953" w:rsidP="00682533">
            <w:pPr>
              <w:spacing w:after="0" w:line="240" w:lineRule="auto"/>
              <w:jc w:val="center"/>
              <w:rPr>
                <w:rFonts w:ascii="Times New Roman" w:hAnsi="Times New Roman" w:cs="Times New Roman"/>
                <w:b/>
                <w:bCs/>
                <w:color w:val="000000" w:themeColor="text1"/>
                <w:sz w:val="16"/>
                <w:szCs w:val="16"/>
              </w:rPr>
            </w:pPr>
            <w:r w:rsidRPr="009D4D41">
              <w:rPr>
                <w:rFonts w:ascii="Times New Roman" w:hAnsi="Times New Roman" w:cs="Times New Roman"/>
                <w:b/>
                <w:bCs/>
                <w:color w:val="000000" w:themeColor="text1"/>
                <w:sz w:val="16"/>
                <w:szCs w:val="16"/>
              </w:rPr>
              <w:t>законопроект</w:t>
            </w:r>
          </w:p>
        </w:tc>
      </w:tr>
      <w:tr w:rsidR="009D4D41" w:rsidRPr="009D4D41" w:rsidTr="00BD3953">
        <w:trPr>
          <w:trHeight w:val="53"/>
          <w:tblHeader/>
        </w:trPr>
        <w:tc>
          <w:tcPr>
            <w:tcW w:w="2269"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1</w:t>
            </w:r>
          </w:p>
        </w:tc>
        <w:tc>
          <w:tcPr>
            <w:tcW w:w="1276"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w:t>
            </w:r>
          </w:p>
        </w:tc>
        <w:tc>
          <w:tcPr>
            <w:tcW w:w="1276" w:type="dxa"/>
            <w:vAlign w:val="center"/>
          </w:tcPr>
          <w:p w:rsidR="00BD3953" w:rsidRPr="009D4D41" w:rsidRDefault="00BD3953" w:rsidP="00BD3953">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3</w:t>
            </w:r>
          </w:p>
        </w:tc>
        <w:tc>
          <w:tcPr>
            <w:tcW w:w="1326"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4</w:t>
            </w:r>
          </w:p>
        </w:tc>
        <w:tc>
          <w:tcPr>
            <w:tcW w:w="1225"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5</w:t>
            </w:r>
          </w:p>
        </w:tc>
        <w:tc>
          <w:tcPr>
            <w:tcW w:w="1326"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6</w:t>
            </w:r>
          </w:p>
        </w:tc>
        <w:tc>
          <w:tcPr>
            <w:tcW w:w="1226"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7</w:t>
            </w:r>
          </w:p>
        </w:tc>
        <w:tc>
          <w:tcPr>
            <w:tcW w:w="1208" w:type="dxa"/>
            <w:shd w:val="clear" w:color="auto" w:fill="auto"/>
            <w:vAlign w:val="center"/>
            <w:hideMark/>
          </w:tcPr>
          <w:p w:rsidR="00BD3953" w:rsidRPr="009D4D41" w:rsidRDefault="00BD3953" w:rsidP="00046DD4">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8</w:t>
            </w:r>
          </w:p>
        </w:tc>
      </w:tr>
      <w:tr w:rsidR="009D4D41" w:rsidRPr="009D4D41" w:rsidTr="00321D81">
        <w:trPr>
          <w:trHeight w:val="720"/>
        </w:trPr>
        <w:tc>
          <w:tcPr>
            <w:tcW w:w="2269" w:type="dxa"/>
            <w:shd w:val="clear" w:color="auto" w:fill="auto"/>
            <w:vAlign w:val="center"/>
            <w:hideMark/>
          </w:tcPr>
          <w:p w:rsidR="00A71F69" w:rsidRPr="009D4D41" w:rsidRDefault="00A71F69" w:rsidP="00A71F69">
            <w:pPr>
              <w:spacing w:after="0" w:line="240" w:lineRule="auto"/>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Источники внешнего финансирования дефицита федерального бюджета</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289 334,6   </w:t>
            </w: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-325 975,1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-36 985,1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16 893,3   </w:t>
            </w:r>
          </w:p>
        </w:tc>
        <w:tc>
          <w:tcPr>
            <w:tcW w:w="1326" w:type="dxa"/>
            <w:shd w:val="clear" w:color="auto" w:fill="auto"/>
            <w:noWrap/>
            <w:hideMark/>
          </w:tcPr>
          <w:p w:rsidR="00A71F69" w:rsidRPr="009D4D41" w:rsidRDefault="00321D81"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-225 739,7</w:t>
            </w:r>
            <w:r w:rsidR="00A71F69" w:rsidRPr="009D4D41">
              <w:rPr>
                <w:rFonts w:ascii="Times New Roman" w:hAnsi="Times New Roman" w:cs="Times New Roman"/>
                <w:b/>
                <w:color w:val="000000" w:themeColor="text1"/>
                <w:sz w:val="16"/>
                <w:szCs w:val="16"/>
              </w:rPr>
              <w:t xml:space="preserve">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-143 817,3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-219 179,7   </w:t>
            </w:r>
          </w:p>
        </w:tc>
      </w:tr>
      <w:tr w:rsidR="009D4D41" w:rsidRPr="009D4D41" w:rsidTr="00321D81">
        <w:trPr>
          <w:trHeight w:val="96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Государственные ценные бумаги Российской Федерации, номинальная стоимость которых указана в иностранной валюте</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259 961,0   </w:t>
            </w: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-133 674,7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163 304,5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178 869,1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32 254,3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35 455,5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-21 978,7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привлечение*)  </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405 336,9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197 100,0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198 300,0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217 200,0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199 500,0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219 300,0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221 400,0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погашение </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-145 375,9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-330 774,7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-34 995,5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-38 330,9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-167 245,7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-183 844,5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-243 378,7   </w:t>
            </w:r>
          </w:p>
        </w:tc>
      </w:tr>
      <w:tr w:rsidR="009D4D41" w:rsidRPr="009D4D41" w:rsidTr="00321D81">
        <w:trPr>
          <w:trHeight w:val="192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-5 654,5   </w:t>
            </w: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-2 217,2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8 223,9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77 161,0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8 881,8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7 465,9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8 878,0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привлечение*)</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9 197,9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10 079,8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18 282,0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88 338,6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17 367,1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17 181,6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17 346,2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погашение </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-14 852,4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-12 297,0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-10 058,1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-11 177,6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-8 485,3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-9 715,7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-8 468,1   </w:t>
            </w:r>
          </w:p>
        </w:tc>
      </w:tr>
      <w:tr w:rsidR="009D4D41" w:rsidRPr="009D4D41" w:rsidTr="00321D81">
        <w:trPr>
          <w:trHeight w:val="72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Иные источники внешнего финансирования дефицита федерального бюджета</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35 028,1   </w:t>
            </w: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-190 083,2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-208 513,5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-239 136,7   </w:t>
            </w:r>
          </w:p>
        </w:tc>
        <w:tc>
          <w:tcPr>
            <w:tcW w:w="1326" w:type="dxa"/>
            <w:shd w:val="clear" w:color="auto" w:fill="auto"/>
            <w:noWrap/>
            <w:hideMark/>
          </w:tcPr>
          <w:p w:rsidR="00A71F69" w:rsidRPr="009D4D41" w:rsidRDefault="00321D81"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-266 875,8</w:t>
            </w:r>
            <w:r w:rsidR="00A71F69" w:rsidRPr="009D4D41">
              <w:rPr>
                <w:rFonts w:ascii="Times New Roman" w:hAnsi="Times New Roman" w:cs="Times New Roman"/>
                <w:b/>
                <w:color w:val="000000" w:themeColor="text1"/>
                <w:sz w:val="16"/>
                <w:szCs w:val="16"/>
              </w:rPr>
              <w:t xml:space="preserve">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-186 738,8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-206 079,0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в том числе:</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p>
        </w:tc>
      </w:tr>
      <w:tr w:rsidR="009D4D41" w:rsidRPr="009D4D41" w:rsidTr="00321D81">
        <w:trPr>
          <w:trHeight w:val="72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исполнение государственных гарантий Российской Федерации в иностранной валюте</w:t>
            </w:r>
            <w:r w:rsidRPr="009D4D41">
              <w:rPr>
                <w:rFonts w:ascii="Times New Roman" w:hAnsi="Times New Roman" w:cs="Times New Roman"/>
                <w:color w:val="000000" w:themeColor="text1"/>
                <w:sz w:val="18"/>
                <w:szCs w:val="18"/>
              </w:rPr>
              <w:t>*) </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-4 703,0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-2 885,9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-4 540,4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-2 722,7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-2 895,7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-8 578,4   </w:t>
            </w:r>
          </w:p>
        </w:tc>
      </w:tr>
      <w:tr w:rsidR="009D4D41" w:rsidRPr="009D4D41" w:rsidTr="00321D81">
        <w:trPr>
          <w:trHeight w:val="456"/>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b/>
                <w:bCs/>
                <w:color w:val="000000" w:themeColor="text1"/>
                <w:sz w:val="18"/>
                <w:szCs w:val="18"/>
              </w:rPr>
            </w:pPr>
            <w:r w:rsidRPr="009D4D41">
              <w:rPr>
                <w:rFonts w:ascii="Times New Roman" w:hAnsi="Times New Roman" w:cs="Times New Roman"/>
                <w:b/>
                <w:bCs/>
                <w:color w:val="000000" w:themeColor="text1"/>
                <w:sz w:val="18"/>
                <w:szCs w:val="18"/>
              </w:rPr>
              <w:t xml:space="preserve">государственные финансовые и государственные экспортные кредиты </w:t>
            </w:r>
            <w:r w:rsidRPr="009D4D41">
              <w:rPr>
                <w:rFonts w:ascii="Times New Roman" w:hAnsi="Times New Roman" w:cs="Times New Roman"/>
                <w:color w:val="000000" w:themeColor="text1"/>
                <w:sz w:val="18"/>
                <w:szCs w:val="18"/>
              </w:rPr>
              <w:t>*)</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 35 028,1   </w:t>
            </w:r>
          </w:p>
        </w:tc>
        <w:tc>
          <w:tcPr>
            <w:tcW w:w="1276" w:type="dxa"/>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-185 380,2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-205 627,6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-234 596,3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-264 153,2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-183 843,1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 xml:space="preserve">-197 500,6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возврат кредитов</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250 063,6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110 269,8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124 872,4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120 163,7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134 846,8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145 106,9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 186 259,4   </w:t>
            </w:r>
          </w:p>
        </w:tc>
      </w:tr>
      <w:tr w:rsidR="009D4D41" w:rsidRPr="009D4D41" w:rsidTr="00321D81">
        <w:trPr>
          <w:trHeight w:val="70"/>
        </w:trPr>
        <w:tc>
          <w:tcPr>
            <w:tcW w:w="2269" w:type="dxa"/>
            <w:shd w:val="clear" w:color="auto" w:fill="auto"/>
            <w:vAlign w:val="center"/>
            <w:hideMark/>
          </w:tcPr>
          <w:p w:rsidR="00A71F69" w:rsidRPr="009D4D41" w:rsidRDefault="00A71F69" w:rsidP="00A71F69">
            <w:pPr>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предоставление  кредитов</w:t>
            </w:r>
          </w:p>
        </w:tc>
        <w:tc>
          <w:tcPr>
            <w:tcW w:w="127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-215 035,5   </w:t>
            </w:r>
          </w:p>
        </w:tc>
        <w:tc>
          <w:tcPr>
            <w:tcW w:w="1276" w:type="dxa"/>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-295 650,0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-330 500,0   </w:t>
            </w:r>
          </w:p>
        </w:tc>
        <w:tc>
          <w:tcPr>
            <w:tcW w:w="1225"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-354 760,0   </w:t>
            </w:r>
          </w:p>
        </w:tc>
        <w:tc>
          <w:tcPr>
            <w:tcW w:w="13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-399 000,0   </w:t>
            </w:r>
          </w:p>
        </w:tc>
        <w:tc>
          <w:tcPr>
            <w:tcW w:w="1226"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-328 950,0   </w:t>
            </w:r>
          </w:p>
        </w:tc>
        <w:tc>
          <w:tcPr>
            <w:tcW w:w="1208" w:type="dxa"/>
            <w:shd w:val="clear" w:color="auto" w:fill="auto"/>
            <w:noWrap/>
            <w:hideMark/>
          </w:tcPr>
          <w:p w:rsidR="00A71F69" w:rsidRPr="009D4D41" w:rsidRDefault="00A71F69" w:rsidP="00A71F69">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-383 760,0   </w:t>
            </w:r>
          </w:p>
        </w:tc>
      </w:tr>
    </w:tbl>
    <w:p w:rsidR="00046DD4" w:rsidRPr="009D4D41" w:rsidRDefault="00046DD4" w:rsidP="00046DD4">
      <w:pPr>
        <w:spacing w:after="0" w:line="240" w:lineRule="auto"/>
        <w:jc w:val="both"/>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 Источники пересчитаны в рублевый эквивалент.</w:t>
      </w:r>
    </w:p>
    <w:p w:rsidR="00046DD4" w:rsidRPr="009D4D41" w:rsidRDefault="00046DD4" w:rsidP="00046DD4">
      <w:pPr>
        <w:spacing w:after="0" w:line="240" w:lineRule="auto"/>
        <w:jc w:val="both"/>
        <w:rPr>
          <w:rFonts w:ascii="Times New Roman" w:hAnsi="Times New Roman" w:cs="Times New Roman"/>
          <w:bCs/>
          <w:color w:val="000000" w:themeColor="text1"/>
          <w:sz w:val="18"/>
          <w:szCs w:val="18"/>
        </w:rPr>
      </w:pPr>
      <w:r w:rsidRPr="009D4D41">
        <w:rPr>
          <w:rFonts w:ascii="Times New Roman" w:hAnsi="Times New Roman" w:cs="Times New Roman"/>
          <w:bCs/>
          <w:color w:val="000000" w:themeColor="text1"/>
          <w:sz w:val="18"/>
          <w:szCs w:val="18"/>
        </w:rPr>
        <w:t>** Источники представлены в расчетах к законопроекту.</w:t>
      </w:r>
    </w:p>
    <w:p w:rsidR="0043153A" w:rsidRPr="009D4D41" w:rsidRDefault="0043153A">
      <w:pPr>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br w:type="page"/>
      </w:r>
    </w:p>
    <w:p w:rsidR="001C1DC7" w:rsidRPr="009D4D41" w:rsidRDefault="001C1DC7" w:rsidP="001C1DC7">
      <w:pPr>
        <w:spacing w:after="12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lastRenderedPageBreak/>
        <w:t>Таблица № 1</w:t>
      </w:r>
      <w:r w:rsidR="003F2D18" w:rsidRPr="009D4D41">
        <w:rPr>
          <w:rFonts w:ascii="Times New Roman" w:eastAsia="Times New Roman" w:hAnsi="Times New Roman" w:cs="Times New Roman"/>
          <w:snapToGrid w:val="0"/>
          <w:color w:val="000000" w:themeColor="text1"/>
          <w:sz w:val="24"/>
          <w:szCs w:val="24"/>
          <w:lang w:eastAsia="ru-RU"/>
        </w:rPr>
        <w:t>6</w:t>
      </w:r>
    </w:p>
    <w:p w:rsidR="001C1DC7" w:rsidRPr="009D4D41" w:rsidRDefault="001C1DC7" w:rsidP="00046DD4">
      <w:pPr>
        <w:spacing w:after="0" w:line="240" w:lineRule="auto"/>
        <w:jc w:val="both"/>
        <w:rPr>
          <w:rFonts w:ascii="Times New Roman" w:hAnsi="Times New Roman" w:cs="Times New Roman"/>
          <w:bCs/>
          <w:color w:val="000000" w:themeColor="text1"/>
          <w:sz w:val="18"/>
          <w:szCs w:val="18"/>
        </w:rPr>
      </w:pPr>
    </w:p>
    <w:p w:rsidR="00407073" w:rsidRPr="009D4D41" w:rsidRDefault="00407073" w:rsidP="00407073">
      <w:pPr>
        <w:spacing w:after="0" w:line="240" w:lineRule="auto"/>
        <w:jc w:val="center"/>
        <w:rPr>
          <w:rFonts w:ascii="Times New Roman" w:hAnsi="Times New Roman" w:cs="Times New Roman"/>
          <w:bCs/>
          <w:color w:val="000000" w:themeColor="text1"/>
          <w:sz w:val="24"/>
          <w:szCs w:val="24"/>
        </w:rPr>
      </w:pPr>
      <w:r w:rsidRPr="009D4D41">
        <w:rPr>
          <w:rFonts w:ascii="Times New Roman" w:hAnsi="Times New Roman" w:cs="Times New Roman"/>
          <w:bCs/>
          <w:color w:val="000000" w:themeColor="text1"/>
          <w:sz w:val="24"/>
          <w:szCs w:val="24"/>
        </w:rPr>
        <w:t>Анализ Программы внешних заимствований в части получения Российской Федерацией кредитов иностранных государств и займов МФО</w:t>
      </w:r>
    </w:p>
    <w:p w:rsidR="003F2D18" w:rsidRPr="009D4D41" w:rsidRDefault="003F2D18" w:rsidP="00407073">
      <w:pPr>
        <w:spacing w:after="0" w:line="240" w:lineRule="auto"/>
        <w:jc w:val="center"/>
        <w:rPr>
          <w:rFonts w:ascii="Times New Roman" w:hAnsi="Times New Roman" w:cs="Times New Roman"/>
          <w:bCs/>
          <w:color w:val="000000" w:themeColor="text1"/>
          <w:sz w:val="24"/>
          <w:szCs w:val="24"/>
        </w:rPr>
      </w:pPr>
    </w:p>
    <w:tbl>
      <w:tblPr>
        <w:tblStyle w:val="1"/>
        <w:tblW w:w="5166" w:type="pct"/>
        <w:tblLayout w:type="fixed"/>
        <w:tblLook w:val="04A0" w:firstRow="1" w:lastRow="0" w:firstColumn="1" w:lastColumn="0" w:noHBand="0" w:noVBand="1"/>
      </w:tblPr>
      <w:tblGrid>
        <w:gridCol w:w="1216"/>
        <w:gridCol w:w="804"/>
        <w:gridCol w:w="1238"/>
        <w:gridCol w:w="1242"/>
        <w:gridCol w:w="874"/>
        <w:gridCol w:w="1315"/>
        <w:gridCol w:w="1311"/>
        <w:gridCol w:w="874"/>
        <w:gridCol w:w="1307"/>
      </w:tblGrid>
      <w:tr w:rsidR="009D4D41" w:rsidRPr="009D4D41" w:rsidTr="00321D81">
        <w:tc>
          <w:tcPr>
            <w:tcW w:w="1599" w:type="pct"/>
            <w:gridSpan w:val="3"/>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2021 год</w:t>
            </w:r>
          </w:p>
        </w:tc>
        <w:tc>
          <w:tcPr>
            <w:tcW w:w="1685" w:type="pct"/>
            <w:gridSpan w:val="3"/>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2022 год</w:t>
            </w:r>
          </w:p>
        </w:tc>
        <w:tc>
          <w:tcPr>
            <w:tcW w:w="1716" w:type="pct"/>
            <w:gridSpan w:val="3"/>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2023 год</w:t>
            </w:r>
          </w:p>
        </w:tc>
      </w:tr>
      <w:tr w:rsidR="009D4D41" w:rsidRPr="009D4D41" w:rsidTr="00321D81">
        <w:trPr>
          <w:trHeight w:val="453"/>
        </w:trPr>
        <w:tc>
          <w:tcPr>
            <w:tcW w:w="597" w:type="pct"/>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Объем привлечения</w:t>
            </w:r>
          </w:p>
        </w:tc>
        <w:tc>
          <w:tcPr>
            <w:tcW w:w="1003" w:type="pct"/>
            <w:gridSpan w:val="2"/>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Количество проектов для реализации</w:t>
            </w:r>
          </w:p>
        </w:tc>
        <w:tc>
          <w:tcPr>
            <w:tcW w:w="610" w:type="pct"/>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Объем привлечения</w:t>
            </w:r>
          </w:p>
        </w:tc>
        <w:tc>
          <w:tcPr>
            <w:tcW w:w="1074" w:type="pct"/>
            <w:gridSpan w:val="2"/>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Количество проектов для реализации</w:t>
            </w:r>
          </w:p>
        </w:tc>
        <w:tc>
          <w:tcPr>
            <w:tcW w:w="644" w:type="pct"/>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Объем привлечения</w:t>
            </w:r>
          </w:p>
        </w:tc>
        <w:tc>
          <w:tcPr>
            <w:tcW w:w="1072" w:type="pct"/>
            <w:gridSpan w:val="2"/>
            <w:vAlign w:val="center"/>
          </w:tcPr>
          <w:p w:rsidR="003F2D18" w:rsidRPr="009D4D41" w:rsidRDefault="003F2D18" w:rsidP="00321D81">
            <w:pPr>
              <w:jc w:val="center"/>
              <w:rPr>
                <w:rFonts w:ascii="Times New Roman" w:hAnsi="Times New Roman"/>
                <w:b/>
                <w:color w:val="000000" w:themeColor="text1"/>
                <w:sz w:val="16"/>
                <w:szCs w:val="16"/>
              </w:rPr>
            </w:pPr>
            <w:r w:rsidRPr="009D4D41">
              <w:rPr>
                <w:rFonts w:ascii="Times New Roman" w:hAnsi="Times New Roman"/>
                <w:b/>
                <w:color w:val="000000" w:themeColor="text1"/>
                <w:sz w:val="16"/>
                <w:szCs w:val="16"/>
              </w:rPr>
              <w:t>Количество проектов для реализации</w:t>
            </w:r>
          </w:p>
        </w:tc>
      </w:tr>
      <w:tr w:rsidR="009D4D41" w:rsidRPr="009D4D41" w:rsidTr="00321D81">
        <w:tc>
          <w:tcPr>
            <w:tcW w:w="597" w:type="pct"/>
            <w:vMerge w:val="restart"/>
            <w:vAlign w:val="center"/>
          </w:tcPr>
          <w:p w:rsidR="003F2D18" w:rsidRPr="009D4D41" w:rsidRDefault="003F2D18" w:rsidP="00321D81">
            <w:pPr>
              <w:jc w:val="center"/>
              <w:rPr>
                <w:rFonts w:ascii="Times New Roman" w:hAnsi="Times New Roman"/>
                <w:b/>
                <w:bCs/>
                <w:color w:val="000000" w:themeColor="text1"/>
                <w:sz w:val="16"/>
                <w:szCs w:val="16"/>
              </w:rPr>
            </w:pPr>
            <w:r w:rsidRPr="009D4D41">
              <w:rPr>
                <w:rFonts w:ascii="Times New Roman" w:hAnsi="Times New Roman"/>
                <w:b/>
                <w:bCs/>
                <w:color w:val="000000" w:themeColor="text1"/>
                <w:sz w:val="16"/>
                <w:szCs w:val="16"/>
              </w:rPr>
              <w:t>88 338,6</w:t>
            </w:r>
          </w:p>
          <w:p w:rsidR="003F2D18" w:rsidRPr="009D4D41" w:rsidRDefault="003F2D18" w:rsidP="00321D81">
            <w:pPr>
              <w:jc w:val="center"/>
              <w:rPr>
                <w:rFonts w:ascii="Times New Roman" w:hAnsi="Times New Roman"/>
                <w:bCs/>
                <w:color w:val="000000" w:themeColor="text1"/>
                <w:sz w:val="16"/>
                <w:szCs w:val="16"/>
              </w:rPr>
            </w:pPr>
            <w:r w:rsidRPr="009D4D41">
              <w:rPr>
                <w:rFonts w:ascii="Times New Roman" w:hAnsi="Times New Roman"/>
                <w:bCs/>
                <w:color w:val="000000" w:themeColor="text1"/>
                <w:sz w:val="16"/>
                <w:szCs w:val="16"/>
              </w:rPr>
              <w:t>млн. рублей</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Cs/>
                <w:color w:val="000000" w:themeColor="text1"/>
                <w:sz w:val="16"/>
                <w:szCs w:val="16"/>
              </w:rPr>
              <w:t>(1 220,1 млн. долларов США)</w:t>
            </w:r>
          </w:p>
        </w:tc>
        <w:tc>
          <w:tcPr>
            <w:tcW w:w="395"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
                <w:color w:val="000000" w:themeColor="text1"/>
                <w:sz w:val="16"/>
                <w:szCs w:val="16"/>
              </w:rPr>
              <w:t>14</w:t>
            </w:r>
            <w:r w:rsidRPr="009D4D41">
              <w:rPr>
                <w:rFonts w:ascii="Times New Roman" w:hAnsi="Times New Roman"/>
                <w:color w:val="000000" w:themeColor="text1"/>
                <w:sz w:val="16"/>
                <w:szCs w:val="16"/>
              </w:rPr>
              <w:t>,</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в т.ч.:</w:t>
            </w:r>
          </w:p>
        </w:tc>
        <w:tc>
          <w:tcPr>
            <w:tcW w:w="607"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из них</w:t>
            </w:r>
          </w:p>
        </w:tc>
        <w:tc>
          <w:tcPr>
            <w:tcW w:w="610" w:type="pct"/>
            <w:vMerge w:val="restart"/>
            <w:vAlign w:val="center"/>
          </w:tcPr>
          <w:p w:rsidR="003F2D18" w:rsidRPr="009D4D41" w:rsidRDefault="003F2D18" w:rsidP="00321D81">
            <w:pPr>
              <w:jc w:val="center"/>
              <w:rPr>
                <w:rFonts w:ascii="Times New Roman" w:hAnsi="Times New Roman"/>
                <w:b/>
                <w:bCs/>
                <w:color w:val="000000" w:themeColor="text1"/>
                <w:sz w:val="16"/>
                <w:szCs w:val="16"/>
              </w:rPr>
            </w:pPr>
            <w:r w:rsidRPr="009D4D41">
              <w:rPr>
                <w:rFonts w:ascii="Times New Roman" w:hAnsi="Times New Roman"/>
                <w:b/>
                <w:bCs/>
                <w:color w:val="000000" w:themeColor="text1"/>
                <w:sz w:val="16"/>
                <w:szCs w:val="16"/>
              </w:rPr>
              <w:t>17 181,6</w:t>
            </w:r>
          </w:p>
          <w:p w:rsidR="003F2D18" w:rsidRPr="009D4D41" w:rsidRDefault="003F2D18" w:rsidP="00321D81">
            <w:pPr>
              <w:jc w:val="center"/>
              <w:rPr>
                <w:rFonts w:ascii="Times New Roman" w:hAnsi="Times New Roman"/>
                <w:bCs/>
                <w:color w:val="000000" w:themeColor="text1"/>
                <w:sz w:val="16"/>
                <w:szCs w:val="16"/>
              </w:rPr>
            </w:pPr>
            <w:r w:rsidRPr="009D4D41">
              <w:rPr>
                <w:rFonts w:ascii="Times New Roman" w:hAnsi="Times New Roman"/>
                <w:bCs/>
                <w:color w:val="000000" w:themeColor="text1"/>
                <w:sz w:val="16"/>
                <w:szCs w:val="16"/>
              </w:rPr>
              <w:t>млн. рублей</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Cs/>
                <w:color w:val="000000" w:themeColor="text1"/>
                <w:sz w:val="16"/>
                <w:szCs w:val="16"/>
              </w:rPr>
              <w:t>(235,0 млн. долларов США)</w:t>
            </w: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
                <w:color w:val="000000" w:themeColor="text1"/>
                <w:sz w:val="16"/>
                <w:szCs w:val="16"/>
              </w:rPr>
              <w:t>10</w:t>
            </w:r>
            <w:r w:rsidRPr="009D4D41">
              <w:rPr>
                <w:rFonts w:ascii="Times New Roman" w:hAnsi="Times New Roman"/>
                <w:color w:val="000000" w:themeColor="text1"/>
                <w:sz w:val="16"/>
                <w:szCs w:val="16"/>
              </w:rPr>
              <w:t>,</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в т.ч.:</w:t>
            </w:r>
          </w:p>
        </w:tc>
        <w:tc>
          <w:tcPr>
            <w:tcW w:w="646"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из них</w:t>
            </w:r>
          </w:p>
        </w:tc>
        <w:tc>
          <w:tcPr>
            <w:tcW w:w="644" w:type="pct"/>
            <w:vMerge w:val="restart"/>
            <w:vAlign w:val="center"/>
          </w:tcPr>
          <w:p w:rsidR="003F2D18" w:rsidRPr="009D4D41" w:rsidRDefault="003F2D18" w:rsidP="00321D81">
            <w:pPr>
              <w:jc w:val="center"/>
              <w:rPr>
                <w:rFonts w:ascii="Times New Roman" w:hAnsi="Times New Roman"/>
                <w:b/>
                <w:bCs/>
                <w:color w:val="000000" w:themeColor="text1"/>
                <w:sz w:val="16"/>
                <w:szCs w:val="16"/>
              </w:rPr>
            </w:pPr>
            <w:r w:rsidRPr="009D4D41">
              <w:rPr>
                <w:rFonts w:ascii="Times New Roman" w:hAnsi="Times New Roman"/>
                <w:b/>
                <w:bCs/>
                <w:color w:val="000000" w:themeColor="text1"/>
                <w:sz w:val="16"/>
                <w:szCs w:val="16"/>
              </w:rPr>
              <w:t>17 346,2</w:t>
            </w:r>
          </w:p>
          <w:p w:rsidR="003F2D18" w:rsidRPr="009D4D41" w:rsidRDefault="003F2D18" w:rsidP="00321D81">
            <w:pPr>
              <w:jc w:val="center"/>
              <w:rPr>
                <w:rFonts w:ascii="Times New Roman" w:hAnsi="Times New Roman"/>
                <w:bCs/>
                <w:color w:val="000000" w:themeColor="text1"/>
                <w:sz w:val="16"/>
                <w:szCs w:val="16"/>
              </w:rPr>
            </w:pPr>
            <w:r w:rsidRPr="009D4D41">
              <w:rPr>
                <w:rFonts w:ascii="Times New Roman" w:hAnsi="Times New Roman"/>
                <w:bCs/>
                <w:color w:val="000000" w:themeColor="text1"/>
                <w:sz w:val="16"/>
                <w:szCs w:val="16"/>
              </w:rPr>
              <w:t>млн. рублей</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Cs/>
                <w:color w:val="000000" w:themeColor="text1"/>
                <w:sz w:val="16"/>
                <w:szCs w:val="16"/>
              </w:rPr>
              <w:t>(235,0 млн. долларов США)</w:t>
            </w: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b/>
                <w:color w:val="000000" w:themeColor="text1"/>
                <w:sz w:val="16"/>
                <w:szCs w:val="16"/>
              </w:rPr>
              <w:t>9</w:t>
            </w:r>
            <w:r w:rsidRPr="009D4D41">
              <w:rPr>
                <w:rFonts w:ascii="Times New Roman" w:hAnsi="Times New Roman"/>
                <w:color w:val="000000" w:themeColor="text1"/>
                <w:sz w:val="16"/>
                <w:szCs w:val="16"/>
              </w:rPr>
              <w:t>,</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в т.ч.:</w:t>
            </w:r>
          </w:p>
        </w:tc>
        <w:tc>
          <w:tcPr>
            <w:tcW w:w="644"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из них</w:t>
            </w:r>
          </w:p>
        </w:tc>
      </w:tr>
      <w:tr w:rsidR="009D4D41" w:rsidRPr="009D4D41" w:rsidTr="00321D81">
        <w:tc>
          <w:tcPr>
            <w:tcW w:w="597"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395"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5 МБРР</w:t>
            </w:r>
          </w:p>
        </w:tc>
        <w:tc>
          <w:tcPr>
            <w:tcW w:w="607"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5 действующих</w:t>
            </w:r>
          </w:p>
        </w:tc>
        <w:tc>
          <w:tcPr>
            <w:tcW w:w="610"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МБРР</w:t>
            </w:r>
          </w:p>
        </w:tc>
        <w:tc>
          <w:tcPr>
            <w:tcW w:w="646"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действующий</w:t>
            </w:r>
          </w:p>
        </w:tc>
        <w:tc>
          <w:tcPr>
            <w:tcW w:w="644"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8 НБР</w:t>
            </w:r>
          </w:p>
        </w:tc>
        <w:tc>
          <w:tcPr>
            <w:tcW w:w="644"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3 действующих,</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5 новых, соглашения не подписаны</w:t>
            </w:r>
          </w:p>
        </w:tc>
      </w:tr>
      <w:tr w:rsidR="009D4D41" w:rsidRPr="009D4D41" w:rsidTr="00321D81">
        <w:trPr>
          <w:trHeight w:val="580"/>
        </w:trPr>
        <w:tc>
          <w:tcPr>
            <w:tcW w:w="597"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395"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8 НБР</w:t>
            </w:r>
          </w:p>
        </w:tc>
        <w:tc>
          <w:tcPr>
            <w:tcW w:w="607"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3 действующих,</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5 новых, соглашения не подписаны</w:t>
            </w:r>
          </w:p>
        </w:tc>
        <w:tc>
          <w:tcPr>
            <w:tcW w:w="610"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8 НБР</w:t>
            </w:r>
          </w:p>
        </w:tc>
        <w:tc>
          <w:tcPr>
            <w:tcW w:w="646"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3 действующих,</w:t>
            </w:r>
          </w:p>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5 новых, соглашения не подписаны</w:t>
            </w:r>
          </w:p>
        </w:tc>
        <w:tc>
          <w:tcPr>
            <w:tcW w:w="644"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429" w:type="pct"/>
            <w:vMerge w:val="restar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АБИИ</w:t>
            </w:r>
          </w:p>
        </w:tc>
        <w:tc>
          <w:tcPr>
            <w:tcW w:w="644" w:type="pct"/>
            <w:vMerge w:val="restar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новый, соглашение не подписано</w:t>
            </w:r>
          </w:p>
        </w:tc>
      </w:tr>
      <w:tr w:rsidR="003F2D18" w:rsidRPr="009D4D41" w:rsidTr="00321D81">
        <w:trPr>
          <w:trHeight w:val="580"/>
        </w:trPr>
        <w:tc>
          <w:tcPr>
            <w:tcW w:w="597"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395"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АБИИ</w:t>
            </w:r>
          </w:p>
        </w:tc>
        <w:tc>
          <w:tcPr>
            <w:tcW w:w="607"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новый, соглашение не подписано</w:t>
            </w:r>
          </w:p>
        </w:tc>
        <w:tc>
          <w:tcPr>
            <w:tcW w:w="610" w:type="pct"/>
            <w:vMerge/>
            <w:vAlign w:val="center"/>
          </w:tcPr>
          <w:p w:rsidR="003F2D18" w:rsidRPr="009D4D41" w:rsidRDefault="003F2D18" w:rsidP="00321D81">
            <w:pPr>
              <w:jc w:val="center"/>
              <w:rPr>
                <w:rFonts w:ascii="Times New Roman" w:hAnsi="Times New Roman"/>
                <w:color w:val="000000" w:themeColor="text1"/>
                <w:sz w:val="16"/>
                <w:szCs w:val="16"/>
              </w:rPr>
            </w:pPr>
          </w:p>
        </w:tc>
        <w:tc>
          <w:tcPr>
            <w:tcW w:w="429"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АБИИ</w:t>
            </w:r>
          </w:p>
        </w:tc>
        <w:tc>
          <w:tcPr>
            <w:tcW w:w="646" w:type="pct"/>
            <w:vAlign w:val="center"/>
          </w:tcPr>
          <w:p w:rsidR="003F2D18" w:rsidRPr="009D4D41" w:rsidRDefault="003F2D18" w:rsidP="00321D81">
            <w:pPr>
              <w:jc w:val="center"/>
              <w:rPr>
                <w:rFonts w:ascii="Times New Roman" w:hAnsi="Times New Roman"/>
                <w:color w:val="000000" w:themeColor="text1"/>
                <w:sz w:val="16"/>
                <w:szCs w:val="16"/>
              </w:rPr>
            </w:pPr>
            <w:r w:rsidRPr="009D4D41">
              <w:rPr>
                <w:rFonts w:ascii="Times New Roman" w:hAnsi="Times New Roman"/>
                <w:color w:val="000000" w:themeColor="text1"/>
                <w:sz w:val="16"/>
                <w:szCs w:val="16"/>
              </w:rPr>
              <w:t>1 новый, соглашение не подписано</w:t>
            </w:r>
          </w:p>
        </w:tc>
        <w:tc>
          <w:tcPr>
            <w:tcW w:w="644" w:type="pct"/>
            <w:vMerge/>
          </w:tcPr>
          <w:p w:rsidR="003F2D18" w:rsidRPr="009D4D41" w:rsidRDefault="003F2D18" w:rsidP="00321D81">
            <w:pPr>
              <w:jc w:val="both"/>
              <w:rPr>
                <w:rFonts w:ascii="Times New Roman" w:hAnsi="Times New Roman"/>
                <w:color w:val="000000" w:themeColor="text1"/>
                <w:sz w:val="16"/>
                <w:szCs w:val="16"/>
              </w:rPr>
            </w:pPr>
          </w:p>
        </w:tc>
        <w:tc>
          <w:tcPr>
            <w:tcW w:w="429" w:type="pct"/>
            <w:vMerge/>
          </w:tcPr>
          <w:p w:rsidR="003F2D18" w:rsidRPr="009D4D41" w:rsidRDefault="003F2D18" w:rsidP="00321D81">
            <w:pPr>
              <w:jc w:val="both"/>
              <w:rPr>
                <w:rFonts w:ascii="Times New Roman" w:hAnsi="Times New Roman"/>
                <w:color w:val="000000" w:themeColor="text1"/>
                <w:sz w:val="16"/>
                <w:szCs w:val="16"/>
              </w:rPr>
            </w:pPr>
          </w:p>
        </w:tc>
        <w:tc>
          <w:tcPr>
            <w:tcW w:w="644" w:type="pct"/>
            <w:vMerge/>
          </w:tcPr>
          <w:p w:rsidR="003F2D18" w:rsidRPr="009D4D41" w:rsidRDefault="003F2D18" w:rsidP="00321D81">
            <w:pPr>
              <w:jc w:val="both"/>
              <w:rPr>
                <w:rFonts w:ascii="Times New Roman" w:hAnsi="Times New Roman"/>
                <w:color w:val="000000" w:themeColor="text1"/>
                <w:sz w:val="16"/>
                <w:szCs w:val="16"/>
              </w:rPr>
            </w:pPr>
          </w:p>
        </w:tc>
      </w:tr>
    </w:tbl>
    <w:p w:rsidR="003F2D18" w:rsidRPr="009D4D41" w:rsidRDefault="003F2D18" w:rsidP="00407073">
      <w:pPr>
        <w:spacing w:after="0" w:line="240" w:lineRule="auto"/>
        <w:jc w:val="center"/>
        <w:rPr>
          <w:rFonts w:ascii="Times New Roman" w:hAnsi="Times New Roman" w:cs="Times New Roman"/>
          <w:bCs/>
          <w:color w:val="000000" w:themeColor="text1"/>
          <w:sz w:val="24"/>
          <w:szCs w:val="24"/>
        </w:rPr>
      </w:pPr>
    </w:p>
    <w:p w:rsidR="003F2D18" w:rsidRPr="009D4D41" w:rsidRDefault="003F2D18" w:rsidP="00407073">
      <w:pPr>
        <w:spacing w:after="0" w:line="240" w:lineRule="auto"/>
        <w:jc w:val="center"/>
        <w:rPr>
          <w:rFonts w:ascii="Times New Roman" w:hAnsi="Times New Roman" w:cs="Times New Roman"/>
          <w:bCs/>
          <w:color w:val="000000" w:themeColor="text1"/>
          <w:sz w:val="24"/>
          <w:szCs w:val="24"/>
        </w:rPr>
      </w:pPr>
    </w:p>
    <w:p w:rsidR="00407073" w:rsidRPr="009D4D41" w:rsidRDefault="00407073" w:rsidP="00407073">
      <w:pPr>
        <w:spacing w:after="0" w:line="240" w:lineRule="auto"/>
        <w:jc w:val="both"/>
        <w:rPr>
          <w:rFonts w:ascii="Times New Roman" w:hAnsi="Times New Roman" w:cs="Times New Roman"/>
          <w:bCs/>
          <w:color w:val="000000" w:themeColor="text1"/>
          <w:sz w:val="18"/>
          <w:szCs w:val="18"/>
          <w:highlight w:val="cyan"/>
        </w:rPr>
      </w:pPr>
    </w:p>
    <w:p w:rsidR="00A95118" w:rsidRPr="009D4D41" w:rsidRDefault="00A95118" w:rsidP="00A95118">
      <w:pPr>
        <w:widowControl w:val="0"/>
        <w:spacing w:after="0" w:line="240" w:lineRule="auto"/>
        <w:jc w:val="right"/>
        <w:rPr>
          <w:rFonts w:ascii="Times New Roman" w:eastAsia="Times New Roman" w:hAnsi="Times New Roman" w:cs="Times New Roman"/>
          <w:bCs/>
          <w:color w:val="000000" w:themeColor="text1"/>
          <w:sz w:val="24"/>
          <w:szCs w:val="24"/>
          <w:lang w:eastAsia="ru-RU"/>
        </w:rPr>
      </w:pPr>
    </w:p>
    <w:p w:rsidR="00944690" w:rsidRPr="009D4D41" w:rsidRDefault="00A95118" w:rsidP="00A95118">
      <w:pPr>
        <w:widowControl w:val="0"/>
        <w:spacing w:after="0" w:line="240" w:lineRule="auto"/>
        <w:jc w:val="right"/>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bCs/>
          <w:color w:val="000000" w:themeColor="text1"/>
          <w:sz w:val="24"/>
          <w:szCs w:val="24"/>
          <w:lang w:eastAsia="ru-RU"/>
        </w:rPr>
        <w:t xml:space="preserve">Диаграмма № </w:t>
      </w:r>
      <w:r w:rsidR="00544248" w:rsidRPr="009D4D41">
        <w:rPr>
          <w:rFonts w:ascii="Times New Roman" w:eastAsia="Times New Roman" w:hAnsi="Times New Roman" w:cs="Times New Roman"/>
          <w:bCs/>
          <w:color w:val="000000" w:themeColor="text1"/>
          <w:sz w:val="24"/>
          <w:szCs w:val="24"/>
          <w:lang w:eastAsia="ru-RU"/>
        </w:rPr>
        <w:t>4</w:t>
      </w:r>
    </w:p>
    <w:p w:rsidR="00E7077C" w:rsidRPr="009D4D41" w:rsidRDefault="00E7077C" w:rsidP="00A94EB7">
      <w:pPr>
        <w:spacing w:after="0" w:line="240" w:lineRule="auto"/>
        <w:jc w:val="right"/>
        <w:rPr>
          <w:rFonts w:ascii="Times New Roman" w:eastAsia="Times New Roman" w:hAnsi="Times New Roman" w:cs="Times New Roman"/>
          <w:snapToGrid w:val="0"/>
          <w:color w:val="000000" w:themeColor="text1"/>
          <w:sz w:val="24"/>
          <w:szCs w:val="24"/>
          <w:lang w:eastAsia="ru-RU"/>
        </w:rPr>
      </w:pPr>
    </w:p>
    <w:p w:rsidR="00EA3C2C" w:rsidRPr="009D4D41" w:rsidRDefault="00EA3C2C" w:rsidP="00EA3C2C">
      <w:pPr>
        <w:spacing w:after="0" w:line="240" w:lineRule="auto"/>
        <w:jc w:val="center"/>
        <w:rPr>
          <w:rFonts w:ascii="Times New Roman" w:eastAsia="Times New Roman" w:hAnsi="Times New Roman" w:cs="Times New Roman"/>
          <w:snapToGrid w:val="0"/>
          <w:color w:val="000000" w:themeColor="text1"/>
          <w:sz w:val="24"/>
          <w:szCs w:val="24"/>
          <w:lang w:eastAsia="ru-RU"/>
        </w:rPr>
      </w:pPr>
      <w:r w:rsidRPr="009D4D41">
        <w:rPr>
          <w:noProof/>
          <w:color w:val="000000" w:themeColor="text1"/>
          <w:lang w:eastAsia="ru-RU"/>
        </w:rPr>
        <w:drawing>
          <wp:anchor distT="0" distB="0" distL="114300" distR="114300" simplePos="0" relativeHeight="251657216" behindDoc="0" locked="0" layoutInCell="1" allowOverlap="1" wp14:anchorId="57DECF57" wp14:editId="19C5177F">
            <wp:simplePos x="0" y="0"/>
            <wp:positionH relativeFrom="column">
              <wp:posOffset>-427550</wp:posOffset>
            </wp:positionH>
            <wp:positionV relativeFrom="paragraph">
              <wp:posOffset>387497</wp:posOffset>
            </wp:positionV>
            <wp:extent cx="6916420" cy="4102735"/>
            <wp:effectExtent l="0" t="0" r="0" b="0"/>
            <wp:wrapThrough wrapText="bothSides">
              <wp:wrapPolygon edited="0">
                <wp:start x="595" y="301"/>
                <wp:lineTo x="595" y="702"/>
                <wp:lineTo x="1368" y="2106"/>
                <wp:lineTo x="654" y="2708"/>
                <wp:lineTo x="654" y="3009"/>
                <wp:lineTo x="1487" y="3711"/>
                <wp:lineTo x="654" y="4914"/>
                <wp:lineTo x="654" y="5316"/>
                <wp:lineTo x="1487" y="5316"/>
                <wp:lineTo x="1487" y="6920"/>
                <wp:lineTo x="654" y="7021"/>
                <wp:lineTo x="654" y="7422"/>
                <wp:lineTo x="1487" y="8525"/>
                <wp:lineTo x="773" y="9227"/>
                <wp:lineTo x="773" y="9628"/>
                <wp:lineTo x="1487" y="10130"/>
                <wp:lineTo x="714" y="11734"/>
                <wp:lineTo x="714" y="11835"/>
                <wp:lineTo x="1428" y="13339"/>
                <wp:lineTo x="773" y="13841"/>
                <wp:lineTo x="773" y="14242"/>
                <wp:lineTo x="1487" y="14944"/>
                <wp:lineTo x="773" y="16047"/>
                <wp:lineTo x="773" y="16448"/>
                <wp:lineTo x="1487" y="16549"/>
                <wp:lineTo x="1487" y="18153"/>
                <wp:lineTo x="1071" y="18153"/>
                <wp:lineTo x="1368" y="19256"/>
                <wp:lineTo x="10768" y="19758"/>
                <wp:lineTo x="1785" y="20460"/>
                <wp:lineTo x="1725" y="20861"/>
                <wp:lineTo x="5176" y="21062"/>
                <wp:lineTo x="11423" y="21062"/>
                <wp:lineTo x="19930" y="20861"/>
                <wp:lineTo x="19930" y="20360"/>
                <wp:lineTo x="10768" y="19758"/>
                <wp:lineTo x="17134" y="19758"/>
                <wp:lineTo x="21358" y="19156"/>
                <wp:lineTo x="21418" y="602"/>
                <wp:lineTo x="1428" y="301"/>
                <wp:lineTo x="595" y="301"/>
              </wp:wrapPolygon>
            </wp:wrapThrough>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9D4D41">
        <w:rPr>
          <w:rFonts w:ascii="Times New Roman" w:eastAsia="Times New Roman" w:hAnsi="Times New Roman" w:cs="Times New Roman"/>
          <w:bCs/>
          <w:snapToGrid w:val="0"/>
          <w:color w:val="000000" w:themeColor="text1"/>
          <w:sz w:val="24"/>
          <w:szCs w:val="24"/>
          <w:lang w:eastAsia="ru-RU"/>
        </w:rPr>
        <w:t xml:space="preserve">Динамика объема средств Стабилизационного фонда,  Резервного фонда, </w:t>
      </w:r>
      <w:r w:rsidRPr="009D4D41">
        <w:rPr>
          <w:rFonts w:ascii="Times New Roman" w:eastAsia="Times New Roman" w:hAnsi="Times New Roman" w:cs="Times New Roman"/>
          <w:bCs/>
          <w:snapToGrid w:val="0"/>
          <w:color w:val="000000" w:themeColor="text1"/>
          <w:sz w:val="24"/>
          <w:szCs w:val="24"/>
          <w:lang w:eastAsia="ru-RU"/>
        </w:rPr>
        <w:br/>
        <w:t>Фонда национального благосостояния  на конец соответствующего периода</w:t>
      </w:r>
    </w:p>
    <w:p w:rsidR="00EA3C2C" w:rsidRPr="009D4D41" w:rsidRDefault="00EA3C2C" w:rsidP="00A94EB7">
      <w:pPr>
        <w:spacing w:after="0" w:line="240" w:lineRule="auto"/>
        <w:jc w:val="right"/>
        <w:rPr>
          <w:rFonts w:ascii="Times New Roman" w:eastAsia="Times New Roman" w:hAnsi="Times New Roman" w:cs="Times New Roman"/>
          <w:snapToGrid w:val="0"/>
          <w:color w:val="000000" w:themeColor="text1"/>
          <w:sz w:val="24"/>
          <w:szCs w:val="24"/>
          <w:lang w:eastAsia="ru-RU"/>
        </w:rPr>
      </w:pPr>
    </w:p>
    <w:p w:rsidR="00EA3C2C" w:rsidRPr="009D4D41" w:rsidRDefault="00EA3C2C" w:rsidP="00A94EB7">
      <w:pPr>
        <w:spacing w:after="0" w:line="240" w:lineRule="auto"/>
        <w:jc w:val="right"/>
        <w:rPr>
          <w:rFonts w:ascii="Times New Roman" w:eastAsia="Times New Roman" w:hAnsi="Times New Roman" w:cs="Times New Roman"/>
          <w:snapToGrid w:val="0"/>
          <w:color w:val="000000" w:themeColor="text1"/>
          <w:sz w:val="24"/>
          <w:szCs w:val="24"/>
          <w:lang w:eastAsia="ru-RU"/>
        </w:rPr>
      </w:pPr>
    </w:p>
    <w:p w:rsidR="00E7077C" w:rsidRPr="009D4D41" w:rsidRDefault="00E7077C" w:rsidP="00DA1E20">
      <w:pPr>
        <w:ind w:left="-851"/>
        <w:rPr>
          <w:rFonts w:ascii="Times New Roman" w:eastAsia="Times New Roman" w:hAnsi="Times New Roman" w:cs="Times New Roman"/>
          <w:snapToGrid w:val="0"/>
          <w:color w:val="000000" w:themeColor="text1"/>
          <w:sz w:val="24"/>
          <w:szCs w:val="24"/>
          <w:lang w:eastAsia="ru-RU"/>
        </w:rPr>
      </w:pPr>
      <w:r w:rsidRPr="009D4D41">
        <w:rPr>
          <w:rFonts w:ascii="Times New Roman" w:eastAsia="Times New Roman" w:hAnsi="Times New Roman" w:cs="Times New Roman"/>
          <w:snapToGrid w:val="0"/>
          <w:color w:val="000000" w:themeColor="text1"/>
          <w:sz w:val="24"/>
          <w:szCs w:val="24"/>
          <w:lang w:eastAsia="ru-RU"/>
        </w:rPr>
        <w:br w:type="page"/>
      </w:r>
    </w:p>
    <w:p w:rsidR="0057709A" w:rsidRPr="009D4D41" w:rsidRDefault="0057709A" w:rsidP="00A94EB7">
      <w:pPr>
        <w:spacing w:after="0" w:line="240" w:lineRule="auto"/>
        <w:jc w:val="right"/>
        <w:rPr>
          <w:rFonts w:ascii="Times New Roman" w:eastAsia="Times New Roman" w:hAnsi="Times New Roman" w:cs="Times New Roman"/>
          <w:snapToGrid w:val="0"/>
          <w:color w:val="000000" w:themeColor="text1"/>
          <w:sz w:val="24"/>
          <w:szCs w:val="24"/>
          <w:lang w:eastAsia="ru-RU"/>
        </w:rPr>
        <w:sectPr w:rsidR="0057709A" w:rsidRPr="009D4D41" w:rsidSect="00D759F8">
          <w:headerReference w:type="default" r:id="rId12"/>
          <w:pgSz w:w="11906" w:h="16838"/>
          <w:pgMar w:top="851" w:right="1134" w:bottom="284" w:left="1134" w:header="709" w:footer="709" w:gutter="0"/>
          <w:pgNumType w:start="1"/>
          <w:cols w:space="708"/>
          <w:titlePg/>
          <w:docGrid w:linePitch="360"/>
        </w:sectPr>
      </w:pPr>
    </w:p>
    <w:p w:rsidR="009310FD" w:rsidRPr="009D4D41" w:rsidRDefault="009310FD" w:rsidP="009310FD">
      <w:pPr>
        <w:spacing w:after="0" w:line="240" w:lineRule="auto"/>
        <w:ind w:left="6237"/>
        <w:jc w:val="right"/>
        <w:rPr>
          <w:rFonts w:ascii="Times New Roman" w:hAnsi="Times New Roman" w:cs="Times New Roman"/>
          <w:color w:val="000000" w:themeColor="text1"/>
          <w:sz w:val="24"/>
          <w:szCs w:val="28"/>
        </w:rPr>
      </w:pPr>
      <w:r w:rsidRPr="009D4D41">
        <w:rPr>
          <w:rFonts w:ascii="Times New Roman" w:hAnsi="Times New Roman" w:cs="Times New Roman"/>
          <w:color w:val="000000" w:themeColor="text1"/>
          <w:sz w:val="24"/>
          <w:szCs w:val="28"/>
        </w:rPr>
        <w:lastRenderedPageBreak/>
        <w:t>Таблица № </w:t>
      </w:r>
      <w:r w:rsidR="00EF55CE" w:rsidRPr="009D4D41">
        <w:rPr>
          <w:rFonts w:ascii="Times New Roman" w:hAnsi="Times New Roman" w:cs="Times New Roman"/>
          <w:color w:val="000000" w:themeColor="text1"/>
          <w:sz w:val="24"/>
          <w:szCs w:val="28"/>
        </w:rPr>
        <w:t>17</w:t>
      </w:r>
    </w:p>
    <w:p w:rsidR="009310FD" w:rsidRPr="009D4D41" w:rsidRDefault="009310FD" w:rsidP="009310FD">
      <w:pPr>
        <w:spacing w:after="0" w:line="240" w:lineRule="auto"/>
        <w:ind w:left="6237"/>
        <w:jc w:val="right"/>
        <w:rPr>
          <w:rFonts w:ascii="Times New Roman" w:hAnsi="Times New Roman" w:cs="Times New Roman"/>
          <w:color w:val="000000" w:themeColor="text1"/>
          <w:sz w:val="10"/>
          <w:szCs w:val="10"/>
        </w:rPr>
      </w:pPr>
    </w:p>
    <w:p w:rsidR="009310FD" w:rsidRPr="009D4D41" w:rsidRDefault="009310FD" w:rsidP="009310FD">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 xml:space="preserve">Информация о финансировании за счет средств Фонда национального благосостояния (ФНБ) самоокупаемых инфраструктурных проектов, </w:t>
      </w:r>
    </w:p>
    <w:p w:rsidR="009310FD" w:rsidRPr="009D4D41" w:rsidRDefault="009310FD" w:rsidP="009310FD">
      <w:pPr>
        <w:widowControl w:val="0"/>
        <w:spacing w:after="0" w:line="240" w:lineRule="auto"/>
        <w:jc w:val="center"/>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перечень которых утвержден распоряжением Правительства Российской Федерации от 5 ноября 2013 г. № 2044-р (с изменениями)</w:t>
      </w:r>
    </w:p>
    <w:p w:rsidR="009310FD" w:rsidRPr="009D4D41" w:rsidRDefault="009310FD" w:rsidP="009310FD">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color w:val="000000" w:themeColor="text1"/>
          <w:sz w:val="24"/>
          <w:szCs w:val="24"/>
          <w:lang w:eastAsia="ru-RU"/>
        </w:rPr>
      </w:pPr>
      <w:r w:rsidRPr="009D4D41">
        <w:rPr>
          <w:rFonts w:ascii="Times New Roman" w:eastAsia="Times New Roman" w:hAnsi="Times New Roman" w:cs="Times New Roman"/>
          <w:color w:val="000000" w:themeColor="text1"/>
          <w:sz w:val="24"/>
          <w:szCs w:val="24"/>
          <w:lang w:eastAsia="ru-RU"/>
        </w:rPr>
        <w:t>млрд. рублей</w:t>
      </w:r>
    </w:p>
    <w:tbl>
      <w:tblPr>
        <w:tblStyle w:val="a3"/>
        <w:tblW w:w="15309" w:type="dxa"/>
        <w:tblInd w:w="675" w:type="dxa"/>
        <w:tblLayout w:type="fixed"/>
        <w:tblLook w:val="04A0" w:firstRow="1" w:lastRow="0" w:firstColumn="1" w:lastColumn="0" w:noHBand="0" w:noVBand="1"/>
      </w:tblPr>
      <w:tblGrid>
        <w:gridCol w:w="373"/>
        <w:gridCol w:w="5156"/>
        <w:gridCol w:w="1984"/>
        <w:gridCol w:w="2835"/>
        <w:gridCol w:w="1417"/>
        <w:gridCol w:w="1418"/>
        <w:gridCol w:w="2126"/>
      </w:tblGrid>
      <w:tr w:rsidR="009D4D41" w:rsidRPr="009D4D41" w:rsidTr="00321D81">
        <w:trPr>
          <w:tblHeader/>
        </w:trPr>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w:t>
            </w:r>
          </w:p>
        </w:tc>
        <w:tc>
          <w:tcPr>
            <w:tcW w:w="515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Наименование инфраструктурного проекта</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Предельный объем средств ФНБ, направляемых на финансирование проекта</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Финансовый актив, в который размещены средства ФНБ в целях финансирования проекта</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color w:val="000000" w:themeColor="text1"/>
              </w:rPr>
              <w:t xml:space="preserve">Объем размещенных средств на </w:t>
            </w:r>
            <w:r w:rsidRPr="009D4D41">
              <w:rPr>
                <w:rFonts w:ascii="Times New Roman" w:hAnsi="Times New Roman" w:cs="Times New Roman"/>
                <w:color w:val="000000" w:themeColor="text1"/>
              </w:rPr>
              <w:br/>
              <w:t xml:space="preserve">1 января </w:t>
            </w:r>
            <w:r w:rsidRPr="009D4D41">
              <w:rPr>
                <w:rFonts w:ascii="Times New Roman" w:hAnsi="Times New Roman" w:cs="Times New Roman"/>
                <w:color w:val="000000" w:themeColor="text1"/>
              </w:rPr>
              <w:br/>
              <w:t>2020 года</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Объем размещенных средств на </w:t>
            </w:r>
            <w:r w:rsidRPr="009D4D41">
              <w:rPr>
                <w:rFonts w:ascii="Times New Roman" w:hAnsi="Times New Roman" w:cs="Times New Roman"/>
                <w:color w:val="000000" w:themeColor="text1"/>
              </w:rPr>
              <w:br/>
              <w:t xml:space="preserve">1 сентября </w:t>
            </w:r>
            <w:r w:rsidRPr="009D4D41">
              <w:rPr>
                <w:rFonts w:ascii="Times New Roman" w:hAnsi="Times New Roman" w:cs="Times New Roman"/>
                <w:color w:val="000000" w:themeColor="text1"/>
              </w:rPr>
              <w:br/>
              <w:t>2020 года</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 xml:space="preserve">Остаток на </w:t>
            </w:r>
            <w:r w:rsidRPr="009D4D41">
              <w:rPr>
                <w:rFonts w:ascii="Times New Roman" w:hAnsi="Times New Roman" w:cs="Times New Roman"/>
                <w:b/>
                <w:color w:val="000000" w:themeColor="text1"/>
              </w:rPr>
              <w:br/>
              <w:t xml:space="preserve">1 сентября </w:t>
            </w:r>
            <w:r w:rsidRPr="009D4D41">
              <w:rPr>
                <w:rFonts w:ascii="Times New Roman" w:hAnsi="Times New Roman" w:cs="Times New Roman"/>
                <w:b/>
                <w:color w:val="000000" w:themeColor="text1"/>
              </w:rPr>
              <w:br/>
              <w:t>2020 года средств, который может быть направлен на финансирование проектов****</w:t>
            </w:r>
          </w:p>
        </w:tc>
      </w:tr>
      <w:tr w:rsidR="009D4D41" w:rsidRPr="009D4D41" w:rsidTr="00321D81">
        <w:trPr>
          <w:trHeight w:val="505"/>
        </w:trPr>
        <w:tc>
          <w:tcPr>
            <w:tcW w:w="373" w:type="dxa"/>
            <w:vMerge w:val="restart"/>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w:t>
            </w:r>
          </w:p>
        </w:tc>
        <w:tc>
          <w:tcPr>
            <w:tcW w:w="5156" w:type="dxa"/>
            <w:vMerge w:val="restart"/>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«Центральная кольцевая автомобильная дорога (Московская область)»</w:t>
            </w:r>
          </w:p>
        </w:tc>
        <w:tc>
          <w:tcPr>
            <w:tcW w:w="1984" w:type="dxa"/>
            <w:vMerge w:val="restart"/>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150,0</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Субординированный депозит </w:t>
            </w:r>
            <w:r w:rsidRPr="009D4D41">
              <w:rPr>
                <w:rFonts w:ascii="Times New Roman" w:hAnsi="Times New Roman" w:cs="Times New Roman"/>
                <w:color w:val="000000" w:themeColor="text1"/>
              </w:rPr>
              <w:br/>
              <w:t>в Банке ГПБ (АО)</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38,43</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38,43</w:t>
            </w:r>
          </w:p>
        </w:tc>
        <w:tc>
          <w:tcPr>
            <w:tcW w:w="2126" w:type="dxa"/>
            <w:vMerge w:val="restart"/>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29,35</w:t>
            </w:r>
          </w:p>
        </w:tc>
      </w:tr>
      <w:tr w:rsidR="009D4D41" w:rsidRPr="009D4D41" w:rsidTr="00321D81">
        <w:trPr>
          <w:trHeight w:val="505"/>
        </w:trPr>
        <w:tc>
          <w:tcPr>
            <w:tcW w:w="373" w:type="dxa"/>
            <w:vMerge/>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5156" w:type="dxa"/>
            <w:vMerge/>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p>
        </w:tc>
        <w:tc>
          <w:tcPr>
            <w:tcW w:w="1984" w:type="dxa"/>
            <w:vMerge/>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Облигации </w:t>
            </w:r>
            <w:r w:rsidRPr="009D4D41">
              <w:rPr>
                <w:rFonts w:ascii="Times New Roman" w:hAnsi="Times New Roman" w:cs="Times New Roman"/>
                <w:color w:val="000000" w:themeColor="text1"/>
              </w:rPr>
              <w:br/>
              <w:t>ГК «Автодор»</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54,47</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82,22</w:t>
            </w:r>
          </w:p>
        </w:tc>
        <w:tc>
          <w:tcPr>
            <w:tcW w:w="2126" w:type="dxa"/>
            <w:vMerge/>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highlight w:val="yellow"/>
              </w:rPr>
            </w:pPr>
          </w:p>
        </w:tc>
      </w:tr>
      <w:tr w:rsidR="009D4D41" w:rsidRPr="009D4D41" w:rsidTr="00321D81">
        <w:trPr>
          <w:trHeight w:val="248"/>
        </w:trPr>
        <w:tc>
          <w:tcPr>
            <w:tcW w:w="373" w:type="dxa"/>
            <w:vMerge/>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5156" w:type="dxa"/>
            <w:vMerge/>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p>
        </w:tc>
        <w:tc>
          <w:tcPr>
            <w:tcW w:w="1984" w:type="dxa"/>
            <w:vMerge/>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Всего</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92,9</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120,65</w:t>
            </w:r>
          </w:p>
        </w:tc>
        <w:tc>
          <w:tcPr>
            <w:tcW w:w="2126" w:type="dxa"/>
            <w:vMerge/>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highlight w:val="yellow"/>
              </w:rPr>
            </w:pP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2</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150,0</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Привилегированные акции ОАО «РЖД»</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89,5</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110,0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40,0</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3</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«Строительство железной дороги Элегест – Кызыл – Курагино и угольного портового терминала на Дальнем Востоке в увязке с освоением минерально-сырьевой базы Республики Тыва»</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86,86</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4</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«Строительство «интеллектуальных сетей»</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1,1</w:t>
            </w:r>
          </w:p>
        </w:tc>
        <w:tc>
          <w:tcPr>
            <w:tcW w:w="2835" w:type="dxa"/>
            <w:vAlign w:val="center"/>
          </w:tcPr>
          <w:p w:rsidR="00EF55CE" w:rsidRPr="009D4D41" w:rsidRDefault="00EF55CE" w:rsidP="00321D81">
            <w:pPr>
              <w:keepNext/>
              <w:keepLines/>
              <w:widowControl w:val="0"/>
              <w:autoSpaceDN w:val="0"/>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 xml:space="preserve">Облигации </w:t>
            </w:r>
            <w:r w:rsidRPr="009D4D41">
              <w:rPr>
                <w:rFonts w:ascii="Times New Roman" w:hAnsi="Times New Roman" w:cs="Times New Roman"/>
                <w:color w:val="000000" w:themeColor="text1"/>
                <w:shd w:val="clear" w:color="auto" w:fill="FFFFFF"/>
              </w:rPr>
              <w:br/>
              <w:t>ООО «Инфраструктурные инвестиции-3»</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1,08</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1,08</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5</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«Ликвидация цифрового неравенства в малонаселенных пунктах России»</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27,0</w:t>
            </w:r>
          </w:p>
        </w:tc>
        <w:tc>
          <w:tcPr>
            <w:tcW w:w="2835" w:type="dxa"/>
            <w:vAlign w:val="center"/>
          </w:tcPr>
          <w:p w:rsidR="00EF55CE" w:rsidRPr="009D4D41" w:rsidRDefault="00EF55CE" w:rsidP="00321D81">
            <w:pPr>
              <w:widowControl w:val="0"/>
              <w:autoSpaceDN w:val="0"/>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 xml:space="preserve">Облигации </w:t>
            </w:r>
            <w:r w:rsidRPr="009D4D41">
              <w:rPr>
                <w:rFonts w:ascii="Times New Roman" w:hAnsi="Times New Roman" w:cs="Times New Roman"/>
                <w:color w:val="000000" w:themeColor="text1"/>
                <w:shd w:val="clear" w:color="auto" w:fill="FFFFFF"/>
              </w:rPr>
              <w:br/>
              <w:t>ООО «Инфраструктурные инвестиции-4»</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4,05</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4,05</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22,95</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6</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«Строительство комплекса по добыче и подготовке газа, завода сжиженного природного газа и мощностей по отгрузке сжиженного природного газа и газового конденсата Южно-Тамбейского газоконденсатного месторождения на полуострове </w:t>
            </w:r>
            <w:r w:rsidRPr="009D4D41">
              <w:rPr>
                <w:rFonts w:ascii="Times New Roman" w:hAnsi="Times New Roman" w:cs="Times New Roman"/>
                <w:color w:val="000000" w:themeColor="text1"/>
              </w:rPr>
              <w:lastRenderedPageBreak/>
              <w:t>Ямал»</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lastRenderedPageBreak/>
              <w:t>150,0</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 xml:space="preserve">Облигации </w:t>
            </w:r>
            <w:r w:rsidRPr="009D4D41">
              <w:rPr>
                <w:rFonts w:ascii="Times New Roman" w:hAnsi="Times New Roman" w:cs="Times New Roman"/>
                <w:color w:val="000000" w:themeColor="text1"/>
                <w:shd w:val="clear" w:color="auto" w:fill="FFFFFF"/>
              </w:rPr>
              <w:br/>
              <w:t>ОАО «Ямал СПГ»</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150,0**</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150,0**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lastRenderedPageBreak/>
              <w:t>7</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«Развитие железнодорожной инфраструктуры Восточной части БАМа»</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7,5</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8</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«Развитие железнодорожной инфраструктуры на подходах к портам Азово-Черноморского бассейна»</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10,3</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9</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«Развитие железнодорожной инфраструктуры на подходах к портам Северо-Запада России»</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22,0</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0,0*</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10</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«Приобретение тягового подвижного состава»</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60,2</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shd w:val="clear" w:color="auto" w:fill="FFFFFF"/>
              </w:rPr>
            </w:pPr>
            <w:r w:rsidRPr="009D4D41">
              <w:rPr>
                <w:rFonts w:ascii="Times New Roman" w:hAnsi="Times New Roman" w:cs="Times New Roman"/>
                <w:color w:val="000000" w:themeColor="text1"/>
                <w:shd w:val="clear" w:color="auto" w:fill="FFFFFF"/>
              </w:rPr>
              <w:t xml:space="preserve">Субординированный депозит </w:t>
            </w:r>
            <w:r w:rsidRPr="009D4D41">
              <w:rPr>
                <w:rFonts w:ascii="Times New Roman" w:hAnsi="Times New Roman" w:cs="Times New Roman"/>
                <w:color w:val="000000" w:themeColor="text1"/>
                <w:shd w:val="clear" w:color="auto" w:fill="FFFFFF"/>
              </w:rPr>
              <w:br/>
              <w:t>в Банке ВТБ (ПАО)***</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60,2</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60,2</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11</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«Сооружение АЭС «Ханхикиви-1» в Финляндии </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эквивалент </w:t>
            </w:r>
            <w:r w:rsidRPr="009D4D41">
              <w:rPr>
                <w:rFonts w:ascii="Times New Roman" w:hAnsi="Times New Roman" w:cs="Times New Roman"/>
                <w:color w:val="000000" w:themeColor="text1"/>
              </w:rPr>
              <w:br/>
              <w:t>2,4 млрд. евро в рублях, но не более 150,0 млрд. рублей</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Привилегированные акции </w:t>
            </w:r>
            <w:r w:rsidRPr="009D4D41">
              <w:rPr>
                <w:rFonts w:ascii="Times New Roman" w:hAnsi="Times New Roman" w:cs="Times New Roman"/>
                <w:color w:val="000000" w:themeColor="text1"/>
              </w:rPr>
              <w:br/>
              <w:t>АО «Атомэнергопром»</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57,5</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57,5</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92,5</w:t>
            </w:r>
          </w:p>
        </w:tc>
      </w:tr>
      <w:tr w:rsidR="009D4D41" w:rsidRPr="009D4D41" w:rsidTr="00321D81">
        <w:trPr>
          <w:trHeight w:val="70"/>
        </w:trPr>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12</w:t>
            </w: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«Строительство интегрированного нефтехимического комплекса «Западно-Сибирский нефтехимический комбинат»</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эквивалент </w:t>
            </w:r>
            <w:r w:rsidRPr="009D4D41">
              <w:rPr>
                <w:rFonts w:ascii="Times New Roman" w:hAnsi="Times New Roman" w:cs="Times New Roman"/>
                <w:color w:val="000000" w:themeColor="text1"/>
              </w:rPr>
              <w:br/>
              <w:t xml:space="preserve">1,75 млрд. долларов США в рублях, но не более </w:t>
            </w:r>
            <w:r w:rsidRPr="009D4D41">
              <w:rPr>
                <w:rFonts w:ascii="Times New Roman" w:hAnsi="Times New Roman" w:cs="Times New Roman"/>
                <w:color w:val="000000" w:themeColor="text1"/>
              </w:rPr>
              <w:br/>
              <w:t>157,5 млрд. рублей</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Облигации </w:t>
            </w:r>
            <w:r w:rsidRPr="009D4D41">
              <w:rPr>
                <w:rFonts w:ascii="Times New Roman" w:hAnsi="Times New Roman" w:cs="Times New Roman"/>
                <w:color w:val="000000" w:themeColor="text1"/>
              </w:rPr>
              <w:br/>
              <w:t>ООО «Западно-Сибирский Нефтехимический Комбинат»</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118,6</w:t>
            </w:r>
          </w:p>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(эквивалент </w:t>
            </w:r>
            <w:r w:rsidRPr="009D4D41">
              <w:rPr>
                <w:rFonts w:ascii="Times New Roman" w:hAnsi="Times New Roman" w:cs="Times New Roman"/>
                <w:color w:val="000000" w:themeColor="text1"/>
              </w:rPr>
              <w:br/>
              <w:t>1,75 млрд. долларов США)**</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118,6</w:t>
            </w:r>
          </w:p>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 xml:space="preserve">(эквивалент </w:t>
            </w:r>
            <w:r w:rsidRPr="009D4D41">
              <w:rPr>
                <w:rFonts w:ascii="Times New Roman" w:hAnsi="Times New Roman" w:cs="Times New Roman"/>
                <w:color w:val="000000" w:themeColor="text1"/>
              </w:rPr>
              <w:br/>
              <w:t>1,75 млрд. долларов США)**</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515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Х</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Х</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shd w:val="clear" w:color="auto" w:fill="FFFFFF"/>
              </w:rPr>
              <w:t xml:space="preserve">Субординированный депозит </w:t>
            </w:r>
            <w:r w:rsidRPr="009D4D41">
              <w:rPr>
                <w:rFonts w:ascii="Times New Roman" w:hAnsi="Times New Roman" w:cs="Times New Roman"/>
                <w:color w:val="000000" w:themeColor="text1"/>
                <w:shd w:val="clear" w:color="auto" w:fill="FFFFFF"/>
              </w:rPr>
              <w:br/>
              <w:t>в Банке ВТБ (ПАО)***</w:t>
            </w:r>
          </w:p>
        </w:tc>
        <w:tc>
          <w:tcPr>
            <w:tcW w:w="1417"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39,8</w:t>
            </w:r>
          </w:p>
        </w:tc>
        <w:tc>
          <w:tcPr>
            <w:tcW w:w="1418"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r w:rsidRPr="009D4D41">
              <w:rPr>
                <w:rFonts w:ascii="Times New Roman" w:hAnsi="Times New Roman" w:cs="Times New Roman"/>
                <w:color w:val="000000" w:themeColor="text1"/>
              </w:rPr>
              <w:t>39,8</w:t>
            </w:r>
          </w:p>
        </w:tc>
        <w:tc>
          <w:tcPr>
            <w:tcW w:w="2126"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w:t>
            </w:r>
          </w:p>
        </w:tc>
      </w:tr>
      <w:tr w:rsidR="009D4D41" w:rsidRPr="009D4D41" w:rsidTr="00321D81">
        <w:tc>
          <w:tcPr>
            <w:tcW w:w="373"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color w:val="000000" w:themeColor="text1"/>
              </w:rPr>
            </w:pPr>
          </w:p>
        </w:tc>
        <w:tc>
          <w:tcPr>
            <w:tcW w:w="5156" w:type="dxa"/>
            <w:vAlign w:val="center"/>
          </w:tcPr>
          <w:p w:rsidR="00EF55CE" w:rsidRPr="009D4D41" w:rsidRDefault="00EF55CE" w:rsidP="00321D81">
            <w:pPr>
              <w:widowControl w:val="0"/>
              <w:overflowPunct w:val="0"/>
              <w:autoSpaceDE w:val="0"/>
              <w:autoSpaceDN w:val="0"/>
              <w:adjustRightInd w:val="0"/>
              <w:ind w:left="-57" w:right="-57"/>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Итого (в рублевом эквиваленте)</w:t>
            </w:r>
          </w:p>
        </w:tc>
        <w:tc>
          <w:tcPr>
            <w:tcW w:w="1984"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972,46</w:t>
            </w:r>
          </w:p>
        </w:tc>
        <w:tc>
          <w:tcPr>
            <w:tcW w:w="2835" w:type="dxa"/>
            <w:vAlign w:val="center"/>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p>
        </w:tc>
        <w:tc>
          <w:tcPr>
            <w:tcW w:w="1417" w:type="dxa"/>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highlight w:val="yellow"/>
              </w:rPr>
            </w:pPr>
            <w:r w:rsidRPr="009D4D41">
              <w:rPr>
                <w:rFonts w:ascii="Times New Roman" w:hAnsi="Times New Roman" w:cs="Times New Roman"/>
                <w:b/>
                <w:color w:val="000000" w:themeColor="text1"/>
              </w:rPr>
              <w:t>573,83</w:t>
            </w:r>
          </w:p>
        </w:tc>
        <w:tc>
          <w:tcPr>
            <w:tcW w:w="1418" w:type="dxa"/>
          </w:tcPr>
          <w:p w:rsidR="00EF55CE" w:rsidRPr="009D4D41" w:rsidRDefault="00EF55CE"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sidRPr="009D4D41">
              <w:rPr>
                <w:rFonts w:ascii="Times New Roman" w:hAnsi="Times New Roman" w:cs="Times New Roman"/>
                <w:b/>
                <w:color w:val="000000" w:themeColor="text1"/>
              </w:rPr>
              <w:t>622,08</w:t>
            </w:r>
          </w:p>
        </w:tc>
        <w:tc>
          <w:tcPr>
            <w:tcW w:w="2126" w:type="dxa"/>
          </w:tcPr>
          <w:p w:rsidR="00EF55CE" w:rsidRPr="009D4D41" w:rsidRDefault="009A2B11" w:rsidP="00321D81">
            <w:pPr>
              <w:widowControl w:val="0"/>
              <w:overflowPunct w:val="0"/>
              <w:autoSpaceDE w:val="0"/>
              <w:autoSpaceDN w:val="0"/>
              <w:adjustRightInd w:val="0"/>
              <w:ind w:left="-57" w:right="-57"/>
              <w:jc w:val="center"/>
              <w:textAlignment w:val="baseline"/>
              <w:rPr>
                <w:rFonts w:ascii="Times New Roman" w:hAnsi="Times New Roman" w:cs="Times New Roman"/>
                <w:b/>
                <w:color w:val="000000" w:themeColor="text1"/>
              </w:rPr>
            </w:pPr>
            <w:r>
              <w:rPr>
                <w:rFonts w:ascii="Times New Roman" w:hAnsi="Times New Roman" w:cs="Times New Roman"/>
                <w:b/>
                <w:color w:val="000000" w:themeColor="text1"/>
              </w:rPr>
              <w:t>184,8</w:t>
            </w:r>
          </w:p>
        </w:tc>
      </w:tr>
    </w:tbl>
    <w:p w:rsidR="00EF55CE" w:rsidRPr="009D4D41" w:rsidRDefault="00EF55CE" w:rsidP="00EF55CE">
      <w:pPr>
        <w:spacing w:after="0" w:line="240" w:lineRule="auto"/>
        <w:ind w:left="567"/>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w:t>
      </w:r>
      <w:r w:rsidRPr="009D4D41">
        <w:rPr>
          <w:color w:val="000000" w:themeColor="text1"/>
          <w:sz w:val="20"/>
          <w:szCs w:val="20"/>
        </w:rPr>
        <w:t xml:space="preserve"> - Ф</w:t>
      </w:r>
      <w:r w:rsidRPr="009D4D41">
        <w:rPr>
          <w:rFonts w:ascii="Times New Roman" w:hAnsi="Times New Roman" w:cs="Times New Roman"/>
          <w:color w:val="000000" w:themeColor="text1"/>
          <w:sz w:val="20"/>
          <w:szCs w:val="20"/>
        </w:rPr>
        <w:t>инансирование инфраструктурных проектов не было начато за счет средств ФНБ до 1 января 2018 года</w:t>
      </w:r>
    </w:p>
    <w:p w:rsidR="00EF55CE" w:rsidRPr="009D4D41" w:rsidRDefault="00EF55CE" w:rsidP="00EF55CE">
      <w:pPr>
        <w:spacing w:after="0" w:line="240" w:lineRule="auto"/>
        <w:ind w:left="567"/>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 Сумма средств ФНБ в рублях, направленных на приобретение ценных бумаг, номинированных в долларах США</w:t>
      </w:r>
    </w:p>
    <w:p w:rsidR="00EF55CE" w:rsidRPr="009D4D41" w:rsidRDefault="00EF55CE" w:rsidP="00EF55CE">
      <w:pPr>
        <w:spacing w:after="0" w:line="240" w:lineRule="auto"/>
        <w:ind w:left="567"/>
        <w:jc w:val="both"/>
        <w:rPr>
          <w:rFonts w:ascii="Times New Roman" w:hAnsi="Times New Roman" w:cs="Times New Roman"/>
          <w:color w:val="000000" w:themeColor="text1"/>
        </w:rPr>
      </w:pPr>
      <w:r w:rsidRPr="009D4D41">
        <w:rPr>
          <w:rFonts w:ascii="Times New Roman" w:hAnsi="Times New Roman" w:cs="Times New Roman"/>
          <w:color w:val="000000" w:themeColor="text1"/>
          <w:sz w:val="20"/>
          <w:szCs w:val="20"/>
        </w:rPr>
        <w:t xml:space="preserve">*** - На субординированный депозит в Банке ВТБ (ПАО) размещены средства ФНБ в объеме 100,0 млрд. рублей, из которых на финансирование проекта «Приобретение тягового подвижного состава» было направлено 60,2 млрд. рублей путем приобретения Банком ВТБ (ПАО) облигаций ОАО «РЖД». Остаток средств, не направленных на финансирование проектов, составляет 39,8 млрд. рублей. </w:t>
      </w:r>
      <w:r w:rsidRPr="009D4D41">
        <w:rPr>
          <w:rFonts w:ascii="Times New Roman" w:hAnsi="Times New Roman" w:cs="Times New Roman"/>
          <w:color w:val="000000" w:themeColor="text1"/>
        </w:rPr>
        <w:t xml:space="preserve"> </w:t>
      </w:r>
    </w:p>
    <w:p w:rsidR="00EF55CE" w:rsidRPr="009D4D41" w:rsidRDefault="00EF55CE" w:rsidP="00EF55CE">
      <w:pPr>
        <w:spacing w:after="0" w:line="240" w:lineRule="auto"/>
        <w:ind w:left="567"/>
        <w:rPr>
          <w:rFonts w:ascii="Times New Roman" w:hAnsi="Times New Roman" w:cs="Times New Roman"/>
          <w:color w:val="000000" w:themeColor="text1"/>
        </w:rPr>
      </w:pPr>
      <w:r w:rsidRPr="009D4D41">
        <w:rPr>
          <w:rFonts w:ascii="Times New Roman" w:hAnsi="Times New Roman" w:cs="Times New Roman"/>
          <w:color w:val="000000" w:themeColor="text1"/>
          <w:sz w:val="20"/>
          <w:szCs w:val="20"/>
        </w:rPr>
        <w:t>**** - В отношении инфраструктурных проектов, финансирование которых было начато до 1 января 2018 года.</w:t>
      </w:r>
    </w:p>
    <w:p w:rsidR="00EF55CE" w:rsidRPr="009D4D41" w:rsidRDefault="00EF55CE" w:rsidP="009310FD">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color w:val="000000" w:themeColor="text1"/>
          <w:sz w:val="24"/>
          <w:szCs w:val="24"/>
          <w:lang w:eastAsia="ru-RU"/>
        </w:rPr>
      </w:pPr>
    </w:p>
    <w:p w:rsidR="0057709A" w:rsidRPr="009D4D41" w:rsidRDefault="0057709A" w:rsidP="00EF55CE">
      <w:pPr>
        <w:spacing w:after="0" w:line="240" w:lineRule="auto"/>
        <w:jc w:val="both"/>
        <w:rPr>
          <w:rFonts w:ascii="Times New Roman" w:hAnsi="Times New Roman" w:cs="Times New Roman"/>
          <w:color w:val="000000" w:themeColor="text1"/>
        </w:rPr>
      </w:pPr>
      <w:r w:rsidRPr="009D4D41">
        <w:rPr>
          <w:rFonts w:ascii="Times New Roman" w:hAnsi="Times New Roman" w:cs="Times New Roman"/>
          <w:color w:val="000000" w:themeColor="text1"/>
        </w:rPr>
        <w:t xml:space="preserve"> </w:t>
      </w:r>
    </w:p>
    <w:p w:rsidR="0057709A" w:rsidRPr="009D4D41" w:rsidRDefault="0057709A" w:rsidP="0057709A">
      <w:pPr>
        <w:rPr>
          <w:color w:val="000000" w:themeColor="text1"/>
        </w:rPr>
        <w:sectPr w:rsidR="0057709A" w:rsidRPr="009D4D41" w:rsidSect="004509A5">
          <w:pgSz w:w="16838" w:h="11906" w:orient="landscape"/>
          <w:pgMar w:top="1134" w:right="851" w:bottom="1134" w:left="284" w:header="709" w:footer="709" w:gutter="0"/>
          <w:cols w:space="708"/>
          <w:docGrid w:linePitch="360"/>
        </w:sectPr>
      </w:pPr>
    </w:p>
    <w:p w:rsidR="00C51A1B" w:rsidRPr="009D4D41" w:rsidRDefault="00C51A1B" w:rsidP="00C51A1B">
      <w:pPr>
        <w:spacing w:after="0" w:line="240" w:lineRule="auto"/>
        <w:ind w:left="6237"/>
        <w:jc w:val="right"/>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lastRenderedPageBreak/>
        <w:t>Таблица № 1</w:t>
      </w:r>
      <w:r w:rsidR="005A53E3" w:rsidRPr="009D4D41">
        <w:rPr>
          <w:rFonts w:ascii="Times New Roman" w:hAnsi="Times New Roman" w:cs="Times New Roman"/>
          <w:color w:val="000000" w:themeColor="text1"/>
          <w:sz w:val="24"/>
          <w:szCs w:val="24"/>
        </w:rPr>
        <w:t>8</w:t>
      </w:r>
    </w:p>
    <w:p w:rsidR="00C51A1B" w:rsidRPr="009D4D41" w:rsidRDefault="00C51A1B" w:rsidP="00C51A1B">
      <w:pPr>
        <w:spacing w:after="0" w:line="240" w:lineRule="auto"/>
        <w:jc w:val="center"/>
        <w:rPr>
          <w:rFonts w:ascii="Times New Roman" w:hAnsi="Times New Roman" w:cs="Times New Roman"/>
          <w:color w:val="000000" w:themeColor="text1"/>
          <w:sz w:val="24"/>
          <w:szCs w:val="24"/>
        </w:rPr>
      </w:pPr>
    </w:p>
    <w:p w:rsidR="00C51A1B" w:rsidRPr="009D4D41" w:rsidRDefault="00C51A1B" w:rsidP="00C51A1B">
      <w:pPr>
        <w:spacing w:after="0" w:line="240" w:lineRule="auto"/>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Прогноз поступления дохо</w:t>
      </w:r>
      <w:r w:rsidR="005A53E3" w:rsidRPr="009D4D41">
        <w:rPr>
          <w:rFonts w:ascii="Times New Roman" w:hAnsi="Times New Roman" w:cs="Times New Roman"/>
          <w:color w:val="000000" w:themeColor="text1"/>
          <w:sz w:val="24"/>
          <w:szCs w:val="24"/>
        </w:rPr>
        <w:t>дов федерального бюджета на 2021 - 2023</w:t>
      </w:r>
      <w:r w:rsidRPr="009D4D41">
        <w:rPr>
          <w:rFonts w:ascii="Times New Roman" w:hAnsi="Times New Roman" w:cs="Times New Roman"/>
          <w:color w:val="000000" w:themeColor="text1"/>
          <w:sz w:val="24"/>
          <w:szCs w:val="24"/>
        </w:rPr>
        <w:t xml:space="preserve"> годы </w:t>
      </w:r>
    </w:p>
    <w:p w:rsidR="00C51A1B" w:rsidRPr="009D4D41" w:rsidRDefault="00C51A1B" w:rsidP="00C51A1B">
      <w:pPr>
        <w:spacing w:after="0" w:line="240" w:lineRule="auto"/>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 xml:space="preserve">от управления средствами (ФНБ) в соответствии с законопроектом, </w:t>
      </w:r>
    </w:p>
    <w:p w:rsidR="00C51A1B" w:rsidRPr="009D4D41" w:rsidRDefault="00C51A1B" w:rsidP="00C51A1B">
      <w:pPr>
        <w:spacing w:after="0" w:line="240" w:lineRule="auto"/>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а также оценка поступления доходов от у</w:t>
      </w:r>
      <w:r w:rsidR="005A53E3" w:rsidRPr="009D4D41">
        <w:rPr>
          <w:rFonts w:ascii="Times New Roman" w:hAnsi="Times New Roman" w:cs="Times New Roman"/>
          <w:color w:val="000000" w:themeColor="text1"/>
          <w:sz w:val="24"/>
          <w:szCs w:val="24"/>
        </w:rPr>
        <w:t>правления средствами ФНБ за 2020</w:t>
      </w:r>
      <w:r w:rsidRPr="009D4D41">
        <w:rPr>
          <w:rFonts w:ascii="Times New Roman" w:hAnsi="Times New Roman" w:cs="Times New Roman"/>
          <w:color w:val="000000" w:themeColor="text1"/>
          <w:sz w:val="24"/>
          <w:szCs w:val="24"/>
        </w:rPr>
        <w:t xml:space="preserve"> год</w:t>
      </w:r>
    </w:p>
    <w:p w:rsidR="00C51A1B" w:rsidRPr="009D4D41" w:rsidRDefault="00C51A1B" w:rsidP="00C51A1B">
      <w:pPr>
        <w:shd w:val="clear" w:color="auto" w:fill="FFFFFF"/>
        <w:spacing w:before="200" w:after="0" w:line="240" w:lineRule="auto"/>
        <w:ind w:left="6373" w:right="-427" w:firstLine="709"/>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(млрд. рублей)</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702"/>
        <w:gridCol w:w="678"/>
        <w:gridCol w:w="642"/>
        <w:gridCol w:w="742"/>
        <w:gridCol w:w="704"/>
        <w:gridCol w:w="752"/>
        <w:gridCol w:w="704"/>
        <w:gridCol w:w="752"/>
        <w:gridCol w:w="704"/>
        <w:gridCol w:w="859"/>
      </w:tblGrid>
      <w:tr w:rsidR="009D4D41" w:rsidRPr="009D4D41" w:rsidTr="005A53E3">
        <w:trPr>
          <w:trHeight w:val="307"/>
          <w:tblHeader/>
        </w:trPr>
        <w:tc>
          <w:tcPr>
            <w:tcW w:w="1391" w:type="pct"/>
            <w:vMerge w:val="restar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Наименование</w:t>
            </w: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2019 г.</w:t>
            </w:r>
          </w:p>
        </w:tc>
        <w:tc>
          <w:tcPr>
            <w:tcW w:w="1028" w:type="pct"/>
            <w:gridSpan w:val="3"/>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2020 год</w:t>
            </w:r>
          </w:p>
        </w:tc>
        <w:tc>
          <w:tcPr>
            <w:tcW w:w="726" w:type="pct"/>
            <w:gridSpan w:val="2"/>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2021 год</w:t>
            </w:r>
          </w:p>
        </w:tc>
        <w:tc>
          <w:tcPr>
            <w:tcW w:w="726" w:type="pct"/>
            <w:gridSpan w:val="2"/>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2022 год</w:t>
            </w:r>
          </w:p>
        </w:tc>
        <w:tc>
          <w:tcPr>
            <w:tcW w:w="780" w:type="pct"/>
            <w:gridSpan w:val="2"/>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2023 год</w:t>
            </w:r>
          </w:p>
        </w:tc>
      </w:tr>
      <w:tr w:rsidR="009D4D41" w:rsidRPr="009D4D41" w:rsidTr="005A53E3">
        <w:trPr>
          <w:trHeight w:val="822"/>
          <w:tblHeader/>
        </w:trPr>
        <w:tc>
          <w:tcPr>
            <w:tcW w:w="1391" w:type="pct"/>
            <w:vMerge/>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rPr>
                <w:rFonts w:ascii="Times New Roman" w:eastAsia="Calibri" w:hAnsi="Times New Roman" w:cs="Times New Roman"/>
                <w:bCs/>
                <w:color w:val="000000" w:themeColor="text1"/>
                <w:sz w:val="16"/>
                <w:szCs w:val="16"/>
                <w:lang w:eastAsia="ru-RU"/>
              </w:rPr>
            </w:pPr>
          </w:p>
        </w:tc>
        <w:tc>
          <w:tcPr>
            <w:tcW w:w="350"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(факт)</w:t>
            </w:r>
          </w:p>
        </w:tc>
        <w:tc>
          <w:tcPr>
            <w:tcW w:w="338"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Бюджет</w:t>
            </w:r>
          </w:p>
        </w:tc>
        <w:tc>
          <w:tcPr>
            <w:tcW w:w="320"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Оценка</w:t>
            </w:r>
          </w:p>
        </w:tc>
        <w:tc>
          <w:tcPr>
            <w:tcW w:w="370"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Откло- нение оценки 2020 г. от бюджета 2020 г.</w:t>
            </w:r>
          </w:p>
        </w:tc>
        <w:tc>
          <w:tcPr>
            <w:tcW w:w="351"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Прогноз</w:t>
            </w:r>
          </w:p>
        </w:tc>
        <w:tc>
          <w:tcPr>
            <w:tcW w:w="375"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Откло- нение прогноза 2021 г. от оценки 2020 г.*</w:t>
            </w:r>
          </w:p>
        </w:tc>
        <w:tc>
          <w:tcPr>
            <w:tcW w:w="351"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Прогноз</w:t>
            </w:r>
          </w:p>
        </w:tc>
        <w:tc>
          <w:tcPr>
            <w:tcW w:w="375"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Откло- нение прогноза 2022 г. от прогноза 2021 г.**</w:t>
            </w:r>
          </w:p>
        </w:tc>
        <w:tc>
          <w:tcPr>
            <w:tcW w:w="351" w:type="pct"/>
            <w:tcBorders>
              <w:top w:val="single" w:sz="4" w:space="0" w:color="auto"/>
              <w:left w:val="single" w:sz="4" w:space="0" w:color="auto"/>
              <w:bottom w:val="single" w:sz="4" w:space="0" w:color="auto"/>
              <w:right w:val="single" w:sz="4" w:space="0" w:color="auto"/>
            </w:tcBorders>
            <w:noWrap/>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Прогноз</w:t>
            </w:r>
          </w:p>
        </w:tc>
        <w:tc>
          <w:tcPr>
            <w:tcW w:w="429"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Откло- нение прогноза 2023 г. от прогноза 2022 г.***</w:t>
            </w:r>
          </w:p>
        </w:tc>
      </w:tr>
      <w:tr w:rsidR="009D4D41" w:rsidRPr="009D4D41" w:rsidTr="005A53E3">
        <w:trPr>
          <w:trHeight w:val="480"/>
        </w:trPr>
        <w:tc>
          <w:tcPr>
            <w:tcW w:w="1391"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both"/>
              <w:rPr>
                <w:rFonts w:ascii="Times New Roman" w:eastAsia="Calibri" w:hAnsi="Times New Roman" w:cs="Times New Roman"/>
                <w:color w:val="000000" w:themeColor="text1"/>
                <w:sz w:val="16"/>
                <w:szCs w:val="16"/>
                <w:lang w:eastAsia="ru-RU"/>
              </w:rPr>
            </w:pPr>
            <w:r w:rsidRPr="009D4D41">
              <w:rPr>
                <w:rFonts w:ascii="Times New Roman" w:eastAsia="Calibri" w:hAnsi="Times New Roman" w:cs="Times New Roman"/>
                <w:color w:val="000000" w:themeColor="text1"/>
                <w:sz w:val="16"/>
                <w:szCs w:val="16"/>
                <w:lang w:eastAsia="ru-RU"/>
              </w:rPr>
              <w:t>Доходы от управления средствами ФНБ, в том числе:</w:t>
            </w:r>
          </w:p>
        </w:tc>
        <w:tc>
          <w:tcPr>
            <w:tcW w:w="350"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95,2</w:t>
            </w:r>
          </w:p>
        </w:tc>
        <w:tc>
          <w:tcPr>
            <w:tcW w:w="338"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62,1</w:t>
            </w:r>
          </w:p>
        </w:tc>
        <w:tc>
          <w:tcPr>
            <w:tcW w:w="32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278,7</w:t>
            </w:r>
          </w:p>
        </w:tc>
        <w:tc>
          <w:tcPr>
            <w:tcW w:w="37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216,6</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211,8</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-66,9</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266,3</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54,6</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306,2</w:t>
            </w:r>
          </w:p>
        </w:tc>
        <w:tc>
          <w:tcPr>
            <w:tcW w:w="429"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39,9</w:t>
            </w:r>
          </w:p>
        </w:tc>
      </w:tr>
      <w:tr w:rsidR="009D4D41" w:rsidRPr="009D4D41" w:rsidTr="005A53E3">
        <w:trPr>
          <w:trHeight w:val="1000"/>
        </w:trPr>
        <w:tc>
          <w:tcPr>
            <w:tcW w:w="1391"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both"/>
              <w:rPr>
                <w:rFonts w:ascii="Times New Roman" w:eastAsia="Calibri" w:hAnsi="Times New Roman" w:cs="Times New Roman"/>
                <w:color w:val="000000" w:themeColor="text1"/>
                <w:sz w:val="16"/>
                <w:szCs w:val="16"/>
                <w:lang w:eastAsia="ru-RU"/>
              </w:rPr>
            </w:pPr>
            <w:r w:rsidRPr="009D4D41">
              <w:rPr>
                <w:rFonts w:ascii="Times New Roman" w:eastAsia="Calibri" w:hAnsi="Times New Roman" w:cs="Times New Roman"/>
                <w:color w:val="000000" w:themeColor="text1"/>
                <w:sz w:val="16"/>
                <w:szCs w:val="16"/>
                <w:lang w:eastAsia="ru-RU"/>
              </w:rPr>
              <w:t xml:space="preserve">Проценты, уплаченные за пользование денежными средствами, размещенными на счетах в иностранной валюте, открытых </w:t>
            </w:r>
            <w:r w:rsidRPr="009D4D41">
              <w:rPr>
                <w:rFonts w:ascii="Times New Roman" w:eastAsia="Calibri" w:hAnsi="Times New Roman" w:cs="Times New Roman"/>
                <w:color w:val="000000" w:themeColor="text1"/>
                <w:sz w:val="16"/>
                <w:szCs w:val="16"/>
                <w:lang w:eastAsia="ru-RU"/>
              </w:rPr>
              <w:br/>
              <w:t>в Центральном банке Российской Федерации для учета средств ФНБ</w:t>
            </w:r>
          </w:p>
        </w:tc>
        <w:tc>
          <w:tcPr>
            <w:tcW w:w="350"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42,5</w:t>
            </w:r>
          </w:p>
        </w:tc>
        <w:tc>
          <w:tcPr>
            <w:tcW w:w="338"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14,1</w:t>
            </w:r>
          </w:p>
        </w:tc>
        <w:tc>
          <w:tcPr>
            <w:tcW w:w="32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14,5</w:t>
            </w:r>
          </w:p>
        </w:tc>
        <w:tc>
          <w:tcPr>
            <w:tcW w:w="37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0,4</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14,4</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-0,1</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14,6</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0,2</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15,4</w:t>
            </w:r>
          </w:p>
        </w:tc>
        <w:tc>
          <w:tcPr>
            <w:tcW w:w="429"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0,7</w:t>
            </w:r>
          </w:p>
        </w:tc>
      </w:tr>
      <w:tr w:rsidR="009D4D41" w:rsidRPr="009D4D41" w:rsidTr="005A53E3">
        <w:trPr>
          <w:trHeight w:val="549"/>
        </w:trPr>
        <w:tc>
          <w:tcPr>
            <w:tcW w:w="1391" w:type="pct"/>
            <w:tcBorders>
              <w:top w:val="single" w:sz="4" w:space="0" w:color="auto"/>
              <w:left w:val="single" w:sz="4" w:space="0" w:color="auto"/>
              <w:bottom w:val="single" w:sz="4" w:space="0" w:color="auto"/>
              <w:right w:val="single" w:sz="4" w:space="0" w:color="auto"/>
            </w:tcBorders>
            <w:vAlign w:val="center"/>
            <w:hideMark/>
          </w:tcPr>
          <w:p w:rsidR="005A53E3" w:rsidRPr="009D4D41" w:rsidRDefault="005A53E3" w:rsidP="00321D81">
            <w:pPr>
              <w:spacing w:after="0" w:line="240" w:lineRule="auto"/>
              <w:ind w:left="-57" w:right="-57"/>
              <w:jc w:val="both"/>
              <w:rPr>
                <w:rFonts w:ascii="Times New Roman" w:eastAsia="Calibri" w:hAnsi="Times New Roman" w:cs="Times New Roman"/>
                <w:color w:val="000000" w:themeColor="text1"/>
                <w:sz w:val="16"/>
                <w:szCs w:val="16"/>
                <w:lang w:eastAsia="ru-RU"/>
              </w:rPr>
            </w:pPr>
            <w:r w:rsidRPr="009D4D41">
              <w:rPr>
                <w:rFonts w:ascii="Times New Roman" w:eastAsia="Calibri" w:hAnsi="Times New Roman" w:cs="Times New Roman"/>
                <w:color w:val="000000" w:themeColor="text1"/>
                <w:sz w:val="16"/>
                <w:szCs w:val="16"/>
                <w:lang w:eastAsia="ru-RU"/>
              </w:rPr>
              <w:t xml:space="preserve">Доходы от размещения средств ФНБ </w:t>
            </w:r>
            <w:r w:rsidRPr="009D4D41">
              <w:rPr>
                <w:rFonts w:ascii="Times New Roman" w:eastAsia="Calibri" w:hAnsi="Times New Roman" w:cs="Times New Roman"/>
                <w:color w:val="000000" w:themeColor="text1"/>
                <w:sz w:val="16"/>
                <w:szCs w:val="16"/>
                <w:lang w:eastAsia="ru-RU"/>
              </w:rPr>
              <w:br/>
              <w:t>в разрешенные финансовые активы</w:t>
            </w:r>
          </w:p>
        </w:tc>
        <w:tc>
          <w:tcPr>
            <w:tcW w:w="350"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52,7</w:t>
            </w:r>
          </w:p>
        </w:tc>
        <w:tc>
          <w:tcPr>
            <w:tcW w:w="338" w:type="pct"/>
            <w:tcBorders>
              <w:top w:val="single" w:sz="4" w:space="0" w:color="auto"/>
              <w:left w:val="single" w:sz="4" w:space="0" w:color="auto"/>
              <w:bottom w:val="single" w:sz="4" w:space="0" w:color="auto"/>
              <w:right w:val="single" w:sz="4" w:space="0" w:color="auto"/>
            </w:tcBorders>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48,0</w:t>
            </w:r>
          </w:p>
        </w:tc>
        <w:tc>
          <w:tcPr>
            <w:tcW w:w="32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264,1</w:t>
            </w:r>
          </w:p>
        </w:tc>
        <w:tc>
          <w:tcPr>
            <w:tcW w:w="370"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216,1</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197,3</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-66,8</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251,7</w:t>
            </w:r>
          </w:p>
        </w:tc>
        <w:tc>
          <w:tcPr>
            <w:tcW w:w="375"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54,4</w:t>
            </w:r>
          </w:p>
        </w:tc>
        <w:tc>
          <w:tcPr>
            <w:tcW w:w="351"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290,9</w:t>
            </w:r>
          </w:p>
        </w:tc>
        <w:tc>
          <w:tcPr>
            <w:tcW w:w="429" w:type="pct"/>
            <w:tcBorders>
              <w:top w:val="single" w:sz="4" w:space="0" w:color="auto"/>
              <w:left w:val="single" w:sz="4" w:space="0" w:color="auto"/>
              <w:bottom w:val="single" w:sz="4" w:space="0" w:color="auto"/>
              <w:right w:val="single" w:sz="4" w:space="0" w:color="auto"/>
            </w:tcBorders>
            <w:noWrap/>
            <w:vAlign w:val="center"/>
          </w:tcPr>
          <w:p w:rsidR="005A53E3" w:rsidRPr="009D4D41" w:rsidRDefault="005A53E3" w:rsidP="00321D81">
            <w:pPr>
              <w:spacing w:after="0" w:line="240" w:lineRule="auto"/>
              <w:ind w:left="-57" w:right="-57"/>
              <w:jc w:val="center"/>
              <w:rPr>
                <w:rFonts w:ascii="Times New Roman" w:eastAsia="Calibri" w:hAnsi="Times New Roman" w:cs="Times New Roman"/>
                <w:bCs/>
                <w:color w:val="000000" w:themeColor="text1"/>
                <w:sz w:val="16"/>
                <w:szCs w:val="16"/>
                <w:lang w:eastAsia="ru-RU"/>
              </w:rPr>
            </w:pPr>
            <w:r w:rsidRPr="009D4D41">
              <w:rPr>
                <w:rFonts w:ascii="Times New Roman" w:eastAsia="Calibri" w:hAnsi="Times New Roman" w:cs="Times New Roman"/>
                <w:bCs/>
                <w:color w:val="000000" w:themeColor="text1"/>
                <w:sz w:val="16"/>
                <w:szCs w:val="16"/>
                <w:lang w:eastAsia="ru-RU"/>
              </w:rPr>
              <w:t>39,1</w:t>
            </w:r>
          </w:p>
        </w:tc>
      </w:tr>
    </w:tbl>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w:t>
      </w:r>
      <w:r w:rsidRPr="009D4D41">
        <w:rPr>
          <w:rFonts w:ascii="Times New Roman" w:hAnsi="Times New Roman" w:cs="Times New Roman"/>
          <w:b/>
          <w:color w:val="000000" w:themeColor="text1"/>
          <w:sz w:val="20"/>
          <w:szCs w:val="20"/>
        </w:rPr>
        <w:t xml:space="preserve"> Снижение прогнозных доходов </w:t>
      </w:r>
      <w:r w:rsidRPr="009D4D41">
        <w:rPr>
          <w:rFonts w:ascii="Times New Roman" w:hAnsi="Times New Roman" w:cs="Times New Roman"/>
          <w:color w:val="000000" w:themeColor="text1"/>
          <w:sz w:val="20"/>
          <w:szCs w:val="20"/>
        </w:rPr>
        <w:t xml:space="preserve">от управления средствами ФНБ в </w:t>
      </w:r>
      <w:r w:rsidRPr="009D4D41">
        <w:rPr>
          <w:rFonts w:ascii="Times New Roman" w:hAnsi="Times New Roman" w:cs="Times New Roman"/>
          <w:b/>
          <w:color w:val="000000" w:themeColor="text1"/>
          <w:sz w:val="20"/>
          <w:szCs w:val="20"/>
        </w:rPr>
        <w:t>2021 году</w:t>
      </w:r>
      <w:r w:rsidRPr="009D4D41">
        <w:rPr>
          <w:rFonts w:ascii="Times New Roman" w:hAnsi="Times New Roman" w:cs="Times New Roman"/>
          <w:color w:val="000000" w:themeColor="text1"/>
          <w:sz w:val="20"/>
          <w:szCs w:val="20"/>
        </w:rPr>
        <w:t xml:space="preserve"> по сравнению с оценкой на 2020 год связано с:</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уменьшением</w:t>
      </w:r>
      <w:r w:rsidRPr="009D4D41">
        <w:rPr>
          <w:rFonts w:ascii="Times New Roman" w:hAnsi="Times New Roman" w:cs="Times New Roman"/>
          <w:color w:val="000000" w:themeColor="text1"/>
          <w:sz w:val="20"/>
          <w:szCs w:val="20"/>
        </w:rPr>
        <w:t xml:space="preserve"> прогнозируемых остатков средств ФНБ на счетах в иностранной валюте в Банке России в связи с прогнозируемым использованием в 2021 году части указанных средств на финансирование дефицита федерального бюджета;</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уменьшением</w:t>
      </w:r>
      <w:r w:rsidRPr="009D4D41">
        <w:rPr>
          <w:rFonts w:ascii="Times New Roman" w:hAnsi="Times New Roman" w:cs="Times New Roman"/>
          <w:color w:val="000000" w:themeColor="text1"/>
          <w:sz w:val="20"/>
          <w:szCs w:val="20"/>
        </w:rPr>
        <w:t xml:space="preserve"> на 57 893,0 млн. рублей прогнозируемой суммы дивидендов по обыкновенным акциям ПАО Сбербанк (149 432,0 млн. рублей) в связи со снижением прогнозируемой чистой прибыли ПАО Сбербанк за 2020 год по сравнению с аналогичным показателем за 2019 год;</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уменьшением</w:t>
      </w:r>
      <w:r w:rsidRPr="009D4D41">
        <w:rPr>
          <w:rFonts w:ascii="Times New Roman" w:hAnsi="Times New Roman" w:cs="Times New Roman"/>
          <w:color w:val="000000" w:themeColor="text1"/>
          <w:sz w:val="20"/>
          <w:szCs w:val="20"/>
        </w:rPr>
        <w:t xml:space="preserve"> суммы процентов от размещения средств ФНБ на депозитах в ВЭБ.РФ, вызванного снижением объема средств ФНБ, размещенных на указанных депозитах, в связи с предусмотренными условиями депозитных договоров возвратом в 2020 году части указанных депозитов в сумме 87,0 млрд. рублей.</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w:t>
      </w:r>
      <w:r w:rsidRPr="009D4D41">
        <w:rPr>
          <w:rFonts w:ascii="Times New Roman" w:hAnsi="Times New Roman" w:cs="Times New Roman"/>
          <w:b/>
          <w:color w:val="000000" w:themeColor="text1"/>
          <w:sz w:val="20"/>
          <w:szCs w:val="20"/>
        </w:rPr>
        <w:t xml:space="preserve"> Увеличение прогнозных доходов </w:t>
      </w:r>
      <w:r w:rsidRPr="009D4D41">
        <w:rPr>
          <w:rFonts w:ascii="Times New Roman" w:hAnsi="Times New Roman" w:cs="Times New Roman"/>
          <w:color w:val="000000" w:themeColor="text1"/>
          <w:sz w:val="20"/>
          <w:szCs w:val="20"/>
        </w:rPr>
        <w:t xml:space="preserve">от управления средствами ФНБ в </w:t>
      </w:r>
      <w:r w:rsidRPr="009D4D41">
        <w:rPr>
          <w:rFonts w:ascii="Times New Roman" w:hAnsi="Times New Roman" w:cs="Times New Roman"/>
          <w:b/>
          <w:color w:val="000000" w:themeColor="text1"/>
          <w:sz w:val="20"/>
          <w:szCs w:val="20"/>
        </w:rPr>
        <w:t>2022 году</w:t>
      </w:r>
      <w:r w:rsidRPr="009D4D41">
        <w:rPr>
          <w:rFonts w:ascii="Times New Roman" w:hAnsi="Times New Roman" w:cs="Times New Roman"/>
          <w:color w:val="000000" w:themeColor="text1"/>
          <w:sz w:val="20"/>
          <w:szCs w:val="20"/>
        </w:rPr>
        <w:t xml:space="preserve"> по сравнению с прогнозом на 2021 год связано с:</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увеличением</w:t>
      </w:r>
      <w:r w:rsidRPr="009D4D41">
        <w:rPr>
          <w:rFonts w:ascii="Times New Roman" w:hAnsi="Times New Roman" w:cs="Times New Roman"/>
          <w:color w:val="000000" w:themeColor="text1"/>
          <w:sz w:val="20"/>
          <w:szCs w:val="20"/>
        </w:rPr>
        <w:t xml:space="preserve"> на 50 396,5 млн. рублей прогнозируемой суммы дивидендов по обыкновенным акциям ПАО Сбербанк (199 828,5 млн. рублей) в связи с ростом прогнозируемой чистой прибыли ПАО Сбербанк за 2021 год по сравнению с аналогичным показателем за 2020 год;</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с прогнозируемой и предусмотренной условиями депозитного договора </w:t>
      </w:r>
      <w:r w:rsidRPr="009D4D41">
        <w:rPr>
          <w:rFonts w:ascii="Times New Roman" w:hAnsi="Times New Roman" w:cs="Times New Roman"/>
          <w:b/>
          <w:color w:val="000000" w:themeColor="text1"/>
          <w:sz w:val="20"/>
          <w:szCs w:val="20"/>
        </w:rPr>
        <w:t>выплатой</w:t>
      </w:r>
      <w:r w:rsidRPr="009D4D41">
        <w:rPr>
          <w:rFonts w:ascii="Times New Roman" w:hAnsi="Times New Roman" w:cs="Times New Roman"/>
          <w:color w:val="000000" w:themeColor="text1"/>
          <w:sz w:val="20"/>
          <w:szCs w:val="20"/>
        </w:rPr>
        <w:t xml:space="preserve"> в 2022 году Банком ГПБ (АО) </w:t>
      </w:r>
      <w:r w:rsidRPr="009D4D41">
        <w:rPr>
          <w:rFonts w:ascii="Times New Roman" w:hAnsi="Times New Roman" w:cs="Times New Roman"/>
          <w:b/>
          <w:color w:val="000000" w:themeColor="text1"/>
          <w:sz w:val="20"/>
          <w:szCs w:val="20"/>
        </w:rPr>
        <w:t>процентов</w:t>
      </w:r>
      <w:r w:rsidRPr="009D4D41">
        <w:rPr>
          <w:rFonts w:ascii="Times New Roman" w:hAnsi="Times New Roman" w:cs="Times New Roman"/>
          <w:color w:val="000000" w:themeColor="text1"/>
          <w:sz w:val="20"/>
          <w:szCs w:val="20"/>
        </w:rPr>
        <w:t xml:space="preserve"> по субординированному депозиту (до 2022 год установлен льготный период выплаты процентов, в течение которого проценты начисляются, капитализируются, но не выплачиваются);</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прогнозируемым </w:t>
      </w:r>
      <w:r w:rsidRPr="009D4D41">
        <w:rPr>
          <w:rFonts w:ascii="Times New Roman" w:hAnsi="Times New Roman" w:cs="Times New Roman"/>
          <w:b/>
          <w:color w:val="000000" w:themeColor="text1"/>
          <w:sz w:val="20"/>
          <w:szCs w:val="20"/>
        </w:rPr>
        <w:t>ослаблением рубля</w:t>
      </w:r>
      <w:r w:rsidRPr="009D4D41">
        <w:rPr>
          <w:rFonts w:ascii="Times New Roman" w:hAnsi="Times New Roman" w:cs="Times New Roman"/>
          <w:color w:val="000000" w:themeColor="text1"/>
          <w:sz w:val="20"/>
          <w:szCs w:val="20"/>
        </w:rPr>
        <w:t xml:space="preserve"> к доллару США, евро и фунту стерлингов в 2022 году по сравнению с 2021 годом в отношении доходов от размещения средств ФНБ в финансовые активы в иностранных валютах.</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w:t>
      </w:r>
      <w:r w:rsidRPr="009D4D41">
        <w:rPr>
          <w:rFonts w:ascii="Times New Roman" w:hAnsi="Times New Roman" w:cs="Times New Roman"/>
          <w:b/>
          <w:color w:val="000000" w:themeColor="text1"/>
          <w:sz w:val="20"/>
          <w:szCs w:val="20"/>
        </w:rPr>
        <w:t xml:space="preserve"> Увеличение прогнозных доходов </w:t>
      </w:r>
      <w:r w:rsidRPr="009D4D41">
        <w:rPr>
          <w:rFonts w:ascii="Times New Roman" w:hAnsi="Times New Roman" w:cs="Times New Roman"/>
          <w:color w:val="000000" w:themeColor="text1"/>
          <w:sz w:val="20"/>
          <w:szCs w:val="20"/>
        </w:rPr>
        <w:t>от управления средствами ФНБ в 2023 году по сравнению с прогнозом за 2022 год связано с:</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увеличением</w:t>
      </w:r>
      <w:r w:rsidRPr="009D4D41">
        <w:rPr>
          <w:rFonts w:ascii="Times New Roman" w:hAnsi="Times New Roman" w:cs="Times New Roman"/>
          <w:color w:val="000000" w:themeColor="text1"/>
          <w:sz w:val="20"/>
          <w:szCs w:val="20"/>
        </w:rPr>
        <w:t xml:space="preserve"> прогнозируемых остатков средств ФНБ на счетах в иностранной валюте в Банке России за счет прогнозируемого пополнения ФНБ в 2023 году иностранной валютой, приобретенной за счет дополнительных нефтегазовых доходов за 2022 год;</w:t>
      </w:r>
    </w:p>
    <w:p w:rsidR="005A53E3" w:rsidRPr="009D4D41" w:rsidRDefault="005A53E3" w:rsidP="005A53E3">
      <w:pPr>
        <w:overflowPunct w:val="0"/>
        <w:autoSpaceDE w:val="0"/>
        <w:autoSpaceDN w:val="0"/>
        <w:adjustRightInd w:val="0"/>
        <w:spacing w:after="0" w:line="240" w:lineRule="auto"/>
        <w:ind w:right="-427" w:firstLine="709"/>
        <w:jc w:val="both"/>
        <w:textAlignment w:val="baseline"/>
        <w:rPr>
          <w:rFonts w:ascii="Times New Roman" w:hAnsi="Times New Roman" w:cs="Times New Roman"/>
          <w:color w:val="000000" w:themeColor="text1"/>
          <w:sz w:val="20"/>
          <w:szCs w:val="20"/>
        </w:rPr>
      </w:pPr>
      <w:r w:rsidRPr="009D4D41">
        <w:rPr>
          <w:rFonts w:ascii="Times New Roman" w:hAnsi="Times New Roman" w:cs="Times New Roman"/>
          <w:b/>
          <w:color w:val="000000" w:themeColor="text1"/>
          <w:sz w:val="20"/>
          <w:szCs w:val="20"/>
        </w:rPr>
        <w:t>увеличением</w:t>
      </w:r>
      <w:r w:rsidRPr="009D4D41">
        <w:rPr>
          <w:rFonts w:ascii="Times New Roman" w:hAnsi="Times New Roman" w:cs="Times New Roman"/>
          <w:color w:val="000000" w:themeColor="text1"/>
          <w:sz w:val="20"/>
          <w:szCs w:val="20"/>
        </w:rPr>
        <w:t xml:space="preserve"> на 36 131,2 млн. рублей прогнозируемой суммы дивидендов по обыкновенным акциям ПАО Сбербанк (235 959,7 млн. рублей) в связи с ростом прогнозируемой чистой прибыли ПАО Сбербанк за 2022 год по сравнению с аналогичным показателем за 2021 год.</w:t>
      </w:r>
    </w:p>
    <w:p w:rsidR="00C51A1B" w:rsidRPr="009D4D41" w:rsidRDefault="00C51A1B" w:rsidP="00C51A1B">
      <w:pPr>
        <w:rPr>
          <w:rFonts w:ascii="Times New Roman" w:hAnsi="Times New Roman" w:cs="Times New Roman"/>
          <w:color w:val="000000" w:themeColor="text1"/>
          <w:sz w:val="24"/>
          <w:szCs w:val="28"/>
          <w:highlight w:val="cyan"/>
        </w:rPr>
      </w:pPr>
      <w:r w:rsidRPr="009D4D41">
        <w:rPr>
          <w:rFonts w:ascii="Times New Roman" w:hAnsi="Times New Roman" w:cs="Times New Roman"/>
          <w:color w:val="000000" w:themeColor="text1"/>
          <w:sz w:val="24"/>
          <w:szCs w:val="28"/>
          <w:highlight w:val="cyan"/>
        </w:rPr>
        <w:br w:type="page"/>
      </w:r>
    </w:p>
    <w:p w:rsidR="00C51A1B" w:rsidRPr="009D4D41" w:rsidRDefault="00C51A1B" w:rsidP="00C51A1B">
      <w:pPr>
        <w:spacing w:after="0" w:line="240" w:lineRule="auto"/>
        <w:ind w:left="6237"/>
        <w:jc w:val="right"/>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lastRenderedPageBreak/>
        <w:t>Таблица № </w:t>
      </w:r>
      <w:r w:rsidR="00904654" w:rsidRPr="009D4D41">
        <w:rPr>
          <w:rFonts w:ascii="Times New Roman" w:hAnsi="Times New Roman" w:cs="Times New Roman"/>
          <w:color w:val="000000" w:themeColor="text1"/>
          <w:sz w:val="24"/>
          <w:szCs w:val="24"/>
        </w:rPr>
        <w:t>1</w:t>
      </w:r>
      <w:r w:rsidR="00F16DE4" w:rsidRPr="009D4D41">
        <w:rPr>
          <w:rFonts w:ascii="Times New Roman" w:hAnsi="Times New Roman" w:cs="Times New Roman"/>
          <w:color w:val="000000" w:themeColor="text1"/>
          <w:sz w:val="24"/>
          <w:szCs w:val="24"/>
        </w:rPr>
        <w:t>9</w:t>
      </w:r>
    </w:p>
    <w:p w:rsidR="00C51A1B" w:rsidRPr="009D4D41" w:rsidRDefault="00C51A1B" w:rsidP="00C51A1B">
      <w:pPr>
        <w:widowControl w:val="0"/>
        <w:shd w:val="clear" w:color="auto" w:fill="FFFFFF" w:themeFill="background1"/>
        <w:overflowPunct w:val="0"/>
        <w:autoSpaceDE w:val="0"/>
        <w:autoSpaceDN w:val="0"/>
        <w:adjustRightInd w:val="0"/>
        <w:spacing w:after="0" w:line="240" w:lineRule="auto"/>
        <w:ind w:firstLine="709"/>
        <w:jc w:val="center"/>
        <w:textAlignment w:val="baseline"/>
        <w:rPr>
          <w:rFonts w:ascii="Times New Roman" w:hAnsi="Times New Roman" w:cs="Times New Roman"/>
          <w:snapToGrid w:val="0"/>
          <w:color w:val="000000" w:themeColor="text1"/>
          <w:sz w:val="24"/>
          <w:szCs w:val="24"/>
        </w:rPr>
      </w:pPr>
    </w:p>
    <w:p w:rsidR="00F4106A" w:rsidRPr="009D4D41" w:rsidRDefault="00C51A1B" w:rsidP="00C51A1B">
      <w:pPr>
        <w:widowControl w:val="0"/>
        <w:overflowPunct w:val="0"/>
        <w:autoSpaceDE w:val="0"/>
        <w:autoSpaceDN w:val="0"/>
        <w:adjustRightInd w:val="0"/>
        <w:spacing w:after="0" w:line="240" w:lineRule="auto"/>
        <w:ind w:firstLine="709"/>
        <w:jc w:val="center"/>
        <w:textAlignment w:val="baseline"/>
        <w:rPr>
          <w:rFonts w:ascii="Times New Roman" w:hAnsi="Times New Roman" w:cs="Times New Roman"/>
          <w:snapToGrid w:val="0"/>
          <w:color w:val="000000" w:themeColor="text1"/>
          <w:sz w:val="24"/>
          <w:szCs w:val="24"/>
        </w:rPr>
      </w:pPr>
      <w:r w:rsidRPr="009D4D41">
        <w:rPr>
          <w:rFonts w:ascii="Times New Roman" w:hAnsi="Times New Roman" w:cs="Times New Roman"/>
          <w:snapToGrid w:val="0"/>
          <w:color w:val="000000" w:themeColor="text1"/>
          <w:sz w:val="24"/>
          <w:szCs w:val="24"/>
        </w:rPr>
        <w:t xml:space="preserve">Динамика доходности размещения средств Фонда национального благосостояния на счетах </w:t>
      </w:r>
      <w:r w:rsidRPr="009D4D41">
        <w:rPr>
          <w:rFonts w:ascii="Times New Roman" w:hAnsi="Times New Roman" w:cs="Times New Roman"/>
          <w:b/>
          <w:snapToGrid w:val="0"/>
          <w:color w:val="000000" w:themeColor="text1"/>
          <w:sz w:val="24"/>
          <w:szCs w:val="24"/>
        </w:rPr>
        <w:t>в иностранной валюте в Банке России</w:t>
      </w:r>
      <w:r w:rsidRPr="009D4D41">
        <w:rPr>
          <w:rFonts w:ascii="Times New Roman" w:hAnsi="Times New Roman" w:cs="Times New Roman"/>
          <w:snapToGrid w:val="0"/>
          <w:color w:val="000000" w:themeColor="text1"/>
          <w:sz w:val="24"/>
          <w:szCs w:val="24"/>
        </w:rPr>
        <w:t xml:space="preserve"> </w:t>
      </w:r>
    </w:p>
    <w:p w:rsidR="00C51A1B" w:rsidRPr="009D4D41" w:rsidRDefault="00C51A1B" w:rsidP="00C51A1B">
      <w:pPr>
        <w:widowControl w:val="0"/>
        <w:overflowPunct w:val="0"/>
        <w:autoSpaceDE w:val="0"/>
        <w:autoSpaceDN w:val="0"/>
        <w:adjustRightInd w:val="0"/>
        <w:spacing w:after="0" w:line="240" w:lineRule="auto"/>
        <w:ind w:firstLine="709"/>
        <w:jc w:val="center"/>
        <w:textAlignment w:val="baseline"/>
        <w:rPr>
          <w:rFonts w:ascii="Times New Roman" w:hAnsi="Times New Roman" w:cs="Times New Roman"/>
          <w:color w:val="000000" w:themeColor="text1"/>
          <w:sz w:val="24"/>
          <w:szCs w:val="24"/>
        </w:rPr>
      </w:pPr>
      <w:r w:rsidRPr="009D4D41">
        <w:rPr>
          <w:rFonts w:ascii="Times New Roman" w:hAnsi="Times New Roman" w:cs="Times New Roman"/>
          <w:snapToGrid w:val="0"/>
          <w:color w:val="000000" w:themeColor="text1"/>
          <w:sz w:val="24"/>
          <w:szCs w:val="24"/>
        </w:rPr>
        <w:t>в 201</w:t>
      </w:r>
      <w:r w:rsidR="00F16DE4" w:rsidRPr="009D4D41">
        <w:rPr>
          <w:rFonts w:ascii="Times New Roman" w:hAnsi="Times New Roman" w:cs="Times New Roman"/>
          <w:snapToGrid w:val="0"/>
          <w:color w:val="000000" w:themeColor="text1"/>
          <w:sz w:val="24"/>
          <w:szCs w:val="24"/>
        </w:rPr>
        <w:t>5</w:t>
      </w:r>
      <w:r w:rsidRPr="009D4D41">
        <w:rPr>
          <w:rFonts w:ascii="Times New Roman" w:hAnsi="Times New Roman" w:cs="Times New Roman"/>
          <w:snapToGrid w:val="0"/>
          <w:color w:val="000000" w:themeColor="text1"/>
          <w:sz w:val="24"/>
          <w:szCs w:val="24"/>
        </w:rPr>
        <w:t xml:space="preserve"> – 202</w:t>
      </w:r>
      <w:r w:rsidR="00F16DE4" w:rsidRPr="009D4D41">
        <w:rPr>
          <w:rFonts w:ascii="Times New Roman" w:hAnsi="Times New Roman" w:cs="Times New Roman"/>
          <w:snapToGrid w:val="0"/>
          <w:color w:val="000000" w:themeColor="text1"/>
          <w:sz w:val="24"/>
          <w:szCs w:val="24"/>
        </w:rPr>
        <w:t>3</w:t>
      </w:r>
      <w:r w:rsidRPr="009D4D41">
        <w:rPr>
          <w:rFonts w:ascii="Times New Roman" w:hAnsi="Times New Roman" w:cs="Times New Roman"/>
          <w:snapToGrid w:val="0"/>
          <w:color w:val="000000" w:themeColor="text1"/>
          <w:sz w:val="24"/>
          <w:szCs w:val="24"/>
        </w:rPr>
        <w:t xml:space="preserve"> годах </w:t>
      </w:r>
      <w:r w:rsidRPr="009D4D41">
        <w:rPr>
          <w:rFonts w:ascii="Times New Roman" w:hAnsi="Times New Roman" w:cs="Times New Roman"/>
          <w:color w:val="000000" w:themeColor="text1"/>
          <w:sz w:val="24"/>
          <w:szCs w:val="24"/>
        </w:rPr>
        <w:t>по расчетам Минфина России</w:t>
      </w:r>
    </w:p>
    <w:p w:rsidR="00C51A1B" w:rsidRPr="009D4D41" w:rsidRDefault="00C51A1B" w:rsidP="00C51A1B">
      <w:pPr>
        <w:widowControl w:val="0"/>
        <w:spacing w:after="0" w:line="240" w:lineRule="auto"/>
        <w:jc w:val="right"/>
        <w:rPr>
          <w:rFonts w:ascii="Times New Roman" w:hAnsi="Times New Roman" w:cs="Times New Roman"/>
          <w:color w:val="000000" w:themeColor="text1"/>
          <w:sz w:val="20"/>
          <w:szCs w:val="20"/>
        </w:rPr>
      </w:pPr>
    </w:p>
    <w:p w:rsidR="00C51A1B" w:rsidRPr="009D4D41" w:rsidRDefault="00C51A1B" w:rsidP="00C51A1B">
      <w:pPr>
        <w:widowControl w:val="0"/>
        <w:spacing w:after="0" w:line="240" w:lineRule="auto"/>
        <w:jc w:val="right"/>
        <w:rPr>
          <w:rFonts w:ascii="Times New Roman" w:hAnsi="Times New Roman" w:cs="Times New Roman"/>
          <w:color w:val="000000" w:themeColor="text1"/>
          <w:sz w:val="20"/>
          <w:szCs w:val="20"/>
        </w:rPr>
      </w:pPr>
      <w:r w:rsidRPr="009D4D41">
        <w:rPr>
          <w:rFonts w:ascii="Times New Roman" w:hAnsi="Times New Roman" w:cs="Times New Roman"/>
          <w:color w:val="000000" w:themeColor="text1"/>
          <w:sz w:val="20"/>
          <w:szCs w:val="20"/>
        </w:rPr>
        <w:t xml:space="preserve"> (в процентах годовых)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32"/>
        <w:gridCol w:w="612"/>
        <w:gridCol w:w="612"/>
        <w:gridCol w:w="612"/>
        <w:gridCol w:w="612"/>
        <w:gridCol w:w="612"/>
        <w:gridCol w:w="762"/>
        <w:gridCol w:w="832"/>
        <w:gridCol w:w="832"/>
        <w:gridCol w:w="832"/>
      </w:tblGrid>
      <w:tr w:rsidR="009D4D41" w:rsidRPr="009D4D41" w:rsidTr="00F16DE4">
        <w:trPr>
          <w:trHeight w:val="137"/>
          <w:tblHeader/>
        </w:trPr>
        <w:tc>
          <w:tcPr>
            <w:tcW w:w="1725" w:type="pct"/>
            <w:tcMar>
              <w:top w:w="7" w:type="dxa"/>
              <w:left w:w="7" w:type="dxa"/>
              <w:bottom w:w="0" w:type="dxa"/>
              <w:right w:w="7" w:type="dxa"/>
            </w:tcMar>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bCs/>
                <w:color w:val="000000" w:themeColor="text1"/>
                <w:sz w:val="16"/>
                <w:szCs w:val="16"/>
              </w:rPr>
              <w:t xml:space="preserve">Показатель </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2015 год</w:t>
            </w:r>
          </w:p>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(факт)</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2016 год</w:t>
            </w:r>
          </w:p>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(факт)</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2017 год</w:t>
            </w:r>
          </w:p>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(факт)</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2018 год</w:t>
            </w:r>
          </w:p>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(факт)</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2019 год</w:t>
            </w:r>
            <w:r w:rsidRPr="009D4D41">
              <w:rPr>
                <w:rFonts w:ascii="Times New Roman" w:hAnsi="Times New Roman" w:cs="Times New Roman"/>
                <w:b/>
                <w:color w:val="000000" w:themeColor="text1"/>
                <w:sz w:val="18"/>
                <w:szCs w:val="18"/>
              </w:rPr>
              <w:br/>
              <w:t>(факт)</w:t>
            </w:r>
          </w:p>
        </w:tc>
        <w:tc>
          <w:tcPr>
            <w:tcW w:w="395"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 xml:space="preserve">2020 год </w:t>
            </w:r>
            <w:r w:rsidRPr="009D4D41">
              <w:rPr>
                <w:rFonts w:ascii="Times New Roman" w:hAnsi="Times New Roman" w:cs="Times New Roman"/>
                <w:b/>
                <w:color w:val="000000" w:themeColor="text1"/>
                <w:sz w:val="18"/>
                <w:szCs w:val="18"/>
              </w:rPr>
              <w:br/>
              <w:t>(оценка)</w:t>
            </w:r>
            <w:r w:rsidRPr="009D4D41">
              <w:rPr>
                <w:rFonts w:ascii="Times New Roman" w:hAnsi="Times New Roman" w:cs="Times New Roman"/>
                <w:b/>
                <w:color w:val="000000" w:themeColor="text1"/>
                <w:sz w:val="18"/>
                <w:szCs w:val="18"/>
                <w:vertAlign w:val="superscript"/>
              </w:rPr>
              <w:t>2</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 xml:space="preserve">2021 год </w:t>
            </w:r>
            <w:r w:rsidRPr="009D4D41">
              <w:rPr>
                <w:rFonts w:ascii="Times New Roman" w:hAnsi="Times New Roman" w:cs="Times New Roman"/>
                <w:b/>
                <w:color w:val="000000" w:themeColor="text1"/>
                <w:sz w:val="18"/>
                <w:szCs w:val="18"/>
              </w:rPr>
              <w:br/>
              <w:t>(прогноз)</w:t>
            </w:r>
            <w:r w:rsidRPr="009D4D41">
              <w:rPr>
                <w:rFonts w:ascii="Times New Roman" w:hAnsi="Times New Roman" w:cs="Times New Roman"/>
                <w:b/>
                <w:color w:val="000000" w:themeColor="text1"/>
                <w:sz w:val="18"/>
                <w:szCs w:val="18"/>
                <w:vertAlign w:val="superscript"/>
              </w:rPr>
              <w:t>3</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 xml:space="preserve">2022 год </w:t>
            </w:r>
            <w:r w:rsidRPr="009D4D41">
              <w:rPr>
                <w:rFonts w:ascii="Times New Roman" w:hAnsi="Times New Roman" w:cs="Times New Roman"/>
                <w:b/>
                <w:color w:val="000000" w:themeColor="text1"/>
                <w:sz w:val="18"/>
                <w:szCs w:val="18"/>
              </w:rPr>
              <w:br/>
              <w:t>(прогноз)</w:t>
            </w:r>
            <w:r w:rsidRPr="009D4D41">
              <w:rPr>
                <w:rFonts w:ascii="Times New Roman" w:hAnsi="Times New Roman" w:cs="Times New Roman"/>
                <w:b/>
                <w:color w:val="000000" w:themeColor="text1"/>
                <w:sz w:val="18"/>
                <w:szCs w:val="18"/>
                <w:vertAlign w:val="superscript"/>
              </w:rPr>
              <w:t>3</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 xml:space="preserve">2023 год </w:t>
            </w:r>
            <w:r w:rsidRPr="009D4D41">
              <w:rPr>
                <w:rFonts w:ascii="Times New Roman" w:hAnsi="Times New Roman" w:cs="Times New Roman"/>
                <w:b/>
                <w:color w:val="000000" w:themeColor="text1"/>
                <w:sz w:val="18"/>
                <w:szCs w:val="18"/>
              </w:rPr>
              <w:br/>
              <w:t>(прогноз)</w:t>
            </w:r>
            <w:r w:rsidRPr="009D4D41">
              <w:rPr>
                <w:rFonts w:ascii="Times New Roman" w:hAnsi="Times New Roman" w:cs="Times New Roman"/>
                <w:b/>
                <w:color w:val="000000" w:themeColor="text1"/>
                <w:sz w:val="18"/>
                <w:szCs w:val="18"/>
                <w:vertAlign w:val="superscript"/>
              </w:rPr>
              <w:t>3</w:t>
            </w:r>
          </w:p>
        </w:tc>
      </w:tr>
      <w:tr w:rsidR="009D4D41" w:rsidRPr="009D4D41" w:rsidTr="00F16DE4">
        <w:trPr>
          <w:trHeight w:val="137"/>
          <w:tblHeader/>
        </w:trPr>
        <w:tc>
          <w:tcPr>
            <w:tcW w:w="1725" w:type="pct"/>
            <w:tcMar>
              <w:top w:w="7" w:type="dxa"/>
              <w:left w:w="7" w:type="dxa"/>
              <w:bottom w:w="0" w:type="dxa"/>
              <w:right w:w="7" w:type="dxa"/>
            </w:tcMar>
            <w:vAlign w:val="center"/>
          </w:tcPr>
          <w:p w:rsidR="00F16DE4" w:rsidRPr="009D4D41" w:rsidRDefault="00F16DE4" w:rsidP="00F16DE4">
            <w:pPr>
              <w:widowControl w:val="0"/>
              <w:spacing w:after="0" w:line="240" w:lineRule="auto"/>
              <w:jc w:val="both"/>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Совокупная доходность в корзине разрешенных иностранных валют</w:t>
            </w:r>
            <w:r w:rsidRPr="009D4D41">
              <w:rPr>
                <w:rFonts w:ascii="Times New Roman" w:hAnsi="Times New Roman" w:cs="Times New Roman"/>
                <w:color w:val="000000" w:themeColor="text1"/>
                <w:sz w:val="18"/>
                <w:szCs w:val="18"/>
                <w:vertAlign w:val="superscript"/>
              </w:rPr>
              <w:t>1</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0,41</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0,64</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-0,10</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0,63</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1,34 %</w:t>
            </w:r>
          </w:p>
        </w:tc>
        <w:tc>
          <w:tcPr>
            <w:tcW w:w="395"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0,17 %</w:t>
            </w:r>
          </w:p>
        </w:tc>
        <w:tc>
          <w:tcPr>
            <w:tcW w:w="431" w:type="pct"/>
            <w:shd w:val="clear" w:color="auto" w:fill="auto"/>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0,19 %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0,19 %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b/>
                <w:color w:val="000000" w:themeColor="text1"/>
                <w:sz w:val="18"/>
                <w:szCs w:val="18"/>
              </w:rPr>
            </w:pPr>
            <w:r w:rsidRPr="009D4D41">
              <w:rPr>
                <w:rFonts w:ascii="Times New Roman" w:hAnsi="Times New Roman" w:cs="Times New Roman"/>
                <w:b/>
                <w:color w:val="000000" w:themeColor="text1"/>
                <w:sz w:val="18"/>
                <w:szCs w:val="18"/>
              </w:rPr>
              <w:t>0,19 %</w:t>
            </w:r>
          </w:p>
        </w:tc>
      </w:tr>
      <w:tr w:rsidR="009D4D41" w:rsidRPr="009D4D41" w:rsidTr="00F16DE4">
        <w:trPr>
          <w:trHeight w:val="220"/>
        </w:trPr>
        <w:tc>
          <w:tcPr>
            <w:tcW w:w="1725" w:type="pct"/>
            <w:tcMar>
              <w:top w:w="7" w:type="dxa"/>
              <w:left w:w="7" w:type="dxa"/>
              <w:bottom w:w="0" w:type="dxa"/>
              <w:right w:w="7" w:type="dxa"/>
            </w:tcMar>
          </w:tcPr>
          <w:p w:rsidR="00F16DE4" w:rsidRPr="009D4D41" w:rsidRDefault="00F16DE4" w:rsidP="00F16DE4">
            <w:pPr>
              <w:widowControl w:val="0"/>
              <w:spacing w:after="0" w:line="240" w:lineRule="auto"/>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по счету в долларах США </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0,41</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0,84</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0,57</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1,76</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3,16 %</w:t>
            </w:r>
          </w:p>
        </w:tc>
        <w:tc>
          <w:tcPr>
            <w:tcW w:w="395"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0,28 %</w:t>
            </w:r>
          </w:p>
        </w:tc>
        <w:tc>
          <w:tcPr>
            <w:tcW w:w="431" w:type="pct"/>
            <w:shd w:val="clear" w:color="auto" w:fill="auto"/>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0,3 %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0,3 %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0,3 %</w:t>
            </w:r>
          </w:p>
        </w:tc>
      </w:tr>
      <w:tr w:rsidR="009D4D41" w:rsidRPr="009D4D41" w:rsidTr="00F16DE4">
        <w:trPr>
          <w:trHeight w:val="215"/>
        </w:trPr>
        <w:tc>
          <w:tcPr>
            <w:tcW w:w="1725" w:type="pct"/>
            <w:tcMar>
              <w:top w:w="7" w:type="dxa"/>
              <w:left w:w="7" w:type="dxa"/>
              <w:bottom w:w="0" w:type="dxa"/>
              <w:right w:w="7" w:type="dxa"/>
            </w:tcMar>
          </w:tcPr>
          <w:p w:rsidR="00F16DE4" w:rsidRPr="009D4D41" w:rsidRDefault="00F16DE4" w:rsidP="00F16DE4">
            <w:pPr>
              <w:widowControl w:val="0"/>
              <w:spacing w:after="0" w:line="240" w:lineRule="auto"/>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по счету в евро </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0,3</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0,05</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-0,76</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-0,47</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-0,43 %</w:t>
            </w:r>
          </w:p>
        </w:tc>
        <w:tc>
          <w:tcPr>
            <w:tcW w:w="395"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0,001 %</w:t>
            </w:r>
          </w:p>
        </w:tc>
        <w:tc>
          <w:tcPr>
            <w:tcW w:w="431" w:type="pct"/>
            <w:shd w:val="clear" w:color="auto" w:fill="auto"/>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0,001 %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0,001 %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0,001 %</w:t>
            </w:r>
          </w:p>
        </w:tc>
      </w:tr>
      <w:tr w:rsidR="009D4D41" w:rsidRPr="009D4D41" w:rsidTr="00F16DE4">
        <w:trPr>
          <w:trHeight w:val="186"/>
        </w:trPr>
        <w:tc>
          <w:tcPr>
            <w:tcW w:w="1725" w:type="pct"/>
            <w:tcMar>
              <w:top w:w="7" w:type="dxa"/>
              <w:left w:w="7" w:type="dxa"/>
              <w:bottom w:w="0" w:type="dxa"/>
              <w:right w:w="7" w:type="dxa"/>
            </w:tcMar>
          </w:tcPr>
          <w:p w:rsidR="00F16DE4" w:rsidRPr="009D4D41" w:rsidRDefault="00F16DE4" w:rsidP="00F16DE4">
            <w:pPr>
              <w:widowControl w:val="0"/>
              <w:spacing w:after="0" w:line="240" w:lineRule="auto"/>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 xml:space="preserve">по счету в фунтах стерлингов </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0,92</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2,42</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-0,16</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0,47</w:t>
            </w:r>
          </w:p>
        </w:tc>
        <w:tc>
          <w:tcPr>
            <w:tcW w:w="317"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1,11 %</w:t>
            </w:r>
          </w:p>
        </w:tc>
        <w:tc>
          <w:tcPr>
            <w:tcW w:w="395"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0,47 %</w:t>
            </w:r>
          </w:p>
        </w:tc>
        <w:tc>
          <w:tcPr>
            <w:tcW w:w="431" w:type="pct"/>
            <w:shd w:val="clear" w:color="auto" w:fill="auto"/>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0,5 %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0,5 %</w:t>
            </w:r>
          </w:p>
        </w:tc>
        <w:tc>
          <w:tcPr>
            <w:tcW w:w="431" w:type="pct"/>
            <w:vAlign w:val="center"/>
          </w:tcPr>
          <w:p w:rsidR="00F16DE4" w:rsidRPr="009D4D41" w:rsidRDefault="00F16DE4" w:rsidP="00F16DE4">
            <w:pPr>
              <w:widowControl w:val="0"/>
              <w:spacing w:after="0" w:line="240" w:lineRule="auto"/>
              <w:jc w:val="center"/>
              <w:rPr>
                <w:rFonts w:ascii="Times New Roman" w:hAnsi="Times New Roman" w:cs="Times New Roman"/>
                <w:color w:val="000000" w:themeColor="text1"/>
                <w:sz w:val="18"/>
                <w:szCs w:val="18"/>
              </w:rPr>
            </w:pPr>
            <w:r w:rsidRPr="009D4D41">
              <w:rPr>
                <w:rFonts w:ascii="Times New Roman" w:hAnsi="Times New Roman" w:cs="Times New Roman"/>
                <w:color w:val="000000" w:themeColor="text1"/>
                <w:sz w:val="18"/>
                <w:szCs w:val="18"/>
              </w:rPr>
              <w:t>0,5 %</w:t>
            </w:r>
          </w:p>
        </w:tc>
      </w:tr>
    </w:tbl>
    <w:p w:rsidR="00F16DE4" w:rsidRPr="009D4D41" w:rsidRDefault="00F16DE4" w:rsidP="00C51A1B">
      <w:pPr>
        <w:rPr>
          <w:rFonts w:ascii="Times New Roman" w:hAnsi="Times New Roman" w:cs="Times New Roman"/>
          <w:i/>
          <w:color w:val="000000" w:themeColor="text1"/>
          <w:sz w:val="16"/>
          <w:szCs w:val="16"/>
        </w:rPr>
      </w:pPr>
    </w:p>
    <w:p w:rsidR="00F16DE4" w:rsidRPr="009D4D41" w:rsidRDefault="00F16DE4" w:rsidP="00F16DE4">
      <w:pPr>
        <w:spacing w:after="0" w:line="240" w:lineRule="auto"/>
        <w:jc w:val="both"/>
        <w:rPr>
          <w:rFonts w:ascii="Times New Roman" w:eastAsia="Calibri" w:hAnsi="Times New Roman" w:cs="Times New Roman"/>
          <w:color w:val="000000" w:themeColor="text1"/>
          <w:sz w:val="20"/>
          <w:szCs w:val="20"/>
        </w:rPr>
      </w:pPr>
      <w:r w:rsidRPr="009D4D41">
        <w:rPr>
          <w:rFonts w:ascii="Times New Roman" w:eastAsia="Calibri" w:hAnsi="Times New Roman" w:cs="Times New Roman"/>
          <w:color w:val="000000" w:themeColor="text1"/>
          <w:sz w:val="20"/>
          <w:szCs w:val="20"/>
        </w:rPr>
        <w:t>1 – Расчетное значение, взвешенное в соответствии с нормативной валютной структурой средств ФНБ (Доллары США – 45%, евро – 45 % и фунты стерлингов – 10 %).</w:t>
      </w:r>
    </w:p>
    <w:p w:rsidR="00F16DE4" w:rsidRPr="009D4D41" w:rsidRDefault="00F16DE4" w:rsidP="00F16DE4">
      <w:pPr>
        <w:spacing w:after="0" w:line="240" w:lineRule="auto"/>
        <w:jc w:val="both"/>
        <w:rPr>
          <w:rFonts w:ascii="Times New Roman" w:eastAsia="Calibri" w:hAnsi="Times New Roman" w:cs="Times New Roman"/>
          <w:color w:val="000000" w:themeColor="text1"/>
          <w:sz w:val="20"/>
          <w:szCs w:val="20"/>
        </w:rPr>
      </w:pPr>
      <w:r w:rsidRPr="009D4D41">
        <w:rPr>
          <w:rFonts w:ascii="Times New Roman" w:eastAsia="Calibri" w:hAnsi="Times New Roman" w:cs="Times New Roman"/>
          <w:color w:val="000000" w:themeColor="text1"/>
          <w:sz w:val="20"/>
          <w:szCs w:val="20"/>
        </w:rPr>
        <w:t>2 – Согласно расчетам прогнозируемых доходов от управления средствами ФНБ на 2020 – 2023 годы, размещенным в системе «Электронный бюджет».</w:t>
      </w:r>
    </w:p>
    <w:p w:rsidR="00F16DE4" w:rsidRPr="009D4D41" w:rsidRDefault="00F16DE4" w:rsidP="00F16DE4">
      <w:pPr>
        <w:pStyle w:val="Default"/>
        <w:jc w:val="both"/>
        <w:rPr>
          <w:rFonts w:eastAsia="Calibri"/>
          <w:color w:val="000000" w:themeColor="text1"/>
          <w:sz w:val="20"/>
          <w:szCs w:val="20"/>
        </w:rPr>
      </w:pPr>
      <w:r w:rsidRPr="009D4D41">
        <w:rPr>
          <w:rFonts w:eastAsia="Calibri"/>
          <w:color w:val="000000" w:themeColor="text1"/>
          <w:sz w:val="20"/>
          <w:szCs w:val="20"/>
        </w:rPr>
        <w:t>3 – Согласно материалов к проекту федерального закона «О федеральном бюджете на 2021 год и на плановый период 2022 и 2023 годов».</w:t>
      </w:r>
    </w:p>
    <w:p w:rsidR="002068BA" w:rsidRPr="009D4D41" w:rsidRDefault="002068BA" w:rsidP="00C51A1B">
      <w:pPr>
        <w:rPr>
          <w:rFonts w:ascii="Times New Roman" w:hAnsi="Times New Roman" w:cs="Times New Roman"/>
          <w:color w:val="000000" w:themeColor="text1"/>
          <w:highlight w:val="cyan"/>
        </w:rPr>
      </w:pPr>
      <w:r w:rsidRPr="009D4D41">
        <w:rPr>
          <w:rFonts w:ascii="Times New Roman" w:hAnsi="Times New Roman" w:cs="Times New Roman"/>
          <w:color w:val="000000" w:themeColor="text1"/>
          <w:highlight w:val="cyan"/>
        </w:rPr>
        <w:br w:type="page"/>
      </w:r>
    </w:p>
    <w:p w:rsidR="00C51A1B" w:rsidRPr="009D4D41" w:rsidRDefault="00C51A1B" w:rsidP="00C51A1B">
      <w:pPr>
        <w:rPr>
          <w:rFonts w:ascii="Times New Roman" w:hAnsi="Times New Roman" w:cs="Times New Roman"/>
          <w:color w:val="000000" w:themeColor="text1"/>
          <w:highlight w:val="cyan"/>
        </w:rPr>
      </w:pPr>
    </w:p>
    <w:p w:rsidR="00C51A1B" w:rsidRPr="009D4D41" w:rsidRDefault="00C51A1B" w:rsidP="00C51A1B">
      <w:pPr>
        <w:spacing w:after="0" w:line="240" w:lineRule="auto"/>
        <w:ind w:left="6237"/>
        <w:jc w:val="right"/>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Таблица № </w:t>
      </w:r>
      <w:r w:rsidR="00F16DE4" w:rsidRPr="009D4D41">
        <w:rPr>
          <w:rFonts w:ascii="Times New Roman" w:hAnsi="Times New Roman" w:cs="Times New Roman"/>
          <w:color w:val="000000" w:themeColor="text1"/>
          <w:sz w:val="24"/>
          <w:szCs w:val="24"/>
        </w:rPr>
        <w:t>20</w:t>
      </w:r>
    </w:p>
    <w:p w:rsidR="00C51A1B" w:rsidRPr="009D4D41" w:rsidRDefault="00C51A1B" w:rsidP="00C51A1B">
      <w:pPr>
        <w:spacing w:after="0" w:line="240" w:lineRule="auto"/>
        <w:ind w:left="284"/>
        <w:jc w:val="both"/>
        <w:rPr>
          <w:rFonts w:ascii="Times New Roman" w:hAnsi="Times New Roman" w:cs="Times New Roman"/>
          <w:color w:val="000000" w:themeColor="text1"/>
          <w:sz w:val="24"/>
          <w:szCs w:val="24"/>
        </w:rPr>
      </w:pPr>
    </w:p>
    <w:p w:rsidR="00C51A1B" w:rsidRPr="009D4D41" w:rsidRDefault="00C51A1B" w:rsidP="00C51A1B">
      <w:pPr>
        <w:spacing w:after="0" w:line="240" w:lineRule="auto"/>
        <w:ind w:left="426"/>
        <w:jc w:val="center"/>
        <w:rPr>
          <w:rFonts w:ascii="Times New Roman" w:hAnsi="Times New Roman" w:cs="Times New Roman"/>
          <w:color w:val="000000" w:themeColor="text1"/>
          <w:sz w:val="24"/>
          <w:szCs w:val="24"/>
        </w:rPr>
      </w:pPr>
      <w:r w:rsidRPr="009D4D41">
        <w:rPr>
          <w:rFonts w:ascii="Times New Roman" w:hAnsi="Times New Roman" w:cs="Times New Roman"/>
          <w:color w:val="000000" w:themeColor="text1"/>
          <w:sz w:val="24"/>
          <w:szCs w:val="24"/>
        </w:rPr>
        <w:t xml:space="preserve">Доходности по приобретенным за счет средств Фонда национального благосостояния (ФНБ) ценным бумагам российских эмитентов, связанным с реализацией инфраструктурных проектов, привилегированным акциям кредитных организаций, а также процентных ставок по депозитам и субординированным депозитам в кредитных организациях и в ВЭБ.РФ, на которых размещены средства ФНБ, представлены по расчетам Минфина России </w:t>
      </w:r>
    </w:p>
    <w:p w:rsidR="00C51A1B" w:rsidRPr="009D4D41" w:rsidRDefault="00C51A1B" w:rsidP="00C51A1B">
      <w:pPr>
        <w:widowControl w:val="0"/>
        <w:spacing w:after="0" w:line="240" w:lineRule="auto"/>
        <w:ind w:right="-427"/>
        <w:jc w:val="right"/>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годовых)</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1536"/>
        <w:gridCol w:w="1536"/>
        <w:gridCol w:w="1536"/>
        <w:gridCol w:w="1536"/>
        <w:gridCol w:w="1536"/>
      </w:tblGrid>
      <w:tr w:rsidR="009D4D41" w:rsidRPr="009D4D41" w:rsidTr="00321D81">
        <w:trPr>
          <w:trHeight w:val="555"/>
          <w:tblHeader/>
        </w:trPr>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Показатель</w:t>
            </w:r>
          </w:p>
        </w:tc>
        <w:tc>
          <w:tcPr>
            <w:tcW w:w="1536" w:type="dxa"/>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2019 год</w:t>
            </w:r>
          </w:p>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(факт)</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2020 год</w:t>
            </w:r>
          </w:p>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(оценка)</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2021 год</w:t>
            </w:r>
          </w:p>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(прогноз)</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2022 год</w:t>
            </w:r>
          </w:p>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(прогноз)</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2023 год</w:t>
            </w:r>
          </w:p>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(прогноз)</w:t>
            </w:r>
          </w:p>
        </w:tc>
      </w:tr>
      <w:tr w:rsidR="009D4D41" w:rsidRPr="009D4D41" w:rsidTr="00321D81">
        <w:tc>
          <w:tcPr>
            <w:tcW w:w="10029" w:type="dxa"/>
            <w:gridSpan w:val="6"/>
            <w:vAlign w:val="center"/>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bCs/>
                <w:color w:val="000000" w:themeColor="text1"/>
                <w:sz w:val="16"/>
                <w:szCs w:val="16"/>
              </w:rPr>
              <w:t xml:space="preserve">Процентные ставки по депозитам и субординированным депозитам в кредитных организациях </w:t>
            </w:r>
            <w:r w:rsidRPr="009D4D41">
              <w:rPr>
                <w:rFonts w:ascii="Times New Roman" w:hAnsi="Times New Roman" w:cs="Times New Roman"/>
                <w:b/>
                <w:bCs/>
                <w:color w:val="000000" w:themeColor="text1"/>
                <w:sz w:val="16"/>
                <w:szCs w:val="16"/>
              </w:rPr>
              <w:br/>
              <w:t>и в ВЭБ.РФ, на которых размещены средства ФНБ</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депозиты в ВЭБ.РФ</w:t>
            </w:r>
            <w:r w:rsidRPr="009D4D41">
              <w:rPr>
                <w:rFonts w:ascii="Times New Roman" w:hAnsi="Times New Roman" w:cs="Times New Roman"/>
                <w:color w:val="000000" w:themeColor="text1"/>
                <w:sz w:val="16"/>
                <w:szCs w:val="16"/>
                <w:vertAlign w:val="superscript"/>
              </w:rPr>
              <w:t>1</w:t>
            </w:r>
          </w:p>
        </w:tc>
        <w:tc>
          <w:tcPr>
            <w:tcW w:w="1536" w:type="dxa"/>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4,23</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2,86; 4,75; </w:t>
            </w:r>
            <w:r w:rsidRPr="009D4D41">
              <w:rPr>
                <w:rFonts w:ascii="Times New Roman" w:hAnsi="Times New Roman" w:cs="Times New Roman"/>
                <w:color w:val="000000" w:themeColor="text1"/>
                <w:sz w:val="16"/>
                <w:szCs w:val="16"/>
              </w:rPr>
              <w:br/>
              <w:t xml:space="preserve">6,00; 6,25; </w:t>
            </w:r>
            <w:r w:rsidRPr="009D4D41">
              <w:rPr>
                <w:rFonts w:ascii="Times New Roman" w:hAnsi="Times New Roman" w:cs="Times New Roman"/>
                <w:color w:val="000000" w:themeColor="text1"/>
                <w:sz w:val="16"/>
                <w:szCs w:val="16"/>
              </w:rPr>
              <w:br/>
              <w:t xml:space="preserve"> 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highlight w:val="yellow"/>
              </w:rPr>
            </w:pPr>
            <w:r w:rsidRPr="009D4D41">
              <w:rPr>
                <w:rFonts w:ascii="Times New Roman" w:hAnsi="Times New Roman" w:cs="Times New Roman"/>
                <w:color w:val="000000" w:themeColor="text1"/>
                <w:sz w:val="16"/>
                <w:szCs w:val="16"/>
              </w:rPr>
              <w:t>2,86; 4,75; 6,00; 6,25; 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2,86; 4,75; 6,00; 6,25; 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2,86; 4,75; 6,00; 6,25; инфляция + 1</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highlight w:val="yellow"/>
              </w:rPr>
            </w:pPr>
            <w:r w:rsidRPr="009D4D41">
              <w:rPr>
                <w:rFonts w:ascii="Times New Roman" w:hAnsi="Times New Roman" w:cs="Times New Roman"/>
                <w:color w:val="000000" w:themeColor="text1"/>
                <w:sz w:val="16"/>
                <w:szCs w:val="16"/>
              </w:rPr>
              <w:t xml:space="preserve">депозит в </w:t>
            </w:r>
            <w:r w:rsidRPr="009D4D41">
              <w:rPr>
                <w:rFonts w:ascii="Times New Roman" w:hAnsi="Times New Roman" w:cs="Times New Roman"/>
                <w:color w:val="000000" w:themeColor="text1"/>
                <w:sz w:val="16"/>
                <w:szCs w:val="16"/>
              </w:rPr>
              <w:br/>
              <w:t>Банке ВТБ (ПАО)</w:t>
            </w:r>
          </w:p>
        </w:tc>
        <w:tc>
          <w:tcPr>
            <w:tcW w:w="1536" w:type="dxa"/>
            <w:vMerge w:val="restart"/>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lang w:val="en-US"/>
              </w:rPr>
            </w:pPr>
            <w:r w:rsidRPr="009D4D41">
              <w:rPr>
                <w:rFonts w:ascii="Times New Roman" w:hAnsi="Times New Roman" w:cs="Times New Roman"/>
                <w:color w:val="000000" w:themeColor="text1"/>
                <w:sz w:val="16"/>
                <w:szCs w:val="16"/>
              </w:rPr>
              <w:t>5,</w:t>
            </w:r>
            <w:r w:rsidRPr="009D4D41">
              <w:rPr>
                <w:rFonts w:ascii="Times New Roman" w:hAnsi="Times New Roman" w:cs="Times New Roman"/>
                <w:color w:val="000000" w:themeColor="text1"/>
                <w:sz w:val="16"/>
                <w:szCs w:val="16"/>
                <w:lang w:val="en-US"/>
              </w:rPr>
              <w:t>21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субординированный депозит в Банке ВТБ (ПАО)</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 процентная ставка, установленная Банком России при проведении депозитных операций по фиксированным процентным ставкам</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 процентная ставка, установленная Банком России при проведении депозитных операций по фиксированным процентным ставкам</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 процентная ставка, установленная Банком России при проведении депозитных операций по фиксированным процентным ставкам</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 процентная ставка, установленная Банком России при проведении депозитных операций по фиксированным процентным ставкам</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субординированный депозит в Банке ГПБ (АО)</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r>
      <w:tr w:rsidR="009D4D41" w:rsidRPr="009D4D41" w:rsidTr="00321D81">
        <w:tc>
          <w:tcPr>
            <w:tcW w:w="10029" w:type="dxa"/>
            <w:gridSpan w:val="6"/>
          </w:tcPr>
          <w:p w:rsidR="00F16DE4" w:rsidRPr="009D4D41" w:rsidRDefault="00F16DE4" w:rsidP="00321D81">
            <w:pPr>
              <w:spacing w:after="0" w:line="240" w:lineRule="auto"/>
              <w:jc w:val="center"/>
              <w:rPr>
                <w:rFonts w:ascii="Times New Roman" w:hAnsi="Times New Roman" w:cs="Times New Roman"/>
                <w:b/>
                <w:color w:val="000000" w:themeColor="text1"/>
                <w:sz w:val="16"/>
                <w:szCs w:val="16"/>
              </w:rPr>
            </w:pPr>
            <w:r w:rsidRPr="009D4D41">
              <w:rPr>
                <w:rFonts w:ascii="Times New Roman" w:hAnsi="Times New Roman" w:cs="Times New Roman"/>
                <w:b/>
                <w:color w:val="000000" w:themeColor="text1"/>
                <w:sz w:val="16"/>
                <w:szCs w:val="16"/>
              </w:rPr>
              <w:t>Доходность по приобретенным за счет средств ФНБ привилегированным акциям кредитных организаций</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Привилегированные акции Банка ВТБ (ПАО)</w:t>
            </w:r>
          </w:p>
        </w:tc>
        <w:tc>
          <w:tcPr>
            <w:tcW w:w="1536" w:type="dxa"/>
            <w:vMerge w:val="restart"/>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lang w:val="en-US"/>
              </w:rPr>
            </w:pPr>
            <w:r w:rsidRPr="009D4D41">
              <w:rPr>
                <w:rFonts w:ascii="Times New Roman" w:hAnsi="Times New Roman" w:cs="Times New Roman"/>
                <w:color w:val="000000" w:themeColor="text1"/>
                <w:sz w:val="16"/>
                <w:szCs w:val="16"/>
                <w:lang w:val="en-US"/>
              </w:rPr>
              <w:t>3,23</w:t>
            </w:r>
          </w:p>
        </w:tc>
        <w:tc>
          <w:tcPr>
            <w:tcW w:w="1536" w:type="dxa"/>
            <w:vMerge w:val="restart"/>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5,20</w:t>
            </w:r>
          </w:p>
        </w:tc>
        <w:tc>
          <w:tcPr>
            <w:tcW w:w="1536" w:type="dxa"/>
            <w:vMerge w:val="restart"/>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5,20</w:t>
            </w:r>
          </w:p>
        </w:tc>
        <w:tc>
          <w:tcPr>
            <w:tcW w:w="1536" w:type="dxa"/>
            <w:vMerge w:val="restart"/>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5,20</w:t>
            </w:r>
          </w:p>
        </w:tc>
        <w:tc>
          <w:tcPr>
            <w:tcW w:w="1536" w:type="dxa"/>
            <w:vMerge w:val="restart"/>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5,20</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Привилегированные акции </w:t>
            </w:r>
            <w:r w:rsidRPr="009D4D41">
              <w:rPr>
                <w:rFonts w:ascii="Times New Roman" w:hAnsi="Times New Roman" w:cs="Times New Roman"/>
                <w:color w:val="000000" w:themeColor="text1"/>
                <w:sz w:val="16"/>
                <w:szCs w:val="16"/>
              </w:rPr>
              <w:br/>
              <w:t>АО «Россельхозбанк»</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Привилегированные акции Банка ГПБ (АО)</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vMerge/>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Обыкновенные акции </w:t>
            </w:r>
            <w:r w:rsidRPr="009D4D41">
              <w:rPr>
                <w:rFonts w:ascii="Times New Roman" w:hAnsi="Times New Roman" w:cs="Times New Roman"/>
                <w:color w:val="000000" w:themeColor="text1"/>
                <w:sz w:val="16"/>
                <w:szCs w:val="16"/>
              </w:rPr>
              <w:br/>
              <w:t>ПАО Сбербанк</w:t>
            </w:r>
          </w:p>
        </w:tc>
        <w:tc>
          <w:tcPr>
            <w:tcW w:w="1536" w:type="dxa"/>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9,9</w:t>
            </w:r>
            <w:r w:rsidRPr="009D4D41">
              <w:rPr>
                <w:rFonts w:ascii="Times New Roman" w:hAnsi="Times New Roman" w:cs="Times New Roman"/>
                <w:color w:val="000000" w:themeColor="text1"/>
                <w:sz w:val="16"/>
                <w:szCs w:val="16"/>
                <w:vertAlign w:val="superscript"/>
              </w:rPr>
              <w:t>2</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6,04</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8,08</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9,54</w:t>
            </w:r>
          </w:p>
        </w:tc>
      </w:tr>
      <w:tr w:rsidR="009D4D41" w:rsidRPr="009D4D41" w:rsidTr="00321D81">
        <w:tc>
          <w:tcPr>
            <w:tcW w:w="10029" w:type="dxa"/>
            <w:gridSpan w:val="6"/>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b/>
                <w:color w:val="000000" w:themeColor="text1"/>
                <w:sz w:val="16"/>
                <w:szCs w:val="16"/>
              </w:rPr>
              <w:t xml:space="preserve">Доходность по приобретенным за счет средств ФНБ ценным бумагам российских эмитентов, связанным </w:t>
            </w:r>
            <w:r w:rsidRPr="009D4D41">
              <w:rPr>
                <w:rFonts w:ascii="Times New Roman" w:hAnsi="Times New Roman" w:cs="Times New Roman"/>
                <w:b/>
                <w:color w:val="000000" w:themeColor="text1"/>
                <w:sz w:val="16"/>
                <w:szCs w:val="16"/>
              </w:rPr>
              <w:br/>
              <w:t>с реализацией инфраструктурных проектов</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Облигации </w:t>
            </w:r>
            <w:r w:rsidRPr="009D4D41">
              <w:rPr>
                <w:rFonts w:ascii="Times New Roman" w:hAnsi="Times New Roman" w:cs="Times New Roman"/>
                <w:color w:val="000000" w:themeColor="text1"/>
                <w:sz w:val="16"/>
                <w:szCs w:val="16"/>
              </w:rPr>
              <w:br/>
              <w:t>ООО «Инфраструктурные инвестиции-3»</w:t>
            </w:r>
          </w:p>
        </w:tc>
        <w:tc>
          <w:tcPr>
            <w:tcW w:w="1536" w:type="dxa"/>
            <w:vMerge w:val="restart"/>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lang w:val="en-US"/>
              </w:rPr>
            </w:pPr>
            <w:r w:rsidRPr="009D4D41">
              <w:rPr>
                <w:rFonts w:ascii="Times New Roman" w:hAnsi="Times New Roman" w:cs="Times New Roman"/>
                <w:color w:val="000000" w:themeColor="text1"/>
                <w:sz w:val="16"/>
                <w:szCs w:val="16"/>
                <w:lang w:val="en-US"/>
              </w:rPr>
              <w:t>4,65</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Облигации </w:t>
            </w:r>
            <w:r w:rsidRPr="009D4D41">
              <w:rPr>
                <w:rFonts w:ascii="Times New Roman" w:hAnsi="Times New Roman" w:cs="Times New Roman"/>
                <w:color w:val="000000" w:themeColor="text1"/>
                <w:sz w:val="16"/>
                <w:szCs w:val="16"/>
              </w:rPr>
              <w:br/>
              <w:t>ООО «Инфраструктурные инвестиции-4»</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+ 1</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Облигации </w:t>
            </w:r>
            <w:r w:rsidRPr="009D4D41">
              <w:rPr>
                <w:rFonts w:ascii="Times New Roman" w:hAnsi="Times New Roman" w:cs="Times New Roman"/>
                <w:color w:val="000000" w:themeColor="text1"/>
                <w:sz w:val="16"/>
                <w:szCs w:val="16"/>
              </w:rPr>
              <w:br/>
              <w:t>ОАО «Ямал СПГ»</w:t>
            </w:r>
          </w:p>
        </w:tc>
        <w:tc>
          <w:tcPr>
            <w:tcW w:w="1536" w:type="dxa"/>
            <w:vMerge w:val="restart"/>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lang w:val="en-US"/>
              </w:rPr>
            </w:pPr>
            <w:r w:rsidRPr="009D4D41">
              <w:rPr>
                <w:rFonts w:ascii="Times New Roman" w:hAnsi="Times New Roman" w:cs="Times New Roman"/>
                <w:color w:val="000000" w:themeColor="text1"/>
                <w:sz w:val="16"/>
                <w:szCs w:val="16"/>
              </w:rPr>
              <w:t>4,1</w:t>
            </w:r>
            <w:r w:rsidRPr="009D4D41">
              <w:rPr>
                <w:rFonts w:ascii="Times New Roman" w:hAnsi="Times New Roman" w:cs="Times New Roman"/>
                <w:color w:val="000000" w:themeColor="text1"/>
                <w:sz w:val="16"/>
                <w:szCs w:val="16"/>
                <w:lang w:val="en-US"/>
              </w:rPr>
              <w:t>4</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6-месячный ЛИБОР в долл. США</w:t>
            </w:r>
            <w:r w:rsidRPr="009D4D41">
              <w:rPr>
                <w:rFonts w:ascii="Times New Roman" w:hAnsi="Times New Roman" w:cs="Times New Roman"/>
                <w:color w:val="000000" w:themeColor="text1"/>
                <w:sz w:val="16"/>
                <w:szCs w:val="16"/>
                <w:vertAlign w:val="superscript"/>
              </w:rPr>
              <w:t>3</w:t>
            </w:r>
            <w:r w:rsidRPr="009D4D41">
              <w:rPr>
                <w:rFonts w:ascii="Times New Roman" w:hAnsi="Times New Roman" w:cs="Times New Roman"/>
                <w:color w:val="000000" w:themeColor="text1"/>
                <w:sz w:val="16"/>
                <w:szCs w:val="16"/>
              </w:rPr>
              <w:t xml:space="preserve"> + 3</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6-месячный ЛИБОР в долл. США</w:t>
            </w:r>
            <w:r w:rsidRPr="009D4D41">
              <w:rPr>
                <w:rFonts w:ascii="Times New Roman" w:hAnsi="Times New Roman" w:cs="Times New Roman"/>
                <w:color w:val="000000" w:themeColor="text1"/>
                <w:sz w:val="16"/>
                <w:szCs w:val="16"/>
                <w:vertAlign w:val="superscript"/>
              </w:rPr>
              <w:t>3</w:t>
            </w:r>
            <w:r w:rsidRPr="009D4D41">
              <w:rPr>
                <w:rFonts w:ascii="Times New Roman" w:hAnsi="Times New Roman" w:cs="Times New Roman"/>
                <w:color w:val="000000" w:themeColor="text1"/>
                <w:sz w:val="16"/>
                <w:szCs w:val="16"/>
              </w:rPr>
              <w:t xml:space="preserve"> + 3</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6-месячный ЛИБОР в долл. США</w:t>
            </w:r>
            <w:r w:rsidRPr="009D4D41">
              <w:rPr>
                <w:rFonts w:ascii="Times New Roman" w:hAnsi="Times New Roman" w:cs="Times New Roman"/>
                <w:color w:val="000000" w:themeColor="text1"/>
                <w:sz w:val="16"/>
                <w:szCs w:val="16"/>
                <w:vertAlign w:val="superscript"/>
              </w:rPr>
              <w:t>3</w:t>
            </w:r>
            <w:r w:rsidRPr="009D4D41">
              <w:rPr>
                <w:rFonts w:ascii="Times New Roman" w:hAnsi="Times New Roman" w:cs="Times New Roman"/>
                <w:color w:val="000000" w:themeColor="text1"/>
                <w:sz w:val="16"/>
                <w:szCs w:val="16"/>
              </w:rPr>
              <w:t xml:space="preserve"> + 3</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6-месячный ЛИБОР в долл. США</w:t>
            </w:r>
            <w:r w:rsidRPr="009D4D41">
              <w:rPr>
                <w:rFonts w:ascii="Times New Roman" w:hAnsi="Times New Roman" w:cs="Times New Roman"/>
                <w:color w:val="000000" w:themeColor="text1"/>
                <w:sz w:val="16"/>
                <w:szCs w:val="16"/>
                <w:vertAlign w:val="superscript"/>
              </w:rPr>
              <w:t>3</w:t>
            </w:r>
            <w:r w:rsidRPr="009D4D41">
              <w:rPr>
                <w:rFonts w:ascii="Times New Roman" w:hAnsi="Times New Roman" w:cs="Times New Roman"/>
                <w:color w:val="000000" w:themeColor="text1"/>
                <w:sz w:val="16"/>
                <w:szCs w:val="16"/>
              </w:rPr>
              <w:t xml:space="preserve"> + 3</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Облигации </w:t>
            </w:r>
            <w:r w:rsidRPr="009D4D41">
              <w:rPr>
                <w:rFonts w:ascii="Times New Roman" w:hAnsi="Times New Roman" w:cs="Times New Roman"/>
                <w:color w:val="000000" w:themeColor="text1"/>
                <w:sz w:val="16"/>
                <w:szCs w:val="16"/>
              </w:rPr>
              <w:br/>
              <w:t>ООО «ЗапСибНефтехим»</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в США</w:t>
            </w:r>
            <w:r w:rsidRPr="009D4D41">
              <w:rPr>
                <w:rFonts w:ascii="Times New Roman" w:hAnsi="Times New Roman" w:cs="Times New Roman"/>
                <w:color w:val="000000" w:themeColor="text1"/>
                <w:sz w:val="16"/>
                <w:szCs w:val="16"/>
                <w:vertAlign w:val="superscript"/>
              </w:rPr>
              <w:t>4</w:t>
            </w:r>
            <w:r w:rsidRPr="009D4D41">
              <w:rPr>
                <w:rFonts w:ascii="Times New Roman" w:hAnsi="Times New Roman" w:cs="Times New Roman"/>
                <w:color w:val="000000" w:themeColor="text1"/>
                <w:sz w:val="16"/>
                <w:szCs w:val="16"/>
              </w:rPr>
              <w:t xml:space="preserve"> + 1</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в США</w:t>
            </w:r>
            <w:r w:rsidRPr="009D4D41">
              <w:rPr>
                <w:rFonts w:ascii="Times New Roman" w:hAnsi="Times New Roman" w:cs="Times New Roman"/>
                <w:color w:val="000000" w:themeColor="text1"/>
                <w:sz w:val="16"/>
                <w:szCs w:val="16"/>
                <w:vertAlign w:val="superscript"/>
              </w:rPr>
              <w:t>4</w:t>
            </w:r>
            <w:r w:rsidRPr="009D4D41">
              <w:rPr>
                <w:rFonts w:ascii="Times New Roman" w:hAnsi="Times New Roman" w:cs="Times New Roman"/>
                <w:color w:val="000000" w:themeColor="text1"/>
                <w:sz w:val="16"/>
                <w:szCs w:val="16"/>
              </w:rPr>
              <w:t xml:space="preserve"> + 1</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в США</w:t>
            </w:r>
            <w:r w:rsidRPr="009D4D41">
              <w:rPr>
                <w:rFonts w:ascii="Times New Roman" w:hAnsi="Times New Roman" w:cs="Times New Roman"/>
                <w:color w:val="000000" w:themeColor="text1"/>
                <w:sz w:val="16"/>
                <w:szCs w:val="16"/>
                <w:vertAlign w:val="superscript"/>
              </w:rPr>
              <w:t>4</w:t>
            </w:r>
            <w:r w:rsidRPr="009D4D41">
              <w:rPr>
                <w:rFonts w:ascii="Times New Roman" w:hAnsi="Times New Roman" w:cs="Times New Roman"/>
                <w:color w:val="000000" w:themeColor="text1"/>
                <w:sz w:val="16"/>
                <w:szCs w:val="16"/>
              </w:rPr>
              <w:t xml:space="preserve"> + 1</w:t>
            </w:r>
          </w:p>
        </w:tc>
        <w:tc>
          <w:tcPr>
            <w:tcW w:w="1536" w:type="dxa"/>
            <w:shd w:val="clear" w:color="auto" w:fill="auto"/>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Инфляция в США</w:t>
            </w:r>
            <w:r w:rsidRPr="009D4D41">
              <w:rPr>
                <w:rFonts w:ascii="Times New Roman" w:hAnsi="Times New Roman" w:cs="Times New Roman"/>
                <w:color w:val="000000" w:themeColor="text1"/>
                <w:sz w:val="16"/>
                <w:szCs w:val="16"/>
                <w:vertAlign w:val="superscript"/>
              </w:rPr>
              <w:t>4</w:t>
            </w:r>
            <w:r w:rsidRPr="009D4D41">
              <w:rPr>
                <w:rFonts w:ascii="Times New Roman" w:hAnsi="Times New Roman" w:cs="Times New Roman"/>
                <w:color w:val="000000" w:themeColor="text1"/>
                <w:sz w:val="16"/>
                <w:szCs w:val="16"/>
              </w:rPr>
              <w:t xml:space="preserve"> + 1</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Привилегированные акции ОАО «РЖД»</w:t>
            </w:r>
          </w:p>
        </w:tc>
        <w:tc>
          <w:tcPr>
            <w:tcW w:w="1536" w:type="dxa"/>
            <w:vMerge w:val="restart"/>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lang w:val="en-US"/>
              </w:rPr>
            </w:pPr>
            <w:r w:rsidRPr="009D4D41">
              <w:rPr>
                <w:rFonts w:ascii="Times New Roman" w:hAnsi="Times New Roman" w:cs="Times New Roman"/>
                <w:color w:val="000000" w:themeColor="text1"/>
                <w:sz w:val="16"/>
                <w:szCs w:val="16"/>
              </w:rPr>
              <w:t>0,7</w:t>
            </w:r>
            <w:r w:rsidRPr="009D4D41">
              <w:rPr>
                <w:rFonts w:ascii="Times New Roman" w:hAnsi="Times New Roman" w:cs="Times New Roman"/>
                <w:color w:val="000000" w:themeColor="text1"/>
                <w:sz w:val="16"/>
                <w:szCs w:val="16"/>
                <w:lang w:val="en-US"/>
              </w:rPr>
              <w:t>6</w:t>
            </w:r>
          </w:p>
        </w:tc>
        <w:tc>
          <w:tcPr>
            <w:tcW w:w="1536" w:type="dxa"/>
            <w:shd w:val="clear" w:color="auto" w:fill="auto"/>
            <w:vAlign w:val="center"/>
          </w:tcPr>
          <w:p w:rsidR="00F16DE4" w:rsidRPr="009D4D41" w:rsidRDefault="009A2B11" w:rsidP="00321D81">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2,98</w:t>
            </w:r>
            <w:bookmarkStart w:id="0" w:name="_GoBack"/>
            <w:bookmarkEnd w:id="0"/>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2,98</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2,98</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2,98</w:t>
            </w:r>
          </w:p>
        </w:tc>
      </w:tr>
      <w:tr w:rsidR="009D4D41" w:rsidRPr="009D4D41" w:rsidTr="00321D81">
        <w:tc>
          <w:tcPr>
            <w:tcW w:w="2349"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 xml:space="preserve">Привилегированные акции </w:t>
            </w:r>
            <w:r w:rsidRPr="009D4D41">
              <w:rPr>
                <w:rFonts w:ascii="Times New Roman" w:hAnsi="Times New Roman" w:cs="Times New Roman"/>
                <w:color w:val="000000" w:themeColor="text1"/>
                <w:sz w:val="16"/>
                <w:szCs w:val="16"/>
              </w:rPr>
              <w:br/>
              <w:t>АО «Атомэнергопром»</w:t>
            </w:r>
          </w:p>
        </w:tc>
        <w:tc>
          <w:tcPr>
            <w:tcW w:w="1536" w:type="dxa"/>
            <w:vMerge/>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c>
          <w:tcPr>
            <w:tcW w:w="1536" w:type="dxa"/>
            <w:shd w:val="clear" w:color="auto" w:fill="auto"/>
            <w:vAlign w:val="center"/>
          </w:tcPr>
          <w:p w:rsidR="00F16DE4" w:rsidRPr="009D4D41" w:rsidRDefault="00F16DE4" w:rsidP="00321D81">
            <w:pPr>
              <w:spacing w:after="0" w:line="240" w:lineRule="auto"/>
              <w:jc w:val="center"/>
              <w:rPr>
                <w:rFonts w:ascii="Times New Roman" w:hAnsi="Times New Roman" w:cs="Times New Roman"/>
                <w:color w:val="000000" w:themeColor="text1"/>
                <w:sz w:val="16"/>
                <w:szCs w:val="16"/>
              </w:rPr>
            </w:pPr>
            <w:r w:rsidRPr="009D4D41">
              <w:rPr>
                <w:rFonts w:ascii="Times New Roman" w:hAnsi="Times New Roman" w:cs="Times New Roman"/>
                <w:color w:val="000000" w:themeColor="text1"/>
                <w:sz w:val="16"/>
                <w:szCs w:val="16"/>
              </w:rPr>
              <w:t>-</w:t>
            </w:r>
          </w:p>
        </w:tc>
      </w:tr>
    </w:tbl>
    <w:p w:rsidR="00F16DE4" w:rsidRPr="009D4D41" w:rsidRDefault="00F16DE4" w:rsidP="00C51A1B">
      <w:pPr>
        <w:widowControl w:val="0"/>
        <w:spacing w:after="0" w:line="240" w:lineRule="auto"/>
        <w:ind w:right="-427"/>
        <w:jc w:val="right"/>
        <w:rPr>
          <w:rFonts w:ascii="Times New Roman" w:hAnsi="Times New Roman" w:cs="Times New Roman"/>
          <w:color w:val="000000" w:themeColor="text1"/>
          <w:sz w:val="16"/>
          <w:szCs w:val="16"/>
        </w:rPr>
      </w:pPr>
    </w:p>
    <w:p w:rsidR="00F16DE4" w:rsidRPr="009D4D41" w:rsidRDefault="00F16DE4" w:rsidP="00C51A1B">
      <w:pPr>
        <w:widowControl w:val="0"/>
        <w:spacing w:after="0" w:line="240" w:lineRule="auto"/>
        <w:ind w:right="-427"/>
        <w:jc w:val="right"/>
        <w:rPr>
          <w:rFonts w:ascii="Times New Roman" w:hAnsi="Times New Roman" w:cs="Times New Roman"/>
          <w:color w:val="000000" w:themeColor="text1"/>
          <w:sz w:val="16"/>
          <w:szCs w:val="16"/>
        </w:rPr>
      </w:pPr>
    </w:p>
    <w:p w:rsidR="00F16DE4" w:rsidRPr="009D4D41" w:rsidRDefault="00F16DE4" w:rsidP="00F16DE4">
      <w:pPr>
        <w:overflowPunct w:val="0"/>
        <w:autoSpaceDE w:val="0"/>
        <w:autoSpaceDN w:val="0"/>
        <w:adjustRightInd w:val="0"/>
        <w:spacing w:after="0" w:line="240" w:lineRule="auto"/>
        <w:jc w:val="both"/>
        <w:textAlignment w:val="baseline"/>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1. В зависимости от депозитного договора.</w:t>
      </w:r>
    </w:p>
    <w:p w:rsidR="00F16DE4" w:rsidRPr="009D4D41" w:rsidRDefault="00F16DE4" w:rsidP="00F16DE4">
      <w:pPr>
        <w:overflowPunct w:val="0"/>
        <w:autoSpaceDE w:val="0"/>
        <w:autoSpaceDN w:val="0"/>
        <w:adjustRightInd w:val="0"/>
        <w:spacing w:after="0" w:line="240" w:lineRule="auto"/>
        <w:jc w:val="both"/>
        <w:textAlignment w:val="baseline"/>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2. Расчетно. На состоявшемся в сентябре 2020 года общем собрании акционеров ПАО Сбербанк было принято решении о выплате дивидендов за 2019 год по обыкновенным акциям ПАО Сбербанк в размере 18,7 рублей на одну акцию. Пакет обыкновенных акций ПАО Сбербанк был приобретен за счет средств ФНБ по цене 189,44 рублей за одну акцию.</w:t>
      </w:r>
    </w:p>
    <w:p w:rsidR="00F16DE4" w:rsidRPr="009D4D41" w:rsidRDefault="00F16DE4" w:rsidP="00F16DE4">
      <w:pPr>
        <w:overflowPunct w:val="0"/>
        <w:autoSpaceDE w:val="0"/>
        <w:autoSpaceDN w:val="0"/>
        <w:adjustRightInd w:val="0"/>
        <w:spacing w:after="0" w:line="240" w:lineRule="auto"/>
        <w:jc w:val="both"/>
        <w:textAlignment w:val="baseline"/>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3. Для расчета прогнозных значений доходов ставка ЛИБОР принимается равной 0,287 % годовых.</w:t>
      </w:r>
    </w:p>
    <w:p w:rsidR="00F16DE4" w:rsidRPr="009D4D41" w:rsidRDefault="00F16DE4" w:rsidP="00F16DE4">
      <w:pPr>
        <w:overflowPunct w:val="0"/>
        <w:autoSpaceDE w:val="0"/>
        <w:autoSpaceDN w:val="0"/>
        <w:adjustRightInd w:val="0"/>
        <w:spacing w:after="0" w:line="240" w:lineRule="auto"/>
        <w:jc w:val="both"/>
        <w:textAlignment w:val="baseline"/>
        <w:rPr>
          <w:rFonts w:ascii="Times New Roman" w:hAnsi="Times New Roman" w:cs="Times New Roman"/>
          <w:i/>
          <w:color w:val="000000" w:themeColor="text1"/>
          <w:sz w:val="16"/>
          <w:szCs w:val="16"/>
        </w:rPr>
      </w:pPr>
      <w:r w:rsidRPr="009D4D41">
        <w:rPr>
          <w:rFonts w:ascii="Times New Roman" w:hAnsi="Times New Roman" w:cs="Times New Roman"/>
          <w:i/>
          <w:color w:val="000000" w:themeColor="text1"/>
          <w:sz w:val="16"/>
          <w:szCs w:val="16"/>
        </w:rPr>
        <w:t>4. Для расчета прогнозных значений доходов значение инфляции в США принимается равным 2,3 %.</w:t>
      </w:r>
    </w:p>
    <w:p w:rsidR="00C51A1B" w:rsidRPr="009D4D41" w:rsidRDefault="00C51A1B" w:rsidP="00C51A1B">
      <w:pPr>
        <w:jc w:val="center"/>
        <w:rPr>
          <w:rFonts w:ascii="Times New Roman" w:hAnsi="Times New Roman" w:cs="Times New Roman"/>
          <w:color w:val="000000" w:themeColor="text1"/>
        </w:rPr>
      </w:pPr>
    </w:p>
    <w:sectPr w:rsidR="00C51A1B" w:rsidRPr="009D4D41" w:rsidSect="004509A5">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D81" w:rsidRDefault="00321D81" w:rsidP="00E659D0">
      <w:pPr>
        <w:spacing w:after="0" w:line="240" w:lineRule="auto"/>
      </w:pPr>
      <w:r>
        <w:separator/>
      </w:r>
    </w:p>
  </w:endnote>
  <w:endnote w:type="continuationSeparator" w:id="0">
    <w:p w:rsidR="00321D81" w:rsidRDefault="00321D81" w:rsidP="00E6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D81" w:rsidRDefault="00321D81" w:rsidP="00E659D0">
      <w:pPr>
        <w:spacing w:after="0" w:line="240" w:lineRule="auto"/>
      </w:pPr>
      <w:r>
        <w:separator/>
      </w:r>
    </w:p>
  </w:footnote>
  <w:footnote w:type="continuationSeparator" w:id="0">
    <w:p w:rsidR="00321D81" w:rsidRDefault="00321D81" w:rsidP="00E659D0">
      <w:pPr>
        <w:spacing w:after="0" w:line="240" w:lineRule="auto"/>
      </w:pPr>
      <w:r>
        <w:continuationSeparator/>
      </w:r>
    </w:p>
  </w:footnote>
  <w:footnote w:id="1">
    <w:p w:rsidR="00321D81" w:rsidRPr="00646FC2" w:rsidRDefault="00321D81" w:rsidP="00DC2639">
      <w:pPr>
        <w:pStyle w:val="af"/>
        <w:jc w:val="both"/>
        <w:rPr>
          <w:color w:val="1F497D" w:themeColor="text2"/>
          <w:sz w:val="16"/>
          <w:szCs w:val="16"/>
        </w:rPr>
      </w:pPr>
      <w:r w:rsidRPr="00646FC2">
        <w:rPr>
          <w:rStyle w:val="a4"/>
          <w:color w:val="1F497D" w:themeColor="text2"/>
          <w:sz w:val="16"/>
          <w:szCs w:val="16"/>
        </w:rPr>
        <w:footnoteRef/>
      </w:r>
      <w:r w:rsidRPr="00646FC2">
        <w:rPr>
          <w:color w:val="1F497D" w:themeColor="text2"/>
          <w:sz w:val="16"/>
          <w:szCs w:val="16"/>
        </w:rPr>
        <w:t xml:space="preserve"> По информации Минфина России, полученной в рабочем порядке, при расчете экспертного прогноза ПАО Сбербанк допущена техническая ошибка. Уточненный расчет общей суммы предполагаемого объема средств, необходимых для осуществления компенсационных выплат, с внесением соответствующих корректировок в столбец «Всего», направлен ПАО Сбербанк в Минфин России письмом от 4 сентября 2020 г. № 406-исх/232.</w:t>
      </w:r>
    </w:p>
  </w:footnote>
  <w:footnote w:id="2">
    <w:p w:rsidR="00321D81" w:rsidRPr="00646FC2" w:rsidRDefault="00321D81" w:rsidP="00DC2639">
      <w:pPr>
        <w:pStyle w:val="af"/>
        <w:jc w:val="both"/>
        <w:rPr>
          <w:color w:val="1F497D" w:themeColor="text2"/>
          <w:sz w:val="16"/>
          <w:szCs w:val="16"/>
        </w:rPr>
      </w:pPr>
      <w:r w:rsidRPr="00646FC2">
        <w:rPr>
          <w:rStyle w:val="a4"/>
          <w:color w:val="1F497D" w:themeColor="text2"/>
          <w:sz w:val="16"/>
          <w:szCs w:val="16"/>
        </w:rPr>
        <w:footnoteRef/>
      </w:r>
      <w:r w:rsidRPr="00646FC2">
        <w:rPr>
          <w:color w:val="1F497D" w:themeColor="text2"/>
          <w:sz w:val="16"/>
          <w:szCs w:val="16"/>
        </w:rPr>
        <w:t> Расчет, применяемый в ходе сравнительного анализа прогнозных значений объема средств, необходимых для осуществления компенсационных выплат по вкладам в 2020-2023 годах.</w:t>
      </w:r>
    </w:p>
  </w:footnote>
  <w:footnote w:id="3">
    <w:p w:rsidR="00321D81" w:rsidRPr="002C4D31" w:rsidRDefault="00321D81" w:rsidP="00DC2639">
      <w:pPr>
        <w:pStyle w:val="af"/>
        <w:jc w:val="both"/>
        <w:rPr>
          <w:sz w:val="16"/>
          <w:szCs w:val="16"/>
        </w:rPr>
      </w:pPr>
      <w:r w:rsidRPr="002C4D31">
        <w:rPr>
          <w:sz w:val="16"/>
          <w:szCs w:val="16"/>
        </w:rPr>
        <w:footnoteRef/>
      </w:r>
      <w:r w:rsidRPr="002C4D31">
        <w:rPr>
          <w:sz w:val="16"/>
          <w:szCs w:val="16"/>
        </w:rPr>
        <w:t xml:space="preserve"> Расчеты осуществлены исходя из </w:t>
      </w:r>
      <w:r>
        <w:rPr>
          <w:sz w:val="16"/>
          <w:szCs w:val="16"/>
        </w:rPr>
        <w:t>себе</w:t>
      </w:r>
      <w:r w:rsidRPr="002C4D31">
        <w:rPr>
          <w:sz w:val="16"/>
          <w:szCs w:val="16"/>
        </w:rPr>
        <w:t xml:space="preserve">стоимости </w:t>
      </w:r>
      <w:r>
        <w:rPr>
          <w:sz w:val="16"/>
          <w:szCs w:val="16"/>
        </w:rPr>
        <w:t>одной операции за 2019 год. Расчет себестоимости одной операции осуществляется в году, следующем за истекшим.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474212"/>
      <w:docPartObj>
        <w:docPartGallery w:val="Page Numbers (Top of Page)"/>
        <w:docPartUnique/>
      </w:docPartObj>
    </w:sdtPr>
    <w:sdtEndPr>
      <w:rPr>
        <w:rFonts w:ascii="Times New Roman" w:hAnsi="Times New Roman" w:cs="Times New Roman"/>
        <w:sz w:val="24"/>
        <w:szCs w:val="24"/>
      </w:rPr>
    </w:sdtEndPr>
    <w:sdtContent>
      <w:p w:rsidR="00321D81" w:rsidRPr="00457973" w:rsidRDefault="00321D81">
        <w:pPr>
          <w:pStyle w:val="a9"/>
          <w:jc w:val="center"/>
          <w:rPr>
            <w:rFonts w:ascii="Times New Roman" w:hAnsi="Times New Roman" w:cs="Times New Roman"/>
            <w:sz w:val="24"/>
            <w:szCs w:val="24"/>
          </w:rPr>
        </w:pPr>
        <w:r w:rsidRPr="00457973">
          <w:rPr>
            <w:rFonts w:ascii="Times New Roman" w:hAnsi="Times New Roman" w:cs="Times New Roman"/>
            <w:sz w:val="24"/>
            <w:szCs w:val="24"/>
          </w:rPr>
          <w:fldChar w:fldCharType="begin"/>
        </w:r>
        <w:r w:rsidRPr="00457973">
          <w:rPr>
            <w:rFonts w:ascii="Times New Roman" w:hAnsi="Times New Roman" w:cs="Times New Roman"/>
            <w:sz w:val="24"/>
            <w:szCs w:val="24"/>
          </w:rPr>
          <w:instrText>PAGE   \* MERGEFORMAT</w:instrText>
        </w:r>
        <w:r w:rsidRPr="00457973">
          <w:rPr>
            <w:rFonts w:ascii="Times New Roman" w:hAnsi="Times New Roman" w:cs="Times New Roman"/>
            <w:sz w:val="24"/>
            <w:szCs w:val="24"/>
          </w:rPr>
          <w:fldChar w:fldCharType="separate"/>
        </w:r>
        <w:r w:rsidR="009A2B11">
          <w:rPr>
            <w:rFonts w:ascii="Times New Roman" w:hAnsi="Times New Roman" w:cs="Times New Roman"/>
            <w:noProof/>
            <w:sz w:val="24"/>
            <w:szCs w:val="24"/>
          </w:rPr>
          <w:t>15</w:t>
        </w:r>
        <w:r w:rsidRPr="0045797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67094"/>
    <w:multiLevelType w:val="hybridMultilevel"/>
    <w:tmpl w:val="D4E85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C5DEF"/>
    <w:multiLevelType w:val="hybridMultilevel"/>
    <w:tmpl w:val="3294DF9A"/>
    <w:lvl w:ilvl="0" w:tplc="77988DA4">
      <w:start w:val="32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93C68AC"/>
    <w:multiLevelType w:val="hybridMultilevel"/>
    <w:tmpl w:val="9BBCF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17"/>
    <w:rsid w:val="000052CE"/>
    <w:rsid w:val="00013011"/>
    <w:rsid w:val="000132CF"/>
    <w:rsid w:val="00017D5A"/>
    <w:rsid w:val="00020386"/>
    <w:rsid w:val="000209A5"/>
    <w:rsid w:val="00020E19"/>
    <w:rsid w:val="00024C5F"/>
    <w:rsid w:val="00046DD4"/>
    <w:rsid w:val="0005494F"/>
    <w:rsid w:val="00062692"/>
    <w:rsid w:val="000646CB"/>
    <w:rsid w:val="0006601B"/>
    <w:rsid w:val="00067007"/>
    <w:rsid w:val="00082658"/>
    <w:rsid w:val="00084606"/>
    <w:rsid w:val="00085025"/>
    <w:rsid w:val="000858EB"/>
    <w:rsid w:val="00097F2D"/>
    <w:rsid w:val="000A3AE5"/>
    <w:rsid w:val="000A64D2"/>
    <w:rsid w:val="000A7B3D"/>
    <w:rsid w:val="000B2CB0"/>
    <w:rsid w:val="000B47B8"/>
    <w:rsid w:val="000B513D"/>
    <w:rsid w:val="000B6090"/>
    <w:rsid w:val="000B66CC"/>
    <w:rsid w:val="000C189B"/>
    <w:rsid w:val="000C23DE"/>
    <w:rsid w:val="000C4104"/>
    <w:rsid w:val="000C44F5"/>
    <w:rsid w:val="000C4564"/>
    <w:rsid w:val="000E3394"/>
    <w:rsid w:val="00100315"/>
    <w:rsid w:val="00105990"/>
    <w:rsid w:val="00107F6D"/>
    <w:rsid w:val="00114DAD"/>
    <w:rsid w:val="00115B5B"/>
    <w:rsid w:val="001252CE"/>
    <w:rsid w:val="00126D52"/>
    <w:rsid w:val="00126F30"/>
    <w:rsid w:val="001270C2"/>
    <w:rsid w:val="001272DF"/>
    <w:rsid w:val="001276AB"/>
    <w:rsid w:val="00132D4D"/>
    <w:rsid w:val="001338CA"/>
    <w:rsid w:val="00135089"/>
    <w:rsid w:val="00135430"/>
    <w:rsid w:val="00135A63"/>
    <w:rsid w:val="00143D22"/>
    <w:rsid w:val="00157812"/>
    <w:rsid w:val="001601A4"/>
    <w:rsid w:val="0016098F"/>
    <w:rsid w:val="00160BC2"/>
    <w:rsid w:val="00172A9F"/>
    <w:rsid w:val="00175416"/>
    <w:rsid w:val="0018647B"/>
    <w:rsid w:val="001931F5"/>
    <w:rsid w:val="001937E6"/>
    <w:rsid w:val="00195166"/>
    <w:rsid w:val="001963D4"/>
    <w:rsid w:val="001976B4"/>
    <w:rsid w:val="001A37B9"/>
    <w:rsid w:val="001B4EED"/>
    <w:rsid w:val="001B6F01"/>
    <w:rsid w:val="001C1DC7"/>
    <w:rsid w:val="001D0B3B"/>
    <w:rsid w:val="001D3446"/>
    <w:rsid w:val="001D4BED"/>
    <w:rsid w:val="001D62EC"/>
    <w:rsid w:val="001F0A9D"/>
    <w:rsid w:val="001F1D67"/>
    <w:rsid w:val="001F4104"/>
    <w:rsid w:val="001F4E58"/>
    <w:rsid w:val="001F6E21"/>
    <w:rsid w:val="00200CFE"/>
    <w:rsid w:val="00202A0D"/>
    <w:rsid w:val="002068BA"/>
    <w:rsid w:val="002124EF"/>
    <w:rsid w:val="00212EAD"/>
    <w:rsid w:val="002163E9"/>
    <w:rsid w:val="00216846"/>
    <w:rsid w:val="00217807"/>
    <w:rsid w:val="002211F2"/>
    <w:rsid w:val="002250CE"/>
    <w:rsid w:val="0023084E"/>
    <w:rsid w:val="00230BAE"/>
    <w:rsid w:val="00231CFF"/>
    <w:rsid w:val="00234304"/>
    <w:rsid w:val="00240765"/>
    <w:rsid w:val="00244A17"/>
    <w:rsid w:val="00253CDC"/>
    <w:rsid w:val="00261130"/>
    <w:rsid w:val="0026208D"/>
    <w:rsid w:val="00273639"/>
    <w:rsid w:val="00275EC9"/>
    <w:rsid w:val="00277252"/>
    <w:rsid w:val="0028000C"/>
    <w:rsid w:val="00285299"/>
    <w:rsid w:val="00286310"/>
    <w:rsid w:val="00295448"/>
    <w:rsid w:val="002A34B8"/>
    <w:rsid w:val="002A4D0A"/>
    <w:rsid w:val="002A6799"/>
    <w:rsid w:val="002B072C"/>
    <w:rsid w:val="002B1B4E"/>
    <w:rsid w:val="002B64F8"/>
    <w:rsid w:val="002D28A7"/>
    <w:rsid w:val="002D5B20"/>
    <w:rsid w:val="002E5EE7"/>
    <w:rsid w:val="002E69B7"/>
    <w:rsid w:val="002F2268"/>
    <w:rsid w:val="002F3CA6"/>
    <w:rsid w:val="002F71BD"/>
    <w:rsid w:val="003016B8"/>
    <w:rsid w:val="003017A4"/>
    <w:rsid w:val="00303EF1"/>
    <w:rsid w:val="0031079C"/>
    <w:rsid w:val="00310A2F"/>
    <w:rsid w:val="00311199"/>
    <w:rsid w:val="00311CFC"/>
    <w:rsid w:val="00313399"/>
    <w:rsid w:val="00320AA6"/>
    <w:rsid w:val="00321D81"/>
    <w:rsid w:val="00332134"/>
    <w:rsid w:val="00333D3A"/>
    <w:rsid w:val="00334463"/>
    <w:rsid w:val="00337FE7"/>
    <w:rsid w:val="00340F4F"/>
    <w:rsid w:val="003413F9"/>
    <w:rsid w:val="00345CFF"/>
    <w:rsid w:val="0035262F"/>
    <w:rsid w:val="003655F4"/>
    <w:rsid w:val="003741FC"/>
    <w:rsid w:val="003758FB"/>
    <w:rsid w:val="00380F5E"/>
    <w:rsid w:val="00387124"/>
    <w:rsid w:val="003945D4"/>
    <w:rsid w:val="003955BF"/>
    <w:rsid w:val="003A0131"/>
    <w:rsid w:val="003A3B5C"/>
    <w:rsid w:val="003A5F93"/>
    <w:rsid w:val="003B1DFB"/>
    <w:rsid w:val="003B2FBC"/>
    <w:rsid w:val="003B37DF"/>
    <w:rsid w:val="003B3849"/>
    <w:rsid w:val="003C2A27"/>
    <w:rsid w:val="003C3CAA"/>
    <w:rsid w:val="003C42B8"/>
    <w:rsid w:val="003D058E"/>
    <w:rsid w:val="003D4DFE"/>
    <w:rsid w:val="003D5DAA"/>
    <w:rsid w:val="003E0E2D"/>
    <w:rsid w:val="003E5016"/>
    <w:rsid w:val="003E6A1D"/>
    <w:rsid w:val="003F0B57"/>
    <w:rsid w:val="003F2D18"/>
    <w:rsid w:val="003F6948"/>
    <w:rsid w:val="003F7652"/>
    <w:rsid w:val="004009EB"/>
    <w:rsid w:val="00400CA4"/>
    <w:rsid w:val="00407073"/>
    <w:rsid w:val="00407246"/>
    <w:rsid w:val="00407EC0"/>
    <w:rsid w:val="00410F6B"/>
    <w:rsid w:val="00411658"/>
    <w:rsid w:val="00411CA5"/>
    <w:rsid w:val="00413A37"/>
    <w:rsid w:val="00413B3A"/>
    <w:rsid w:val="00416BCA"/>
    <w:rsid w:val="0041782B"/>
    <w:rsid w:val="004214AF"/>
    <w:rsid w:val="00422AAC"/>
    <w:rsid w:val="00425D9A"/>
    <w:rsid w:val="00430B3B"/>
    <w:rsid w:val="0043153A"/>
    <w:rsid w:val="00433725"/>
    <w:rsid w:val="0043430D"/>
    <w:rsid w:val="0043580A"/>
    <w:rsid w:val="004452CF"/>
    <w:rsid w:val="004475B7"/>
    <w:rsid w:val="004500E7"/>
    <w:rsid w:val="004509A5"/>
    <w:rsid w:val="00457973"/>
    <w:rsid w:val="0046040E"/>
    <w:rsid w:val="00460BF7"/>
    <w:rsid w:val="00465E20"/>
    <w:rsid w:val="00467A3C"/>
    <w:rsid w:val="0047498D"/>
    <w:rsid w:val="00475511"/>
    <w:rsid w:val="00483316"/>
    <w:rsid w:val="00484854"/>
    <w:rsid w:val="00487540"/>
    <w:rsid w:val="004959E9"/>
    <w:rsid w:val="004A19DA"/>
    <w:rsid w:val="004A3131"/>
    <w:rsid w:val="004A36B2"/>
    <w:rsid w:val="004B5144"/>
    <w:rsid w:val="004B6DAA"/>
    <w:rsid w:val="004B79A7"/>
    <w:rsid w:val="004C03C6"/>
    <w:rsid w:val="004C4092"/>
    <w:rsid w:val="004D0097"/>
    <w:rsid w:val="004D0774"/>
    <w:rsid w:val="004D090D"/>
    <w:rsid w:val="004D39B4"/>
    <w:rsid w:val="004D477A"/>
    <w:rsid w:val="004D48FA"/>
    <w:rsid w:val="004E0EDB"/>
    <w:rsid w:val="004E2422"/>
    <w:rsid w:val="004F29B8"/>
    <w:rsid w:val="004F38D1"/>
    <w:rsid w:val="004F4833"/>
    <w:rsid w:val="00503F9E"/>
    <w:rsid w:val="00505536"/>
    <w:rsid w:val="005060D2"/>
    <w:rsid w:val="00512479"/>
    <w:rsid w:val="00517393"/>
    <w:rsid w:val="0052152A"/>
    <w:rsid w:val="005224EF"/>
    <w:rsid w:val="00523533"/>
    <w:rsid w:val="00523EE3"/>
    <w:rsid w:val="005266DC"/>
    <w:rsid w:val="00526D6A"/>
    <w:rsid w:val="005272AF"/>
    <w:rsid w:val="00530CA2"/>
    <w:rsid w:val="00531581"/>
    <w:rsid w:val="005364D8"/>
    <w:rsid w:val="0053732C"/>
    <w:rsid w:val="00540D56"/>
    <w:rsid w:val="0054145D"/>
    <w:rsid w:val="00544248"/>
    <w:rsid w:val="00545419"/>
    <w:rsid w:val="0054693F"/>
    <w:rsid w:val="00556C99"/>
    <w:rsid w:val="00556F04"/>
    <w:rsid w:val="00562DFB"/>
    <w:rsid w:val="005669F1"/>
    <w:rsid w:val="00567076"/>
    <w:rsid w:val="00570010"/>
    <w:rsid w:val="00575035"/>
    <w:rsid w:val="0057709A"/>
    <w:rsid w:val="00583544"/>
    <w:rsid w:val="005868DE"/>
    <w:rsid w:val="00590343"/>
    <w:rsid w:val="00590AB8"/>
    <w:rsid w:val="00594A20"/>
    <w:rsid w:val="00595458"/>
    <w:rsid w:val="00596334"/>
    <w:rsid w:val="005968ED"/>
    <w:rsid w:val="005A53E3"/>
    <w:rsid w:val="005B30AA"/>
    <w:rsid w:val="005D086C"/>
    <w:rsid w:val="005D2DFB"/>
    <w:rsid w:val="005D6480"/>
    <w:rsid w:val="005E51E8"/>
    <w:rsid w:val="005E7051"/>
    <w:rsid w:val="005F1CE6"/>
    <w:rsid w:val="005F3842"/>
    <w:rsid w:val="005F5112"/>
    <w:rsid w:val="005F79FB"/>
    <w:rsid w:val="0060026F"/>
    <w:rsid w:val="00600382"/>
    <w:rsid w:val="00602F09"/>
    <w:rsid w:val="006033EB"/>
    <w:rsid w:val="00613211"/>
    <w:rsid w:val="0061762A"/>
    <w:rsid w:val="00617988"/>
    <w:rsid w:val="00621B3C"/>
    <w:rsid w:val="00625D92"/>
    <w:rsid w:val="0062674D"/>
    <w:rsid w:val="00630C8F"/>
    <w:rsid w:val="00631947"/>
    <w:rsid w:val="00632012"/>
    <w:rsid w:val="00641E48"/>
    <w:rsid w:val="006425BA"/>
    <w:rsid w:val="00642C61"/>
    <w:rsid w:val="00643397"/>
    <w:rsid w:val="00653B19"/>
    <w:rsid w:val="00655606"/>
    <w:rsid w:val="00660B3C"/>
    <w:rsid w:val="006732BC"/>
    <w:rsid w:val="00674852"/>
    <w:rsid w:val="00676EE2"/>
    <w:rsid w:val="0067711E"/>
    <w:rsid w:val="006772B3"/>
    <w:rsid w:val="00681935"/>
    <w:rsid w:val="00682533"/>
    <w:rsid w:val="00682E92"/>
    <w:rsid w:val="00684C37"/>
    <w:rsid w:val="00686417"/>
    <w:rsid w:val="00687FDF"/>
    <w:rsid w:val="0069067B"/>
    <w:rsid w:val="00691A30"/>
    <w:rsid w:val="00694191"/>
    <w:rsid w:val="006A1D0D"/>
    <w:rsid w:val="006A223E"/>
    <w:rsid w:val="006A23E9"/>
    <w:rsid w:val="006A6A96"/>
    <w:rsid w:val="006A7C14"/>
    <w:rsid w:val="006B2C98"/>
    <w:rsid w:val="006B6829"/>
    <w:rsid w:val="006B710C"/>
    <w:rsid w:val="006D205A"/>
    <w:rsid w:val="006E18D7"/>
    <w:rsid w:val="006E5895"/>
    <w:rsid w:val="006E7B91"/>
    <w:rsid w:val="006F6521"/>
    <w:rsid w:val="006F683B"/>
    <w:rsid w:val="0071521B"/>
    <w:rsid w:val="0073240D"/>
    <w:rsid w:val="007459A7"/>
    <w:rsid w:val="00756070"/>
    <w:rsid w:val="0075611D"/>
    <w:rsid w:val="007572F4"/>
    <w:rsid w:val="00767C32"/>
    <w:rsid w:val="00770347"/>
    <w:rsid w:val="0078525C"/>
    <w:rsid w:val="0078731A"/>
    <w:rsid w:val="007901F1"/>
    <w:rsid w:val="007918E3"/>
    <w:rsid w:val="00792606"/>
    <w:rsid w:val="00795379"/>
    <w:rsid w:val="007A0ACE"/>
    <w:rsid w:val="007A65A6"/>
    <w:rsid w:val="007A6860"/>
    <w:rsid w:val="007B30CE"/>
    <w:rsid w:val="007B36C7"/>
    <w:rsid w:val="007B6F7A"/>
    <w:rsid w:val="007C386A"/>
    <w:rsid w:val="007C45EE"/>
    <w:rsid w:val="007C5B64"/>
    <w:rsid w:val="007D0517"/>
    <w:rsid w:val="007D1A18"/>
    <w:rsid w:val="007D34FA"/>
    <w:rsid w:val="007E4400"/>
    <w:rsid w:val="007F3C51"/>
    <w:rsid w:val="007F4B1A"/>
    <w:rsid w:val="007F4E83"/>
    <w:rsid w:val="00803C69"/>
    <w:rsid w:val="00813C4E"/>
    <w:rsid w:val="00814FB6"/>
    <w:rsid w:val="00816728"/>
    <w:rsid w:val="0081672B"/>
    <w:rsid w:val="008226FB"/>
    <w:rsid w:val="008268B5"/>
    <w:rsid w:val="008274BD"/>
    <w:rsid w:val="00833EF0"/>
    <w:rsid w:val="00836FC4"/>
    <w:rsid w:val="008414D7"/>
    <w:rsid w:val="00844664"/>
    <w:rsid w:val="008512D7"/>
    <w:rsid w:val="0085239D"/>
    <w:rsid w:val="0085570D"/>
    <w:rsid w:val="0085683B"/>
    <w:rsid w:val="00860DF5"/>
    <w:rsid w:val="008636CC"/>
    <w:rsid w:val="00863D56"/>
    <w:rsid w:val="008664DD"/>
    <w:rsid w:val="00867B74"/>
    <w:rsid w:val="0087143A"/>
    <w:rsid w:val="00876D44"/>
    <w:rsid w:val="008772D4"/>
    <w:rsid w:val="00885FED"/>
    <w:rsid w:val="00887C9B"/>
    <w:rsid w:val="00895B90"/>
    <w:rsid w:val="008A160D"/>
    <w:rsid w:val="008A2DB7"/>
    <w:rsid w:val="008A51B7"/>
    <w:rsid w:val="008B1157"/>
    <w:rsid w:val="008B7B16"/>
    <w:rsid w:val="008C1E04"/>
    <w:rsid w:val="008C2F47"/>
    <w:rsid w:val="008C45EF"/>
    <w:rsid w:val="008D4399"/>
    <w:rsid w:val="008D7A26"/>
    <w:rsid w:val="008E1552"/>
    <w:rsid w:val="008E1EAF"/>
    <w:rsid w:val="008E2B9B"/>
    <w:rsid w:val="008E3BD3"/>
    <w:rsid w:val="008F5007"/>
    <w:rsid w:val="008F64B1"/>
    <w:rsid w:val="00903726"/>
    <w:rsid w:val="00904654"/>
    <w:rsid w:val="0090759B"/>
    <w:rsid w:val="00915410"/>
    <w:rsid w:val="0091559D"/>
    <w:rsid w:val="009156A6"/>
    <w:rsid w:val="00915F30"/>
    <w:rsid w:val="009173CF"/>
    <w:rsid w:val="00917CAA"/>
    <w:rsid w:val="00920BC8"/>
    <w:rsid w:val="00922C01"/>
    <w:rsid w:val="00923FAE"/>
    <w:rsid w:val="00927BDE"/>
    <w:rsid w:val="009310FD"/>
    <w:rsid w:val="009324E2"/>
    <w:rsid w:val="009406D3"/>
    <w:rsid w:val="00944690"/>
    <w:rsid w:val="0094675C"/>
    <w:rsid w:val="00947CC8"/>
    <w:rsid w:val="00956E7B"/>
    <w:rsid w:val="0095768B"/>
    <w:rsid w:val="00970D29"/>
    <w:rsid w:val="00972C11"/>
    <w:rsid w:val="00974842"/>
    <w:rsid w:val="009760AD"/>
    <w:rsid w:val="009811DA"/>
    <w:rsid w:val="009831AF"/>
    <w:rsid w:val="009A2A58"/>
    <w:rsid w:val="009A2B11"/>
    <w:rsid w:val="009A66B5"/>
    <w:rsid w:val="009B263C"/>
    <w:rsid w:val="009B30A0"/>
    <w:rsid w:val="009B5D23"/>
    <w:rsid w:val="009B5E3B"/>
    <w:rsid w:val="009C0F09"/>
    <w:rsid w:val="009D10C6"/>
    <w:rsid w:val="009D4D41"/>
    <w:rsid w:val="009E5129"/>
    <w:rsid w:val="009F3E40"/>
    <w:rsid w:val="009F47DB"/>
    <w:rsid w:val="009F5178"/>
    <w:rsid w:val="009F545B"/>
    <w:rsid w:val="009F69D7"/>
    <w:rsid w:val="009F7E8C"/>
    <w:rsid w:val="00A00E76"/>
    <w:rsid w:val="00A0151E"/>
    <w:rsid w:val="00A0532B"/>
    <w:rsid w:val="00A108EC"/>
    <w:rsid w:val="00A112A8"/>
    <w:rsid w:val="00A13061"/>
    <w:rsid w:val="00A14B35"/>
    <w:rsid w:val="00A17F9A"/>
    <w:rsid w:val="00A238EC"/>
    <w:rsid w:val="00A2546F"/>
    <w:rsid w:val="00A4254B"/>
    <w:rsid w:val="00A44CE7"/>
    <w:rsid w:val="00A4660F"/>
    <w:rsid w:val="00A52B75"/>
    <w:rsid w:val="00A52F94"/>
    <w:rsid w:val="00A5388F"/>
    <w:rsid w:val="00A538D5"/>
    <w:rsid w:val="00A57DF3"/>
    <w:rsid w:val="00A63DDE"/>
    <w:rsid w:val="00A66BAA"/>
    <w:rsid w:val="00A67570"/>
    <w:rsid w:val="00A675D7"/>
    <w:rsid w:val="00A701C9"/>
    <w:rsid w:val="00A71F69"/>
    <w:rsid w:val="00A723B9"/>
    <w:rsid w:val="00A73934"/>
    <w:rsid w:val="00A73CC3"/>
    <w:rsid w:val="00A76DD0"/>
    <w:rsid w:val="00A82CBF"/>
    <w:rsid w:val="00A85FB4"/>
    <w:rsid w:val="00A86B51"/>
    <w:rsid w:val="00A901A1"/>
    <w:rsid w:val="00A92243"/>
    <w:rsid w:val="00A94EB7"/>
    <w:rsid w:val="00A95118"/>
    <w:rsid w:val="00A971F0"/>
    <w:rsid w:val="00AA0C44"/>
    <w:rsid w:val="00AA13C4"/>
    <w:rsid w:val="00AA3454"/>
    <w:rsid w:val="00AA3D70"/>
    <w:rsid w:val="00AA46D3"/>
    <w:rsid w:val="00AA56A7"/>
    <w:rsid w:val="00AA67CF"/>
    <w:rsid w:val="00AB330E"/>
    <w:rsid w:val="00AB54F8"/>
    <w:rsid w:val="00AB5E83"/>
    <w:rsid w:val="00AB7E6F"/>
    <w:rsid w:val="00AC1A98"/>
    <w:rsid w:val="00AC4E76"/>
    <w:rsid w:val="00AC62F1"/>
    <w:rsid w:val="00AC7A3B"/>
    <w:rsid w:val="00AD1C24"/>
    <w:rsid w:val="00AD3564"/>
    <w:rsid w:val="00AD5395"/>
    <w:rsid w:val="00AD5580"/>
    <w:rsid w:val="00AE0F86"/>
    <w:rsid w:val="00AE5405"/>
    <w:rsid w:val="00AF03E2"/>
    <w:rsid w:val="00AF1B9D"/>
    <w:rsid w:val="00B00131"/>
    <w:rsid w:val="00B00F35"/>
    <w:rsid w:val="00B02614"/>
    <w:rsid w:val="00B1220B"/>
    <w:rsid w:val="00B15963"/>
    <w:rsid w:val="00B15CEC"/>
    <w:rsid w:val="00B27B5A"/>
    <w:rsid w:val="00B3085A"/>
    <w:rsid w:val="00B30DE0"/>
    <w:rsid w:val="00B37B2B"/>
    <w:rsid w:val="00B42012"/>
    <w:rsid w:val="00B43535"/>
    <w:rsid w:val="00B53C6C"/>
    <w:rsid w:val="00B55FEE"/>
    <w:rsid w:val="00B62767"/>
    <w:rsid w:val="00B672D1"/>
    <w:rsid w:val="00B67394"/>
    <w:rsid w:val="00B70B00"/>
    <w:rsid w:val="00B74DBE"/>
    <w:rsid w:val="00B756D8"/>
    <w:rsid w:val="00B84290"/>
    <w:rsid w:val="00B84B59"/>
    <w:rsid w:val="00B863C0"/>
    <w:rsid w:val="00B91F80"/>
    <w:rsid w:val="00B936B4"/>
    <w:rsid w:val="00B976C5"/>
    <w:rsid w:val="00BA132A"/>
    <w:rsid w:val="00BA2D59"/>
    <w:rsid w:val="00BA2E28"/>
    <w:rsid w:val="00BA319A"/>
    <w:rsid w:val="00BA3ED6"/>
    <w:rsid w:val="00BA57D4"/>
    <w:rsid w:val="00BB1C34"/>
    <w:rsid w:val="00BB3C2A"/>
    <w:rsid w:val="00BB50B1"/>
    <w:rsid w:val="00BB6171"/>
    <w:rsid w:val="00BD3953"/>
    <w:rsid w:val="00BD61B2"/>
    <w:rsid w:val="00BD6377"/>
    <w:rsid w:val="00BD70E6"/>
    <w:rsid w:val="00BE04C6"/>
    <w:rsid w:val="00BE1BE1"/>
    <w:rsid w:val="00BE2A8B"/>
    <w:rsid w:val="00BE57E4"/>
    <w:rsid w:val="00BE6BA7"/>
    <w:rsid w:val="00BE7EE4"/>
    <w:rsid w:val="00BF0D32"/>
    <w:rsid w:val="00BF2390"/>
    <w:rsid w:val="00C03E22"/>
    <w:rsid w:val="00C068E8"/>
    <w:rsid w:val="00C10751"/>
    <w:rsid w:val="00C11853"/>
    <w:rsid w:val="00C16CAE"/>
    <w:rsid w:val="00C17781"/>
    <w:rsid w:val="00C20407"/>
    <w:rsid w:val="00C256B1"/>
    <w:rsid w:val="00C268CD"/>
    <w:rsid w:val="00C26F5A"/>
    <w:rsid w:val="00C31918"/>
    <w:rsid w:val="00C31CDD"/>
    <w:rsid w:val="00C33005"/>
    <w:rsid w:val="00C42DD3"/>
    <w:rsid w:val="00C4345F"/>
    <w:rsid w:val="00C500FA"/>
    <w:rsid w:val="00C51A1B"/>
    <w:rsid w:val="00C51EAC"/>
    <w:rsid w:val="00C67D7D"/>
    <w:rsid w:val="00C70BA1"/>
    <w:rsid w:val="00C76EA2"/>
    <w:rsid w:val="00C77873"/>
    <w:rsid w:val="00C95828"/>
    <w:rsid w:val="00CA4DD4"/>
    <w:rsid w:val="00CA6115"/>
    <w:rsid w:val="00CB152D"/>
    <w:rsid w:val="00CB27B4"/>
    <w:rsid w:val="00CB575A"/>
    <w:rsid w:val="00CB6C6B"/>
    <w:rsid w:val="00CB76E6"/>
    <w:rsid w:val="00CC7DE5"/>
    <w:rsid w:val="00CD33EC"/>
    <w:rsid w:val="00CD56EB"/>
    <w:rsid w:val="00CE0171"/>
    <w:rsid w:val="00CE237F"/>
    <w:rsid w:val="00CF6EDA"/>
    <w:rsid w:val="00D00225"/>
    <w:rsid w:val="00D019ED"/>
    <w:rsid w:val="00D02401"/>
    <w:rsid w:val="00D11112"/>
    <w:rsid w:val="00D11148"/>
    <w:rsid w:val="00D11EDA"/>
    <w:rsid w:val="00D13B97"/>
    <w:rsid w:val="00D145DE"/>
    <w:rsid w:val="00D22DC9"/>
    <w:rsid w:val="00D24BDF"/>
    <w:rsid w:val="00D26626"/>
    <w:rsid w:val="00D361C4"/>
    <w:rsid w:val="00D37FDB"/>
    <w:rsid w:val="00D41731"/>
    <w:rsid w:val="00D418CA"/>
    <w:rsid w:val="00D46D51"/>
    <w:rsid w:val="00D604E0"/>
    <w:rsid w:val="00D633E3"/>
    <w:rsid w:val="00D6489D"/>
    <w:rsid w:val="00D6718D"/>
    <w:rsid w:val="00D73685"/>
    <w:rsid w:val="00D759F8"/>
    <w:rsid w:val="00D82C49"/>
    <w:rsid w:val="00D83A11"/>
    <w:rsid w:val="00D874D6"/>
    <w:rsid w:val="00D9238F"/>
    <w:rsid w:val="00D95138"/>
    <w:rsid w:val="00DA16D3"/>
    <w:rsid w:val="00DA1E20"/>
    <w:rsid w:val="00DA3C6B"/>
    <w:rsid w:val="00DA602F"/>
    <w:rsid w:val="00DA6FD0"/>
    <w:rsid w:val="00DB04F4"/>
    <w:rsid w:val="00DB1F67"/>
    <w:rsid w:val="00DB59D0"/>
    <w:rsid w:val="00DC162E"/>
    <w:rsid w:val="00DC1A8C"/>
    <w:rsid w:val="00DC2639"/>
    <w:rsid w:val="00DC373A"/>
    <w:rsid w:val="00DC7715"/>
    <w:rsid w:val="00DC7EA0"/>
    <w:rsid w:val="00DD252D"/>
    <w:rsid w:val="00DD2619"/>
    <w:rsid w:val="00DD74C6"/>
    <w:rsid w:val="00DE0242"/>
    <w:rsid w:val="00DE5BE0"/>
    <w:rsid w:val="00DE6585"/>
    <w:rsid w:val="00DF0B8C"/>
    <w:rsid w:val="00DF4EDE"/>
    <w:rsid w:val="00DF6F5C"/>
    <w:rsid w:val="00E00B35"/>
    <w:rsid w:val="00E02421"/>
    <w:rsid w:val="00E127FE"/>
    <w:rsid w:val="00E12C85"/>
    <w:rsid w:val="00E17A91"/>
    <w:rsid w:val="00E2009E"/>
    <w:rsid w:val="00E20905"/>
    <w:rsid w:val="00E223EF"/>
    <w:rsid w:val="00E23248"/>
    <w:rsid w:val="00E2455F"/>
    <w:rsid w:val="00E25AA2"/>
    <w:rsid w:val="00E441E7"/>
    <w:rsid w:val="00E46856"/>
    <w:rsid w:val="00E522B3"/>
    <w:rsid w:val="00E54A4D"/>
    <w:rsid w:val="00E56B29"/>
    <w:rsid w:val="00E627A6"/>
    <w:rsid w:val="00E64FF3"/>
    <w:rsid w:val="00E659D0"/>
    <w:rsid w:val="00E67580"/>
    <w:rsid w:val="00E7077C"/>
    <w:rsid w:val="00E7148D"/>
    <w:rsid w:val="00E73B23"/>
    <w:rsid w:val="00E759D8"/>
    <w:rsid w:val="00E76EC8"/>
    <w:rsid w:val="00E8319E"/>
    <w:rsid w:val="00E8410B"/>
    <w:rsid w:val="00E84613"/>
    <w:rsid w:val="00E927E0"/>
    <w:rsid w:val="00E94948"/>
    <w:rsid w:val="00EA15FC"/>
    <w:rsid w:val="00EA260B"/>
    <w:rsid w:val="00EA3C2C"/>
    <w:rsid w:val="00EB0D05"/>
    <w:rsid w:val="00EB2037"/>
    <w:rsid w:val="00EB2707"/>
    <w:rsid w:val="00EB5BD4"/>
    <w:rsid w:val="00EB7CA2"/>
    <w:rsid w:val="00ED321C"/>
    <w:rsid w:val="00EE36BE"/>
    <w:rsid w:val="00EE3FF7"/>
    <w:rsid w:val="00EF1691"/>
    <w:rsid w:val="00EF55CE"/>
    <w:rsid w:val="00EF623C"/>
    <w:rsid w:val="00F01353"/>
    <w:rsid w:val="00F02A9C"/>
    <w:rsid w:val="00F109AC"/>
    <w:rsid w:val="00F143D8"/>
    <w:rsid w:val="00F16DE4"/>
    <w:rsid w:val="00F21493"/>
    <w:rsid w:val="00F307C1"/>
    <w:rsid w:val="00F35160"/>
    <w:rsid w:val="00F40534"/>
    <w:rsid w:val="00F4106A"/>
    <w:rsid w:val="00F45F64"/>
    <w:rsid w:val="00F47551"/>
    <w:rsid w:val="00F50A5C"/>
    <w:rsid w:val="00F53A7F"/>
    <w:rsid w:val="00F61194"/>
    <w:rsid w:val="00F63201"/>
    <w:rsid w:val="00F7314D"/>
    <w:rsid w:val="00F734B0"/>
    <w:rsid w:val="00F73C41"/>
    <w:rsid w:val="00F825FA"/>
    <w:rsid w:val="00F82DB3"/>
    <w:rsid w:val="00F92696"/>
    <w:rsid w:val="00F96D70"/>
    <w:rsid w:val="00FA19F8"/>
    <w:rsid w:val="00FA3211"/>
    <w:rsid w:val="00FA4F7E"/>
    <w:rsid w:val="00FA6B23"/>
    <w:rsid w:val="00FA7146"/>
    <w:rsid w:val="00FA7229"/>
    <w:rsid w:val="00FB1CC8"/>
    <w:rsid w:val="00FB559A"/>
    <w:rsid w:val="00FB57D4"/>
    <w:rsid w:val="00FC1F01"/>
    <w:rsid w:val="00FC45DB"/>
    <w:rsid w:val="00FC487F"/>
    <w:rsid w:val="00FD1C1E"/>
    <w:rsid w:val="00FD2144"/>
    <w:rsid w:val="00FD5529"/>
    <w:rsid w:val="00FE46F2"/>
    <w:rsid w:val="00FF3191"/>
    <w:rsid w:val="00FF36EB"/>
    <w:rsid w:val="00FF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74B7"/>
  <w15:docId w15:val="{6D38736C-2BE6-4AF5-8E4C-17D43F12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2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qFormat/>
    <w:rsid w:val="00E659D0"/>
    <w:rPr>
      <w:vertAlign w:val="superscript"/>
    </w:rPr>
  </w:style>
  <w:style w:type="paragraph" w:styleId="a5">
    <w:name w:val="List Paragraph"/>
    <w:basedOn w:val="a"/>
    <w:uiPriority w:val="34"/>
    <w:qFormat/>
    <w:rsid w:val="00CA6115"/>
    <w:pPr>
      <w:ind w:left="720"/>
      <w:contextualSpacing/>
    </w:pPr>
  </w:style>
  <w:style w:type="paragraph" w:styleId="a6">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1 Знак Знак,Знак Знак Знак Знак Знак"/>
    <w:basedOn w:val="a"/>
    <w:autoRedefine/>
    <w:uiPriority w:val="34"/>
    <w:qFormat/>
    <w:rsid w:val="003E5016"/>
    <w:pPr>
      <w:widowControl w:val="0"/>
      <w:tabs>
        <w:tab w:val="left" w:pos="7826"/>
        <w:tab w:val="right" w:pos="9356"/>
      </w:tabs>
      <w:overflowPunct w:val="0"/>
      <w:autoSpaceDE w:val="0"/>
      <w:autoSpaceDN w:val="0"/>
      <w:adjustRightInd w:val="0"/>
      <w:spacing w:after="0" w:line="240" w:lineRule="auto"/>
      <w:ind w:right="-1" w:firstLine="720"/>
      <w:contextualSpacing/>
      <w:jc w:val="right"/>
      <w:textAlignment w:val="baseline"/>
    </w:pPr>
    <w:rPr>
      <w:rFonts w:ascii="Times New Roman" w:eastAsia="Calibri" w:hAnsi="Times New Roman" w:cs="Times New Roman"/>
      <w:sz w:val="16"/>
      <w:szCs w:val="16"/>
      <w:lang w:eastAsia="ru-RU"/>
    </w:rPr>
  </w:style>
  <w:style w:type="paragraph" w:styleId="a7">
    <w:name w:val="Balloon Text"/>
    <w:basedOn w:val="a"/>
    <w:link w:val="a8"/>
    <w:uiPriority w:val="99"/>
    <w:semiHidden/>
    <w:unhideWhenUsed/>
    <w:rsid w:val="007F3C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3C51"/>
    <w:rPr>
      <w:rFonts w:ascii="Tahoma" w:hAnsi="Tahoma" w:cs="Tahoma"/>
      <w:sz w:val="16"/>
      <w:szCs w:val="16"/>
    </w:rPr>
  </w:style>
  <w:style w:type="paragraph" w:styleId="a9">
    <w:name w:val="header"/>
    <w:basedOn w:val="a"/>
    <w:link w:val="aa"/>
    <w:uiPriority w:val="99"/>
    <w:unhideWhenUsed/>
    <w:rsid w:val="007459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459A7"/>
  </w:style>
  <w:style w:type="paragraph" w:styleId="ab">
    <w:name w:val="footer"/>
    <w:basedOn w:val="a"/>
    <w:link w:val="ac"/>
    <w:uiPriority w:val="99"/>
    <w:unhideWhenUsed/>
    <w:rsid w:val="007459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459A7"/>
  </w:style>
  <w:style w:type="paragraph" w:styleId="ad">
    <w:name w:val="Body Text"/>
    <w:basedOn w:val="a"/>
    <w:link w:val="ae"/>
    <w:rsid w:val="003B37DF"/>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3B37DF"/>
    <w:rPr>
      <w:rFonts w:ascii="Times New Roman" w:eastAsia="Times New Roman" w:hAnsi="Times New Roman" w:cs="Times New Roman"/>
      <w:sz w:val="24"/>
      <w:szCs w:val="24"/>
      <w:lang w:eastAsia="ru-RU"/>
    </w:rPr>
  </w:style>
  <w:style w:type="paragraph" w:styleId="af">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f0"/>
    <w:qFormat/>
    <w:rsid w:val="000B6090"/>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f"/>
    <w:rsid w:val="000B6090"/>
    <w:rPr>
      <w:rFonts w:ascii="Times New Roman" w:eastAsia="Times New Roman" w:hAnsi="Times New Roman" w:cs="Times New Roman"/>
      <w:sz w:val="20"/>
      <w:szCs w:val="20"/>
      <w:lang w:eastAsia="ru-RU"/>
    </w:rPr>
  </w:style>
  <w:style w:type="paragraph" w:customStyle="1" w:styleId="Default">
    <w:name w:val="Default"/>
    <w:rsid w:val="008268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
    <w:name w:val="Сетка таблицы1"/>
    <w:basedOn w:val="a1"/>
    <w:next w:val="a3"/>
    <w:uiPriority w:val="59"/>
    <w:rsid w:val="003F2D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131">
      <w:bodyDiv w:val="1"/>
      <w:marLeft w:val="0"/>
      <w:marRight w:val="0"/>
      <w:marTop w:val="0"/>
      <w:marBottom w:val="0"/>
      <w:divBdr>
        <w:top w:val="none" w:sz="0" w:space="0" w:color="auto"/>
        <w:left w:val="none" w:sz="0" w:space="0" w:color="auto"/>
        <w:bottom w:val="none" w:sz="0" w:space="0" w:color="auto"/>
        <w:right w:val="none" w:sz="0" w:space="0" w:color="auto"/>
      </w:divBdr>
    </w:div>
    <w:div w:id="572007875">
      <w:bodyDiv w:val="1"/>
      <w:marLeft w:val="0"/>
      <w:marRight w:val="0"/>
      <w:marTop w:val="0"/>
      <w:marBottom w:val="0"/>
      <w:divBdr>
        <w:top w:val="none" w:sz="0" w:space="0" w:color="auto"/>
        <w:left w:val="none" w:sz="0" w:space="0" w:color="auto"/>
        <w:bottom w:val="none" w:sz="0" w:space="0" w:color="auto"/>
        <w:right w:val="none" w:sz="0" w:space="0" w:color="auto"/>
      </w:divBdr>
    </w:div>
    <w:div w:id="697043950">
      <w:bodyDiv w:val="1"/>
      <w:marLeft w:val="0"/>
      <w:marRight w:val="0"/>
      <w:marTop w:val="0"/>
      <w:marBottom w:val="0"/>
      <w:divBdr>
        <w:top w:val="none" w:sz="0" w:space="0" w:color="auto"/>
        <w:left w:val="none" w:sz="0" w:space="0" w:color="auto"/>
        <w:bottom w:val="none" w:sz="0" w:space="0" w:color="auto"/>
        <w:right w:val="none" w:sz="0" w:space="0" w:color="auto"/>
      </w:divBdr>
    </w:div>
    <w:div w:id="1743334530">
      <w:bodyDiv w:val="1"/>
      <w:marLeft w:val="0"/>
      <w:marRight w:val="0"/>
      <w:marTop w:val="0"/>
      <w:marBottom w:val="0"/>
      <w:divBdr>
        <w:top w:val="none" w:sz="0" w:space="0" w:color="auto"/>
        <w:left w:val="none" w:sz="0" w:space="0" w:color="auto"/>
        <w:bottom w:val="none" w:sz="0" w:space="0" w:color="auto"/>
        <w:right w:val="none" w:sz="0" w:space="0" w:color="auto"/>
      </w:divBdr>
    </w:div>
    <w:div w:id="20884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'Внутренние заимст'!$I$4</c:f>
              <c:strCache>
                <c:ptCount val="1"/>
                <c:pt idx="0">
                  <c:v>Сальдо размещения и погашения ценных бумаг в валюте Российской Федерации</c:v>
                </c:pt>
              </c:strCache>
            </c:strRef>
          </c:tx>
          <c:spPr>
            <a:pattFill prst="dkDnDiag">
              <a:fgClr>
                <a:srgbClr val="0070C0"/>
              </a:fgClr>
              <a:bgClr>
                <a:schemeClr val="bg1"/>
              </a:bgClr>
            </a:pattFill>
            <a:ln>
              <a:noFill/>
            </a:ln>
            <a:effectLst/>
          </c:spPr>
          <c:invertIfNegative val="0"/>
          <c:dLbls>
            <c:dLbl>
              <c:idx val="0"/>
              <c:layout>
                <c:manualLayout>
                  <c:x val="-5.3304904051172872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C54-4C18-A6C3-6080706E19D9}"/>
                </c:ext>
              </c:extLst>
            </c:dLbl>
            <c:dLbl>
              <c:idx val="1"/>
              <c:layout>
                <c:manualLayout>
                  <c:x val="-1.0959244329777308E-2"/>
                  <c:y val="-7.8869096784464569E-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C54-4C18-A6C3-6080706E19D9}"/>
                </c:ext>
              </c:extLst>
            </c:dLbl>
            <c:dLbl>
              <c:idx val="2"/>
              <c:layout>
                <c:manualLayout>
                  <c:x val="-7.1073205401563609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C54-4C18-A6C3-6080706E19D9}"/>
                </c:ext>
              </c:extLst>
            </c:dLbl>
            <c:dLbl>
              <c:idx val="3"/>
              <c:layout>
                <c:manualLayout>
                  <c:x val="-1.0660980810234541E-2"/>
                  <c:y val="-7.3664825046040518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C54-4C18-A6C3-6080706E19D9}"/>
                </c:ext>
              </c:extLst>
            </c:dLbl>
            <c:dLbl>
              <c:idx val="4"/>
              <c:layout>
                <c:manualLayout>
                  <c:x val="-7.10732054015649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3C54-4C18-A6C3-6080706E19D9}"/>
                </c:ext>
              </c:extLst>
            </c:dLbl>
            <c:dLbl>
              <c:idx val="5"/>
              <c:layout>
                <c:manualLayout>
                  <c:x val="-7.10732054015649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C54-4C18-A6C3-6080706E19D9}"/>
                </c:ext>
              </c:extLst>
            </c:dLbl>
            <c:dLbl>
              <c:idx val="6"/>
              <c:layout>
                <c:manualLayout>
                  <c:x val="-1.3332723324504544E-2"/>
                  <c:y val="4.30200043020008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C54-4C18-A6C3-6080706E19D9}"/>
                </c:ext>
              </c:extLst>
            </c:dLbl>
            <c:dLbl>
              <c:idx val="7"/>
              <c:layout>
                <c:manualLayout>
                  <c:x val="-1.3332723324504544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C54-4C18-A6C3-6080706E19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'Внутренние заимст'!$J$3:$R$3</c:f>
              <c:strCache>
                <c:ptCount val="9"/>
                <c:pt idx="0">
                  <c:v>2016</c:v>
                </c:pt>
                <c:pt idx="1">
                  <c:v>2017</c:v>
                </c:pt>
                <c:pt idx="2">
                  <c:v>2018</c:v>
                </c:pt>
                <c:pt idx="3">
                  <c:v>2019</c:v>
                </c:pt>
                <c:pt idx="4">
                  <c:v>2020                 (закон)</c:v>
                </c:pt>
                <c:pt idx="5">
                  <c:v>2020                 (оценка)</c:v>
                </c:pt>
                <c:pt idx="6">
                  <c:v>2021</c:v>
                </c:pt>
                <c:pt idx="7">
                  <c:v>2022</c:v>
                </c:pt>
                <c:pt idx="8">
                  <c:v>2023</c:v>
                </c:pt>
              </c:strCache>
            </c:strRef>
          </c:cat>
          <c:val>
            <c:numRef>
              <c:f>'Внутренние заимст'!$J$4:$R$4</c:f>
              <c:numCache>
                <c:formatCode>_-* #,##0.0\ _₽_-;\-* #,##0.0\ _₽_-;_-* "-"??\ _₽_-;_-@_-</c:formatCode>
                <c:ptCount val="9"/>
                <c:pt idx="0">
                  <c:v>492.42100116292988</c:v>
                </c:pt>
                <c:pt idx="1">
                  <c:v>1123.4789992945798</c:v>
                </c:pt>
                <c:pt idx="2">
                  <c:v>507.53588230646983</c:v>
                </c:pt>
                <c:pt idx="3">
                  <c:v>1377.5565336825098</c:v>
                </c:pt>
                <c:pt idx="4">
                  <c:v>1740.2159999999999</c:v>
                </c:pt>
                <c:pt idx="5">
                  <c:v>4500.6660000000002</c:v>
                </c:pt>
                <c:pt idx="6">
                  <c:v>2681.5859544999998</c:v>
                </c:pt>
                <c:pt idx="7">
                  <c:v>2056.0864135999996</c:v>
                </c:pt>
                <c:pt idx="8">
                  <c:v>2400.8553758999997</c:v>
                </c:pt>
              </c:numCache>
            </c:numRef>
          </c:val>
          <c:extLst>
            <c:ext xmlns:c16="http://schemas.microsoft.com/office/drawing/2014/chart" uri="{C3380CC4-5D6E-409C-BE32-E72D297353CC}">
              <c16:uniqueId val="{00000008-3C54-4C18-A6C3-6080706E19D9}"/>
            </c:ext>
          </c:extLst>
        </c:ser>
        <c:ser>
          <c:idx val="1"/>
          <c:order val="1"/>
          <c:tx>
            <c:strRef>
              <c:f>'Внутренние заимст'!$I$5</c:f>
              <c:strCache>
                <c:ptCount val="1"/>
                <c:pt idx="0">
                  <c:v>Размещение государственных ценных бумаг за год</c:v>
                </c:pt>
              </c:strCache>
            </c:strRef>
          </c:tx>
          <c:spPr>
            <a:pattFill prst="pct80">
              <a:fgClr>
                <a:srgbClr val="92D050"/>
              </a:fgClr>
              <a:bgClr>
                <a:schemeClr val="bg1"/>
              </a:bgClr>
            </a:pattFill>
            <a:ln>
              <a:noFill/>
            </a:ln>
            <a:effectLst/>
          </c:spPr>
          <c:invertIfNegative val="0"/>
          <c:dLbls>
            <c:dLbl>
              <c:idx val="0"/>
              <c:layout>
                <c:manualLayout>
                  <c:x val="-1.0375596596804317E-2"/>
                  <c:y val="4.302000430200043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3C54-4C18-A6C3-6080706E19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'Внутренние заимст'!$J$3:$R$3</c:f>
              <c:strCache>
                <c:ptCount val="9"/>
                <c:pt idx="0">
                  <c:v>2016</c:v>
                </c:pt>
                <c:pt idx="1">
                  <c:v>2017</c:v>
                </c:pt>
                <c:pt idx="2">
                  <c:v>2018</c:v>
                </c:pt>
                <c:pt idx="3">
                  <c:v>2019</c:v>
                </c:pt>
                <c:pt idx="4">
                  <c:v>2020                 (закон)</c:v>
                </c:pt>
                <c:pt idx="5">
                  <c:v>2020                 (оценка)</c:v>
                </c:pt>
                <c:pt idx="6">
                  <c:v>2021</c:v>
                </c:pt>
                <c:pt idx="7">
                  <c:v>2022</c:v>
                </c:pt>
                <c:pt idx="8">
                  <c:v>2023</c:v>
                </c:pt>
              </c:strCache>
            </c:strRef>
          </c:cat>
          <c:val>
            <c:numRef>
              <c:f>'Внутренние заимст'!$J$5:$R$5</c:f>
              <c:numCache>
                <c:formatCode>_-* #,##0.0\ _₽_-;\-* #,##0.0\ _₽_-;_-* "-"??\ _₽_-;_-@_-</c:formatCode>
                <c:ptCount val="9"/>
                <c:pt idx="0">
                  <c:v>1054.9138681817999</c:v>
                </c:pt>
                <c:pt idx="1">
                  <c:v>1756.4304139109499</c:v>
                </c:pt>
                <c:pt idx="2">
                  <c:v>1036.5750244056098</c:v>
                </c:pt>
                <c:pt idx="3">
                  <c:v>2082.7448680626799</c:v>
                </c:pt>
                <c:pt idx="4">
                  <c:v>2324.8069999999998</c:v>
                </c:pt>
                <c:pt idx="5">
                  <c:v>5084.5910000000003</c:v>
                </c:pt>
                <c:pt idx="6">
                  <c:v>3667.7605611999998</c:v>
                </c:pt>
                <c:pt idx="7">
                  <c:v>3116.6333686999997</c:v>
                </c:pt>
                <c:pt idx="8">
                  <c:v>3173.1338135999999</c:v>
                </c:pt>
              </c:numCache>
            </c:numRef>
          </c:val>
          <c:extLst>
            <c:ext xmlns:c16="http://schemas.microsoft.com/office/drawing/2014/chart" uri="{C3380CC4-5D6E-409C-BE32-E72D297353CC}">
              <c16:uniqueId val="{0000000A-3C54-4C18-A6C3-6080706E19D9}"/>
            </c:ext>
          </c:extLst>
        </c:ser>
        <c:dLbls>
          <c:showLegendKey val="0"/>
          <c:showVal val="0"/>
          <c:showCatName val="0"/>
          <c:showSerName val="0"/>
          <c:showPercent val="0"/>
          <c:showBubbleSize val="0"/>
        </c:dLbls>
        <c:gapWidth val="76"/>
        <c:overlap val="-4"/>
        <c:axId val="88355840"/>
        <c:axId val="88682432"/>
      </c:barChart>
      <c:catAx>
        <c:axId val="8835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8682432"/>
        <c:crosses val="autoZero"/>
        <c:auto val="1"/>
        <c:lblAlgn val="ctr"/>
        <c:lblOffset val="100"/>
        <c:noMultiLvlLbl val="0"/>
      </c:catAx>
      <c:valAx>
        <c:axId val="88682432"/>
        <c:scaling>
          <c:orientation val="minMax"/>
        </c:scaling>
        <c:delete val="0"/>
        <c:axPos val="l"/>
        <c:majorGridlines>
          <c:spPr>
            <a:ln w="9525" cap="flat" cmpd="sng" algn="ctr">
              <a:solidFill>
                <a:schemeClr val="tx1">
                  <a:lumMod val="15000"/>
                  <a:lumOff val="85000"/>
                </a:schemeClr>
              </a:solidFill>
              <a:round/>
            </a:ln>
            <a:effectLst/>
          </c:spPr>
        </c:majorGridlines>
        <c:numFmt formatCode="_-* #,##0.0\ _₽_-;\-* #,##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88355840"/>
        <c:crosses val="autoZero"/>
        <c:crossBetween val="between"/>
        <c:majorUnit val="1000"/>
        <c:minorUnit val="5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51078090556034E-2"/>
          <c:y val="9.5278740132600542E-2"/>
          <c:w val="0.8840023560023702"/>
          <c:h val="0.57524542992904326"/>
        </c:manualLayout>
      </c:layout>
      <c:barChart>
        <c:barDir val="col"/>
        <c:grouping val="clustered"/>
        <c:varyColors val="0"/>
        <c:ser>
          <c:idx val="0"/>
          <c:order val="0"/>
          <c:tx>
            <c:strRef>
              <c:f>'15.5 нерезиденты за 5 лет)'!$B$2</c:f>
              <c:strCache>
                <c:ptCount val="1"/>
                <c:pt idx="0">
                  <c:v>Номинальный объем ОФЗ, принадлежащих нерезидентам</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Times New Roman" pitchFamily="18" charset="0"/>
                    <a:ea typeface="+mn-ea"/>
                    <a:cs typeface="Times New Roman" pitchFamily="18" charset="0"/>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'15.5 нерезиденты за 5 лет)'!$A$3:$A$16</c:f>
              <c:numCache>
                <c:formatCode>m/d/yyyy</c:formatCode>
                <c:ptCount val="6"/>
                <c:pt idx="0">
                  <c:v>42370</c:v>
                </c:pt>
                <c:pt idx="1">
                  <c:v>42736</c:v>
                </c:pt>
                <c:pt idx="2">
                  <c:v>43101</c:v>
                </c:pt>
                <c:pt idx="3">
                  <c:v>43466</c:v>
                </c:pt>
                <c:pt idx="4">
                  <c:v>43831</c:v>
                </c:pt>
                <c:pt idx="5">
                  <c:v>44075</c:v>
                </c:pt>
              </c:numCache>
            </c:numRef>
          </c:cat>
          <c:val>
            <c:numRef>
              <c:f>'15.5 нерезиденты за 5 лет)'!$B$3:$B$16</c:f>
              <c:numCache>
                <c:formatCode>#,##0</c:formatCode>
                <c:ptCount val="6"/>
                <c:pt idx="0">
                  <c:v>1071</c:v>
                </c:pt>
                <c:pt idx="1">
                  <c:v>1517</c:v>
                </c:pt>
                <c:pt idx="2">
                  <c:v>2230</c:v>
                </c:pt>
                <c:pt idx="3">
                  <c:v>1790</c:v>
                </c:pt>
                <c:pt idx="4">
                  <c:v>2870</c:v>
                </c:pt>
                <c:pt idx="5">
                  <c:v>3067</c:v>
                </c:pt>
              </c:numCache>
            </c:numRef>
          </c:val>
          <c:extLst>
            <c:ext xmlns:c16="http://schemas.microsoft.com/office/drawing/2014/chart" uri="{C3380CC4-5D6E-409C-BE32-E72D297353CC}">
              <c16:uniqueId val="{00000000-55DF-4E3C-9194-7185B740DF8D}"/>
            </c:ext>
          </c:extLst>
        </c:ser>
        <c:dLbls>
          <c:showLegendKey val="0"/>
          <c:showVal val="0"/>
          <c:showCatName val="0"/>
          <c:showSerName val="0"/>
          <c:showPercent val="0"/>
          <c:showBubbleSize val="0"/>
        </c:dLbls>
        <c:gapWidth val="150"/>
        <c:axId val="88394752"/>
        <c:axId val="88680704"/>
      </c:barChart>
      <c:lineChart>
        <c:grouping val="standard"/>
        <c:varyColors val="0"/>
        <c:ser>
          <c:idx val="1"/>
          <c:order val="1"/>
          <c:tx>
            <c:strRef>
              <c:f>'15.5 нерезиденты за 5 лет)'!$C$2</c:f>
              <c:strCache>
                <c:ptCount val="1"/>
                <c:pt idx="0">
                  <c:v>Доля нерезидентов на рынке ОФЗ</c:v>
                </c:pt>
              </c:strCache>
            </c:strRef>
          </c:tx>
          <c:spPr>
            <a:ln w="28575" cap="rnd" cmpd="sng" algn="ctr">
              <a:solidFill>
                <a:schemeClr val="accent3">
                  <a:shade val="95000"/>
                  <a:satMod val="105000"/>
                </a:schemeClr>
              </a:solidFill>
              <a:prstDash val="solid"/>
              <a:round/>
            </a:ln>
            <a:effectLst/>
          </c:spPr>
          <c:marker>
            <c:symbol val="square"/>
            <c:size val="7"/>
            <c:spPr>
              <a:solidFill>
                <a:schemeClr val="accent3"/>
              </a:solidFill>
              <a:ln w="9525" cap="flat" cmpd="sng" algn="ctr">
                <a:solidFill>
                  <a:schemeClr val="accent3">
                    <a:shade val="95000"/>
                    <a:satMod val="105000"/>
                  </a:schemeClr>
                </a:solidFill>
                <a:prstDash val="solid"/>
                <a:round/>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'15.5 нерезиденты за 5 лет)'!$A$3:$A$16</c:f>
              <c:numCache>
                <c:formatCode>m/d/yyyy</c:formatCode>
                <c:ptCount val="6"/>
                <c:pt idx="0">
                  <c:v>42370</c:v>
                </c:pt>
                <c:pt idx="1">
                  <c:v>42736</c:v>
                </c:pt>
                <c:pt idx="2">
                  <c:v>43101</c:v>
                </c:pt>
                <c:pt idx="3">
                  <c:v>43466</c:v>
                </c:pt>
                <c:pt idx="4">
                  <c:v>43831</c:v>
                </c:pt>
                <c:pt idx="5">
                  <c:v>44075</c:v>
                </c:pt>
              </c:numCache>
            </c:numRef>
          </c:cat>
          <c:val>
            <c:numRef>
              <c:f>'15.5 нерезиденты за 5 лет)'!$C$3:$C$16</c:f>
              <c:numCache>
                <c:formatCode>#,##0.0</c:formatCode>
                <c:ptCount val="6"/>
                <c:pt idx="0">
                  <c:v>21.458625525946704</c:v>
                </c:pt>
                <c:pt idx="1">
                  <c:v>26.930587608734246</c:v>
                </c:pt>
                <c:pt idx="2">
                  <c:v>33.08605341246291</c:v>
                </c:pt>
                <c:pt idx="3">
                  <c:v>24.413529732678668</c:v>
                </c:pt>
                <c:pt idx="4">
                  <c:v>32.229084783829308</c:v>
                </c:pt>
                <c:pt idx="5" formatCode="0.0">
                  <c:v>29.4</c:v>
                </c:pt>
              </c:numCache>
            </c:numRef>
          </c:val>
          <c:smooth val="0"/>
          <c:extLst>
            <c:ext xmlns:c16="http://schemas.microsoft.com/office/drawing/2014/chart" uri="{C3380CC4-5D6E-409C-BE32-E72D297353CC}">
              <c16:uniqueId val="{00000001-55DF-4E3C-9194-7185B740DF8D}"/>
            </c:ext>
          </c:extLst>
        </c:ser>
        <c:dLbls>
          <c:showLegendKey val="0"/>
          <c:showVal val="0"/>
          <c:showCatName val="0"/>
          <c:showSerName val="0"/>
          <c:showPercent val="0"/>
          <c:showBubbleSize val="0"/>
        </c:dLbls>
        <c:marker val="1"/>
        <c:smooth val="0"/>
        <c:axId val="127587840"/>
        <c:axId val="88684736"/>
      </c:lineChart>
      <c:catAx>
        <c:axId val="883947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itchFamily="18" charset="0"/>
                    <a:ea typeface="+mn-ea"/>
                    <a:cs typeface="Times New Roman" pitchFamily="18" charset="0"/>
                  </a:defRPr>
                </a:pPr>
                <a:r>
                  <a:rPr lang="ru-RU"/>
                  <a:t>млрд. рублей</a:t>
                </a:r>
              </a:p>
            </c:rich>
          </c:tx>
          <c:layout>
            <c:manualLayout>
              <c:xMode val="edge"/>
              <c:yMode val="edge"/>
              <c:x val="4.5829255260917662E-2"/>
              <c:y val="2.227521150160088E-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itchFamily="18" charset="0"/>
                  <a:ea typeface="+mn-ea"/>
                  <a:cs typeface="Times New Roman" pitchFamily="18" charset="0"/>
                </a:defRPr>
              </a:pPr>
              <a:endParaRPr lang="ru-RU"/>
            </a:p>
          </c:txPr>
        </c:title>
        <c:numFmt formatCode="m/d/yyyy"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ru-RU"/>
          </a:p>
        </c:txPr>
        <c:crossAx val="88680704"/>
        <c:crosses val="autoZero"/>
        <c:auto val="0"/>
        <c:lblAlgn val="ctr"/>
        <c:lblOffset val="100"/>
        <c:noMultiLvlLbl val="1"/>
      </c:catAx>
      <c:valAx>
        <c:axId val="8868070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ru-RU"/>
          </a:p>
        </c:txPr>
        <c:crossAx val="88394752"/>
        <c:crosses val="autoZero"/>
        <c:crossBetween val="between"/>
      </c:valAx>
      <c:valAx>
        <c:axId val="88684736"/>
        <c:scaling>
          <c:orientation val="minMax"/>
        </c:scaling>
        <c:delete val="0"/>
        <c:axPos val="r"/>
        <c:numFmt formatCode="#,##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ru-RU"/>
          </a:p>
        </c:txPr>
        <c:crossAx val="127587840"/>
        <c:crosses val="max"/>
        <c:crossBetween val="between"/>
      </c:valAx>
      <c:dateAx>
        <c:axId val="127587840"/>
        <c:scaling>
          <c:orientation val="minMax"/>
        </c:scaling>
        <c:delete val="1"/>
        <c:axPos val="b"/>
        <c:title>
          <c:tx>
            <c:rich>
              <a:bodyPr rot="0" spcFirstLastPara="1" vertOverflow="ellipsis" vert="horz" wrap="square" anchor="ctr" anchorCtr="1"/>
              <a:lstStyle/>
              <a:p>
                <a:pPr>
                  <a:defRPr sz="900" b="1" i="0" u="none" strike="noStrike" kern="1200" baseline="0">
                    <a:solidFill>
                      <a:schemeClr val="tx1"/>
                    </a:solidFill>
                    <a:latin typeface="Times New Roman" pitchFamily="18" charset="0"/>
                    <a:ea typeface="+mn-ea"/>
                    <a:cs typeface="Times New Roman" pitchFamily="18" charset="0"/>
                  </a:defRPr>
                </a:pPr>
                <a:r>
                  <a:rPr lang="ru-RU"/>
                  <a:t>%</a:t>
                </a:r>
              </a:p>
            </c:rich>
          </c:tx>
          <c:layout>
            <c:manualLayout>
              <c:xMode val="edge"/>
              <c:yMode val="edge"/>
              <c:x val="0.93351873244522587"/>
              <c:y val="5.1964740324154596E-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itchFamily="18" charset="0"/>
                  <a:ea typeface="+mn-ea"/>
                  <a:cs typeface="Times New Roman" pitchFamily="18" charset="0"/>
                </a:defRPr>
              </a:pPr>
              <a:endParaRPr lang="ru-RU"/>
            </a:p>
          </c:txPr>
        </c:title>
        <c:numFmt formatCode="m/d/yyyy" sourceLinked="1"/>
        <c:majorTickMark val="out"/>
        <c:minorTickMark val="none"/>
        <c:tickLblPos val="nextTo"/>
        <c:crossAx val="88684736"/>
        <c:crosses val="autoZero"/>
        <c:auto val="1"/>
        <c:lblOffset val="100"/>
        <c:baseTimeUnit val="months"/>
      </c:dateAx>
      <c:spPr>
        <a:noFill/>
        <a:ln w="25400">
          <a:noFill/>
        </a:ln>
        <a:effectLst/>
      </c:spPr>
    </c:plotArea>
    <c:legend>
      <c:legendPos val="b"/>
      <c:layout>
        <c:manualLayout>
          <c:xMode val="edge"/>
          <c:yMode val="edge"/>
          <c:x val="0.11313073210119581"/>
          <c:y val="0.852868847517679"/>
          <c:w val="0.84039914184829412"/>
          <c:h val="8.377025605036277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sz="900">
          <a:latin typeface="Times New Roman" pitchFamily="18" charset="0"/>
          <a:cs typeface="Times New Roman"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приватизация!$A$2</c:f>
              <c:strCache>
                <c:ptCount val="1"/>
                <c:pt idx="0">
                  <c:v>Фактические поступления в бюджет</c:v>
                </c:pt>
              </c:strCache>
            </c:strRef>
          </c:tx>
          <c:spPr>
            <a:solidFill>
              <a:schemeClr val="accent1"/>
            </a:solidFill>
            <a:ln>
              <a:solidFill>
                <a:schemeClr val="bg1"/>
              </a:solidFill>
            </a:ln>
            <a:effectLst/>
          </c:spPr>
          <c:invertIfNegative val="0"/>
          <c:dLbls>
            <c:dLbl>
              <c:idx val="5"/>
              <c:layout>
                <c:manualLayout>
                  <c:x val="-4.9886045027343644E-17"/>
                  <c:y val="-3.6751708557440192E-3"/>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327-40BA-B440-4A71F7799DF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приватизация!$B$1:$O$1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приватизация!$B$2:$O$2</c:f>
              <c:numCache>
                <c:formatCode>General</c:formatCode>
                <c:ptCount val="14"/>
                <c:pt idx="0">
                  <c:v>14.9</c:v>
                </c:pt>
                <c:pt idx="1">
                  <c:v>126.2</c:v>
                </c:pt>
                <c:pt idx="2">
                  <c:v>43.9</c:v>
                </c:pt>
                <c:pt idx="3">
                  <c:v>41.6</c:v>
                </c:pt>
                <c:pt idx="4">
                  <c:v>29.7</c:v>
                </c:pt>
                <c:pt idx="5">
                  <c:v>6.3</c:v>
                </c:pt>
                <c:pt idx="6">
                  <c:v>406.8</c:v>
                </c:pt>
                <c:pt idx="7">
                  <c:v>14.3</c:v>
                </c:pt>
                <c:pt idx="8">
                  <c:v>12.8</c:v>
                </c:pt>
                <c:pt idx="9">
                  <c:v>11.5</c:v>
                </c:pt>
              </c:numCache>
            </c:numRef>
          </c:val>
          <c:extLst>
            <c:ext xmlns:c16="http://schemas.microsoft.com/office/drawing/2014/chart" uri="{C3380CC4-5D6E-409C-BE32-E72D297353CC}">
              <c16:uniqueId val="{00000001-1327-40BA-B440-4A71F7799DFC}"/>
            </c:ext>
          </c:extLst>
        </c:ser>
        <c:ser>
          <c:idx val="1"/>
          <c:order val="1"/>
          <c:tx>
            <c:strRef>
              <c:f>приватизация!$A$3</c:f>
              <c:strCache>
                <c:ptCount val="1"/>
                <c:pt idx="0">
                  <c:v>Плановые значения  федерального закона о федеральном бюджете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приватизация!$B$1:$O$1</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приватизация!$B$3:$O$3</c:f>
              <c:numCache>
                <c:formatCode>General</c:formatCode>
                <c:ptCount val="14"/>
                <c:pt idx="10">
                  <c:v>11.3</c:v>
                </c:pt>
                <c:pt idx="11">
                  <c:v>3.6</c:v>
                </c:pt>
                <c:pt idx="12">
                  <c:v>3.6</c:v>
                </c:pt>
                <c:pt idx="13">
                  <c:v>3.3</c:v>
                </c:pt>
              </c:numCache>
            </c:numRef>
          </c:val>
          <c:extLst>
            <c:ext xmlns:c16="http://schemas.microsoft.com/office/drawing/2014/chart" uri="{C3380CC4-5D6E-409C-BE32-E72D297353CC}">
              <c16:uniqueId val="{00000002-1327-40BA-B440-4A71F7799DFC}"/>
            </c:ext>
          </c:extLst>
        </c:ser>
        <c:dLbls>
          <c:showLegendKey val="0"/>
          <c:showVal val="0"/>
          <c:showCatName val="0"/>
          <c:showSerName val="0"/>
          <c:showPercent val="0"/>
          <c:showBubbleSize val="0"/>
        </c:dLbls>
        <c:gapWidth val="42"/>
        <c:overlap val="100"/>
        <c:axId val="133820416"/>
        <c:axId val="159862144"/>
      </c:barChart>
      <c:catAx>
        <c:axId val="13382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862144"/>
        <c:crosses val="autoZero"/>
        <c:auto val="1"/>
        <c:lblAlgn val="ctr"/>
        <c:lblOffset val="100"/>
        <c:noMultiLvlLbl val="0"/>
      </c:catAx>
      <c:valAx>
        <c:axId val="159862144"/>
        <c:scaling>
          <c:orientation val="minMax"/>
          <c:max val="100"/>
        </c:scaling>
        <c:delete val="1"/>
        <c:axPos val="l"/>
        <c:numFmt formatCode="General" sourceLinked="1"/>
        <c:majorTickMark val="none"/>
        <c:minorTickMark val="none"/>
        <c:tickLblPos val="nextTo"/>
        <c:crossAx val="133820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514307880257883E-2"/>
          <c:y val="3.4050456585667854E-2"/>
          <c:w val="0.90372314021336231"/>
          <c:h val="0.8238428755452154"/>
        </c:manualLayout>
      </c:layout>
      <c:barChart>
        <c:barDir val="col"/>
        <c:grouping val="stacked"/>
        <c:varyColors val="0"/>
        <c:ser>
          <c:idx val="0"/>
          <c:order val="0"/>
          <c:tx>
            <c:strRef>
              <c:f>'Объем фондов'!$A$30</c:f>
              <c:strCache>
                <c:ptCount val="1"/>
                <c:pt idx="0">
                  <c:v>Стабилизационный фонд</c:v>
                </c:pt>
              </c:strCache>
            </c:strRef>
          </c:tx>
          <c:spPr>
            <a:solidFill>
              <a:schemeClr val="accent2"/>
            </a:solidFill>
            <a:ln>
              <a:noFill/>
            </a:ln>
            <a:effectLst/>
          </c:spPr>
          <c:invertIfNegative val="0"/>
          <c:dLbls>
            <c:dLbl>
              <c:idx val="0"/>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A20-4DBA-B276-BAE8F54DB356}"/>
                </c:ext>
              </c:extLst>
            </c:dLbl>
            <c:dLbl>
              <c:idx val="1"/>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A20-4DBA-B276-BAE8F54DB356}"/>
                </c:ext>
              </c:extLst>
            </c:dLbl>
            <c:dLbl>
              <c:idx val="2"/>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A20-4DBA-B276-BAE8F54DB356}"/>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dLblPos val="inEnd"/>
            <c:showLegendKey val="0"/>
            <c:showVal val="0"/>
            <c:showCatName val="0"/>
            <c:showSerName val="0"/>
            <c:showPercent val="0"/>
            <c:showBubbleSize val="0"/>
            <c:extLst>
              <c:ext xmlns:c15="http://schemas.microsoft.com/office/drawing/2012/chart" uri="{CE6537A1-D6FC-4f65-9D91-7224C49458BB}">
                <c15:showLeaderLines val="0"/>
              </c:ext>
            </c:extLst>
          </c:dLbls>
          <c:cat>
            <c:numRef>
              <c:f>'Объем фондов'!$B$29:$U$29</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'Объем фондов'!$B$30:$T$30</c:f>
              <c:numCache>
                <c:formatCode>General</c:formatCode>
                <c:ptCount val="18"/>
                <c:pt idx="0">
                  <c:v>1237</c:v>
                </c:pt>
                <c:pt idx="1">
                  <c:v>2346.92</c:v>
                </c:pt>
                <c:pt idx="2">
                  <c:v>3849.11</c:v>
                </c:pt>
                <c:pt idx="3">
                  <c:v>0</c:v>
                </c:pt>
                <c:pt idx="4">
                  <c:v>0</c:v>
                </c:pt>
                <c:pt idx="5">
                  <c:v>0</c:v>
                </c:pt>
                <c:pt idx="6">
                  <c:v>0</c:v>
                </c:pt>
                <c:pt idx="7">
                  <c:v>0</c:v>
                </c:pt>
                <c:pt idx="8">
                  <c:v>0</c:v>
                </c:pt>
                <c:pt idx="9">
                  <c:v>0</c:v>
                </c:pt>
                <c:pt idx="10">
                  <c:v>0</c:v>
                </c:pt>
                <c:pt idx="11">
                  <c:v>0</c:v>
                </c:pt>
                <c:pt idx="12">
                  <c:v>0</c:v>
                </c:pt>
                <c:pt idx="13">
                  <c:v>0</c:v>
                </c:pt>
              </c:numCache>
            </c:numRef>
          </c:val>
          <c:extLst>
            <c:ext xmlns:c16="http://schemas.microsoft.com/office/drawing/2014/chart" uri="{C3380CC4-5D6E-409C-BE32-E72D297353CC}">
              <c16:uniqueId val="{00000003-0A20-4DBA-B276-BAE8F54DB356}"/>
            </c:ext>
          </c:extLst>
        </c:ser>
        <c:ser>
          <c:idx val="1"/>
          <c:order val="1"/>
          <c:tx>
            <c:strRef>
              <c:f>'Объем фондов'!$A$31</c:f>
              <c:strCache>
                <c:ptCount val="1"/>
                <c:pt idx="0">
                  <c:v>Резервный фонд</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A20-4DBA-B276-BAE8F54DB356}"/>
                </c:ext>
              </c:extLst>
            </c:dLbl>
            <c:dLbl>
              <c:idx val="1"/>
              <c:delete val="1"/>
              <c:extLst>
                <c:ext xmlns:c15="http://schemas.microsoft.com/office/drawing/2012/chart" uri="{CE6537A1-D6FC-4f65-9D91-7224C49458BB}"/>
                <c:ext xmlns:c16="http://schemas.microsoft.com/office/drawing/2014/chart" uri="{C3380CC4-5D6E-409C-BE32-E72D297353CC}">
                  <c16:uniqueId val="{00000005-0A20-4DBA-B276-BAE8F54DB356}"/>
                </c:ext>
              </c:extLst>
            </c:dLbl>
            <c:dLbl>
              <c:idx val="2"/>
              <c:delete val="1"/>
              <c:extLst>
                <c:ext xmlns:c15="http://schemas.microsoft.com/office/drawing/2012/chart" uri="{CE6537A1-D6FC-4f65-9D91-7224C49458BB}"/>
                <c:ext xmlns:c16="http://schemas.microsoft.com/office/drawing/2014/chart" uri="{C3380CC4-5D6E-409C-BE32-E72D297353CC}">
                  <c16:uniqueId val="{00000006-0A20-4DBA-B276-BAE8F54DB356}"/>
                </c:ext>
              </c:extLst>
            </c:dLbl>
            <c:dLbl>
              <c:idx val="12"/>
              <c:delete val="1"/>
              <c:extLst>
                <c:ext xmlns:c15="http://schemas.microsoft.com/office/drawing/2012/chart" uri="{CE6537A1-D6FC-4f65-9D91-7224C49458BB}"/>
                <c:ext xmlns:c16="http://schemas.microsoft.com/office/drawing/2014/chart" uri="{C3380CC4-5D6E-409C-BE32-E72D297353CC}">
                  <c16:uniqueId val="{00000007-0A20-4DBA-B276-BAE8F54DB356}"/>
                </c:ext>
              </c:extLst>
            </c:dLbl>
            <c:dLbl>
              <c:idx val="13"/>
              <c:delete val="1"/>
              <c:extLst>
                <c:ext xmlns:c15="http://schemas.microsoft.com/office/drawing/2012/chart" uri="{CE6537A1-D6FC-4f65-9D91-7224C49458BB}"/>
                <c:ext xmlns:c16="http://schemas.microsoft.com/office/drawing/2014/chart" uri="{C3380CC4-5D6E-409C-BE32-E72D297353CC}">
                  <c16:uniqueId val="{00000008-0A20-4DBA-B276-BAE8F54DB356}"/>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'Объем фондов'!$B$29:$U$29</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'Объем фондов'!$B$31:$T$31</c:f>
              <c:numCache>
                <c:formatCode>General</c:formatCode>
                <c:ptCount val="18"/>
                <c:pt idx="0">
                  <c:v>0</c:v>
                </c:pt>
                <c:pt idx="1">
                  <c:v>0</c:v>
                </c:pt>
                <c:pt idx="2">
                  <c:v>0</c:v>
                </c:pt>
                <c:pt idx="3" formatCode="#,##0.0">
                  <c:v>4027.64</c:v>
                </c:pt>
                <c:pt idx="4" formatCode="#,##0.0">
                  <c:v>1830.51</c:v>
                </c:pt>
                <c:pt idx="5" formatCode="#,##0.0">
                  <c:v>775.21</c:v>
                </c:pt>
                <c:pt idx="6" formatCode="#,##0.0">
                  <c:v>811.52</c:v>
                </c:pt>
                <c:pt idx="7" formatCode="#,##0.0">
                  <c:v>1885.68</c:v>
                </c:pt>
                <c:pt idx="8" formatCode="#,##0.0">
                  <c:v>2859.72</c:v>
                </c:pt>
                <c:pt idx="9" formatCode="#,##0.0">
                  <c:v>4945.49</c:v>
                </c:pt>
                <c:pt idx="10" formatCode="#,##0.0">
                  <c:v>3640.57</c:v>
                </c:pt>
                <c:pt idx="11" formatCode="#,##0.0">
                  <c:v>972.13</c:v>
                </c:pt>
                <c:pt idx="12" formatCode="#,##0.0">
                  <c:v>0</c:v>
                </c:pt>
                <c:pt idx="13" formatCode="#,##0.0">
                  <c:v>0</c:v>
                </c:pt>
              </c:numCache>
            </c:numRef>
          </c:val>
          <c:extLst>
            <c:ext xmlns:c16="http://schemas.microsoft.com/office/drawing/2014/chart" uri="{C3380CC4-5D6E-409C-BE32-E72D297353CC}">
              <c16:uniqueId val="{00000009-0A20-4DBA-B276-BAE8F54DB356}"/>
            </c:ext>
          </c:extLst>
        </c:ser>
        <c:ser>
          <c:idx val="2"/>
          <c:order val="2"/>
          <c:tx>
            <c:strRef>
              <c:f>'Объем фондов'!$A$32</c:f>
              <c:strCache>
                <c:ptCount val="1"/>
                <c:pt idx="0">
                  <c:v>Фонд национального благосостояния</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0A20-4DBA-B276-BAE8F54DB356}"/>
                </c:ext>
              </c:extLst>
            </c:dLbl>
            <c:dLbl>
              <c:idx val="1"/>
              <c:delete val="1"/>
              <c:extLst>
                <c:ext xmlns:c15="http://schemas.microsoft.com/office/drawing/2012/chart" uri="{CE6537A1-D6FC-4f65-9D91-7224C49458BB}"/>
                <c:ext xmlns:c16="http://schemas.microsoft.com/office/drawing/2014/chart" uri="{C3380CC4-5D6E-409C-BE32-E72D297353CC}">
                  <c16:uniqueId val="{0000000B-0A20-4DBA-B276-BAE8F54DB356}"/>
                </c:ext>
              </c:extLst>
            </c:dLbl>
            <c:dLbl>
              <c:idx val="2"/>
              <c:delete val="1"/>
              <c:extLst>
                <c:ext xmlns:c15="http://schemas.microsoft.com/office/drawing/2012/chart" uri="{CE6537A1-D6FC-4f65-9D91-7224C49458BB}"/>
                <c:ext xmlns:c16="http://schemas.microsoft.com/office/drawing/2014/chart" uri="{C3380CC4-5D6E-409C-BE32-E72D297353CC}">
                  <c16:uniqueId val="{0000000C-0A20-4DBA-B276-BAE8F54DB356}"/>
                </c:ext>
              </c:extLst>
            </c:dLbl>
            <c:dLbl>
              <c:idx val="17"/>
              <c:layout>
                <c:manualLayout>
                  <c:x val="-1.2448636722466246E-3"/>
                  <c:y val="-0.34722544838991548"/>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0A20-4DBA-B276-BAE8F54DB356}"/>
                </c:ext>
              </c:extLst>
            </c:dLbl>
            <c:dLbl>
              <c:idx val="18"/>
              <c:delete val="1"/>
              <c:extLst>
                <c:ext xmlns:c15="http://schemas.microsoft.com/office/drawing/2012/chart" uri="{CE6537A1-D6FC-4f65-9D91-7224C49458BB}"/>
                <c:ext xmlns:c16="http://schemas.microsoft.com/office/drawing/2014/chart" uri="{C3380CC4-5D6E-409C-BE32-E72D297353CC}">
                  <c16:uniqueId val="{0000000E-0A20-4DBA-B276-BAE8F54DB356}"/>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'Объем фондов'!$B$29:$U$29</c:f>
              <c:numCache>
                <c:formatCode>General</c:formatCod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numCache>
            </c:numRef>
          </c:cat>
          <c:val>
            <c:numRef>
              <c:f>'Объем фондов'!$B$32:$U$32</c:f>
              <c:numCache>
                <c:formatCode>General</c:formatCode>
                <c:ptCount val="19"/>
                <c:pt idx="0">
                  <c:v>0</c:v>
                </c:pt>
                <c:pt idx="1">
                  <c:v>0</c:v>
                </c:pt>
                <c:pt idx="2">
                  <c:v>0</c:v>
                </c:pt>
                <c:pt idx="3" formatCode="#,##0.0">
                  <c:v>2584.4899999999998</c:v>
                </c:pt>
                <c:pt idx="4" formatCode="#,##0.0">
                  <c:v>2769.02</c:v>
                </c:pt>
                <c:pt idx="5" formatCode="#,##0.0">
                  <c:v>2695.52</c:v>
                </c:pt>
                <c:pt idx="6" formatCode="#,##0.0">
                  <c:v>2794.43</c:v>
                </c:pt>
                <c:pt idx="7" formatCode="#,##0.0">
                  <c:v>2690.63</c:v>
                </c:pt>
                <c:pt idx="8" formatCode="#,##0.0">
                  <c:v>2900.64</c:v>
                </c:pt>
                <c:pt idx="9" formatCode="#,##0.0">
                  <c:v>4388.09</c:v>
                </c:pt>
                <c:pt idx="10" formatCode="#,##0.0">
                  <c:v>5227.18</c:v>
                </c:pt>
                <c:pt idx="11" formatCode="#,##0.0">
                  <c:v>4359.16</c:v>
                </c:pt>
                <c:pt idx="12" formatCode="#,##0.0">
                  <c:v>3752.94</c:v>
                </c:pt>
                <c:pt idx="13" formatCode="#,##0.0">
                  <c:v>4036.05</c:v>
                </c:pt>
                <c:pt idx="14" formatCode="#,##0.0">
                  <c:v>7773.1</c:v>
                </c:pt>
                <c:pt idx="15" formatCode="#,##0.0">
                  <c:v>12447.5</c:v>
                </c:pt>
                <c:pt idx="16" formatCode="#,##0.0">
                  <c:v>12487.3</c:v>
                </c:pt>
                <c:pt idx="17" formatCode="#,##0.0">
                  <c:v>12638.2</c:v>
                </c:pt>
                <c:pt idx="18" formatCode="#,##0.0">
                  <c:v>13474.4</c:v>
                </c:pt>
              </c:numCache>
            </c:numRef>
          </c:val>
          <c:extLst>
            <c:ext xmlns:c16="http://schemas.microsoft.com/office/drawing/2014/chart" uri="{C3380CC4-5D6E-409C-BE32-E72D297353CC}">
              <c16:uniqueId val="{0000000F-0A20-4DBA-B276-BAE8F54DB356}"/>
            </c:ext>
          </c:extLst>
        </c:ser>
        <c:dLbls>
          <c:showLegendKey val="0"/>
          <c:showVal val="0"/>
          <c:showCatName val="0"/>
          <c:showSerName val="0"/>
          <c:showPercent val="0"/>
          <c:showBubbleSize val="0"/>
        </c:dLbls>
        <c:gapWidth val="20"/>
        <c:overlap val="100"/>
        <c:axId val="167859712"/>
        <c:axId val="159865024"/>
      </c:barChart>
      <c:lineChart>
        <c:grouping val="standard"/>
        <c:varyColors val="0"/>
        <c:ser>
          <c:idx val="4"/>
          <c:order val="4"/>
          <c:tx>
            <c:strRef>
              <c:f>'Объем фондов'!$A$35</c:f>
              <c:strCache>
                <c:ptCount val="1"/>
                <c:pt idx="0">
                  <c:v>Всего</c:v>
                </c:pt>
              </c:strCache>
            </c:strRef>
          </c:tx>
          <c:spPr>
            <a:ln w="19050" cap="rnd" cmpd="sng" algn="ctr">
              <a:noFill/>
              <a:prstDash val="solid"/>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10-0A20-4DBA-B276-BAE8F54DB356}"/>
                </c:ext>
              </c:extLst>
            </c:dLbl>
            <c:dLbl>
              <c:idx val="1"/>
              <c:delete val="1"/>
              <c:extLst>
                <c:ext xmlns:c15="http://schemas.microsoft.com/office/drawing/2012/chart" uri="{CE6537A1-D6FC-4f65-9D91-7224C49458BB}"/>
                <c:ext xmlns:c16="http://schemas.microsoft.com/office/drawing/2014/chart" uri="{C3380CC4-5D6E-409C-BE32-E72D297353CC}">
                  <c16:uniqueId val="{00000011-0A20-4DBA-B276-BAE8F54DB356}"/>
                </c:ext>
              </c:extLst>
            </c:dLbl>
            <c:dLbl>
              <c:idx val="2"/>
              <c:delete val="1"/>
              <c:extLst>
                <c:ext xmlns:c15="http://schemas.microsoft.com/office/drawing/2012/chart" uri="{CE6537A1-D6FC-4f65-9D91-7224C49458BB}"/>
                <c:ext xmlns:c16="http://schemas.microsoft.com/office/drawing/2014/chart" uri="{C3380CC4-5D6E-409C-BE32-E72D297353CC}">
                  <c16:uniqueId val="{00000012-0A20-4DBA-B276-BAE8F54DB356}"/>
                </c:ext>
              </c:extLst>
            </c:dLbl>
            <c:dLbl>
              <c:idx val="12"/>
              <c:delete val="1"/>
              <c:extLst>
                <c:ext xmlns:c15="http://schemas.microsoft.com/office/drawing/2012/chart" uri="{CE6537A1-D6FC-4f65-9D91-7224C49458BB}"/>
                <c:ext xmlns:c16="http://schemas.microsoft.com/office/drawing/2014/chart" uri="{C3380CC4-5D6E-409C-BE32-E72D297353CC}">
                  <c16:uniqueId val="{00000013-0A20-4DBA-B276-BAE8F54DB356}"/>
                </c:ext>
              </c:extLst>
            </c:dLbl>
            <c:dLbl>
              <c:idx val="13"/>
              <c:delete val="1"/>
              <c:extLst>
                <c:ext xmlns:c15="http://schemas.microsoft.com/office/drawing/2012/chart" uri="{CE6537A1-D6FC-4f65-9D91-7224C49458BB}"/>
                <c:ext xmlns:c16="http://schemas.microsoft.com/office/drawing/2014/chart" uri="{C3380CC4-5D6E-409C-BE32-E72D297353CC}">
                  <c16:uniqueId val="{00000014-0A20-4DBA-B276-BAE8F54DB356}"/>
                </c:ext>
              </c:extLst>
            </c:dLbl>
            <c:dLbl>
              <c:idx val="14"/>
              <c:delete val="1"/>
              <c:extLst>
                <c:ext xmlns:c15="http://schemas.microsoft.com/office/drawing/2012/chart" uri="{CE6537A1-D6FC-4f65-9D91-7224C49458BB}"/>
                <c:ext xmlns:c16="http://schemas.microsoft.com/office/drawing/2014/chart" uri="{C3380CC4-5D6E-409C-BE32-E72D297353CC}">
                  <c16:uniqueId val="{00000015-0A20-4DBA-B276-BAE8F54DB356}"/>
                </c:ext>
              </c:extLst>
            </c:dLbl>
            <c:dLbl>
              <c:idx val="15"/>
              <c:delete val="1"/>
              <c:extLst>
                <c:ext xmlns:c15="http://schemas.microsoft.com/office/drawing/2012/chart" uri="{CE6537A1-D6FC-4f65-9D91-7224C49458BB}"/>
                <c:ext xmlns:c16="http://schemas.microsoft.com/office/drawing/2014/chart" uri="{C3380CC4-5D6E-409C-BE32-E72D297353CC}">
                  <c16:uniqueId val="{00000016-0A20-4DBA-B276-BAE8F54DB356}"/>
                </c:ext>
              </c:extLst>
            </c:dLbl>
            <c:dLbl>
              <c:idx val="16"/>
              <c:delete val="1"/>
              <c:extLst>
                <c:ext xmlns:c15="http://schemas.microsoft.com/office/drawing/2012/chart" uri="{CE6537A1-D6FC-4f65-9D91-7224C49458BB}"/>
                <c:ext xmlns:c16="http://schemas.microsoft.com/office/drawing/2014/chart" uri="{C3380CC4-5D6E-409C-BE32-E72D297353CC}">
                  <c16:uniqueId val="{00000017-0A20-4DBA-B276-BAE8F54DB356}"/>
                </c:ext>
              </c:extLst>
            </c:dLbl>
            <c:dLbl>
              <c:idx val="17"/>
              <c:delete val="1"/>
              <c:extLst>
                <c:ext xmlns:c15="http://schemas.microsoft.com/office/drawing/2012/chart" uri="{CE6537A1-D6FC-4f65-9D91-7224C49458BB}"/>
                <c:ext xmlns:c16="http://schemas.microsoft.com/office/drawing/2014/chart" uri="{C3380CC4-5D6E-409C-BE32-E72D297353CC}">
                  <c16:uniqueId val="{00000018-0A20-4DBA-B276-BAE8F54DB356}"/>
                </c:ext>
              </c:extLst>
            </c:dLbl>
            <c:dLbl>
              <c:idx val="18"/>
              <c:layout>
                <c:manualLayout>
                  <c:x val="-2.3428305394987716E-2"/>
                  <c:y val="-2.9252437703141943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0A20-4DBA-B276-BAE8F54DB356}"/>
                </c:ext>
              </c:extLst>
            </c:dLbl>
            <c:numFmt formatCode="#,##0.0" sourceLinked="0"/>
            <c:spPr>
              <a:solidFill>
                <a:schemeClr val="lt1"/>
              </a:solidFill>
              <a:ln w="25400" cap="flat" cmpd="sng" algn="ctr">
                <a:noFill/>
                <a:prstDash val="solid"/>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'Объем фондов'!$B$29:$T$29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'Объем фондов'!$B$35:$U$35</c:f>
              <c:numCache>
                <c:formatCode>0.0</c:formatCode>
                <c:ptCount val="19"/>
                <c:pt idx="0">
                  <c:v>1237</c:v>
                </c:pt>
                <c:pt idx="1">
                  <c:v>2346.92</c:v>
                </c:pt>
                <c:pt idx="2">
                  <c:v>3849.11</c:v>
                </c:pt>
                <c:pt idx="3">
                  <c:v>6612.1299999999992</c:v>
                </c:pt>
                <c:pt idx="4">
                  <c:v>4599.53</c:v>
                </c:pt>
                <c:pt idx="5">
                  <c:v>3470.73</c:v>
                </c:pt>
                <c:pt idx="6">
                  <c:v>3605.9199999999996</c:v>
                </c:pt>
                <c:pt idx="7">
                  <c:v>4576.3100000000004</c:v>
                </c:pt>
                <c:pt idx="8">
                  <c:v>5760.33</c:v>
                </c:pt>
                <c:pt idx="9">
                  <c:v>9333.58</c:v>
                </c:pt>
                <c:pt idx="10">
                  <c:v>8867.75</c:v>
                </c:pt>
                <c:pt idx="11">
                  <c:v>5331.29</c:v>
                </c:pt>
                <c:pt idx="12">
                  <c:v>3752.94</c:v>
                </c:pt>
                <c:pt idx="13">
                  <c:v>4036.05</c:v>
                </c:pt>
                <c:pt idx="14">
                  <c:v>7773.1</c:v>
                </c:pt>
                <c:pt idx="15">
                  <c:v>12447.5</c:v>
                </c:pt>
                <c:pt idx="16">
                  <c:v>12487.3</c:v>
                </c:pt>
                <c:pt idx="17">
                  <c:v>12638.2</c:v>
                </c:pt>
                <c:pt idx="18">
                  <c:v>13474.4</c:v>
                </c:pt>
              </c:numCache>
            </c:numRef>
          </c:val>
          <c:smooth val="0"/>
          <c:extLst>
            <c:ext xmlns:c16="http://schemas.microsoft.com/office/drawing/2014/chart" uri="{C3380CC4-5D6E-409C-BE32-E72D297353CC}">
              <c16:uniqueId val="{00000019-0A20-4DBA-B276-BAE8F54DB356}"/>
            </c:ext>
          </c:extLst>
        </c:ser>
        <c:dLbls>
          <c:showLegendKey val="0"/>
          <c:showVal val="0"/>
          <c:showCatName val="0"/>
          <c:showSerName val="0"/>
          <c:showPercent val="0"/>
          <c:showBubbleSize val="0"/>
        </c:dLbls>
        <c:marker val="1"/>
        <c:smooth val="0"/>
        <c:axId val="167859712"/>
        <c:axId val="159865024"/>
      </c:lineChart>
      <c:lineChart>
        <c:grouping val="standard"/>
        <c:varyColors val="0"/>
        <c:ser>
          <c:idx val="3"/>
          <c:order val="3"/>
          <c:tx>
            <c:strRef>
              <c:f>'Объем фондов'!$A$34</c:f>
              <c:strCache>
                <c:ptCount val="1"/>
                <c:pt idx="0">
                  <c:v>в % к ВВП</c:v>
                </c:pt>
              </c:strCache>
            </c:strRef>
          </c:tx>
          <c:spPr>
            <a:ln w="19050" cap="rnd" cmpd="sng" algn="ctr">
              <a:solidFill>
                <a:srgbClr val="7030A0"/>
              </a:solidFill>
              <a:prstDash val="solid"/>
              <a:round/>
            </a:ln>
            <a:effectLst/>
          </c:spPr>
          <c:marker>
            <c:symbol val="square"/>
            <c:size val="5"/>
            <c:spPr>
              <a:solidFill>
                <a:srgbClr val="7030A0"/>
              </a:solidFill>
              <a:ln w="6350" cap="flat" cmpd="sng" algn="ctr">
                <a:noFill/>
                <a:prstDash val="solid"/>
                <a:round/>
              </a:ln>
              <a:effectLst/>
            </c:spPr>
          </c:marker>
          <c:dLbls>
            <c:dLbl>
              <c:idx val="9"/>
              <c:layout>
                <c:manualLayout>
                  <c:x val="-2.2061724692636342E-2"/>
                  <c:y val="-2.1073749922271966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0A20-4DBA-B276-BAE8F54DB356}"/>
                </c:ext>
              </c:extLst>
            </c:dLbl>
            <c:dLbl>
              <c:idx val="10"/>
              <c:layout>
                <c:manualLayout>
                  <c:x val="-1.9503944272833765E-2"/>
                  <c:y val="-3.300871397676626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0A20-4DBA-B276-BAE8F54DB356}"/>
                </c:ext>
              </c:extLst>
            </c:dLbl>
            <c:dLbl>
              <c:idx val="17"/>
              <c:layout>
                <c:manualLayout>
                  <c:x val="-2.5247888358428203E-2"/>
                  <c:y val="-1.68704534901718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0A20-4DBA-B276-BAE8F54DB356}"/>
                </c:ext>
              </c:extLst>
            </c:dLbl>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'Объем фондов'!$B$29:$T$29</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'Объем фондов'!$B$34:$U$34</c:f>
              <c:numCache>
                <c:formatCode>0.0</c:formatCode>
                <c:ptCount val="19"/>
                <c:pt idx="0">
                  <c:v>5.7273821650152792</c:v>
                </c:pt>
                <c:pt idx="1">
                  <c:v>8.7190346692820935</c:v>
                </c:pt>
                <c:pt idx="2">
                  <c:v>11.577141138431461</c:v>
                </c:pt>
                <c:pt idx="3">
                  <c:v>16.018959757152302</c:v>
                </c:pt>
                <c:pt idx="4">
                  <c:v>11.858615390961781</c:v>
                </c:pt>
                <c:pt idx="5">
                  <c:v>7.4948011704114785</c:v>
                </c:pt>
                <c:pt idx="6">
                  <c:v>6.4429701682413993</c:v>
                </c:pt>
                <c:pt idx="7">
                  <c:v>6.8377774997263332</c:v>
                </c:pt>
                <c:pt idx="8">
                  <c:v>7.8764567457772658</c:v>
                </c:pt>
                <c:pt idx="9">
                  <c:v>11.784874047152615</c:v>
                </c:pt>
                <c:pt idx="10">
                  <c:v>10.634425907093654</c:v>
                </c:pt>
                <c:pt idx="11">
                  <c:v>6.1884812985933602</c:v>
                </c:pt>
                <c:pt idx="12">
                  <c:v>4.0756543902764824</c:v>
                </c:pt>
                <c:pt idx="13">
                  <c:v>3.8854574405203137</c:v>
                </c:pt>
                <c:pt idx="14">
                  <c:v>7.0635007178816132</c:v>
                </c:pt>
                <c:pt idx="15">
                  <c:v>11.636005010563315</c:v>
                </c:pt>
                <c:pt idx="16">
                  <c:v>10.808427029506721</c:v>
                </c:pt>
                <c:pt idx="17">
                  <c:v>10.173800342931663</c:v>
                </c:pt>
                <c:pt idx="18">
                  <c:v>10.144704943458162</c:v>
                </c:pt>
              </c:numCache>
            </c:numRef>
          </c:val>
          <c:smooth val="0"/>
          <c:extLst>
            <c:ext xmlns:c16="http://schemas.microsoft.com/office/drawing/2014/chart" uri="{C3380CC4-5D6E-409C-BE32-E72D297353CC}">
              <c16:uniqueId val="{0000001C-0A20-4DBA-B276-BAE8F54DB356}"/>
            </c:ext>
          </c:extLst>
        </c:ser>
        <c:dLbls>
          <c:showLegendKey val="0"/>
          <c:showVal val="0"/>
          <c:showCatName val="0"/>
          <c:showSerName val="0"/>
          <c:showPercent val="0"/>
          <c:showBubbleSize val="0"/>
        </c:dLbls>
        <c:marker val="1"/>
        <c:smooth val="0"/>
        <c:axId val="167860736"/>
        <c:axId val="159875072"/>
      </c:lineChart>
      <c:catAx>
        <c:axId val="167859712"/>
        <c:scaling>
          <c:orientation val="minMax"/>
        </c:scaling>
        <c:delete val="0"/>
        <c:axPos val="b"/>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crossAx val="159865024"/>
        <c:crosses val="autoZero"/>
        <c:auto val="1"/>
        <c:lblAlgn val="ctr"/>
        <c:lblOffset val="100"/>
        <c:noMultiLvlLbl val="0"/>
      </c:catAx>
      <c:valAx>
        <c:axId val="15986502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crossAx val="167859712"/>
        <c:crosses val="autoZero"/>
        <c:crossBetween val="between"/>
      </c:valAx>
      <c:valAx>
        <c:axId val="159875072"/>
        <c:scaling>
          <c:orientation val="minMax"/>
          <c:min val="-20"/>
        </c:scaling>
        <c:delete val="0"/>
        <c:axPos val="r"/>
        <c:numFmt formatCode="0.0" sourceLinked="1"/>
        <c:majorTickMark val="out"/>
        <c:minorTickMark val="none"/>
        <c:tickLblPos val="none"/>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crossAx val="167860736"/>
        <c:crosses val="max"/>
        <c:crossBetween val="between"/>
      </c:valAx>
      <c:catAx>
        <c:axId val="167860736"/>
        <c:scaling>
          <c:orientation val="minMax"/>
        </c:scaling>
        <c:delete val="1"/>
        <c:axPos val="b"/>
        <c:numFmt formatCode="General" sourceLinked="1"/>
        <c:majorTickMark val="out"/>
        <c:minorTickMark val="none"/>
        <c:tickLblPos val="nextTo"/>
        <c:crossAx val="159875072"/>
        <c:crosses val="autoZero"/>
        <c:auto val="1"/>
        <c:lblAlgn val="ctr"/>
        <c:lblOffset val="100"/>
        <c:noMultiLvlLbl val="0"/>
      </c:catAx>
      <c:spPr>
        <a:solidFill>
          <a:schemeClr val="bg1"/>
        </a:solid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itchFamily="18" charset="0"/>
              <a:ea typeface="+mn-ea"/>
              <a:cs typeface="Times New Roman" pitchFamily="18" charset="0"/>
            </a:defRPr>
          </a:pPr>
          <a:endParaRPr lang="ru-RU"/>
        </a:p>
      </c:txPr>
    </c:legend>
    <c:plotVisOnly val="1"/>
    <c:dispBlanksAs val="gap"/>
    <c:showDLblsOverMax val="0"/>
  </c:chart>
  <c:spPr>
    <a:noFill/>
    <a:ln w="6350" cap="flat" cmpd="sng" algn="ctr">
      <a:noFill/>
      <a:prstDash val="solid"/>
      <a:round/>
    </a:ln>
    <a:effectLst/>
  </c:spPr>
  <c:txPr>
    <a:bodyPr/>
    <a:lstStyle/>
    <a:p>
      <a:pPr>
        <a:defRPr sz="700">
          <a:latin typeface="Times New Roman" pitchFamily="18" charset="0"/>
          <a:cs typeface="Times New Roman" pitchFamily="18" charset="0"/>
        </a:defRPr>
      </a:pPr>
      <a:endParaRPr lang="ru-RU"/>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0.43265</cdr:x>
      <cdr:y>0.28691</cdr:y>
    </cdr:from>
    <cdr:to>
      <cdr:x>0.50122</cdr:x>
      <cdr:y>0.44778</cdr:y>
    </cdr:to>
    <cdr:sp macro="" textlink="">
      <cdr:nvSpPr>
        <cdr:cNvPr id="2" name="Блок-схема: перфолента 1"/>
        <cdr:cNvSpPr/>
      </cdr:nvSpPr>
      <cdr:spPr>
        <a:xfrm xmlns:a="http://schemas.openxmlformats.org/drawingml/2006/main">
          <a:off x="4038600" y="910590"/>
          <a:ext cx="640080" cy="510540"/>
        </a:xfrm>
        <a:prstGeom xmlns:a="http://schemas.openxmlformats.org/drawingml/2006/main" prst="flowChartPunchedTape">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0.08327</cdr:x>
      <cdr:y>0.34214</cdr:y>
    </cdr:from>
    <cdr:to>
      <cdr:x>0.1649</cdr:x>
      <cdr:y>0.47419</cdr:y>
    </cdr:to>
    <cdr:sp macro="" textlink="">
      <cdr:nvSpPr>
        <cdr:cNvPr id="3" name="Блок-схема: перфолента 2"/>
        <cdr:cNvSpPr/>
      </cdr:nvSpPr>
      <cdr:spPr>
        <a:xfrm xmlns:a="http://schemas.openxmlformats.org/drawingml/2006/main">
          <a:off x="777240" y="1085850"/>
          <a:ext cx="762000" cy="419100"/>
        </a:xfrm>
        <a:prstGeom xmlns:a="http://schemas.openxmlformats.org/drawingml/2006/main" prst="flowChartPunchedTape">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0.08</cdr:x>
      <cdr:y>0.04442</cdr:y>
    </cdr:from>
    <cdr:to>
      <cdr:x>0.16816</cdr:x>
      <cdr:y>0.21248</cdr:y>
    </cdr:to>
    <cdr:sp macro="" textlink="">
      <cdr:nvSpPr>
        <cdr:cNvPr id="4" name="Прямоугольник 3"/>
        <cdr:cNvSpPr/>
      </cdr:nvSpPr>
      <cdr:spPr>
        <a:xfrm xmlns:a="http://schemas.openxmlformats.org/drawingml/2006/main">
          <a:off x="746760" y="140970"/>
          <a:ext cx="822960" cy="53340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0.84552</cdr:x>
      <cdr:y>3.99899E-7</cdr:y>
    </cdr:from>
    <cdr:to>
      <cdr:x>1</cdr:x>
      <cdr:y>0.08311</cdr:y>
    </cdr:to>
    <cdr:sp macro="" textlink="">
      <cdr:nvSpPr>
        <cdr:cNvPr id="5" name="TextBox 4"/>
        <cdr:cNvSpPr txBox="1"/>
      </cdr:nvSpPr>
      <cdr:spPr>
        <a:xfrm xmlns:a="http://schemas.openxmlformats.org/drawingml/2006/main">
          <a:off x="5174673" y="1"/>
          <a:ext cx="945457" cy="2078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000">
              <a:solidFill>
                <a:sysClr val="windowText" lastClr="000000"/>
              </a:solidFill>
              <a:latin typeface="Times New Roman" panose="02020603050405020304" pitchFamily="18" charset="0"/>
              <a:cs typeface="Times New Roman" panose="02020603050405020304" pitchFamily="18" charset="0"/>
            </a:rPr>
            <a:t>млрд. рублей</a:t>
          </a:r>
        </a:p>
      </cdr:txBody>
    </cdr:sp>
  </cdr:relSizeAnchor>
</c:userShapes>
</file>

<file path=word/drawings/drawing2.xml><?xml version="1.0" encoding="utf-8"?>
<c:userShapes xmlns:c="http://schemas.openxmlformats.org/drawingml/2006/chart">
  <cdr:relSizeAnchor xmlns:cdr="http://schemas.openxmlformats.org/drawingml/2006/chartDrawing">
    <cdr:from>
      <cdr:x>0.05862</cdr:x>
      <cdr:y>0.71322</cdr:y>
    </cdr:from>
    <cdr:to>
      <cdr:x>0.07685</cdr:x>
      <cdr:y>0.75043</cdr:y>
    </cdr:to>
    <cdr:sp macro="" textlink="">
      <cdr:nvSpPr>
        <cdr:cNvPr id="3" name="TextBox 2"/>
        <cdr:cNvSpPr txBox="1"/>
      </cdr:nvSpPr>
      <cdr:spPr>
        <a:xfrm xmlns:a="http://schemas.openxmlformats.org/drawingml/2006/main">
          <a:off x="582147" y="4564998"/>
          <a:ext cx="18097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25880-D40A-47B7-85C3-A051E38F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4597</Words>
  <Characters>26206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Зяблова М.М.</dc:creator>
  <cp:lastModifiedBy>Виноградов Павел Владимирович</cp:lastModifiedBy>
  <cp:revision>47</cp:revision>
  <cp:lastPrinted>2020-10-09T08:24:00Z</cp:lastPrinted>
  <dcterms:created xsi:type="dcterms:W3CDTF">2019-10-09T20:23:00Z</dcterms:created>
  <dcterms:modified xsi:type="dcterms:W3CDTF">2020-10-13T08:03:00Z</dcterms:modified>
</cp:coreProperties>
</file>