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78" w:rsidRDefault="00882378" w:rsidP="000D181B">
      <w:pPr>
        <w:spacing w:after="0" w:line="240" w:lineRule="auto"/>
        <w:ind w:left="5670"/>
        <w:rPr>
          <w:rFonts w:ascii="Times New Roman" w:hAnsi="Times New Roman" w:cs="Times New Roman"/>
          <w:sz w:val="28"/>
          <w:szCs w:val="28"/>
        </w:rPr>
      </w:pPr>
      <w:bookmarkStart w:id="0" w:name="_GoBack"/>
      <w:bookmarkEnd w:id="0"/>
      <w:r w:rsidRPr="00D62609">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700F4D">
        <w:rPr>
          <w:rFonts w:ascii="Times New Roman" w:hAnsi="Times New Roman" w:cs="Times New Roman"/>
          <w:sz w:val="28"/>
          <w:szCs w:val="28"/>
        </w:rPr>
        <w:t>9</w:t>
      </w:r>
    </w:p>
    <w:p w:rsidR="005B583E" w:rsidRDefault="00882378" w:rsidP="000D181B">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к отчету о результатах </w:t>
      </w:r>
    </w:p>
    <w:p w:rsidR="00882378" w:rsidRDefault="00CA7BD3" w:rsidP="000D181B">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экспертно-аналитического</w:t>
      </w:r>
      <w:r w:rsidR="00882378">
        <w:rPr>
          <w:rFonts w:ascii="Times New Roman" w:hAnsi="Times New Roman" w:cs="Times New Roman"/>
          <w:sz w:val="28"/>
          <w:szCs w:val="28"/>
        </w:rPr>
        <w:t xml:space="preserve"> мероприятия </w:t>
      </w:r>
    </w:p>
    <w:p w:rsidR="00882378" w:rsidRDefault="00882378" w:rsidP="007500D6">
      <w:pPr>
        <w:spacing w:after="0" w:line="240" w:lineRule="auto"/>
        <w:ind w:left="4962"/>
        <w:rPr>
          <w:rFonts w:ascii="Times New Roman" w:hAnsi="Times New Roman" w:cs="Times New Roman"/>
          <w:sz w:val="28"/>
          <w:szCs w:val="28"/>
        </w:rPr>
      </w:pPr>
    </w:p>
    <w:p w:rsidR="000D181B" w:rsidRDefault="000D181B" w:rsidP="007500D6">
      <w:pPr>
        <w:spacing w:after="0" w:line="240" w:lineRule="auto"/>
        <w:ind w:left="4962"/>
        <w:rPr>
          <w:rFonts w:ascii="Times New Roman" w:hAnsi="Times New Roman" w:cs="Times New Roman"/>
          <w:sz w:val="28"/>
          <w:szCs w:val="28"/>
        </w:rPr>
      </w:pPr>
    </w:p>
    <w:p w:rsidR="00882378" w:rsidRDefault="00882378" w:rsidP="00882378">
      <w:pPr>
        <w:ind w:left="-284" w:firstLine="568"/>
        <w:jc w:val="both"/>
        <w:rPr>
          <w:rFonts w:ascii="Times New Roman" w:hAnsi="Times New Roman" w:cs="Times New Roman"/>
          <w:sz w:val="28"/>
          <w:szCs w:val="28"/>
        </w:rPr>
      </w:pPr>
    </w:p>
    <w:p w:rsidR="00700F4D" w:rsidRDefault="00BC4AF9" w:rsidP="007500D6">
      <w:pPr>
        <w:spacing w:after="0" w:line="240" w:lineRule="auto"/>
        <w:jc w:val="center"/>
        <w:rPr>
          <w:rFonts w:ascii="Times New Roman" w:eastAsia="Calibri" w:hAnsi="Times New Roman" w:cs="Times New Roman"/>
          <w:b/>
          <w:bCs/>
          <w:sz w:val="28"/>
          <w:szCs w:val="28"/>
        </w:rPr>
      </w:pPr>
      <w:r w:rsidRPr="00BC4AF9">
        <w:rPr>
          <w:rFonts w:ascii="Times New Roman" w:eastAsia="Calibri" w:hAnsi="Times New Roman" w:cs="Times New Roman"/>
          <w:b/>
          <w:bCs/>
          <w:sz w:val="28"/>
          <w:szCs w:val="28"/>
        </w:rPr>
        <w:t xml:space="preserve">Информация </w:t>
      </w:r>
    </w:p>
    <w:p w:rsidR="00CA7BD3" w:rsidRPr="007500D6" w:rsidRDefault="00BC4AF9" w:rsidP="007500D6">
      <w:pPr>
        <w:spacing w:after="0" w:line="240" w:lineRule="auto"/>
        <w:jc w:val="center"/>
        <w:rPr>
          <w:rFonts w:ascii="Times New Roman" w:eastAsia="Calibri" w:hAnsi="Times New Roman" w:cs="Times New Roman"/>
          <w:b/>
          <w:sz w:val="28"/>
          <w:szCs w:val="28"/>
        </w:rPr>
      </w:pPr>
      <w:r w:rsidRPr="00BC4AF9">
        <w:rPr>
          <w:rFonts w:ascii="Times New Roman" w:eastAsia="Calibri" w:hAnsi="Times New Roman" w:cs="Times New Roman"/>
          <w:b/>
          <w:bCs/>
          <w:sz w:val="28"/>
          <w:szCs w:val="28"/>
        </w:rPr>
        <w:t>о мероприятиях по устранению противоречий в сведениях о лесных участках</w:t>
      </w:r>
      <w:r w:rsidR="001A3B19" w:rsidRPr="00BC4AF9">
        <w:rPr>
          <w:rFonts w:ascii="Times New Roman" w:eastAsia="Calibri" w:hAnsi="Times New Roman" w:cs="Times New Roman"/>
          <w:b/>
          <w:bCs/>
          <w:sz w:val="28"/>
          <w:szCs w:val="28"/>
        </w:rPr>
        <w:t xml:space="preserve"> </w:t>
      </w:r>
    </w:p>
    <w:p w:rsidR="00ED6FB9" w:rsidRDefault="00ED6FB9" w:rsidP="00ED6FB9">
      <w:pPr>
        <w:spacing w:after="0" w:line="240" w:lineRule="auto"/>
        <w:ind w:firstLine="709"/>
        <w:jc w:val="both"/>
        <w:rPr>
          <w:rFonts w:ascii="Times New Roman" w:eastAsia="Times New Roman" w:hAnsi="Times New Roman" w:cs="Times New Roman"/>
          <w:bCs/>
          <w:snapToGrid w:val="0"/>
          <w:sz w:val="28"/>
          <w:szCs w:val="28"/>
          <w:lang w:eastAsia="ru-RU"/>
        </w:rPr>
      </w:pPr>
    </w:p>
    <w:p w:rsidR="00AF17C1" w:rsidRPr="00BC4AF9" w:rsidRDefault="00AF17C1" w:rsidP="00922BCF">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Вступивший в силу 11 августа 2017 года Федеральный закон от 29 июля 2017 г.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(далее – </w:t>
      </w:r>
      <w:r w:rsidR="00922BCF">
        <w:rPr>
          <w:rFonts w:ascii="Times New Roman" w:eastAsia="Times New Roman" w:hAnsi="Times New Roman" w:cs="Times New Roman"/>
          <w:bCs/>
          <w:snapToGrid w:val="0"/>
          <w:sz w:val="28"/>
          <w:szCs w:val="28"/>
          <w:lang w:eastAsia="ru-RU"/>
        </w:rPr>
        <w:t>З</w:t>
      </w:r>
      <w:r w:rsidRPr="00BC4AF9">
        <w:rPr>
          <w:rFonts w:ascii="Times New Roman" w:eastAsia="Times New Roman" w:hAnsi="Times New Roman" w:cs="Times New Roman"/>
          <w:bCs/>
          <w:snapToGrid w:val="0"/>
          <w:sz w:val="28"/>
          <w:szCs w:val="28"/>
          <w:lang w:eastAsia="ru-RU"/>
        </w:rPr>
        <w:t xml:space="preserve">акон № 280-ФЗ) реализуется </w:t>
      </w:r>
      <w:r w:rsidR="00DC0B8F">
        <w:rPr>
          <w:rFonts w:ascii="Times New Roman" w:eastAsia="Times New Roman" w:hAnsi="Times New Roman" w:cs="Times New Roman"/>
          <w:bCs/>
          <w:snapToGrid w:val="0"/>
          <w:sz w:val="28"/>
          <w:szCs w:val="28"/>
          <w:lang w:eastAsia="ru-RU"/>
        </w:rPr>
        <w:t>Росреестром</w:t>
      </w:r>
      <w:r w:rsidRPr="00BC4AF9">
        <w:rPr>
          <w:rFonts w:ascii="Times New Roman" w:eastAsia="Times New Roman" w:hAnsi="Times New Roman" w:cs="Times New Roman"/>
          <w:bCs/>
          <w:snapToGrid w:val="0"/>
          <w:sz w:val="28"/>
          <w:szCs w:val="28"/>
          <w:lang w:eastAsia="ru-RU"/>
        </w:rPr>
        <w:t xml:space="preserve"> по следующим основным направлениям, указанным в статьях 34 и 60.2 Федерального закона </w:t>
      </w:r>
      <w:r w:rsidR="00922BCF" w:rsidRPr="00922BCF">
        <w:rPr>
          <w:rFonts w:ascii="Times New Roman" w:eastAsia="Times New Roman" w:hAnsi="Times New Roman" w:cs="Times New Roman"/>
          <w:bCs/>
          <w:snapToGrid w:val="0"/>
          <w:sz w:val="28"/>
          <w:szCs w:val="28"/>
          <w:lang w:eastAsia="ru-RU"/>
        </w:rPr>
        <w:t>от</w:t>
      </w:r>
      <w:r w:rsidR="00922BCF">
        <w:rPr>
          <w:rFonts w:ascii="Times New Roman" w:eastAsia="Times New Roman" w:hAnsi="Times New Roman" w:cs="Times New Roman"/>
          <w:bCs/>
          <w:snapToGrid w:val="0"/>
          <w:sz w:val="28"/>
          <w:szCs w:val="28"/>
          <w:lang w:eastAsia="ru-RU"/>
        </w:rPr>
        <w:t> </w:t>
      </w:r>
      <w:r w:rsidR="00922BCF" w:rsidRPr="00922BCF">
        <w:rPr>
          <w:rFonts w:ascii="Times New Roman" w:eastAsia="Times New Roman" w:hAnsi="Times New Roman" w:cs="Times New Roman"/>
          <w:bCs/>
          <w:snapToGrid w:val="0"/>
          <w:sz w:val="28"/>
          <w:szCs w:val="28"/>
          <w:lang w:eastAsia="ru-RU"/>
        </w:rPr>
        <w:t>13</w:t>
      </w:r>
      <w:r w:rsidR="00922BCF">
        <w:rPr>
          <w:rFonts w:ascii="Times New Roman" w:eastAsia="Times New Roman" w:hAnsi="Times New Roman" w:cs="Times New Roman"/>
          <w:bCs/>
          <w:snapToGrid w:val="0"/>
          <w:sz w:val="28"/>
          <w:szCs w:val="28"/>
          <w:lang w:eastAsia="ru-RU"/>
        </w:rPr>
        <w:t xml:space="preserve"> июля </w:t>
      </w:r>
      <w:r w:rsidR="00922BCF" w:rsidRPr="00922BCF">
        <w:rPr>
          <w:rFonts w:ascii="Times New Roman" w:eastAsia="Times New Roman" w:hAnsi="Times New Roman" w:cs="Times New Roman"/>
          <w:bCs/>
          <w:snapToGrid w:val="0"/>
          <w:sz w:val="28"/>
          <w:szCs w:val="28"/>
          <w:lang w:eastAsia="ru-RU"/>
        </w:rPr>
        <w:t>2015</w:t>
      </w:r>
      <w:r w:rsidR="00922BCF">
        <w:rPr>
          <w:rFonts w:ascii="Times New Roman" w:eastAsia="Times New Roman" w:hAnsi="Times New Roman" w:cs="Times New Roman"/>
          <w:bCs/>
          <w:snapToGrid w:val="0"/>
          <w:sz w:val="28"/>
          <w:szCs w:val="28"/>
          <w:lang w:eastAsia="ru-RU"/>
        </w:rPr>
        <w:t> г.</w:t>
      </w:r>
      <w:r w:rsidR="00922BCF" w:rsidRPr="00922BCF">
        <w:rPr>
          <w:rFonts w:ascii="Times New Roman" w:eastAsia="Times New Roman" w:hAnsi="Times New Roman" w:cs="Times New Roman"/>
          <w:bCs/>
          <w:snapToGrid w:val="0"/>
          <w:sz w:val="28"/>
          <w:szCs w:val="28"/>
          <w:lang w:eastAsia="ru-RU"/>
        </w:rPr>
        <w:t xml:space="preserve"> </w:t>
      </w:r>
      <w:r w:rsidR="00922BCF">
        <w:rPr>
          <w:rFonts w:ascii="Times New Roman" w:eastAsia="Times New Roman" w:hAnsi="Times New Roman" w:cs="Times New Roman"/>
          <w:bCs/>
          <w:snapToGrid w:val="0"/>
          <w:sz w:val="28"/>
          <w:szCs w:val="28"/>
          <w:lang w:eastAsia="ru-RU"/>
        </w:rPr>
        <w:t>№ </w:t>
      </w:r>
      <w:r w:rsidR="00922BCF" w:rsidRPr="00922BCF">
        <w:rPr>
          <w:rFonts w:ascii="Times New Roman" w:eastAsia="Times New Roman" w:hAnsi="Times New Roman" w:cs="Times New Roman"/>
          <w:bCs/>
          <w:snapToGrid w:val="0"/>
          <w:sz w:val="28"/>
          <w:szCs w:val="28"/>
          <w:lang w:eastAsia="ru-RU"/>
        </w:rPr>
        <w:t>218-ФЗ</w:t>
      </w:r>
      <w:r w:rsidR="00922BCF">
        <w:rPr>
          <w:rFonts w:ascii="Times New Roman" w:eastAsia="Times New Roman" w:hAnsi="Times New Roman" w:cs="Times New Roman"/>
          <w:bCs/>
          <w:snapToGrid w:val="0"/>
          <w:sz w:val="28"/>
          <w:szCs w:val="28"/>
          <w:lang w:eastAsia="ru-RU"/>
        </w:rPr>
        <w:t xml:space="preserve"> «</w:t>
      </w:r>
      <w:r w:rsidR="00922BCF" w:rsidRPr="00922BCF">
        <w:rPr>
          <w:rFonts w:ascii="Times New Roman" w:eastAsia="Times New Roman" w:hAnsi="Times New Roman" w:cs="Times New Roman"/>
          <w:bCs/>
          <w:snapToGrid w:val="0"/>
          <w:sz w:val="28"/>
          <w:szCs w:val="28"/>
          <w:lang w:eastAsia="ru-RU"/>
        </w:rPr>
        <w:t>О государственной регистрации недвижимости</w:t>
      </w:r>
      <w:r w:rsidR="00922BCF">
        <w:rPr>
          <w:rFonts w:ascii="Times New Roman" w:eastAsia="Times New Roman" w:hAnsi="Times New Roman" w:cs="Times New Roman"/>
          <w:bCs/>
          <w:snapToGrid w:val="0"/>
          <w:sz w:val="28"/>
          <w:szCs w:val="28"/>
          <w:lang w:eastAsia="ru-RU"/>
        </w:rPr>
        <w:t xml:space="preserve">» (далее – Закон </w:t>
      </w:r>
      <w:r w:rsidRPr="00BC4AF9">
        <w:rPr>
          <w:rFonts w:ascii="Times New Roman" w:eastAsia="Times New Roman" w:hAnsi="Times New Roman" w:cs="Times New Roman"/>
          <w:bCs/>
          <w:snapToGrid w:val="0"/>
          <w:sz w:val="28"/>
          <w:szCs w:val="28"/>
          <w:lang w:eastAsia="ru-RU"/>
        </w:rPr>
        <w:t>№ 218-ФЗ</w:t>
      </w:r>
      <w:r w:rsidR="00922BCF">
        <w:rPr>
          <w:rFonts w:ascii="Times New Roman" w:eastAsia="Times New Roman" w:hAnsi="Times New Roman" w:cs="Times New Roman"/>
          <w:bCs/>
          <w:snapToGrid w:val="0"/>
          <w:sz w:val="28"/>
          <w:szCs w:val="28"/>
          <w:lang w:eastAsia="ru-RU"/>
        </w:rPr>
        <w:t>)</w:t>
      </w:r>
      <w:r w:rsidRPr="00BC4AF9">
        <w:rPr>
          <w:rFonts w:ascii="Times New Roman" w:eastAsia="Times New Roman" w:hAnsi="Times New Roman" w:cs="Times New Roman"/>
          <w:bCs/>
          <w:snapToGrid w:val="0"/>
          <w:sz w:val="28"/>
          <w:szCs w:val="28"/>
          <w:lang w:eastAsia="ru-RU"/>
        </w:rPr>
        <w:t>:</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внесение в ЕГРН сведений о границах лесничеств с одновременным устранением пересечений их границ с границами земельных участков (части 15, 16 статьи 34 </w:t>
      </w:r>
      <w:r w:rsidR="00922BCF">
        <w:rPr>
          <w:rFonts w:ascii="Times New Roman" w:eastAsia="Times New Roman" w:hAnsi="Times New Roman" w:cs="Times New Roman"/>
          <w:bCs/>
          <w:snapToGrid w:val="0"/>
          <w:sz w:val="28"/>
          <w:szCs w:val="28"/>
          <w:lang w:eastAsia="ru-RU"/>
        </w:rPr>
        <w:t>З</w:t>
      </w:r>
      <w:r w:rsidRPr="00BC4AF9">
        <w:rPr>
          <w:rFonts w:ascii="Times New Roman" w:eastAsia="Times New Roman" w:hAnsi="Times New Roman" w:cs="Times New Roman"/>
          <w:bCs/>
          <w:snapToGrid w:val="0"/>
          <w:sz w:val="28"/>
          <w:szCs w:val="28"/>
          <w:lang w:eastAsia="ru-RU"/>
        </w:rPr>
        <w:t>акона № 218-ФЗ);</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внесение в ЕГРН сведений о границах населенных пунктов, территориальных зон с одновременным устранением пересечений их границ с границами земельных участков (части 8, 10 статьи 34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акона № 218-ФЗ</w:t>
      </w:r>
      <w:r w:rsidR="00922BCF">
        <w:rPr>
          <w:rFonts w:ascii="Times New Roman" w:eastAsia="Times New Roman" w:hAnsi="Times New Roman" w:cs="Times New Roman"/>
          <w:bCs/>
          <w:snapToGrid w:val="0"/>
          <w:sz w:val="28"/>
          <w:szCs w:val="28"/>
          <w:lang w:eastAsia="ru-RU"/>
        </w:rPr>
        <w:t>)</w:t>
      </w:r>
      <w:r w:rsidRPr="00BC4AF9">
        <w:rPr>
          <w:rFonts w:ascii="Times New Roman" w:eastAsia="Times New Roman" w:hAnsi="Times New Roman" w:cs="Times New Roman"/>
          <w:bCs/>
          <w:snapToGrid w:val="0"/>
          <w:sz w:val="28"/>
          <w:szCs w:val="28"/>
          <w:lang w:eastAsia="ru-RU"/>
        </w:rPr>
        <w:t>;</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устранение пересечений границ земельных участков с категорий</w:t>
      </w:r>
      <w:r w:rsidR="00DC0B8F">
        <w:rPr>
          <w:rFonts w:ascii="Times New Roman" w:eastAsia="Times New Roman" w:hAnsi="Times New Roman" w:cs="Times New Roman"/>
          <w:bCs/>
          <w:snapToGrid w:val="0"/>
          <w:sz w:val="28"/>
          <w:szCs w:val="28"/>
          <w:lang w:eastAsia="ru-RU"/>
        </w:rPr>
        <w:t xml:space="preserve"> </w:t>
      </w:r>
      <w:r w:rsidRPr="00BC4AF9">
        <w:rPr>
          <w:rFonts w:ascii="Times New Roman" w:eastAsia="Times New Roman" w:hAnsi="Times New Roman" w:cs="Times New Roman"/>
          <w:bCs/>
          <w:snapToGrid w:val="0"/>
          <w:sz w:val="28"/>
          <w:szCs w:val="28"/>
          <w:lang w:eastAsia="ru-RU"/>
        </w:rPr>
        <w:t>земель</w:t>
      </w:r>
      <w:r w:rsidR="00DC0B8F">
        <w:rPr>
          <w:rFonts w:ascii="Times New Roman" w:eastAsia="Times New Roman" w:hAnsi="Times New Roman" w:cs="Times New Roman"/>
          <w:bCs/>
          <w:snapToGrid w:val="0"/>
          <w:sz w:val="28"/>
          <w:szCs w:val="28"/>
          <w:lang w:eastAsia="ru-RU"/>
        </w:rPr>
        <w:t> </w:t>
      </w:r>
      <w:r w:rsidRPr="00BC4AF9">
        <w:rPr>
          <w:rFonts w:ascii="Times New Roman" w:eastAsia="Times New Roman" w:hAnsi="Times New Roman" w:cs="Times New Roman"/>
          <w:bCs/>
          <w:snapToGrid w:val="0"/>
          <w:sz w:val="28"/>
          <w:szCs w:val="28"/>
          <w:lang w:eastAsia="ru-RU"/>
        </w:rPr>
        <w:t xml:space="preserve">– «земли лесного фонда» (далее – лесные участки) с границами земельных участков иных категорий посредством исправления реестровых ошибок в сведениях ЕГРН о местоположении границ и площади лесных участков (части 1, 2, 3, 4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устранение пересечений границ лесного участка с границами земельного участка с категорией земель – «земли запаса» за счет исправления реестровой ошибки в сведениях ЕГРН о местоположении и площади земельного участка с категорией земель – «земли запаса» (часть 9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изменение категории земель лесного участка на категорию земель – «земли сельскохозяйственного назначения» или «земли населенных пунктов» (часть 5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lastRenderedPageBreak/>
        <w:t xml:space="preserve">снятие с государственного кадастрового учета лесного участка и государственная регистрация прекращения права на него (с одновременным изменением границ лесничеств и лесопарков), когда такой лесной участок полностью совпадает по границам с иным земельным участком (части 11 и 12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снятие с государственного кадастрового учета лесного участка и государственная регистрация прекращения права на него в связи с дублированием сведений ЕГРН о таком лесном участке (части 13, 14, 15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устранение пересечения границ лесного участка с границами иного лесного участка посредством исправления реестровой ошибки в сведениях ЕГРН, если площадь пересечения таких границ составляет менее 95% площади иного лесного участка (часть 16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Применение положений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 осуществляется как по инициативе различных лиц при поступлении в орган регистрации прав необходимой информации и документов, так и по инициативе органа регистрации прав.</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Основаниями для применения органом регистрации прав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 являются:</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заявления об осуществлении учетно-регистрационных действий;</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обращения заинтересованных лиц;</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выявление органом регистрации прав реестровых ошибок в сведениях ЕГРН о земельных участках.</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Мероприятия по реализации органом регистрации прав</w:t>
      </w:r>
      <w:r w:rsidRPr="00BC4AF9">
        <w:rPr>
          <w:rFonts w:ascii="Times New Roman" w:eastAsia="Times New Roman" w:hAnsi="Times New Roman" w:cs="Times New Roman"/>
          <w:bCs/>
          <w:snapToGrid w:val="0"/>
          <w:sz w:val="28"/>
          <w:szCs w:val="28"/>
          <w:lang w:eastAsia="ru-RU"/>
        </w:rPr>
        <w:br/>
      </w:r>
      <w:r w:rsidR="00DD6B8C">
        <w:rPr>
          <w:rFonts w:ascii="Times New Roman" w:eastAsia="Times New Roman" w:hAnsi="Times New Roman" w:cs="Times New Roman"/>
          <w:bCs/>
          <w:snapToGrid w:val="0"/>
          <w:sz w:val="28"/>
          <w:szCs w:val="28"/>
          <w:lang w:eastAsia="ru-RU"/>
        </w:rPr>
        <w:t>З</w:t>
      </w:r>
      <w:r w:rsidRPr="00BC4AF9">
        <w:rPr>
          <w:rFonts w:ascii="Times New Roman" w:eastAsia="Times New Roman" w:hAnsi="Times New Roman" w:cs="Times New Roman"/>
          <w:bCs/>
          <w:snapToGrid w:val="0"/>
          <w:sz w:val="28"/>
          <w:szCs w:val="28"/>
          <w:lang w:eastAsia="ru-RU"/>
        </w:rPr>
        <w:t>акона № 280-ФЗ по собственной инициативе проводятся по двум основным направлениям:</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устранение в ЕГРН пересечений границ лесных участков с границами земельных участков иных категорий земель, изменение категории земель с «земли лесного фонда» на «земли населенных пунктов», «земли сельскохозяйственного назначения», исключение из ЕГРН сведений о лесном участке (части 4, 5, 9, 11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устранение в ЕГРН пересечений границ лесных участков с границами иных лесных участков, в том числе исключение из ЕГРН дублирующей информации о лесных участках.</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Положения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 были применены органами регистрации прав 94 738 раз, из которых 74 209 – по инициативе органа регистрации прав; 20 529 – по инициативе правообладателей и иных лиц, в том числе по результатам рассмотрения заявлений, поданных</w:t>
      </w:r>
      <w:r w:rsidR="00DC0B8F">
        <w:rPr>
          <w:rFonts w:ascii="Times New Roman" w:eastAsia="Times New Roman" w:hAnsi="Times New Roman" w:cs="Times New Roman"/>
          <w:bCs/>
          <w:snapToGrid w:val="0"/>
          <w:sz w:val="28"/>
          <w:szCs w:val="28"/>
          <w:lang w:eastAsia="ru-RU"/>
        </w:rPr>
        <w:t xml:space="preserve"> </w:t>
      </w:r>
      <w:r w:rsidRPr="00BC4AF9">
        <w:rPr>
          <w:rFonts w:ascii="Times New Roman" w:eastAsia="Times New Roman" w:hAnsi="Times New Roman" w:cs="Times New Roman"/>
          <w:bCs/>
          <w:snapToGrid w:val="0"/>
          <w:sz w:val="28"/>
          <w:szCs w:val="28"/>
          <w:lang w:eastAsia="ru-RU"/>
        </w:rPr>
        <w:t xml:space="preserve">в соответствии с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В 2021-2023 гг. Росреестром продолжен контроль и мониторинг применения Федерального закона № 280-ФЗ, в том числе посредством разработки и внедрения комплексного подхода к анализу сведений ЕГРН о лесных участках, методического сопровождения, сбора, обобщения и анализа отчетности органов регистрации прав.</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По состоянию на 1 июня 2023 года в ЕГРН содержались сведения о 720,6 тыс. лесных участков, общая площадь которых составила порядка 1,14 млрд га (на момент вступления в силу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280-ФЗ общая площадь лесных участков составляла1,42 млрд га).</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По сведениям государственного лесного реестра (ГЛР) на 1 июня 2023 года площадь лесных участков составляла также порядка 1,14 млрд га. Площадь лесных участков в данных ЕГРН за весь период применения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xml:space="preserve">№ 280-ФЗ уменьшилась на 288,6 млн га, в том числе в связи с устранением пересечений границ лесных участков с границами земельных участков иных категорий земель в ЕГРН площадь лесных участков уменьшена на 57,9 тысяч га, из которых 1,5 тысяч га включена в границы населенных пунктов (устранено пересечение границ лесных участков с границами земельных участков с категорией земель – «земли населенных пунктов», а также изменена категория земель лесного участка на «земли населенных пунктов» в соответствии с частью 5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На 1 июня 2023 года разница показателей площади лесных участков, по данным ЕГРН и ГЛР, составила 7,89 млн га. При этом в ЕГРН такой показатель меньше, чем в ГЛР.</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В рамках указанной работы выявляются ситуации, при которых исправить реестровые ошибки в сведениях ЕГРН о лесных участках</w:t>
      </w:r>
      <w:r w:rsidR="004F647E">
        <w:rPr>
          <w:rFonts w:ascii="Times New Roman" w:eastAsia="Times New Roman" w:hAnsi="Times New Roman" w:cs="Times New Roman"/>
          <w:bCs/>
          <w:snapToGrid w:val="0"/>
          <w:sz w:val="28"/>
          <w:szCs w:val="28"/>
          <w:lang w:eastAsia="ru-RU"/>
        </w:rPr>
        <w:t xml:space="preserve"> </w:t>
      </w:r>
      <w:r w:rsidRPr="00BC4AF9">
        <w:rPr>
          <w:rFonts w:ascii="Times New Roman" w:eastAsia="Times New Roman" w:hAnsi="Times New Roman" w:cs="Times New Roman"/>
          <w:bCs/>
          <w:snapToGrid w:val="0"/>
          <w:sz w:val="28"/>
          <w:szCs w:val="28"/>
          <w:lang w:eastAsia="ru-RU"/>
        </w:rPr>
        <w:t>не представляется возможным.</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Так, частями 13 и 15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 установлен ряд исключений, при которых устранение противоречий в сведения ЕГРН о лесных участках запрещается, в частности, в случаях, когда:</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1) выявлено пересечение границ лесного участка с границами иного лесного участка, предназначенного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 сооружений, являющихся их неотъемлемой технологической частью (часть 13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2) не соблюдены одновременно следующие условия (часть 15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местоположение границ пересекающегося лесного участка не установлено посредством определения координат характерных точек таких границ;</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в отношении пересекающегося лесного участка не зарегистрировано право постоянного (бессрочного) пользования, безвозмездного пользования или аренды;</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сведения о пересекающемся лесном участке были внесены в ЕГРН ранее сведений об иных лесных участках и сведения о площади пересекающегося лесного участка совпадают со сведениями о площади иного лесного участка на девяносто пять и более процентов.</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Росреестр осуществляет мониторинг ситуаций, когда устранение пересечений границ лесного участка с границами иного лесного участка не производится в связи с тем, что такие пересечения допускаются частью</w:t>
      </w:r>
      <w:r w:rsidR="004F647E">
        <w:rPr>
          <w:rFonts w:ascii="Times New Roman" w:eastAsia="Times New Roman" w:hAnsi="Times New Roman" w:cs="Times New Roman"/>
          <w:bCs/>
          <w:snapToGrid w:val="0"/>
          <w:sz w:val="28"/>
          <w:szCs w:val="28"/>
          <w:lang w:eastAsia="ru-RU"/>
        </w:rPr>
        <w:t> </w:t>
      </w:r>
      <w:r w:rsidRPr="00BC4AF9">
        <w:rPr>
          <w:rFonts w:ascii="Times New Roman" w:eastAsia="Times New Roman" w:hAnsi="Times New Roman" w:cs="Times New Roman"/>
          <w:bCs/>
          <w:snapToGrid w:val="0"/>
          <w:sz w:val="28"/>
          <w:szCs w:val="28"/>
          <w:lang w:eastAsia="ru-RU"/>
        </w:rPr>
        <w:t>13</w:t>
      </w:r>
      <w:r w:rsidR="004F647E">
        <w:rPr>
          <w:rFonts w:ascii="Times New Roman" w:eastAsia="Times New Roman" w:hAnsi="Times New Roman" w:cs="Times New Roman"/>
          <w:bCs/>
          <w:snapToGrid w:val="0"/>
          <w:sz w:val="28"/>
          <w:szCs w:val="28"/>
          <w:lang w:eastAsia="ru-RU"/>
        </w:rPr>
        <w:t xml:space="preserve"> </w:t>
      </w:r>
      <w:r w:rsidRPr="00BC4AF9">
        <w:rPr>
          <w:rFonts w:ascii="Times New Roman" w:eastAsia="Times New Roman" w:hAnsi="Times New Roman" w:cs="Times New Roman"/>
          <w:bCs/>
          <w:snapToGrid w:val="0"/>
          <w:sz w:val="28"/>
          <w:szCs w:val="28"/>
          <w:lang w:eastAsia="ru-RU"/>
        </w:rPr>
        <w:t xml:space="preserve">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xml:space="preserve">№ 218-ФЗ, либо имеются исключения, предусмотренные частью 15 данной нормы. </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В целом по стране выявлено порядка 14,6 тысяч лесных участков с видами разрешенного использования, допускающими пересечение границ с границами иных лесных участков. Площадь таких пересекающихся лесных участков составила 12,6 млн га.</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Кроме того, трем исключениям, указанным в части 15 статьи 60.2 </w:t>
      </w:r>
      <w:r w:rsidR="00922BCF">
        <w:rPr>
          <w:rFonts w:ascii="Times New Roman" w:eastAsia="Times New Roman" w:hAnsi="Times New Roman" w:cs="Times New Roman"/>
          <w:bCs/>
          <w:snapToGrid w:val="0"/>
          <w:sz w:val="28"/>
          <w:szCs w:val="28"/>
          <w:lang w:eastAsia="ru-RU"/>
        </w:rPr>
        <w:t>З</w:t>
      </w:r>
      <w:r w:rsidR="00922BCF"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 соответствует 1 663 лесных участков общей площадью порядка 10,7 млн га.</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К 1 июня 2023 года проанализированы сведения ЕГРН о 713,5 тысячах лесных участков, в результате из ЕГРН исключены дублирующие сведения о 27,1 тысячах лесных участков, в отношении 28 тыс. лесных участков зарегистрировано право собственности Российской Федерации, в отношении 2 057 лесных участков внесены изменения в ЕГРН в части площади и/или границ; по заявлениям представителей Росимущества (его территориальных органов) в отношении 4,8 тысяч лесных участков зарегистрировано прекращение аренды, срок которой истек.</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Росреестром обозначена проблема регистрации прав на земельные участки лесного фонда.</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 xml:space="preserve">Так, исходя из положений пунктов 1, 4 части 3, части 5.1 статьи 15 </w:t>
      </w:r>
      <w:r w:rsidR="008A5B15">
        <w:rPr>
          <w:rFonts w:ascii="Times New Roman" w:eastAsia="Times New Roman" w:hAnsi="Times New Roman" w:cs="Times New Roman"/>
          <w:bCs/>
          <w:snapToGrid w:val="0"/>
          <w:sz w:val="28"/>
          <w:szCs w:val="28"/>
          <w:lang w:eastAsia="ru-RU"/>
        </w:rPr>
        <w:t>З</w:t>
      </w:r>
      <w:r w:rsidR="008A5B15" w:rsidRPr="00BC4AF9">
        <w:rPr>
          <w:rFonts w:ascii="Times New Roman" w:eastAsia="Times New Roman" w:hAnsi="Times New Roman" w:cs="Times New Roman"/>
          <w:bCs/>
          <w:snapToGrid w:val="0"/>
          <w:sz w:val="28"/>
          <w:szCs w:val="28"/>
          <w:lang w:eastAsia="ru-RU"/>
        </w:rPr>
        <w:t xml:space="preserve">акона </w:t>
      </w:r>
      <w:r w:rsidRPr="00BC4AF9">
        <w:rPr>
          <w:rFonts w:ascii="Times New Roman" w:eastAsia="Times New Roman" w:hAnsi="Times New Roman" w:cs="Times New Roman"/>
          <w:bCs/>
          <w:snapToGrid w:val="0"/>
          <w:sz w:val="28"/>
          <w:szCs w:val="28"/>
          <w:lang w:eastAsia="ru-RU"/>
        </w:rPr>
        <w:t>№ 218-ФЗ, если органу государственной власти субъекта Российской Федерации не переданы полномочия Российской Федерации в области лесных отношений, по общему правилу, за государственной регистрацией права собственности Российской Федерации на земельный участок, являющийся федеральной собственностью, обращается представитель федерального органа исполнительной власти, осуществляющего полномочия собственника в отношении такого земельного участка.</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Согласно пункту 5.40 Положения о Федеральном агентстве по управлению государственным имуществом, утвержденного постановлением Правительства Российской Федерации от 5 июня 2008 г. № 432, Росимущество выступает от имени Российской Федерации при государственной регистрации права собственности Российской Федерации на недвижимое имущество, составляющее государственную казну Российской Федерации, и сделок с ним, а также права собственности Российской Федерации на земельные участки, которое признается (возникает) в соответствии с федеральными законами.</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Пунктом 1 статьи 3.1 Федерального закона от 25 октября 2001 г. № 137-ФЗ «О введении в действие Земельного кодекса Российской Федерации» установлено, что в целях разграничения государственной собственности на землю к федеральной собственности относятся в том числе иные предусмотренные федеральными законами земельные участки и предусмотренные федеральными законами земли.</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Такими законами являются, в частности, ЗК РФ (пункт 1 его статьи 17), Лесной кодекс Российской Федерации (далее – ЛК РФ) (часть 1 его статьи 8).</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Согласно части 2 статьи 4 ЛК РФ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В соответствии с пунктом 5.4.19 Положения о Федеральном агентстве лесного хозяйства, утвержденного постановлением Правительства Российской Федерации от 23 сентября 2010 г. № 736, Рослесхоз осуществляет функции в том числе по управлению государственным имуществом, оказанию государственных услуг в области лесных отношений, установленные ЛК РФ, в случаях, когда указанные полномочия изъяты в установленном порядке у органов государственной власти субъектов Российской Федерации.</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Действующее законодательство не связывает момент возникновения права собственности Российской Федерации на земельные участки в составе земель лесного фонда с государственной регистрацией такого права.</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Учитывая положения статей 3, 7, части 1 статьи 8 ЛК РФ, право собственности Российской Федерации на земельные участки в составе земель лесного фонда возникает в силу федерального закона. Формы собственности на лесные участки в составе земель иных категорий определяются в соответствии с земельным законодательством (часть 2 статья 8 ЛК РФ).</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При этом перевод лесных участков из категории земель лесного фонда в земли населенных пунктов в результате изменения границ населенного пункта, на взгляд Росреестра, не является основанием для прекращения права собственности Российской Федерации на такие участки.</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Учитывая вышеизложенное, принимая во внимание полномочия Росимущества и Рослесхоза, полагаем необходимым названным федеральным органам исполнительной власти выработать единое мнение по вопросу об органе государственной власти (либо его территориальном органе), уполномоченном выступать от имени Российской Федерации при государственной регистрации права собственности Российской Федерации на лесные участки.</w:t>
      </w:r>
    </w:p>
    <w:p w:rsidR="00AF17C1" w:rsidRPr="00BC4AF9" w:rsidRDefault="00AF17C1" w:rsidP="00BC4AF9">
      <w:pPr>
        <w:spacing w:after="0" w:line="276" w:lineRule="auto"/>
        <w:ind w:firstLine="709"/>
        <w:jc w:val="both"/>
        <w:rPr>
          <w:rFonts w:ascii="Times New Roman" w:eastAsia="Times New Roman" w:hAnsi="Times New Roman" w:cs="Times New Roman"/>
          <w:bCs/>
          <w:snapToGrid w:val="0"/>
          <w:sz w:val="28"/>
          <w:szCs w:val="28"/>
          <w:lang w:eastAsia="ru-RU"/>
        </w:rPr>
      </w:pPr>
      <w:r w:rsidRPr="00BC4AF9">
        <w:rPr>
          <w:rFonts w:ascii="Times New Roman" w:eastAsia="Times New Roman" w:hAnsi="Times New Roman" w:cs="Times New Roman"/>
          <w:bCs/>
          <w:snapToGrid w:val="0"/>
          <w:sz w:val="28"/>
          <w:szCs w:val="28"/>
          <w:lang w:eastAsia="ru-RU"/>
        </w:rPr>
        <w:t>По указанному вопросу направлены письма Росреестра от 17 марта 2022 г. № 14-1971-ТГ/22, от 25 марта 2022 г. № 14-2259-ТГ/22 и от 15 июня 2022 г. № 14-4958-АБ/22.</w:t>
      </w:r>
    </w:p>
    <w:sectPr w:rsidR="00AF17C1" w:rsidRPr="00BC4AF9" w:rsidSect="008B69E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881" w:rsidRDefault="00964881" w:rsidP="00882378">
      <w:pPr>
        <w:spacing w:after="0" w:line="240" w:lineRule="auto"/>
      </w:pPr>
      <w:r>
        <w:separator/>
      </w:r>
    </w:p>
  </w:endnote>
  <w:endnote w:type="continuationSeparator" w:id="0">
    <w:p w:rsidR="00964881" w:rsidRDefault="00964881" w:rsidP="0088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881" w:rsidRDefault="00964881" w:rsidP="00882378">
      <w:pPr>
        <w:spacing w:after="0" w:line="240" w:lineRule="auto"/>
      </w:pPr>
      <w:r>
        <w:separator/>
      </w:r>
    </w:p>
  </w:footnote>
  <w:footnote w:type="continuationSeparator" w:id="0">
    <w:p w:rsidR="00964881" w:rsidRDefault="00964881" w:rsidP="00882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102556"/>
      <w:docPartObj>
        <w:docPartGallery w:val="Page Numbers (Top of Page)"/>
        <w:docPartUnique/>
      </w:docPartObj>
    </w:sdtPr>
    <w:sdtEndPr/>
    <w:sdtContent>
      <w:p w:rsidR="008B69E0" w:rsidRDefault="008B69E0">
        <w:pPr>
          <w:pStyle w:val="a7"/>
          <w:jc w:val="center"/>
        </w:pPr>
        <w:r>
          <w:fldChar w:fldCharType="begin"/>
        </w:r>
        <w:r>
          <w:instrText>PAGE   \* MERGEFORMAT</w:instrText>
        </w:r>
        <w:r>
          <w:fldChar w:fldCharType="separate"/>
        </w:r>
        <w:r w:rsidR="00781F99">
          <w:rPr>
            <w:noProof/>
          </w:rPr>
          <w:t>6</w:t>
        </w:r>
        <w:r>
          <w:fldChar w:fldCharType="end"/>
        </w:r>
      </w:p>
    </w:sdtContent>
  </w:sdt>
  <w:p w:rsidR="008B69E0" w:rsidRDefault="008B69E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4286"/>
    <w:multiLevelType w:val="hybridMultilevel"/>
    <w:tmpl w:val="82D833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3F9474C"/>
    <w:multiLevelType w:val="hybridMultilevel"/>
    <w:tmpl w:val="21422DC8"/>
    <w:lvl w:ilvl="0" w:tplc="93B27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32"/>
    <w:rsid w:val="00015284"/>
    <w:rsid w:val="00053562"/>
    <w:rsid w:val="00057649"/>
    <w:rsid w:val="00067F04"/>
    <w:rsid w:val="0007005A"/>
    <w:rsid w:val="000A0859"/>
    <w:rsid w:val="000A3812"/>
    <w:rsid w:val="000B334C"/>
    <w:rsid w:val="000B587B"/>
    <w:rsid w:val="000D181B"/>
    <w:rsid w:val="000E2E32"/>
    <w:rsid w:val="000E4EA6"/>
    <w:rsid w:val="0010407F"/>
    <w:rsid w:val="00106E7B"/>
    <w:rsid w:val="00137A97"/>
    <w:rsid w:val="00156F86"/>
    <w:rsid w:val="0016706D"/>
    <w:rsid w:val="00167FFE"/>
    <w:rsid w:val="00181D7B"/>
    <w:rsid w:val="001A3B19"/>
    <w:rsid w:val="001C7827"/>
    <w:rsid w:val="001D0A82"/>
    <w:rsid w:val="001E7095"/>
    <w:rsid w:val="00200938"/>
    <w:rsid w:val="002356AA"/>
    <w:rsid w:val="00252DCF"/>
    <w:rsid w:val="00291603"/>
    <w:rsid w:val="002A2E65"/>
    <w:rsid w:val="002B7A33"/>
    <w:rsid w:val="00307360"/>
    <w:rsid w:val="00330E02"/>
    <w:rsid w:val="00336C9F"/>
    <w:rsid w:val="00362908"/>
    <w:rsid w:val="00363240"/>
    <w:rsid w:val="00376994"/>
    <w:rsid w:val="0039125D"/>
    <w:rsid w:val="003A60EE"/>
    <w:rsid w:val="003B70A1"/>
    <w:rsid w:val="003D4DF9"/>
    <w:rsid w:val="0047218C"/>
    <w:rsid w:val="004C5526"/>
    <w:rsid w:val="004D0CC8"/>
    <w:rsid w:val="004D4118"/>
    <w:rsid w:val="004E0D34"/>
    <w:rsid w:val="004F647E"/>
    <w:rsid w:val="0051586B"/>
    <w:rsid w:val="00515EFF"/>
    <w:rsid w:val="0053568A"/>
    <w:rsid w:val="00596434"/>
    <w:rsid w:val="005A0ED0"/>
    <w:rsid w:val="005B583E"/>
    <w:rsid w:val="005D3D64"/>
    <w:rsid w:val="005E05B1"/>
    <w:rsid w:val="006140FD"/>
    <w:rsid w:val="006236AF"/>
    <w:rsid w:val="006335DB"/>
    <w:rsid w:val="006436DD"/>
    <w:rsid w:val="006557D9"/>
    <w:rsid w:val="006607BC"/>
    <w:rsid w:val="00682FA3"/>
    <w:rsid w:val="006A1815"/>
    <w:rsid w:val="006A22E0"/>
    <w:rsid w:val="006F5DDF"/>
    <w:rsid w:val="00700F4D"/>
    <w:rsid w:val="00723AE4"/>
    <w:rsid w:val="0073146A"/>
    <w:rsid w:val="007333B7"/>
    <w:rsid w:val="007451BF"/>
    <w:rsid w:val="007500D6"/>
    <w:rsid w:val="00770C20"/>
    <w:rsid w:val="00781F99"/>
    <w:rsid w:val="007D2A07"/>
    <w:rsid w:val="007E2358"/>
    <w:rsid w:val="007F06F5"/>
    <w:rsid w:val="00802E1B"/>
    <w:rsid w:val="00882378"/>
    <w:rsid w:val="008A0138"/>
    <w:rsid w:val="008A466D"/>
    <w:rsid w:val="008A5B15"/>
    <w:rsid w:val="008B69E0"/>
    <w:rsid w:val="008C1BA0"/>
    <w:rsid w:val="008E25C1"/>
    <w:rsid w:val="00903B0B"/>
    <w:rsid w:val="00922BCF"/>
    <w:rsid w:val="0094043C"/>
    <w:rsid w:val="009413C3"/>
    <w:rsid w:val="00964261"/>
    <w:rsid w:val="00964881"/>
    <w:rsid w:val="009B5FD0"/>
    <w:rsid w:val="009C1BE1"/>
    <w:rsid w:val="00A030AC"/>
    <w:rsid w:val="00A0785A"/>
    <w:rsid w:val="00A25118"/>
    <w:rsid w:val="00A2709D"/>
    <w:rsid w:val="00AA0784"/>
    <w:rsid w:val="00AB1F73"/>
    <w:rsid w:val="00AC3B0D"/>
    <w:rsid w:val="00AC3C14"/>
    <w:rsid w:val="00AC3F3B"/>
    <w:rsid w:val="00AE73C5"/>
    <w:rsid w:val="00AF17C1"/>
    <w:rsid w:val="00B12A22"/>
    <w:rsid w:val="00B2052D"/>
    <w:rsid w:val="00B24D0B"/>
    <w:rsid w:val="00B36EA8"/>
    <w:rsid w:val="00B60B64"/>
    <w:rsid w:val="00B90CDF"/>
    <w:rsid w:val="00B95C37"/>
    <w:rsid w:val="00BC4AF9"/>
    <w:rsid w:val="00BD01A0"/>
    <w:rsid w:val="00BD2787"/>
    <w:rsid w:val="00BF4BDC"/>
    <w:rsid w:val="00C01F88"/>
    <w:rsid w:val="00C21FFD"/>
    <w:rsid w:val="00C22963"/>
    <w:rsid w:val="00C44C7D"/>
    <w:rsid w:val="00C47A00"/>
    <w:rsid w:val="00C5230A"/>
    <w:rsid w:val="00C7025C"/>
    <w:rsid w:val="00C73D41"/>
    <w:rsid w:val="00C779D9"/>
    <w:rsid w:val="00C95A95"/>
    <w:rsid w:val="00C974A5"/>
    <w:rsid w:val="00CA7BD3"/>
    <w:rsid w:val="00CC7A9B"/>
    <w:rsid w:val="00CE1074"/>
    <w:rsid w:val="00D00242"/>
    <w:rsid w:val="00D01909"/>
    <w:rsid w:val="00D109E3"/>
    <w:rsid w:val="00D11E0C"/>
    <w:rsid w:val="00D60CF1"/>
    <w:rsid w:val="00D70B29"/>
    <w:rsid w:val="00D83E68"/>
    <w:rsid w:val="00D936DE"/>
    <w:rsid w:val="00DB5B6D"/>
    <w:rsid w:val="00DC0B8F"/>
    <w:rsid w:val="00DD0EB1"/>
    <w:rsid w:val="00DD4345"/>
    <w:rsid w:val="00DD6B8C"/>
    <w:rsid w:val="00DF625A"/>
    <w:rsid w:val="00DF6C5A"/>
    <w:rsid w:val="00E04A77"/>
    <w:rsid w:val="00E101DF"/>
    <w:rsid w:val="00E15E42"/>
    <w:rsid w:val="00E666F9"/>
    <w:rsid w:val="00E8713A"/>
    <w:rsid w:val="00EA342E"/>
    <w:rsid w:val="00EA458C"/>
    <w:rsid w:val="00EB4964"/>
    <w:rsid w:val="00ED6FB9"/>
    <w:rsid w:val="00EF17C7"/>
    <w:rsid w:val="00F32F9C"/>
    <w:rsid w:val="00F92EBF"/>
    <w:rsid w:val="00F9534A"/>
    <w:rsid w:val="00FA4ADB"/>
    <w:rsid w:val="00FB7ED9"/>
    <w:rsid w:val="00FD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D1515-D0E3-48A6-8608-7222024E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
    <w:name w:val="Сетка таблицы3"/>
    <w:basedOn w:val="a1"/>
    <w:next w:val="ab"/>
    <w:uiPriority w:val="39"/>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aliases w:val="Формат таблиц для диплома,Леша,table general,Table,Таблица НЭО,Летша,Формат таблиц для диплома1,Леша1,Таблица НЭО2,Формат таблиц для диплома2,Леша2,Формат таблиц для диплома11,Леша11,Таблица НЭО3,Леша3,Леша12"/>
    <w:basedOn w:val="a1"/>
    <w:uiPriority w:val="39"/>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5E0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E4EA6"/>
    <w:pPr>
      <w:ind w:left="720"/>
      <w:contextualSpacing/>
    </w:pPr>
  </w:style>
  <w:style w:type="paragraph" w:styleId="ad">
    <w:name w:val="Subtitle"/>
    <w:basedOn w:val="a"/>
    <w:next w:val="a"/>
    <w:link w:val="ae"/>
    <w:uiPriority w:val="11"/>
    <w:qFormat/>
    <w:rsid w:val="00307360"/>
    <w:pPr>
      <w:keepNext/>
      <w:spacing w:before="40" w:after="0" w:line="276" w:lineRule="auto"/>
      <w:ind w:firstLine="709"/>
      <w:jc w:val="both"/>
    </w:pPr>
    <w:rPr>
      <w:rFonts w:ascii="Times New Roman" w:hAnsi="Times New Roman" w:cs="Times New Roman"/>
      <w:i/>
      <w:sz w:val="28"/>
      <w:szCs w:val="20"/>
    </w:rPr>
  </w:style>
  <w:style w:type="character" w:customStyle="1" w:styleId="ae">
    <w:name w:val="Подзаголовок Знак"/>
    <w:basedOn w:val="a0"/>
    <w:link w:val="ad"/>
    <w:uiPriority w:val="11"/>
    <w:rsid w:val="00307360"/>
    <w:rPr>
      <w:rFonts w:ascii="Times New Roman" w:hAnsi="Times New Roman" w:cs="Times New Roman"/>
      <w:i/>
      <w:sz w:val="28"/>
      <w:szCs w:val="20"/>
    </w:rPr>
  </w:style>
  <w:style w:type="paragraph" w:customStyle="1" w:styleId="af">
    <w:name w:val="Обычный ЭАМ"/>
    <w:basedOn w:val="a"/>
    <w:link w:val="af0"/>
    <w:rsid w:val="00AF17C1"/>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8"/>
      <w:lang w:eastAsia="ru-RU"/>
    </w:rPr>
  </w:style>
  <w:style w:type="character" w:customStyle="1" w:styleId="af0">
    <w:name w:val="Обычный ЭАМ Знак"/>
    <w:basedOn w:val="a0"/>
    <w:link w:val="af"/>
    <w:rsid w:val="00AF17C1"/>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4DC6F-8338-4019-B2E6-EC548EAD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1791</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Тимакова Ольга Ильинична</cp:lastModifiedBy>
  <cp:revision>2</cp:revision>
  <dcterms:created xsi:type="dcterms:W3CDTF">2024-03-18T09:55:00Z</dcterms:created>
  <dcterms:modified xsi:type="dcterms:W3CDTF">2024-03-18T09:55:00Z</dcterms:modified>
</cp:coreProperties>
</file>