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AD26E" w14:textId="77777777" w:rsidR="00986814" w:rsidRPr="00A31B86" w:rsidRDefault="00986814" w:rsidP="00AF1852">
      <w:pPr>
        <w:widowControl w:val="0"/>
        <w:overflowPunct/>
        <w:spacing w:line="240" w:lineRule="auto"/>
        <w:ind w:left="0" w:right="0" w:firstLine="0"/>
        <w:jc w:val="center"/>
        <w:textAlignment w:val="auto"/>
        <w:rPr>
          <w:rFonts w:cs="Arial"/>
          <w:b/>
          <w:szCs w:val="24"/>
        </w:rPr>
      </w:pPr>
    </w:p>
    <w:p w14:paraId="3C878F8B" w14:textId="77777777" w:rsidR="00986814" w:rsidRPr="00A31B86" w:rsidRDefault="00986814" w:rsidP="00AF1852">
      <w:pPr>
        <w:widowControl w:val="0"/>
        <w:overflowPunct/>
        <w:spacing w:line="240" w:lineRule="auto"/>
        <w:ind w:left="0" w:right="0" w:firstLine="0"/>
        <w:jc w:val="center"/>
        <w:textAlignment w:val="auto"/>
        <w:rPr>
          <w:rFonts w:cs="Arial"/>
          <w:b/>
          <w:szCs w:val="24"/>
        </w:rPr>
      </w:pPr>
    </w:p>
    <w:p w14:paraId="379A8936" w14:textId="77777777" w:rsidR="00986814" w:rsidRPr="00A31B86" w:rsidRDefault="00986814" w:rsidP="00AF1852">
      <w:pPr>
        <w:widowControl w:val="0"/>
        <w:overflowPunct/>
        <w:spacing w:line="240" w:lineRule="auto"/>
        <w:ind w:left="0" w:right="0" w:firstLine="0"/>
        <w:jc w:val="center"/>
        <w:textAlignment w:val="auto"/>
        <w:rPr>
          <w:rFonts w:cs="Arial"/>
          <w:b/>
          <w:szCs w:val="24"/>
        </w:rPr>
      </w:pPr>
    </w:p>
    <w:tbl>
      <w:tblPr>
        <w:tblW w:w="9356" w:type="dxa"/>
        <w:jc w:val="center"/>
        <w:tblLayout w:type="fixed"/>
        <w:tblCellMar>
          <w:left w:w="0" w:type="dxa"/>
          <w:right w:w="0" w:type="dxa"/>
        </w:tblCellMar>
        <w:tblLook w:val="0000" w:firstRow="0" w:lastRow="0" w:firstColumn="0" w:lastColumn="0" w:noHBand="0" w:noVBand="0"/>
      </w:tblPr>
      <w:tblGrid>
        <w:gridCol w:w="4678"/>
        <w:gridCol w:w="4678"/>
      </w:tblGrid>
      <w:tr w:rsidR="00A31B86" w:rsidRPr="00213A5D" w14:paraId="7FF2869A" w14:textId="77777777" w:rsidTr="00D02CAA">
        <w:trPr>
          <w:cantSplit/>
          <w:trHeight w:hRule="exact" w:val="397"/>
          <w:jc w:val="center"/>
        </w:trPr>
        <w:tc>
          <w:tcPr>
            <w:tcW w:w="9356" w:type="dxa"/>
            <w:gridSpan w:val="2"/>
            <w:tcBorders>
              <w:bottom w:val="double" w:sz="6" w:space="0" w:color="auto"/>
            </w:tcBorders>
          </w:tcPr>
          <w:p w14:paraId="3E8E9B8F" w14:textId="77777777" w:rsidR="00986814" w:rsidRPr="00213A5D" w:rsidRDefault="00986814" w:rsidP="00AF1852">
            <w:pPr>
              <w:widowControl w:val="0"/>
              <w:spacing w:line="240" w:lineRule="auto"/>
              <w:ind w:left="0" w:right="0" w:firstLine="0"/>
              <w:jc w:val="center"/>
              <w:rPr>
                <w:spacing w:val="40"/>
                <w:sz w:val="32"/>
                <w:szCs w:val="32"/>
              </w:rPr>
            </w:pPr>
            <w:r w:rsidRPr="00213A5D">
              <w:rPr>
                <w:spacing w:val="40"/>
                <w:sz w:val="32"/>
                <w:szCs w:val="32"/>
              </w:rPr>
              <w:t>СЧЕТНАЯ ПАЛАТА РОССИЙСКОЙ ФЕДЕРАЦИИ</w:t>
            </w:r>
          </w:p>
        </w:tc>
      </w:tr>
      <w:tr w:rsidR="00986814" w:rsidRPr="00213A5D" w14:paraId="53D8117D" w14:textId="77777777" w:rsidTr="00D02CAA">
        <w:trPr>
          <w:cantSplit/>
          <w:trHeight w:hRule="exact" w:val="567"/>
          <w:jc w:val="center"/>
        </w:trPr>
        <w:tc>
          <w:tcPr>
            <w:tcW w:w="4678" w:type="dxa"/>
            <w:tcBorders>
              <w:top w:val="double" w:sz="6" w:space="0" w:color="auto"/>
            </w:tcBorders>
          </w:tcPr>
          <w:p w14:paraId="1622B0FE" w14:textId="77777777" w:rsidR="00986814" w:rsidRPr="00213A5D" w:rsidRDefault="001C2304" w:rsidP="00AF1852">
            <w:pPr>
              <w:widowControl w:val="0"/>
              <w:spacing w:before="180" w:line="240" w:lineRule="auto"/>
              <w:ind w:left="113" w:right="0" w:firstLine="0"/>
              <w:jc w:val="left"/>
              <w:rPr>
                <w:sz w:val="22"/>
                <w:szCs w:val="22"/>
              </w:rPr>
            </w:pPr>
            <w:r w:rsidRPr="00213A5D">
              <w:rPr>
                <w:rFonts w:eastAsia="Times New Roman"/>
                <w:sz w:val="22"/>
                <w:szCs w:val="22"/>
              </w:rPr>
              <w:t>«___»</w:t>
            </w:r>
            <w:r w:rsidR="00253BA9" w:rsidRPr="00213A5D">
              <w:rPr>
                <w:rFonts w:eastAsia="Times New Roman"/>
                <w:sz w:val="22"/>
                <w:szCs w:val="22"/>
              </w:rPr>
              <w:t xml:space="preserve"> </w:t>
            </w:r>
            <w:r w:rsidRPr="00213A5D">
              <w:rPr>
                <w:rFonts w:eastAsia="Times New Roman"/>
                <w:sz w:val="22"/>
                <w:szCs w:val="22"/>
              </w:rPr>
              <w:t xml:space="preserve">_____________ </w:t>
            </w:r>
            <w:r w:rsidR="00253BA9" w:rsidRPr="00213A5D">
              <w:rPr>
                <w:rFonts w:eastAsia="Times New Roman"/>
                <w:sz w:val="22"/>
                <w:szCs w:val="22"/>
              </w:rPr>
              <w:t xml:space="preserve">2022 г. </w:t>
            </w:r>
            <w:r w:rsidR="00253BA9" w:rsidRPr="00213A5D">
              <w:rPr>
                <w:sz w:val="22"/>
                <w:szCs w:val="22"/>
              </w:rPr>
              <w:t>№ АСП-</w:t>
            </w:r>
            <w:r w:rsidRPr="00213A5D">
              <w:rPr>
                <w:sz w:val="22"/>
                <w:szCs w:val="22"/>
              </w:rPr>
              <w:t>___</w:t>
            </w:r>
            <w:r w:rsidR="00253BA9" w:rsidRPr="00213A5D">
              <w:rPr>
                <w:sz w:val="22"/>
                <w:szCs w:val="22"/>
              </w:rPr>
              <w:t>/24</w:t>
            </w:r>
          </w:p>
        </w:tc>
        <w:tc>
          <w:tcPr>
            <w:tcW w:w="4678" w:type="dxa"/>
            <w:tcBorders>
              <w:top w:val="double" w:sz="6" w:space="0" w:color="auto"/>
            </w:tcBorders>
          </w:tcPr>
          <w:p w14:paraId="4BECBB3E" w14:textId="77777777" w:rsidR="00986814" w:rsidRPr="00213A5D" w:rsidRDefault="00986814" w:rsidP="00AF1852">
            <w:pPr>
              <w:widowControl w:val="0"/>
              <w:spacing w:before="180" w:line="240" w:lineRule="auto"/>
              <w:ind w:left="0" w:right="113" w:firstLine="0"/>
              <w:rPr>
                <w:sz w:val="22"/>
                <w:szCs w:val="22"/>
              </w:rPr>
            </w:pPr>
          </w:p>
        </w:tc>
      </w:tr>
    </w:tbl>
    <w:p w14:paraId="2323CBB1" w14:textId="77777777" w:rsidR="00986814" w:rsidRPr="00213A5D" w:rsidRDefault="00986814" w:rsidP="00AF1852">
      <w:pPr>
        <w:widowControl w:val="0"/>
        <w:spacing w:line="240" w:lineRule="auto"/>
        <w:rPr>
          <w:sz w:val="20"/>
          <w:szCs w:val="20"/>
        </w:rPr>
      </w:pPr>
    </w:p>
    <w:p w14:paraId="2F4A12A1"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47B96F59"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2FF18066"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5ED7A571"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11F2B878"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279B93F5"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1687F8F8"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7967093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00D8D1D5"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18F685DD"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447A2C94"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1E0CFF1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r w:rsidRPr="00213A5D">
        <w:rPr>
          <w:b/>
          <w:sz w:val="32"/>
          <w:szCs w:val="32"/>
        </w:rPr>
        <w:t>Аналитическая записка</w:t>
      </w:r>
    </w:p>
    <w:p w14:paraId="73A23AD7" w14:textId="77777777" w:rsidR="00986814" w:rsidRPr="00213A5D" w:rsidRDefault="00986814" w:rsidP="00AF1852">
      <w:pPr>
        <w:widowControl w:val="0"/>
        <w:overflowPunct/>
        <w:spacing w:line="240" w:lineRule="auto"/>
        <w:ind w:left="0" w:right="0" w:firstLine="540"/>
        <w:jc w:val="center"/>
        <w:textAlignment w:val="auto"/>
        <w:rPr>
          <w:b/>
          <w:bCs/>
          <w:sz w:val="32"/>
          <w:szCs w:val="32"/>
          <w:lang w:eastAsia="en-US"/>
        </w:rPr>
      </w:pPr>
      <w:r w:rsidRPr="00213A5D">
        <w:rPr>
          <w:b/>
          <w:sz w:val="32"/>
          <w:szCs w:val="32"/>
        </w:rPr>
        <w:t xml:space="preserve">о ходе исполнения федерального бюджета и </w:t>
      </w:r>
      <w:r w:rsidRPr="00213A5D">
        <w:rPr>
          <w:b/>
          <w:bCs/>
          <w:sz w:val="32"/>
          <w:szCs w:val="32"/>
          <w:lang w:eastAsia="en-US"/>
        </w:rPr>
        <w:t>бюджетов государственных внебюджетных фондов Российской Федерации</w:t>
      </w:r>
    </w:p>
    <w:p w14:paraId="31B83A20"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r w:rsidRPr="00213A5D">
        <w:rPr>
          <w:b/>
          <w:sz w:val="32"/>
          <w:szCs w:val="32"/>
        </w:rPr>
        <w:t xml:space="preserve">за </w:t>
      </w:r>
      <w:r w:rsidR="00082F83" w:rsidRPr="00213A5D">
        <w:rPr>
          <w:b/>
          <w:sz w:val="32"/>
          <w:szCs w:val="32"/>
        </w:rPr>
        <w:t>январь – </w:t>
      </w:r>
      <w:r w:rsidR="001C2304" w:rsidRPr="00213A5D">
        <w:rPr>
          <w:b/>
          <w:sz w:val="32"/>
          <w:szCs w:val="32"/>
        </w:rPr>
        <w:t>сентябрь</w:t>
      </w:r>
      <w:r w:rsidR="008561A3" w:rsidRPr="00213A5D">
        <w:rPr>
          <w:b/>
          <w:sz w:val="32"/>
          <w:szCs w:val="32"/>
        </w:rPr>
        <w:t xml:space="preserve"> 20</w:t>
      </w:r>
      <w:r w:rsidR="001753ED" w:rsidRPr="00213A5D">
        <w:rPr>
          <w:b/>
          <w:sz w:val="32"/>
          <w:szCs w:val="32"/>
        </w:rPr>
        <w:t>2</w:t>
      </w:r>
      <w:r w:rsidR="00253BA9" w:rsidRPr="00213A5D">
        <w:rPr>
          <w:b/>
          <w:sz w:val="32"/>
          <w:szCs w:val="32"/>
        </w:rPr>
        <w:t>2</w:t>
      </w:r>
      <w:r w:rsidRPr="00213A5D">
        <w:rPr>
          <w:b/>
          <w:sz w:val="32"/>
          <w:szCs w:val="32"/>
        </w:rPr>
        <w:t> года</w:t>
      </w:r>
    </w:p>
    <w:p w14:paraId="039AA662"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5EEDBF6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61D4253C"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22A55AB2"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3C9527B8"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41219B81"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41577FA7"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54C8F0B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3BC6E45C"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5833756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492B3A3F"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1A665037"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622012D6"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037F992D"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5124095F"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32"/>
          <w:szCs w:val="32"/>
        </w:rPr>
      </w:pPr>
    </w:p>
    <w:p w14:paraId="6E8859ED" w14:textId="77777777" w:rsidR="00986814" w:rsidRPr="00213A5D" w:rsidRDefault="00986814" w:rsidP="00AF1852">
      <w:pPr>
        <w:widowControl w:val="0"/>
        <w:overflowPunct/>
        <w:autoSpaceDE/>
        <w:autoSpaceDN/>
        <w:adjustRightInd/>
        <w:spacing w:line="240" w:lineRule="auto"/>
        <w:ind w:left="0" w:right="0" w:firstLine="0"/>
        <w:textAlignment w:val="auto"/>
        <w:rPr>
          <w:b/>
          <w:sz w:val="32"/>
          <w:szCs w:val="32"/>
        </w:rPr>
      </w:pPr>
    </w:p>
    <w:p w14:paraId="7FEEBFD2" w14:textId="77777777" w:rsidR="00FE65F6" w:rsidRPr="00213A5D" w:rsidRDefault="00FE65F6" w:rsidP="00AF1852">
      <w:pPr>
        <w:widowControl w:val="0"/>
        <w:overflowPunct/>
        <w:autoSpaceDE/>
        <w:autoSpaceDN/>
        <w:adjustRightInd/>
        <w:spacing w:line="240" w:lineRule="auto"/>
        <w:ind w:left="0" w:right="0" w:firstLine="0"/>
        <w:jc w:val="center"/>
        <w:textAlignment w:val="auto"/>
        <w:rPr>
          <w:rFonts w:eastAsia="Times New Roman"/>
          <w:b/>
          <w:sz w:val="32"/>
          <w:szCs w:val="20"/>
        </w:rPr>
      </w:pPr>
    </w:p>
    <w:p w14:paraId="0541DCB2" w14:textId="77777777" w:rsidR="00FE65F6" w:rsidRPr="00213A5D" w:rsidRDefault="00FE65F6" w:rsidP="00AF1852">
      <w:pPr>
        <w:widowControl w:val="0"/>
        <w:overflowPunct/>
        <w:autoSpaceDE/>
        <w:autoSpaceDN/>
        <w:adjustRightInd/>
        <w:spacing w:line="240" w:lineRule="auto"/>
        <w:ind w:left="0" w:right="0" w:firstLine="0"/>
        <w:jc w:val="center"/>
        <w:textAlignment w:val="auto"/>
        <w:rPr>
          <w:rFonts w:eastAsia="Times New Roman"/>
          <w:b/>
          <w:sz w:val="32"/>
          <w:szCs w:val="20"/>
        </w:rPr>
      </w:pPr>
    </w:p>
    <w:p w14:paraId="4ABC407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rFonts w:eastAsia="Times New Roman"/>
          <w:b/>
          <w:sz w:val="32"/>
          <w:szCs w:val="20"/>
        </w:rPr>
      </w:pPr>
      <w:r w:rsidRPr="00213A5D">
        <w:rPr>
          <w:rFonts w:eastAsia="Times New Roman"/>
          <w:b/>
          <w:sz w:val="32"/>
          <w:szCs w:val="20"/>
        </w:rPr>
        <w:lastRenderedPageBreak/>
        <w:t>Содержание</w:t>
      </w:r>
    </w:p>
    <w:p w14:paraId="330166ED" w14:textId="77777777" w:rsidR="00986814" w:rsidRPr="00213A5D" w:rsidRDefault="00986814" w:rsidP="00AF1852">
      <w:pPr>
        <w:widowControl w:val="0"/>
        <w:overflowPunct/>
        <w:autoSpaceDE/>
        <w:autoSpaceDN/>
        <w:adjustRightInd/>
        <w:spacing w:line="240" w:lineRule="auto"/>
        <w:ind w:firstLine="0"/>
        <w:jc w:val="center"/>
        <w:textAlignment w:val="auto"/>
        <w:rPr>
          <w:rFonts w:eastAsia="Times New Roman"/>
          <w:b/>
        </w:rPr>
      </w:pPr>
    </w:p>
    <w:tbl>
      <w:tblPr>
        <w:tblW w:w="9990" w:type="dxa"/>
        <w:tblLayout w:type="fixed"/>
        <w:tblCellMar>
          <w:left w:w="56" w:type="dxa"/>
          <w:right w:w="56" w:type="dxa"/>
        </w:tblCellMar>
        <w:tblLook w:val="0000" w:firstRow="0" w:lastRow="0" w:firstColumn="0" w:lastColumn="0" w:noHBand="0" w:noVBand="0"/>
      </w:tblPr>
      <w:tblGrid>
        <w:gridCol w:w="765"/>
        <w:gridCol w:w="8505"/>
        <w:gridCol w:w="720"/>
      </w:tblGrid>
      <w:tr w:rsidR="006F0825" w:rsidRPr="00213A5D" w14:paraId="1BC01CEE" w14:textId="77777777" w:rsidTr="00055E0E">
        <w:tc>
          <w:tcPr>
            <w:tcW w:w="765" w:type="dxa"/>
          </w:tcPr>
          <w:p w14:paraId="57D66232"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4"/>
                <w:szCs w:val="24"/>
              </w:rPr>
            </w:pPr>
          </w:p>
        </w:tc>
        <w:tc>
          <w:tcPr>
            <w:tcW w:w="8505" w:type="dxa"/>
          </w:tcPr>
          <w:p w14:paraId="5681F8AC" w14:textId="77777777" w:rsidR="00986814" w:rsidRPr="00213A5D" w:rsidRDefault="008D0F32" w:rsidP="00AF1852">
            <w:pPr>
              <w:widowControl w:val="0"/>
              <w:overflowPunct/>
              <w:autoSpaceDE/>
              <w:autoSpaceDN/>
              <w:adjustRightInd/>
              <w:spacing w:line="240" w:lineRule="auto"/>
              <w:ind w:left="0" w:right="0" w:firstLine="0"/>
              <w:textAlignment w:val="auto"/>
              <w:rPr>
                <w:b/>
                <w:sz w:val="24"/>
                <w:szCs w:val="24"/>
              </w:rPr>
            </w:pPr>
            <w:r w:rsidRPr="00213A5D">
              <w:rPr>
                <w:b/>
                <w:sz w:val="24"/>
                <w:szCs w:val="24"/>
              </w:rPr>
              <w:t xml:space="preserve">Раздел </w:t>
            </w:r>
            <w:r w:rsidRPr="00213A5D">
              <w:rPr>
                <w:b/>
                <w:sz w:val="24"/>
                <w:szCs w:val="24"/>
                <w:lang w:val="en-US"/>
              </w:rPr>
              <w:t>I</w:t>
            </w:r>
            <w:r w:rsidRPr="00213A5D">
              <w:rPr>
                <w:b/>
                <w:sz w:val="24"/>
                <w:szCs w:val="24"/>
              </w:rPr>
              <w:t xml:space="preserve">. Анализ хода исполнения федерального бюджета за январь – </w:t>
            </w:r>
            <w:r w:rsidR="00A333BC" w:rsidRPr="00213A5D">
              <w:rPr>
                <w:b/>
                <w:sz w:val="24"/>
                <w:szCs w:val="24"/>
              </w:rPr>
              <w:t>сентябрь</w:t>
            </w:r>
            <w:r w:rsidRPr="00213A5D">
              <w:rPr>
                <w:b/>
                <w:sz w:val="24"/>
                <w:szCs w:val="24"/>
              </w:rPr>
              <w:t xml:space="preserve"> 20</w:t>
            </w:r>
            <w:r w:rsidR="001753ED" w:rsidRPr="00213A5D">
              <w:rPr>
                <w:b/>
                <w:sz w:val="24"/>
                <w:szCs w:val="24"/>
              </w:rPr>
              <w:t>2</w:t>
            </w:r>
            <w:r w:rsidR="00253BA9" w:rsidRPr="00213A5D">
              <w:rPr>
                <w:b/>
                <w:sz w:val="24"/>
                <w:szCs w:val="24"/>
              </w:rPr>
              <w:t>2</w:t>
            </w:r>
            <w:r w:rsidRPr="00213A5D">
              <w:rPr>
                <w:b/>
                <w:sz w:val="24"/>
                <w:szCs w:val="24"/>
              </w:rPr>
              <w:t xml:space="preserve"> года</w:t>
            </w:r>
          </w:p>
        </w:tc>
        <w:tc>
          <w:tcPr>
            <w:tcW w:w="720" w:type="dxa"/>
            <w:vAlign w:val="bottom"/>
          </w:tcPr>
          <w:p w14:paraId="532DB686" w14:textId="77777777" w:rsidR="00986814" w:rsidRPr="00213A5D" w:rsidRDefault="00986814" w:rsidP="00AF1852">
            <w:pPr>
              <w:widowControl w:val="0"/>
              <w:overflowPunct/>
              <w:autoSpaceDE/>
              <w:autoSpaceDN/>
              <w:adjustRightInd/>
              <w:spacing w:line="240" w:lineRule="auto"/>
              <w:ind w:left="0" w:right="0" w:firstLine="0"/>
              <w:textAlignment w:val="auto"/>
              <w:rPr>
                <w:b/>
                <w:bCs/>
                <w:sz w:val="24"/>
                <w:szCs w:val="24"/>
              </w:rPr>
            </w:pPr>
          </w:p>
        </w:tc>
      </w:tr>
      <w:tr w:rsidR="006F0825" w:rsidRPr="00213A5D" w14:paraId="03E04818" w14:textId="77777777" w:rsidTr="00055E0E">
        <w:trPr>
          <w:trHeight w:val="128"/>
        </w:trPr>
        <w:tc>
          <w:tcPr>
            <w:tcW w:w="765" w:type="dxa"/>
          </w:tcPr>
          <w:p w14:paraId="34229FAB"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2F54285B" w14:textId="77777777" w:rsidR="00986814" w:rsidRPr="00213A5D" w:rsidRDefault="00986814" w:rsidP="00A9691B">
            <w:pPr>
              <w:widowControl w:val="0"/>
              <w:overflowPunct/>
              <w:autoSpaceDE/>
              <w:autoSpaceDN/>
              <w:adjustRightInd/>
              <w:spacing w:line="240" w:lineRule="auto"/>
              <w:ind w:left="0" w:right="0" w:firstLine="0"/>
              <w:jc w:val="center"/>
              <w:textAlignment w:val="auto"/>
              <w:rPr>
                <w:b/>
                <w:sz w:val="20"/>
                <w:szCs w:val="20"/>
              </w:rPr>
            </w:pPr>
          </w:p>
        </w:tc>
        <w:tc>
          <w:tcPr>
            <w:tcW w:w="720" w:type="dxa"/>
            <w:vAlign w:val="bottom"/>
          </w:tcPr>
          <w:p w14:paraId="4A9CFE9A" w14:textId="77777777" w:rsidR="00986814" w:rsidRPr="00213A5D" w:rsidRDefault="00986814" w:rsidP="00AF1852">
            <w:pPr>
              <w:widowControl w:val="0"/>
              <w:overflowPunct/>
              <w:autoSpaceDE/>
              <w:autoSpaceDN/>
              <w:adjustRightInd/>
              <w:spacing w:line="240" w:lineRule="auto"/>
              <w:ind w:left="0" w:right="0" w:firstLine="0"/>
              <w:textAlignment w:val="auto"/>
              <w:rPr>
                <w:b/>
                <w:bCs/>
                <w:sz w:val="16"/>
                <w:szCs w:val="24"/>
              </w:rPr>
            </w:pPr>
          </w:p>
        </w:tc>
      </w:tr>
      <w:tr w:rsidR="006F0825" w:rsidRPr="00213A5D" w14:paraId="391871CB" w14:textId="77777777" w:rsidTr="00055E0E">
        <w:tc>
          <w:tcPr>
            <w:tcW w:w="765" w:type="dxa"/>
            <w:vAlign w:val="center"/>
          </w:tcPr>
          <w:p w14:paraId="4E3A74A5"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4"/>
                <w:szCs w:val="24"/>
              </w:rPr>
            </w:pPr>
          </w:p>
        </w:tc>
        <w:tc>
          <w:tcPr>
            <w:tcW w:w="8505" w:type="dxa"/>
          </w:tcPr>
          <w:p w14:paraId="3399B310" w14:textId="77777777" w:rsidR="00986814" w:rsidRPr="00213A5D" w:rsidRDefault="00986814" w:rsidP="00AF1852">
            <w:pPr>
              <w:widowControl w:val="0"/>
              <w:overflowPunct/>
              <w:autoSpaceDE/>
              <w:autoSpaceDN/>
              <w:adjustRightInd/>
              <w:spacing w:line="240" w:lineRule="auto"/>
              <w:ind w:left="0" w:right="0" w:firstLine="0"/>
              <w:textAlignment w:val="auto"/>
              <w:rPr>
                <w:b/>
                <w:sz w:val="24"/>
                <w:szCs w:val="24"/>
              </w:rPr>
            </w:pPr>
            <w:r w:rsidRPr="00213A5D">
              <w:rPr>
                <w:b/>
                <w:sz w:val="24"/>
                <w:szCs w:val="24"/>
              </w:rPr>
              <w:t>Ключевые выводы</w:t>
            </w:r>
          </w:p>
        </w:tc>
        <w:tc>
          <w:tcPr>
            <w:tcW w:w="720" w:type="dxa"/>
          </w:tcPr>
          <w:p w14:paraId="2A772D7A" w14:textId="77777777" w:rsidR="00986814" w:rsidRPr="00213A5D" w:rsidRDefault="006A1C99"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4</w:t>
            </w:r>
          </w:p>
        </w:tc>
      </w:tr>
      <w:tr w:rsidR="006F0825" w:rsidRPr="00213A5D" w14:paraId="2BF5310C" w14:textId="77777777" w:rsidTr="00055E0E">
        <w:trPr>
          <w:trHeight w:val="156"/>
        </w:trPr>
        <w:tc>
          <w:tcPr>
            <w:tcW w:w="765" w:type="dxa"/>
            <w:vAlign w:val="center"/>
          </w:tcPr>
          <w:p w14:paraId="79D255BB"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152FD0BC" w14:textId="77777777" w:rsidR="00986814" w:rsidRPr="00213A5D" w:rsidRDefault="00986814"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6667820E"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18"/>
                <w:szCs w:val="18"/>
              </w:rPr>
            </w:pPr>
          </w:p>
        </w:tc>
      </w:tr>
      <w:tr w:rsidR="006F0825" w:rsidRPr="00213A5D" w14:paraId="613F9C7B" w14:textId="77777777" w:rsidTr="00055E0E">
        <w:tc>
          <w:tcPr>
            <w:tcW w:w="765" w:type="dxa"/>
          </w:tcPr>
          <w:p w14:paraId="78676AA7"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1.</w:t>
            </w:r>
          </w:p>
        </w:tc>
        <w:tc>
          <w:tcPr>
            <w:tcW w:w="8505" w:type="dxa"/>
          </w:tcPr>
          <w:p w14:paraId="32738BF2" w14:textId="77777777" w:rsidR="00986814" w:rsidRPr="00213A5D" w:rsidRDefault="008D0F32" w:rsidP="00AF1852">
            <w:pPr>
              <w:widowControl w:val="0"/>
              <w:overflowPunct/>
              <w:autoSpaceDE/>
              <w:autoSpaceDN/>
              <w:adjustRightInd/>
              <w:spacing w:line="240" w:lineRule="auto"/>
              <w:ind w:left="0" w:right="0" w:firstLine="0"/>
              <w:textAlignment w:val="auto"/>
              <w:rPr>
                <w:b/>
                <w:sz w:val="24"/>
                <w:szCs w:val="24"/>
              </w:rPr>
            </w:pPr>
            <w:r w:rsidRPr="00213A5D">
              <w:rPr>
                <w:rFonts w:eastAsia="Times New Roman"/>
                <w:b/>
                <w:sz w:val="24"/>
                <w:szCs w:val="24"/>
              </w:rPr>
              <w:t>Макроэкономические условия исполнения федерального бюджета</w:t>
            </w:r>
          </w:p>
        </w:tc>
        <w:tc>
          <w:tcPr>
            <w:tcW w:w="720" w:type="dxa"/>
          </w:tcPr>
          <w:p w14:paraId="15CC7F62" w14:textId="77777777" w:rsidR="00986814" w:rsidRPr="00213A5D" w:rsidRDefault="006A1C99" w:rsidP="00AF1852">
            <w:pPr>
              <w:widowControl w:val="0"/>
              <w:overflowPunct/>
              <w:autoSpaceDE/>
              <w:autoSpaceDN/>
              <w:adjustRightInd/>
              <w:spacing w:line="240" w:lineRule="auto"/>
              <w:ind w:left="0" w:right="0" w:firstLine="0"/>
              <w:jc w:val="center"/>
              <w:textAlignment w:val="auto"/>
              <w:rPr>
                <w:b/>
                <w:bCs/>
                <w:position w:val="6"/>
                <w:sz w:val="24"/>
                <w:szCs w:val="24"/>
              </w:rPr>
            </w:pPr>
            <w:r w:rsidRPr="00213A5D">
              <w:rPr>
                <w:b/>
                <w:bCs/>
                <w:position w:val="6"/>
                <w:sz w:val="24"/>
                <w:szCs w:val="24"/>
              </w:rPr>
              <w:t>9</w:t>
            </w:r>
          </w:p>
        </w:tc>
      </w:tr>
      <w:tr w:rsidR="006F0825" w:rsidRPr="00213A5D" w14:paraId="7E7E5C5A" w14:textId="77777777" w:rsidTr="00055E0E">
        <w:trPr>
          <w:trHeight w:val="138"/>
        </w:trPr>
        <w:tc>
          <w:tcPr>
            <w:tcW w:w="765" w:type="dxa"/>
            <w:vAlign w:val="center"/>
          </w:tcPr>
          <w:p w14:paraId="6062F844"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vAlign w:val="center"/>
          </w:tcPr>
          <w:p w14:paraId="4FDB43E2"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29C8269F"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18"/>
                <w:szCs w:val="18"/>
              </w:rPr>
            </w:pPr>
          </w:p>
        </w:tc>
      </w:tr>
      <w:tr w:rsidR="006F0825" w:rsidRPr="00213A5D" w14:paraId="1BD9C672" w14:textId="77777777" w:rsidTr="00055E0E">
        <w:tc>
          <w:tcPr>
            <w:tcW w:w="765" w:type="dxa"/>
          </w:tcPr>
          <w:p w14:paraId="50A9EA8C"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2.</w:t>
            </w:r>
          </w:p>
        </w:tc>
        <w:tc>
          <w:tcPr>
            <w:tcW w:w="8505" w:type="dxa"/>
          </w:tcPr>
          <w:p w14:paraId="2197CE75" w14:textId="77777777" w:rsidR="00986814" w:rsidRPr="00213A5D" w:rsidRDefault="008D0F32" w:rsidP="00AF1852">
            <w:pPr>
              <w:widowControl w:val="0"/>
              <w:overflowPunct/>
              <w:autoSpaceDE/>
              <w:autoSpaceDN/>
              <w:adjustRightInd/>
              <w:spacing w:line="240" w:lineRule="auto"/>
              <w:ind w:left="0" w:right="0" w:firstLine="0"/>
              <w:textAlignment w:val="auto"/>
              <w:rPr>
                <w:rFonts w:eastAsia="Times New Roman"/>
                <w:b/>
                <w:sz w:val="24"/>
                <w:szCs w:val="24"/>
              </w:rPr>
            </w:pPr>
            <w:r w:rsidRPr="00213A5D">
              <w:rPr>
                <w:rFonts w:eastAsia="Times New Roman"/>
                <w:b/>
                <w:sz w:val="24"/>
                <w:szCs w:val="24"/>
              </w:rPr>
              <w:t>Анализ исполнения основных характеристик федерального бюджета</w:t>
            </w:r>
          </w:p>
        </w:tc>
        <w:tc>
          <w:tcPr>
            <w:tcW w:w="720" w:type="dxa"/>
          </w:tcPr>
          <w:p w14:paraId="57D830ED" w14:textId="77777777" w:rsidR="00986814" w:rsidRPr="00213A5D" w:rsidRDefault="00C32036" w:rsidP="006A1C99">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1</w:t>
            </w:r>
            <w:r w:rsidR="006A1C99" w:rsidRPr="00213A5D">
              <w:rPr>
                <w:b/>
                <w:bCs/>
                <w:sz w:val="24"/>
                <w:szCs w:val="24"/>
              </w:rPr>
              <w:t>3</w:t>
            </w:r>
          </w:p>
        </w:tc>
      </w:tr>
      <w:tr w:rsidR="006F0825" w:rsidRPr="00213A5D" w14:paraId="1E2CDEBD" w14:textId="77777777" w:rsidTr="00055E0E">
        <w:trPr>
          <w:trHeight w:val="130"/>
        </w:trPr>
        <w:tc>
          <w:tcPr>
            <w:tcW w:w="765" w:type="dxa"/>
          </w:tcPr>
          <w:p w14:paraId="0C9ECECC"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4370113F" w14:textId="77777777" w:rsidR="00986814" w:rsidRPr="00213A5D" w:rsidRDefault="00986814"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3D526D0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16"/>
                <w:szCs w:val="16"/>
              </w:rPr>
            </w:pPr>
          </w:p>
        </w:tc>
      </w:tr>
      <w:tr w:rsidR="006F0825" w:rsidRPr="00213A5D" w14:paraId="5BEE0494" w14:textId="77777777" w:rsidTr="00055E0E">
        <w:trPr>
          <w:trHeight w:val="231"/>
        </w:trPr>
        <w:tc>
          <w:tcPr>
            <w:tcW w:w="765" w:type="dxa"/>
          </w:tcPr>
          <w:p w14:paraId="3A69B98C"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3.</w:t>
            </w:r>
          </w:p>
        </w:tc>
        <w:tc>
          <w:tcPr>
            <w:tcW w:w="8505" w:type="dxa"/>
          </w:tcPr>
          <w:p w14:paraId="0500153E" w14:textId="77777777" w:rsidR="00986814" w:rsidRPr="00213A5D" w:rsidRDefault="008D0F32" w:rsidP="00AF1852">
            <w:pPr>
              <w:widowControl w:val="0"/>
              <w:overflowPunct/>
              <w:autoSpaceDE/>
              <w:autoSpaceDN/>
              <w:adjustRightInd/>
              <w:spacing w:line="240" w:lineRule="auto"/>
              <w:ind w:left="0" w:right="0" w:firstLine="0"/>
              <w:textAlignment w:val="auto"/>
              <w:rPr>
                <w:b/>
                <w:sz w:val="24"/>
                <w:szCs w:val="24"/>
              </w:rPr>
            </w:pPr>
            <w:r w:rsidRPr="00213A5D">
              <w:rPr>
                <w:b/>
                <w:sz w:val="24"/>
                <w:szCs w:val="24"/>
              </w:rPr>
              <w:t>Анализ исполнения доходов федерального бюджета</w:t>
            </w:r>
          </w:p>
        </w:tc>
        <w:tc>
          <w:tcPr>
            <w:tcW w:w="720" w:type="dxa"/>
          </w:tcPr>
          <w:p w14:paraId="6F3B95C8" w14:textId="77777777" w:rsidR="00986814" w:rsidRPr="00213A5D" w:rsidRDefault="00AC4DE9" w:rsidP="006A1C99">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1</w:t>
            </w:r>
            <w:r w:rsidR="006A1C99" w:rsidRPr="00213A5D">
              <w:rPr>
                <w:b/>
                <w:bCs/>
                <w:sz w:val="24"/>
                <w:szCs w:val="24"/>
              </w:rPr>
              <w:t>8</w:t>
            </w:r>
          </w:p>
        </w:tc>
      </w:tr>
      <w:tr w:rsidR="006F0825" w:rsidRPr="00213A5D" w14:paraId="6C7C52B6" w14:textId="77777777" w:rsidTr="00055E0E">
        <w:trPr>
          <w:trHeight w:val="164"/>
        </w:trPr>
        <w:tc>
          <w:tcPr>
            <w:tcW w:w="765" w:type="dxa"/>
          </w:tcPr>
          <w:p w14:paraId="55328365"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0DE7AD89" w14:textId="77777777" w:rsidR="00986814" w:rsidRPr="00213A5D" w:rsidRDefault="00986814"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0BF90D35"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16"/>
                <w:szCs w:val="16"/>
              </w:rPr>
            </w:pPr>
          </w:p>
        </w:tc>
      </w:tr>
      <w:tr w:rsidR="006F0825" w:rsidRPr="00213A5D" w14:paraId="7860AFE2" w14:textId="77777777" w:rsidTr="00055E0E">
        <w:trPr>
          <w:trHeight w:val="174"/>
        </w:trPr>
        <w:tc>
          <w:tcPr>
            <w:tcW w:w="765" w:type="dxa"/>
          </w:tcPr>
          <w:p w14:paraId="787E139D"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4.</w:t>
            </w:r>
          </w:p>
        </w:tc>
        <w:tc>
          <w:tcPr>
            <w:tcW w:w="8505" w:type="dxa"/>
          </w:tcPr>
          <w:p w14:paraId="17C365D9" w14:textId="77777777" w:rsidR="00986814" w:rsidRPr="00213A5D" w:rsidRDefault="008D0F32" w:rsidP="00AF1852">
            <w:pPr>
              <w:widowControl w:val="0"/>
              <w:overflowPunct/>
              <w:autoSpaceDE/>
              <w:autoSpaceDN/>
              <w:adjustRightInd/>
              <w:spacing w:line="240" w:lineRule="auto"/>
              <w:ind w:left="0" w:right="0" w:firstLine="0"/>
              <w:textAlignment w:val="auto"/>
              <w:rPr>
                <w:rFonts w:eastAsia="Times New Roman"/>
                <w:b/>
                <w:sz w:val="24"/>
                <w:szCs w:val="24"/>
              </w:rPr>
            </w:pPr>
            <w:r w:rsidRPr="00213A5D">
              <w:rPr>
                <w:rFonts w:eastAsia="Times New Roman"/>
                <w:b/>
                <w:sz w:val="24"/>
                <w:szCs w:val="24"/>
              </w:rPr>
              <w:t>Анализ исполнения расходов федерального бюджета</w:t>
            </w:r>
          </w:p>
        </w:tc>
        <w:tc>
          <w:tcPr>
            <w:tcW w:w="720" w:type="dxa"/>
          </w:tcPr>
          <w:p w14:paraId="3E26FA64" w14:textId="77777777" w:rsidR="00986814" w:rsidRPr="00213A5D" w:rsidRDefault="00C32036" w:rsidP="006A1C99">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3</w:t>
            </w:r>
            <w:r w:rsidR="006A1C99" w:rsidRPr="00213A5D">
              <w:rPr>
                <w:b/>
                <w:bCs/>
                <w:sz w:val="24"/>
                <w:szCs w:val="24"/>
              </w:rPr>
              <w:t>3</w:t>
            </w:r>
          </w:p>
        </w:tc>
      </w:tr>
      <w:tr w:rsidR="006F0825" w:rsidRPr="00213A5D" w14:paraId="06C3F7B4" w14:textId="77777777" w:rsidTr="00055E0E">
        <w:trPr>
          <w:trHeight w:val="143"/>
        </w:trPr>
        <w:tc>
          <w:tcPr>
            <w:tcW w:w="765" w:type="dxa"/>
          </w:tcPr>
          <w:p w14:paraId="30485DF9"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6349F072" w14:textId="77777777" w:rsidR="00986814" w:rsidRPr="00213A5D" w:rsidRDefault="00986814"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269A413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16"/>
                <w:szCs w:val="16"/>
              </w:rPr>
            </w:pPr>
          </w:p>
        </w:tc>
      </w:tr>
      <w:tr w:rsidR="006F0825" w:rsidRPr="00213A5D" w14:paraId="7EC1EB90" w14:textId="77777777" w:rsidTr="00055E0E">
        <w:trPr>
          <w:trHeight w:val="265"/>
        </w:trPr>
        <w:tc>
          <w:tcPr>
            <w:tcW w:w="765" w:type="dxa"/>
          </w:tcPr>
          <w:p w14:paraId="27027462" w14:textId="77777777" w:rsidR="00986814" w:rsidRPr="00213A5D" w:rsidRDefault="00726D7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5</w:t>
            </w:r>
            <w:r w:rsidR="00986814" w:rsidRPr="00213A5D">
              <w:rPr>
                <w:b/>
                <w:bCs/>
                <w:sz w:val="24"/>
                <w:szCs w:val="24"/>
              </w:rPr>
              <w:t>.</w:t>
            </w:r>
          </w:p>
        </w:tc>
        <w:tc>
          <w:tcPr>
            <w:tcW w:w="8505" w:type="dxa"/>
          </w:tcPr>
          <w:p w14:paraId="24378BBA" w14:textId="77777777" w:rsidR="00986814" w:rsidRPr="00213A5D" w:rsidRDefault="008D0F32" w:rsidP="00AF1852">
            <w:pPr>
              <w:widowControl w:val="0"/>
              <w:overflowPunct/>
              <w:autoSpaceDE/>
              <w:autoSpaceDN/>
              <w:adjustRightInd/>
              <w:spacing w:line="240" w:lineRule="auto"/>
              <w:ind w:left="0" w:right="0" w:firstLine="0"/>
              <w:textAlignment w:val="auto"/>
              <w:rPr>
                <w:b/>
                <w:sz w:val="24"/>
                <w:szCs w:val="24"/>
              </w:rPr>
            </w:pPr>
            <w:r w:rsidRPr="00213A5D">
              <w:rPr>
                <w:b/>
                <w:bCs/>
                <w:sz w:val="24"/>
                <w:szCs w:val="24"/>
              </w:rPr>
              <w:t>Анализ исполнения бюджетных ассигнований на реализацию государственных программ Российской Федерации</w:t>
            </w:r>
          </w:p>
        </w:tc>
        <w:tc>
          <w:tcPr>
            <w:tcW w:w="720" w:type="dxa"/>
          </w:tcPr>
          <w:p w14:paraId="01F813EC" w14:textId="77777777" w:rsidR="00726D76" w:rsidRPr="00213A5D" w:rsidRDefault="00726D76" w:rsidP="00AF1852">
            <w:pPr>
              <w:widowControl w:val="0"/>
              <w:overflowPunct/>
              <w:autoSpaceDE/>
              <w:autoSpaceDN/>
              <w:adjustRightInd/>
              <w:spacing w:line="240" w:lineRule="auto"/>
              <w:ind w:left="0" w:right="0" w:firstLine="0"/>
              <w:jc w:val="center"/>
              <w:textAlignment w:val="auto"/>
              <w:rPr>
                <w:b/>
                <w:bCs/>
                <w:sz w:val="24"/>
                <w:szCs w:val="24"/>
              </w:rPr>
            </w:pPr>
          </w:p>
          <w:p w14:paraId="252104CD" w14:textId="77777777" w:rsidR="00986814" w:rsidRPr="00213A5D" w:rsidRDefault="00C3203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5</w:t>
            </w:r>
            <w:r w:rsidR="00605B75" w:rsidRPr="00213A5D">
              <w:rPr>
                <w:b/>
                <w:bCs/>
                <w:sz w:val="24"/>
                <w:szCs w:val="24"/>
              </w:rPr>
              <w:t>2</w:t>
            </w:r>
          </w:p>
        </w:tc>
      </w:tr>
      <w:tr w:rsidR="008D0F32" w:rsidRPr="00213A5D" w14:paraId="55805D66" w14:textId="77777777" w:rsidTr="00055E0E">
        <w:trPr>
          <w:trHeight w:val="225"/>
        </w:trPr>
        <w:tc>
          <w:tcPr>
            <w:tcW w:w="765" w:type="dxa"/>
          </w:tcPr>
          <w:p w14:paraId="7076E1E7"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1BC55F05" w14:textId="77777777" w:rsidR="00986814" w:rsidRPr="00213A5D" w:rsidRDefault="00986814"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7DDAFF48"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16"/>
                <w:szCs w:val="16"/>
              </w:rPr>
            </w:pPr>
          </w:p>
        </w:tc>
      </w:tr>
      <w:tr w:rsidR="008D0F32" w:rsidRPr="00213A5D" w14:paraId="5647A6B6" w14:textId="77777777" w:rsidTr="00055E0E">
        <w:trPr>
          <w:trHeight w:val="237"/>
        </w:trPr>
        <w:tc>
          <w:tcPr>
            <w:tcW w:w="765" w:type="dxa"/>
          </w:tcPr>
          <w:p w14:paraId="388BEFCA" w14:textId="77777777" w:rsidR="00D20FB5" w:rsidRPr="00213A5D" w:rsidRDefault="008202A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6</w:t>
            </w:r>
            <w:r w:rsidR="00D20FB5" w:rsidRPr="00213A5D">
              <w:rPr>
                <w:b/>
                <w:bCs/>
                <w:sz w:val="24"/>
                <w:szCs w:val="24"/>
              </w:rPr>
              <w:t>.</w:t>
            </w:r>
          </w:p>
        </w:tc>
        <w:tc>
          <w:tcPr>
            <w:tcW w:w="8505" w:type="dxa"/>
          </w:tcPr>
          <w:p w14:paraId="6B7AFB23" w14:textId="77777777" w:rsidR="00D20FB5" w:rsidRPr="00213A5D" w:rsidRDefault="008D0F32" w:rsidP="00AF1852">
            <w:pPr>
              <w:widowControl w:val="0"/>
              <w:overflowPunct/>
              <w:autoSpaceDE/>
              <w:autoSpaceDN/>
              <w:adjustRightInd/>
              <w:spacing w:line="240" w:lineRule="auto"/>
              <w:ind w:left="0" w:right="0" w:firstLine="0"/>
              <w:textAlignment w:val="auto"/>
              <w:rPr>
                <w:b/>
                <w:sz w:val="24"/>
                <w:szCs w:val="24"/>
              </w:rPr>
            </w:pPr>
            <w:r w:rsidRPr="00213A5D">
              <w:rPr>
                <w:b/>
                <w:sz w:val="24"/>
                <w:szCs w:val="24"/>
              </w:rPr>
              <w:t>Анализ исполнения расходов главными распорядителями средств федерального бюджета</w:t>
            </w:r>
          </w:p>
        </w:tc>
        <w:tc>
          <w:tcPr>
            <w:tcW w:w="720" w:type="dxa"/>
          </w:tcPr>
          <w:p w14:paraId="680156FD" w14:textId="77777777" w:rsidR="004B5C06" w:rsidRPr="00213A5D" w:rsidRDefault="004B5C06" w:rsidP="00AF1852">
            <w:pPr>
              <w:widowControl w:val="0"/>
              <w:overflowPunct/>
              <w:autoSpaceDE/>
              <w:autoSpaceDN/>
              <w:adjustRightInd/>
              <w:spacing w:line="240" w:lineRule="auto"/>
              <w:ind w:left="0" w:right="0" w:firstLine="0"/>
              <w:jc w:val="center"/>
              <w:textAlignment w:val="auto"/>
              <w:rPr>
                <w:b/>
                <w:bCs/>
                <w:sz w:val="24"/>
                <w:szCs w:val="24"/>
              </w:rPr>
            </w:pPr>
          </w:p>
          <w:p w14:paraId="167309B2" w14:textId="77777777" w:rsidR="00D20FB5" w:rsidRPr="00213A5D" w:rsidRDefault="00C3203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6</w:t>
            </w:r>
            <w:r w:rsidR="00605B75" w:rsidRPr="00213A5D">
              <w:rPr>
                <w:b/>
                <w:bCs/>
                <w:sz w:val="24"/>
                <w:szCs w:val="24"/>
              </w:rPr>
              <w:t>3</w:t>
            </w:r>
          </w:p>
        </w:tc>
      </w:tr>
      <w:tr w:rsidR="008D0F32" w:rsidRPr="00213A5D" w14:paraId="05F547EB" w14:textId="77777777" w:rsidTr="00055E0E">
        <w:trPr>
          <w:trHeight w:val="237"/>
        </w:trPr>
        <w:tc>
          <w:tcPr>
            <w:tcW w:w="765" w:type="dxa"/>
          </w:tcPr>
          <w:p w14:paraId="15D38509" w14:textId="77777777" w:rsidR="00D20FB5" w:rsidRPr="00213A5D" w:rsidRDefault="00D20FB5"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6EA379D7" w14:textId="77777777" w:rsidR="00D20FB5" w:rsidRPr="00213A5D" w:rsidRDefault="00D20FB5"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10862991" w14:textId="77777777" w:rsidR="00D20FB5" w:rsidRPr="00213A5D" w:rsidRDefault="00D20FB5" w:rsidP="00AF1852">
            <w:pPr>
              <w:widowControl w:val="0"/>
              <w:overflowPunct/>
              <w:autoSpaceDE/>
              <w:autoSpaceDN/>
              <w:adjustRightInd/>
              <w:spacing w:line="240" w:lineRule="auto"/>
              <w:ind w:left="0" w:right="0" w:firstLine="0"/>
              <w:jc w:val="center"/>
              <w:textAlignment w:val="auto"/>
              <w:rPr>
                <w:b/>
                <w:bCs/>
                <w:sz w:val="24"/>
                <w:szCs w:val="24"/>
              </w:rPr>
            </w:pPr>
          </w:p>
        </w:tc>
      </w:tr>
      <w:tr w:rsidR="008D0F32" w:rsidRPr="00213A5D" w14:paraId="0A216026" w14:textId="77777777" w:rsidTr="00055E0E">
        <w:trPr>
          <w:trHeight w:val="237"/>
        </w:trPr>
        <w:tc>
          <w:tcPr>
            <w:tcW w:w="765" w:type="dxa"/>
          </w:tcPr>
          <w:p w14:paraId="2DD4A43D" w14:textId="77777777" w:rsidR="00986814" w:rsidRPr="00213A5D" w:rsidRDefault="008202A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7</w:t>
            </w:r>
            <w:r w:rsidR="00986814" w:rsidRPr="00213A5D">
              <w:rPr>
                <w:b/>
                <w:bCs/>
                <w:sz w:val="24"/>
                <w:szCs w:val="24"/>
              </w:rPr>
              <w:t>.</w:t>
            </w:r>
          </w:p>
        </w:tc>
        <w:tc>
          <w:tcPr>
            <w:tcW w:w="8505" w:type="dxa"/>
          </w:tcPr>
          <w:p w14:paraId="51AD95E5" w14:textId="77777777" w:rsidR="00986814" w:rsidRPr="00213A5D" w:rsidRDefault="008D0F32" w:rsidP="00AF1852">
            <w:pPr>
              <w:widowControl w:val="0"/>
              <w:overflowPunct/>
              <w:autoSpaceDE/>
              <w:autoSpaceDN/>
              <w:adjustRightInd/>
              <w:spacing w:line="240" w:lineRule="auto"/>
              <w:ind w:left="0" w:right="0" w:firstLine="0"/>
              <w:textAlignment w:val="auto"/>
              <w:rPr>
                <w:b/>
                <w:sz w:val="24"/>
                <w:szCs w:val="24"/>
              </w:rPr>
            </w:pPr>
            <w:r w:rsidRPr="00213A5D">
              <w:rPr>
                <w:b/>
                <w:sz w:val="24"/>
                <w:szCs w:val="24"/>
              </w:rPr>
              <w:t>Анализ формирования и использования резервных средств, включая резервный фонд Правительства Российской Федерации</w:t>
            </w:r>
          </w:p>
        </w:tc>
        <w:tc>
          <w:tcPr>
            <w:tcW w:w="720" w:type="dxa"/>
          </w:tcPr>
          <w:p w14:paraId="0B5C54F3" w14:textId="77777777" w:rsidR="004B5C06" w:rsidRPr="00213A5D" w:rsidRDefault="004B5C06" w:rsidP="00AF1852">
            <w:pPr>
              <w:widowControl w:val="0"/>
              <w:overflowPunct/>
              <w:autoSpaceDE/>
              <w:autoSpaceDN/>
              <w:adjustRightInd/>
              <w:spacing w:line="240" w:lineRule="auto"/>
              <w:ind w:left="0" w:right="0" w:firstLine="0"/>
              <w:jc w:val="center"/>
              <w:textAlignment w:val="auto"/>
              <w:rPr>
                <w:b/>
                <w:bCs/>
                <w:sz w:val="24"/>
                <w:szCs w:val="24"/>
              </w:rPr>
            </w:pPr>
          </w:p>
          <w:p w14:paraId="7033B130" w14:textId="77777777" w:rsidR="00986814" w:rsidRPr="00213A5D" w:rsidRDefault="00C32036" w:rsidP="006A1C99">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7</w:t>
            </w:r>
            <w:r w:rsidR="006A1C99" w:rsidRPr="00213A5D">
              <w:rPr>
                <w:b/>
                <w:bCs/>
                <w:sz w:val="24"/>
                <w:szCs w:val="24"/>
              </w:rPr>
              <w:t>7</w:t>
            </w:r>
          </w:p>
        </w:tc>
      </w:tr>
      <w:tr w:rsidR="008D0F32" w:rsidRPr="00213A5D" w14:paraId="5C6A4768" w14:textId="77777777" w:rsidTr="00794976">
        <w:trPr>
          <w:trHeight w:val="146"/>
        </w:trPr>
        <w:tc>
          <w:tcPr>
            <w:tcW w:w="765" w:type="dxa"/>
          </w:tcPr>
          <w:p w14:paraId="3D723FE3"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6309B623" w14:textId="77777777" w:rsidR="00986814" w:rsidRPr="00213A5D" w:rsidRDefault="00986814"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069D5248" w14:textId="77777777" w:rsidR="00986814" w:rsidRPr="00213A5D" w:rsidRDefault="00986814" w:rsidP="00AF1852">
            <w:pPr>
              <w:widowControl w:val="0"/>
              <w:overflowPunct/>
              <w:autoSpaceDE/>
              <w:autoSpaceDN/>
              <w:adjustRightInd/>
              <w:spacing w:line="240" w:lineRule="auto"/>
              <w:ind w:left="0" w:right="0" w:firstLine="0"/>
              <w:jc w:val="center"/>
              <w:textAlignment w:val="auto"/>
              <w:rPr>
                <w:b/>
                <w:sz w:val="16"/>
                <w:szCs w:val="16"/>
              </w:rPr>
            </w:pPr>
          </w:p>
        </w:tc>
      </w:tr>
      <w:tr w:rsidR="008D0F32" w:rsidRPr="00213A5D" w14:paraId="4DD1490B" w14:textId="77777777" w:rsidTr="00794976">
        <w:trPr>
          <w:trHeight w:val="269"/>
        </w:trPr>
        <w:tc>
          <w:tcPr>
            <w:tcW w:w="765" w:type="dxa"/>
          </w:tcPr>
          <w:p w14:paraId="744243E9" w14:textId="77777777" w:rsidR="00726D76" w:rsidRPr="00213A5D" w:rsidRDefault="008202A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8</w:t>
            </w:r>
            <w:r w:rsidR="00726D76" w:rsidRPr="00213A5D">
              <w:rPr>
                <w:b/>
                <w:bCs/>
                <w:sz w:val="24"/>
                <w:szCs w:val="24"/>
              </w:rPr>
              <w:t>.</w:t>
            </w:r>
          </w:p>
        </w:tc>
        <w:tc>
          <w:tcPr>
            <w:tcW w:w="8505" w:type="dxa"/>
          </w:tcPr>
          <w:p w14:paraId="2D342766" w14:textId="77777777" w:rsidR="00726D76" w:rsidRPr="00213A5D" w:rsidRDefault="008D0F32" w:rsidP="00AF1852">
            <w:pPr>
              <w:widowControl w:val="0"/>
              <w:overflowPunct/>
              <w:autoSpaceDE/>
              <w:autoSpaceDN/>
              <w:adjustRightInd/>
              <w:spacing w:line="240" w:lineRule="auto"/>
              <w:ind w:left="0" w:right="0" w:firstLine="0"/>
              <w:textAlignment w:val="auto"/>
              <w:rPr>
                <w:b/>
                <w:sz w:val="24"/>
                <w:szCs w:val="24"/>
              </w:rPr>
            </w:pPr>
            <w:r w:rsidRPr="00213A5D">
              <w:rPr>
                <w:b/>
                <w:sz w:val="24"/>
                <w:szCs w:val="24"/>
              </w:rPr>
              <w:t>Анализ исполнения бюджетных ассигнований на предоставление межбюджетных трансфертов бюджетам субъектов Российской Федерации</w:t>
            </w:r>
          </w:p>
        </w:tc>
        <w:tc>
          <w:tcPr>
            <w:tcW w:w="720" w:type="dxa"/>
          </w:tcPr>
          <w:p w14:paraId="44D8414E" w14:textId="77777777" w:rsidR="00A65B35" w:rsidRPr="00213A5D" w:rsidRDefault="00A65B35" w:rsidP="00AF1852">
            <w:pPr>
              <w:widowControl w:val="0"/>
              <w:overflowPunct/>
              <w:autoSpaceDE/>
              <w:autoSpaceDN/>
              <w:adjustRightInd/>
              <w:spacing w:line="240" w:lineRule="auto"/>
              <w:ind w:left="0" w:right="0" w:firstLine="0"/>
              <w:jc w:val="center"/>
              <w:textAlignment w:val="auto"/>
              <w:rPr>
                <w:b/>
                <w:bCs/>
                <w:sz w:val="24"/>
                <w:szCs w:val="24"/>
              </w:rPr>
            </w:pPr>
          </w:p>
          <w:p w14:paraId="374E3197" w14:textId="77777777" w:rsidR="00726D76" w:rsidRPr="00213A5D" w:rsidRDefault="00C32036" w:rsidP="006A1C99">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8</w:t>
            </w:r>
            <w:r w:rsidR="006A1C99" w:rsidRPr="00213A5D">
              <w:rPr>
                <w:b/>
                <w:bCs/>
                <w:sz w:val="24"/>
                <w:szCs w:val="24"/>
              </w:rPr>
              <w:t>4</w:t>
            </w:r>
          </w:p>
        </w:tc>
      </w:tr>
      <w:tr w:rsidR="008D0F32" w:rsidRPr="00213A5D" w14:paraId="529A7988" w14:textId="77777777" w:rsidTr="00794976">
        <w:trPr>
          <w:trHeight w:val="269"/>
        </w:trPr>
        <w:tc>
          <w:tcPr>
            <w:tcW w:w="765" w:type="dxa"/>
          </w:tcPr>
          <w:p w14:paraId="70EC0701" w14:textId="77777777" w:rsidR="00726D76" w:rsidRPr="00213A5D" w:rsidRDefault="00726D76"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29D5B3AA" w14:textId="77777777" w:rsidR="00726D76" w:rsidRPr="00213A5D" w:rsidRDefault="00726D76" w:rsidP="00A9691B">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065A55CE" w14:textId="77777777" w:rsidR="00726D76" w:rsidRPr="00213A5D" w:rsidRDefault="00726D76" w:rsidP="00AF1852">
            <w:pPr>
              <w:widowControl w:val="0"/>
              <w:overflowPunct/>
              <w:autoSpaceDE/>
              <w:autoSpaceDN/>
              <w:adjustRightInd/>
              <w:spacing w:line="240" w:lineRule="auto"/>
              <w:ind w:left="0" w:right="0" w:firstLine="0"/>
              <w:jc w:val="center"/>
              <w:textAlignment w:val="auto"/>
              <w:rPr>
                <w:b/>
                <w:bCs/>
                <w:sz w:val="24"/>
                <w:szCs w:val="24"/>
              </w:rPr>
            </w:pPr>
          </w:p>
        </w:tc>
      </w:tr>
      <w:tr w:rsidR="008D0F32" w:rsidRPr="00213A5D" w14:paraId="6C8F2773" w14:textId="77777777" w:rsidTr="00794976">
        <w:trPr>
          <w:trHeight w:val="269"/>
        </w:trPr>
        <w:tc>
          <w:tcPr>
            <w:tcW w:w="765" w:type="dxa"/>
          </w:tcPr>
          <w:p w14:paraId="0B352B01" w14:textId="77777777" w:rsidR="00986814" w:rsidRPr="00213A5D" w:rsidRDefault="008202A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9</w:t>
            </w:r>
            <w:r w:rsidR="00986814" w:rsidRPr="00213A5D">
              <w:rPr>
                <w:b/>
                <w:bCs/>
                <w:sz w:val="24"/>
                <w:szCs w:val="24"/>
              </w:rPr>
              <w:t>.</w:t>
            </w:r>
          </w:p>
        </w:tc>
        <w:tc>
          <w:tcPr>
            <w:tcW w:w="8505" w:type="dxa"/>
          </w:tcPr>
          <w:p w14:paraId="11BF7B9D" w14:textId="77777777" w:rsidR="00986814" w:rsidRPr="00213A5D" w:rsidRDefault="008D0F32" w:rsidP="00AF1852">
            <w:pPr>
              <w:widowControl w:val="0"/>
              <w:overflowPunct/>
              <w:autoSpaceDE/>
              <w:autoSpaceDN/>
              <w:adjustRightInd/>
              <w:spacing w:line="240" w:lineRule="auto"/>
              <w:ind w:left="0" w:right="0" w:firstLine="0"/>
              <w:textAlignment w:val="auto"/>
              <w:rPr>
                <w:b/>
                <w:sz w:val="24"/>
                <w:szCs w:val="24"/>
              </w:rPr>
            </w:pPr>
            <w:r w:rsidRPr="00213A5D">
              <w:rPr>
                <w:b/>
                <w:sz w:val="24"/>
                <w:szCs w:val="24"/>
              </w:rPr>
              <w:t>Анализ Федеральной адресной инвестиционной программы на 20</w:t>
            </w:r>
            <w:r w:rsidR="001753ED" w:rsidRPr="00213A5D">
              <w:rPr>
                <w:b/>
                <w:sz w:val="24"/>
                <w:szCs w:val="24"/>
              </w:rPr>
              <w:t>2</w:t>
            </w:r>
            <w:r w:rsidR="00253BA9" w:rsidRPr="00213A5D">
              <w:rPr>
                <w:b/>
                <w:sz w:val="24"/>
                <w:szCs w:val="24"/>
              </w:rPr>
              <w:t>2</w:t>
            </w:r>
            <w:r w:rsidRPr="00213A5D">
              <w:rPr>
                <w:b/>
                <w:sz w:val="24"/>
                <w:szCs w:val="24"/>
              </w:rPr>
              <w:t xml:space="preserve"> год и </w:t>
            </w:r>
            <w:r w:rsidR="00E53E30" w:rsidRPr="00213A5D">
              <w:rPr>
                <w:b/>
                <w:sz w:val="24"/>
                <w:szCs w:val="24"/>
              </w:rPr>
              <w:br/>
            </w:r>
            <w:r w:rsidRPr="00213A5D">
              <w:rPr>
                <w:b/>
                <w:sz w:val="24"/>
                <w:szCs w:val="24"/>
              </w:rPr>
              <w:t>на плановый период 202</w:t>
            </w:r>
            <w:r w:rsidR="00253BA9" w:rsidRPr="00213A5D">
              <w:rPr>
                <w:b/>
                <w:sz w:val="24"/>
                <w:szCs w:val="24"/>
              </w:rPr>
              <w:t>3</w:t>
            </w:r>
            <w:r w:rsidRPr="00213A5D">
              <w:rPr>
                <w:b/>
                <w:sz w:val="24"/>
                <w:szCs w:val="24"/>
              </w:rPr>
              <w:t xml:space="preserve"> и 202</w:t>
            </w:r>
            <w:r w:rsidR="00253BA9" w:rsidRPr="00213A5D">
              <w:rPr>
                <w:b/>
                <w:sz w:val="24"/>
                <w:szCs w:val="24"/>
              </w:rPr>
              <w:t>4</w:t>
            </w:r>
            <w:r w:rsidRPr="00213A5D">
              <w:rPr>
                <w:b/>
                <w:sz w:val="24"/>
                <w:szCs w:val="24"/>
              </w:rPr>
              <w:t xml:space="preserve"> годов</w:t>
            </w:r>
          </w:p>
        </w:tc>
        <w:tc>
          <w:tcPr>
            <w:tcW w:w="720" w:type="dxa"/>
          </w:tcPr>
          <w:p w14:paraId="79F5FCFD" w14:textId="77777777" w:rsidR="00726D76" w:rsidRPr="00213A5D" w:rsidRDefault="00726D76" w:rsidP="00AF1852">
            <w:pPr>
              <w:widowControl w:val="0"/>
              <w:overflowPunct/>
              <w:autoSpaceDE/>
              <w:autoSpaceDN/>
              <w:adjustRightInd/>
              <w:spacing w:line="240" w:lineRule="auto"/>
              <w:ind w:left="0" w:right="0" w:firstLine="0"/>
              <w:jc w:val="center"/>
              <w:textAlignment w:val="auto"/>
              <w:rPr>
                <w:b/>
                <w:bCs/>
                <w:sz w:val="24"/>
                <w:szCs w:val="24"/>
              </w:rPr>
            </w:pPr>
          </w:p>
          <w:p w14:paraId="6CF776A2" w14:textId="77777777" w:rsidR="00986814" w:rsidRPr="00213A5D" w:rsidRDefault="006A1C99"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89</w:t>
            </w:r>
          </w:p>
        </w:tc>
      </w:tr>
      <w:tr w:rsidR="008D0F32" w:rsidRPr="00213A5D" w14:paraId="1787D72E" w14:textId="77777777" w:rsidTr="00794976">
        <w:trPr>
          <w:trHeight w:val="269"/>
        </w:trPr>
        <w:tc>
          <w:tcPr>
            <w:tcW w:w="765" w:type="dxa"/>
          </w:tcPr>
          <w:p w14:paraId="4AE957B2" w14:textId="77777777" w:rsidR="002E79B4" w:rsidRPr="00213A5D" w:rsidRDefault="002E79B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74D6174F" w14:textId="77777777" w:rsidR="002E79B4" w:rsidRPr="00213A5D" w:rsidRDefault="002E79B4"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5449351F" w14:textId="77777777" w:rsidR="002E79B4" w:rsidRPr="00213A5D" w:rsidRDefault="002E79B4" w:rsidP="00AF1852">
            <w:pPr>
              <w:widowControl w:val="0"/>
              <w:overflowPunct/>
              <w:autoSpaceDE/>
              <w:autoSpaceDN/>
              <w:adjustRightInd/>
              <w:spacing w:line="240" w:lineRule="auto"/>
              <w:ind w:left="0" w:right="0" w:firstLine="0"/>
              <w:jc w:val="center"/>
              <w:textAlignment w:val="auto"/>
              <w:rPr>
                <w:b/>
                <w:bCs/>
                <w:sz w:val="24"/>
                <w:szCs w:val="24"/>
              </w:rPr>
            </w:pPr>
          </w:p>
        </w:tc>
      </w:tr>
      <w:tr w:rsidR="008D0F32" w:rsidRPr="00213A5D" w14:paraId="323CC199" w14:textId="77777777" w:rsidTr="00794976">
        <w:trPr>
          <w:trHeight w:val="201"/>
        </w:trPr>
        <w:tc>
          <w:tcPr>
            <w:tcW w:w="765" w:type="dxa"/>
          </w:tcPr>
          <w:p w14:paraId="5156CF49" w14:textId="77777777" w:rsidR="00986814" w:rsidRPr="00213A5D" w:rsidRDefault="008202A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10</w:t>
            </w:r>
            <w:r w:rsidR="00986814" w:rsidRPr="00213A5D">
              <w:rPr>
                <w:b/>
                <w:bCs/>
                <w:sz w:val="24"/>
                <w:szCs w:val="24"/>
              </w:rPr>
              <w:t>.</w:t>
            </w:r>
          </w:p>
        </w:tc>
        <w:tc>
          <w:tcPr>
            <w:tcW w:w="8505" w:type="dxa"/>
          </w:tcPr>
          <w:p w14:paraId="0A5AF99E" w14:textId="77777777" w:rsidR="00986814" w:rsidRPr="00213A5D" w:rsidRDefault="008D0F32" w:rsidP="00AF1852">
            <w:pPr>
              <w:widowControl w:val="0"/>
              <w:overflowPunct/>
              <w:autoSpaceDE/>
              <w:autoSpaceDN/>
              <w:adjustRightInd/>
              <w:spacing w:line="240" w:lineRule="auto"/>
              <w:ind w:left="0" w:right="0" w:firstLine="0"/>
              <w:textAlignment w:val="auto"/>
              <w:rPr>
                <w:b/>
                <w:bCs/>
                <w:sz w:val="24"/>
                <w:szCs w:val="24"/>
              </w:rPr>
            </w:pPr>
            <w:r w:rsidRPr="00213A5D">
              <w:rPr>
                <w:b/>
                <w:bCs/>
                <w:sz w:val="24"/>
                <w:szCs w:val="24"/>
              </w:rPr>
              <w:t>Анализ исполнения бюджетных ассигнований на предоставление взносов в уставные капиталы, имущественные взносы Российской Федерации, субсидии юридическим лицам</w:t>
            </w:r>
          </w:p>
        </w:tc>
        <w:tc>
          <w:tcPr>
            <w:tcW w:w="720" w:type="dxa"/>
          </w:tcPr>
          <w:p w14:paraId="5F26CA8F" w14:textId="77777777" w:rsidR="00726D76" w:rsidRPr="00213A5D" w:rsidRDefault="00726D76" w:rsidP="00AF1852">
            <w:pPr>
              <w:widowControl w:val="0"/>
              <w:overflowPunct/>
              <w:autoSpaceDE/>
              <w:autoSpaceDN/>
              <w:adjustRightInd/>
              <w:spacing w:line="240" w:lineRule="auto"/>
              <w:ind w:left="0" w:right="0" w:firstLine="0"/>
              <w:jc w:val="center"/>
              <w:textAlignment w:val="auto"/>
              <w:rPr>
                <w:b/>
                <w:bCs/>
                <w:sz w:val="24"/>
                <w:szCs w:val="24"/>
              </w:rPr>
            </w:pPr>
          </w:p>
          <w:p w14:paraId="6E35B793" w14:textId="77777777" w:rsidR="00A65B35" w:rsidRPr="00213A5D" w:rsidRDefault="00A65B35" w:rsidP="00AF1852">
            <w:pPr>
              <w:widowControl w:val="0"/>
              <w:overflowPunct/>
              <w:autoSpaceDE/>
              <w:autoSpaceDN/>
              <w:adjustRightInd/>
              <w:spacing w:line="240" w:lineRule="auto"/>
              <w:ind w:left="0" w:right="0" w:firstLine="0"/>
              <w:jc w:val="center"/>
              <w:textAlignment w:val="auto"/>
              <w:rPr>
                <w:b/>
                <w:bCs/>
                <w:sz w:val="24"/>
                <w:szCs w:val="24"/>
              </w:rPr>
            </w:pPr>
          </w:p>
          <w:p w14:paraId="1DD06443" w14:textId="77777777" w:rsidR="00986814" w:rsidRPr="00213A5D" w:rsidRDefault="00C32036"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10</w:t>
            </w:r>
            <w:r w:rsidR="00605B75" w:rsidRPr="00213A5D">
              <w:rPr>
                <w:b/>
                <w:bCs/>
                <w:sz w:val="24"/>
                <w:szCs w:val="24"/>
              </w:rPr>
              <w:t>1</w:t>
            </w:r>
          </w:p>
          <w:p w14:paraId="5EA31A81" w14:textId="77777777" w:rsidR="007A442F" w:rsidRPr="00213A5D" w:rsidRDefault="007A442F" w:rsidP="00AF1852">
            <w:pPr>
              <w:widowControl w:val="0"/>
              <w:overflowPunct/>
              <w:autoSpaceDE/>
              <w:autoSpaceDN/>
              <w:adjustRightInd/>
              <w:spacing w:line="240" w:lineRule="auto"/>
              <w:ind w:left="0" w:right="0" w:firstLine="0"/>
              <w:jc w:val="center"/>
              <w:textAlignment w:val="auto"/>
              <w:rPr>
                <w:b/>
                <w:bCs/>
                <w:sz w:val="24"/>
                <w:szCs w:val="24"/>
              </w:rPr>
            </w:pPr>
          </w:p>
        </w:tc>
      </w:tr>
      <w:tr w:rsidR="00A73C05" w:rsidRPr="00213A5D" w14:paraId="546A7DA1" w14:textId="77777777" w:rsidTr="00794976">
        <w:trPr>
          <w:trHeight w:val="201"/>
        </w:trPr>
        <w:tc>
          <w:tcPr>
            <w:tcW w:w="765" w:type="dxa"/>
          </w:tcPr>
          <w:p w14:paraId="5FDBD249" w14:textId="77777777" w:rsidR="00A73C05" w:rsidRPr="00213A5D" w:rsidRDefault="00A73C05" w:rsidP="00AF1852">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11.</w:t>
            </w:r>
          </w:p>
        </w:tc>
        <w:tc>
          <w:tcPr>
            <w:tcW w:w="8505" w:type="dxa"/>
          </w:tcPr>
          <w:p w14:paraId="0F1F3435" w14:textId="77777777" w:rsidR="00A73C05" w:rsidRPr="00213A5D" w:rsidRDefault="00A73C05" w:rsidP="00AF1852">
            <w:pPr>
              <w:widowControl w:val="0"/>
              <w:overflowPunct/>
              <w:autoSpaceDE/>
              <w:autoSpaceDN/>
              <w:adjustRightInd/>
              <w:spacing w:line="240" w:lineRule="auto"/>
              <w:ind w:left="0" w:right="0" w:firstLine="0"/>
              <w:textAlignment w:val="auto"/>
              <w:rPr>
                <w:b/>
                <w:bCs/>
                <w:sz w:val="24"/>
                <w:szCs w:val="24"/>
              </w:rPr>
            </w:pPr>
            <w:r w:rsidRPr="00213A5D">
              <w:rPr>
                <w:b/>
                <w:bCs/>
                <w:sz w:val="24"/>
                <w:szCs w:val="24"/>
              </w:rPr>
              <w:t>Источники финансирования дефицита федерального бюджета, Фонд национального благосостояния, государственный долг Российской Федерации</w:t>
            </w:r>
          </w:p>
        </w:tc>
        <w:tc>
          <w:tcPr>
            <w:tcW w:w="720" w:type="dxa"/>
          </w:tcPr>
          <w:p w14:paraId="3B228821" w14:textId="77777777" w:rsidR="00A73C05" w:rsidRPr="00213A5D" w:rsidRDefault="00A73C05" w:rsidP="00AF1852">
            <w:pPr>
              <w:widowControl w:val="0"/>
              <w:overflowPunct/>
              <w:autoSpaceDE/>
              <w:autoSpaceDN/>
              <w:adjustRightInd/>
              <w:spacing w:line="240" w:lineRule="auto"/>
              <w:ind w:left="0" w:right="0" w:firstLine="0"/>
              <w:jc w:val="center"/>
              <w:textAlignment w:val="auto"/>
              <w:rPr>
                <w:b/>
                <w:bCs/>
                <w:sz w:val="24"/>
                <w:szCs w:val="24"/>
              </w:rPr>
            </w:pPr>
          </w:p>
          <w:p w14:paraId="36CD40A4" w14:textId="77777777" w:rsidR="00A73C05" w:rsidRPr="00213A5D" w:rsidRDefault="00A73C05" w:rsidP="00AF1852">
            <w:pPr>
              <w:widowControl w:val="0"/>
              <w:overflowPunct/>
              <w:autoSpaceDE/>
              <w:autoSpaceDN/>
              <w:adjustRightInd/>
              <w:spacing w:line="240" w:lineRule="auto"/>
              <w:ind w:left="0" w:right="0" w:firstLine="0"/>
              <w:jc w:val="center"/>
              <w:textAlignment w:val="auto"/>
              <w:rPr>
                <w:b/>
                <w:bCs/>
                <w:sz w:val="24"/>
                <w:szCs w:val="24"/>
              </w:rPr>
            </w:pPr>
          </w:p>
          <w:p w14:paraId="7B35A792" w14:textId="77777777" w:rsidR="00567B94" w:rsidRPr="00213A5D" w:rsidRDefault="00A73C05" w:rsidP="006A1C99">
            <w:pPr>
              <w:widowControl w:val="0"/>
              <w:overflowPunct/>
              <w:autoSpaceDE/>
              <w:autoSpaceDN/>
              <w:adjustRightInd/>
              <w:spacing w:line="240" w:lineRule="auto"/>
              <w:ind w:left="0" w:right="0" w:firstLine="0"/>
              <w:jc w:val="center"/>
              <w:textAlignment w:val="auto"/>
              <w:rPr>
                <w:b/>
                <w:bCs/>
                <w:sz w:val="24"/>
                <w:szCs w:val="24"/>
              </w:rPr>
            </w:pPr>
            <w:r w:rsidRPr="00213A5D">
              <w:rPr>
                <w:b/>
                <w:bCs/>
                <w:sz w:val="24"/>
                <w:szCs w:val="24"/>
              </w:rPr>
              <w:t>11</w:t>
            </w:r>
            <w:r w:rsidR="006A1C99" w:rsidRPr="00213A5D">
              <w:rPr>
                <w:b/>
                <w:bCs/>
                <w:sz w:val="24"/>
                <w:szCs w:val="24"/>
              </w:rPr>
              <w:t>0</w:t>
            </w:r>
          </w:p>
        </w:tc>
      </w:tr>
      <w:tr w:rsidR="00567B94" w:rsidRPr="00213A5D" w14:paraId="53F9B25C" w14:textId="77777777" w:rsidTr="00794976">
        <w:trPr>
          <w:trHeight w:val="201"/>
        </w:trPr>
        <w:tc>
          <w:tcPr>
            <w:tcW w:w="765" w:type="dxa"/>
          </w:tcPr>
          <w:p w14:paraId="1462716B" w14:textId="77777777" w:rsidR="00567B94" w:rsidRPr="00213A5D" w:rsidRDefault="00567B94" w:rsidP="00AF1852">
            <w:pPr>
              <w:widowControl w:val="0"/>
              <w:overflowPunct/>
              <w:autoSpaceDE/>
              <w:autoSpaceDN/>
              <w:adjustRightInd/>
              <w:spacing w:line="240" w:lineRule="auto"/>
              <w:ind w:left="0" w:right="0" w:firstLine="0"/>
              <w:jc w:val="center"/>
              <w:textAlignment w:val="auto"/>
              <w:rPr>
                <w:b/>
                <w:bCs/>
                <w:sz w:val="20"/>
                <w:szCs w:val="20"/>
              </w:rPr>
            </w:pPr>
          </w:p>
        </w:tc>
        <w:tc>
          <w:tcPr>
            <w:tcW w:w="8505" w:type="dxa"/>
          </w:tcPr>
          <w:p w14:paraId="1FA5C6E0" w14:textId="77777777" w:rsidR="00567B94" w:rsidRPr="00213A5D" w:rsidRDefault="00567B94" w:rsidP="00C57F3E">
            <w:pPr>
              <w:widowControl w:val="0"/>
              <w:overflowPunct/>
              <w:autoSpaceDE/>
              <w:autoSpaceDN/>
              <w:adjustRightInd/>
              <w:spacing w:line="240" w:lineRule="auto"/>
              <w:ind w:left="0" w:right="0" w:firstLine="0"/>
              <w:jc w:val="center"/>
              <w:textAlignment w:val="auto"/>
              <w:rPr>
                <w:b/>
                <w:bCs/>
                <w:sz w:val="20"/>
                <w:szCs w:val="20"/>
              </w:rPr>
            </w:pPr>
          </w:p>
        </w:tc>
        <w:tc>
          <w:tcPr>
            <w:tcW w:w="720" w:type="dxa"/>
          </w:tcPr>
          <w:p w14:paraId="35CB5146" w14:textId="77777777" w:rsidR="00567B94" w:rsidRPr="00213A5D" w:rsidRDefault="00567B94" w:rsidP="00AF1852">
            <w:pPr>
              <w:widowControl w:val="0"/>
              <w:overflowPunct/>
              <w:autoSpaceDE/>
              <w:autoSpaceDN/>
              <w:adjustRightInd/>
              <w:spacing w:line="240" w:lineRule="auto"/>
              <w:ind w:left="0" w:right="0" w:firstLine="0"/>
              <w:jc w:val="center"/>
              <w:textAlignment w:val="auto"/>
              <w:rPr>
                <w:b/>
                <w:bCs/>
                <w:sz w:val="16"/>
                <w:szCs w:val="16"/>
              </w:rPr>
            </w:pPr>
          </w:p>
        </w:tc>
      </w:tr>
    </w:tbl>
    <w:p w14:paraId="482861F1" w14:textId="77777777" w:rsidR="00986814" w:rsidRPr="00213A5D" w:rsidRDefault="00FD0A86" w:rsidP="00AF1852">
      <w:pPr>
        <w:widowControl w:val="0"/>
        <w:spacing w:line="240" w:lineRule="auto"/>
        <w:ind w:left="0" w:right="0" w:firstLine="0"/>
        <w:jc w:val="center"/>
        <w:rPr>
          <w:rFonts w:cs="Arial"/>
          <w:b/>
          <w:szCs w:val="24"/>
        </w:rPr>
      </w:pPr>
      <w:r w:rsidRPr="00213A5D">
        <w:br w:type="page"/>
      </w:r>
      <w:r w:rsidR="00986814" w:rsidRPr="00213A5D">
        <w:rPr>
          <w:rFonts w:cs="Arial"/>
          <w:b/>
          <w:szCs w:val="24"/>
        </w:rPr>
        <w:lastRenderedPageBreak/>
        <w:t xml:space="preserve">Раздел </w:t>
      </w:r>
      <w:r w:rsidR="00986814" w:rsidRPr="00213A5D">
        <w:rPr>
          <w:rFonts w:cs="Arial"/>
          <w:b/>
          <w:szCs w:val="24"/>
          <w:lang w:val="en-US"/>
        </w:rPr>
        <w:t>I</w:t>
      </w:r>
      <w:r w:rsidR="00986814" w:rsidRPr="00213A5D">
        <w:rPr>
          <w:rFonts w:cs="Arial"/>
          <w:b/>
          <w:szCs w:val="24"/>
        </w:rPr>
        <w:t>. Анализ хода исполнения федерального бюджета</w:t>
      </w:r>
    </w:p>
    <w:p w14:paraId="5042361D" w14:textId="77777777" w:rsidR="00986814" w:rsidRPr="00213A5D" w:rsidRDefault="008561A3" w:rsidP="00AF1852">
      <w:pPr>
        <w:widowControl w:val="0"/>
        <w:overflowPunct/>
        <w:spacing w:line="240" w:lineRule="auto"/>
        <w:ind w:left="0" w:right="0" w:firstLine="0"/>
        <w:jc w:val="center"/>
        <w:textAlignment w:val="auto"/>
        <w:rPr>
          <w:rFonts w:cs="Arial"/>
          <w:b/>
          <w:szCs w:val="24"/>
        </w:rPr>
      </w:pPr>
      <w:r w:rsidRPr="00213A5D">
        <w:rPr>
          <w:rFonts w:cs="Arial"/>
          <w:b/>
          <w:szCs w:val="24"/>
        </w:rPr>
        <w:t xml:space="preserve">за январь </w:t>
      </w:r>
      <w:r w:rsidR="00174C4B" w:rsidRPr="00213A5D">
        <w:rPr>
          <w:rFonts w:cs="Arial"/>
          <w:b/>
          <w:szCs w:val="24"/>
        </w:rPr>
        <w:t>–</w:t>
      </w:r>
      <w:r w:rsidRPr="00213A5D">
        <w:rPr>
          <w:rFonts w:cs="Arial"/>
          <w:b/>
          <w:szCs w:val="24"/>
        </w:rPr>
        <w:t xml:space="preserve"> </w:t>
      </w:r>
      <w:r w:rsidR="00C36781" w:rsidRPr="00213A5D">
        <w:rPr>
          <w:rFonts w:cs="Arial"/>
          <w:b/>
          <w:szCs w:val="24"/>
        </w:rPr>
        <w:t>сентябрь</w:t>
      </w:r>
      <w:r w:rsidRPr="00213A5D">
        <w:rPr>
          <w:rFonts w:cs="Arial"/>
          <w:b/>
          <w:szCs w:val="24"/>
        </w:rPr>
        <w:t xml:space="preserve"> 20</w:t>
      </w:r>
      <w:r w:rsidR="001753ED" w:rsidRPr="00213A5D">
        <w:rPr>
          <w:rFonts w:cs="Arial"/>
          <w:b/>
          <w:szCs w:val="24"/>
        </w:rPr>
        <w:t>2</w:t>
      </w:r>
      <w:r w:rsidR="00A068E4" w:rsidRPr="00213A5D">
        <w:rPr>
          <w:rFonts w:cs="Arial"/>
          <w:b/>
          <w:szCs w:val="24"/>
        </w:rPr>
        <w:t>2</w:t>
      </w:r>
      <w:r w:rsidR="00986814" w:rsidRPr="00213A5D">
        <w:rPr>
          <w:rFonts w:cs="Arial"/>
          <w:b/>
          <w:szCs w:val="24"/>
        </w:rPr>
        <w:t xml:space="preserve"> года</w:t>
      </w:r>
    </w:p>
    <w:p w14:paraId="1722CF07" w14:textId="77777777" w:rsidR="0090563F" w:rsidRPr="002B75D5" w:rsidRDefault="0090563F" w:rsidP="00CD0D39">
      <w:pPr>
        <w:widowControl w:val="0"/>
        <w:overflowPunct/>
        <w:spacing w:line="240" w:lineRule="auto"/>
        <w:ind w:left="0" w:right="0" w:firstLine="0"/>
        <w:jc w:val="center"/>
        <w:textAlignment w:val="auto"/>
        <w:rPr>
          <w:rFonts w:cs="Arial"/>
          <w:b/>
          <w:sz w:val="12"/>
          <w:szCs w:val="12"/>
        </w:rPr>
      </w:pPr>
    </w:p>
    <w:p w14:paraId="2D6D06E0" w14:textId="77777777" w:rsidR="004517D3" w:rsidRPr="00213A5D" w:rsidRDefault="004517D3" w:rsidP="00AF1852">
      <w:pPr>
        <w:widowControl w:val="0"/>
        <w:overflowPunct/>
        <w:autoSpaceDE/>
        <w:autoSpaceDN/>
        <w:adjustRightInd/>
        <w:spacing w:line="240" w:lineRule="auto"/>
        <w:ind w:left="0" w:right="0" w:firstLine="0"/>
        <w:jc w:val="center"/>
        <w:textAlignment w:val="auto"/>
        <w:rPr>
          <w:b/>
          <w:bCs/>
          <w:color w:val="000000"/>
          <w:szCs w:val="26"/>
          <w:lang w:bidi="en-US"/>
        </w:rPr>
      </w:pPr>
      <w:r w:rsidRPr="00213A5D">
        <w:rPr>
          <w:b/>
          <w:bCs/>
          <w:color w:val="000000"/>
          <w:szCs w:val="26"/>
          <w:lang w:bidi="en-US"/>
        </w:rPr>
        <w:t>Ключевые выводы</w:t>
      </w:r>
    </w:p>
    <w:p w14:paraId="4AAD9637" w14:textId="77777777" w:rsidR="006747C7" w:rsidRPr="002B75D5" w:rsidRDefault="006747C7" w:rsidP="00AF1852">
      <w:pPr>
        <w:widowControl w:val="0"/>
        <w:overflowPunct/>
        <w:autoSpaceDE/>
        <w:autoSpaceDN/>
        <w:adjustRightInd/>
        <w:spacing w:line="240" w:lineRule="auto"/>
        <w:ind w:left="0" w:right="0" w:firstLine="0"/>
        <w:jc w:val="center"/>
        <w:textAlignment w:val="auto"/>
        <w:rPr>
          <w:b/>
          <w:bCs/>
          <w:color w:val="000000"/>
          <w:sz w:val="12"/>
          <w:szCs w:val="12"/>
          <w:lang w:bidi="en-US"/>
        </w:rPr>
      </w:pPr>
    </w:p>
    <w:p w14:paraId="0068A9D4" w14:textId="77777777" w:rsidR="006A7DB5" w:rsidRPr="00213A5D" w:rsidRDefault="00403649" w:rsidP="00AF1852">
      <w:pPr>
        <w:widowControl w:val="0"/>
        <w:spacing w:line="276" w:lineRule="auto"/>
        <w:ind w:left="0" w:right="0" w:hanging="284"/>
        <w:rPr>
          <w:sz w:val="24"/>
          <w:szCs w:val="24"/>
        </w:rPr>
      </w:pPr>
      <w:r w:rsidRPr="00213A5D">
        <w:rPr>
          <w:b/>
          <w:bCs/>
          <w:color w:val="000000"/>
          <w:sz w:val="24"/>
          <w:szCs w:val="24"/>
          <w:lang w:bidi="en-US"/>
        </w:rPr>
        <w:t>1.</w:t>
      </w:r>
      <w:r w:rsidRPr="00213A5D">
        <w:rPr>
          <w:bCs/>
          <w:color w:val="000000"/>
          <w:sz w:val="24"/>
          <w:szCs w:val="24"/>
          <w:lang w:bidi="en-US"/>
        </w:rPr>
        <w:t> </w:t>
      </w:r>
      <w:r w:rsidR="0095276D" w:rsidRPr="00213A5D">
        <w:rPr>
          <w:sz w:val="24"/>
          <w:szCs w:val="24"/>
        </w:rPr>
        <w:t xml:space="preserve">В январе – сентябре 2022 года исходные условия российской экономики формировались на фоне риска мировой рецессии и значительной степени неопределенности. Вопреки ожиданиям российская экономика показала высокую степень устойчивости к внешнему давлению, что отразилось в меньшем, чем ожидалось, снижении или замедлении роста основных социально-экономических показателей. </w:t>
      </w:r>
    </w:p>
    <w:p w14:paraId="4A47E86E" w14:textId="77777777" w:rsidR="006A7DB5" w:rsidRPr="00213A5D" w:rsidRDefault="00DD410D" w:rsidP="00B842E1">
      <w:pPr>
        <w:widowControl w:val="0"/>
        <w:numPr>
          <w:ilvl w:val="0"/>
          <w:numId w:val="9"/>
        </w:numPr>
        <w:spacing w:line="276" w:lineRule="auto"/>
        <w:ind w:left="284" w:right="0" w:hanging="284"/>
        <w:rPr>
          <w:sz w:val="24"/>
          <w:szCs w:val="24"/>
        </w:rPr>
      </w:pPr>
      <w:r w:rsidRPr="00213A5D">
        <w:rPr>
          <w:b/>
          <w:sz w:val="24"/>
          <w:szCs w:val="24"/>
        </w:rPr>
        <w:t>Ц</w:t>
      </w:r>
      <w:r w:rsidRPr="00213A5D">
        <w:rPr>
          <w:b/>
          <w:bCs/>
          <w:sz w:val="24"/>
          <w:szCs w:val="24"/>
        </w:rPr>
        <w:t>ена</w:t>
      </w:r>
      <w:r w:rsidR="0095276D" w:rsidRPr="00213A5D">
        <w:rPr>
          <w:b/>
          <w:bCs/>
          <w:sz w:val="24"/>
          <w:szCs w:val="24"/>
        </w:rPr>
        <w:t xml:space="preserve"> на нефть марки «Юралс»</w:t>
      </w:r>
      <w:r w:rsidRPr="00213A5D">
        <w:rPr>
          <w:b/>
          <w:bCs/>
          <w:sz w:val="24"/>
          <w:szCs w:val="24"/>
        </w:rPr>
        <w:t xml:space="preserve"> </w:t>
      </w:r>
      <w:r w:rsidRPr="00213A5D">
        <w:rPr>
          <w:sz w:val="24"/>
          <w:szCs w:val="24"/>
        </w:rPr>
        <w:t xml:space="preserve">сохранялась на относительно высоком уровне и </w:t>
      </w:r>
      <w:r w:rsidR="0095276D" w:rsidRPr="00213A5D">
        <w:rPr>
          <w:sz w:val="24"/>
          <w:szCs w:val="24"/>
        </w:rPr>
        <w:t xml:space="preserve">в среднем за 9 месяцев 2022 года </w:t>
      </w:r>
      <w:r w:rsidRPr="00213A5D">
        <w:rPr>
          <w:sz w:val="24"/>
          <w:szCs w:val="24"/>
        </w:rPr>
        <w:t>составила</w:t>
      </w:r>
      <w:r w:rsidR="0095276D" w:rsidRPr="00213A5D">
        <w:rPr>
          <w:sz w:val="24"/>
          <w:szCs w:val="24"/>
        </w:rPr>
        <w:t xml:space="preserve"> 82,4</w:t>
      </w:r>
      <w:r w:rsidRPr="00213A5D">
        <w:rPr>
          <w:sz w:val="24"/>
          <w:szCs w:val="24"/>
        </w:rPr>
        <w:t> доллара США за баррель.</w:t>
      </w:r>
      <w:r w:rsidR="0095276D" w:rsidRPr="00213A5D">
        <w:rPr>
          <w:sz w:val="24"/>
          <w:szCs w:val="24"/>
        </w:rPr>
        <w:t xml:space="preserve"> </w:t>
      </w:r>
    </w:p>
    <w:p w14:paraId="43ACA991" w14:textId="77777777" w:rsidR="006A7DB5" w:rsidRPr="00213A5D" w:rsidRDefault="00DD410D" w:rsidP="00B842E1">
      <w:pPr>
        <w:widowControl w:val="0"/>
        <w:numPr>
          <w:ilvl w:val="0"/>
          <w:numId w:val="9"/>
        </w:numPr>
        <w:spacing w:line="276" w:lineRule="auto"/>
        <w:ind w:left="284" w:right="0" w:hanging="284"/>
        <w:rPr>
          <w:bCs/>
          <w:color w:val="000000"/>
          <w:sz w:val="24"/>
          <w:szCs w:val="24"/>
          <w:lang w:bidi="en-US"/>
        </w:rPr>
      </w:pPr>
      <w:r w:rsidRPr="00213A5D">
        <w:rPr>
          <w:sz w:val="24"/>
          <w:szCs w:val="24"/>
        </w:rPr>
        <w:t>Курс</w:t>
      </w:r>
      <w:r w:rsidR="00126226" w:rsidRPr="00213A5D">
        <w:rPr>
          <w:bCs/>
          <w:sz w:val="24"/>
          <w:szCs w:val="24"/>
        </w:rPr>
        <w:t xml:space="preserve"> </w:t>
      </w:r>
      <w:r w:rsidR="0034320D" w:rsidRPr="00213A5D">
        <w:rPr>
          <w:bCs/>
          <w:sz w:val="24"/>
          <w:szCs w:val="24"/>
        </w:rPr>
        <w:t>рубля</w:t>
      </w:r>
      <w:r w:rsidR="0034320D" w:rsidRPr="00213A5D">
        <w:rPr>
          <w:b/>
          <w:bCs/>
          <w:sz w:val="24"/>
          <w:szCs w:val="24"/>
        </w:rPr>
        <w:t xml:space="preserve"> </w:t>
      </w:r>
      <w:r w:rsidR="0095276D" w:rsidRPr="00213A5D">
        <w:rPr>
          <w:sz w:val="24"/>
          <w:szCs w:val="24"/>
        </w:rPr>
        <w:t>после мартовской девальвации</w:t>
      </w:r>
      <w:r w:rsidRPr="00213A5D">
        <w:rPr>
          <w:sz w:val="24"/>
          <w:szCs w:val="24"/>
        </w:rPr>
        <w:t xml:space="preserve"> существенно укрепился </w:t>
      </w:r>
      <w:r w:rsidR="0095276D" w:rsidRPr="00213A5D">
        <w:rPr>
          <w:sz w:val="24"/>
          <w:szCs w:val="24"/>
        </w:rPr>
        <w:t>(</w:t>
      </w:r>
      <w:r w:rsidR="0034320D" w:rsidRPr="00213A5D">
        <w:rPr>
          <w:b/>
          <w:sz w:val="24"/>
          <w:szCs w:val="24"/>
        </w:rPr>
        <w:t>курс</w:t>
      </w:r>
      <w:r w:rsidR="0034320D" w:rsidRPr="00213A5D">
        <w:rPr>
          <w:sz w:val="24"/>
          <w:szCs w:val="24"/>
        </w:rPr>
        <w:t xml:space="preserve"> </w:t>
      </w:r>
      <w:r w:rsidR="0034320D" w:rsidRPr="00213A5D">
        <w:rPr>
          <w:b/>
          <w:bCs/>
          <w:sz w:val="24"/>
          <w:szCs w:val="24"/>
        </w:rPr>
        <w:t>доллара США к рублю</w:t>
      </w:r>
      <w:r w:rsidR="0034320D" w:rsidRPr="00213A5D">
        <w:rPr>
          <w:sz w:val="24"/>
          <w:szCs w:val="24"/>
        </w:rPr>
        <w:t xml:space="preserve"> снизился </w:t>
      </w:r>
      <w:r w:rsidR="0095276D" w:rsidRPr="00213A5D">
        <w:rPr>
          <w:sz w:val="24"/>
          <w:szCs w:val="24"/>
        </w:rPr>
        <w:t>с 103,7 ру</w:t>
      </w:r>
      <w:r w:rsidR="000835D2" w:rsidRPr="00213A5D">
        <w:rPr>
          <w:sz w:val="24"/>
          <w:szCs w:val="24"/>
        </w:rPr>
        <w:t>бля за доллар США в марте до 57–</w:t>
      </w:r>
      <w:r w:rsidR="0095276D" w:rsidRPr="00213A5D">
        <w:rPr>
          <w:sz w:val="24"/>
          <w:szCs w:val="24"/>
        </w:rPr>
        <w:t xml:space="preserve">60 рублей за доллар США в июне – сентябре 2022 года). В целом за 9 месяцев 2022 года </w:t>
      </w:r>
      <w:r w:rsidR="0095276D" w:rsidRPr="00213A5D">
        <w:rPr>
          <w:bCs/>
          <w:sz w:val="24"/>
          <w:szCs w:val="24"/>
        </w:rPr>
        <w:t>курс доллара США к рублю</w:t>
      </w:r>
      <w:r w:rsidR="0095276D" w:rsidRPr="00213A5D">
        <w:rPr>
          <w:sz w:val="24"/>
          <w:szCs w:val="24"/>
        </w:rPr>
        <w:t xml:space="preserve"> составил 69,3</w:t>
      </w:r>
      <w:r w:rsidRPr="00213A5D">
        <w:rPr>
          <w:sz w:val="24"/>
          <w:szCs w:val="24"/>
        </w:rPr>
        <w:t> </w:t>
      </w:r>
      <w:r w:rsidR="0095276D" w:rsidRPr="00213A5D">
        <w:rPr>
          <w:sz w:val="24"/>
          <w:szCs w:val="24"/>
        </w:rPr>
        <w:t xml:space="preserve">рубля за доллар США. </w:t>
      </w:r>
    </w:p>
    <w:p w14:paraId="51F1ED3A" w14:textId="77777777" w:rsidR="00D74918" w:rsidRPr="00213A5D" w:rsidRDefault="0095276D" w:rsidP="00B842E1">
      <w:pPr>
        <w:widowControl w:val="0"/>
        <w:numPr>
          <w:ilvl w:val="0"/>
          <w:numId w:val="9"/>
        </w:numPr>
        <w:spacing w:line="276" w:lineRule="auto"/>
        <w:ind w:left="284" w:right="0" w:hanging="284"/>
        <w:rPr>
          <w:bCs/>
          <w:color w:val="000000"/>
          <w:sz w:val="24"/>
          <w:szCs w:val="24"/>
          <w:lang w:bidi="en-US"/>
        </w:rPr>
      </w:pPr>
      <w:r w:rsidRPr="00213A5D">
        <w:rPr>
          <w:b/>
          <w:bCs/>
          <w:sz w:val="24"/>
          <w:szCs w:val="24"/>
        </w:rPr>
        <w:t>Инфляция</w:t>
      </w:r>
      <w:r w:rsidRPr="00213A5D">
        <w:rPr>
          <w:sz w:val="24"/>
          <w:szCs w:val="24"/>
        </w:rPr>
        <w:t xml:space="preserve"> после прохождения пика в начале мая (17,8</w:t>
      </w:r>
      <w:r w:rsidR="00907935" w:rsidRPr="00213A5D">
        <w:rPr>
          <w:sz w:val="24"/>
          <w:szCs w:val="24"/>
        </w:rPr>
        <w:t> </w:t>
      </w:r>
      <w:r w:rsidRPr="00213A5D">
        <w:rPr>
          <w:sz w:val="24"/>
          <w:szCs w:val="24"/>
        </w:rPr>
        <w:t xml:space="preserve">% в годовом выражении на 6 мая) начала замедляться и по итогам сентября составила 13,7 % в годовом выражении </w:t>
      </w:r>
      <w:r w:rsidR="000835D2" w:rsidRPr="00213A5D">
        <w:rPr>
          <w:sz w:val="24"/>
          <w:szCs w:val="24"/>
        </w:rPr>
        <w:br/>
      </w:r>
      <w:r w:rsidRPr="00213A5D">
        <w:rPr>
          <w:sz w:val="24"/>
          <w:szCs w:val="24"/>
        </w:rPr>
        <w:t xml:space="preserve">и 10,5 % </w:t>
      </w:r>
      <w:r w:rsidR="00907935" w:rsidRPr="00213A5D">
        <w:rPr>
          <w:sz w:val="24"/>
          <w:szCs w:val="24"/>
        </w:rPr>
        <w:t xml:space="preserve">– </w:t>
      </w:r>
      <w:r w:rsidRPr="00213A5D">
        <w:rPr>
          <w:sz w:val="24"/>
          <w:szCs w:val="24"/>
        </w:rPr>
        <w:t>с начала года.</w:t>
      </w:r>
    </w:p>
    <w:p w14:paraId="4926A3D6" w14:textId="77777777" w:rsidR="00937057" w:rsidRPr="002B75D5" w:rsidRDefault="00937057" w:rsidP="00AF1852">
      <w:pPr>
        <w:widowControl w:val="0"/>
        <w:spacing w:line="240" w:lineRule="auto"/>
        <w:ind w:left="0" w:right="0" w:hanging="284"/>
        <w:rPr>
          <w:bCs/>
          <w:color w:val="000000"/>
          <w:sz w:val="12"/>
          <w:szCs w:val="12"/>
          <w:lang w:bidi="en-US"/>
        </w:rPr>
      </w:pPr>
    </w:p>
    <w:p w14:paraId="6A681372" w14:textId="77777777" w:rsidR="006A7DB5" w:rsidRPr="00213A5D" w:rsidRDefault="00F05D2D" w:rsidP="00CD0D39">
      <w:pPr>
        <w:widowControl w:val="0"/>
        <w:spacing w:line="271" w:lineRule="auto"/>
        <w:ind w:left="0" w:right="0" w:hanging="284"/>
        <w:rPr>
          <w:rFonts w:eastAsia="Times New Roman"/>
          <w:color w:val="000000"/>
          <w:sz w:val="24"/>
          <w:szCs w:val="24"/>
        </w:rPr>
      </w:pPr>
      <w:r w:rsidRPr="00213A5D">
        <w:rPr>
          <w:b/>
          <w:bCs/>
          <w:color w:val="000000"/>
          <w:sz w:val="24"/>
          <w:szCs w:val="24"/>
          <w:lang w:bidi="en-US"/>
        </w:rPr>
        <w:t>2</w:t>
      </w:r>
      <w:r w:rsidR="00403649" w:rsidRPr="00213A5D">
        <w:rPr>
          <w:b/>
          <w:bCs/>
          <w:color w:val="000000"/>
          <w:sz w:val="24"/>
          <w:szCs w:val="24"/>
          <w:lang w:bidi="en-US"/>
        </w:rPr>
        <w:t>.</w:t>
      </w:r>
      <w:r w:rsidR="00403649" w:rsidRPr="00213A5D">
        <w:rPr>
          <w:bCs/>
          <w:color w:val="000000"/>
          <w:sz w:val="24"/>
          <w:szCs w:val="24"/>
          <w:lang w:bidi="en-US"/>
        </w:rPr>
        <w:t> </w:t>
      </w:r>
      <w:r w:rsidR="00167574" w:rsidRPr="00213A5D">
        <w:rPr>
          <w:rFonts w:eastAsia="Times New Roman"/>
          <w:color w:val="000000"/>
          <w:sz w:val="24"/>
          <w:szCs w:val="24"/>
        </w:rPr>
        <w:t xml:space="preserve">Общий объем </w:t>
      </w:r>
      <w:r w:rsidR="00167574" w:rsidRPr="00213A5D">
        <w:rPr>
          <w:rFonts w:eastAsia="Times New Roman"/>
          <w:b/>
          <w:color w:val="000000"/>
          <w:sz w:val="24"/>
          <w:szCs w:val="24"/>
        </w:rPr>
        <w:t>доходов</w:t>
      </w:r>
      <w:r w:rsidR="00167574" w:rsidRPr="00213A5D">
        <w:rPr>
          <w:rFonts w:eastAsia="Times New Roman"/>
          <w:color w:val="000000"/>
          <w:sz w:val="24"/>
          <w:szCs w:val="24"/>
        </w:rPr>
        <w:t xml:space="preserve"> федерального бюджета составил </w:t>
      </w:r>
      <w:r w:rsidR="00167574" w:rsidRPr="00213A5D">
        <w:rPr>
          <w:rFonts w:eastAsia="Times New Roman"/>
          <w:b/>
          <w:color w:val="000000"/>
          <w:sz w:val="24"/>
          <w:szCs w:val="24"/>
        </w:rPr>
        <w:t>19 739,6 млрд. рублей,</w:t>
      </w:r>
      <w:r w:rsidR="00167574" w:rsidRPr="00213A5D">
        <w:rPr>
          <w:rFonts w:eastAsia="Times New Roman"/>
          <w:color w:val="000000"/>
          <w:sz w:val="24"/>
          <w:szCs w:val="24"/>
        </w:rPr>
        <w:t xml:space="preserve"> или </w:t>
      </w:r>
      <w:r w:rsidR="00167574" w:rsidRPr="00213A5D">
        <w:rPr>
          <w:rFonts w:eastAsia="Times New Roman"/>
          <w:b/>
          <w:color w:val="000000"/>
          <w:sz w:val="24"/>
          <w:szCs w:val="24"/>
        </w:rPr>
        <w:t>78,9 %</w:t>
      </w:r>
      <w:r w:rsidR="00167574" w:rsidRPr="00213A5D">
        <w:rPr>
          <w:rFonts w:eastAsia="Times New Roman"/>
          <w:color w:val="000000"/>
          <w:sz w:val="24"/>
          <w:szCs w:val="24"/>
        </w:rPr>
        <w:t xml:space="preserve"> прогнозируемого общего объема доходов, из них </w:t>
      </w:r>
      <w:r w:rsidR="00167574" w:rsidRPr="00213A5D">
        <w:rPr>
          <w:rFonts w:eastAsia="Times New Roman"/>
          <w:b/>
          <w:bCs/>
          <w:color w:val="000000"/>
          <w:sz w:val="24"/>
          <w:szCs w:val="24"/>
        </w:rPr>
        <w:t>нефтегазовые</w:t>
      </w:r>
      <w:r w:rsidR="00167574" w:rsidRPr="00213A5D">
        <w:rPr>
          <w:rFonts w:eastAsia="Times New Roman"/>
          <w:bCs/>
          <w:color w:val="000000"/>
          <w:sz w:val="24"/>
          <w:szCs w:val="24"/>
        </w:rPr>
        <w:t xml:space="preserve"> доходы </w:t>
      </w:r>
      <w:r w:rsidR="00167574" w:rsidRPr="00213A5D">
        <w:rPr>
          <w:rFonts w:eastAsia="Times New Roman"/>
          <w:color w:val="000000"/>
          <w:sz w:val="24"/>
          <w:szCs w:val="24"/>
        </w:rPr>
        <w:t xml:space="preserve">– </w:t>
      </w:r>
      <w:r w:rsidR="00167574" w:rsidRPr="00213A5D">
        <w:rPr>
          <w:rFonts w:eastAsia="Times New Roman"/>
          <w:b/>
          <w:color w:val="000000"/>
          <w:sz w:val="24"/>
          <w:szCs w:val="24"/>
        </w:rPr>
        <w:t>8 506,6</w:t>
      </w:r>
      <w:r w:rsidR="00167574" w:rsidRPr="00213A5D">
        <w:rPr>
          <w:rFonts w:eastAsia="Times New Roman"/>
          <w:color w:val="000000"/>
          <w:sz w:val="24"/>
          <w:szCs w:val="24"/>
        </w:rPr>
        <w:t> </w:t>
      </w:r>
      <w:r w:rsidR="00167574" w:rsidRPr="00213A5D">
        <w:rPr>
          <w:rFonts w:eastAsia="Times New Roman"/>
          <w:b/>
          <w:color w:val="000000"/>
          <w:sz w:val="24"/>
          <w:szCs w:val="24"/>
        </w:rPr>
        <w:t>млрд. рублей,</w:t>
      </w:r>
      <w:r w:rsidR="00167574" w:rsidRPr="00213A5D">
        <w:rPr>
          <w:rFonts w:eastAsia="Times New Roman"/>
          <w:color w:val="000000"/>
          <w:sz w:val="24"/>
          <w:szCs w:val="24"/>
        </w:rPr>
        <w:t xml:space="preserve"> или </w:t>
      </w:r>
      <w:r w:rsidR="00167574" w:rsidRPr="00213A5D">
        <w:rPr>
          <w:rFonts w:eastAsia="Times New Roman"/>
          <w:b/>
          <w:color w:val="000000"/>
          <w:sz w:val="24"/>
          <w:szCs w:val="24"/>
        </w:rPr>
        <w:t>89,1 %</w:t>
      </w:r>
      <w:r w:rsidR="00167574" w:rsidRPr="00213A5D">
        <w:rPr>
          <w:rFonts w:eastAsia="Times New Roman"/>
          <w:color w:val="000000"/>
          <w:sz w:val="24"/>
          <w:szCs w:val="24"/>
        </w:rPr>
        <w:t xml:space="preserve">, </w:t>
      </w:r>
      <w:r w:rsidR="00167574" w:rsidRPr="00213A5D">
        <w:rPr>
          <w:rFonts w:eastAsia="Times New Roman"/>
          <w:b/>
          <w:color w:val="000000"/>
          <w:sz w:val="24"/>
          <w:szCs w:val="24"/>
        </w:rPr>
        <w:t>ненефтегазовые</w:t>
      </w:r>
      <w:r w:rsidR="00167574" w:rsidRPr="00213A5D">
        <w:rPr>
          <w:rFonts w:eastAsia="Times New Roman"/>
          <w:color w:val="000000"/>
          <w:sz w:val="24"/>
          <w:szCs w:val="24"/>
        </w:rPr>
        <w:t xml:space="preserve"> доходы – </w:t>
      </w:r>
      <w:r w:rsidR="00167574" w:rsidRPr="00213A5D">
        <w:rPr>
          <w:rFonts w:eastAsia="Times New Roman"/>
          <w:b/>
          <w:color w:val="000000"/>
          <w:sz w:val="24"/>
          <w:szCs w:val="24"/>
        </w:rPr>
        <w:t>11 233,0</w:t>
      </w:r>
      <w:r w:rsidR="00167574" w:rsidRPr="00213A5D">
        <w:rPr>
          <w:rFonts w:eastAsia="Times New Roman"/>
          <w:color w:val="000000"/>
          <w:sz w:val="24"/>
          <w:szCs w:val="24"/>
        </w:rPr>
        <w:t> </w:t>
      </w:r>
      <w:r w:rsidR="00167574" w:rsidRPr="00213A5D">
        <w:rPr>
          <w:rFonts w:eastAsia="Times New Roman"/>
          <w:b/>
          <w:color w:val="000000"/>
          <w:sz w:val="24"/>
          <w:szCs w:val="24"/>
        </w:rPr>
        <w:t>млрд. рублей,</w:t>
      </w:r>
      <w:r w:rsidR="00167574" w:rsidRPr="00213A5D">
        <w:rPr>
          <w:rFonts w:eastAsia="Times New Roman"/>
          <w:color w:val="000000"/>
          <w:sz w:val="24"/>
          <w:szCs w:val="24"/>
        </w:rPr>
        <w:t xml:space="preserve"> или </w:t>
      </w:r>
      <w:r w:rsidR="00167574" w:rsidRPr="00213A5D">
        <w:rPr>
          <w:rFonts w:eastAsia="Times New Roman"/>
          <w:b/>
          <w:color w:val="000000"/>
          <w:sz w:val="24"/>
          <w:szCs w:val="24"/>
        </w:rPr>
        <w:t>72,6 %</w:t>
      </w:r>
      <w:r w:rsidR="00167574" w:rsidRPr="00213A5D">
        <w:rPr>
          <w:rFonts w:eastAsia="Times New Roman"/>
          <w:color w:val="000000"/>
          <w:sz w:val="24"/>
          <w:szCs w:val="24"/>
        </w:rPr>
        <w:t xml:space="preserve">. </w:t>
      </w:r>
    </w:p>
    <w:p w14:paraId="35BED9ED" w14:textId="77777777" w:rsidR="006A7DB5" w:rsidRPr="00213A5D" w:rsidRDefault="00167574" w:rsidP="00CD0D39">
      <w:pPr>
        <w:widowControl w:val="0"/>
        <w:spacing w:line="271" w:lineRule="auto"/>
        <w:ind w:left="0" w:right="0" w:firstLine="0"/>
        <w:rPr>
          <w:rFonts w:eastAsia="Times New Roman"/>
          <w:color w:val="000000"/>
          <w:sz w:val="24"/>
          <w:szCs w:val="24"/>
        </w:rPr>
      </w:pPr>
      <w:r w:rsidRPr="00213A5D">
        <w:rPr>
          <w:rFonts w:eastAsia="Times New Roman"/>
          <w:color w:val="000000"/>
          <w:sz w:val="24"/>
          <w:szCs w:val="24"/>
        </w:rPr>
        <w:t xml:space="preserve">По сравнению с январем – сентябрем 2021 года объем доходов федерального бюджета </w:t>
      </w:r>
      <w:r w:rsidRPr="00213A5D">
        <w:rPr>
          <w:rFonts w:eastAsia="Times New Roman"/>
          <w:b/>
          <w:color w:val="000000"/>
          <w:sz w:val="24"/>
          <w:szCs w:val="24"/>
        </w:rPr>
        <w:t>увеличился</w:t>
      </w:r>
      <w:r w:rsidRPr="00213A5D">
        <w:rPr>
          <w:rFonts w:eastAsia="Times New Roman"/>
          <w:color w:val="000000"/>
          <w:sz w:val="24"/>
          <w:szCs w:val="24"/>
        </w:rPr>
        <w:t xml:space="preserve"> </w:t>
      </w:r>
      <w:r w:rsidRPr="00213A5D">
        <w:rPr>
          <w:rFonts w:eastAsia="Times New Roman"/>
          <w:b/>
          <w:color w:val="000000"/>
          <w:sz w:val="24"/>
          <w:szCs w:val="24"/>
        </w:rPr>
        <w:t>на 1 815,8 млрд. рублей</w:t>
      </w:r>
      <w:r w:rsidRPr="00213A5D">
        <w:rPr>
          <w:rFonts w:eastAsia="Times New Roman"/>
          <w:color w:val="000000"/>
          <w:sz w:val="24"/>
          <w:szCs w:val="24"/>
        </w:rPr>
        <w:t>, или на 10,1 %, из них</w:t>
      </w:r>
      <w:r w:rsidR="006A7DB5" w:rsidRPr="00213A5D">
        <w:rPr>
          <w:rFonts w:eastAsia="Times New Roman"/>
          <w:color w:val="000000"/>
          <w:sz w:val="24"/>
          <w:szCs w:val="24"/>
        </w:rPr>
        <w:t>:</w:t>
      </w:r>
    </w:p>
    <w:p w14:paraId="75BB26F2" w14:textId="77777777" w:rsidR="006A7DB5" w:rsidRPr="00213A5D" w:rsidRDefault="00167574" w:rsidP="00B842E1">
      <w:pPr>
        <w:widowControl w:val="0"/>
        <w:numPr>
          <w:ilvl w:val="0"/>
          <w:numId w:val="14"/>
        </w:numPr>
        <w:spacing w:line="271" w:lineRule="auto"/>
        <w:ind w:left="284" w:right="0" w:hanging="284"/>
        <w:rPr>
          <w:rFonts w:eastAsia="Times New Roman"/>
          <w:color w:val="000000"/>
          <w:sz w:val="24"/>
          <w:szCs w:val="24"/>
        </w:rPr>
      </w:pPr>
      <w:r w:rsidRPr="00213A5D">
        <w:rPr>
          <w:rFonts w:eastAsia="Times New Roman"/>
          <w:b/>
          <w:bCs/>
          <w:color w:val="000000"/>
          <w:sz w:val="24"/>
          <w:szCs w:val="24"/>
        </w:rPr>
        <w:t xml:space="preserve">нефтегазовые </w:t>
      </w:r>
      <w:r w:rsidRPr="00213A5D">
        <w:rPr>
          <w:rFonts w:eastAsia="Times New Roman"/>
          <w:bCs/>
          <w:color w:val="000000"/>
          <w:sz w:val="24"/>
          <w:szCs w:val="24"/>
        </w:rPr>
        <w:t>доходы</w:t>
      </w:r>
      <w:r w:rsidR="006A7DB5" w:rsidRPr="00213A5D">
        <w:rPr>
          <w:rFonts w:eastAsia="Times New Roman"/>
          <w:bCs/>
          <w:color w:val="000000"/>
          <w:sz w:val="24"/>
          <w:szCs w:val="24"/>
        </w:rPr>
        <w:t xml:space="preserve"> </w:t>
      </w:r>
      <w:r w:rsidR="006A7DB5" w:rsidRPr="00213A5D">
        <w:rPr>
          <w:rFonts w:eastAsia="Times New Roman"/>
          <w:b/>
          <w:bCs/>
          <w:color w:val="000000"/>
          <w:sz w:val="24"/>
          <w:szCs w:val="24"/>
        </w:rPr>
        <w:t>увеличились</w:t>
      </w:r>
      <w:r w:rsidR="006A7DB5" w:rsidRPr="00213A5D">
        <w:rPr>
          <w:rFonts w:eastAsia="Times New Roman"/>
          <w:bCs/>
          <w:color w:val="000000"/>
          <w:sz w:val="24"/>
          <w:szCs w:val="24"/>
        </w:rPr>
        <w:t xml:space="preserve"> </w:t>
      </w:r>
      <w:r w:rsidRPr="00213A5D">
        <w:rPr>
          <w:rFonts w:eastAsia="Times New Roman"/>
          <w:color w:val="000000"/>
          <w:sz w:val="24"/>
          <w:szCs w:val="24"/>
        </w:rPr>
        <w:t>на 2 321,7</w:t>
      </w:r>
      <w:r w:rsidRPr="00213A5D">
        <w:rPr>
          <w:rFonts w:eastAsia="Times New Roman"/>
          <w:bCs/>
          <w:color w:val="000000"/>
          <w:sz w:val="24"/>
          <w:szCs w:val="24"/>
        </w:rPr>
        <w:t> млрд. рублей, или в 1,4 раза</w:t>
      </w:r>
      <w:r w:rsidR="0089666B" w:rsidRPr="00213A5D">
        <w:rPr>
          <w:rFonts w:eastAsia="Times New Roman"/>
          <w:bCs/>
          <w:color w:val="000000"/>
          <w:sz w:val="24"/>
          <w:szCs w:val="24"/>
        </w:rPr>
        <w:t>,</w:t>
      </w:r>
      <w:r w:rsidRPr="00213A5D">
        <w:rPr>
          <w:rFonts w:eastAsia="Times New Roman"/>
          <w:bCs/>
          <w:color w:val="000000"/>
          <w:sz w:val="24"/>
          <w:szCs w:val="24"/>
        </w:rPr>
        <w:t xml:space="preserve"> в результате увеличения цены на нефть марки «Юралс» и экспортной цены на газ природный, поставляемый в страны дальнего зарубежья</w:t>
      </w:r>
      <w:r w:rsidR="000835D2" w:rsidRPr="00213A5D">
        <w:rPr>
          <w:rFonts w:eastAsia="Times New Roman"/>
          <w:bCs/>
          <w:color w:val="000000"/>
          <w:sz w:val="24"/>
          <w:szCs w:val="24"/>
        </w:rPr>
        <w:t>;</w:t>
      </w:r>
      <w:r w:rsidRPr="00213A5D">
        <w:rPr>
          <w:rFonts w:eastAsia="Times New Roman"/>
          <w:color w:val="000000"/>
          <w:sz w:val="24"/>
          <w:szCs w:val="24"/>
        </w:rPr>
        <w:t xml:space="preserve"> </w:t>
      </w:r>
    </w:p>
    <w:p w14:paraId="27D2078E" w14:textId="77777777" w:rsidR="00167574" w:rsidRPr="00213A5D" w:rsidRDefault="00167574" w:rsidP="00B842E1">
      <w:pPr>
        <w:widowControl w:val="0"/>
        <w:numPr>
          <w:ilvl w:val="0"/>
          <w:numId w:val="14"/>
        </w:numPr>
        <w:spacing w:line="271" w:lineRule="auto"/>
        <w:ind w:left="284" w:right="0" w:hanging="284"/>
        <w:rPr>
          <w:rFonts w:eastAsia="Times New Roman"/>
          <w:bCs/>
          <w:color w:val="000000"/>
          <w:sz w:val="24"/>
          <w:szCs w:val="24"/>
        </w:rPr>
      </w:pPr>
      <w:r w:rsidRPr="00213A5D">
        <w:rPr>
          <w:rFonts w:eastAsia="Times New Roman"/>
          <w:b/>
          <w:color w:val="000000"/>
          <w:sz w:val="24"/>
          <w:szCs w:val="24"/>
        </w:rPr>
        <w:t>ненефтегазовы</w:t>
      </w:r>
      <w:r w:rsidR="006A7DB5" w:rsidRPr="00213A5D">
        <w:rPr>
          <w:rFonts w:eastAsia="Times New Roman"/>
          <w:b/>
          <w:color w:val="000000"/>
          <w:sz w:val="24"/>
          <w:szCs w:val="24"/>
        </w:rPr>
        <w:t>е</w:t>
      </w:r>
      <w:r w:rsidRPr="00213A5D">
        <w:rPr>
          <w:rFonts w:eastAsia="Times New Roman"/>
          <w:b/>
          <w:color w:val="000000"/>
          <w:sz w:val="24"/>
          <w:szCs w:val="24"/>
        </w:rPr>
        <w:t xml:space="preserve"> </w:t>
      </w:r>
      <w:r w:rsidRPr="00213A5D">
        <w:rPr>
          <w:rFonts w:eastAsia="Times New Roman"/>
          <w:color w:val="000000"/>
          <w:sz w:val="24"/>
          <w:szCs w:val="24"/>
        </w:rPr>
        <w:t>доход</w:t>
      </w:r>
      <w:r w:rsidR="006A7DB5" w:rsidRPr="00213A5D">
        <w:rPr>
          <w:rFonts w:eastAsia="Times New Roman"/>
          <w:color w:val="000000"/>
          <w:sz w:val="24"/>
          <w:szCs w:val="24"/>
        </w:rPr>
        <w:t xml:space="preserve">ы </w:t>
      </w:r>
      <w:r w:rsidR="006A7DB5" w:rsidRPr="00213A5D">
        <w:rPr>
          <w:rFonts w:eastAsia="Times New Roman"/>
          <w:b/>
          <w:color w:val="000000"/>
          <w:sz w:val="24"/>
          <w:szCs w:val="24"/>
        </w:rPr>
        <w:t xml:space="preserve">снизились </w:t>
      </w:r>
      <w:r w:rsidRPr="00213A5D">
        <w:rPr>
          <w:rFonts w:eastAsia="Times New Roman"/>
          <w:color w:val="000000"/>
          <w:sz w:val="24"/>
          <w:szCs w:val="24"/>
        </w:rPr>
        <w:t xml:space="preserve">на 505,9 млрд. рублей, или на 4,3 %, что </w:t>
      </w:r>
      <w:r w:rsidRPr="00213A5D">
        <w:rPr>
          <w:rFonts w:eastAsia="Times New Roman"/>
          <w:bCs/>
          <w:color w:val="000000"/>
          <w:sz w:val="24"/>
          <w:szCs w:val="24"/>
        </w:rPr>
        <w:t>в основном связано со снижением поступлений НДС на товары, ввозимые на территорию Российской Федерации, ввозных таможенных пошлин</w:t>
      </w:r>
      <w:r w:rsidR="006061D8">
        <w:rPr>
          <w:rFonts w:eastAsia="Times New Roman"/>
          <w:bCs/>
          <w:color w:val="000000"/>
          <w:sz w:val="24"/>
          <w:szCs w:val="24"/>
        </w:rPr>
        <w:t>, обусловленным сокращением объемов налогооблагаемого импорта</w:t>
      </w:r>
      <w:r w:rsidRPr="00213A5D">
        <w:rPr>
          <w:rFonts w:eastAsia="Times New Roman"/>
          <w:bCs/>
          <w:color w:val="000000"/>
          <w:sz w:val="24"/>
          <w:szCs w:val="24"/>
        </w:rPr>
        <w:t>,</w:t>
      </w:r>
      <w:r w:rsidR="006061D8">
        <w:rPr>
          <w:rFonts w:eastAsia="Times New Roman"/>
          <w:bCs/>
          <w:color w:val="000000"/>
          <w:sz w:val="24"/>
          <w:szCs w:val="24"/>
        </w:rPr>
        <w:t xml:space="preserve"> а также</w:t>
      </w:r>
      <w:r w:rsidRPr="00213A5D">
        <w:rPr>
          <w:rFonts w:eastAsia="Times New Roman"/>
          <w:bCs/>
          <w:color w:val="000000"/>
          <w:sz w:val="24"/>
          <w:szCs w:val="24"/>
        </w:rPr>
        <w:t xml:space="preserve"> доходов от управления средствами Фонда национального благосостояния, утилизационного сбора при одновременном увеличении поступления НДС на товары (работы, услуги), реализуемые на территории Российской Федерации</w:t>
      </w:r>
      <w:r w:rsidR="000835D2" w:rsidRPr="00213A5D">
        <w:rPr>
          <w:rFonts w:eastAsia="Times New Roman"/>
          <w:bCs/>
          <w:color w:val="000000"/>
          <w:sz w:val="24"/>
          <w:szCs w:val="24"/>
        </w:rPr>
        <w:t>,</w:t>
      </w:r>
      <w:r w:rsidRPr="00213A5D">
        <w:rPr>
          <w:rFonts w:eastAsia="Times New Roman"/>
          <w:bCs/>
          <w:color w:val="000000"/>
          <w:sz w:val="24"/>
          <w:szCs w:val="24"/>
        </w:rPr>
        <w:t xml:space="preserve"> и налога на прибыль организаций. </w:t>
      </w:r>
    </w:p>
    <w:p w14:paraId="3F788CF5" w14:textId="77777777" w:rsidR="00DC78B2" w:rsidRPr="002B75D5" w:rsidRDefault="00DC78B2" w:rsidP="0076421C">
      <w:pPr>
        <w:widowControl w:val="0"/>
        <w:spacing w:line="240" w:lineRule="auto"/>
        <w:ind w:left="0" w:right="0" w:hanging="284"/>
        <w:rPr>
          <w:rFonts w:eastAsia="Times New Roman"/>
          <w:color w:val="000000"/>
          <w:sz w:val="12"/>
          <w:szCs w:val="12"/>
        </w:rPr>
      </w:pPr>
    </w:p>
    <w:p w14:paraId="0EC45997" w14:textId="77777777" w:rsidR="006A7DB5" w:rsidRPr="00213A5D" w:rsidRDefault="00F27FB8" w:rsidP="00CD0D39">
      <w:pPr>
        <w:widowControl w:val="0"/>
        <w:spacing w:line="271" w:lineRule="auto"/>
        <w:ind w:left="0" w:right="0" w:hanging="284"/>
        <w:rPr>
          <w:sz w:val="24"/>
          <w:szCs w:val="24"/>
          <w:lang w:bidi="en-US"/>
        </w:rPr>
      </w:pPr>
      <w:r w:rsidRPr="00213A5D">
        <w:rPr>
          <w:b/>
          <w:color w:val="000000"/>
          <w:sz w:val="24"/>
          <w:szCs w:val="24"/>
          <w:lang w:bidi="en-US"/>
        </w:rPr>
        <w:t>3</w:t>
      </w:r>
      <w:r w:rsidR="00214E97" w:rsidRPr="00213A5D">
        <w:rPr>
          <w:b/>
          <w:color w:val="000000"/>
          <w:sz w:val="24"/>
          <w:szCs w:val="24"/>
          <w:lang w:bidi="en-US"/>
        </w:rPr>
        <w:t>.</w:t>
      </w:r>
      <w:r w:rsidR="00214E97" w:rsidRPr="00213A5D">
        <w:rPr>
          <w:color w:val="000000"/>
          <w:sz w:val="24"/>
          <w:szCs w:val="24"/>
          <w:lang w:bidi="en-US"/>
        </w:rPr>
        <w:t> </w:t>
      </w:r>
      <w:r w:rsidR="00964542" w:rsidRPr="00213A5D">
        <w:rPr>
          <w:b/>
          <w:sz w:val="24"/>
          <w:szCs w:val="24"/>
          <w:lang w:bidi="en-US"/>
        </w:rPr>
        <w:t>Объем сводной росписи</w:t>
      </w:r>
      <w:r w:rsidR="00964542" w:rsidRPr="00213A5D">
        <w:rPr>
          <w:sz w:val="24"/>
          <w:szCs w:val="24"/>
          <w:lang w:bidi="en-US"/>
        </w:rPr>
        <w:t xml:space="preserve"> с изменениями по состоянию на 1 октября 2022 года составил 28 047,2 млрд. рублей и </w:t>
      </w:r>
      <w:r w:rsidR="00964542" w:rsidRPr="00213A5D">
        <w:rPr>
          <w:b/>
          <w:sz w:val="24"/>
          <w:szCs w:val="24"/>
          <w:lang w:bidi="en-US"/>
        </w:rPr>
        <w:t>превысил</w:t>
      </w:r>
      <w:r w:rsidR="00964542" w:rsidRPr="00213A5D">
        <w:rPr>
          <w:sz w:val="24"/>
          <w:szCs w:val="24"/>
          <w:lang w:bidi="en-US"/>
        </w:rPr>
        <w:t xml:space="preserve"> утвержденный объем расходов на </w:t>
      </w:r>
      <w:r w:rsidR="00964542" w:rsidRPr="00213A5D">
        <w:rPr>
          <w:b/>
          <w:sz w:val="24"/>
          <w:szCs w:val="24"/>
          <w:lang w:bidi="en-US"/>
        </w:rPr>
        <w:t>4 353,0 млрд. рублей</w:t>
      </w:r>
      <w:r w:rsidR="00964542" w:rsidRPr="00213A5D">
        <w:rPr>
          <w:sz w:val="24"/>
          <w:szCs w:val="24"/>
          <w:lang w:bidi="en-US"/>
        </w:rPr>
        <w:t xml:space="preserve"> (на 18,4 %), что на 2 440,7 млрд. рублей (в 2,3 раза) больше аналогичного показателя 2021 года (1 912,2 млрд. рублей). Указанное превышение в основном сложилось за счет</w:t>
      </w:r>
      <w:r w:rsidR="006A7DB5" w:rsidRPr="00213A5D">
        <w:rPr>
          <w:sz w:val="24"/>
          <w:szCs w:val="24"/>
          <w:lang w:bidi="en-US"/>
        </w:rPr>
        <w:t>:</w:t>
      </w:r>
    </w:p>
    <w:p w14:paraId="1DADAD61" w14:textId="77777777" w:rsidR="006A7DB5" w:rsidRPr="00213A5D" w:rsidRDefault="00964542" w:rsidP="00B842E1">
      <w:pPr>
        <w:widowControl w:val="0"/>
        <w:numPr>
          <w:ilvl w:val="0"/>
          <w:numId w:val="13"/>
        </w:numPr>
        <w:spacing w:line="271" w:lineRule="auto"/>
        <w:ind w:left="284" w:right="0" w:hanging="284"/>
        <w:rPr>
          <w:sz w:val="24"/>
          <w:szCs w:val="24"/>
          <w:lang w:bidi="en-US"/>
        </w:rPr>
      </w:pPr>
      <w:r w:rsidRPr="00213A5D">
        <w:rPr>
          <w:sz w:val="24"/>
          <w:szCs w:val="24"/>
          <w:lang w:bidi="en-US"/>
        </w:rPr>
        <w:t>остатков не</w:t>
      </w:r>
      <w:r w:rsidR="000835D2" w:rsidRPr="00213A5D">
        <w:rPr>
          <w:sz w:val="24"/>
          <w:szCs w:val="24"/>
          <w:lang w:bidi="en-US"/>
        </w:rPr>
        <w:t xml:space="preserve"> </w:t>
      </w:r>
      <w:r w:rsidRPr="00213A5D">
        <w:rPr>
          <w:sz w:val="24"/>
          <w:szCs w:val="24"/>
          <w:lang w:bidi="en-US"/>
        </w:rPr>
        <w:t xml:space="preserve">использованных </w:t>
      </w:r>
      <w:r w:rsidR="000835D2" w:rsidRPr="00213A5D">
        <w:rPr>
          <w:sz w:val="24"/>
          <w:szCs w:val="24"/>
          <w:lang w:bidi="en-US"/>
        </w:rPr>
        <w:t xml:space="preserve">в 2021 году </w:t>
      </w:r>
      <w:r w:rsidRPr="00213A5D">
        <w:rPr>
          <w:sz w:val="24"/>
          <w:szCs w:val="24"/>
          <w:lang w:bidi="en-US"/>
        </w:rPr>
        <w:t>средств федерального бюджета, подлежащих использованию в 2022 году (</w:t>
      </w:r>
      <w:r w:rsidRPr="00213A5D">
        <w:rPr>
          <w:b/>
          <w:sz w:val="24"/>
          <w:szCs w:val="24"/>
          <w:lang w:bidi="en-US"/>
        </w:rPr>
        <w:t>687,4 млрд. рублей</w:t>
      </w:r>
      <w:r w:rsidRPr="00213A5D">
        <w:rPr>
          <w:sz w:val="24"/>
          <w:szCs w:val="24"/>
          <w:lang w:bidi="en-US"/>
        </w:rPr>
        <w:t>)</w:t>
      </w:r>
      <w:r w:rsidR="006A7DB5" w:rsidRPr="00213A5D">
        <w:rPr>
          <w:sz w:val="24"/>
          <w:szCs w:val="24"/>
          <w:lang w:bidi="en-US"/>
        </w:rPr>
        <w:t>;</w:t>
      </w:r>
    </w:p>
    <w:p w14:paraId="2AE12C92" w14:textId="77777777" w:rsidR="00964542" w:rsidRPr="00213A5D" w:rsidRDefault="00964542" w:rsidP="00B842E1">
      <w:pPr>
        <w:widowControl w:val="0"/>
        <w:numPr>
          <w:ilvl w:val="0"/>
          <w:numId w:val="13"/>
        </w:numPr>
        <w:spacing w:line="271" w:lineRule="auto"/>
        <w:ind w:left="284" w:right="0" w:hanging="284"/>
        <w:rPr>
          <w:color w:val="000000"/>
          <w:sz w:val="24"/>
          <w:szCs w:val="24"/>
          <w:lang w:bidi="en-US"/>
        </w:rPr>
      </w:pPr>
      <w:r w:rsidRPr="00213A5D">
        <w:rPr>
          <w:sz w:val="24"/>
          <w:szCs w:val="24"/>
          <w:lang w:bidi="en-US"/>
        </w:rPr>
        <w:t>увеличения резервного фонда Правительства Российской Федерации за счет дополнительных нефтегазовых доходов (</w:t>
      </w:r>
      <w:r w:rsidRPr="00213A5D">
        <w:rPr>
          <w:b/>
          <w:sz w:val="24"/>
          <w:szCs w:val="24"/>
          <w:lang w:bidi="en-US"/>
        </w:rPr>
        <w:t>3 643,7 млрд. рублей</w:t>
      </w:r>
      <w:r w:rsidRPr="00213A5D">
        <w:rPr>
          <w:sz w:val="24"/>
          <w:szCs w:val="24"/>
          <w:lang w:bidi="en-US"/>
        </w:rPr>
        <w:t>).</w:t>
      </w:r>
    </w:p>
    <w:p w14:paraId="1B7797B6" w14:textId="77777777" w:rsidR="008F3155" w:rsidRPr="002B75D5" w:rsidRDefault="008F3155" w:rsidP="0076421C">
      <w:pPr>
        <w:widowControl w:val="0"/>
        <w:spacing w:line="240" w:lineRule="auto"/>
        <w:ind w:left="0" w:right="0" w:hanging="284"/>
        <w:rPr>
          <w:sz w:val="12"/>
          <w:szCs w:val="12"/>
          <w:lang w:bidi="en-US"/>
        </w:rPr>
      </w:pPr>
    </w:p>
    <w:p w14:paraId="5603DD35" w14:textId="77777777" w:rsidR="00964542" w:rsidRDefault="00F27FB8" w:rsidP="00AF1852">
      <w:pPr>
        <w:widowControl w:val="0"/>
        <w:spacing w:line="276" w:lineRule="auto"/>
        <w:ind w:left="0" w:right="0" w:hanging="284"/>
        <w:rPr>
          <w:sz w:val="24"/>
          <w:szCs w:val="24"/>
        </w:rPr>
      </w:pPr>
      <w:r w:rsidRPr="00213A5D">
        <w:rPr>
          <w:b/>
          <w:color w:val="000000"/>
          <w:sz w:val="24"/>
          <w:szCs w:val="24"/>
        </w:rPr>
        <w:t>4</w:t>
      </w:r>
      <w:r w:rsidR="00403649" w:rsidRPr="00213A5D">
        <w:rPr>
          <w:b/>
          <w:color w:val="000000"/>
          <w:sz w:val="24"/>
          <w:szCs w:val="24"/>
        </w:rPr>
        <w:t>.</w:t>
      </w:r>
      <w:r w:rsidR="00403649" w:rsidRPr="00213A5D">
        <w:rPr>
          <w:color w:val="000000"/>
          <w:sz w:val="24"/>
          <w:szCs w:val="24"/>
        </w:rPr>
        <w:t> </w:t>
      </w:r>
      <w:r w:rsidR="00964542" w:rsidRPr="00213A5D">
        <w:rPr>
          <w:sz w:val="24"/>
          <w:szCs w:val="24"/>
        </w:rPr>
        <w:t xml:space="preserve">Общий объем </w:t>
      </w:r>
      <w:r w:rsidR="00964542" w:rsidRPr="00213A5D">
        <w:rPr>
          <w:b/>
          <w:sz w:val="24"/>
          <w:szCs w:val="24"/>
        </w:rPr>
        <w:t xml:space="preserve">положительных изменений сводной росписи </w:t>
      </w:r>
      <w:r w:rsidR="00964542" w:rsidRPr="00213A5D">
        <w:rPr>
          <w:sz w:val="24"/>
          <w:szCs w:val="24"/>
        </w:rPr>
        <w:t xml:space="preserve">(включает увеличение бюджетных ассигнований и их перераспределение) составил </w:t>
      </w:r>
      <w:r w:rsidR="00964542" w:rsidRPr="00213A5D">
        <w:rPr>
          <w:b/>
          <w:bCs/>
          <w:sz w:val="24"/>
          <w:szCs w:val="24"/>
        </w:rPr>
        <w:t>10 549,9 м</w:t>
      </w:r>
      <w:r w:rsidR="00964542" w:rsidRPr="00213A5D">
        <w:rPr>
          <w:b/>
          <w:sz w:val="24"/>
          <w:szCs w:val="24"/>
        </w:rPr>
        <w:t>лрд. рублей</w:t>
      </w:r>
      <w:r w:rsidR="00964542" w:rsidRPr="00213A5D">
        <w:rPr>
          <w:sz w:val="24"/>
          <w:szCs w:val="24"/>
        </w:rPr>
        <w:t xml:space="preserve">, или 44,5 % бюджетных ассигнований, утвержденных Федеральным законом № 390-ФЗ, </w:t>
      </w:r>
      <w:r w:rsidR="000835D2" w:rsidRPr="00213A5D">
        <w:rPr>
          <w:sz w:val="24"/>
          <w:szCs w:val="24"/>
        </w:rPr>
        <w:br/>
      </w:r>
      <w:r w:rsidR="00964542" w:rsidRPr="00213A5D">
        <w:rPr>
          <w:sz w:val="24"/>
          <w:szCs w:val="24"/>
        </w:rPr>
        <w:t>что на 4 898,5 млрд. рублей, или в 1,9 раза</w:t>
      </w:r>
      <w:r w:rsidR="000835D2" w:rsidRPr="00213A5D">
        <w:rPr>
          <w:sz w:val="24"/>
          <w:szCs w:val="24"/>
        </w:rPr>
        <w:t>,</w:t>
      </w:r>
      <w:r w:rsidR="00964542" w:rsidRPr="00213A5D">
        <w:rPr>
          <w:sz w:val="24"/>
          <w:szCs w:val="24"/>
        </w:rPr>
        <w:t xml:space="preserve"> больше, чем за январь – сентябрь 2021 года </w:t>
      </w:r>
      <w:r w:rsidR="00964542" w:rsidRPr="00213A5D">
        <w:rPr>
          <w:sz w:val="24"/>
          <w:szCs w:val="24"/>
        </w:rPr>
        <w:lastRenderedPageBreak/>
        <w:t>(5 651,4 млрд. рублей).</w:t>
      </w:r>
    </w:p>
    <w:p w14:paraId="6D4A2E04" w14:textId="77777777" w:rsidR="002B75D5" w:rsidRPr="002B75D5" w:rsidRDefault="002B75D5" w:rsidP="002B75D5">
      <w:pPr>
        <w:widowControl w:val="0"/>
        <w:spacing w:line="240" w:lineRule="auto"/>
        <w:ind w:left="0" w:right="0" w:hanging="284"/>
        <w:rPr>
          <w:sz w:val="12"/>
          <w:szCs w:val="12"/>
          <w:lang w:bidi="en-US"/>
        </w:rPr>
      </w:pPr>
    </w:p>
    <w:p w14:paraId="51D441A5" w14:textId="77777777" w:rsidR="00EA381A" w:rsidRPr="00213A5D" w:rsidRDefault="00F27FB8" w:rsidP="00455011">
      <w:pPr>
        <w:widowControl w:val="0"/>
        <w:spacing w:line="271" w:lineRule="auto"/>
        <w:ind w:left="0" w:right="0" w:hanging="284"/>
        <w:rPr>
          <w:sz w:val="24"/>
          <w:szCs w:val="24"/>
        </w:rPr>
      </w:pPr>
      <w:r w:rsidRPr="00213A5D">
        <w:rPr>
          <w:b/>
          <w:bCs/>
          <w:sz w:val="24"/>
          <w:szCs w:val="24"/>
        </w:rPr>
        <w:t>5</w:t>
      </w:r>
      <w:r w:rsidR="009D18F0" w:rsidRPr="00213A5D">
        <w:rPr>
          <w:b/>
          <w:bCs/>
          <w:sz w:val="24"/>
          <w:szCs w:val="24"/>
        </w:rPr>
        <w:t>.</w:t>
      </w:r>
      <w:r w:rsidR="009D18F0" w:rsidRPr="00213A5D">
        <w:rPr>
          <w:sz w:val="24"/>
          <w:szCs w:val="24"/>
        </w:rPr>
        <w:t> </w:t>
      </w:r>
      <w:r w:rsidR="00A36A69" w:rsidRPr="00213A5D">
        <w:rPr>
          <w:sz w:val="24"/>
          <w:szCs w:val="24"/>
          <w:lang w:eastAsia="en-US"/>
        </w:rPr>
        <w:t xml:space="preserve">Правительственной комиссией по вопросам оптимизации и повышения эффективности бюджетных расходов </w:t>
      </w:r>
      <w:r w:rsidR="00A36A69" w:rsidRPr="00213A5D">
        <w:rPr>
          <w:sz w:val="24"/>
          <w:szCs w:val="24"/>
          <w:lang w:bidi="en-US"/>
        </w:rPr>
        <w:t xml:space="preserve">в период с января по </w:t>
      </w:r>
      <w:r w:rsidR="00981D31" w:rsidRPr="00213A5D">
        <w:rPr>
          <w:sz w:val="24"/>
          <w:szCs w:val="24"/>
          <w:lang w:bidi="en-US"/>
        </w:rPr>
        <w:t>сентябрь</w:t>
      </w:r>
      <w:r w:rsidR="00A36A69" w:rsidRPr="00213A5D">
        <w:rPr>
          <w:sz w:val="24"/>
          <w:szCs w:val="24"/>
          <w:lang w:bidi="en-US"/>
        </w:rPr>
        <w:t xml:space="preserve"> 2022 года </w:t>
      </w:r>
      <w:r w:rsidR="00A36A69" w:rsidRPr="00213A5D">
        <w:rPr>
          <w:sz w:val="24"/>
          <w:szCs w:val="24"/>
        </w:rPr>
        <w:t xml:space="preserve">принимались меры </w:t>
      </w:r>
      <w:r w:rsidR="00AC1302" w:rsidRPr="00213A5D">
        <w:rPr>
          <w:sz w:val="24"/>
          <w:szCs w:val="24"/>
        </w:rPr>
        <w:br/>
      </w:r>
      <w:r w:rsidR="00A36A69" w:rsidRPr="00213A5D">
        <w:rPr>
          <w:sz w:val="24"/>
          <w:szCs w:val="24"/>
        </w:rPr>
        <w:t xml:space="preserve">по </w:t>
      </w:r>
      <w:r w:rsidR="006B3740" w:rsidRPr="00213A5D">
        <w:rPr>
          <w:sz w:val="24"/>
          <w:szCs w:val="24"/>
        </w:rPr>
        <w:t>соблюдению</w:t>
      </w:r>
      <w:r w:rsidR="0069297E" w:rsidRPr="00213A5D">
        <w:rPr>
          <w:sz w:val="24"/>
          <w:szCs w:val="24"/>
        </w:rPr>
        <w:t xml:space="preserve"> главными распорядителями</w:t>
      </w:r>
      <w:r w:rsidR="006B3740" w:rsidRPr="00213A5D">
        <w:rPr>
          <w:sz w:val="24"/>
          <w:szCs w:val="24"/>
        </w:rPr>
        <w:t xml:space="preserve"> бюджетных процедур, а также решения </w:t>
      </w:r>
      <w:r w:rsidR="00AC1302" w:rsidRPr="00213A5D">
        <w:rPr>
          <w:sz w:val="24"/>
          <w:szCs w:val="24"/>
        </w:rPr>
        <w:br/>
      </w:r>
      <w:r w:rsidR="006B3740" w:rsidRPr="00213A5D">
        <w:rPr>
          <w:sz w:val="24"/>
          <w:szCs w:val="24"/>
        </w:rPr>
        <w:t>по перераспределению бюджетных ассигнований с целью снижения</w:t>
      </w:r>
      <w:r w:rsidR="00A36A69" w:rsidRPr="00213A5D">
        <w:rPr>
          <w:sz w:val="24"/>
          <w:szCs w:val="24"/>
        </w:rPr>
        <w:t xml:space="preserve"> рисков их неисполнения.</w:t>
      </w:r>
      <w:r w:rsidR="00EA381A" w:rsidRPr="00213A5D">
        <w:rPr>
          <w:sz w:val="24"/>
          <w:szCs w:val="24"/>
        </w:rPr>
        <w:t xml:space="preserve"> </w:t>
      </w:r>
      <w:r w:rsidR="00472C9C" w:rsidRPr="00213A5D">
        <w:rPr>
          <w:sz w:val="24"/>
          <w:szCs w:val="24"/>
        </w:rPr>
        <w:t xml:space="preserve">По </w:t>
      </w:r>
      <w:r w:rsidR="005371DF" w:rsidRPr="00213A5D">
        <w:rPr>
          <w:sz w:val="24"/>
          <w:szCs w:val="24"/>
        </w:rPr>
        <w:t>принятым решениям внесены изменения в сводную роспись по</w:t>
      </w:r>
      <w:r w:rsidR="00472C9C" w:rsidRPr="00213A5D">
        <w:rPr>
          <w:sz w:val="24"/>
          <w:szCs w:val="24"/>
        </w:rPr>
        <w:t xml:space="preserve"> 3</w:t>
      </w:r>
      <w:r w:rsidR="000033D4" w:rsidRPr="00213A5D">
        <w:rPr>
          <w:sz w:val="24"/>
          <w:szCs w:val="24"/>
        </w:rPr>
        <w:t>1</w:t>
      </w:r>
      <w:r w:rsidR="00472C9C" w:rsidRPr="00213A5D">
        <w:rPr>
          <w:sz w:val="24"/>
          <w:szCs w:val="24"/>
        </w:rPr>
        <w:t> главн</w:t>
      </w:r>
      <w:r w:rsidR="000835D2" w:rsidRPr="00213A5D">
        <w:rPr>
          <w:sz w:val="24"/>
          <w:szCs w:val="24"/>
        </w:rPr>
        <w:t>ому</w:t>
      </w:r>
      <w:r w:rsidR="005371DF" w:rsidRPr="00213A5D">
        <w:rPr>
          <w:sz w:val="24"/>
          <w:szCs w:val="24"/>
        </w:rPr>
        <w:t xml:space="preserve"> распорядител</w:t>
      </w:r>
      <w:r w:rsidR="000835D2" w:rsidRPr="00213A5D">
        <w:rPr>
          <w:sz w:val="24"/>
          <w:szCs w:val="24"/>
        </w:rPr>
        <w:t>ю</w:t>
      </w:r>
      <w:r w:rsidR="00472C9C" w:rsidRPr="00213A5D">
        <w:rPr>
          <w:sz w:val="24"/>
          <w:szCs w:val="24"/>
        </w:rPr>
        <w:t xml:space="preserve"> </w:t>
      </w:r>
      <w:r w:rsidR="00EA381A" w:rsidRPr="00213A5D">
        <w:rPr>
          <w:sz w:val="24"/>
          <w:szCs w:val="24"/>
        </w:rPr>
        <w:t xml:space="preserve">о перераспределении </w:t>
      </w:r>
      <w:r w:rsidR="00472C9C" w:rsidRPr="00213A5D">
        <w:rPr>
          <w:sz w:val="24"/>
          <w:szCs w:val="24"/>
        </w:rPr>
        <w:t xml:space="preserve">бюджетных ассигнований на </w:t>
      </w:r>
      <w:r w:rsidR="00EA381A" w:rsidRPr="00213A5D">
        <w:rPr>
          <w:sz w:val="24"/>
          <w:szCs w:val="24"/>
        </w:rPr>
        <w:t xml:space="preserve">2022 год </w:t>
      </w:r>
      <w:r w:rsidR="000033D4" w:rsidRPr="00213A5D">
        <w:rPr>
          <w:sz w:val="24"/>
          <w:szCs w:val="24"/>
        </w:rPr>
        <w:t xml:space="preserve">в объеме </w:t>
      </w:r>
      <w:r w:rsidR="0069297E" w:rsidRPr="00213A5D">
        <w:rPr>
          <w:sz w:val="24"/>
          <w:szCs w:val="24"/>
        </w:rPr>
        <w:t xml:space="preserve">более </w:t>
      </w:r>
      <w:r w:rsidR="00EA381A" w:rsidRPr="00213A5D">
        <w:rPr>
          <w:sz w:val="24"/>
          <w:szCs w:val="24"/>
        </w:rPr>
        <w:t>125,0 млрд. рублей</w:t>
      </w:r>
      <w:r w:rsidR="000033D4" w:rsidRPr="00213A5D">
        <w:rPr>
          <w:rStyle w:val="aff2"/>
          <w:sz w:val="24"/>
          <w:szCs w:val="24"/>
        </w:rPr>
        <w:footnoteReference w:id="1"/>
      </w:r>
      <w:r w:rsidR="00EA381A" w:rsidRPr="00213A5D">
        <w:rPr>
          <w:sz w:val="24"/>
          <w:szCs w:val="24"/>
        </w:rPr>
        <w:t>, а т</w:t>
      </w:r>
      <w:r w:rsidR="00EA381A" w:rsidRPr="00213A5D">
        <w:rPr>
          <w:bCs/>
          <w:sz w:val="24"/>
          <w:szCs w:val="24"/>
        </w:rPr>
        <w:t xml:space="preserve">акже </w:t>
      </w:r>
      <w:r w:rsidR="000835D2" w:rsidRPr="00213A5D">
        <w:rPr>
          <w:sz w:val="24"/>
          <w:szCs w:val="24"/>
        </w:rPr>
        <w:t>направлено</w:t>
      </w:r>
      <w:r w:rsidR="00EA381A" w:rsidRPr="00213A5D">
        <w:rPr>
          <w:sz w:val="24"/>
          <w:szCs w:val="24"/>
        </w:rPr>
        <w:t xml:space="preserve"> </w:t>
      </w:r>
      <w:r w:rsidR="0069297E" w:rsidRPr="00213A5D">
        <w:rPr>
          <w:sz w:val="24"/>
          <w:szCs w:val="24"/>
        </w:rPr>
        <w:t>около 50,0</w:t>
      </w:r>
      <w:r w:rsidR="00EA381A" w:rsidRPr="00213A5D">
        <w:rPr>
          <w:sz w:val="24"/>
          <w:szCs w:val="24"/>
        </w:rPr>
        <w:t> млрд. рублей в резервный фонд Правительства Российской Федерации.</w:t>
      </w:r>
    </w:p>
    <w:p w14:paraId="56E729E3" w14:textId="77777777" w:rsidR="000033D4" w:rsidRPr="00213A5D" w:rsidRDefault="000033D4" w:rsidP="00AF1852">
      <w:pPr>
        <w:widowControl w:val="0"/>
        <w:spacing w:line="276" w:lineRule="auto"/>
        <w:ind w:left="0" w:right="0" w:hanging="284"/>
        <w:rPr>
          <w:sz w:val="10"/>
          <w:szCs w:val="10"/>
        </w:rPr>
      </w:pPr>
    </w:p>
    <w:p w14:paraId="7D3EC639" w14:textId="77777777" w:rsidR="00DC78B2" w:rsidRPr="00213A5D" w:rsidRDefault="000033D4" w:rsidP="00455011">
      <w:pPr>
        <w:widowControl w:val="0"/>
        <w:spacing w:line="271" w:lineRule="auto"/>
        <w:ind w:left="0" w:right="0" w:hanging="284"/>
        <w:rPr>
          <w:b/>
          <w:sz w:val="24"/>
          <w:szCs w:val="24"/>
        </w:rPr>
      </w:pPr>
      <w:r w:rsidRPr="00213A5D">
        <w:rPr>
          <w:b/>
          <w:sz w:val="24"/>
          <w:szCs w:val="24"/>
        </w:rPr>
        <w:t>6.</w:t>
      </w:r>
      <w:r w:rsidRPr="00213A5D">
        <w:rPr>
          <w:sz w:val="24"/>
          <w:szCs w:val="24"/>
        </w:rPr>
        <w:t> </w:t>
      </w:r>
      <w:r w:rsidR="003B5557" w:rsidRPr="00213A5D">
        <w:rPr>
          <w:sz w:val="24"/>
          <w:szCs w:val="24"/>
        </w:rPr>
        <w:t>К</w:t>
      </w:r>
      <w:r w:rsidR="00061DDD" w:rsidRPr="00213A5D">
        <w:rPr>
          <w:color w:val="000000"/>
          <w:sz w:val="24"/>
          <w:szCs w:val="24"/>
          <w:lang w:bidi="en-US"/>
        </w:rPr>
        <w:t xml:space="preserve">ассовое </w:t>
      </w:r>
      <w:r w:rsidR="00061DDD" w:rsidRPr="00213A5D">
        <w:rPr>
          <w:b/>
          <w:color w:val="000000"/>
          <w:sz w:val="24"/>
          <w:szCs w:val="24"/>
          <w:lang w:bidi="en-US"/>
        </w:rPr>
        <w:t xml:space="preserve">исполнение расходов </w:t>
      </w:r>
      <w:r w:rsidR="00061DDD" w:rsidRPr="00213A5D">
        <w:rPr>
          <w:color w:val="000000"/>
          <w:sz w:val="24"/>
          <w:szCs w:val="24"/>
          <w:lang w:bidi="en-US"/>
        </w:rPr>
        <w:t xml:space="preserve">составило </w:t>
      </w:r>
      <w:r w:rsidR="00677802" w:rsidRPr="00213A5D">
        <w:rPr>
          <w:b/>
          <w:color w:val="000000"/>
          <w:sz w:val="24"/>
          <w:szCs w:val="24"/>
          <w:lang w:bidi="en-US"/>
        </w:rPr>
        <w:t>19 654,0</w:t>
      </w:r>
      <w:r w:rsidR="00061DDD" w:rsidRPr="00213A5D">
        <w:rPr>
          <w:b/>
          <w:color w:val="000000"/>
          <w:sz w:val="24"/>
          <w:szCs w:val="24"/>
          <w:lang w:bidi="en-US"/>
        </w:rPr>
        <w:t> млрд. рублей</w:t>
      </w:r>
      <w:r w:rsidR="00061DDD" w:rsidRPr="00213A5D">
        <w:rPr>
          <w:color w:val="000000"/>
          <w:sz w:val="24"/>
          <w:szCs w:val="24"/>
          <w:lang w:bidi="en-US"/>
        </w:rPr>
        <w:t xml:space="preserve">, или </w:t>
      </w:r>
      <w:r w:rsidR="00677802" w:rsidRPr="00213A5D">
        <w:rPr>
          <w:b/>
          <w:color w:val="000000"/>
          <w:sz w:val="24"/>
          <w:szCs w:val="24"/>
          <w:lang w:bidi="en-US"/>
        </w:rPr>
        <w:t>70,1</w:t>
      </w:r>
      <w:r w:rsidR="00061DDD" w:rsidRPr="00213A5D">
        <w:rPr>
          <w:b/>
          <w:color w:val="000000"/>
          <w:sz w:val="24"/>
          <w:szCs w:val="24"/>
          <w:lang w:bidi="en-US"/>
        </w:rPr>
        <w:t> %</w:t>
      </w:r>
      <w:r w:rsidR="00061DDD" w:rsidRPr="00213A5D">
        <w:rPr>
          <w:color w:val="000000"/>
          <w:sz w:val="24"/>
          <w:szCs w:val="24"/>
          <w:lang w:bidi="en-US"/>
        </w:rPr>
        <w:t xml:space="preserve"> показателя сводной росписи с изменениями, что </w:t>
      </w:r>
      <w:r w:rsidRPr="00213A5D">
        <w:rPr>
          <w:color w:val="000000"/>
          <w:sz w:val="24"/>
          <w:szCs w:val="24"/>
          <w:lang w:bidi="en-US"/>
        </w:rPr>
        <w:t xml:space="preserve">практически соответствует уровню исполнения </w:t>
      </w:r>
      <w:r w:rsidR="000835D2" w:rsidRPr="00213A5D">
        <w:rPr>
          <w:color w:val="000000"/>
          <w:sz w:val="24"/>
          <w:szCs w:val="24"/>
          <w:lang w:bidi="en-US"/>
        </w:rPr>
        <w:br/>
      </w:r>
      <w:r w:rsidRPr="00213A5D">
        <w:rPr>
          <w:color w:val="000000"/>
          <w:sz w:val="24"/>
          <w:szCs w:val="24"/>
          <w:lang w:bidi="en-US"/>
        </w:rPr>
        <w:t>за январь – сентябрь 2021 года (69,6 %)</w:t>
      </w:r>
      <w:r w:rsidR="00061DDD" w:rsidRPr="00213A5D">
        <w:rPr>
          <w:sz w:val="24"/>
          <w:szCs w:val="24"/>
          <w:lang w:bidi="en-US"/>
        </w:rPr>
        <w:t>.</w:t>
      </w:r>
      <w:r w:rsidR="00061DDD" w:rsidRPr="00213A5D">
        <w:rPr>
          <w:sz w:val="24"/>
          <w:szCs w:val="24"/>
        </w:rPr>
        <w:t xml:space="preserve"> </w:t>
      </w:r>
      <w:r w:rsidRPr="00213A5D">
        <w:rPr>
          <w:sz w:val="24"/>
          <w:szCs w:val="24"/>
        </w:rPr>
        <w:t xml:space="preserve">При этом </w:t>
      </w:r>
      <w:r w:rsidRPr="00213A5D">
        <w:rPr>
          <w:b/>
          <w:sz w:val="24"/>
          <w:szCs w:val="24"/>
        </w:rPr>
        <w:t>о</w:t>
      </w:r>
      <w:r w:rsidR="00DC78B2" w:rsidRPr="00213A5D">
        <w:rPr>
          <w:b/>
          <w:sz w:val="24"/>
          <w:szCs w:val="24"/>
        </w:rPr>
        <w:t>бъем</w:t>
      </w:r>
      <w:r w:rsidR="00DC78B2" w:rsidRPr="00213A5D">
        <w:rPr>
          <w:sz w:val="24"/>
          <w:szCs w:val="24"/>
        </w:rPr>
        <w:t xml:space="preserve"> исполненных расходов </w:t>
      </w:r>
      <w:r w:rsidR="000835D2" w:rsidRPr="00213A5D">
        <w:rPr>
          <w:sz w:val="24"/>
          <w:szCs w:val="24"/>
        </w:rPr>
        <w:br/>
      </w:r>
      <w:r w:rsidR="00DC78B2" w:rsidRPr="00213A5D">
        <w:rPr>
          <w:b/>
          <w:sz w:val="24"/>
          <w:szCs w:val="24"/>
        </w:rPr>
        <w:t xml:space="preserve">на </w:t>
      </w:r>
      <w:r w:rsidR="00EC33F2" w:rsidRPr="00213A5D">
        <w:rPr>
          <w:b/>
          <w:sz w:val="24"/>
          <w:szCs w:val="24"/>
        </w:rPr>
        <w:t>3 355,1</w:t>
      </w:r>
      <w:r w:rsidR="00DC78B2" w:rsidRPr="00213A5D">
        <w:rPr>
          <w:b/>
          <w:sz w:val="24"/>
          <w:szCs w:val="24"/>
        </w:rPr>
        <w:t xml:space="preserve"> млрд. рублей, или на </w:t>
      </w:r>
      <w:r w:rsidR="00EC33F2" w:rsidRPr="00213A5D">
        <w:rPr>
          <w:b/>
          <w:sz w:val="24"/>
          <w:szCs w:val="24"/>
        </w:rPr>
        <w:t>20,6</w:t>
      </w:r>
      <w:r w:rsidR="00DC78B2" w:rsidRPr="00213A5D">
        <w:rPr>
          <w:b/>
          <w:sz w:val="24"/>
          <w:szCs w:val="24"/>
        </w:rPr>
        <w:t> %, больше</w:t>
      </w:r>
      <w:r w:rsidR="00DC78B2" w:rsidRPr="00213A5D">
        <w:rPr>
          <w:sz w:val="24"/>
          <w:szCs w:val="24"/>
        </w:rPr>
        <w:t xml:space="preserve"> аналогичн</w:t>
      </w:r>
      <w:r w:rsidR="00F6796F" w:rsidRPr="00213A5D">
        <w:rPr>
          <w:sz w:val="24"/>
          <w:szCs w:val="24"/>
        </w:rPr>
        <w:t xml:space="preserve">ого показателя </w:t>
      </w:r>
      <w:r w:rsidR="000835D2" w:rsidRPr="00213A5D">
        <w:rPr>
          <w:sz w:val="24"/>
          <w:szCs w:val="24"/>
        </w:rPr>
        <w:br/>
      </w:r>
      <w:r w:rsidR="00F6796F" w:rsidRPr="00213A5D">
        <w:rPr>
          <w:sz w:val="24"/>
          <w:szCs w:val="24"/>
        </w:rPr>
        <w:t>предыдущего года</w:t>
      </w:r>
      <w:r w:rsidR="00DC78B2" w:rsidRPr="00213A5D">
        <w:rPr>
          <w:b/>
          <w:sz w:val="24"/>
          <w:szCs w:val="24"/>
        </w:rPr>
        <w:t>.</w:t>
      </w:r>
    </w:p>
    <w:p w14:paraId="6C4773F6" w14:textId="77777777" w:rsidR="001304F8" w:rsidRPr="00213A5D" w:rsidRDefault="001304F8" w:rsidP="00AF1852">
      <w:pPr>
        <w:widowControl w:val="0"/>
        <w:spacing w:line="276" w:lineRule="auto"/>
        <w:ind w:left="0" w:right="0" w:hanging="284"/>
        <w:rPr>
          <w:bCs/>
          <w:sz w:val="10"/>
          <w:szCs w:val="10"/>
          <w:lang w:bidi="en-US"/>
        </w:rPr>
      </w:pPr>
    </w:p>
    <w:p w14:paraId="0C389CEE" w14:textId="77777777" w:rsidR="00755A49" w:rsidRPr="00213A5D" w:rsidRDefault="000033D4" w:rsidP="00455011">
      <w:pPr>
        <w:widowControl w:val="0"/>
        <w:spacing w:line="271" w:lineRule="auto"/>
        <w:ind w:left="0" w:right="0" w:hanging="284"/>
        <w:rPr>
          <w:bCs/>
          <w:sz w:val="24"/>
          <w:szCs w:val="24"/>
        </w:rPr>
      </w:pPr>
      <w:r w:rsidRPr="00213A5D">
        <w:rPr>
          <w:b/>
          <w:sz w:val="24"/>
          <w:szCs w:val="24"/>
        </w:rPr>
        <w:t>7</w:t>
      </w:r>
      <w:r w:rsidR="001304F8" w:rsidRPr="00213A5D">
        <w:rPr>
          <w:b/>
          <w:sz w:val="24"/>
          <w:szCs w:val="24"/>
        </w:rPr>
        <w:t>.</w:t>
      </w:r>
      <w:r w:rsidR="001304F8" w:rsidRPr="00213A5D">
        <w:rPr>
          <w:sz w:val="24"/>
          <w:szCs w:val="24"/>
        </w:rPr>
        <w:t> </w:t>
      </w:r>
      <w:r w:rsidR="001304F8" w:rsidRPr="00213A5D">
        <w:rPr>
          <w:bCs/>
          <w:sz w:val="24"/>
          <w:szCs w:val="24"/>
        </w:rPr>
        <w:t>Исходя из объема исполненных расходов на 1 октября 202</w:t>
      </w:r>
      <w:r w:rsidR="00E9534A" w:rsidRPr="00213A5D">
        <w:rPr>
          <w:bCs/>
          <w:sz w:val="24"/>
          <w:szCs w:val="24"/>
        </w:rPr>
        <w:t>2</w:t>
      </w:r>
      <w:r w:rsidR="001304F8" w:rsidRPr="00213A5D">
        <w:rPr>
          <w:bCs/>
          <w:sz w:val="24"/>
          <w:szCs w:val="24"/>
        </w:rPr>
        <w:t> года и</w:t>
      </w:r>
      <w:r w:rsidR="001304F8" w:rsidRPr="00213A5D">
        <w:rPr>
          <w:b/>
          <w:bCs/>
          <w:sz w:val="24"/>
          <w:szCs w:val="24"/>
        </w:rPr>
        <w:t xml:space="preserve"> </w:t>
      </w:r>
      <w:r w:rsidR="001304F8" w:rsidRPr="00213A5D">
        <w:rPr>
          <w:bCs/>
          <w:sz w:val="24"/>
          <w:szCs w:val="24"/>
        </w:rPr>
        <w:t xml:space="preserve">бюджетных ассигнований сводной росписи с изменениями расходы в </w:t>
      </w:r>
      <w:r w:rsidR="001304F8" w:rsidRPr="00213A5D">
        <w:rPr>
          <w:bCs/>
          <w:sz w:val="24"/>
          <w:szCs w:val="24"/>
          <w:lang w:val="en-US"/>
        </w:rPr>
        <w:t>IV</w:t>
      </w:r>
      <w:r w:rsidR="001304F8" w:rsidRPr="00213A5D">
        <w:rPr>
          <w:bCs/>
          <w:sz w:val="24"/>
          <w:szCs w:val="24"/>
        </w:rPr>
        <w:t> квартале 202</w:t>
      </w:r>
      <w:r w:rsidR="00E9534A" w:rsidRPr="00213A5D">
        <w:rPr>
          <w:bCs/>
          <w:sz w:val="24"/>
          <w:szCs w:val="24"/>
        </w:rPr>
        <w:t>2</w:t>
      </w:r>
      <w:r w:rsidR="001304F8" w:rsidRPr="00213A5D">
        <w:rPr>
          <w:bCs/>
          <w:sz w:val="24"/>
          <w:szCs w:val="24"/>
        </w:rPr>
        <w:t xml:space="preserve"> года должны составить </w:t>
      </w:r>
      <w:r w:rsidR="00E9534A" w:rsidRPr="00213A5D">
        <w:rPr>
          <w:b/>
          <w:bCs/>
          <w:sz w:val="24"/>
          <w:szCs w:val="24"/>
        </w:rPr>
        <w:t>8 393,2</w:t>
      </w:r>
      <w:r w:rsidR="001304F8" w:rsidRPr="00213A5D">
        <w:rPr>
          <w:b/>
          <w:bCs/>
          <w:sz w:val="24"/>
          <w:szCs w:val="24"/>
        </w:rPr>
        <w:t> млрд. рублей</w:t>
      </w:r>
      <w:r w:rsidR="00006200" w:rsidRPr="00213A5D">
        <w:rPr>
          <w:b/>
          <w:bCs/>
          <w:sz w:val="24"/>
          <w:szCs w:val="24"/>
        </w:rPr>
        <w:t xml:space="preserve">, или 29,9 % </w:t>
      </w:r>
      <w:r w:rsidR="00006200" w:rsidRPr="00213A5D">
        <w:rPr>
          <w:bCs/>
          <w:sz w:val="24"/>
          <w:szCs w:val="24"/>
        </w:rPr>
        <w:t>показателя сводной росписи с изменениями</w:t>
      </w:r>
      <w:r w:rsidR="00E9534A" w:rsidRPr="00213A5D">
        <w:rPr>
          <w:bCs/>
          <w:sz w:val="24"/>
          <w:szCs w:val="24"/>
        </w:rPr>
        <w:t>,</w:t>
      </w:r>
      <w:r w:rsidR="00E9534A" w:rsidRPr="00213A5D">
        <w:rPr>
          <w:b/>
          <w:bCs/>
          <w:sz w:val="24"/>
          <w:szCs w:val="24"/>
        </w:rPr>
        <w:t xml:space="preserve"> </w:t>
      </w:r>
      <w:r w:rsidR="00E9534A" w:rsidRPr="00213A5D">
        <w:rPr>
          <w:bCs/>
          <w:sz w:val="24"/>
          <w:szCs w:val="24"/>
        </w:rPr>
        <w:t>что</w:t>
      </w:r>
      <w:r w:rsidR="00E9534A" w:rsidRPr="00213A5D">
        <w:rPr>
          <w:b/>
          <w:bCs/>
          <w:sz w:val="24"/>
          <w:szCs w:val="24"/>
        </w:rPr>
        <w:t xml:space="preserve"> </w:t>
      </w:r>
      <w:r w:rsidR="00E9534A" w:rsidRPr="00213A5D">
        <w:rPr>
          <w:bCs/>
          <w:sz w:val="24"/>
          <w:szCs w:val="24"/>
        </w:rPr>
        <w:t xml:space="preserve">практически соответствует объему исполнения расходов федерального бюджета в </w:t>
      </w:r>
      <w:r w:rsidR="00E9534A" w:rsidRPr="00213A5D">
        <w:rPr>
          <w:bCs/>
          <w:sz w:val="24"/>
          <w:szCs w:val="24"/>
          <w:lang w:val="en-US"/>
        </w:rPr>
        <w:t>IV</w:t>
      </w:r>
      <w:r w:rsidR="00E9534A" w:rsidRPr="00213A5D">
        <w:rPr>
          <w:bCs/>
          <w:sz w:val="24"/>
          <w:szCs w:val="24"/>
        </w:rPr>
        <w:t> квартале 2021 года (8 463,2 млрд. рублей</w:t>
      </w:r>
      <w:r w:rsidR="0044719B" w:rsidRPr="00213A5D">
        <w:rPr>
          <w:bCs/>
          <w:sz w:val="24"/>
          <w:szCs w:val="24"/>
        </w:rPr>
        <w:t>, или 34,2 % объема исполненных расходов</w:t>
      </w:r>
      <w:r w:rsidR="00E9534A" w:rsidRPr="00213A5D">
        <w:rPr>
          <w:bCs/>
          <w:sz w:val="24"/>
          <w:szCs w:val="24"/>
        </w:rPr>
        <w:t>)</w:t>
      </w:r>
      <w:r w:rsidR="001304F8" w:rsidRPr="00213A5D">
        <w:rPr>
          <w:bCs/>
          <w:sz w:val="24"/>
          <w:szCs w:val="24"/>
        </w:rPr>
        <w:t>.</w:t>
      </w:r>
    </w:p>
    <w:p w14:paraId="72E913F9" w14:textId="77777777" w:rsidR="00755A49" w:rsidRPr="00213A5D" w:rsidRDefault="00755A49" w:rsidP="00AF1852">
      <w:pPr>
        <w:widowControl w:val="0"/>
        <w:spacing w:line="276" w:lineRule="auto"/>
        <w:ind w:left="0" w:right="0" w:hanging="284"/>
        <w:rPr>
          <w:sz w:val="10"/>
          <w:szCs w:val="10"/>
        </w:rPr>
      </w:pPr>
    </w:p>
    <w:p w14:paraId="72B03C87" w14:textId="77777777" w:rsidR="0089666B" w:rsidRPr="00213A5D" w:rsidRDefault="000033D4" w:rsidP="00455011">
      <w:pPr>
        <w:widowControl w:val="0"/>
        <w:spacing w:line="271" w:lineRule="auto"/>
        <w:ind w:left="0" w:right="0" w:hanging="284"/>
        <w:rPr>
          <w:rFonts w:eastAsia="Times New Roman"/>
          <w:bCs/>
          <w:sz w:val="24"/>
          <w:szCs w:val="24"/>
        </w:rPr>
      </w:pPr>
      <w:r w:rsidRPr="00213A5D">
        <w:rPr>
          <w:b/>
          <w:bCs/>
          <w:sz w:val="24"/>
          <w:szCs w:val="24"/>
        </w:rPr>
        <w:t>8</w:t>
      </w:r>
      <w:r w:rsidR="00755A49" w:rsidRPr="00213A5D">
        <w:rPr>
          <w:b/>
          <w:bCs/>
          <w:sz w:val="24"/>
          <w:szCs w:val="24"/>
        </w:rPr>
        <w:t>.</w:t>
      </w:r>
      <w:r w:rsidR="00755A49" w:rsidRPr="00213A5D">
        <w:rPr>
          <w:bCs/>
          <w:sz w:val="24"/>
          <w:szCs w:val="24"/>
        </w:rPr>
        <w:t> </w:t>
      </w:r>
      <w:r w:rsidR="00126226" w:rsidRPr="00213A5D">
        <w:rPr>
          <w:b/>
          <w:bCs/>
          <w:sz w:val="24"/>
          <w:szCs w:val="24"/>
        </w:rPr>
        <w:t>З</w:t>
      </w:r>
      <w:r w:rsidR="00755A49" w:rsidRPr="00213A5D">
        <w:rPr>
          <w:b/>
          <w:bCs/>
          <w:sz w:val="24"/>
          <w:szCs w:val="24"/>
        </w:rPr>
        <w:t xml:space="preserve">аблокированы </w:t>
      </w:r>
      <w:r w:rsidR="00126226" w:rsidRPr="00213A5D">
        <w:rPr>
          <w:b/>
          <w:bCs/>
          <w:sz w:val="24"/>
          <w:szCs w:val="24"/>
        </w:rPr>
        <w:t>л</w:t>
      </w:r>
      <w:r w:rsidR="00126226" w:rsidRPr="00213A5D">
        <w:rPr>
          <w:b/>
          <w:sz w:val="24"/>
          <w:szCs w:val="24"/>
        </w:rPr>
        <w:t>имиты</w:t>
      </w:r>
      <w:r w:rsidR="00126226" w:rsidRPr="00213A5D">
        <w:rPr>
          <w:sz w:val="24"/>
          <w:szCs w:val="24"/>
        </w:rPr>
        <w:t xml:space="preserve"> бюджетных обязательств</w:t>
      </w:r>
      <w:r w:rsidR="00126226" w:rsidRPr="00213A5D">
        <w:rPr>
          <w:bCs/>
          <w:sz w:val="24"/>
          <w:szCs w:val="24"/>
        </w:rPr>
        <w:t xml:space="preserve"> </w:t>
      </w:r>
      <w:r w:rsidR="00755A49" w:rsidRPr="00213A5D">
        <w:rPr>
          <w:bCs/>
          <w:sz w:val="24"/>
          <w:szCs w:val="24"/>
        </w:rPr>
        <w:t>в сумме</w:t>
      </w:r>
      <w:r w:rsidR="00755A49" w:rsidRPr="00213A5D">
        <w:rPr>
          <w:b/>
          <w:bCs/>
          <w:sz w:val="24"/>
          <w:szCs w:val="24"/>
        </w:rPr>
        <w:t xml:space="preserve"> 544,2 млрд. рублей</w:t>
      </w:r>
      <w:r w:rsidR="00755A49" w:rsidRPr="00213A5D">
        <w:rPr>
          <w:sz w:val="24"/>
          <w:szCs w:val="24"/>
        </w:rPr>
        <w:t xml:space="preserve"> (1,9 % показателя сводной росписи с изменениями)</w:t>
      </w:r>
      <w:r w:rsidR="00126226" w:rsidRPr="00213A5D">
        <w:rPr>
          <w:sz w:val="24"/>
          <w:szCs w:val="24"/>
        </w:rPr>
        <w:t xml:space="preserve">, </w:t>
      </w:r>
      <w:r w:rsidR="001304F8" w:rsidRPr="00213A5D">
        <w:rPr>
          <w:b/>
          <w:bCs/>
          <w:sz w:val="24"/>
          <w:szCs w:val="24"/>
        </w:rPr>
        <w:t>не распределен</w:t>
      </w:r>
      <w:r w:rsidR="000835D2" w:rsidRPr="00213A5D">
        <w:rPr>
          <w:b/>
          <w:bCs/>
          <w:sz w:val="24"/>
          <w:szCs w:val="24"/>
        </w:rPr>
        <w:t>о</w:t>
      </w:r>
      <w:r w:rsidR="001304F8" w:rsidRPr="00213A5D">
        <w:rPr>
          <w:b/>
          <w:bCs/>
          <w:sz w:val="24"/>
          <w:szCs w:val="24"/>
        </w:rPr>
        <w:t xml:space="preserve"> </w:t>
      </w:r>
      <w:r w:rsidR="001304F8" w:rsidRPr="00213A5D">
        <w:rPr>
          <w:bCs/>
          <w:sz w:val="24"/>
          <w:szCs w:val="24"/>
        </w:rPr>
        <w:t>по распорядителям</w:t>
      </w:r>
      <w:r w:rsidR="001304F8" w:rsidRPr="00213A5D">
        <w:rPr>
          <w:b/>
          <w:bCs/>
          <w:sz w:val="24"/>
          <w:szCs w:val="24"/>
        </w:rPr>
        <w:t xml:space="preserve"> </w:t>
      </w:r>
      <w:r w:rsidR="001304F8" w:rsidRPr="00213A5D">
        <w:rPr>
          <w:bCs/>
          <w:sz w:val="24"/>
          <w:szCs w:val="24"/>
        </w:rPr>
        <w:t xml:space="preserve">(получателям) бюджетных средств </w:t>
      </w:r>
      <w:r w:rsidR="008951C7" w:rsidRPr="00213A5D">
        <w:rPr>
          <w:b/>
          <w:bCs/>
          <w:sz w:val="24"/>
          <w:szCs w:val="24"/>
        </w:rPr>
        <w:t>1 077,9</w:t>
      </w:r>
      <w:r w:rsidR="001304F8" w:rsidRPr="00213A5D">
        <w:rPr>
          <w:b/>
          <w:bCs/>
          <w:sz w:val="24"/>
          <w:szCs w:val="24"/>
        </w:rPr>
        <w:t> млрд. рублей</w:t>
      </w:r>
      <w:r w:rsidR="001304F8" w:rsidRPr="00213A5D">
        <w:rPr>
          <w:sz w:val="24"/>
          <w:szCs w:val="24"/>
        </w:rPr>
        <w:t xml:space="preserve"> (</w:t>
      </w:r>
      <w:r w:rsidR="008951C7" w:rsidRPr="00213A5D">
        <w:rPr>
          <w:sz w:val="24"/>
          <w:szCs w:val="24"/>
        </w:rPr>
        <w:t>4,1</w:t>
      </w:r>
      <w:r w:rsidR="001304F8" w:rsidRPr="00213A5D">
        <w:rPr>
          <w:sz w:val="24"/>
          <w:szCs w:val="24"/>
        </w:rPr>
        <w:t> % доведенных лимитов)</w:t>
      </w:r>
      <w:r w:rsidR="0034320D" w:rsidRPr="00213A5D">
        <w:rPr>
          <w:sz w:val="24"/>
          <w:szCs w:val="24"/>
        </w:rPr>
        <w:t xml:space="preserve">, </w:t>
      </w:r>
      <w:r w:rsidR="000835D2" w:rsidRPr="00213A5D">
        <w:rPr>
          <w:sz w:val="24"/>
          <w:szCs w:val="24"/>
        </w:rPr>
        <w:br/>
      </w:r>
      <w:r w:rsidR="0034320D" w:rsidRPr="00213A5D">
        <w:rPr>
          <w:b/>
          <w:sz w:val="24"/>
          <w:szCs w:val="24"/>
        </w:rPr>
        <w:t>н</w:t>
      </w:r>
      <w:r w:rsidR="001304F8" w:rsidRPr="00213A5D">
        <w:rPr>
          <w:b/>
          <w:bCs/>
          <w:sz w:val="24"/>
          <w:szCs w:val="24"/>
        </w:rPr>
        <w:t>е приняты бюджетные обязательства</w:t>
      </w:r>
      <w:r w:rsidR="001304F8" w:rsidRPr="00213A5D">
        <w:rPr>
          <w:bCs/>
          <w:sz w:val="24"/>
          <w:szCs w:val="24"/>
        </w:rPr>
        <w:t xml:space="preserve"> в сумме </w:t>
      </w:r>
      <w:r w:rsidR="00755A49" w:rsidRPr="00213A5D">
        <w:rPr>
          <w:b/>
          <w:bCs/>
          <w:sz w:val="24"/>
          <w:szCs w:val="24"/>
        </w:rPr>
        <w:t>4 278,1</w:t>
      </w:r>
      <w:r w:rsidR="001304F8" w:rsidRPr="00213A5D">
        <w:rPr>
          <w:b/>
          <w:bCs/>
          <w:sz w:val="24"/>
          <w:szCs w:val="24"/>
        </w:rPr>
        <w:t> млрд. рублей</w:t>
      </w:r>
      <w:r w:rsidR="00755A49" w:rsidRPr="00213A5D">
        <w:rPr>
          <w:b/>
          <w:bCs/>
          <w:sz w:val="24"/>
          <w:szCs w:val="24"/>
        </w:rPr>
        <w:t xml:space="preserve"> </w:t>
      </w:r>
      <w:r w:rsidR="00755A49" w:rsidRPr="00213A5D">
        <w:rPr>
          <w:bCs/>
          <w:sz w:val="24"/>
          <w:szCs w:val="24"/>
        </w:rPr>
        <w:t xml:space="preserve">(15,3 % </w:t>
      </w:r>
      <w:r w:rsidR="00755A49" w:rsidRPr="00213A5D">
        <w:rPr>
          <w:bCs/>
          <w:color w:val="000000"/>
          <w:sz w:val="24"/>
          <w:szCs w:val="24"/>
          <w:lang w:bidi="en-US"/>
        </w:rPr>
        <w:t>сводной росписи с изменениями</w:t>
      </w:r>
      <w:r w:rsidR="00755A49" w:rsidRPr="00213A5D">
        <w:rPr>
          <w:bCs/>
          <w:sz w:val="24"/>
          <w:szCs w:val="24"/>
        </w:rPr>
        <w:t>)</w:t>
      </w:r>
      <w:r w:rsidR="00DC3BA7" w:rsidRPr="00213A5D">
        <w:rPr>
          <w:bCs/>
          <w:sz w:val="24"/>
          <w:szCs w:val="24"/>
        </w:rPr>
        <w:t>, их з</w:t>
      </w:r>
      <w:r w:rsidR="0089666B" w:rsidRPr="00213A5D">
        <w:rPr>
          <w:sz w:val="24"/>
          <w:szCs w:val="24"/>
        </w:rPr>
        <w:t xml:space="preserve">начительный </w:t>
      </w:r>
      <w:r w:rsidR="0089666B" w:rsidRPr="00213A5D">
        <w:rPr>
          <w:rFonts w:eastAsia="Times New Roman"/>
          <w:bCs/>
          <w:sz w:val="24"/>
          <w:szCs w:val="24"/>
        </w:rPr>
        <w:t>объем отмечается по 7 главным распорядителям</w:t>
      </w:r>
      <w:r w:rsidR="0089666B" w:rsidRPr="00213A5D">
        <w:rPr>
          <w:rFonts w:eastAsia="Times New Roman"/>
          <w:bCs/>
          <w:sz w:val="24"/>
          <w:szCs w:val="24"/>
          <w:vertAlign w:val="superscript"/>
        </w:rPr>
        <w:footnoteReference w:id="2"/>
      </w:r>
      <w:r w:rsidR="0089666B" w:rsidRPr="00213A5D">
        <w:rPr>
          <w:rFonts w:eastAsia="Times New Roman"/>
          <w:bCs/>
          <w:sz w:val="24"/>
          <w:szCs w:val="24"/>
        </w:rPr>
        <w:t>.</w:t>
      </w:r>
    </w:p>
    <w:p w14:paraId="6E0EF7A8" w14:textId="77777777" w:rsidR="00DC78B2" w:rsidRPr="00213A5D" w:rsidRDefault="00DC78B2" w:rsidP="00AF1852">
      <w:pPr>
        <w:widowControl w:val="0"/>
        <w:spacing w:line="276" w:lineRule="auto"/>
        <w:ind w:left="0" w:right="0" w:hanging="284"/>
        <w:rPr>
          <w:sz w:val="10"/>
          <w:szCs w:val="10"/>
        </w:rPr>
      </w:pPr>
    </w:p>
    <w:p w14:paraId="4F3FE888" w14:textId="77777777" w:rsidR="006F7986" w:rsidRPr="00213A5D" w:rsidRDefault="00DC3BA7" w:rsidP="00455011">
      <w:pPr>
        <w:widowControl w:val="0"/>
        <w:spacing w:line="271" w:lineRule="auto"/>
        <w:ind w:left="0" w:right="0" w:hanging="284"/>
        <w:rPr>
          <w:b/>
          <w:bCs/>
          <w:sz w:val="24"/>
          <w:szCs w:val="24"/>
          <w:lang w:bidi="en-US"/>
        </w:rPr>
      </w:pPr>
      <w:r w:rsidRPr="00213A5D">
        <w:rPr>
          <w:b/>
          <w:sz w:val="24"/>
          <w:szCs w:val="24"/>
          <w:lang w:bidi="en-US"/>
        </w:rPr>
        <w:t>9</w:t>
      </w:r>
      <w:r w:rsidR="00694E80" w:rsidRPr="00213A5D">
        <w:rPr>
          <w:b/>
          <w:sz w:val="24"/>
          <w:szCs w:val="24"/>
          <w:lang w:bidi="en-US"/>
        </w:rPr>
        <w:t>. </w:t>
      </w:r>
      <w:r w:rsidRPr="00213A5D">
        <w:rPr>
          <w:sz w:val="24"/>
          <w:szCs w:val="24"/>
          <w:lang w:bidi="en-US"/>
        </w:rPr>
        <w:t>В соответствии с Федеральным законом № 390-ФЗ р</w:t>
      </w:r>
      <w:r w:rsidRPr="00213A5D">
        <w:rPr>
          <w:bCs/>
          <w:sz w:val="24"/>
          <w:szCs w:val="24"/>
          <w:lang w:bidi="en-US"/>
        </w:rPr>
        <w:t xml:space="preserve">езервный фонд Правительства Российской Федерации утвержден в объеме 291,9 млрд. рублей, </w:t>
      </w:r>
      <w:r w:rsidRPr="00213A5D">
        <w:rPr>
          <w:b/>
          <w:bCs/>
          <w:sz w:val="24"/>
          <w:szCs w:val="24"/>
          <w:lang w:bidi="en-US"/>
        </w:rPr>
        <w:t>увеличен</w:t>
      </w:r>
      <w:r w:rsidRPr="00213A5D">
        <w:rPr>
          <w:bCs/>
          <w:sz w:val="24"/>
          <w:szCs w:val="24"/>
          <w:lang w:bidi="en-US"/>
        </w:rPr>
        <w:t xml:space="preserve"> сводной росписью </w:t>
      </w:r>
      <w:r w:rsidR="006F7986" w:rsidRPr="00213A5D">
        <w:rPr>
          <w:bCs/>
          <w:sz w:val="24"/>
          <w:szCs w:val="24"/>
          <w:lang w:bidi="en-US"/>
        </w:rPr>
        <w:t xml:space="preserve">на </w:t>
      </w:r>
      <w:r w:rsidR="006F7986" w:rsidRPr="00213A5D">
        <w:rPr>
          <w:b/>
          <w:bCs/>
          <w:sz w:val="24"/>
          <w:szCs w:val="24"/>
          <w:lang w:bidi="en-US"/>
        </w:rPr>
        <w:t>4 044,0</w:t>
      </w:r>
      <w:r w:rsidR="006F7986" w:rsidRPr="00213A5D">
        <w:rPr>
          <w:rFonts w:eastAsia="Times New Roman"/>
          <w:b/>
          <w:sz w:val="24"/>
          <w:szCs w:val="24"/>
        </w:rPr>
        <w:t> млрд. рублей</w:t>
      </w:r>
      <w:r w:rsidR="006F7986" w:rsidRPr="00213A5D">
        <w:rPr>
          <w:bCs/>
          <w:sz w:val="24"/>
          <w:szCs w:val="24"/>
          <w:lang w:bidi="en-US"/>
        </w:rPr>
        <w:t xml:space="preserve"> и </w:t>
      </w:r>
      <w:r w:rsidRPr="00213A5D">
        <w:rPr>
          <w:b/>
          <w:bCs/>
          <w:sz w:val="24"/>
          <w:szCs w:val="24"/>
          <w:lang w:bidi="en-US"/>
        </w:rPr>
        <w:t>составил 4 335,8 млрд. рублей</w:t>
      </w:r>
      <w:r w:rsidRPr="00213A5D">
        <w:rPr>
          <w:bCs/>
          <w:sz w:val="24"/>
          <w:szCs w:val="24"/>
          <w:lang w:bidi="en-US"/>
        </w:rPr>
        <w:t xml:space="preserve">. </w:t>
      </w:r>
      <w:r w:rsidRPr="00213A5D">
        <w:rPr>
          <w:b/>
          <w:bCs/>
          <w:sz w:val="24"/>
          <w:szCs w:val="24"/>
          <w:lang w:bidi="en-US"/>
        </w:rPr>
        <w:t>И</w:t>
      </w:r>
      <w:r w:rsidR="006F7986" w:rsidRPr="00213A5D">
        <w:rPr>
          <w:b/>
          <w:bCs/>
          <w:sz w:val="24"/>
          <w:szCs w:val="24"/>
          <w:lang w:bidi="en-US"/>
        </w:rPr>
        <w:t>спользовани</w:t>
      </w:r>
      <w:r w:rsidRPr="00213A5D">
        <w:rPr>
          <w:b/>
          <w:bCs/>
          <w:sz w:val="24"/>
          <w:szCs w:val="24"/>
          <w:lang w:bidi="en-US"/>
        </w:rPr>
        <w:t>е</w:t>
      </w:r>
      <w:r w:rsidR="006F7986" w:rsidRPr="00213A5D">
        <w:rPr>
          <w:bCs/>
          <w:sz w:val="24"/>
          <w:szCs w:val="24"/>
          <w:lang w:bidi="en-US"/>
        </w:rPr>
        <w:t xml:space="preserve"> </w:t>
      </w:r>
      <w:r w:rsidR="00B11B89" w:rsidRPr="00213A5D">
        <w:rPr>
          <w:bCs/>
          <w:sz w:val="24"/>
          <w:szCs w:val="24"/>
          <w:lang w:bidi="en-US"/>
        </w:rPr>
        <w:t>средств фонда в соответствии со сводной росписью составило</w:t>
      </w:r>
      <w:r w:rsidR="006F7986" w:rsidRPr="00213A5D">
        <w:rPr>
          <w:bCs/>
          <w:sz w:val="24"/>
          <w:szCs w:val="24"/>
          <w:lang w:bidi="en-US"/>
        </w:rPr>
        <w:t xml:space="preserve"> </w:t>
      </w:r>
      <w:r w:rsidR="006F7986" w:rsidRPr="00213A5D">
        <w:rPr>
          <w:b/>
          <w:bCs/>
          <w:sz w:val="24"/>
          <w:szCs w:val="24"/>
          <w:lang w:bidi="en-US"/>
        </w:rPr>
        <w:t>4 271,4 млрд. рублей</w:t>
      </w:r>
      <w:r w:rsidR="00B11B89" w:rsidRPr="00213A5D">
        <w:rPr>
          <w:b/>
          <w:bCs/>
          <w:sz w:val="24"/>
          <w:szCs w:val="24"/>
          <w:lang w:bidi="en-US"/>
        </w:rPr>
        <w:t>,</w:t>
      </w:r>
      <w:r w:rsidR="006F7986" w:rsidRPr="00213A5D">
        <w:rPr>
          <w:bCs/>
          <w:sz w:val="24"/>
          <w:szCs w:val="24"/>
          <w:lang w:bidi="en-US"/>
        </w:rPr>
        <w:t xml:space="preserve"> остатки по состоянию на 1 октября 2022 года </w:t>
      </w:r>
      <w:r w:rsidR="00B11B89" w:rsidRPr="00213A5D">
        <w:rPr>
          <w:bCs/>
          <w:sz w:val="24"/>
          <w:szCs w:val="24"/>
          <w:lang w:bidi="en-US"/>
        </w:rPr>
        <w:t>-</w:t>
      </w:r>
      <w:r w:rsidR="006F7986" w:rsidRPr="00213A5D">
        <w:rPr>
          <w:bCs/>
          <w:sz w:val="24"/>
          <w:szCs w:val="24"/>
          <w:lang w:bidi="en-US"/>
        </w:rPr>
        <w:t xml:space="preserve"> 64,5 млрд. рублей.</w:t>
      </w:r>
      <w:r w:rsidR="006F7986" w:rsidRPr="00213A5D">
        <w:rPr>
          <w:b/>
          <w:bCs/>
          <w:sz w:val="24"/>
          <w:szCs w:val="24"/>
          <w:lang w:bidi="en-US"/>
        </w:rPr>
        <w:t xml:space="preserve"> </w:t>
      </w:r>
    </w:p>
    <w:p w14:paraId="61C89706" w14:textId="77777777" w:rsidR="006F7986" w:rsidRPr="00213A5D" w:rsidRDefault="0034320D" w:rsidP="00B842E1">
      <w:pPr>
        <w:widowControl w:val="0"/>
        <w:numPr>
          <w:ilvl w:val="0"/>
          <w:numId w:val="16"/>
        </w:numPr>
        <w:spacing w:line="271" w:lineRule="auto"/>
        <w:ind w:left="426" w:right="0" w:hanging="426"/>
        <w:rPr>
          <w:bCs/>
          <w:sz w:val="24"/>
          <w:szCs w:val="24"/>
          <w:lang w:bidi="en-US"/>
        </w:rPr>
      </w:pPr>
      <w:r w:rsidRPr="00213A5D">
        <w:rPr>
          <w:bCs/>
          <w:sz w:val="24"/>
          <w:szCs w:val="24"/>
          <w:lang w:bidi="en-US"/>
        </w:rPr>
        <w:t xml:space="preserve">При этом </w:t>
      </w:r>
      <w:r w:rsidR="006F7986" w:rsidRPr="00213A5D">
        <w:rPr>
          <w:bCs/>
          <w:sz w:val="24"/>
          <w:szCs w:val="24"/>
          <w:lang w:bidi="en-US"/>
        </w:rPr>
        <w:t xml:space="preserve">Правительством Российской Федерации приняты </w:t>
      </w:r>
      <w:r w:rsidR="006F7986" w:rsidRPr="00213A5D">
        <w:rPr>
          <w:b/>
          <w:bCs/>
          <w:sz w:val="24"/>
          <w:szCs w:val="24"/>
          <w:lang w:bidi="en-US"/>
        </w:rPr>
        <w:t>решения</w:t>
      </w:r>
      <w:r w:rsidR="006F7986" w:rsidRPr="00213A5D">
        <w:rPr>
          <w:bCs/>
          <w:sz w:val="24"/>
          <w:szCs w:val="24"/>
          <w:lang w:bidi="en-US"/>
        </w:rPr>
        <w:t xml:space="preserve"> о выделении бюджетных ассигнований из резервного фонда Правительства Российской Федерации в </w:t>
      </w:r>
      <w:r w:rsidR="00450ACD" w:rsidRPr="00213A5D">
        <w:rPr>
          <w:bCs/>
          <w:sz w:val="24"/>
          <w:szCs w:val="24"/>
          <w:lang w:bidi="en-US"/>
        </w:rPr>
        <w:t>сумме</w:t>
      </w:r>
      <w:r w:rsidR="006F7986" w:rsidRPr="00213A5D">
        <w:rPr>
          <w:bCs/>
          <w:sz w:val="24"/>
          <w:szCs w:val="24"/>
          <w:lang w:bidi="en-US"/>
        </w:rPr>
        <w:t xml:space="preserve"> </w:t>
      </w:r>
      <w:r w:rsidR="006F7986" w:rsidRPr="00213A5D">
        <w:rPr>
          <w:b/>
          <w:bCs/>
          <w:sz w:val="24"/>
          <w:szCs w:val="24"/>
          <w:lang w:bidi="en-US"/>
        </w:rPr>
        <w:t>6 349,6</w:t>
      </w:r>
      <w:r w:rsidR="00450ACD" w:rsidRPr="00213A5D">
        <w:rPr>
          <w:b/>
          <w:bCs/>
          <w:sz w:val="24"/>
          <w:szCs w:val="24"/>
          <w:lang w:bidi="en-US"/>
        </w:rPr>
        <w:t> </w:t>
      </w:r>
      <w:r w:rsidR="006F7986" w:rsidRPr="00213A5D">
        <w:rPr>
          <w:b/>
          <w:bCs/>
          <w:sz w:val="24"/>
          <w:szCs w:val="24"/>
          <w:lang w:bidi="en-US"/>
        </w:rPr>
        <w:t>млрд. рублей,</w:t>
      </w:r>
      <w:r w:rsidR="006F7986" w:rsidRPr="00213A5D">
        <w:rPr>
          <w:bCs/>
          <w:sz w:val="24"/>
          <w:szCs w:val="24"/>
          <w:lang w:bidi="en-US"/>
        </w:rPr>
        <w:t xml:space="preserve"> что </w:t>
      </w:r>
      <w:r w:rsidR="00587D86" w:rsidRPr="00213A5D">
        <w:rPr>
          <w:bCs/>
          <w:sz w:val="24"/>
          <w:szCs w:val="24"/>
          <w:lang w:bidi="en-US"/>
        </w:rPr>
        <w:t xml:space="preserve">на 2 013,7 млрд. рублей, или </w:t>
      </w:r>
      <w:r w:rsidR="006F7986" w:rsidRPr="00213A5D">
        <w:rPr>
          <w:bCs/>
          <w:sz w:val="24"/>
          <w:szCs w:val="24"/>
          <w:lang w:bidi="en-US"/>
        </w:rPr>
        <w:t xml:space="preserve">в 1,5 раза, превышает </w:t>
      </w:r>
      <w:r w:rsidR="00B11B89" w:rsidRPr="00213A5D">
        <w:rPr>
          <w:bCs/>
          <w:sz w:val="24"/>
          <w:szCs w:val="24"/>
          <w:lang w:bidi="en-US"/>
        </w:rPr>
        <w:t>его объем (4 335,8 млрд. рублей).</w:t>
      </w:r>
    </w:p>
    <w:p w14:paraId="6756B76A" w14:textId="77777777" w:rsidR="0088643B" w:rsidRPr="00213A5D" w:rsidRDefault="0088643B" w:rsidP="00C15978">
      <w:pPr>
        <w:pStyle w:val="24"/>
        <w:widowControl w:val="0"/>
        <w:spacing w:after="0" w:line="276" w:lineRule="auto"/>
        <w:ind w:left="0" w:right="0" w:firstLine="0"/>
        <w:rPr>
          <w:sz w:val="10"/>
          <w:szCs w:val="10"/>
        </w:rPr>
      </w:pPr>
    </w:p>
    <w:p w14:paraId="04C74F7A" w14:textId="77777777" w:rsidR="00450ACD" w:rsidRPr="00213A5D" w:rsidRDefault="00450ACD" w:rsidP="00455011">
      <w:pPr>
        <w:widowControl w:val="0"/>
        <w:spacing w:line="271" w:lineRule="auto"/>
        <w:ind w:left="0" w:right="0" w:hanging="284"/>
        <w:rPr>
          <w:bCs/>
          <w:sz w:val="24"/>
          <w:szCs w:val="24"/>
          <w:lang w:bidi="en-US"/>
        </w:rPr>
      </w:pPr>
      <w:r w:rsidRPr="00213A5D">
        <w:rPr>
          <w:b/>
          <w:bCs/>
          <w:sz w:val="24"/>
          <w:szCs w:val="24"/>
          <w:lang w:bidi="en-US"/>
        </w:rPr>
        <w:t>10</w:t>
      </w:r>
      <w:r w:rsidR="0088643B" w:rsidRPr="00213A5D">
        <w:rPr>
          <w:b/>
          <w:bCs/>
          <w:sz w:val="24"/>
          <w:szCs w:val="24"/>
          <w:lang w:bidi="en-US"/>
        </w:rPr>
        <w:t>.</w:t>
      </w:r>
      <w:r w:rsidR="0088643B" w:rsidRPr="00213A5D">
        <w:rPr>
          <w:bCs/>
          <w:sz w:val="24"/>
          <w:szCs w:val="24"/>
          <w:lang w:bidi="en-US"/>
        </w:rPr>
        <w:t> </w:t>
      </w:r>
      <w:r w:rsidR="00B75B9B" w:rsidRPr="00213A5D">
        <w:rPr>
          <w:bCs/>
          <w:sz w:val="24"/>
          <w:szCs w:val="24"/>
          <w:lang w:bidi="en-US"/>
        </w:rPr>
        <w:t xml:space="preserve">Значительный объем средств резервного </w:t>
      </w:r>
      <w:r w:rsidR="00B75B9B" w:rsidRPr="00213A5D">
        <w:rPr>
          <w:sz w:val="24"/>
          <w:szCs w:val="24"/>
          <w:lang w:bidi="en-US"/>
        </w:rPr>
        <w:t>фонда Правительства Российской Федерации</w:t>
      </w:r>
      <w:r w:rsidR="00B75B9B" w:rsidRPr="00213A5D">
        <w:rPr>
          <w:bCs/>
          <w:sz w:val="24"/>
          <w:szCs w:val="24"/>
          <w:lang w:bidi="en-US"/>
        </w:rPr>
        <w:t xml:space="preserve"> в соответствии со сводной росписью (открытая часть) направлен</w:t>
      </w:r>
      <w:r w:rsidR="00B75B9B" w:rsidRPr="00213A5D">
        <w:rPr>
          <w:bCs/>
          <w:sz w:val="24"/>
          <w:szCs w:val="24"/>
          <w:vertAlign w:val="superscript"/>
          <w:lang w:bidi="en-US"/>
        </w:rPr>
        <w:footnoteReference w:id="3"/>
      </w:r>
      <w:r w:rsidR="000835D2" w:rsidRPr="00213A5D">
        <w:rPr>
          <w:bCs/>
          <w:sz w:val="24"/>
          <w:szCs w:val="24"/>
          <w:lang w:bidi="en-US"/>
        </w:rPr>
        <w:t xml:space="preserve"> </w:t>
      </w:r>
      <w:r w:rsidRPr="00213A5D">
        <w:rPr>
          <w:bCs/>
          <w:sz w:val="24"/>
          <w:szCs w:val="24"/>
          <w:lang w:bidi="en-US"/>
        </w:rPr>
        <w:t>на:</w:t>
      </w:r>
    </w:p>
    <w:p w14:paraId="6D40B95C" w14:textId="77777777" w:rsidR="00450ACD" w:rsidRPr="00213A5D" w:rsidRDefault="00B75B9B" w:rsidP="00B842E1">
      <w:pPr>
        <w:widowControl w:val="0"/>
        <w:numPr>
          <w:ilvl w:val="0"/>
          <w:numId w:val="10"/>
        </w:numPr>
        <w:spacing w:line="271" w:lineRule="auto"/>
        <w:ind w:right="0"/>
        <w:rPr>
          <w:sz w:val="24"/>
          <w:szCs w:val="24"/>
        </w:rPr>
      </w:pPr>
      <w:r w:rsidRPr="00213A5D">
        <w:rPr>
          <w:bCs/>
          <w:sz w:val="24"/>
          <w:szCs w:val="24"/>
        </w:rPr>
        <w:t>государственн</w:t>
      </w:r>
      <w:r w:rsidR="00450ACD" w:rsidRPr="00213A5D">
        <w:rPr>
          <w:bCs/>
          <w:sz w:val="24"/>
          <w:szCs w:val="24"/>
        </w:rPr>
        <w:t>ую</w:t>
      </w:r>
      <w:r w:rsidRPr="00213A5D">
        <w:rPr>
          <w:bCs/>
          <w:sz w:val="24"/>
          <w:szCs w:val="24"/>
        </w:rPr>
        <w:t xml:space="preserve"> поддержк</w:t>
      </w:r>
      <w:r w:rsidR="00450ACD" w:rsidRPr="00213A5D">
        <w:rPr>
          <w:bCs/>
          <w:sz w:val="24"/>
          <w:szCs w:val="24"/>
        </w:rPr>
        <w:t>у мер</w:t>
      </w:r>
      <w:r w:rsidRPr="00213A5D">
        <w:rPr>
          <w:bCs/>
          <w:sz w:val="24"/>
          <w:szCs w:val="24"/>
        </w:rPr>
        <w:t xml:space="preserve"> по стабилизации экономической ситуации</w:t>
      </w:r>
      <w:r w:rsidR="00450ACD" w:rsidRPr="00213A5D">
        <w:rPr>
          <w:bCs/>
          <w:sz w:val="24"/>
          <w:szCs w:val="24"/>
        </w:rPr>
        <w:t>,</w:t>
      </w:r>
      <w:r w:rsidRPr="00213A5D">
        <w:rPr>
          <w:bCs/>
          <w:sz w:val="24"/>
          <w:szCs w:val="24"/>
        </w:rPr>
        <w:t xml:space="preserve"> устойчивому экономическому развитию в условиях санкционного давления (</w:t>
      </w:r>
      <w:r w:rsidRPr="00213A5D">
        <w:rPr>
          <w:b/>
          <w:bCs/>
          <w:sz w:val="24"/>
          <w:szCs w:val="24"/>
        </w:rPr>
        <w:t>1 489,2 млрд. рублей</w:t>
      </w:r>
      <w:r w:rsidRPr="00213A5D">
        <w:rPr>
          <w:bCs/>
          <w:sz w:val="24"/>
          <w:szCs w:val="24"/>
        </w:rPr>
        <w:t>)</w:t>
      </w:r>
      <w:r w:rsidR="00450ACD" w:rsidRPr="00213A5D">
        <w:rPr>
          <w:bCs/>
          <w:sz w:val="24"/>
          <w:szCs w:val="24"/>
        </w:rPr>
        <w:t>;</w:t>
      </w:r>
    </w:p>
    <w:p w14:paraId="6713E78B" w14:textId="77777777" w:rsidR="00450ACD" w:rsidRPr="00213A5D" w:rsidRDefault="00B75B9B" w:rsidP="00B842E1">
      <w:pPr>
        <w:widowControl w:val="0"/>
        <w:numPr>
          <w:ilvl w:val="0"/>
          <w:numId w:val="10"/>
        </w:numPr>
        <w:spacing w:line="271" w:lineRule="auto"/>
        <w:ind w:right="0"/>
        <w:rPr>
          <w:sz w:val="24"/>
          <w:szCs w:val="24"/>
        </w:rPr>
      </w:pPr>
      <w:r w:rsidRPr="00213A5D">
        <w:rPr>
          <w:bCs/>
          <w:sz w:val="24"/>
          <w:szCs w:val="24"/>
        </w:rPr>
        <w:lastRenderedPageBreak/>
        <w:t>строительств</w:t>
      </w:r>
      <w:r w:rsidR="00450ACD" w:rsidRPr="00213A5D">
        <w:rPr>
          <w:bCs/>
          <w:sz w:val="24"/>
          <w:szCs w:val="24"/>
        </w:rPr>
        <w:t>о</w:t>
      </w:r>
      <w:r w:rsidRPr="00213A5D">
        <w:rPr>
          <w:bCs/>
          <w:sz w:val="24"/>
          <w:szCs w:val="24"/>
        </w:rPr>
        <w:t>, реконструкци</w:t>
      </w:r>
      <w:r w:rsidR="00450ACD" w:rsidRPr="00213A5D">
        <w:rPr>
          <w:bCs/>
          <w:sz w:val="24"/>
          <w:szCs w:val="24"/>
        </w:rPr>
        <w:t>ю</w:t>
      </w:r>
      <w:r w:rsidRPr="00213A5D">
        <w:rPr>
          <w:bCs/>
          <w:sz w:val="24"/>
          <w:szCs w:val="24"/>
        </w:rPr>
        <w:t xml:space="preserve"> и капитальн</w:t>
      </w:r>
      <w:r w:rsidR="00450ACD" w:rsidRPr="00213A5D">
        <w:rPr>
          <w:bCs/>
          <w:sz w:val="24"/>
          <w:szCs w:val="24"/>
        </w:rPr>
        <w:t>ый</w:t>
      </w:r>
      <w:r w:rsidRPr="00213A5D">
        <w:rPr>
          <w:bCs/>
          <w:sz w:val="24"/>
          <w:szCs w:val="24"/>
        </w:rPr>
        <w:t xml:space="preserve"> ремонт автомобильных дорог, а также развитие инфраструктуры дорожного хозяйства (</w:t>
      </w:r>
      <w:r w:rsidRPr="00213A5D">
        <w:rPr>
          <w:b/>
          <w:bCs/>
          <w:sz w:val="24"/>
          <w:szCs w:val="24"/>
        </w:rPr>
        <w:t>233,5 млрд. рублей)</w:t>
      </w:r>
      <w:r w:rsidR="00450ACD" w:rsidRPr="00213A5D">
        <w:rPr>
          <w:bCs/>
          <w:sz w:val="24"/>
          <w:szCs w:val="24"/>
        </w:rPr>
        <w:t>;</w:t>
      </w:r>
    </w:p>
    <w:p w14:paraId="01A6B9B5" w14:textId="77777777" w:rsidR="00450ACD" w:rsidRPr="00213A5D" w:rsidRDefault="00B75B9B" w:rsidP="00B842E1">
      <w:pPr>
        <w:widowControl w:val="0"/>
        <w:numPr>
          <w:ilvl w:val="0"/>
          <w:numId w:val="10"/>
        </w:numPr>
        <w:spacing w:line="276" w:lineRule="auto"/>
        <w:ind w:right="0"/>
        <w:rPr>
          <w:sz w:val="24"/>
          <w:szCs w:val="24"/>
        </w:rPr>
      </w:pPr>
      <w:r w:rsidRPr="00213A5D">
        <w:rPr>
          <w:bCs/>
          <w:sz w:val="24"/>
          <w:szCs w:val="24"/>
        </w:rPr>
        <w:t xml:space="preserve">оказание гуманитарной, финансовой, медико-санитарной и иной помощи гражданам </w:t>
      </w:r>
      <w:r w:rsidRPr="00213A5D">
        <w:rPr>
          <w:b/>
          <w:bCs/>
          <w:sz w:val="24"/>
          <w:szCs w:val="24"/>
        </w:rPr>
        <w:t>(172,6 млрд. рублей)</w:t>
      </w:r>
      <w:r w:rsidR="00450ACD" w:rsidRPr="00213A5D">
        <w:rPr>
          <w:bCs/>
          <w:sz w:val="24"/>
          <w:szCs w:val="24"/>
        </w:rPr>
        <w:t>;</w:t>
      </w:r>
    </w:p>
    <w:p w14:paraId="742F120B" w14:textId="77777777" w:rsidR="00B75B9B" w:rsidRPr="00213A5D" w:rsidRDefault="00B75B9B" w:rsidP="00B842E1">
      <w:pPr>
        <w:widowControl w:val="0"/>
        <w:numPr>
          <w:ilvl w:val="0"/>
          <w:numId w:val="10"/>
        </w:numPr>
        <w:spacing w:line="276" w:lineRule="auto"/>
        <w:ind w:right="0"/>
        <w:rPr>
          <w:sz w:val="24"/>
          <w:szCs w:val="24"/>
        </w:rPr>
      </w:pPr>
      <w:r w:rsidRPr="00213A5D">
        <w:rPr>
          <w:bCs/>
          <w:sz w:val="24"/>
          <w:szCs w:val="24"/>
        </w:rPr>
        <w:t>мероприяти</w:t>
      </w:r>
      <w:r w:rsidR="00450ACD" w:rsidRPr="00213A5D">
        <w:rPr>
          <w:bCs/>
          <w:sz w:val="24"/>
          <w:szCs w:val="24"/>
        </w:rPr>
        <w:t>я</w:t>
      </w:r>
      <w:r w:rsidRPr="00213A5D">
        <w:rPr>
          <w:bCs/>
          <w:sz w:val="24"/>
          <w:szCs w:val="24"/>
        </w:rPr>
        <w:t xml:space="preserve"> по борьбе с новой коронавирусной инфекцией </w:t>
      </w:r>
      <w:r w:rsidRPr="00213A5D">
        <w:rPr>
          <w:b/>
          <w:bCs/>
          <w:sz w:val="24"/>
          <w:szCs w:val="24"/>
        </w:rPr>
        <w:t>(67,3</w:t>
      </w:r>
      <w:r w:rsidR="00803D7F" w:rsidRPr="00213A5D">
        <w:rPr>
          <w:b/>
          <w:bCs/>
          <w:sz w:val="24"/>
          <w:szCs w:val="24"/>
        </w:rPr>
        <w:t> </w:t>
      </w:r>
      <w:r w:rsidRPr="00213A5D">
        <w:rPr>
          <w:b/>
          <w:bCs/>
          <w:sz w:val="24"/>
          <w:szCs w:val="24"/>
        </w:rPr>
        <w:t>млрд. рублей)</w:t>
      </w:r>
      <w:r w:rsidRPr="00213A5D">
        <w:rPr>
          <w:bCs/>
          <w:sz w:val="24"/>
          <w:szCs w:val="24"/>
        </w:rPr>
        <w:t>.</w:t>
      </w:r>
    </w:p>
    <w:p w14:paraId="4CD4202A" w14:textId="77777777" w:rsidR="00937057" w:rsidRPr="00213A5D" w:rsidRDefault="00937057" w:rsidP="00C15978">
      <w:pPr>
        <w:pStyle w:val="24"/>
        <w:widowControl w:val="0"/>
        <w:spacing w:after="0" w:line="276" w:lineRule="auto"/>
        <w:ind w:left="0" w:right="0" w:firstLine="0"/>
        <w:rPr>
          <w:sz w:val="8"/>
          <w:szCs w:val="8"/>
        </w:rPr>
      </w:pPr>
    </w:p>
    <w:p w14:paraId="00E2CD7E" w14:textId="77777777" w:rsidR="00B26423" w:rsidRPr="00213A5D" w:rsidRDefault="00972F2E" w:rsidP="00AF1852">
      <w:pPr>
        <w:widowControl w:val="0"/>
        <w:spacing w:line="276" w:lineRule="auto"/>
        <w:ind w:left="0" w:right="-2" w:hanging="284"/>
        <w:rPr>
          <w:sz w:val="24"/>
          <w:szCs w:val="24"/>
        </w:rPr>
      </w:pPr>
      <w:r w:rsidRPr="00213A5D">
        <w:rPr>
          <w:b/>
          <w:color w:val="000000"/>
          <w:sz w:val="24"/>
          <w:szCs w:val="24"/>
          <w:lang w:bidi="en-US"/>
        </w:rPr>
        <w:t>1</w:t>
      </w:r>
      <w:r w:rsidR="00450ACD" w:rsidRPr="00213A5D">
        <w:rPr>
          <w:b/>
          <w:color w:val="000000"/>
          <w:sz w:val="24"/>
          <w:szCs w:val="24"/>
          <w:lang w:bidi="en-US"/>
        </w:rPr>
        <w:t>1</w:t>
      </w:r>
      <w:r w:rsidR="00403649" w:rsidRPr="00213A5D">
        <w:rPr>
          <w:b/>
          <w:color w:val="000000"/>
          <w:sz w:val="24"/>
          <w:szCs w:val="24"/>
          <w:lang w:bidi="en-US"/>
        </w:rPr>
        <w:t>.</w:t>
      </w:r>
      <w:r w:rsidR="00403649" w:rsidRPr="00213A5D">
        <w:rPr>
          <w:color w:val="000000"/>
          <w:sz w:val="24"/>
          <w:szCs w:val="24"/>
          <w:lang w:bidi="en-US"/>
        </w:rPr>
        <w:t> </w:t>
      </w:r>
      <w:r w:rsidR="00B26423" w:rsidRPr="00213A5D">
        <w:rPr>
          <w:sz w:val="24"/>
          <w:szCs w:val="24"/>
          <w:lang w:bidi="en-US"/>
        </w:rPr>
        <w:t xml:space="preserve">На уровне </w:t>
      </w:r>
      <w:r w:rsidR="00B26423" w:rsidRPr="00213A5D">
        <w:rPr>
          <w:b/>
          <w:bCs/>
          <w:sz w:val="24"/>
          <w:szCs w:val="24"/>
          <w:lang w:bidi="en-US"/>
        </w:rPr>
        <w:t>ниже 50 %</w:t>
      </w:r>
      <w:r w:rsidR="00B26423" w:rsidRPr="00213A5D">
        <w:rPr>
          <w:bCs/>
          <w:sz w:val="24"/>
          <w:szCs w:val="24"/>
          <w:lang w:bidi="en-US"/>
        </w:rPr>
        <w:t xml:space="preserve"> исполнены расходы </w:t>
      </w:r>
      <w:r w:rsidR="00B26423" w:rsidRPr="00213A5D">
        <w:rPr>
          <w:sz w:val="24"/>
          <w:szCs w:val="24"/>
          <w:lang w:bidi="en-US"/>
        </w:rPr>
        <w:t xml:space="preserve">по </w:t>
      </w:r>
      <w:r w:rsidR="00B26423" w:rsidRPr="00213A5D">
        <w:rPr>
          <w:b/>
          <w:sz w:val="24"/>
          <w:szCs w:val="24"/>
          <w:lang w:bidi="en-US"/>
        </w:rPr>
        <w:t>7</w:t>
      </w:r>
      <w:r w:rsidR="0075052C" w:rsidRPr="00213A5D">
        <w:rPr>
          <w:b/>
          <w:sz w:val="24"/>
          <w:szCs w:val="24"/>
        </w:rPr>
        <w:t> </w:t>
      </w:r>
      <w:r w:rsidR="00B26423" w:rsidRPr="00213A5D">
        <w:rPr>
          <w:b/>
          <w:sz w:val="24"/>
          <w:szCs w:val="24"/>
        </w:rPr>
        <w:t>главным распорядителям</w:t>
      </w:r>
      <w:r w:rsidR="00B26423" w:rsidRPr="00213A5D">
        <w:rPr>
          <w:sz w:val="24"/>
          <w:szCs w:val="24"/>
        </w:rPr>
        <w:t>:</w:t>
      </w:r>
      <w:r w:rsidR="00B26423" w:rsidRPr="00213A5D">
        <w:rPr>
          <w:b/>
          <w:sz w:val="24"/>
          <w:szCs w:val="24"/>
        </w:rPr>
        <w:t xml:space="preserve"> </w:t>
      </w:r>
      <w:r w:rsidR="00B26423" w:rsidRPr="00213A5D">
        <w:rPr>
          <w:b/>
          <w:sz w:val="24"/>
          <w:szCs w:val="24"/>
        </w:rPr>
        <w:br/>
      </w:r>
      <w:r w:rsidR="00B26423" w:rsidRPr="00213A5D">
        <w:rPr>
          <w:sz w:val="24"/>
          <w:szCs w:val="24"/>
        </w:rPr>
        <w:t xml:space="preserve">Минэнерго России </w:t>
      </w:r>
      <w:r w:rsidR="00B26423" w:rsidRPr="00213A5D">
        <w:rPr>
          <w:b/>
          <w:sz w:val="24"/>
          <w:szCs w:val="24"/>
        </w:rPr>
        <w:t>(31,1</w:t>
      </w:r>
      <w:r w:rsidR="00EE66A3" w:rsidRPr="00213A5D">
        <w:rPr>
          <w:b/>
          <w:sz w:val="24"/>
          <w:szCs w:val="24"/>
        </w:rPr>
        <w:t> </w:t>
      </w:r>
      <w:r w:rsidR="00B26423" w:rsidRPr="00213A5D">
        <w:rPr>
          <w:b/>
          <w:sz w:val="24"/>
          <w:szCs w:val="24"/>
        </w:rPr>
        <w:t>%)</w:t>
      </w:r>
      <w:r w:rsidR="00B26423" w:rsidRPr="00213A5D">
        <w:rPr>
          <w:sz w:val="24"/>
          <w:szCs w:val="24"/>
        </w:rPr>
        <w:t xml:space="preserve">, Роскомнадзору </w:t>
      </w:r>
      <w:r w:rsidR="00B26423" w:rsidRPr="00213A5D">
        <w:rPr>
          <w:b/>
          <w:sz w:val="24"/>
          <w:szCs w:val="24"/>
        </w:rPr>
        <w:t>(32,4</w:t>
      </w:r>
      <w:r w:rsidR="00EE66A3" w:rsidRPr="00213A5D">
        <w:rPr>
          <w:b/>
          <w:sz w:val="24"/>
          <w:szCs w:val="24"/>
        </w:rPr>
        <w:t> </w:t>
      </w:r>
      <w:r w:rsidR="00B26423" w:rsidRPr="00213A5D">
        <w:rPr>
          <w:b/>
          <w:sz w:val="24"/>
          <w:szCs w:val="24"/>
        </w:rPr>
        <w:t>%)</w:t>
      </w:r>
      <w:r w:rsidR="00B26423" w:rsidRPr="00213A5D">
        <w:rPr>
          <w:sz w:val="24"/>
          <w:szCs w:val="24"/>
        </w:rPr>
        <w:t xml:space="preserve">, Минвостокразвития России </w:t>
      </w:r>
      <w:r w:rsidR="00B26423" w:rsidRPr="00213A5D">
        <w:rPr>
          <w:sz w:val="24"/>
          <w:szCs w:val="24"/>
        </w:rPr>
        <w:br/>
      </w:r>
      <w:r w:rsidR="00B26423" w:rsidRPr="00213A5D">
        <w:rPr>
          <w:b/>
          <w:sz w:val="24"/>
          <w:szCs w:val="24"/>
        </w:rPr>
        <w:t>(35,3</w:t>
      </w:r>
      <w:r w:rsidR="00EE66A3" w:rsidRPr="00213A5D">
        <w:rPr>
          <w:b/>
          <w:sz w:val="24"/>
          <w:szCs w:val="24"/>
        </w:rPr>
        <w:t> </w:t>
      </w:r>
      <w:r w:rsidR="00B26423" w:rsidRPr="00213A5D">
        <w:rPr>
          <w:b/>
          <w:sz w:val="24"/>
          <w:szCs w:val="24"/>
        </w:rPr>
        <w:t>%)</w:t>
      </w:r>
      <w:r w:rsidR="00B26423" w:rsidRPr="00213A5D">
        <w:rPr>
          <w:sz w:val="24"/>
          <w:szCs w:val="24"/>
        </w:rPr>
        <w:t xml:space="preserve">, Минцифры России </w:t>
      </w:r>
      <w:r w:rsidR="00B26423" w:rsidRPr="00213A5D">
        <w:rPr>
          <w:b/>
          <w:sz w:val="24"/>
          <w:szCs w:val="24"/>
        </w:rPr>
        <w:t>(44,4</w:t>
      </w:r>
      <w:r w:rsidR="00EE66A3" w:rsidRPr="00213A5D">
        <w:rPr>
          <w:b/>
          <w:sz w:val="24"/>
          <w:szCs w:val="24"/>
        </w:rPr>
        <w:t> </w:t>
      </w:r>
      <w:r w:rsidR="00B26423" w:rsidRPr="00213A5D">
        <w:rPr>
          <w:b/>
          <w:sz w:val="24"/>
          <w:szCs w:val="24"/>
        </w:rPr>
        <w:t>%)</w:t>
      </w:r>
      <w:r w:rsidR="00B26423" w:rsidRPr="00213A5D">
        <w:rPr>
          <w:sz w:val="24"/>
          <w:szCs w:val="24"/>
        </w:rPr>
        <w:t xml:space="preserve">, Росархиву </w:t>
      </w:r>
      <w:r w:rsidR="00B26423" w:rsidRPr="00213A5D">
        <w:rPr>
          <w:b/>
          <w:sz w:val="24"/>
          <w:szCs w:val="24"/>
        </w:rPr>
        <w:t>(44,7</w:t>
      </w:r>
      <w:r w:rsidR="00EE66A3" w:rsidRPr="00213A5D">
        <w:rPr>
          <w:b/>
          <w:sz w:val="24"/>
          <w:szCs w:val="24"/>
        </w:rPr>
        <w:t> </w:t>
      </w:r>
      <w:r w:rsidR="00B26423" w:rsidRPr="00213A5D">
        <w:rPr>
          <w:b/>
          <w:sz w:val="24"/>
          <w:szCs w:val="24"/>
        </w:rPr>
        <w:t>%)</w:t>
      </w:r>
      <w:r w:rsidR="00B26423" w:rsidRPr="00213A5D">
        <w:rPr>
          <w:sz w:val="24"/>
          <w:szCs w:val="24"/>
        </w:rPr>
        <w:t xml:space="preserve">, Минпромторгу России </w:t>
      </w:r>
      <w:r w:rsidR="00B26423" w:rsidRPr="00213A5D">
        <w:rPr>
          <w:sz w:val="24"/>
          <w:szCs w:val="24"/>
        </w:rPr>
        <w:br/>
      </w:r>
      <w:r w:rsidR="00B26423" w:rsidRPr="00213A5D">
        <w:rPr>
          <w:b/>
          <w:sz w:val="24"/>
          <w:szCs w:val="24"/>
        </w:rPr>
        <w:t>(48,1</w:t>
      </w:r>
      <w:r w:rsidR="00EE66A3" w:rsidRPr="00213A5D">
        <w:rPr>
          <w:b/>
          <w:sz w:val="24"/>
          <w:szCs w:val="24"/>
        </w:rPr>
        <w:t> </w:t>
      </w:r>
      <w:r w:rsidR="00B26423" w:rsidRPr="00213A5D">
        <w:rPr>
          <w:b/>
          <w:sz w:val="24"/>
          <w:szCs w:val="24"/>
        </w:rPr>
        <w:t>%)</w:t>
      </w:r>
      <w:r w:rsidR="00B26423" w:rsidRPr="00213A5D">
        <w:rPr>
          <w:sz w:val="24"/>
          <w:szCs w:val="24"/>
        </w:rPr>
        <w:t xml:space="preserve">, ППК «Единый заказчик в сфере строительства» </w:t>
      </w:r>
      <w:r w:rsidR="00B26423" w:rsidRPr="00213A5D">
        <w:rPr>
          <w:b/>
          <w:sz w:val="24"/>
          <w:szCs w:val="24"/>
        </w:rPr>
        <w:t>(49,9</w:t>
      </w:r>
      <w:r w:rsidR="00EE66A3" w:rsidRPr="00213A5D">
        <w:rPr>
          <w:b/>
          <w:sz w:val="24"/>
          <w:szCs w:val="24"/>
        </w:rPr>
        <w:t> </w:t>
      </w:r>
      <w:r w:rsidR="00B26423" w:rsidRPr="00213A5D">
        <w:rPr>
          <w:b/>
          <w:sz w:val="24"/>
          <w:szCs w:val="24"/>
        </w:rPr>
        <w:t>%)</w:t>
      </w:r>
      <w:r w:rsidR="00B26423" w:rsidRPr="00213A5D">
        <w:rPr>
          <w:sz w:val="24"/>
          <w:szCs w:val="24"/>
        </w:rPr>
        <w:t xml:space="preserve">, из которых по </w:t>
      </w:r>
      <w:r w:rsidR="00B26423" w:rsidRPr="00213A5D">
        <w:rPr>
          <w:b/>
          <w:sz w:val="24"/>
          <w:szCs w:val="24"/>
        </w:rPr>
        <w:t>3</w:t>
      </w:r>
      <w:r w:rsidR="00B26423" w:rsidRPr="00213A5D">
        <w:rPr>
          <w:sz w:val="24"/>
          <w:szCs w:val="24"/>
        </w:rPr>
        <w:t xml:space="preserve"> </w:t>
      </w:r>
      <w:r w:rsidR="00450ACD" w:rsidRPr="00213A5D">
        <w:rPr>
          <w:rFonts w:eastAsia="Times New Roman"/>
          <w:sz w:val="24"/>
          <w:szCs w:val="24"/>
        </w:rPr>
        <w:t xml:space="preserve">(Минвостокразвития России, Минцифры России, ППК «Единый заказчик в сфере строительства») </w:t>
      </w:r>
      <w:r w:rsidR="00B26423" w:rsidRPr="00213A5D">
        <w:rPr>
          <w:rFonts w:eastAsia="Times New Roman"/>
          <w:sz w:val="24"/>
          <w:szCs w:val="24"/>
        </w:rPr>
        <w:t>низкий</w:t>
      </w:r>
      <w:r w:rsidR="00B26423" w:rsidRPr="00213A5D">
        <w:rPr>
          <w:sz w:val="24"/>
          <w:szCs w:val="24"/>
        </w:rPr>
        <w:t xml:space="preserve"> уровень исполнения отмечался и за 9 месяцев 2021 года</w:t>
      </w:r>
      <w:r w:rsidR="00B26423" w:rsidRPr="00213A5D">
        <w:rPr>
          <w:rFonts w:eastAsia="Times New Roman"/>
          <w:sz w:val="24"/>
          <w:szCs w:val="24"/>
        </w:rPr>
        <w:t>.</w:t>
      </w:r>
    </w:p>
    <w:p w14:paraId="17F21346" w14:textId="77777777" w:rsidR="009D7072" w:rsidRPr="00213A5D" w:rsidRDefault="009D7072" w:rsidP="00C15978">
      <w:pPr>
        <w:pStyle w:val="24"/>
        <w:widowControl w:val="0"/>
        <w:spacing w:after="0" w:line="276" w:lineRule="auto"/>
        <w:ind w:left="0" w:right="0" w:firstLine="0"/>
        <w:rPr>
          <w:sz w:val="8"/>
          <w:szCs w:val="8"/>
        </w:rPr>
      </w:pPr>
    </w:p>
    <w:p w14:paraId="3CDA1642" w14:textId="77777777" w:rsidR="006E4E4D" w:rsidRPr="00213A5D" w:rsidRDefault="00F27FB8" w:rsidP="00AF1852">
      <w:pPr>
        <w:widowControl w:val="0"/>
        <w:spacing w:line="276" w:lineRule="auto"/>
        <w:ind w:left="0" w:right="0" w:hanging="284"/>
        <w:rPr>
          <w:bCs/>
          <w:sz w:val="24"/>
          <w:szCs w:val="24"/>
        </w:rPr>
      </w:pPr>
      <w:r w:rsidRPr="00213A5D">
        <w:rPr>
          <w:b/>
          <w:color w:val="000000"/>
          <w:sz w:val="24"/>
          <w:szCs w:val="24"/>
        </w:rPr>
        <w:t>1</w:t>
      </w:r>
      <w:r w:rsidR="00450ACD" w:rsidRPr="00213A5D">
        <w:rPr>
          <w:b/>
          <w:color w:val="000000"/>
          <w:sz w:val="24"/>
          <w:szCs w:val="24"/>
        </w:rPr>
        <w:t>2</w:t>
      </w:r>
      <w:r w:rsidR="00E84868" w:rsidRPr="00213A5D">
        <w:rPr>
          <w:b/>
          <w:color w:val="000000"/>
          <w:sz w:val="24"/>
          <w:szCs w:val="24"/>
        </w:rPr>
        <w:t>. </w:t>
      </w:r>
      <w:r w:rsidR="006E4E4D" w:rsidRPr="00213A5D">
        <w:rPr>
          <w:b/>
          <w:color w:val="000000"/>
          <w:sz w:val="24"/>
          <w:szCs w:val="24"/>
        </w:rPr>
        <w:t>Исполнение контрактуемых расходов</w:t>
      </w:r>
      <w:r w:rsidR="006E4E4D" w:rsidRPr="00213A5D">
        <w:rPr>
          <w:color w:val="000000"/>
          <w:sz w:val="24"/>
          <w:szCs w:val="24"/>
        </w:rPr>
        <w:t xml:space="preserve"> составило </w:t>
      </w:r>
      <w:r w:rsidR="00070336" w:rsidRPr="00213A5D">
        <w:rPr>
          <w:b/>
          <w:color w:val="000000"/>
          <w:sz w:val="24"/>
          <w:szCs w:val="24"/>
        </w:rPr>
        <w:t>2 079,9</w:t>
      </w:r>
      <w:r w:rsidR="006E4E4D" w:rsidRPr="00213A5D">
        <w:rPr>
          <w:b/>
          <w:color w:val="000000"/>
          <w:sz w:val="24"/>
          <w:szCs w:val="24"/>
        </w:rPr>
        <w:t> млрд. рублей</w:t>
      </w:r>
      <w:r w:rsidR="006E4E4D" w:rsidRPr="00213A5D">
        <w:rPr>
          <w:color w:val="000000"/>
          <w:sz w:val="24"/>
          <w:szCs w:val="24"/>
        </w:rPr>
        <w:t xml:space="preserve">, или </w:t>
      </w:r>
      <w:r w:rsidR="00070336" w:rsidRPr="00213A5D">
        <w:rPr>
          <w:b/>
          <w:color w:val="000000"/>
          <w:sz w:val="24"/>
          <w:szCs w:val="24"/>
        </w:rPr>
        <w:t>63,3</w:t>
      </w:r>
      <w:r w:rsidR="006E4E4D" w:rsidRPr="00213A5D">
        <w:rPr>
          <w:b/>
          <w:color w:val="000000"/>
          <w:sz w:val="24"/>
          <w:szCs w:val="24"/>
        </w:rPr>
        <w:t> %</w:t>
      </w:r>
      <w:r w:rsidR="006E4E4D" w:rsidRPr="00213A5D">
        <w:rPr>
          <w:color w:val="000000"/>
          <w:sz w:val="24"/>
          <w:szCs w:val="24"/>
        </w:rPr>
        <w:t xml:space="preserve"> утвержденных </w:t>
      </w:r>
      <w:r w:rsidR="000835D2" w:rsidRPr="00213A5D">
        <w:rPr>
          <w:color w:val="000000"/>
          <w:sz w:val="24"/>
          <w:szCs w:val="24"/>
        </w:rPr>
        <w:t xml:space="preserve">расходов </w:t>
      </w:r>
      <w:r w:rsidR="006E4E4D" w:rsidRPr="00213A5D">
        <w:rPr>
          <w:color w:val="000000"/>
          <w:sz w:val="24"/>
          <w:szCs w:val="24"/>
        </w:rPr>
        <w:t xml:space="preserve">(открытая часть), что на </w:t>
      </w:r>
      <w:r w:rsidR="00070336" w:rsidRPr="00213A5D">
        <w:rPr>
          <w:color w:val="000000"/>
          <w:sz w:val="24"/>
          <w:szCs w:val="24"/>
        </w:rPr>
        <w:t>3,9</w:t>
      </w:r>
      <w:r w:rsidR="006E4E4D" w:rsidRPr="00213A5D">
        <w:rPr>
          <w:color w:val="000000"/>
          <w:sz w:val="24"/>
          <w:szCs w:val="24"/>
        </w:rPr>
        <w:t> процентного пункта выше, чем за аналогичный период 2021 года (</w:t>
      </w:r>
      <w:r w:rsidR="00070336" w:rsidRPr="00213A5D">
        <w:rPr>
          <w:color w:val="000000"/>
          <w:sz w:val="24"/>
          <w:szCs w:val="24"/>
        </w:rPr>
        <w:t>59,4</w:t>
      </w:r>
      <w:r w:rsidR="006E4E4D" w:rsidRPr="00213A5D">
        <w:rPr>
          <w:color w:val="000000"/>
          <w:sz w:val="24"/>
          <w:szCs w:val="24"/>
        </w:rPr>
        <w:t xml:space="preserve"> %). </w:t>
      </w:r>
      <w:r w:rsidR="00631F2F" w:rsidRPr="00213A5D">
        <w:rPr>
          <w:color w:val="000000"/>
          <w:sz w:val="24"/>
          <w:szCs w:val="24"/>
        </w:rPr>
        <w:t xml:space="preserve">При этом </w:t>
      </w:r>
      <w:r w:rsidR="0008779B" w:rsidRPr="00213A5D">
        <w:rPr>
          <w:color w:val="000000"/>
          <w:sz w:val="24"/>
          <w:szCs w:val="24"/>
        </w:rPr>
        <w:t xml:space="preserve">на </w:t>
      </w:r>
      <w:r w:rsidR="0008779B" w:rsidRPr="00213A5D">
        <w:rPr>
          <w:b/>
          <w:color w:val="000000"/>
          <w:sz w:val="24"/>
          <w:szCs w:val="24"/>
        </w:rPr>
        <w:t>низком</w:t>
      </w:r>
      <w:r w:rsidR="0008779B" w:rsidRPr="00213A5D">
        <w:rPr>
          <w:color w:val="000000"/>
          <w:sz w:val="24"/>
          <w:szCs w:val="24"/>
        </w:rPr>
        <w:t xml:space="preserve"> уровне исполнены</w:t>
      </w:r>
      <w:r w:rsidR="00631F2F" w:rsidRPr="00213A5D">
        <w:rPr>
          <w:color w:val="000000"/>
          <w:sz w:val="24"/>
          <w:szCs w:val="24"/>
        </w:rPr>
        <w:t xml:space="preserve"> расход</w:t>
      </w:r>
      <w:r w:rsidR="0008779B" w:rsidRPr="00213A5D">
        <w:rPr>
          <w:color w:val="000000"/>
          <w:sz w:val="24"/>
          <w:szCs w:val="24"/>
        </w:rPr>
        <w:t>ы</w:t>
      </w:r>
      <w:r w:rsidR="00631F2F" w:rsidRPr="00213A5D">
        <w:rPr>
          <w:color w:val="000000"/>
          <w:sz w:val="24"/>
          <w:szCs w:val="24"/>
        </w:rPr>
        <w:t xml:space="preserve"> </w:t>
      </w:r>
      <w:r w:rsidR="000835D2" w:rsidRPr="00213A5D">
        <w:rPr>
          <w:color w:val="000000"/>
          <w:sz w:val="24"/>
          <w:szCs w:val="24"/>
        </w:rPr>
        <w:br/>
      </w:r>
      <w:r w:rsidR="00631F2F" w:rsidRPr="00213A5D">
        <w:rPr>
          <w:b/>
          <w:color w:val="000000"/>
          <w:sz w:val="24"/>
          <w:szCs w:val="24"/>
        </w:rPr>
        <w:t>на закупку</w:t>
      </w:r>
      <w:r w:rsidR="00631F2F" w:rsidRPr="00213A5D">
        <w:rPr>
          <w:color w:val="000000"/>
          <w:sz w:val="24"/>
          <w:szCs w:val="24"/>
        </w:rPr>
        <w:t xml:space="preserve"> товаров, работ и услуг по Минпросвещения России </w:t>
      </w:r>
      <w:r w:rsidR="0034320D" w:rsidRPr="00213A5D">
        <w:rPr>
          <w:color w:val="000000"/>
          <w:sz w:val="24"/>
          <w:szCs w:val="24"/>
        </w:rPr>
        <w:t xml:space="preserve">(8,4 % лимитов бюджетных обязательств) </w:t>
      </w:r>
      <w:r w:rsidR="00631F2F" w:rsidRPr="00213A5D">
        <w:rPr>
          <w:color w:val="000000"/>
          <w:sz w:val="24"/>
          <w:szCs w:val="24"/>
        </w:rPr>
        <w:t>и Минстрою России</w:t>
      </w:r>
      <w:r w:rsidR="0034320D" w:rsidRPr="00213A5D">
        <w:rPr>
          <w:color w:val="000000"/>
          <w:sz w:val="24"/>
          <w:szCs w:val="24"/>
        </w:rPr>
        <w:t xml:space="preserve"> (10,1 %)</w:t>
      </w:r>
      <w:r w:rsidR="006E4E4D" w:rsidRPr="00213A5D">
        <w:rPr>
          <w:bCs/>
          <w:sz w:val="24"/>
          <w:szCs w:val="24"/>
        </w:rPr>
        <w:t>.</w:t>
      </w:r>
    </w:p>
    <w:p w14:paraId="1594BF4D" w14:textId="77777777" w:rsidR="00DC78B2" w:rsidRPr="00213A5D" w:rsidRDefault="00DC78B2" w:rsidP="00C15978">
      <w:pPr>
        <w:pStyle w:val="24"/>
        <w:widowControl w:val="0"/>
        <w:spacing w:after="0" w:line="276" w:lineRule="auto"/>
        <w:ind w:left="0" w:right="0" w:firstLine="0"/>
        <w:rPr>
          <w:sz w:val="8"/>
          <w:szCs w:val="8"/>
        </w:rPr>
      </w:pPr>
    </w:p>
    <w:p w14:paraId="067BBC8D" w14:textId="77777777" w:rsidR="00293FA4" w:rsidRPr="00213A5D" w:rsidRDefault="00114628" w:rsidP="00C76DAC">
      <w:pPr>
        <w:widowControl w:val="0"/>
        <w:spacing w:line="271" w:lineRule="auto"/>
        <w:ind w:left="0" w:right="0" w:hanging="284"/>
        <w:rPr>
          <w:sz w:val="24"/>
          <w:szCs w:val="24"/>
          <w:lang w:bidi="en-US"/>
        </w:rPr>
      </w:pPr>
      <w:r w:rsidRPr="00213A5D">
        <w:rPr>
          <w:b/>
          <w:sz w:val="24"/>
          <w:szCs w:val="24"/>
          <w:lang w:bidi="en-US"/>
        </w:rPr>
        <w:t>1</w:t>
      </w:r>
      <w:r w:rsidR="00450ACD" w:rsidRPr="00213A5D">
        <w:rPr>
          <w:b/>
          <w:sz w:val="24"/>
          <w:szCs w:val="24"/>
          <w:lang w:bidi="en-US"/>
        </w:rPr>
        <w:t>3</w:t>
      </w:r>
      <w:r w:rsidR="00D34B7A" w:rsidRPr="00213A5D">
        <w:rPr>
          <w:b/>
          <w:sz w:val="24"/>
          <w:szCs w:val="24"/>
          <w:lang w:bidi="en-US"/>
        </w:rPr>
        <w:t>.</w:t>
      </w:r>
      <w:r w:rsidR="00D34B7A" w:rsidRPr="00213A5D">
        <w:rPr>
          <w:sz w:val="24"/>
          <w:szCs w:val="24"/>
          <w:lang w:bidi="en-US"/>
        </w:rPr>
        <w:t> </w:t>
      </w:r>
      <w:r w:rsidR="00CF69F5" w:rsidRPr="00213A5D">
        <w:rPr>
          <w:sz w:val="24"/>
          <w:szCs w:val="24"/>
          <w:lang w:bidi="en-US"/>
        </w:rPr>
        <w:t xml:space="preserve">Уровень исполнения расходов по госпрограммам в целом </w:t>
      </w:r>
      <w:r w:rsidR="00C6546F" w:rsidRPr="00213A5D">
        <w:rPr>
          <w:sz w:val="24"/>
          <w:szCs w:val="24"/>
          <w:lang w:bidi="en-US"/>
        </w:rPr>
        <w:t xml:space="preserve">(69,1 %) </w:t>
      </w:r>
      <w:r w:rsidR="00CF69F5" w:rsidRPr="00213A5D">
        <w:rPr>
          <w:sz w:val="24"/>
          <w:szCs w:val="24"/>
          <w:lang w:bidi="en-US"/>
        </w:rPr>
        <w:t>на 1,</w:t>
      </w:r>
      <w:r w:rsidR="00B10DF7" w:rsidRPr="00213A5D">
        <w:rPr>
          <w:sz w:val="24"/>
          <w:szCs w:val="24"/>
          <w:lang w:bidi="en-US"/>
        </w:rPr>
        <w:t>3</w:t>
      </w:r>
      <w:r w:rsidR="00CF69F5" w:rsidRPr="00213A5D">
        <w:rPr>
          <w:sz w:val="24"/>
          <w:szCs w:val="24"/>
          <w:lang w:bidi="en-US"/>
        </w:rPr>
        <w:t xml:space="preserve"> процентного пункта </w:t>
      </w:r>
      <w:r w:rsidR="004A05D5">
        <w:rPr>
          <w:sz w:val="24"/>
          <w:szCs w:val="24"/>
          <w:lang w:bidi="en-US"/>
        </w:rPr>
        <w:t>ниже</w:t>
      </w:r>
      <w:r w:rsidR="00CF69F5" w:rsidRPr="00213A5D">
        <w:rPr>
          <w:sz w:val="24"/>
          <w:szCs w:val="24"/>
          <w:lang w:bidi="en-US"/>
        </w:rPr>
        <w:t xml:space="preserve"> аналогичн</w:t>
      </w:r>
      <w:r w:rsidR="004A05D5">
        <w:rPr>
          <w:sz w:val="24"/>
          <w:szCs w:val="24"/>
          <w:lang w:bidi="en-US"/>
        </w:rPr>
        <w:t>ого</w:t>
      </w:r>
      <w:r w:rsidR="00CF69F5" w:rsidRPr="00213A5D">
        <w:rPr>
          <w:sz w:val="24"/>
          <w:szCs w:val="24"/>
          <w:lang w:bidi="en-US"/>
        </w:rPr>
        <w:t xml:space="preserve"> показател</w:t>
      </w:r>
      <w:r w:rsidR="004A05D5">
        <w:rPr>
          <w:sz w:val="24"/>
          <w:szCs w:val="24"/>
          <w:lang w:bidi="en-US"/>
        </w:rPr>
        <w:t>я</w:t>
      </w:r>
      <w:r w:rsidR="00CF69F5" w:rsidRPr="00213A5D">
        <w:rPr>
          <w:sz w:val="24"/>
          <w:szCs w:val="24"/>
          <w:lang w:bidi="en-US"/>
        </w:rPr>
        <w:t xml:space="preserve"> прошлого года</w:t>
      </w:r>
      <w:r w:rsidR="00C6546F" w:rsidRPr="00213A5D">
        <w:rPr>
          <w:sz w:val="24"/>
          <w:szCs w:val="24"/>
          <w:lang w:bidi="en-US"/>
        </w:rPr>
        <w:t xml:space="preserve"> (открытая часть)</w:t>
      </w:r>
      <w:r w:rsidR="00CF69F5" w:rsidRPr="00213A5D">
        <w:rPr>
          <w:sz w:val="24"/>
          <w:szCs w:val="24"/>
          <w:lang w:bidi="en-US"/>
        </w:rPr>
        <w:t xml:space="preserve">. </w:t>
      </w:r>
    </w:p>
    <w:p w14:paraId="53FD1CF3" w14:textId="77777777" w:rsidR="00293FA4" w:rsidRPr="00213A5D" w:rsidRDefault="00293FA4" w:rsidP="00B842E1">
      <w:pPr>
        <w:widowControl w:val="0"/>
        <w:numPr>
          <w:ilvl w:val="0"/>
          <w:numId w:val="11"/>
        </w:numPr>
        <w:spacing w:line="271" w:lineRule="auto"/>
        <w:ind w:left="284" w:right="0" w:hanging="284"/>
        <w:rPr>
          <w:sz w:val="24"/>
          <w:szCs w:val="24"/>
          <w:lang w:bidi="en-US"/>
        </w:rPr>
      </w:pPr>
      <w:r w:rsidRPr="00213A5D">
        <w:rPr>
          <w:sz w:val="24"/>
          <w:szCs w:val="24"/>
          <w:lang w:bidi="en-US"/>
        </w:rPr>
        <w:t>Н</w:t>
      </w:r>
      <w:r w:rsidR="00A33371" w:rsidRPr="00213A5D">
        <w:rPr>
          <w:sz w:val="24"/>
          <w:szCs w:val="24"/>
          <w:lang w:bidi="en-US"/>
        </w:rPr>
        <w:t>а</w:t>
      </w:r>
      <w:r w:rsidR="00A33371" w:rsidRPr="00213A5D">
        <w:rPr>
          <w:b/>
          <w:sz w:val="24"/>
          <w:szCs w:val="24"/>
          <w:lang w:bidi="en-US"/>
        </w:rPr>
        <w:t xml:space="preserve"> низком </w:t>
      </w:r>
      <w:r w:rsidR="00A33371" w:rsidRPr="00213A5D">
        <w:rPr>
          <w:sz w:val="24"/>
          <w:szCs w:val="24"/>
          <w:lang w:bidi="en-US"/>
        </w:rPr>
        <w:t xml:space="preserve">уровне (менее </w:t>
      </w:r>
      <w:r w:rsidR="00A25A42" w:rsidRPr="00213A5D">
        <w:rPr>
          <w:sz w:val="24"/>
          <w:szCs w:val="24"/>
          <w:lang w:bidi="en-US"/>
        </w:rPr>
        <w:t>25</w:t>
      </w:r>
      <w:r w:rsidR="00A33371" w:rsidRPr="00213A5D">
        <w:rPr>
          <w:sz w:val="24"/>
          <w:szCs w:val="24"/>
          <w:lang w:bidi="en-US"/>
        </w:rPr>
        <w:t xml:space="preserve"> %) исполнены расходы на реализацию </w:t>
      </w:r>
      <w:r w:rsidR="00A27DBD" w:rsidRPr="00213A5D">
        <w:rPr>
          <w:b/>
          <w:sz w:val="24"/>
          <w:szCs w:val="24"/>
          <w:lang w:bidi="en-US"/>
        </w:rPr>
        <w:t>5</w:t>
      </w:r>
      <w:r w:rsidR="00A33371" w:rsidRPr="00213A5D">
        <w:rPr>
          <w:b/>
          <w:sz w:val="24"/>
          <w:szCs w:val="24"/>
          <w:lang w:bidi="en-US"/>
        </w:rPr>
        <w:t> госпрограмм</w:t>
      </w:r>
      <w:r w:rsidRPr="00213A5D">
        <w:rPr>
          <w:b/>
          <w:sz w:val="24"/>
          <w:szCs w:val="24"/>
          <w:lang w:bidi="en-US"/>
        </w:rPr>
        <w:t xml:space="preserve"> </w:t>
      </w:r>
      <w:r w:rsidRPr="00213A5D">
        <w:rPr>
          <w:sz w:val="24"/>
          <w:szCs w:val="24"/>
          <w:lang w:bidi="en-US"/>
        </w:rPr>
        <w:t>(</w:t>
      </w:r>
      <w:r w:rsidR="00A25A42" w:rsidRPr="00213A5D">
        <w:rPr>
          <w:sz w:val="24"/>
          <w:szCs w:val="24"/>
          <w:lang w:bidi="en-US"/>
        </w:rPr>
        <w:t xml:space="preserve">судостроение, </w:t>
      </w:r>
      <w:r w:rsidR="00A33371" w:rsidRPr="00213A5D">
        <w:rPr>
          <w:sz w:val="24"/>
          <w:szCs w:val="24"/>
          <w:lang w:bidi="en-US"/>
        </w:rPr>
        <w:t>развитие Калининградской области</w:t>
      </w:r>
      <w:r w:rsidR="00A25A42" w:rsidRPr="00213A5D">
        <w:rPr>
          <w:sz w:val="24"/>
          <w:szCs w:val="24"/>
          <w:lang w:bidi="en-US"/>
        </w:rPr>
        <w:t>, Арктической зоны</w:t>
      </w:r>
      <w:r w:rsidR="00A33371" w:rsidRPr="00213A5D">
        <w:rPr>
          <w:sz w:val="24"/>
          <w:szCs w:val="24"/>
          <w:lang w:bidi="en-US"/>
        </w:rPr>
        <w:t>, электронная и радиоэлектронная промышленность</w:t>
      </w:r>
      <w:r w:rsidR="00122D2D" w:rsidRPr="00213A5D">
        <w:rPr>
          <w:sz w:val="24"/>
          <w:szCs w:val="24"/>
          <w:lang w:bidi="en-US"/>
        </w:rPr>
        <w:t>,</w:t>
      </w:r>
      <w:r w:rsidR="00A33371" w:rsidRPr="00213A5D">
        <w:rPr>
          <w:sz w:val="24"/>
          <w:szCs w:val="24"/>
          <w:lang w:bidi="en-US"/>
        </w:rPr>
        <w:t xml:space="preserve"> </w:t>
      </w:r>
      <w:r w:rsidR="00122D2D" w:rsidRPr="00213A5D">
        <w:rPr>
          <w:sz w:val="24"/>
          <w:szCs w:val="24"/>
          <w:lang w:bidi="en-US"/>
        </w:rPr>
        <w:t>содействие международному развитию</w:t>
      </w:r>
      <w:r w:rsidRPr="00213A5D">
        <w:rPr>
          <w:sz w:val="24"/>
          <w:szCs w:val="24"/>
          <w:lang w:bidi="en-US"/>
        </w:rPr>
        <w:t>)</w:t>
      </w:r>
      <w:r w:rsidR="00CF69F5" w:rsidRPr="00213A5D">
        <w:rPr>
          <w:sz w:val="24"/>
          <w:szCs w:val="24"/>
          <w:lang w:bidi="en-US"/>
        </w:rPr>
        <w:t xml:space="preserve">, из которых по </w:t>
      </w:r>
      <w:r w:rsidRPr="00213A5D">
        <w:rPr>
          <w:b/>
          <w:sz w:val="24"/>
          <w:szCs w:val="24"/>
          <w:lang w:bidi="en-US"/>
        </w:rPr>
        <w:t>3</w:t>
      </w:r>
      <w:r w:rsidR="00CF69F5" w:rsidRPr="00213A5D">
        <w:rPr>
          <w:b/>
          <w:sz w:val="24"/>
          <w:szCs w:val="24"/>
          <w:lang w:bidi="en-US"/>
        </w:rPr>
        <w:t xml:space="preserve"> госпрограммам</w:t>
      </w:r>
      <w:r w:rsidR="00CF69F5" w:rsidRPr="00213A5D">
        <w:rPr>
          <w:sz w:val="24"/>
          <w:szCs w:val="24"/>
          <w:lang w:bidi="en-US"/>
        </w:rPr>
        <w:t xml:space="preserve"> (ра</w:t>
      </w:r>
      <w:r w:rsidR="00A61D55" w:rsidRPr="00213A5D">
        <w:rPr>
          <w:sz w:val="24"/>
          <w:szCs w:val="24"/>
          <w:lang w:bidi="en-US"/>
        </w:rPr>
        <w:t>звитие Калининградской области,</w:t>
      </w:r>
      <w:r w:rsidR="00CF69F5" w:rsidRPr="00213A5D">
        <w:rPr>
          <w:sz w:val="24"/>
          <w:szCs w:val="24"/>
          <w:lang w:bidi="en-US"/>
        </w:rPr>
        <w:t xml:space="preserve"> судостроение</w:t>
      </w:r>
      <w:r w:rsidR="00A61D55" w:rsidRPr="00213A5D">
        <w:rPr>
          <w:sz w:val="24"/>
          <w:szCs w:val="24"/>
          <w:lang w:bidi="en-US"/>
        </w:rPr>
        <w:t>, электронная и радиоэлектронная промышленность</w:t>
      </w:r>
      <w:r w:rsidR="00CF69F5" w:rsidRPr="00213A5D">
        <w:rPr>
          <w:sz w:val="24"/>
          <w:szCs w:val="24"/>
          <w:lang w:bidi="en-US"/>
        </w:rPr>
        <w:t xml:space="preserve">) расходы исполнены существенно </w:t>
      </w:r>
      <w:r w:rsidR="00CF69F5" w:rsidRPr="00213A5D">
        <w:rPr>
          <w:b/>
          <w:sz w:val="24"/>
          <w:szCs w:val="24"/>
          <w:lang w:bidi="en-US"/>
        </w:rPr>
        <w:t>ниже уровня</w:t>
      </w:r>
      <w:r w:rsidR="00CF69F5" w:rsidRPr="00213A5D">
        <w:rPr>
          <w:sz w:val="24"/>
          <w:szCs w:val="24"/>
          <w:lang w:bidi="en-US"/>
        </w:rPr>
        <w:t xml:space="preserve"> аналогичного периода предыдущего года</w:t>
      </w:r>
      <w:r w:rsidR="00CE1718" w:rsidRPr="00213A5D">
        <w:rPr>
          <w:sz w:val="24"/>
          <w:szCs w:val="24"/>
          <w:lang w:bidi="en-US"/>
        </w:rPr>
        <w:t>.</w:t>
      </w:r>
      <w:r w:rsidR="0040345F" w:rsidRPr="00213A5D">
        <w:rPr>
          <w:sz w:val="24"/>
          <w:szCs w:val="24"/>
          <w:lang w:bidi="en-US"/>
        </w:rPr>
        <w:t xml:space="preserve"> </w:t>
      </w:r>
    </w:p>
    <w:p w14:paraId="304C8B2B" w14:textId="77777777" w:rsidR="001346F7" w:rsidRPr="00213A5D" w:rsidRDefault="00C564C0" w:rsidP="00B842E1">
      <w:pPr>
        <w:widowControl w:val="0"/>
        <w:numPr>
          <w:ilvl w:val="0"/>
          <w:numId w:val="11"/>
        </w:numPr>
        <w:spacing w:line="271" w:lineRule="auto"/>
        <w:ind w:left="284" w:right="0" w:hanging="284"/>
        <w:rPr>
          <w:sz w:val="24"/>
          <w:szCs w:val="24"/>
          <w:lang w:bidi="en-US"/>
        </w:rPr>
      </w:pPr>
      <w:r w:rsidRPr="00213A5D">
        <w:rPr>
          <w:sz w:val="24"/>
          <w:szCs w:val="24"/>
          <w:lang w:bidi="en-US"/>
        </w:rPr>
        <w:t xml:space="preserve">Минвостокразвития России, </w:t>
      </w:r>
      <w:r w:rsidR="00A33371" w:rsidRPr="00213A5D">
        <w:rPr>
          <w:sz w:val="24"/>
          <w:szCs w:val="24"/>
          <w:lang w:bidi="en-US"/>
        </w:rPr>
        <w:t xml:space="preserve">Минэкономразвития России, Минпромторгом России, Минэнерго России </w:t>
      </w:r>
      <w:r w:rsidR="00192CC1" w:rsidRPr="00213A5D">
        <w:rPr>
          <w:b/>
          <w:sz w:val="24"/>
          <w:szCs w:val="24"/>
          <w:lang w:bidi="en-US"/>
        </w:rPr>
        <w:t>на низком уровне</w:t>
      </w:r>
      <w:r w:rsidR="00192CC1" w:rsidRPr="00213A5D">
        <w:rPr>
          <w:sz w:val="24"/>
          <w:szCs w:val="24"/>
          <w:lang w:bidi="en-US"/>
        </w:rPr>
        <w:t xml:space="preserve"> </w:t>
      </w:r>
      <w:r w:rsidR="00A33371" w:rsidRPr="00213A5D">
        <w:rPr>
          <w:b/>
          <w:sz w:val="24"/>
          <w:szCs w:val="24"/>
          <w:lang w:bidi="en-US"/>
        </w:rPr>
        <w:t xml:space="preserve">осуществлялись </w:t>
      </w:r>
      <w:r w:rsidR="00A33371" w:rsidRPr="00213A5D">
        <w:rPr>
          <w:sz w:val="24"/>
          <w:szCs w:val="24"/>
          <w:lang w:bidi="en-US"/>
        </w:rPr>
        <w:t>расходы на реализацию отдельных госпрограмм.</w:t>
      </w:r>
    </w:p>
    <w:p w14:paraId="0383B1E3" w14:textId="77777777" w:rsidR="0086541F" w:rsidRPr="00213A5D" w:rsidRDefault="00C6546F" w:rsidP="00B842E1">
      <w:pPr>
        <w:widowControl w:val="0"/>
        <w:numPr>
          <w:ilvl w:val="0"/>
          <w:numId w:val="11"/>
        </w:numPr>
        <w:spacing w:line="271" w:lineRule="auto"/>
        <w:ind w:left="284" w:right="0" w:hanging="284"/>
      </w:pPr>
      <w:r w:rsidRPr="00213A5D">
        <w:rPr>
          <w:bCs/>
          <w:sz w:val="24"/>
          <w:szCs w:val="24"/>
        </w:rPr>
        <w:t>П</w:t>
      </w:r>
      <w:r w:rsidR="00567635" w:rsidRPr="00213A5D">
        <w:rPr>
          <w:sz w:val="24"/>
          <w:szCs w:val="24"/>
        </w:rPr>
        <w:t xml:space="preserve">о </w:t>
      </w:r>
      <w:r w:rsidR="00567635" w:rsidRPr="00213A5D">
        <w:rPr>
          <w:b/>
          <w:bCs/>
          <w:sz w:val="24"/>
          <w:szCs w:val="24"/>
        </w:rPr>
        <w:t xml:space="preserve">13 госпрограммам </w:t>
      </w:r>
      <w:r w:rsidR="00567635" w:rsidRPr="00213A5D">
        <w:rPr>
          <w:bCs/>
          <w:sz w:val="24"/>
          <w:szCs w:val="24"/>
        </w:rPr>
        <w:t xml:space="preserve">отмечается </w:t>
      </w:r>
      <w:r w:rsidRPr="00213A5D">
        <w:rPr>
          <w:bCs/>
          <w:sz w:val="24"/>
          <w:szCs w:val="24"/>
        </w:rPr>
        <w:t xml:space="preserve">значительное </w:t>
      </w:r>
      <w:r w:rsidR="00567635" w:rsidRPr="00213A5D">
        <w:rPr>
          <w:b/>
          <w:bCs/>
          <w:sz w:val="24"/>
          <w:szCs w:val="24"/>
        </w:rPr>
        <w:t>у</w:t>
      </w:r>
      <w:r w:rsidR="00567635" w:rsidRPr="00213A5D">
        <w:rPr>
          <w:b/>
          <w:sz w:val="24"/>
          <w:szCs w:val="24"/>
        </w:rPr>
        <w:t>величение</w:t>
      </w:r>
      <w:r w:rsidR="00567635" w:rsidRPr="00213A5D">
        <w:rPr>
          <w:sz w:val="24"/>
          <w:szCs w:val="24"/>
        </w:rPr>
        <w:t xml:space="preserve"> бюджетных ассигнований по сравнению с показателями, утвержденными Федеральным законом № 390-ФЗ,</w:t>
      </w:r>
      <w:r w:rsidR="000835D2" w:rsidRPr="00213A5D">
        <w:rPr>
          <w:sz w:val="24"/>
          <w:szCs w:val="24"/>
        </w:rPr>
        <w:t xml:space="preserve"> – </w:t>
      </w:r>
      <w:r w:rsidR="000835D2" w:rsidRPr="00213A5D">
        <w:rPr>
          <w:sz w:val="24"/>
          <w:szCs w:val="24"/>
        </w:rPr>
        <w:br/>
      </w:r>
      <w:r w:rsidRPr="00213A5D">
        <w:rPr>
          <w:sz w:val="24"/>
          <w:szCs w:val="24"/>
        </w:rPr>
        <w:t>от</w:t>
      </w:r>
      <w:r w:rsidR="00293FA4" w:rsidRPr="00213A5D">
        <w:rPr>
          <w:sz w:val="24"/>
          <w:szCs w:val="24"/>
        </w:rPr>
        <w:t> </w:t>
      </w:r>
      <w:r w:rsidR="00567635" w:rsidRPr="00213A5D">
        <w:rPr>
          <w:b/>
          <w:bCs/>
          <w:sz w:val="24"/>
          <w:szCs w:val="24"/>
        </w:rPr>
        <w:t>40</w:t>
      </w:r>
      <w:r w:rsidRPr="00213A5D">
        <w:rPr>
          <w:b/>
          <w:bCs/>
          <w:sz w:val="24"/>
          <w:szCs w:val="24"/>
        </w:rPr>
        <w:t>,0</w:t>
      </w:r>
      <w:r w:rsidR="000835D2" w:rsidRPr="00213A5D">
        <w:rPr>
          <w:b/>
          <w:bCs/>
          <w:sz w:val="24"/>
          <w:szCs w:val="24"/>
        </w:rPr>
        <w:t xml:space="preserve"> млрд. рублей</w:t>
      </w:r>
      <w:r w:rsidR="00293FA4" w:rsidRPr="00213A5D">
        <w:rPr>
          <w:b/>
          <w:bCs/>
          <w:sz w:val="24"/>
          <w:szCs w:val="24"/>
        </w:rPr>
        <w:t> </w:t>
      </w:r>
      <w:r w:rsidRPr="00213A5D">
        <w:rPr>
          <w:b/>
          <w:bCs/>
          <w:sz w:val="24"/>
          <w:szCs w:val="24"/>
        </w:rPr>
        <w:t>до 650,0 млрд. рублей</w:t>
      </w:r>
      <w:r w:rsidR="000C71CA" w:rsidRPr="00213A5D">
        <w:rPr>
          <w:b/>
          <w:bCs/>
          <w:sz w:val="24"/>
          <w:szCs w:val="24"/>
        </w:rPr>
        <w:t>,</w:t>
      </w:r>
      <w:r w:rsidR="0086541F" w:rsidRPr="00213A5D">
        <w:rPr>
          <w:sz w:val="24"/>
          <w:szCs w:val="24"/>
        </w:rPr>
        <w:t xml:space="preserve"> из </w:t>
      </w:r>
      <w:r w:rsidR="00567635" w:rsidRPr="00213A5D">
        <w:rPr>
          <w:sz w:val="24"/>
          <w:szCs w:val="24"/>
        </w:rPr>
        <w:t>них</w:t>
      </w:r>
      <w:r w:rsidR="0086541F" w:rsidRPr="00213A5D">
        <w:rPr>
          <w:sz w:val="24"/>
          <w:szCs w:val="24"/>
        </w:rPr>
        <w:t xml:space="preserve"> по </w:t>
      </w:r>
      <w:r w:rsidR="0086541F" w:rsidRPr="00213A5D">
        <w:rPr>
          <w:b/>
          <w:bCs/>
          <w:sz w:val="24"/>
          <w:szCs w:val="24"/>
        </w:rPr>
        <w:t>6 госпрограммам</w:t>
      </w:r>
      <w:r w:rsidR="0086541F" w:rsidRPr="00213A5D">
        <w:rPr>
          <w:sz w:val="24"/>
          <w:szCs w:val="24"/>
        </w:rPr>
        <w:t xml:space="preserve"> увеличение </w:t>
      </w:r>
      <w:r w:rsidR="000835D2" w:rsidRPr="00213A5D">
        <w:rPr>
          <w:sz w:val="24"/>
          <w:szCs w:val="24"/>
        </w:rPr>
        <w:t>составило</w:t>
      </w:r>
      <w:r w:rsidR="0086541F" w:rsidRPr="00213A5D">
        <w:rPr>
          <w:sz w:val="24"/>
          <w:szCs w:val="24"/>
        </w:rPr>
        <w:t xml:space="preserve"> </w:t>
      </w:r>
      <w:r w:rsidR="0086541F" w:rsidRPr="00213A5D">
        <w:rPr>
          <w:b/>
          <w:bCs/>
          <w:sz w:val="24"/>
          <w:szCs w:val="24"/>
        </w:rPr>
        <w:t>1,3</w:t>
      </w:r>
      <w:r w:rsidR="00293FA4" w:rsidRPr="00213A5D">
        <w:rPr>
          <w:b/>
          <w:bCs/>
          <w:sz w:val="24"/>
          <w:szCs w:val="24"/>
        </w:rPr>
        <w:t> </w:t>
      </w:r>
      <w:r w:rsidR="000835D2" w:rsidRPr="00213A5D">
        <w:rPr>
          <w:sz w:val="24"/>
          <w:szCs w:val="24"/>
        </w:rPr>
        <w:t>–</w:t>
      </w:r>
      <w:r w:rsidR="0086541F" w:rsidRPr="00213A5D">
        <w:rPr>
          <w:b/>
          <w:bCs/>
          <w:sz w:val="24"/>
          <w:szCs w:val="24"/>
        </w:rPr>
        <w:t> 1,5 раза</w:t>
      </w:r>
      <w:r w:rsidR="0086541F" w:rsidRPr="00213A5D">
        <w:rPr>
          <w:sz w:val="24"/>
          <w:szCs w:val="24"/>
        </w:rPr>
        <w:t xml:space="preserve">. </w:t>
      </w:r>
    </w:p>
    <w:p w14:paraId="6E4C0CF5" w14:textId="77777777" w:rsidR="009B0AED" w:rsidRPr="00213A5D" w:rsidRDefault="009B0AED" w:rsidP="00C15978">
      <w:pPr>
        <w:pStyle w:val="24"/>
        <w:widowControl w:val="0"/>
        <w:spacing w:after="0" w:line="276" w:lineRule="auto"/>
        <w:ind w:left="0" w:right="0" w:firstLine="0"/>
        <w:rPr>
          <w:sz w:val="10"/>
          <w:szCs w:val="10"/>
        </w:rPr>
      </w:pPr>
    </w:p>
    <w:p w14:paraId="7699F562" w14:textId="77777777" w:rsidR="0034320D" w:rsidRPr="00213A5D" w:rsidRDefault="00403649" w:rsidP="00AF1852">
      <w:pPr>
        <w:pStyle w:val="24"/>
        <w:widowControl w:val="0"/>
        <w:spacing w:after="0" w:line="276" w:lineRule="auto"/>
        <w:ind w:left="0" w:right="0" w:hanging="284"/>
        <w:rPr>
          <w:sz w:val="24"/>
          <w:szCs w:val="24"/>
        </w:rPr>
      </w:pPr>
      <w:r w:rsidRPr="00213A5D">
        <w:rPr>
          <w:b/>
          <w:color w:val="000000"/>
          <w:sz w:val="24"/>
          <w:szCs w:val="24"/>
        </w:rPr>
        <w:t>1</w:t>
      </w:r>
      <w:r w:rsidR="00F27FB8" w:rsidRPr="00213A5D">
        <w:rPr>
          <w:b/>
          <w:color w:val="000000"/>
          <w:sz w:val="24"/>
          <w:szCs w:val="24"/>
        </w:rPr>
        <w:t>4</w:t>
      </w:r>
      <w:r w:rsidRPr="00213A5D">
        <w:rPr>
          <w:b/>
          <w:color w:val="000000"/>
          <w:sz w:val="24"/>
          <w:szCs w:val="24"/>
        </w:rPr>
        <w:t>.</w:t>
      </w:r>
      <w:r w:rsidRPr="00213A5D">
        <w:rPr>
          <w:color w:val="000000"/>
          <w:sz w:val="24"/>
          <w:szCs w:val="24"/>
        </w:rPr>
        <w:t> </w:t>
      </w:r>
      <w:r w:rsidR="00340236" w:rsidRPr="00213A5D">
        <w:rPr>
          <w:sz w:val="24"/>
          <w:szCs w:val="24"/>
        </w:rPr>
        <w:t>Исполнение расходов на реализацию</w:t>
      </w:r>
      <w:r w:rsidR="00340236" w:rsidRPr="00213A5D">
        <w:rPr>
          <w:b/>
          <w:sz w:val="24"/>
          <w:szCs w:val="24"/>
        </w:rPr>
        <w:t xml:space="preserve"> ФАИП</w:t>
      </w:r>
      <w:r w:rsidR="00640F72" w:rsidRPr="00213A5D">
        <w:rPr>
          <w:b/>
          <w:sz w:val="24"/>
          <w:szCs w:val="24"/>
        </w:rPr>
        <w:t xml:space="preserve"> </w:t>
      </w:r>
      <w:r w:rsidR="00340236" w:rsidRPr="00213A5D">
        <w:rPr>
          <w:sz w:val="24"/>
          <w:szCs w:val="24"/>
        </w:rPr>
        <w:t xml:space="preserve">составило </w:t>
      </w:r>
      <w:r w:rsidR="00340236" w:rsidRPr="00213A5D">
        <w:rPr>
          <w:b/>
          <w:sz w:val="24"/>
          <w:szCs w:val="24"/>
        </w:rPr>
        <w:t>58,6 %</w:t>
      </w:r>
      <w:r w:rsidR="00340236" w:rsidRPr="00213A5D">
        <w:rPr>
          <w:sz w:val="24"/>
          <w:szCs w:val="24"/>
        </w:rPr>
        <w:t xml:space="preserve"> показателя сводной росписи с изменениями, что </w:t>
      </w:r>
      <w:r w:rsidR="00340236" w:rsidRPr="00213A5D">
        <w:rPr>
          <w:b/>
          <w:sz w:val="24"/>
          <w:szCs w:val="24"/>
        </w:rPr>
        <w:t>на 8,8 процентного пункта выше</w:t>
      </w:r>
      <w:r w:rsidR="00340236" w:rsidRPr="00213A5D">
        <w:rPr>
          <w:sz w:val="24"/>
          <w:szCs w:val="24"/>
        </w:rPr>
        <w:t>, чем за аналогичный период 2021 года (49,8 %).</w:t>
      </w:r>
    </w:p>
    <w:p w14:paraId="0B679D7A" w14:textId="77777777" w:rsidR="00340236" w:rsidRPr="00213A5D" w:rsidRDefault="00340236" w:rsidP="00B842E1">
      <w:pPr>
        <w:pStyle w:val="24"/>
        <w:widowControl w:val="0"/>
        <w:numPr>
          <w:ilvl w:val="0"/>
          <w:numId w:val="11"/>
        </w:numPr>
        <w:spacing w:after="0" w:line="276" w:lineRule="auto"/>
        <w:ind w:right="0"/>
        <w:rPr>
          <w:sz w:val="24"/>
          <w:szCs w:val="24"/>
        </w:rPr>
      </w:pPr>
      <w:r w:rsidRPr="00213A5D">
        <w:rPr>
          <w:b/>
          <w:sz w:val="24"/>
          <w:szCs w:val="24"/>
        </w:rPr>
        <w:t>Не осуществлял</w:t>
      </w:r>
      <w:r w:rsidR="00E47309" w:rsidRPr="00213A5D">
        <w:rPr>
          <w:b/>
          <w:sz w:val="24"/>
          <w:szCs w:val="24"/>
        </w:rPr>
        <w:t>о</w:t>
      </w:r>
      <w:r w:rsidRPr="00213A5D">
        <w:rPr>
          <w:b/>
          <w:sz w:val="24"/>
          <w:szCs w:val="24"/>
        </w:rPr>
        <w:t xml:space="preserve">сь </w:t>
      </w:r>
      <w:r w:rsidR="00E47309" w:rsidRPr="00213A5D">
        <w:rPr>
          <w:sz w:val="24"/>
          <w:szCs w:val="24"/>
        </w:rPr>
        <w:t xml:space="preserve">исполнение </w:t>
      </w:r>
      <w:r w:rsidRPr="00213A5D">
        <w:rPr>
          <w:sz w:val="24"/>
          <w:szCs w:val="24"/>
        </w:rPr>
        <w:t>расход</w:t>
      </w:r>
      <w:r w:rsidR="00E47309" w:rsidRPr="00213A5D">
        <w:rPr>
          <w:sz w:val="24"/>
          <w:szCs w:val="24"/>
        </w:rPr>
        <w:t>ов</w:t>
      </w:r>
      <w:r w:rsidRPr="00213A5D">
        <w:rPr>
          <w:sz w:val="24"/>
          <w:szCs w:val="24"/>
        </w:rPr>
        <w:t xml:space="preserve"> </w:t>
      </w:r>
      <w:r w:rsidRPr="00213A5D">
        <w:rPr>
          <w:b/>
          <w:sz w:val="24"/>
          <w:szCs w:val="24"/>
        </w:rPr>
        <w:t>по 2 из 54 главных распорядителей</w:t>
      </w:r>
      <w:r w:rsidRPr="00213A5D">
        <w:rPr>
          <w:sz w:val="24"/>
          <w:szCs w:val="24"/>
        </w:rPr>
        <w:t>, которым доведены ЛБО на реализацию ФАИП (Росжелдор</w:t>
      </w:r>
      <w:r w:rsidR="0034320D" w:rsidRPr="00213A5D">
        <w:rPr>
          <w:sz w:val="24"/>
          <w:szCs w:val="24"/>
        </w:rPr>
        <w:t xml:space="preserve"> и</w:t>
      </w:r>
      <w:r w:rsidRPr="00213A5D">
        <w:rPr>
          <w:sz w:val="24"/>
          <w:szCs w:val="24"/>
        </w:rPr>
        <w:t xml:space="preserve"> ФГБОУ ВО «Московский</w:t>
      </w:r>
      <w:r w:rsidR="009F30A0" w:rsidRPr="00213A5D">
        <w:rPr>
          <w:sz w:val="24"/>
          <w:szCs w:val="24"/>
        </w:rPr>
        <w:t xml:space="preserve"> государственный университет имени</w:t>
      </w:r>
      <w:r w:rsidRPr="00213A5D">
        <w:rPr>
          <w:sz w:val="24"/>
          <w:szCs w:val="24"/>
        </w:rPr>
        <w:t> М.В.</w:t>
      </w:r>
      <w:r w:rsidR="009F30A0" w:rsidRPr="00213A5D">
        <w:rPr>
          <w:sz w:val="24"/>
          <w:szCs w:val="24"/>
        </w:rPr>
        <w:t xml:space="preserve"> </w:t>
      </w:r>
      <w:r w:rsidRPr="00213A5D">
        <w:rPr>
          <w:sz w:val="24"/>
          <w:szCs w:val="24"/>
        </w:rPr>
        <w:t>Ломоносова»</w:t>
      </w:r>
      <w:r w:rsidR="0027053E" w:rsidRPr="00213A5D">
        <w:rPr>
          <w:sz w:val="24"/>
          <w:szCs w:val="24"/>
        </w:rPr>
        <w:t xml:space="preserve"> в общем объеме 3,8 млрд. рублей</w:t>
      </w:r>
      <w:r w:rsidRPr="00213A5D">
        <w:rPr>
          <w:sz w:val="24"/>
          <w:szCs w:val="24"/>
        </w:rPr>
        <w:t>).</w:t>
      </w:r>
    </w:p>
    <w:p w14:paraId="211101F3" w14:textId="77777777" w:rsidR="000E02A4" w:rsidRPr="00213A5D" w:rsidRDefault="000E02A4" w:rsidP="00B842E1">
      <w:pPr>
        <w:pStyle w:val="24"/>
        <w:widowControl w:val="0"/>
        <w:numPr>
          <w:ilvl w:val="0"/>
          <w:numId w:val="11"/>
        </w:numPr>
        <w:spacing w:after="0" w:line="276" w:lineRule="auto"/>
        <w:ind w:right="0"/>
        <w:rPr>
          <w:sz w:val="24"/>
          <w:szCs w:val="24"/>
        </w:rPr>
      </w:pPr>
      <w:r w:rsidRPr="00213A5D">
        <w:rPr>
          <w:sz w:val="24"/>
          <w:szCs w:val="24"/>
        </w:rPr>
        <w:t xml:space="preserve">По данным Минстроя России, в январе – сентябре 2022 года </w:t>
      </w:r>
      <w:r w:rsidRPr="00213A5D">
        <w:rPr>
          <w:b/>
          <w:sz w:val="24"/>
          <w:szCs w:val="24"/>
        </w:rPr>
        <w:t>введено в эксплуатацию 28 из 237</w:t>
      </w:r>
      <w:r w:rsidRPr="00213A5D">
        <w:rPr>
          <w:sz w:val="24"/>
          <w:szCs w:val="24"/>
        </w:rPr>
        <w:t xml:space="preserve"> объектов</w:t>
      </w:r>
      <w:r w:rsidRPr="00213A5D">
        <w:rPr>
          <w:b/>
          <w:sz w:val="24"/>
          <w:szCs w:val="24"/>
        </w:rPr>
        <w:t xml:space="preserve"> </w:t>
      </w:r>
      <w:r w:rsidRPr="00213A5D">
        <w:rPr>
          <w:sz w:val="24"/>
          <w:szCs w:val="24"/>
        </w:rPr>
        <w:t>ФАИП, предусмотренных к вводу в 2022 году, или лишь</w:t>
      </w:r>
      <w:r w:rsidRPr="00213A5D">
        <w:rPr>
          <w:b/>
          <w:sz w:val="24"/>
          <w:szCs w:val="24"/>
        </w:rPr>
        <w:t xml:space="preserve"> 11,8 %</w:t>
      </w:r>
      <w:r w:rsidR="006B4B6D" w:rsidRPr="00213A5D">
        <w:rPr>
          <w:sz w:val="24"/>
          <w:szCs w:val="24"/>
        </w:rPr>
        <w:t xml:space="preserve"> </w:t>
      </w:r>
      <w:r w:rsidR="009F30A0" w:rsidRPr="00213A5D">
        <w:rPr>
          <w:sz w:val="24"/>
          <w:szCs w:val="24"/>
        </w:rPr>
        <w:br/>
      </w:r>
      <w:r w:rsidR="006B4B6D" w:rsidRPr="00213A5D">
        <w:rPr>
          <w:sz w:val="24"/>
          <w:szCs w:val="24"/>
        </w:rPr>
        <w:t xml:space="preserve">(в январе – </w:t>
      </w:r>
      <w:r w:rsidRPr="00213A5D">
        <w:rPr>
          <w:sz w:val="24"/>
          <w:szCs w:val="24"/>
        </w:rPr>
        <w:t>сентябре 2021 года – 57 объектов, или 19,2 %).</w:t>
      </w:r>
    </w:p>
    <w:p w14:paraId="24849CB3" w14:textId="77777777" w:rsidR="009D7072" w:rsidRPr="00213A5D" w:rsidRDefault="009D7072" w:rsidP="00AF1852">
      <w:pPr>
        <w:pStyle w:val="24"/>
        <w:widowControl w:val="0"/>
        <w:spacing w:after="0" w:line="276" w:lineRule="auto"/>
        <w:ind w:left="0" w:right="0" w:firstLine="0"/>
        <w:rPr>
          <w:sz w:val="8"/>
          <w:szCs w:val="8"/>
        </w:rPr>
      </w:pPr>
    </w:p>
    <w:p w14:paraId="0E7C3534" w14:textId="77777777" w:rsidR="00640F72" w:rsidRPr="00213A5D" w:rsidRDefault="00AC38F0" w:rsidP="00AF1852">
      <w:pPr>
        <w:widowControl w:val="0"/>
        <w:spacing w:line="276" w:lineRule="auto"/>
        <w:ind w:left="0" w:right="0" w:hanging="284"/>
        <w:rPr>
          <w:rFonts w:eastAsia="Times New Roman"/>
          <w:bCs/>
          <w:sz w:val="24"/>
          <w:szCs w:val="24"/>
        </w:rPr>
      </w:pPr>
      <w:r w:rsidRPr="00213A5D">
        <w:rPr>
          <w:rFonts w:eastAsia="Times New Roman"/>
          <w:b/>
          <w:sz w:val="24"/>
          <w:szCs w:val="24"/>
        </w:rPr>
        <w:t>1</w:t>
      </w:r>
      <w:r w:rsidR="00B07999" w:rsidRPr="00213A5D">
        <w:rPr>
          <w:rFonts w:eastAsia="Times New Roman"/>
          <w:b/>
          <w:sz w:val="24"/>
          <w:szCs w:val="24"/>
        </w:rPr>
        <w:t>5</w:t>
      </w:r>
      <w:r w:rsidRPr="00213A5D">
        <w:rPr>
          <w:rFonts w:eastAsia="Times New Roman"/>
          <w:b/>
          <w:sz w:val="24"/>
          <w:szCs w:val="24"/>
        </w:rPr>
        <w:t>.</w:t>
      </w:r>
      <w:r w:rsidRPr="00213A5D">
        <w:rPr>
          <w:rFonts w:eastAsia="Times New Roman"/>
          <w:sz w:val="24"/>
          <w:szCs w:val="24"/>
        </w:rPr>
        <w:t> </w:t>
      </w:r>
      <w:r w:rsidR="00B66562" w:rsidRPr="00213A5D">
        <w:rPr>
          <w:rFonts w:eastAsia="Times New Roman"/>
          <w:sz w:val="24"/>
          <w:szCs w:val="24"/>
        </w:rPr>
        <w:t>Р</w:t>
      </w:r>
      <w:r w:rsidR="00B66562" w:rsidRPr="00213A5D">
        <w:rPr>
          <w:rFonts w:eastAsia="Times New Roman"/>
          <w:bCs/>
          <w:sz w:val="24"/>
          <w:szCs w:val="24"/>
        </w:rPr>
        <w:t xml:space="preserve">асходы на предоставление </w:t>
      </w:r>
      <w:r w:rsidR="00B66562" w:rsidRPr="00213A5D">
        <w:rPr>
          <w:rFonts w:eastAsia="Times New Roman"/>
          <w:b/>
          <w:sz w:val="24"/>
          <w:szCs w:val="24"/>
        </w:rPr>
        <w:t>субсидий юридическим лицам</w:t>
      </w:r>
      <w:r w:rsidR="00791623" w:rsidRPr="00213A5D">
        <w:rPr>
          <w:rFonts w:eastAsia="Times New Roman"/>
          <w:sz w:val="24"/>
          <w:szCs w:val="24"/>
        </w:rPr>
        <w:t xml:space="preserve"> </w:t>
      </w:r>
      <w:r w:rsidR="00791623" w:rsidRPr="00213A5D">
        <w:rPr>
          <w:rFonts w:eastAsia="Times New Roman"/>
          <w:bCs/>
          <w:sz w:val="24"/>
          <w:szCs w:val="24"/>
        </w:rPr>
        <w:t>(за исключением государственных учреждений, государственных корпораций и компании)</w:t>
      </w:r>
      <w:r w:rsidR="00B66562" w:rsidRPr="00213A5D">
        <w:rPr>
          <w:rFonts w:eastAsia="Times New Roman"/>
          <w:b/>
          <w:sz w:val="24"/>
          <w:szCs w:val="24"/>
        </w:rPr>
        <w:t xml:space="preserve"> </w:t>
      </w:r>
      <w:r w:rsidR="00B66562" w:rsidRPr="00213A5D">
        <w:rPr>
          <w:rFonts w:eastAsia="Times New Roman"/>
          <w:bCs/>
          <w:sz w:val="24"/>
          <w:szCs w:val="24"/>
        </w:rPr>
        <w:t xml:space="preserve">исполнены в сумме </w:t>
      </w:r>
      <w:r w:rsidR="001E4273" w:rsidRPr="00213A5D">
        <w:rPr>
          <w:rFonts w:eastAsia="Times New Roman"/>
          <w:bCs/>
          <w:sz w:val="24"/>
          <w:szCs w:val="24"/>
        </w:rPr>
        <w:t>1 268,9</w:t>
      </w:r>
      <w:r w:rsidR="00B66562" w:rsidRPr="00213A5D">
        <w:rPr>
          <w:rFonts w:eastAsia="Times New Roman"/>
          <w:bCs/>
          <w:sz w:val="24"/>
          <w:szCs w:val="24"/>
        </w:rPr>
        <w:t xml:space="preserve"> млрд. рублей, или </w:t>
      </w:r>
      <w:r w:rsidR="001E4273" w:rsidRPr="00213A5D">
        <w:rPr>
          <w:rFonts w:eastAsia="Times New Roman"/>
          <w:b/>
          <w:bCs/>
          <w:sz w:val="24"/>
          <w:szCs w:val="24"/>
        </w:rPr>
        <w:t>57,2</w:t>
      </w:r>
      <w:r w:rsidR="00B66562" w:rsidRPr="00213A5D">
        <w:rPr>
          <w:rFonts w:eastAsia="Times New Roman"/>
          <w:b/>
          <w:bCs/>
          <w:sz w:val="24"/>
          <w:szCs w:val="24"/>
        </w:rPr>
        <w:t> %</w:t>
      </w:r>
      <w:r w:rsidR="00B66562" w:rsidRPr="00213A5D">
        <w:rPr>
          <w:rFonts w:eastAsia="Times New Roman"/>
          <w:bCs/>
          <w:sz w:val="24"/>
          <w:szCs w:val="24"/>
        </w:rPr>
        <w:t xml:space="preserve"> показателя сводной росписи с изменениями (открытая </w:t>
      </w:r>
      <w:r w:rsidR="00B66562" w:rsidRPr="00213A5D">
        <w:rPr>
          <w:rFonts w:eastAsia="Times New Roman"/>
          <w:bCs/>
          <w:sz w:val="24"/>
          <w:szCs w:val="24"/>
        </w:rPr>
        <w:lastRenderedPageBreak/>
        <w:t xml:space="preserve">часть), что </w:t>
      </w:r>
      <w:r w:rsidR="00B66562" w:rsidRPr="00213A5D">
        <w:rPr>
          <w:rFonts w:eastAsia="Times New Roman"/>
          <w:b/>
          <w:bCs/>
          <w:sz w:val="24"/>
          <w:szCs w:val="24"/>
        </w:rPr>
        <w:t xml:space="preserve">на </w:t>
      </w:r>
      <w:r w:rsidR="001E4273" w:rsidRPr="00213A5D">
        <w:rPr>
          <w:rFonts w:eastAsia="Times New Roman"/>
          <w:b/>
          <w:bCs/>
          <w:sz w:val="24"/>
          <w:szCs w:val="24"/>
        </w:rPr>
        <w:t>17</w:t>
      </w:r>
      <w:r w:rsidR="00B66562" w:rsidRPr="00213A5D">
        <w:rPr>
          <w:rFonts w:eastAsia="Times New Roman"/>
          <w:b/>
          <w:bCs/>
          <w:sz w:val="24"/>
          <w:szCs w:val="24"/>
        </w:rPr>
        <w:t> процентн</w:t>
      </w:r>
      <w:r w:rsidR="001E4273" w:rsidRPr="00213A5D">
        <w:rPr>
          <w:rFonts w:eastAsia="Times New Roman"/>
          <w:b/>
          <w:bCs/>
          <w:sz w:val="24"/>
          <w:szCs w:val="24"/>
        </w:rPr>
        <w:t>ых</w:t>
      </w:r>
      <w:r w:rsidR="00B66562" w:rsidRPr="00213A5D">
        <w:rPr>
          <w:rFonts w:eastAsia="Times New Roman"/>
          <w:b/>
          <w:bCs/>
          <w:sz w:val="24"/>
          <w:szCs w:val="24"/>
        </w:rPr>
        <w:t xml:space="preserve"> пун</w:t>
      </w:r>
      <w:r w:rsidR="001E4273" w:rsidRPr="00213A5D">
        <w:rPr>
          <w:rFonts w:eastAsia="Times New Roman"/>
          <w:b/>
          <w:bCs/>
          <w:sz w:val="24"/>
          <w:szCs w:val="24"/>
        </w:rPr>
        <w:t>ктов</w:t>
      </w:r>
      <w:r w:rsidR="00B66562" w:rsidRPr="00213A5D">
        <w:rPr>
          <w:rFonts w:eastAsia="Times New Roman"/>
          <w:b/>
          <w:bCs/>
          <w:sz w:val="24"/>
          <w:szCs w:val="24"/>
        </w:rPr>
        <w:t xml:space="preserve"> </w:t>
      </w:r>
      <w:r w:rsidR="009313F5" w:rsidRPr="00213A5D">
        <w:rPr>
          <w:rFonts w:eastAsia="Times New Roman"/>
          <w:b/>
          <w:bCs/>
          <w:sz w:val="24"/>
          <w:szCs w:val="24"/>
        </w:rPr>
        <w:t>ниже</w:t>
      </w:r>
      <w:r w:rsidR="00B66562" w:rsidRPr="00213A5D">
        <w:rPr>
          <w:rFonts w:eastAsia="Times New Roman"/>
          <w:b/>
          <w:bCs/>
          <w:sz w:val="24"/>
          <w:szCs w:val="24"/>
        </w:rPr>
        <w:t>,</w:t>
      </w:r>
      <w:r w:rsidR="00B66562" w:rsidRPr="00213A5D">
        <w:rPr>
          <w:rFonts w:eastAsia="Times New Roman"/>
          <w:bCs/>
          <w:sz w:val="24"/>
          <w:szCs w:val="24"/>
        </w:rPr>
        <w:t xml:space="preserve"> чем за аналогичный период 2021 года (</w:t>
      </w:r>
      <w:r w:rsidR="001E4273" w:rsidRPr="00213A5D">
        <w:rPr>
          <w:rFonts w:eastAsia="Times New Roman"/>
          <w:bCs/>
          <w:sz w:val="24"/>
          <w:szCs w:val="24"/>
        </w:rPr>
        <w:t>74</w:t>
      </w:r>
      <w:r w:rsidR="009313F5" w:rsidRPr="00213A5D">
        <w:rPr>
          <w:rFonts w:eastAsia="Times New Roman"/>
          <w:bCs/>
          <w:sz w:val="24"/>
          <w:szCs w:val="24"/>
        </w:rPr>
        <w:t>,2</w:t>
      </w:r>
      <w:r w:rsidR="00B66562" w:rsidRPr="00213A5D">
        <w:rPr>
          <w:rFonts w:eastAsia="Times New Roman"/>
          <w:bCs/>
          <w:sz w:val="24"/>
          <w:szCs w:val="24"/>
        </w:rPr>
        <w:t xml:space="preserve"> %). </w:t>
      </w:r>
    </w:p>
    <w:p w14:paraId="4E11CBE1" w14:textId="77777777" w:rsidR="00640F72" w:rsidRPr="00213A5D" w:rsidRDefault="005E210D" w:rsidP="00B842E1">
      <w:pPr>
        <w:widowControl w:val="0"/>
        <w:numPr>
          <w:ilvl w:val="0"/>
          <w:numId w:val="15"/>
        </w:numPr>
        <w:spacing w:line="271" w:lineRule="auto"/>
        <w:ind w:left="284" w:right="0" w:hanging="284"/>
        <w:rPr>
          <w:rFonts w:eastAsia="Times New Roman"/>
          <w:bCs/>
          <w:sz w:val="24"/>
          <w:szCs w:val="24"/>
        </w:rPr>
      </w:pPr>
      <w:r w:rsidRPr="00213A5D">
        <w:rPr>
          <w:rFonts w:eastAsia="Times New Roman"/>
          <w:bCs/>
          <w:sz w:val="24"/>
          <w:szCs w:val="24"/>
        </w:rPr>
        <w:t>Н</w:t>
      </w:r>
      <w:r w:rsidR="00B66562" w:rsidRPr="00213A5D">
        <w:rPr>
          <w:rFonts w:eastAsia="Times New Roman"/>
          <w:bCs/>
          <w:sz w:val="24"/>
          <w:szCs w:val="24"/>
        </w:rPr>
        <w:t xml:space="preserve">а уровне </w:t>
      </w:r>
      <w:r w:rsidR="00B66562" w:rsidRPr="00213A5D">
        <w:rPr>
          <w:rFonts w:eastAsia="Times New Roman"/>
          <w:b/>
          <w:bCs/>
          <w:sz w:val="24"/>
          <w:szCs w:val="24"/>
        </w:rPr>
        <w:t xml:space="preserve">ниже </w:t>
      </w:r>
      <w:r w:rsidR="009313F5" w:rsidRPr="00213A5D">
        <w:rPr>
          <w:rFonts w:eastAsia="Times New Roman"/>
          <w:b/>
          <w:bCs/>
          <w:sz w:val="24"/>
          <w:szCs w:val="24"/>
        </w:rPr>
        <w:t>2</w:t>
      </w:r>
      <w:r w:rsidR="00B66562" w:rsidRPr="00213A5D">
        <w:rPr>
          <w:rFonts w:eastAsia="Times New Roman"/>
          <w:b/>
          <w:bCs/>
          <w:sz w:val="24"/>
          <w:szCs w:val="24"/>
        </w:rPr>
        <w:t>5 %</w:t>
      </w:r>
      <w:r w:rsidR="00B66562" w:rsidRPr="00213A5D">
        <w:rPr>
          <w:rFonts w:eastAsia="Times New Roman"/>
          <w:bCs/>
          <w:sz w:val="24"/>
          <w:szCs w:val="24"/>
        </w:rPr>
        <w:t xml:space="preserve"> исполнены расходы на указанные цели по</w:t>
      </w:r>
      <w:r w:rsidR="00E65F49" w:rsidRPr="00213A5D">
        <w:rPr>
          <w:rFonts w:eastAsia="Times New Roman"/>
          <w:bCs/>
          <w:sz w:val="24"/>
          <w:szCs w:val="24"/>
        </w:rPr>
        <w:t xml:space="preserve"> Росморречфлоту,</w:t>
      </w:r>
      <w:r w:rsidR="00B66562" w:rsidRPr="00213A5D">
        <w:rPr>
          <w:rFonts w:eastAsia="Times New Roman"/>
          <w:bCs/>
          <w:sz w:val="24"/>
          <w:szCs w:val="24"/>
        </w:rPr>
        <w:t xml:space="preserve"> </w:t>
      </w:r>
      <w:r w:rsidR="00E65F49" w:rsidRPr="00213A5D">
        <w:rPr>
          <w:rFonts w:eastAsia="Times New Roman"/>
          <w:bCs/>
          <w:sz w:val="24"/>
          <w:szCs w:val="24"/>
        </w:rPr>
        <w:t xml:space="preserve">Минприроды России, Минвостокразвития России, </w:t>
      </w:r>
      <w:r w:rsidR="009313F5" w:rsidRPr="00213A5D">
        <w:rPr>
          <w:rFonts w:eastAsia="Times New Roman"/>
          <w:bCs/>
          <w:sz w:val="24"/>
          <w:szCs w:val="24"/>
        </w:rPr>
        <w:t>Минэнерго России, Минтрансу России</w:t>
      </w:r>
      <w:r w:rsidR="00B66562" w:rsidRPr="00213A5D">
        <w:rPr>
          <w:rFonts w:eastAsia="Times New Roman"/>
          <w:bCs/>
          <w:sz w:val="24"/>
          <w:szCs w:val="24"/>
        </w:rPr>
        <w:t>.</w:t>
      </w:r>
    </w:p>
    <w:p w14:paraId="1BC7553A" w14:textId="77777777" w:rsidR="00640F72" w:rsidRPr="00213A5D" w:rsidRDefault="00791623" w:rsidP="00B842E1">
      <w:pPr>
        <w:widowControl w:val="0"/>
        <w:numPr>
          <w:ilvl w:val="0"/>
          <w:numId w:val="15"/>
        </w:numPr>
        <w:spacing w:line="271" w:lineRule="auto"/>
        <w:ind w:left="284" w:right="0" w:hanging="284"/>
        <w:rPr>
          <w:rFonts w:eastAsia="Times New Roman"/>
          <w:sz w:val="24"/>
          <w:szCs w:val="24"/>
        </w:rPr>
      </w:pPr>
      <w:r w:rsidRPr="00213A5D">
        <w:rPr>
          <w:rFonts w:eastAsia="Times New Roman"/>
          <w:b/>
          <w:sz w:val="24"/>
          <w:szCs w:val="24"/>
        </w:rPr>
        <w:t>Отсутствуют нормативные правовые акты</w:t>
      </w:r>
      <w:r w:rsidRPr="00213A5D">
        <w:rPr>
          <w:rFonts w:eastAsia="Times New Roman"/>
          <w:sz w:val="24"/>
          <w:szCs w:val="24"/>
        </w:rPr>
        <w:t>, устанавливающие правила (поряд</w:t>
      </w:r>
      <w:r w:rsidR="003F4847" w:rsidRPr="00213A5D">
        <w:rPr>
          <w:rFonts w:eastAsia="Times New Roman"/>
          <w:sz w:val="24"/>
          <w:szCs w:val="24"/>
        </w:rPr>
        <w:t>ок</w:t>
      </w:r>
      <w:r w:rsidRPr="00213A5D">
        <w:rPr>
          <w:rFonts w:eastAsia="Times New Roman"/>
          <w:sz w:val="24"/>
          <w:szCs w:val="24"/>
        </w:rPr>
        <w:t>) предоставления субсидий юридическим лицам</w:t>
      </w:r>
      <w:r w:rsidR="00640F72" w:rsidRPr="00213A5D">
        <w:rPr>
          <w:rFonts w:eastAsia="Times New Roman"/>
          <w:sz w:val="24"/>
          <w:szCs w:val="24"/>
        </w:rPr>
        <w:t xml:space="preserve"> с </w:t>
      </w:r>
      <w:r w:rsidRPr="00213A5D">
        <w:rPr>
          <w:rFonts w:eastAsia="Times New Roman"/>
          <w:sz w:val="24"/>
          <w:szCs w:val="24"/>
        </w:rPr>
        <w:t xml:space="preserve">объемом </w:t>
      </w:r>
      <w:r w:rsidR="0027053E" w:rsidRPr="00213A5D">
        <w:rPr>
          <w:rFonts w:eastAsia="Times New Roman"/>
          <w:sz w:val="24"/>
          <w:szCs w:val="24"/>
        </w:rPr>
        <w:t xml:space="preserve">бюджетных ассигнований </w:t>
      </w:r>
      <w:r w:rsidRPr="00213A5D">
        <w:rPr>
          <w:rFonts w:eastAsia="Times New Roman"/>
          <w:sz w:val="24"/>
          <w:szCs w:val="24"/>
        </w:rPr>
        <w:t xml:space="preserve">более 500,0 млн. рублей, </w:t>
      </w:r>
      <w:r w:rsidR="003F4847" w:rsidRPr="00213A5D">
        <w:rPr>
          <w:rFonts w:eastAsia="Times New Roman"/>
          <w:sz w:val="24"/>
          <w:szCs w:val="24"/>
        </w:rPr>
        <w:t>в</w:t>
      </w:r>
      <w:r w:rsidRPr="00213A5D">
        <w:rPr>
          <w:rFonts w:eastAsia="Times New Roman"/>
          <w:sz w:val="24"/>
          <w:szCs w:val="24"/>
        </w:rPr>
        <w:t xml:space="preserve"> </w:t>
      </w:r>
      <w:r w:rsidR="00122DB9" w:rsidRPr="00213A5D">
        <w:rPr>
          <w:rFonts w:eastAsia="Times New Roman"/>
          <w:sz w:val="24"/>
          <w:szCs w:val="24"/>
        </w:rPr>
        <w:t>Росжелдор</w:t>
      </w:r>
      <w:r w:rsidR="003F4847" w:rsidRPr="00213A5D">
        <w:rPr>
          <w:rFonts w:eastAsia="Times New Roman"/>
          <w:sz w:val="24"/>
          <w:szCs w:val="24"/>
        </w:rPr>
        <w:t>е</w:t>
      </w:r>
      <w:r w:rsidR="00122DB9" w:rsidRPr="00213A5D">
        <w:rPr>
          <w:rFonts w:eastAsia="Times New Roman"/>
          <w:sz w:val="24"/>
          <w:szCs w:val="24"/>
        </w:rPr>
        <w:t xml:space="preserve">, </w:t>
      </w:r>
      <w:r w:rsidRPr="00213A5D">
        <w:rPr>
          <w:rFonts w:eastAsia="Times New Roman"/>
          <w:sz w:val="24"/>
          <w:szCs w:val="24"/>
        </w:rPr>
        <w:t>Минэнерго России, Ростуризм</w:t>
      </w:r>
      <w:r w:rsidR="003F4847" w:rsidRPr="00213A5D">
        <w:rPr>
          <w:rFonts w:eastAsia="Times New Roman"/>
          <w:sz w:val="24"/>
          <w:szCs w:val="24"/>
        </w:rPr>
        <w:t>е</w:t>
      </w:r>
      <w:r w:rsidRPr="00213A5D">
        <w:rPr>
          <w:rFonts w:eastAsia="Times New Roman"/>
          <w:sz w:val="24"/>
          <w:szCs w:val="24"/>
        </w:rPr>
        <w:t>.</w:t>
      </w:r>
      <w:r w:rsidR="0010291A" w:rsidRPr="00213A5D">
        <w:rPr>
          <w:rFonts w:eastAsia="Times New Roman"/>
          <w:sz w:val="24"/>
          <w:szCs w:val="24"/>
        </w:rPr>
        <w:t xml:space="preserve"> </w:t>
      </w:r>
    </w:p>
    <w:p w14:paraId="491D476B" w14:textId="77777777" w:rsidR="00195300" w:rsidRPr="00213A5D" w:rsidRDefault="00195300" w:rsidP="00AF1852">
      <w:pPr>
        <w:widowControl w:val="0"/>
        <w:spacing w:line="276" w:lineRule="auto"/>
        <w:ind w:left="0" w:right="0" w:hanging="284"/>
        <w:rPr>
          <w:rFonts w:eastAsia="Times New Roman"/>
          <w:bCs/>
          <w:sz w:val="10"/>
          <w:szCs w:val="10"/>
        </w:rPr>
      </w:pPr>
    </w:p>
    <w:p w14:paraId="0349BA4D" w14:textId="77777777" w:rsidR="00640F72" w:rsidRPr="00213A5D" w:rsidRDefault="00F27FB8" w:rsidP="00CA0739">
      <w:pPr>
        <w:widowControl w:val="0"/>
        <w:overflowPunct/>
        <w:autoSpaceDE/>
        <w:adjustRightInd/>
        <w:spacing w:line="271" w:lineRule="auto"/>
        <w:ind w:left="0" w:right="0" w:hanging="284"/>
        <w:contextualSpacing/>
        <w:rPr>
          <w:bCs/>
          <w:sz w:val="24"/>
          <w:szCs w:val="24"/>
        </w:rPr>
      </w:pPr>
      <w:r w:rsidRPr="00213A5D">
        <w:rPr>
          <w:b/>
          <w:color w:val="000000"/>
          <w:sz w:val="24"/>
          <w:szCs w:val="24"/>
        </w:rPr>
        <w:t>1</w:t>
      </w:r>
      <w:r w:rsidR="00640F72" w:rsidRPr="00213A5D">
        <w:rPr>
          <w:b/>
          <w:color w:val="000000"/>
          <w:sz w:val="24"/>
          <w:szCs w:val="24"/>
        </w:rPr>
        <w:t>6</w:t>
      </w:r>
      <w:r w:rsidR="00403649" w:rsidRPr="00213A5D">
        <w:rPr>
          <w:b/>
          <w:color w:val="000000"/>
          <w:sz w:val="24"/>
          <w:szCs w:val="24"/>
        </w:rPr>
        <w:t>.</w:t>
      </w:r>
      <w:r w:rsidR="00403649" w:rsidRPr="00213A5D">
        <w:rPr>
          <w:color w:val="000000"/>
          <w:sz w:val="24"/>
          <w:szCs w:val="24"/>
        </w:rPr>
        <w:t> </w:t>
      </w:r>
      <w:r w:rsidR="0047279B" w:rsidRPr="00213A5D">
        <w:rPr>
          <w:bCs/>
          <w:sz w:val="24"/>
          <w:szCs w:val="24"/>
        </w:rPr>
        <w:t xml:space="preserve">Объем предоставленных межбюджетных трансфертов регионам составил </w:t>
      </w:r>
      <w:r w:rsidR="0047279B" w:rsidRPr="00213A5D">
        <w:rPr>
          <w:b/>
          <w:bCs/>
          <w:sz w:val="24"/>
          <w:szCs w:val="24"/>
        </w:rPr>
        <w:t>2 537,1 млрд. рублей</w:t>
      </w:r>
      <w:r w:rsidR="0047279B" w:rsidRPr="00213A5D">
        <w:rPr>
          <w:bCs/>
          <w:sz w:val="24"/>
          <w:szCs w:val="24"/>
        </w:rPr>
        <w:t xml:space="preserve"> и </w:t>
      </w:r>
      <w:r w:rsidR="0047279B" w:rsidRPr="00213A5D">
        <w:rPr>
          <w:b/>
          <w:bCs/>
          <w:sz w:val="24"/>
          <w:szCs w:val="24"/>
        </w:rPr>
        <w:t>увеличился</w:t>
      </w:r>
      <w:r w:rsidR="0047279B" w:rsidRPr="00213A5D">
        <w:rPr>
          <w:bCs/>
          <w:sz w:val="24"/>
          <w:szCs w:val="24"/>
        </w:rPr>
        <w:t xml:space="preserve"> по сравнению с аналогичным периодом 2021 года на</w:t>
      </w:r>
      <w:r w:rsidR="00772251">
        <w:rPr>
          <w:bCs/>
          <w:sz w:val="24"/>
          <w:szCs w:val="24"/>
        </w:rPr>
        <w:t> </w:t>
      </w:r>
      <w:r w:rsidR="0047279B" w:rsidRPr="00213A5D">
        <w:rPr>
          <w:bCs/>
          <w:sz w:val="24"/>
          <w:szCs w:val="24"/>
        </w:rPr>
        <w:t xml:space="preserve">9 %. </w:t>
      </w:r>
    </w:p>
    <w:p w14:paraId="3E7CDB10" w14:textId="77777777" w:rsidR="00752907" w:rsidRPr="00213A5D" w:rsidRDefault="00752907" w:rsidP="00B842E1">
      <w:pPr>
        <w:widowControl w:val="0"/>
        <w:numPr>
          <w:ilvl w:val="0"/>
          <w:numId w:val="15"/>
        </w:numPr>
        <w:overflowPunct/>
        <w:autoSpaceDE/>
        <w:adjustRightInd/>
        <w:spacing w:line="271" w:lineRule="auto"/>
        <w:ind w:right="0"/>
        <w:contextualSpacing/>
        <w:rPr>
          <w:bCs/>
          <w:sz w:val="24"/>
          <w:szCs w:val="24"/>
        </w:rPr>
      </w:pPr>
      <w:r w:rsidRPr="00213A5D">
        <w:rPr>
          <w:bCs/>
          <w:sz w:val="24"/>
          <w:szCs w:val="24"/>
        </w:rPr>
        <w:t>Н</w:t>
      </w:r>
      <w:r w:rsidR="0047279B" w:rsidRPr="00213A5D">
        <w:rPr>
          <w:bCs/>
          <w:sz w:val="24"/>
          <w:szCs w:val="24"/>
        </w:rPr>
        <w:t xml:space="preserve">иже уровня исполнения межбюджетных трансфертов (68,2 %) исполнены расходы на предоставление иных межбюджетных трансфертов (62 %) и субсидий (65,4 %). </w:t>
      </w:r>
    </w:p>
    <w:p w14:paraId="56ECCC68" w14:textId="77777777" w:rsidR="0047279B" w:rsidRPr="00213A5D" w:rsidRDefault="00752907" w:rsidP="00B842E1">
      <w:pPr>
        <w:widowControl w:val="0"/>
        <w:numPr>
          <w:ilvl w:val="0"/>
          <w:numId w:val="15"/>
        </w:numPr>
        <w:overflowPunct/>
        <w:autoSpaceDE/>
        <w:adjustRightInd/>
        <w:spacing w:line="271" w:lineRule="auto"/>
        <w:ind w:right="0"/>
        <w:contextualSpacing/>
        <w:rPr>
          <w:bCs/>
          <w:sz w:val="24"/>
          <w:szCs w:val="24"/>
        </w:rPr>
      </w:pPr>
      <w:r w:rsidRPr="00213A5D">
        <w:rPr>
          <w:bCs/>
          <w:sz w:val="24"/>
          <w:szCs w:val="24"/>
        </w:rPr>
        <w:t>На н</w:t>
      </w:r>
      <w:r w:rsidR="0047279B" w:rsidRPr="00213A5D">
        <w:rPr>
          <w:bCs/>
          <w:sz w:val="24"/>
          <w:szCs w:val="24"/>
        </w:rPr>
        <w:t xml:space="preserve">изком уровне (менее 40 %) исполнены расходы на предоставление межбюджетных трансфертов по </w:t>
      </w:r>
      <w:r w:rsidR="0047279B" w:rsidRPr="00213A5D">
        <w:rPr>
          <w:b/>
          <w:bCs/>
          <w:sz w:val="24"/>
          <w:szCs w:val="24"/>
        </w:rPr>
        <w:t>7 главным распорядителям</w:t>
      </w:r>
      <w:r w:rsidR="00640F72" w:rsidRPr="00213A5D">
        <w:rPr>
          <w:b/>
          <w:bCs/>
          <w:sz w:val="24"/>
          <w:szCs w:val="24"/>
        </w:rPr>
        <w:t xml:space="preserve"> </w:t>
      </w:r>
      <w:r w:rsidR="00640F72" w:rsidRPr="00213A5D">
        <w:rPr>
          <w:bCs/>
          <w:sz w:val="24"/>
          <w:szCs w:val="24"/>
        </w:rPr>
        <w:t>(Минобрнауки России, Минэнерго России, Росреестр, Минтранс России, Россельхознадзор, Росрыболовство, Минцифры России)</w:t>
      </w:r>
      <w:r w:rsidR="0047279B" w:rsidRPr="00213A5D">
        <w:rPr>
          <w:bCs/>
          <w:sz w:val="24"/>
          <w:szCs w:val="24"/>
        </w:rPr>
        <w:t>.</w:t>
      </w:r>
    </w:p>
    <w:p w14:paraId="556A8939" w14:textId="77777777" w:rsidR="0015156A" w:rsidRPr="00213A5D" w:rsidRDefault="0015156A" w:rsidP="00AF1852">
      <w:pPr>
        <w:widowControl w:val="0"/>
        <w:overflowPunct/>
        <w:autoSpaceDE/>
        <w:adjustRightInd/>
        <w:spacing w:line="276" w:lineRule="auto"/>
        <w:ind w:left="0" w:right="0" w:hanging="284"/>
        <w:contextualSpacing/>
        <w:rPr>
          <w:color w:val="000000"/>
          <w:sz w:val="10"/>
          <w:szCs w:val="10"/>
        </w:rPr>
      </w:pPr>
    </w:p>
    <w:p w14:paraId="731F2892" w14:textId="77777777" w:rsidR="00FB3441" w:rsidRPr="00213A5D" w:rsidRDefault="00F27FB8" w:rsidP="00CA0739">
      <w:pPr>
        <w:widowControl w:val="0"/>
        <w:spacing w:line="271" w:lineRule="auto"/>
        <w:ind w:left="0" w:right="0" w:hanging="284"/>
        <w:rPr>
          <w:color w:val="000000"/>
          <w:sz w:val="24"/>
          <w:szCs w:val="24"/>
          <w:lang w:bidi="en-US"/>
        </w:rPr>
      </w:pPr>
      <w:r w:rsidRPr="00213A5D">
        <w:rPr>
          <w:b/>
          <w:bCs/>
          <w:color w:val="000000"/>
          <w:sz w:val="24"/>
          <w:szCs w:val="24"/>
          <w:lang w:bidi="en-US"/>
        </w:rPr>
        <w:t>1</w:t>
      </w:r>
      <w:r w:rsidR="00752907" w:rsidRPr="00213A5D">
        <w:rPr>
          <w:b/>
          <w:bCs/>
          <w:color w:val="000000"/>
          <w:sz w:val="24"/>
          <w:szCs w:val="24"/>
          <w:lang w:bidi="en-US"/>
        </w:rPr>
        <w:t>7</w:t>
      </w:r>
      <w:r w:rsidR="00873F0C" w:rsidRPr="00213A5D">
        <w:rPr>
          <w:b/>
          <w:bCs/>
          <w:color w:val="000000"/>
          <w:sz w:val="24"/>
          <w:szCs w:val="24"/>
          <w:lang w:bidi="en-US"/>
        </w:rPr>
        <w:t>.</w:t>
      </w:r>
      <w:r w:rsidR="00873F0C" w:rsidRPr="00213A5D">
        <w:rPr>
          <w:color w:val="000000"/>
          <w:sz w:val="24"/>
          <w:szCs w:val="24"/>
          <w:lang w:bidi="en-US"/>
        </w:rPr>
        <w:t> </w:t>
      </w:r>
      <w:r w:rsidR="0015156A" w:rsidRPr="00213A5D">
        <w:rPr>
          <w:color w:val="000000"/>
          <w:sz w:val="24"/>
          <w:szCs w:val="24"/>
          <w:lang w:bidi="en-US"/>
        </w:rPr>
        <w:t xml:space="preserve">Федеральный бюджет исполнен </w:t>
      </w:r>
      <w:r w:rsidR="0015156A" w:rsidRPr="00213A5D">
        <w:rPr>
          <w:b/>
          <w:color w:val="000000"/>
          <w:sz w:val="24"/>
          <w:szCs w:val="24"/>
          <w:lang w:bidi="en-US"/>
        </w:rPr>
        <w:t xml:space="preserve">с профицитом в сумме 85,7 млрд. рублей. </w:t>
      </w:r>
      <w:r w:rsidR="0015156A" w:rsidRPr="00213A5D">
        <w:rPr>
          <w:color w:val="000000"/>
          <w:sz w:val="24"/>
          <w:szCs w:val="24"/>
          <w:lang w:bidi="en-US"/>
        </w:rPr>
        <w:t xml:space="preserve">При этом </w:t>
      </w:r>
      <w:r w:rsidR="0015156A" w:rsidRPr="00213A5D">
        <w:rPr>
          <w:bCs/>
          <w:color w:val="000000"/>
          <w:sz w:val="24"/>
          <w:szCs w:val="24"/>
          <w:lang w:bidi="en-US"/>
        </w:rPr>
        <w:t xml:space="preserve">источники </w:t>
      </w:r>
      <w:r w:rsidR="0015156A" w:rsidRPr="00213A5D">
        <w:rPr>
          <w:b/>
          <w:bCs/>
          <w:color w:val="000000"/>
          <w:sz w:val="24"/>
          <w:szCs w:val="24"/>
          <w:lang w:bidi="en-US"/>
        </w:rPr>
        <w:t>в</w:t>
      </w:r>
      <w:r w:rsidR="0015156A" w:rsidRPr="00213A5D">
        <w:rPr>
          <w:b/>
          <w:color w:val="000000"/>
          <w:sz w:val="24"/>
          <w:szCs w:val="24"/>
          <w:lang w:bidi="en-US"/>
        </w:rPr>
        <w:t>нутреннего</w:t>
      </w:r>
      <w:r w:rsidR="0015156A" w:rsidRPr="00213A5D">
        <w:rPr>
          <w:color w:val="000000"/>
          <w:sz w:val="24"/>
          <w:szCs w:val="24"/>
          <w:lang w:bidi="en-US"/>
        </w:rPr>
        <w:t xml:space="preserve"> финансирования составили 312,6</w:t>
      </w:r>
      <w:r w:rsidR="0015156A" w:rsidRPr="00213A5D">
        <w:rPr>
          <w:bCs/>
          <w:color w:val="000000"/>
          <w:sz w:val="24"/>
          <w:szCs w:val="24"/>
          <w:lang w:bidi="en-US"/>
        </w:rPr>
        <w:t> </w:t>
      </w:r>
      <w:r w:rsidR="0015156A" w:rsidRPr="00213A5D">
        <w:rPr>
          <w:color w:val="000000"/>
          <w:sz w:val="24"/>
          <w:szCs w:val="24"/>
          <w:lang w:bidi="en-US"/>
        </w:rPr>
        <w:t xml:space="preserve">млрд. рублей, источники </w:t>
      </w:r>
      <w:r w:rsidR="0015156A" w:rsidRPr="00213A5D">
        <w:rPr>
          <w:b/>
          <w:color w:val="000000"/>
          <w:sz w:val="24"/>
          <w:szCs w:val="24"/>
          <w:lang w:bidi="en-US"/>
        </w:rPr>
        <w:t>внешнего</w:t>
      </w:r>
      <w:r w:rsidR="0015156A" w:rsidRPr="00213A5D">
        <w:rPr>
          <w:color w:val="000000"/>
          <w:sz w:val="24"/>
          <w:szCs w:val="24"/>
          <w:lang w:bidi="en-US"/>
        </w:rPr>
        <w:t xml:space="preserve"> финансирования – (-) 398,3 млрд. рублей. Привлечение по государственным внутренним заимствованиям составило 125,3 млрд. рублей, или 3,8 %</w:t>
      </w:r>
      <w:r w:rsidR="00752907" w:rsidRPr="00213A5D">
        <w:rPr>
          <w:color w:val="000000"/>
          <w:sz w:val="24"/>
          <w:szCs w:val="24"/>
          <w:lang w:bidi="en-US"/>
        </w:rPr>
        <w:t xml:space="preserve"> планового объема размещения</w:t>
      </w:r>
      <w:r w:rsidR="0015156A" w:rsidRPr="00213A5D">
        <w:rPr>
          <w:color w:val="000000"/>
          <w:sz w:val="24"/>
          <w:szCs w:val="24"/>
          <w:lang w:bidi="en-US"/>
        </w:rPr>
        <w:t>, объем погашения – (-) 507,8 млрд. рублей, или 47,9 %</w:t>
      </w:r>
      <w:r w:rsidR="00752907" w:rsidRPr="00213A5D">
        <w:rPr>
          <w:color w:val="000000"/>
          <w:sz w:val="24"/>
          <w:szCs w:val="24"/>
          <w:lang w:bidi="en-US"/>
        </w:rPr>
        <w:t xml:space="preserve"> объема бюджетных ассигнований</w:t>
      </w:r>
      <w:r w:rsidR="0015156A" w:rsidRPr="00213A5D">
        <w:rPr>
          <w:color w:val="000000"/>
          <w:sz w:val="24"/>
          <w:szCs w:val="24"/>
          <w:lang w:bidi="en-US"/>
        </w:rPr>
        <w:t xml:space="preserve">. </w:t>
      </w:r>
    </w:p>
    <w:p w14:paraId="0D645337" w14:textId="77777777" w:rsidR="00873F0C" w:rsidRPr="00213A5D" w:rsidRDefault="0015156A" w:rsidP="00B842E1">
      <w:pPr>
        <w:widowControl w:val="0"/>
        <w:numPr>
          <w:ilvl w:val="0"/>
          <w:numId w:val="17"/>
        </w:numPr>
        <w:spacing w:line="271" w:lineRule="auto"/>
        <w:ind w:left="426" w:right="0"/>
        <w:rPr>
          <w:color w:val="000000"/>
          <w:sz w:val="24"/>
          <w:szCs w:val="24"/>
          <w:lang w:bidi="en-US"/>
        </w:rPr>
      </w:pPr>
      <w:r w:rsidRPr="00213A5D">
        <w:rPr>
          <w:color w:val="000000"/>
          <w:sz w:val="24"/>
          <w:szCs w:val="24"/>
          <w:lang w:bidi="en-US"/>
        </w:rPr>
        <w:t xml:space="preserve">По сравнению с аналогичным периодом 2021 года </w:t>
      </w:r>
      <w:r w:rsidRPr="00213A5D">
        <w:rPr>
          <w:b/>
          <w:bCs/>
          <w:color w:val="000000"/>
          <w:sz w:val="24"/>
          <w:szCs w:val="24"/>
          <w:lang w:bidi="en-US"/>
        </w:rPr>
        <w:t>д</w:t>
      </w:r>
      <w:r w:rsidRPr="00213A5D">
        <w:rPr>
          <w:b/>
          <w:color w:val="000000"/>
          <w:sz w:val="24"/>
          <w:szCs w:val="24"/>
          <w:lang w:bidi="en-US"/>
        </w:rPr>
        <w:t>оходность ОФЗ увеличилась</w:t>
      </w:r>
      <w:r w:rsidRPr="00213A5D">
        <w:rPr>
          <w:color w:val="000000"/>
          <w:sz w:val="24"/>
          <w:szCs w:val="24"/>
          <w:lang w:bidi="en-US"/>
        </w:rPr>
        <w:t xml:space="preserve">, </w:t>
      </w:r>
      <w:r w:rsidRPr="00213A5D">
        <w:rPr>
          <w:b/>
          <w:bCs/>
          <w:color w:val="000000"/>
          <w:sz w:val="24"/>
          <w:szCs w:val="24"/>
          <w:lang w:bidi="en-US"/>
        </w:rPr>
        <w:t>спрос на</w:t>
      </w:r>
      <w:r w:rsidRPr="00213A5D">
        <w:rPr>
          <w:bCs/>
          <w:color w:val="000000"/>
          <w:sz w:val="24"/>
          <w:szCs w:val="24"/>
          <w:lang w:bidi="en-US"/>
        </w:rPr>
        <w:t xml:space="preserve"> государственные </w:t>
      </w:r>
      <w:r w:rsidRPr="00213A5D">
        <w:rPr>
          <w:b/>
          <w:bCs/>
          <w:color w:val="000000"/>
          <w:sz w:val="24"/>
          <w:szCs w:val="24"/>
          <w:lang w:bidi="en-US"/>
        </w:rPr>
        <w:t>ценные бумаги</w:t>
      </w:r>
      <w:r w:rsidRPr="00213A5D">
        <w:rPr>
          <w:bCs/>
          <w:color w:val="000000"/>
          <w:sz w:val="24"/>
          <w:szCs w:val="24"/>
          <w:lang w:bidi="en-US"/>
        </w:rPr>
        <w:t xml:space="preserve"> </w:t>
      </w:r>
      <w:r w:rsidRPr="00213A5D">
        <w:rPr>
          <w:b/>
          <w:bCs/>
          <w:color w:val="000000"/>
          <w:sz w:val="24"/>
          <w:szCs w:val="24"/>
          <w:lang w:bidi="en-US"/>
        </w:rPr>
        <w:t>уменьшился в 13,7 раза, доля нерезидентов</w:t>
      </w:r>
      <w:r w:rsidRPr="00213A5D">
        <w:rPr>
          <w:bCs/>
          <w:color w:val="000000"/>
          <w:sz w:val="24"/>
          <w:szCs w:val="24"/>
          <w:lang w:bidi="en-US"/>
        </w:rPr>
        <w:t xml:space="preserve"> на рынке ОФЗ </w:t>
      </w:r>
      <w:r w:rsidRPr="00213A5D">
        <w:rPr>
          <w:b/>
          <w:bCs/>
          <w:color w:val="000000"/>
          <w:sz w:val="24"/>
          <w:szCs w:val="24"/>
          <w:lang w:bidi="en-US"/>
        </w:rPr>
        <w:t>уменьшилась</w:t>
      </w:r>
      <w:r w:rsidR="003F4847" w:rsidRPr="00213A5D">
        <w:rPr>
          <w:bCs/>
          <w:color w:val="000000"/>
          <w:sz w:val="24"/>
          <w:szCs w:val="24"/>
          <w:lang w:bidi="en-US"/>
        </w:rPr>
        <w:t xml:space="preserve"> на 3,7 процентн</w:t>
      </w:r>
      <w:r w:rsidR="00716094" w:rsidRPr="00213A5D">
        <w:rPr>
          <w:bCs/>
          <w:color w:val="000000"/>
          <w:sz w:val="24"/>
          <w:szCs w:val="24"/>
          <w:lang w:bidi="en-US"/>
        </w:rPr>
        <w:t>ого</w:t>
      </w:r>
      <w:r w:rsidR="003F4847" w:rsidRPr="00213A5D">
        <w:rPr>
          <w:bCs/>
          <w:color w:val="000000"/>
          <w:sz w:val="24"/>
          <w:szCs w:val="24"/>
          <w:lang w:bidi="en-US"/>
        </w:rPr>
        <w:t xml:space="preserve"> </w:t>
      </w:r>
      <w:r w:rsidRPr="00213A5D">
        <w:rPr>
          <w:bCs/>
          <w:color w:val="000000"/>
          <w:sz w:val="24"/>
          <w:szCs w:val="24"/>
          <w:lang w:bidi="en-US"/>
        </w:rPr>
        <w:t>п</w:t>
      </w:r>
      <w:r w:rsidR="003F4847" w:rsidRPr="00213A5D">
        <w:rPr>
          <w:bCs/>
          <w:color w:val="000000"/>
          <w:sz w:val="24"/>
          <w:szCs w:val="24"/>
          <w:lang w:bidi="en-US"/>
        </w:rPr>
        <w:t>ункта</w:t>
      </w:r>
      <w:r w:rsidRPr="00213A5D">
        <w:rPr>
          <w:bCs/>
          <w:color w:val="000000"/>
          <w:sz w:val="24"/>
          <w:szCs w:val="24"/>
          <w:lang w:bidi="en-US"/>
        </w:rPr>
        <w:t xml:space="preserve"> </w:t>
      </w:r>
      <w:r w:rsidR="003F4847" w:rsidRPr="00213A5D">
        <w:rPr>
          <w:bCs/>
          <w:color w:val="000000"/>
          <w:sz w:val="24"/>
          <w:szCs w:val="24"/>
          <w:lang w:bidi="en-US"/>
        </w:rPr>
        <w:t>(</w:t>
      </w:r>
      <w:r w:rsidRPr="00213A5D">
        <w:rPr>
          <w:bCs/>
          <w:color w:val="000000"/>
          <w:sz w:val="24"/>
          <w:szCs w:val="24"/>
          <w:lang w:bidi="en-US"/>
        </w:rPr>
        <w:t>до 17,9 %</w:t>
      </w:r>
      <w:r w:rsidR="003F4847" w:rsidRPr="00213A5D">
        <w:rPr>
          <w:bCs/>
          <w:color w:val="000000"/>
          <w:sz w:val="24"/>
          <w:szCs w:val="24"/>
          <w:lang w:bidi="en-US"/>
        </w:rPr>
        <w:t>)</w:t>
      </w:r>
      <w:r w:rsidRPr="00213A5D">
        <w:rPr>
          <w:bCs/>
          <w:color w:val="000000"/>
          <w:sz w:val="24"/>
          <w:szCs w:val="24"/>
          <w:lang w:bidi="en-US"/>
        </w:rPr>
        <w:t xml:space="preserve">. </w:t>
      </w:r>
      <w:r w:rsidRPr="00213A5D">
        <w:rPr>
          <w:color w:val="000000"/>
          <w:sz w:val="24"/>
          <w:szCs w:val="24"/>
          <w:lang w:bidi="en-US"/>
        </w:rPr>
        <w:t xml:space="preserve">Согласно </w:t>
      </w:r>
      <w:r w:rsidRPr="00213A5D">
        <w:rPr>
          <w:b/>
          <w:color w:val="000000"/>
          <w:sz w:val="24"/>
          <w:szCs w:val="24"/>
          <w:lang w:bidi="en-US"/>
        </w:rPr>
        <w:t>прогнозу поступлений и перечислений</w:t>
      </w:r>
      <w:r w:rsidRPr="00213A5D">
        <w:rPr>
          <w:color w:val="000000"/>
          <w:sz w:val="24"/>
          <w:szCs w:val="24"/>
          <w:lang w:bidi="en-US"/>
        </w:rPr>
        <w:t xml:space="preserve"> на 1 октября 2022 года предусмотрено </w:t>
      </w:r>
      <w:r w:rsidRPr="00213A5D">
        <w:rPr>
          <w:b/>
          <w:bCs/>
          <w:color w:val="000000"/>
          <w:sz w:val="24"/>
          <w:szCs w:val="24"/>
          <w:lang w:bidi="en-US"/>
        </w:rPr>
        <w:t xml:space="preserve">уменьшение </w:t>
      </w:r>
      <w:r w:rsidRPr="00213A5D">
        <w:rPr>
          <w:color w:val="000000"/>
          <w:sz w:val="24"/>
          <w:szCs w:val="24"/>
          <w:lang w:bidi="en-US"/>
        </w:rPr>
        <w:t>объема привлечени</w:t>
      </w:r>
      <w:r w:rsidR="00151F0F" w:rsidRPr="00213A5D">
        <w:rPr>
          <w:color w:val="000000"/>
          <w:sz w:val="24"/>
          <w:szCs w:val="24"/>
          <w:lang w:bidi="en-US"/>
        </w:rPr>
        <w:t>я</w:t>
      </w:r>
      <w:r w:rsidRPr="00213A5D">
        <w:rPr>
          <w:color w:val="000000"/>
          <w:sz w:val="24"/>
          <w:szCs w:val="24"/>
          <w:lang w:bidi="en-US"/>
        </w:rPr>
        <w:t xml:space="preserve"> внутренних заимствований на 2 991,8 млрд. рублей, или в 12,2 раза, </w:t>
      </w:r>
      <w:r w:rsidRPr="00213A5D">
        <w:rPr>
          <w:b/>
          <w:color w:val="000000"/>
          <w:sz w:val="24"/>
          <w:szCs w:val="24"/>
          <w:lang w:bidi="en-US"/>
        </w:rPr>
        <w:t>привлечение внешних заимствований не планируется</w:t>
      </w:r>
      <w:r w:rsidRPr="00213A5D">
        <w:rPr>
          <w:color w:val="000000"/>
          <w:sz w:val="24"/>
          <w:szCs w:val="24"/>
          <w:lang w:bidi="en-US"/>
        </w:rPr>
        <w:t>. Таким образом</w:t>
      </w:r>
      <w:r w:rsidR="00151F0F" w:rsidRPr="00213A5D">
        <w:rPr>
          <w:color w:val="000000"/>
          <w:sz w:val="24"/>
          <w:szCs w:val="24"/>
          <w:lang w:bidi="en-US"/>
        </w:rPr>
        <w:t>,</w:t>
      </w:r>
      <w:r w:rsidRPr="00213A5D">
        <w:rPr>
          <w:color w:val="000000"/>
          <w:sz w:val="24"/>
          <w:szCs w:val="24"/>
          <w:lang w:bidi="en-US"/>
        </w:rPr>
        <w:t xml:space="preserve"> до конца года Минфином России планируется привлечение внутренних заимствований в объеме 142,5 </w:t>
      </w:r>
      <w:r w:rsidR="00752907" w:rsidRPr="00213A5D">
        <w:rPr>
          <w:color w:val="000000"/>
          <w:sz w:val="24"/>
          <w:szCs w:val="24"/>
          <w:lang w:bidi="en-US"/>
        </w:rPr>
        <w:t>млрд. рублей</w:t>
      </w:r>
      <w:r w:rsidRPr="00213A5D">
        <w:rPr>
          <w:color w:val="000000"/>
          <w:sz w:val="24"/>
          <w:szCs w:val="24"/>
          <w:lang w:bidi="en-US"/>
        </w:rPr>
        <w:t>.</w:t>
      </w:r>
    </w:p>
    <w:p w14:paraId="5CD9274A" w14:textId="77777777" w:rsidR="0015156A" w:rsidRPr="00213A5D" w:rsidRDefault="0015156A" w:rsidP="00AF1852">
      <w:pPr>
        <w:widowControl w:val="0"/>
        <w:overflowPunct/>
        <w:autoSpaceDE/>
        <w:adjustRightInd/>
        <w:spacing w:line="276" w:lineRule="auto"/>
        <w:ind w:left="0" w:right="0" w:hanging="284"/>
        <w:contextualSpacing/>
        <w:rPr>
          <w:color w:val="000000"/>
          <w:sz w:val="10"/>
          <w:szCs w:val="10"/>
        </w:rPr>
      </w:pPr>
    </w:p>
    <w:p w14:paraId="11C53893" w14:textId="77777777" w:rsidR="0015156A" w:rsidRPr="00213A5D" w:rsidRDefault="00B07999" w:rsidP="00CA0739">
      <w:pPr>
        <w:widowControl w:val="0"/>
        <w:spacing w:line="271" w:lineRule="auto"/>
        <w:ind w:left="0" w:right="0" w:hanging="284"/>
        <w:rPr>
          <w:rFonts w:eastAsia="Times New Roman"/>
          <w:sz w:val="24"/>
          <w:szCs w:val="24"/>
        </w:rPr>
      </w:pPr>
      <w:r w:rsidRPr="00213A5D">
        <w:rPr>
          <w:rFonts w:eastAsia="Times New Roman"/>
          <w:b/>
          <w:color w:val="000000"/>
          <w:sz w:val="24"/>
          <w:szCs w:val="24"/>
        </w:rPr>
        <w:t>1</w:t>
      </w:r>
      <w:r w:rsidR="00752907" w:rsidRPr="00213A5D">
        <w:rPr>
          <w:rFonts w:eastAsia="Times New Roman"/>
          <w:b/>
          <w:color w:val="000000"/>
          <w:sz w:val="24"/>
          <w:szCs w:val="24"/>
        </w:rPr>
        <w:t>8</w:t>
      </w:r>
      <w:r w:rsidR="0015156A" w:rsidRPr="00213A5D">
        <w:rPr>
          <w:rFonts w:eastAsia="Times New Roman"/>
          <w:b/>
          <w:color w:val="000000"/>
          <w:sz w:val="24"/>
          <w:szCs w:val="24"/>
        </w:rPr>
        <w:t>. Государственный долг</w:t>
      </w:r>
      <w:r w:rsidR="0015156A" w:rsidRPr="00213A5D">
        <w:rPr>
          <w:rFonts w:eastAsia="Times New Roman"/>
          <w:color w:val="000000"/>
          <w:sz w:val="24"/>
          <w:szCs w:val="24"/>
        </w:rPr>
        <w:t xml:space="preserve"> Российской Федерации </w:t>
      </w:r>
      <w:r w:rsidR="0015156A" w:rsidRPr="00213A5D">
        <w:rPr>
          <w:rFonts w:eastAsia="Times New Roman"/>
          <w:b/>
          <w:color w:val="000000"/>
          <w:sz w:val="24"/>
          <w:szCs w:val="24"/>
        </w:rPr>
        <w:t>уменьшился на 1 443,9 млрд. рублей</w:t>
      </w:r>
      <w:r w:rsidR="0015156A" w:rsidRPr="00213A5D">
        <w:rPr>
          <w:rFonts w:eastAsia="Times New Roman"/>
          <w:color w:val="000000"/>
          <w:sz w:val="24"/>
          <w:szCs w:val="24"/>
        </w:rPr>
        <w:t xml:space="preserve">, или на 6,9 %, и составил 19 477,9 млрд. рублей (14,6 % прогнозируемого объема ВВП), что </w:t>
      </w:r>
      <w:r w:rsidR="0015156A" w:rsidRPr="00213A5D">
        <w:rPr>
          <w:rFonts w:eastAsia="Times New Roman"/>
          <w:sz w:val="24"/>
          <w:szCs w:val="24"/>
        </w:rPr>
        <w:t xml:space="preserve">обусловлено в основном снижением объема государственного внешнего долга </w:t>
      </w:r>
      <w:r w:rsidR="0015156A" w:rsidRPr="00213A5D">
        <w:rPr>
          <w:rFonts w:eastAsia="Times New Roman"/>
          <w:color w:val="000000"/>
          <w:sz w:val="24"/>
          <w:szCs w:val="24"/>
        </w:rPr>
        <w:t xml:space="preserve">по государственным ценным бумагам, номинированным в иностранной валюте, </w:t>
      </w:r>
      <w:r w:rsidR="0015156A" w:rsidRPr="00213A5D">
        <w:rPr>
          <w:rFonts w:eastAsia="Times New Roman"/>
          <w:sz w:val="24"/>
          <w:szCs w:val="24"/>
        </w:rPr>
        <w:t>а также снижением курса иностранных валют по отношению к рублю.</w:t>
      </w:r>
    </w:p>
    <w:p w14:paraId="56180816" w14:textId="77777777" w:rsidR="0015156A" w:rsidRPr="00213A5D" w:rsidRDefault="0015156A" w:rsidP="00AF1852">
      <w:pPr>
        <w:widowControl w:val="0"/>
        <w:overflowPunct/>
        <w:autoSpaceDE/>
        <w:adjustRightInd/>
        <w:spacing w:line="276" w:lineRule="auto"/>
        <w:ind w:left="0" w:right="0" w:hanging="284"/>
        <w:contextualSpacing/>
        <w:rPr>
          <w:color w:val="000000"/>
          <w:sz w:val="10"/>
          <w:szCs w:val="10"/>
        </w:rPr>
      </w:pPr>
    </w:p>
    <w:p w14:paraId="72FB2608" w14:textId="77777777" w:rsidR="00752907" w:rsidRPr="00213A5D" w:rsidRDefault="00752907" w:rsidP="00CA0739">
      <w:pPr>
        <w:widowControl w:val="0"/>
        <w:spacing w:line="271" w:lineRule="auto"/>
        <w:ind w:left="0" w:right="0" w:hanging="284"/>
        <w:rPr>
          <w:rFonts w:eastAsia="Times New Roman"/>
          <w:color w:val="000000"/>
          <w:sz w:val="24"/>
          <w:szCs w:val="24"/>
          <w:shd w:val="clear" w:color="auto" w:fill="FFFFFF"/>
        </w:rPr>
      </w:pPr>
      <w:r w:rsidRPr="00213A5D">
        <w:rPr>
          <w:b/>
          <w:color w:val="000000"/>
          <w:sz w:val="24"/>
          <w:szCs w:val="24"/>
          <w:lang w:bidi="en-US"/>
        </w:rPr>
        <w:t>19</w:t>
      </w:r>
      <w:r w:rsidR="0015156A" w:rsidRPr="00213A5D">
        <w:rPr>
          <w:b/>
          <w:color w:val="000000"/>
          <w:sz w:val="24"/>
          <w:szCs w:val="24"/>
          <w:lang w:bidi="en-US"/>
        </w:rPr>
        <w:t>.</w:t>
      </w:r>
      <w:r w:rsidR="0015156A" w:rsidRPr="00213A5D">
        <w:rPr>
          <w:color w:val="000000"/>
          <w:sz w:val="24"/>
          <w:szCs w:val="24"/>
          <w:lang w:bidi="en-US"/>
        </w:rPr>
        <w:t> О</w:t>
      </w:r>
      <w:r w:rsidR="0015156A" w:rsidRPr="00213A5D">
        <w:rPr>
          <w:rFonts w:eastAsia="Times New Roman"/>
          <w:color w:val="000000"/>
          <w:sz w:val="24"/>
          <w:szCs w:val="24"/>
          <w:shd w:val="clear" w:color="auto" w:fill="FFFFFF"/>
        </w:rPr>
        <w:t xml:space="preserve">бъем </w:t>
      </w:r>
      <w:r w:rsidR="0015156A" w:rsidRPr="00213A5D">
        <w:rPr>
          <w:rFonts w:eastAsia="Times New Roman"/>
          <w:b/>
          <w:bCs/>
          <w:color w:val="000000"/>
          <w:sz w:val="24"/>
          <w:szCs w:val="24"/>
          <w:shd w:val="clear" w:color="auto" w:fill="FFFFFF"/>
        </w:rPr>
        <w:t xml:space="preserve">Фонда национального благосостояния </w:t>
      </w:r>
      <w:r w:rsidR="0015156A" w:rsidRPr="00213A5D">
        <w:rPr>
          <w:rFonts w:eastAsia="Times New Roman"/>
          <w:color w:val="000000"/>
          <w:sz w:val="24"/>
          <w:szCs w:val="24"/>
          <w:shd w:val="clear" w:color="auto" w:fill="FFFFFF"/>
        </w:rPr>
        <w:t>в рублевом эквиваленте составил </w:t>
      </w:r>
      <w:r w:rsidR="0015156A" w:rsidRPr="00213A5D">
        <w:rPr>
          <w:rFonts w:eastAsia="Times New Roman"/>
          <w:b/>
          <w:bCs/>
          <w:color w:val="000000"/>
          <w:sz w:val="24"/>
          <w:szCs w:val="24"/>
          <w:shd w:val="clear" w:color="auto" w:fill="FFFFFF"/>
        </w:rPr>
        <w:t>10 792,2 млрд. рублей</w:t>
      </w:r>
      <w:r w:rsidR="0015156A" w:rsidRPr="00213A5D">
        <w:rPr>
          <w:rFonts w:eastAsia="Times New Roman"/>
          <w:color w:val="000000"/>
          <w:sz w:val="24"/>
          <w:szCs w:val="24"/>
          <w:shd w:val="clear" w:color="auto" w:fill="FFFFFF"/>
        </w:rPr>
        <w:t xml:space="preserve"> (8,1 % ВВП), в том числе</w:t>
      </w:r>
      <w:r w:rsidRPr="00213A5D">
        <w:rPr>
          <w:rFonts w:eastAsia="Times New Roman"/>
          <w:color w:val="000000"/>
          <w:sz w:val="24"/>
          <w:szCs w:val="24"/>
          <w:shd w:val="clear" w:color="auto" w:fill="FFFFFF"/>
        </w:rPr>
        <w:t>:</w:t>
      </w:r>
    </w:p>
    <w:p w14:paraId="27EEEC48" w14:textId="77777777" w:rsidR="00752907" w:rsidRPr="00213A5D" w:rsidRDefault="0015156A" w:rsidP="00B842E1">
      <w:pPr>
        <w:widowControl w:val="0"/>
        <w:numPr>
          <w:ilvl w:val="0"/>
          <w:numId w:val="12"/>
        </w:numPr>
        <w:spacing w:line="271" w:lineRule="auto"/>
        <w:ind w:left="284" w:right="0" w:hanging="284"/>
        <w:rPr>
          <w:sz w:val="24"/>
          <w:szCs w:val="24"/>
        </w:rPr>
      </w:pPr>
      <w:r w:rsidRPr="00213A5D">
        <w:rPr>
          <w:rFonts w:eastAsia="Times New Roman"/>
          <w:color w:val="000000"/>
          <w:sz w:val="24"/>
          <w:szCs w:val="24"/>
          <w:shd w:val="clear" w:color="auto" w:fill="FFFFFF"/>
        </w:rPr>
        <w:t xml:space="preserve">объем средств ФНБ, </w:t>
      </w:r>
      <w:r w:rsidRPr="00213A5D">
        <w:rPr>
          <w:rFonts w:eastAsia="Times New Roman"/>
          <w:bCs/>
          <w:color w:val="000000"/>
          <w:sz w:val="24"/>
          <w:szCs w:val="24"/>
          <w:shd w:val="clear" w:color="auto" w:fill="FFFFFF"/>
        </w:rPr>
        <w:t>размещенных на счетах</w:t>
      </w:r>
      <w:r w:rsidRPr="00213A5D">
        <w:rPr>
          <w:rFonts w:eastAsia="Times New Roman"/>
          <w:b/>
          <w:bCs/>
          <w:color w:val="000000"/>
          <w:sz w:val="24"/>
          <w:szCs w:val="24"/>
          <w:shd w:val="clear" w:color="auto" w:fill="FFFFFF"/>
        </w:rPr>
        <w:t xml:space="preserve"> в Банке России, </w:t>
      </w:r>
      <w:r w:rsidRPr="00213A5D">
        <w:rPr>
          <w:rFonts w:eastAsia="Times New Roman"/>
          <w:color w:val="000000"/>
          <w:sz w:val="24"/>
          <w:szCs w:val="24"/>
          <w:shd w:val="clear" w:color="auto" w:fill="FFFFFF"/>
        </w:rPr>
        <w:t>–</w:t>
      </w:r>
      <w:r w:rsidRPr="00213A5D">
        <w:rPr>
          <w:rFonts w:eastAsia="Times New Roman"/>
          <w:b/>
          <w:bCs/>
          <w:color w:val="000000"/>
          <w:sz w:val="24"/>
          <w:szCs w:val="24"/>
          <w:shd w:val="clear" w:color="auto" w:fill="FFFFFF"/>
        </w:rPr>
        <w:t xml:space="preserve"> </w:t>
      </w:r>
      <w:r w:rsidRPr="00213A5D">
        <w:rPr>
          <w:rFonts w:eastAsia="Times New Roman"/>
          <w:color w:val="000000"/>
          <w:sz w:val="24"/>
          <w:szCs w:val="24"/>
          <w:shd w:val="clear" w:color="auto" w:fill="FFFFFF"/>
        </w:rPr>
        <w:t>7 524,4 млрд. рублей (5,6 % ВВП)</w:t>
      </w:r>
      <w:r w:rsidR="00151F0F" w:rsidRPr="00213A5D">
        <w:rPr>
          <w:rFonts w:eastAsia="Times New Roman"/>
          <w:color w:val="000000"/>
          <w:sz w:val="24"/>
          <w:szCs w:val="24"/>
          <w:shd w:val="clear" w:color="auto" w:fill="FFFFFF"/>
        </w:rPr>
        <w:t>;</w:t>
      </w:r>
    </w:p>
    <w:p w14:paraId="13EB44E0" w14:textId="77777777" w:rsidR="00752907" w:rsidRPr="00213A5D" w:rsidRDefault="0015156A" w:rsidP="00B842E1">
      <w:pPr>
        <w:widowControl w:val="0"/>
        <w:numPr>
          <w:ilvl w:val="0"/>
          <w:numId w:val="12"/>
        </w:numPr>
        <w:spacing w:line="271" w:lineRule="auto"/>
        <w:ind w:left="284" w:right="0" w:hanging="284"/>
        <w:rPr>
          <w:sz w:val="24"/>
          <w:szCs w:val="24"/>
        </w:rPr>
      </w:pPr>
      <w:r w:rsidRPr="00213A5D">
        <w:rPr>
          <w:rFonts w:eastAsia="Times New Roman"/>
          <w:b/>
          <w:bCs/>
          <w:color w:val="000000"/>
          <w:sz w:val="24"/>
          <w:szCs w:val="24"/>
          <w:shd w:val="clear" w:color="auto" w:fill="FFFFFF"/>
        </w:rPr>
        <w:t>в иных финансовых активах</w:t>
      </w:r>
      <w:r w:rsidRPr="00213A5D">
        <w:rPr>
          <w:rFonts w:eastAsia="Times New Roman"/>
          <w:color w:val="000000"/>
          <w:sz w:val="24"/>
          <w:szCs w:val="24"/>
          <w:shd w:val="clear" w:color="auto" w:fill="FFFFFF"/>
        </w:rPr>
        <w:t xml:space="preserve"> – 3 267,8 млрд. рублей (2,5 % ВВП). </w:t>
      </w:r>
    </w:p>
    <w:p w14:paraId="43BDFA20" w14:textId="77777777" w:rsidR="00FB3441" w:rsidRPr="00213A5D" w:rsidRDefault="0015156A" w:rsidP="00B842E1">
      <w:pPr>
        <w:widowControl w:val="0"/>
        <w:numPr>
          <w:ilvl w:val="0"/>
          <w:numId w:val="17"/>
        </w:numPr>
        <w:spacing w:line="271" w:lineRule="auto"/>
        <w:ind w:left="426" w:right="0" w:hanging="426"/>
        <w:rPr>
          <w:rFonts w:eastAsia="Times New Roman"/>
          <w:color w:val="000000"/>
          <w:sz w:val="24"/>
          <w:szCs w:val="24"/>
          <w:shd w:val="clear" w:color="auto" w:fill="FFFFFF"/>
        </w:rPr>
      </w:pPr>
      <w:r w:rsidRPr="00213A5D">
        <w:rPr>
          <w:rFonts w:eastAsia="Times New Roman"/>
          <w:color w:val="000000"/>
          <w:sz w:val="24"/>
          <w:szCs w:val="24"/>
          <w:shd w:val="clear" w:color="auto" w:fill="FFFFFF"/>
        </w:rPr>
        <w:t xml:space="preserve">По сравнению с началом года объем ФНБ </w:t>
      </w:r>
      <w:r w:rsidRPr="00213A5D">
        <w:rPr>
          <w:rFonts w:eastAsia="Times New Roman"/>
          <w:b/>
          <w:color w:val="000000"/>
          <w:sz w:val="24"/>
          <w:szCs w:val="24"/>
          <w:shd w:val="clear" w:color="auto" w:fill="FFFFFF"/>
        </w:rPr>
        <w:t xml:space="preserve">уменьшился </w:t>
      </w:r>
      <w:r w:rsidRPr="00213A5D">
        <w:rPr>
          <w:rFonts w:eastAsia="Times New Roman"/>
          <w:b/>
          <w:color w:val="000000"/>
          <w:sz w:val="24"/>
          <w:szCs w:val="24"/>
        </w:rPr>
        <w:t>на 2 793,4 млрд. рублей</w:t>
      </w:r>
      <w:r w:rsidRPr="00213A5D">
        <w:rPr>
          <w:rFonts w:eastAsia="Times New Roman"/>
          <w:color w:val="000000"/>
          <w:sz w:val="24"/>
          <w:szCs w:val="24"/>
        </w:rPr>
        <w:t xml:space="preserve">, или на 20,6 %, </w:t>
      </w:r>
      <w:r w:rsidRPr="00213A5D">
        <w:rPr>
          <w:rFonts w:eastAsia="Times New Roman"/>
          <w:color w:val="000000"/>
          <w:sz w:val="24"/>
          <w:szCs w:val="24"/>
          <w:shd w:val="clear" w:color="auto" w:fill="FFFFFF"/>
        </w:rPr>
        <w:t>что обусловлено в основном</w:t>
      </w:r>
      <w:r w:rsidRPr="00213A5D">
        <w:rPr>
          <w:rFonts w:eastAsia="Times New Roman"/>
          <w:b/>
          <w:color w:val="000000"/>
          <w:sz w:val="24"/>
          <w:szCs w:val="24"/>
          <w:shd w:val="clear" w:color="auto" w:fill="FFFFFF"/>
        </w:rPr>
        <w:t xml:space="preserve"> переоценкой рыночной стоимости</w:t>
      </w:r>
      <w:r w:rsidRPr="00213A5D">
        <w:rPr>
          <w:rFonts w:eastAsia="Times New Roman"/>
          <w:color w:val="000000"/>
          <w:sz w:val="24"/>
          <w:szCs w:val="24"/>
          <w:shd w:val="clear" w:color="auto" w:fill="FFFFFF"/>
        </w:rPr>
        <w:t xml:space="preserve"> обыкновенных акций ПАО «Сбербанк</w:t>
      </w:r>
      <w:r w:rsidR="00151F0F" w:rsidRPr="00213A5D">
        <w:rPr>
          <w:rFonts w:eastAsia="Times New Roman"/>
          <w:color w:val="000000"/>
          <w:sz w:val="24"/>
          <w:szCs w:val="24"/>
          <w:shd w:val="clear" w:color="auto" w:fill="FFFFFF"/>
        </w:rPr>
        <w:t xml:space="preserve"> России</w:t>
      </w:r>
      <w:r w:rsidRPr="00213A5D">
        <w:rPr>
          <w:rFonts w:eastAsia="Times New Roman"/>
          <w:color w:val="000000"/>
          <w:sz w:val="24"/>
          <w:szCs w:val="24"/>
          <w:shd w:val="clear" w:color="auto" w:fill="FFFFFF"/>
        </w:rPr>
        <w:t xml:space="preserve">» и ПАО «Аэрофлот» на (-) 2 128,3 млрд. рублей и </w:t>
      </w:r>
      <w:r w:rsidRPr="00213A5D">
        <w:rPr>
          <w:rFonts w:eastAsia="Times New Roman"/>
          <w:b/>
          <w:color w:val="000000"/>
          <w:sz w:val="24"/>
          <w:szCs w:val="24"/>
          <w:shd w:val="clear" w:color="auto" w:fill="FFFFFF"/>
        </w:rPr>
        <w:t>отрицательной курсовой разницей</w:t>
      </w:r>
      <w:r w:rsidRPr="00213A5D">
        <w:rPr>
          <w:rFonts w:eastAsia="Times New Roman"/>
          <w:color w:val="000000"/>
          <w:sz w:val="24"/>
          <w:szCs w:val="24"/>
          <w:shd w:val="clear" w:color="auto" w:fill="FFFFFF"/>
        </w:rPr>
        <w:t xml:space="preserve"> в объеме (-) 3 320,4 млрд. рублей. </w:t>
      </w:r>
    </w:p>
    <w:p w14:paraId="6A3172AB" w14:textId="77777777" w:rsidR="0027053E" w:rsidRPr="00213A5D" w:rsidRDefault="0027053E" w:rsidP="00CA0739">
      <w:pPr>
        <w:widowControl w:val="0"/>
        <w:overflowPunct/>
        <w:autoSpaceDE/>
        <w:adjustRightInd/>
        <w:spacing w:line="276" w:lineRule="auto"/>
        <w:ind w:left="0" w:right="0" w:hanging="284"/>
        <w:contextualSpacing/>
        <w:rPr>
          <w:rFonts w:eastAsia="Times New Roman"/>
          <w:color w:val="000000"/>
          <w:sz w:val="8"/>
          <w:szCs w:val="8"/>
          <w:shd w:val="clear" w:color="auto" w:fill="FFFFFF"/>
        </w:rPr>
      </w:pPr>
    </w:p>
    <w:p w14:paraId="0608EA2F" w14:textId="77777777" w:rsidR="00FB3441" w:rsidRPr="00213A5D" w:rsidRDefault="0027053E" w:rsidP="00B842E1">
      <w:pPr>
        <w:widowControl w:val="0"/>
        <w:numPr>
          <w:ilvl w:val="0"/>
          <w:numId w:val="17"/>
        </w:numPr>
        <w:spacing w:line="271" w:lineRule="auto"/>
        <w:ind w:left="425" w:right="0" w:hanging="425"/>
        <w:rPr>
          <w:sz w:val="24"/>
          <w:szCs w:val="24"/>
        </w:rPr>
      </w:pPr>
      <w:r w:rsidRPr="00213A5D">
        <w:rPr>
          <w:rFonts w:eastAsia="Times New Roman"/>
          <w:b/>
          <w:color w:val="000000"/>
          <w:sz w:val="24"/>
          <w:szCs w:val="24"/>
          <w:shd w:val="clear" w:color="auto" w:fill="FFFFFF"/>
        </w:rPr>
        <w:t>С</w:t>
      </w:r>
      <w:r w:rsidR="0015156A" w:rsidRPr="00213A5D">
        <w:rPr>
          <w:sz w:val="24"/>
          <w:szCs w:val="24"/>
        </w:rPr>
        <w:t>редств</w:t>
      </w:r>
      <w:r w:rsidRPr="00213A5D">
        <w:rPr>
          <w:sz w:val="24"/>
          <w:szCs w:val="24"/>
        </w:rPr>
        <w:t>а</w:t>
      </w:r>
      <w:r w:rsidR="0015156A" w:rsidRPr="00213A5D">
        <w:rPr>
          <w:sz w:val="24"/>
          <w:szCs w:val="24"/>
        </w:rPr>
        <w:t xml:space="preserve"> ФНБ</w:t>
      </w:r>
      <w:r w:rsidRPr="00213A5D">
        <w:rPr>
          <w:sz w:val="24"/>
          <w:szCs w:val="24"/>
        </w:rPr>
        <w:t xml:space="preserve"> направлены</w:t>
      </w:r>
      <w:r w:rsidR="00FB3441" w:rsidRPr="00213A5D">
        <w:rPr>
          <w:sz w:val="24"/>
          <w:szCs w:val="24"/>
        </w:rPr>
        <w:t>:</w:t>
      </w:r>
    </w:p>
    <w:p w14:paraId="1F0CBB4F" w14:textId="77777777" w:rsidR="00FB3441" w:rsidRPr="00213A5D" w:rsidRDefault="0015156A" w:rsidP="00B842E1">
      <w:pPr>
        <w:widowControl w:val="0"/>
        <w:numPr>
          <w:ilvl w:val="0"/>
          <w:numId w:val="12"/>
        </w:numPr>
        <w:spacing w:line="271" w:lineRule="auto"/>
        <w:ind w:left="425" w:right="0" w:hanging="425"/>
        <w:rPr>
          <w:sz w:val="24"/>
          <w:szCs w:val="24"/>
        </w:rPr>
      </w:pPr>
      <w:r w:rsidRPr="00213A5D">
        <w:rPr>
          <w:sz w:val="24"/>
          <w:szCs w:val="24"/>
        </w:rPr>
        <w:lastRenderedPageBreak/>
        <w:t xml:space="preserve">на софинансирование формирования пенсионных накоплений </w:t>
      </w:r>
      <w:r w:rsidR="00151F0F" w:rsidRPr="00213A5D">
        <w:rPr>
          <w:sz w:val="24"/>
          <w:szCs w:val="24"/>
        </w:rPr>
        <w:t>–</w:t>
      </w:r>
      <w:r w:rsidRPr="00213A5D">
        <w:rPr>
          <w:sz w:val="24"/>
          <w:szCs w:val="24"/>
        </w:rPr>
        <w:t xml:space="preserve"> 2,5 млрд.</w:t>
      </w:r>
      <w:r w:rsidR="00151F0F" w:rsidRPr="00213A5D">
        <w:rPr>
          <w:sz w:val="24"/>
          <w:szCs w:val="24"/>
        </w:rPr>
        <w:t xml:space="preserve"> рублей;</w:t>
      </w:r>
      <w:r w:rsidRPr="00213A5D">
        <w:rPr>
          <w:sz w:val="24"/>
          <w:szCs w:val="24"/>
        </w:rPr>
        <w:t xml:space="preserve"> </w:t>
      </w:r>
    </w:p>
    <w:p w14:paraId="467A7BF2" w14:textId="77777777" w:rsidR="0015156A" w:rsidRPr="00213A5D" w:rsidRDefault="0027053E" w:rsidP="00B842E1">
      <w:pPr>
        <w:widowControl w:val="0"/>
        <w:numPr>
          <w:ilvl w:val="0"/>
          <w:numId w:val="12"/>
        </w:numPr>
        <w:spacing w:line="271" w:lineRule="auto"/>
        <w:ind w:left="425" w:right="0" w:hanging="425"/>
        <w:rPr>
          <w:sz w:val="24"/>
          <w:szCs w:val="24"/>
        </w:rPr>
      </w:pPr>
      <w:r w:rsidRPr="00213A5D">
        <w:rPr>
          <w:sz w:val="24"/>
          <w:szCs w:val="24"/>
        </w:rPr>
        <w:t>н</w:t>
      </w:r>
      <w:r w:rsidR="0015156A" w:rsidRPr="00213A5D">
        <w:rPr>
          <w:sz w:val="24"/>
          <w:szCs w:val="24"/>
        </w:rPr>
        <w:t xml:space="preserve">а размещение в иные разрешенные финансовые активы </w:t>
      </w:r>
      <w:r w:rsidR="00151F0F" w:rsidRPr="00213A5D">
        <w:rPr>
          <w:sz w:val="24"/>
          <w:szCs w:val="24"/>
        </w:rPr>
        <w:t>–</w:t>
      </w:r>
      <w:r w:rsidR="0015156A" w:rsidRPr="00213A5D">
        <w:rPr>
          <w:sz w:val="24"/>
          <w:szCs w:val="24"/>
        </w:rPr>
        <w:t> 494,5 млрд. рублей, из них 336,2</w:t>
      </w:r>
      <w:r w:rsidRPr="00213A5D">
        <w:rPr>
          <w:sz w:val="24"/>
          <w:szCs w:val="24"/>
        </w:rPr>
        <w:t> </w:t>
      </w:r>
      <w:r w:rsidR="0015156A" w:rsidRPr="00213A5D">
        <w:rPr>
          <w:sz w:val="24"/>
          <w:szCs w:val="24"/>
        </w:rPr>
        <w:t>млрд. рублей</w:t>
      </w:r>
      <w:r w:rsidR="000217C1" w:rsidRPr="00213A5D">
        <w:rPr>
          <w:sz w:val="24"/>
          <w:szCs w:val="24"/>
        </w:rPr>
        <w:t xml:space="preserve"> (</w:t>
      </w:r>
      <w:r w:rsidR="0015156A" w:rsidRPr="00213A5D">
        <w:rPr>
          <w:sz w:val="24"/>
          <w:szCs w:val="24"/>
        </w:rPr>
        <w:t>68 %</w:t>
      </w:r>
      <w:r w:rsidR="000217C1" w:rsidRPr="00213A5D">
        <w:rPr>
          <w:sz w:val="24"/>
          <w:szCs w:val="24"/>
        </w:rPr>
        <w:t>)</w:t>
      </w:r>
      <w:r w:rsidR="0015156A" w:rsidRPr="00213A5D">
        <w:rPr>
          <w:sz w:val="24"/>
          <w:szCs w:val="24"/>
        </w:rPr>
        <w:t xml:space="preserve"> </w:t>
      </w:r>
      <w:r w:rsidR="00151F0F" w:rsidRPr="00213A5D">
        <w:rPr>
          <w:sz w:val="24"/>
          <w:szCs w:val="24"/>
        </w:rPr>
        <w:t>–</w:t>
      </w:r>
      <w:r w:rsidR="000217C1" w:rsidRPr="00213A5D">
        <w:rPr>
          <w:sz w:val="24"/>
          <w:szCs w:val="24"/>
        </w:rPr>
        <w:t xml:space="preserve"> </w:t>
      </w:r>
      <w:r w:rsidR="0015156A" w:rsidRPr="00213A5D">
        <w:rPr>
          <w:sz w:val="24"/>
          <w:szCs w:val="24"/>
        </w:rPr>
        <w:t>на реализацию Плана первоочередных действий по обеспечению развития российской экономики в условиях внешнего санкционного давления</w:t>
      </w:r>
      <w:r w:rsidR="000217C1" w:rsidRPr="00213A5D">
        <w:rPr>
          <w:sz w:val="24"/>
          <w:szCs w:val="24"/>
        </w:rPr>
        <w:t>,</w:t>
      </w:r>
      <w:r w:rsidR="000217C1" w:rsidRPr="00213A5D">
        <w:rPr>
          <w:color w:val="FF0000"/>
          <w:sz w:val="24"/>
          <w:szCs w:val="24"/>
        </w:rPr>
        <w:t xml:space="preserve"> </w:t>
      </w:r>
      <w:r w:rsidR="00151F0F" w:rsidRPr="00213A5D">
        <w:rPr>
          <w:sz w:val="24"/>
          <w:szCs w:val="24"/>
        </w:rPr>
        <w:t>в том числе</w:t>
      </w:r>
      <w:r w:rsidR="000217C1" w:rsidRPr="00213A5D">
        <w:rPr>
          <w:sz w:val="24"/>
          <w:szCs w:val="24"/>
        </w:rPr>
        <w:t xml:space="preserve"> 250,0 млрд. рублей </w:t>
      </w:r>
      <w:r w:rsidR="00151F0F" w:rsidRPr="00213A5D">
        <w:rPr>
          <w:sz w:val="24"/>
          <w:szCs w:val="24"/>
        </w:rPr>
        <w:t>–</w:t>
      </w:r>
      <w:r w:rsidR="000217C1" w:rsidRPr="00213A5D">
        <w:rPr>
          <w:sz w:val="24"/>
          <w:szCs w:val="24"/>
        </w:rPr>
        <w:t xml:space="preserve"> на приобретение привилегированных акци</w:t>
      </w:r>
      <w:r w:rsidR="00151F0F" w:rsidRPr="00213A5D">
        <w:rPr>
          <w:sz w:val="24"/>
          <w:szCs w:val="24"/>
        </w:rPr>
        <w:t>й</w:t>
      </w:r>
      <w:r w:rsidR="000217C1" w:rsidRPr="00213A5D">
        <w:rPr>
          <w:sz w:val="24"/>
          <w:szCs w:val="24"/>
        </w:rPr>
        <w:t xml:space="preserve"> ОАО «РЖД» в целях поддержки реализации инвестиционной программы.</w:t>
      </w:r>
    </w:p>
    <w:p w14:paraId="63F1E03C" w14:textId="77777777" w:rsidR="008D0F32" w:rsidRPr="00213A5D" w:rsidRDefault="00986814" w:rsidP="00AF1852">
      <w:pPr>
        <w:widowControl w:val="0"/>
        <w:spacing w:line="276" w:lineRule="auto"/>
        <w:ind w:left="0" w:right="0" w:hanging="284"/>
        <w:jc w:val="center"/>
        <w:rPr>
          <w:b/>
          <w:bCs/>
          <w:sz w:val="24"/>
          <w:szCs w:val="24"/>
          <w:u w:val="single"/>
          <w:lang w:eastAsia="en-US"/>
        </w:rPr>
      </w:pPr>
      <w:r w:rsidRPr="00213A5D">
        <w:rPr>
          <w:b/>
          <w:color w:val="FF0000"/>
          <w:sz w:val="24"/>
          <w:szCs w:val="24"/>
        </w:rPr>
        <w:br w:type="page"/>
      </w:r>
      <w:r w:rsidR="008D0F32" w:rsidRPr="00213A5D">
        <w:rPr>
          <w:b/>
          <w:sz w:val="24"/>
          <w:szCs w:val="24"/>
        </w:rPr>
        <w:lastRenderedPageBreak/>
        <w:t>1.</w:t>
      </w:r>
      <w:r w:rsidR="000856A0" w:rsidRPr="00213A5D">
        <w:rPr>
          <w:b/>
          <w:sz w:val="24"/>
          <w:szCs w:val="24"/>
        </w:rPr>
        <w:t xml:space="preserve"> </w:t>
      </w:r>
      <w:r w:rsidR="008D0F32" w:rsidRPr="00213A5D">
        <w:rPr>
          <w:b/>
          <w:bCs/>
          <w:sz w:val="24"/>
          <w:szCs w:val="24"/>
          <w:u w:val="single"/>
          <w:lang w:eastAsia="en-US"/>
        </w:rPr>
        <w:t>Макроэкономические условия исполнения федерального бюджета</w:t>
      </w:r>
    </w:p>
    <w:p w14:paraId="51343829" w14:textId="77777777" w:rsidR="00B71284" w:rsidRPr="00213A5D" w:rsidRDefault="00B71284" w:rsidP="00AF1852">
      <w:pPr>
        <w:widowControl w:val="0"/>
        <w:overflowPunct/>
        <w:autoSpaceDE/>
        <w:autoSpaceDN/>
        <w:adjustRightInd/>
        <w:spacing w:line="240" w:lineRule="auto"/>
        <w:ind w:left="0" w:right="0"/>
        <w:jc w:val="center"/>
        <w:textAlignment w:val="auto"/>
        <w:rPr>
          <w:bCs/>
          <w:sz w:val="16"/>
          <w:szCs w:val="16"/>
          <w:lang w:eastAsia="en-US"/>
        </w:rPr>
      </w:pPr>
    </w:p>
    <w:p w14:paraId="5B5B58FB" w14:textId="77777777" w:rsidR="00C91ADC" w:rsidRPr="00213A5D" w:rsidRDefault="00C91ADC" w:rsidP="00AF1852">
      <w:pPr>
        <w:widowControl w:val="0"/>
        <w:spacing w:line="312" w:lineRule="auto"/>
        <w:ind w:left="0" w:right="0"/>
        <w:rPr>
          <w:sz w:val="24"/>
          <w:szCs w:val="24"/>
        </w:rPr>
      </w:pPr>
      <w:r w:rsidRPr="00213A5D">
        <w:rPr>
          <w:b/>
          <w:sz w:val="24"/>
          <w:szCs w:val="24"/>
        </w:rPr>
        <w:t>1. </w:t>
      </w:r>
      <w:r w:rsidRPr="00213A5D">
        <w:rPr>
          <w:sz w:val="24"/>
          <w:szCs w:val="24"/>
        </w:rPr>
        <w:t>Утвержденные статьей 1 Федерального закона от 6 декабря 2021 г. № 390-ФЗ «О федеральном бюджете на 2022 год и на плановый период 2023 и 2024 годов» (далее – Федеральный закон № 390-ФЗ) основные характеристики федерального бюджета на 2022 год определены исходя из прогнозируемого объема ВВП в размере 133</w:t>
      </w:r>
      <w:r w:rsidRPr="00213A5D">
        <w:rPr>
          <w:sz w:val="24"/>
          <w:szCs w:val="24"/>
          <w:lang w:val="en-US"/>
        </w:rPr>
        <w:t> </w:t>
      </w:r>
      <w:r w:rsidRPr="00213A5D">
        <w:rPr>
          <w:sz w:val="24"/>
          <w:szCs w:val="24"/>
        </w:rPr>
        <w:t>328 млрд. рублей и уровня инфляции, не превышающего 4 % (декабрь 2022 года к декабрю 2021 года).</w:t>
      </w:r>
    </w:p>
    <w:p w14:paraId="5A717816" w14:textId="77777777" w:rsidR="00C91ADC" w:rsidRPr="00213A5D" w:rsidRDefault="00C91ADC" w:rsidP="00AF1852">
      <w:pPr>
        <w:widowControl w:val="0"/>
        <w:spacing w:line="312" w:lineRule="auto"/>
        <w:ind w:left="0" w:right="0"/>
        <w:rPr>
          <w:sz w:val="24"/>
          <w:szCs w:val="24"/>
        </w:rPr>
      </w:pPr>
      <w:r w:rsidRPr="00213A5D">
        <w:rPr>
          <w:sz w:val="24"/>
          <w:szCs w:val="24"/>
        </w:rPr>
        <w:t>В январе – сентябре 2022 года исходные условия российской экономики формировались на фоне роста риска мировой рецессии и значительной степени неопределенности. Вопреки ожиданиям российская экономика показала высокую степень устойчивости к внешнему давлению, что отразилось в меньшем, чем ожидалось, снижении или замедлении роста основных социально-экономических показателей.</w:t>
      </w:r>
    </w:p>
    <w:p w14:paraId="4E18DB34" w14:textId="77777777" w:rsidR="00C91ADC" w:rsidRPr="00213A5D" w:rsidRDefault="00C91ADC" w:rsidP="00AF1852">
      <w:pPr>
        <w:widowControl w:val="0"/>
        <w:spacing w:line="312" w:lineRule="auto"/>
        <w:ind w:left="0" w:right="0"/>
        <w:rPr>
          <w:sz w:val="24"/>
          <w:szCs w:val="24"/>
        </w:rPr>
      </w:pPr>
      <w:r w:rsidRPr="00213A5D">
        <w:rPr>
          <w:b/>
          <w:sz w:val="24"/>
          <w:szCs w:val="24"/>
        </w:rPr>
        <w:t>1.1. </w:t>
      </w:r>
      <w:r w:rsidR="00525F44" w:rsidRPr="00213A5D">
        <w:rPr>
          <w:b/>
          <w:sz w:val="24"/>
          <w:szCs w:val="24"/>
        </w:rPr>
        <w:t>Ц</w:t>
      </w:r>
      <w:r w:rsidRPr="00213A5D">
        <w:rPr>
          <w:b/>
          <w:sz w:val="24"/>
          <w:szCs w:val="24"/>
        </w:rPr>
        <w:t>ен</w:t>
      </w:r>
      <w:r w:rsidR="00525F44" w:rsidRPr="00213A5D">
        <w:rPr>
          <w:b/>
          <w:sz w:val="24"/>
          <w:szCs w:val="24"/>
        </w:rPr>
        <w:t>а</w:t>
      </w:r>
      <w:r w:rsidRPr="00213A5D">
        <w:rPr>
          <w:b/>
          <w:sz w:val="24"/>
          <w:szCs w:val="24"/>
        </w:rPr>
        <w:t xml:space="preserve"> на нефть марки «Юралс»</w:t>
      </w:r>
      <w:r w:rsidR="00525F44" w:rsidRPr="00213A5D">
        <w:rPr>
          <w:sz w:val="24"/>
          <w:szCs w:val="24"/>
        </w:rPr>
        <w:t xml:space="preserve"> сохранялась на относительно высоком уровне и</w:t>
      </w:r>
      <w:r w:rsidRPr="00213A5D">
        <w:rPr>
          <w:sz w:val="24"/>
          <w:szCs w:val="24"/>
        </w:rPr>
        <w:t xml:space="preserve"> в среднем за 9 месяцев 2022 года составила</w:t>
      </w:r>
      <w:r w:rsidRPr="00213A5D">
        <w:rPr>
          <w:b/>
          <w:sz w:val="24"/>
          <w:szCs w:val="24"/>
        </w:rPr>
        <w:t xml:space="preserve"> 82,4 доллара США за баррель</w:t>
      </w:r>
      <w:r w:rsidRPr="00213A5D">
        <w:rPr>
          <w:sz w:val="24"/>
          <w:szCs w:val="24"/>
        </w:rPr>
        <w:t xml:space="preserve">. При этом следует отметить, что в </w:t>
      </w:r>
      <w:r w:rsidRPr="00213A5D">
        <w:rPr>
          <w:sz w:val="24"/>
          <w:szCs w:val="24"/>
          <w:lang w:val="en-US"/>
        </w:rPr>
        <w:t>III</w:t>
      </w:r>
      <w:r w:rsidRPr="00213A5D">
        <w:rPr>
          <w:sz w:val="24"/>
          <w:szCs w:val="24"/>
        </w:rPr>
        <w:t xml:space="preserve"> квартале на фоне замедления роста мировой экономики, роста риска глобальной рецессии и сокращения спроса цена на нефть марки «Юралс» начала снижаться (с 90,2 доллара США за баррель в июне до 68,6 доллар</w:t>
      </w:r>
      <w:r w:rsidR="009C319C" w:rsidRPr="00213A5D">
        <w:rPr>
          <w:sz w:val="24"/>
          <w:szCs w:val="24"/>
        </w:rPr>
        <w:t>а</w:t>
      </w:r>
      <w:r w:rsidRPr="00213A5D">
        <w:rPr>
          <w:sz w:val="24"/>
          <w:szCs w:val="24"/>
        </w:rPr>
        <w:t xml:space="preserve"> США за баррель в сентябре). Дополнительным фактором, оказывающим заметное влияние на нефтяные котировки в 2022 году, стал дисконт между ценой на российскую нефть и эталонн</w:t>
      </w:r>
      <w:r w:rsidR="009C319C" w:rsidRPr="00213A5D">
        <w:rPr>
          <w:sz w:val="24"/>
          <w:szCs w:val="24"/>
        </w:rPr>
        <w:t>ую</w:t>
      </w:r>
      <w:r w:rsidRPr="00213A5D">
        <w:rPr>
          <w:sz w:val="24"/>
          <w:szCs w:val="24"/>
        </w:rPr>
        <w:t xml:space="preserve"> </w:t>
      </w:r>
      <w:r w:rsidR="00A15EBC" w:rsidRPr="00213A5D">
        <w:rPr>
          <w:sz w:val="24"/>
          <w:szCs w:val="24"/>
        </w:rPr>
        <w:br/>
      </w:r>
      <w:r w:rsidRPr="00213A5D">
        <w:rPr>
          <w:sz w:val="24"/>
          <w:szCs w:val="24"/>
        </w:rPr>
        <w:t>марк</w:t>
      </w:r>
      <w:r w:rsidR="009C319C" w:rsidRPr="00213A5D">
        <w:rPr>
          <w:sz w:val="24"/>
          <w:szCs w:val="24"/>
        </w:rPr>
        <w:t>у</w:t>
      </w:r>
      <w:r w:rsidRPr="00213A5D">
        <w:rPr>
          <w:sz w:val="24"/>
          <w:szCs w:val="24"/>
        </w:rPr>
        <w:t xml:space="preserve"> </w:t>
      </w:r>
      <w:r w:rsidRPr="00213A5D">
        <w:rPr>
          <w:sz w:val="24"/>
          <w:szCs w:val="24"/>
          <w:lang w:val="en-US"/>
        </w:rPr>
        <w:t>Brent</w:t>
      </w:r>
      <w:r w:rsidRPr="00213A5D">
        <w:rPr>
          <w:sz w:val="24"/>
          <w:szCs w:val="24"/>
        </w:rPr>
        <w:t>. Если в начале года дисконт составлял 2</w:t>
      </w:r>
      <w:r w:rsidR="009C319C" w:rsidRPr="00213A5D">
        <w:rPr>
          <w:sz w:val="24"/>
          <w:szCs w:val="24"/>
        </w:rPr>
        <w:t>–</w:t>
      </w:r>
      <w:r w:rsidRPr="00213A5D">
        <w:rPr>
          <w:sz w:val="24"/>
          <w:szCs w:val="24"/>
        </w:rPr>
        <w:t xml:space="preserve">4 доллара США, то в марте вырос </w:t>
      </w:r>
      <w:r w:rsidR="00A15EBC" w:rsidRPr="00213A5D">
        <w:rPr>
          <w:sz w:val="24"/>
          <w:szCs w:val="24"/>
        </w:rPr>
        <w:br/>
        <w:t>до 30–</w:t>
      </w:r>
      <w:r w:rsidRPr="00213A5D">
        <w:rPr>
          <w:sz w:val="24"/>
          <w:szCs w:val="24"/>
        </w:rPr>
        <w:t>35 долларов США, затем по мере стабилизации ситуации снизился</w:t>
      </w:r>
      <w:r w:rsidR="009C319C" w:rsidRPr="00213A5D">
        <w:rPr>
          <w:sz w:val="24"/>
          <w:szCs w:val="24"/>
        </w:rPr>
        <w:t xml:space="preserve"> </w:t>
      </w:r>
      <w:r w:rsidRPr="00213A5D">
        <w:rPr>
          <w:sz w:val="24"/>
          <w:szCs w:val="24"/>
        </w:rPr>
        <w:t>до 20</w:t>
      </w:r>
      <w:r w:rsidR="00A15EBC" w:rsidRPr="00213A5D">
        <w:rPr>
          <w:sz w:val="24"/>
          <w:szCs w:val="24"/>
        </w:rPr>
        <w:t>–</w:t>
      </w:r>
      <w:r w:rsidRPr="00213A5D">
        <w:rPr>
          <w:sz w:val="24"/>
          <w:szCs w:val="24"/>
        </w:rPr>
        <w:t>25 </w:t>
      </w:r>
      <w:r w:rsidR="009C319C" w:rsidRPr="00213A5D">
        <w:rPr>
          <w:sz w:val="24"/>
          <w:szCs w:val="24"/>
        </w:rPr>
        <w:br/>
      </w:r>
      <w:r w:rsidRPr="00213A5D">
        <w:rPr>
          <w:sz w:val="24"/>
          <w:szCs w:val="24"/>
        </w:rPr>
        <w:t xml:space="preserve">долларов США. </w:t>
      </w:r>
    </w:p>
    <w:p w14:paraId="2A9E335B" w14:textId="77777777" w:rsidR="00C91ADC" w:rsidRPr="00213A5D" w:rsidRDefault="00C91ADC" w:rsidP="00AF1852">
      <w:pPr>
        <w:widowControl w:val="0"/>
        <w:spacing w:line="312" w:lineRule="auto"/>
        <w:ind w:left="0" w:right="0"/>
        <w:rPr>
          <w:sz w:val="24"/>
          <w:szCs w:val="24"/>
        </w:rPr>
      </w:pPr>
      <w:r w:rsidRPr="00213A5D">
        <w:rPr>
          <w:b/>
          <w:sz w:val="24"/>
          <w:szCs w:val="24"/>
        </w:rPr>
        <w:t>Курс доллара США</w:t>
      </w:r>
      <w:r w:rsidRPr="00213A5D">
        <w:rPr>
          <w:sz w:val="24"/>
          <w:szCs w:val="24"/>
        </w:rPr>
        <w:t xml:space="preserve"> к рублю в среднем за 9 месяцев 2022 года составил </w:t>
      </w:r>
      <w:r w:rsidRPr="00213A5D">
        <w:rPr>
          <w:b/>
          <w:sz w:val="24"/>
          <w:szCs w:val="24"/>
        </w:rPr>
        <w:t>69,3 рубля за доллар США</w:t>
      </w:r>
      <w:r w:rsidRPr="00213A5D">
        <w:rPr>
          <w:sz w:val="24"/>
          <w:szCs w:val="24"/>
        </w:rPr>
        <w:t>. После ослабления в марте до 103,7 доллара США за баррель</w:t>
      </w:r>
      <w:r w:rsidR="001E5C52">
        <w:rPr>
          <w:sz w:val="24"/>
          <w:szCs w:val="24"/>
        </w:rPr>
        <w:t xml:space="preserve"> курс рубля</w:t>
      </w:r>
      <w:r w:rsidRPr="00213A5D">
        <w:rPr>
          <w:sz w:val="24"/>
          <w:szCs w:val="24"/>
        </w:rPr>
        <w:t xml:space="preserve"> существенно укрепился – до 57</w:t>
      </w:r>
      <w:r w:rsidR="00AF1852" w:rsidRPr="00213A5D">
        <w:rPr>
          <w:sz w:val="24"/>
          <w:szCs w:val="24"/>
        </w:rPr>
        <w:t>–</w:t>
      </w:r>
      <w:r w:rsidRPr="00213A5D">
        <w:rPr>
          <w:sz w:val="24"/>
          <w:szCs w:val="24"/>
        </w:rPr>
        <w:t>60 рублей за доллар США в июне – сентябре 2022 года. Этому способствовало введение валютного контроля, а также ужесточе</w:t>
      </w:r>
      <w:r w:rsidR="000B21D0" w:rsidRPr="00213A5D">
        <w:rPr>
          <w:sz w:val="24"/>
          <w:szCs w:val="24"/>
        </w:rPr>
        <w:t>ние денежно-кредитной политики.</w:t>
      </w:r>
    </w:p>
    <w:p w14:paraId="1224FF41" w14:textId="77777777" w:rsidR="00FF2F43" w:rsidRPr="00213A5D" w:rsidRDefault="00CD0E98" w:rsidP="00AF1852">
      <w:pPr>
        <w:widowControl w:val="0"/>
        <w:ind w:left="0" w:right="0" w:firstLine="0"/>
        <w:jc w:val="center"/>
        <w:rPr>
          <w:sz w:val="24"/>
          <w:szCs w:val="24"/>
        </w:rPr>
      </w:pPr>
      <w:r w:rsidRPr="00CD0E98">
        <w:rPr>
          <w:noProof/>
          <w:sz w:val="24"/>
          <w:szCs w:val="24"/>
        </w:rPr>
        <w:pict w14:anchorId="6DF09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 style="width:374.95pt;height:203.1pt;mso-width-percent:0;mso-height-percent:0;mso-position-horizontal-relative:char;mso-position-vertical-relative:line;mso-width-percent:0;mso-height-percent:0">
            <v:imagedata r:id="rId8" o:title=""/>
          </v:shape>
        </w:pict>
      </w:r>
    </w:p>
    <w:p w14:paraId="3061283F" w14:textId="77777777" w:rsidR="00C91ADC" w:rsidRPr="00213A5D" w:rsidRDefault="00C91ADC" w:rsidP="00AF1852">
      <w:pPr>
        <w:widowControl w:val="0"/>
        <w:spacing w:line="372" w:lineRule="auto"/>
        <w:ind w:left="0" w:right="0"/>
        <w:rPr>
          <w:sz w:val="24"/>
          <w:szCs w:val="24"/>
        </w:rPr>
      </w:pPr>
      <w:r w:rsidRPr="00213A5D">
        <w:rPr>
          <w:b/>
          <w:sz w:val="24"/>
          <w:szCs w:val="24"/>
        </w:rPr>
        <w:t>1.2. </w:t>
      </w:r>
      <w:r w:rsidRPr="00213A5D">
        <w:rPr>
          <w:sz w:val="24"/>
          <w:szCs w:val="24"/>
        </w:rPr>
        <w:t xml:space="preserve">Динамика </w:t>
      </w:r>
      <w:r w:rsidRPr="00213A5D">
        <w:rPr>
          <w:b/>
          <w:sz w:val="24"/>
          <w:szCs w:val="24"/>
        </w:rPr>
        <w:t>инфляции</w:t>
      </w:r>
      <w:r w:rsidRPr="00213A5D">
        <w:rPr>
          <w:sz w:val="24"/>
          <w:szCs w:val="24"/>
        </w:rPr>
        <w:t xml:space="preserve"> после прохождения пика в начале мая (17,8 % в годовом выражении на 6 мая) начала замедляться. Этому способствовали повышение Банком России </w:t>
      </w:r>
      <w:r w:rsidRPr="00213A5D">
        <w:rPr>
          <w:sz w:val="24"/>
          <w:szCs w:val="24"/>
        </w:rPr>
        <w:lastRenderedPageBreak/>
        <w:t>ключевой ставки с 9,5 % до 20 %, исчерпание ажиотажного спроса, укрепление рубля, а также сезонное снижение цен и улучшение инфляционных ожиданий. После трехмесячной дефляции в сентябре потребительские цены вернулись к росту на 0,05 % в месяц, при этом годовая инфляция продолжила замедляться – до 13,7 %.</w:t>
      </w:r>
    </w:p>
    <w:p w14:paraId="1A51C53E" w14:textId="77777777" w:rsidR="00C91ADC" w:rsidRPr="00213A5D" w:rsidRDefault="00C91ADC" w:rsidP="00AF1852">
      <w:pPr>
        <w:widowControl w:val="0"/>
        <w:spacing w:line="372" w:lineRule="auto"/>
        <w:ind w:left="0" w:right="0"/>
        <w:rPr>
          <w:sz w:val="24"/>
          <w:szCs w:val="24"/>
        </w:rPr>
      </w:pPr>
      <w:r w:rsidRPr="00213A5D">
        <w:rPr>
          <w:sz w:val="24"/>
          <w:szCs w:val="24"/>
        </w:rPr>
        <w:t xml:space="preserve">С начала года потребительские цены выросли на </w:t>
      </w:r>
      <w:r w:rsidRPr="00213A5D">
        <w:rPr>
          <w:b/>
          <w:sz w:val="24"/>
          <w:szCs w:val="24"/>
        </w:rPr>
        <w:t>10,5 %</w:t>
      </w:r>
      <w:r w:rsidRPr="00213A5D">
        <w:rPr>
          <w:sz w:val="24"/>
          <w:szCs w:val="24"/>
        </w:rPr>
        <w:t>, основной вклад внесло удорожание непродовольственных (4,5 процентн</w:t>
      </w:r>
      <w:r w:rsidR="00872740" w:rsidRPr="00213A5D">
        <w:rPr>
          <w:sz w:val="24"/>
          <w:szCs w:val="24"/>
        </w:rPr>
        <w:t>ого</w:t>
      </w:r>
      <w:r w:rsidRPr="00213A5D">
        <w:rPr>
          <w:sz w:val="24"/>
          <w:szCs w:val="24"/>
        </w:rPr>
        <w:t xml:space="preserve"> пункта) и продовольственных товаров (3,4 процентн</w:t>
      </w:r>
      <w:r w:rsidR="00872740" w:rsidRPr="00213A5D">
        <w:rPr>
          <w:sz w:val="24"/>
          <w:szCs w:val="24"/>
        </w:rPr>
        <w:t>ого</w:t>
      </w:r>
      <w:r w:rsidRPr="00213A5D">
        <w:rPr>
          <w:sz w:val="24"/>
          <w:szCs w:val="24"/>
        </w:rPr>
        <w:t xml:space="preserve"> пункта).</w:t>
      </w:r>
    </w:p>
    <w:p w14:paraId="4E089285" w14:textId="77777777" w:rsidR="00C91ADC" w:rsidRPr="00213A5D" w:rsidRDefault="00CD0E98" w:rsidP="00AF1852">
      <w:pPr>
        <w:widowControl w:val="0"/>
        <w:ind w:left="0" w:firstLine="708"/>
        <w:rPr>
          <w:sz w:val="24"/>
          <w:szCs w:val="24"/>
        </w:rPr>
      </w:pPr>
      <w:r w:rsidRPr="00CD0E98">
        <w:rPr>
          <w:noProof/>
          <w:sz w:val="24"/>
          <w:szCs w:val="24"/>
        </w:rPr>
        <w:pict w14:anchorId="77C2D22C">
          <v:shape id="_x0000_i1081" type="#_x0000_t75" alt="" style="width:411.6pt;height:230.95pt;mso-width-percent:0;mso-height-percent:0;mso-position-horizontal-relative:char;mso-position-vertical-relative:line;mso-width-percent:0;mso-height-percent:0">
            <v:imagedata r:id="rId9" o:title=""/>
          </v:shape>
        </w:pict>
      </w:r>
    </w:p>
    <w:p w14:paraId="39E9DE98" w14:textId="77777777" w:rsidR="00C91ADC" w:rsidRPr="00213A5D" w:rsidRDefault="00C91ADC" w:rsidP="00AF1852">
      <w:pPr>
        <w:widowControl w:val="0"/>
        <w:spacing w:line="372" w:lineRule="auto"/>
        <w:ind w:left="0" w:right="0"/>
        <w:rPr>
          <w:noProof/>
          <w:sz w:val="24"/>
          <w:szCs w:val="24"/>
        </w:rPr>
      </w:pPr>
      <w:r w:rsidRPr="00213A5D">
        <w:rPr>
          <w:b/>
          <w:noProof/>
          <w:sz w:val="24"/>
          <w:szCs w:val="24"/>
        </w:rPr>
        <w:t>1.3. </w:t>
      </w:r>
      <w:r w:rsidRPr="00213A5D">
        <w:rPr>
          <w:noProof/>
          <w:sz w:val="24"/>
          <w:szCs w:val="24"/>
        </w:rPr>
        <w:t>На показатели реального сектора экономики в январе – сентябре 2022 года оказывало влияние</w:t>
      </w:r>
      <w:r w:rsidRPr="00213A5D">
        <w:t xml:space="preserve"> </w:t>
      </w:r>
      <w:r w:rsidRPr="00213A5D">
        <w:rPr>
          <w:noProof/>
          <w:sz w:val="24"/>
          <w:szCs w:val="24"/>
        </w:rPr>
        <w:t xml:space="preserve">резкое </w:t>
      </w:r>
      <w:r w:rsidR="00872740" w:rsidRPr="00213A5D">
        <w:rPr>
          <w:noProof/>
          <w:sz w:val="24"/>
          <w:szCs w:val="24"/>
        </w:rPr>
        <w:t>сокращение</w:t>
      </w:r>
      <w:r w:rsidRPr="00213A5D">
        <w:rPr>
          <w:noProof/>
          <w:sz w:val="24"/>
          <w:szCs w:val="24"/>
        </w:rPr>
        <w:t xml:space="preserve"> импорта, трансформация спроса и предложения на внешнем и внутреннем рынках, нарушение логистических цепочек. Однако предпринятые антикризисные меры, особенно в части денежно-кредитной политики, оказались достаточно эффективны, чтобы поддержать российскую экономику. </w:t>
      </w:r>
    </w:p>
    <w:p w14:paraId="5C0D44BC" w14:textId="77777777" w:rsidR="00C91ADC" w:rsidRPr="00213A5D" w:rsidRDefault="00C91ADC" w:rsidP="00AF1852">
      <w:pPr>
        <w:widowControl w:val="0"/>
        <w:spacing w:line="372" w:lineRule="auto"/>
        <w:ind w:left="0" w:right="0"/>
        <w:rPr>
          <w:noProof/>
          <w:sz w:val="24"/>
          <w:szCs w:val="24"/>
        </w:rPr>
      </w:pPr>
      <w:r w:rsidRPr="00213A5D">
        <w:rPr>
          <w:noProof/>
          <w:sz w:val="24"/>
          <w:szCs w:val="24"/>
        </w:rPr>
        <w:t xml:space="preserve">В результате российский </w:t>
      </w:r>
      <w:r w:rsidRPr="00213A5D">
        <w:rPr>
          <w:b/>
          <w:noProof/>
          <w:sz w:val="24"/>
          <w:szCs w:val="24"/>
        </w:rPr>
        <w:t>ВВП</w:t>
      </w:r>
      <w:r w:rsidRPr="00213A5D">
        <w:rPr>
          <w:noProof/>
          <w:sz w:val="24"/>
          <w:szCs w:val="24"/>
        </w:rPr>
        <w:t xml:space="preserve"> в целом за январь – сентябрь 2022 года сократился </w:t>
      </w:r>
      <w:r w:rsidR="00872740" w:rsidRPr="00213A5D">
        <w:rPr>
          <w:noProof/>
          <w:sz w:val="24"/>
          <w:szCs w:val="24"/>
        </w:rPr>
        <w:br/>
      </w:r>
      <w:r w:rsidRPr="00213A5D">
        <w:rPr>
          <w:noProof/>
          <w:sz w:val="24"/>
          <w:szCs w:val="24"/>
        </w:rPr>
        <w:t>на 1,</w:t>
      </w:r>
      <w:r w:rsidR="00E378FE" w:rsidRPr="00213A5D">
        <w:rPr>
          <w:noProof/>
          <w:sz w:val="24"/>
          <w:szCs w:val="24"/>
        </w:rPr>
        <w:t>5</w:t>
      </w:r>
      <w:r w:rsidRPr="00213A5D">
        <w:rPr>
          <w:noProof/>
          <w:sz w:val="24"/>
          <w:szCs w:val="24"/>
        </w:rPr>
        <w:t> %</w:t>
      </w:r>
      <w:r w:rsidRPr="00213A5D">
        <w:rPr>
          <w:rStyle w:val="aff2"/>
          <w:noProof/>
          <w:sz w:val="24"/>
          <w:szCs w:val="24"/>
        </w:rPr>
        <w:footnoteReference w:id="4"/>
      </w:r>
      <w:r w:rsidRPr="00213A5D">
        <w:rPr>
          <w:noProof/>
          <w:sz w:val="24"/>
          <w:szCs w:val="24"/>
        </w:rPr>
        <w:t xml:space="preserve">, в том числе в </w:t>
      </w:r>
      <w:r w:rsidRPr="00213A5D">
        <w:rPr>
          <w:noProof/>
          <w:sz w:val="24"/>
          <w:szCs w:val="24"/>
          <w:lang w:val="en-US"/>
        </w:rPr>
        <w:t>III</w:t>
      </w:r>
      <w:r w:rsidRPr="00213A5D">
        <w:rPr>
          <w:noProof/>
          <w:sz w:val="24"/>
          <w:szCs w:val="24"/>
        </w:rPr>
        <w:t xml:space="preserve"> квартале </w:t>
      </w:r>
      <w:r w:rsidR="00872740" w:rsidRPr="00213A5D">
        <w:rPr>
          <w:sz w:val="24"/>
          <w:szCs w:val="24"/>
        </w:rPr>
        <w:t xml:space="preserve">– </w:t>
      </w:r>
      <w:r w:rsidRPr="00213A5D">
        <w:rPr>
          <w:noProof/>
          <w:sz w:val="24"/>
          <w:szCs w:val="24"/>
        </w:rPr>
        <w:t>на 4 %.</w:t>
      </w:r>
    </w:p>
    <w:p w14:paraId="0412C022" w14:textId="77777777" w:rsidR="00C91ADC" w:rsidRPr="00213A5D" w:rsidRDefault="00C91ADC" w:rsidP="00AF1852">
      <w:pPr>
        <w:widowControl w:val="0"/>
        <w:spacing w:line="372" w:lineRule="auto"/>
        <w:ind w:left="0" w:right="0"/>
        <w:rPr>
          <w:noProof/>
          <w:sz w:val="24"/>
          <w:szCs w:val="24"/>
        </w:rPr>
      </w:pPr>
      <w:r w:rsidRPr="00213A5D">
        <w:rPr>
          <w:noProof/>
          <w:sz w:val="24"/>
          <w:szCs w:val="24"/>
        </w:rPr>
        <w:t xml:space="preserve">Несмотря на высокую степень зависимости от импорта в ряде видов экономической деятельности, динамика </w:t>
      </w:r>
      <w:r w:rsidRPr="00213A5D">
        <w:rPr>
          <w:b/>
          <w:noProof/>
          <w:sz w:val="24"/>
          <w:szCs w:val="24"/>
        </w:rPr>
        <w:t>промышленного производства</w:t>
      </w:r>
      <w:r w:rsidRPr="00213A5D">
        <w:rPr>
          <w:noProof/>
          <w:sz w:val="24"/>
          <w:szCs w:val="24"/>
        </w:rPr>
        <w:t xml:space="preserve"> сокращается относительно небольшими темпами, преимущественно за счет спада в обрабатывающей промышленности. С учетом высоких темпов роста в </w:t>
      </w:r>
      <w:r w:rsidRPr="00213A5D">
        <w:rPr>
          <w:noProof/>
          <w:sz w:val="24"/>
          <w:szCs w:val="24"/>
          <w:lang w:val="en-US"/>
        </w:rPr>
        <w:t>I</w:t>
      </w:r>
      <w:r w:rsidRPr="00213A5D">
        <w:rPr>
          <w:noProof/>
          <w:sz w:val="24"/>
          <w:szCs w:val="24"/>
        </w:rPr>
        <w:t xml:space="preserve"> квартале текущего года и благодаря умеренным темпам снижения в апреле – сентябре в целом за 9 месяцев в промышленном производстве был зафиксирован рост на 0,4 %. При этом с исключением сезонного и календарного факторов можно говорить о признаках стабилизации ситуации в промышленности – динамика месяц к предыдущему месяцу с мая 2022 года колеблется от (-)</w:t>
      </w:r>
      <w:r w:rsidR="00872740" w:rsidRPr="00213A5D">
        <w:rPr>
          <w:noProof/>
          <w:sz w:val="24"/>
          <w:szCs w:val="24"/>
        </w:rPr>
        <w:t xml:space="preserve"> </w:t>
      </w:r>
      <w:r w:rsidRPr="00213A5D">
        <w:rPr>
          <w:noProof/>
          <w:sz w:val="24"/>
          <w:szCs w:val="24"/>
        </w:rPr>
        <w:t xml:space="preserve">0,4 % до 1,2 %. </w:t>
      </w:r>
    </w:p>
    <w:p w14:paraId="5E61980A" w14:textId="77777777" w:rsidR="009156B5" w:rsidRPr="00213A5D" w:rsidRDefault="00CD0E98" w:rsidP="00AF1852">
      <w:pPr>
        <w:widowControl w:val="0"/>
        <w:ind w:left="0" w:right="-2" w:firstLine="0"/>
        <w:jc w:val="center"/>
        <w:rPr>
          <w:noProof/>
          <w:sz w:val="24"/>
          <w:szCs w:val="24"/>
        </w:rPr>
      </w:pPr>
      <w:r w:rsidRPr="00CD0E98">
        <w:rPr>
          <w:noProof/>
          <w:sz w:val="24"/>
          <w:szCs w:val="24"/>
        </w:rPr>
        <w:lastRenderedPageBreak/>
        <w:pict w14:anchorId="6441C314">
          <v:shape id="_x0000_i1080" type="#_x0000_t75" alt="" style="width:453.05pt;height:220.1pt;mso-width-percent:0;mso-height-percent:0;mso-position-horizontal-relative:char;mso-position-vertical-relative:line;mso-width-percent:0;mso-height-percent:0">
            <v:imagedata r:id="rId10" o:title=""/>
          </v:shape>
        </w:pict>
      </w:r>
    </w:p>
    <w:p w14:paraId="6112A09B" w14:textId="77777777" w:rsidR="00C91ADC" w:rsidRPr="00213A5D" w:rsidRDefault="00C91ADC" w:rsidP="00AF1852">
      <w:pPr>
        <w:widowControl w:val="0"/>
        <w:spacing w:line="336" w:lineRule="auto"/>
        <w:ind w:left="0" w:right="0" w:firstLine="708"/>
        <w:rPr>
          <w:noProof/>
          <w:sz w:val="24"/>
          <w:szCs w:val="24"/>
        </w:rPr>
      </w:pPr>
      <w:r w:rsidRPr="00213A5D">
        <w:rPr>
          <w:noProof/>
          <w:sz w:val="24"/>
          <w:szCs w:val="24"/>
        </w:rPr>
        <w:t xml:space="preserve">Вследствие сокращения объемов экспорта и производства с апреля 2022 года отмечается снижение </w:t>
      </w:r>
      <w:r w:rsidRPr="00213A5D">
        <w:rPr>
          <w:b/>
          <w:noProof/>
          <w:sz w:val="24"/>
          <w:szCs w:val="24"/>
        </w:rPr>
        <w:t>грузооборота транспорта</w:t>
      </w:r>
      <w:r w:rsidRPr="00213A5D">
        <w:rPr>
          <w:noProof/>
          <w:sz w:val="24"/>
          <w:szCs w:val="24"/>
        </w:rPr>
        <w:t xml:space="preserve">, составившее в целом за январь – сентябрь 2022 года 1,5 %. Заметно снизились объемы транпортировки газа по трубопроводам </w:t>
      </w:r>
      <w:r w:rsidR="00AF1852" w:rsidRPr="00213A5D">
        <w:rPr>
          <w:noProof/>
          <w:sz w:val="24"/>
          <w:szCs w:val="24"/>
        </w:rPr>
        <w:br/>
      </w:r>
      <w:r w:rsidRPr="00213A5D">
        <w:rPr>
          <w:noProof/>
          <w:sz w:val="24"/>
          <w:szCs w:val="24"/>
        </w:rPr>
        <w:t>(на 15,7 % за 9 месяцев), а также перевозки грузо</w:t>
      </w:r>
      <w:r w:rsidR="00872740" w:rsidRPr="00213A5D">
        <w:rPr>
          <w:noProof/>
          <w:sz w:val="24"/>
          <w:szCs w:val="24"/>
        </w:rPr>
        <w:t>в</w:t>
      </w:r>
      <w:r w:rsidRPr="00213A5D">
        <w:rPr>
          <w:noProof/>
          <w:sz w:val="24"/>
          <w:szCs w:val="24"/>
        </w:rPr>
        <w:t xml:space="preserve"> железнодорожным транспортом </w:t>
      </w:r>
      <w:r w:rsidR="00AF1852" w:rsidRPr="00213A5D">
        <w:rPr>
          <w:noProof/>
          <w:sz w:val="24"/>
          <w:szCs w:val="24"/>
        </w:rPr>
        <w:br/>
      </w:r>
      <w:r w:rsidRPr="00213A5D">
        <w:rPr>
          <w:noProof/>
          <w:sz w:val="24"/>
          <w:szCs w:val="24"/>
        </w:rPr>
        <w:t>(на 3,6 %). Из-за ограничений на полеты для российских судов более чем в 2 раза упали перевозки воздушным транспортом.</w:t>
      </w:r>
    </w:p>
    <w:p w14:paraId="22A84682" w14:textId="77777777" w:rsidR="00C91ADC" w:rsidRPr="00213A5D" w:rsidRDefault="00C91ADC" w:rsidP="00AF1852">
      <w:pPr>
        <w:widowControl w:val="0"/>
        <w:spacing w:line="336" w:lineRule="auto"/>
        <w:ind w:left="0" w:right="0" w:firstLine="708"/>
        <w:rPr>
          <w:noProof/>
          <w:sz w:val="24"/>
          <w:szCs w:val="24"/>
        </w:rPr>
      </w:pPr>
      <w:r w:rsidRPr="00213A5D">
        <w:rPr>
          <w:noProof/>
          <w:sz w:val="24"/>
          <w:szCs w:val="24"/>
        </w:rPr>
        <w:t xml:space="preserve">Поддержку экономике продолжает оказывать </w:t>
      </w:r>
      <w:r w:rsidRPr="00213A5D">
        <w:rPr>
          <w:b/>
          <w:noProof/>
          <w:sz w:val="24"/>
          <w:szCs w:val="24"/>
        </w:rPr>
        <w:t>стоительство</w:t>
      </w:r>
      <w:r w:rsidRPr="00213A5D">
        <w:rPr>
          <w:noProof/>
          <w:sz w:val="24"/>
          <w:szCs w:val="24"/>
        </w:rPr>
        <w:t>, для которого характерен продолжительный производственный цикл. За 9 месяцев 2022 года объем работ по виду деятельности «Строительство» вырос на 5,2 %, в том числе ввод в действие жилых домов – на 26,5 %.</w:t>
      </w:r>
    </w:p>
    <w:p w14:paraId="2CA5A7CB" w14:textId="77777777" w:rsidR="00C91ADC" w:rsidRPr="00213A5D" w:rsidRDefault="00C91ADC" w:rsidP="00AF1852">
      <w:pPr>
        <w:widowControl w:val="0"/>
        <w:spacing w:line="336" w:lineRule="auto"/>
        <w:ind w:left="0" w:right="0"/>
        <w:rPr>
          <w:rFonts w:eastAsia="Times New Roman"/>
          <w:bCs/>
          <w:sz w:val="24"/>
          <w:szCs w:val="24"/>
        </w:rPr>
      </w:pPr>
      <w:r w:rsidRPr="00213A5D">
        <w:rPr>
          <w:rFonts w:eastAsia="Times New Roman"/>
          <w:bCs/>
          <w:sz w:val="24"/>
          <w:szCs w:val="24"/>
        </w:rPr>
        <w:t xml:space="preserve">Российское </w:t>
      </w:r>
      <w:r w:rsidRPr="00213A5D">
        <w:rPr>
          <w:rFonts w:eastAsia="Times New Roman"/>
          <w:b/>
          <w:bCs/>
          <w:sz w:val="24"/>
          <w:szCs w:val="24"/>
        </w:rPr>
        <w:t>сельское хозяйство</w:t>
      </w:r>
      <w:r w:rsidR="00872740" w:rsidRPr="00213A5D">
        <w:rPr>
          <w:rFonts w:eastAsia="Times New Roman"/>
          <w:bCs/>
          <w:sz w:val="24"/>
          <w:szCs w:val="24"/>
        </w:rPr>
        <w:t>,</w:t>
      </w:r>
      <w:r w:rsidRPr="00213A5D">
        <w:rPr>
          <w:rFonts w:eastAsia="Times New Roman"/>
          <w:bCs/>
          <w:sz w:val="24"/>
          <w:szCs w:val="24"/>
        </w:rPr>
        <w:t xml:space="preserve"> традиционно в меньшей степени зависящее </w:t>
      </w:r>
      <w:r w:rsidR="00AF1852" w:rsidRPr="00213A5D">
        <w:rPr>
          <w:rFonts w:eastAsia="Times New Roman"/>
          <w:bCs/>
          <w:sz w:val="24"/>
          <w:szCs w:val="24"/>
        </w:rPr>
        <w:br/>
      </w:r>
      <w:r w:rsidRPr="00213A5D">
        <w:rPr>
          <w:rFonts w:eastAsia="Times New Roman"/>
          <w:bCs/>
          <w:sz w:val="24"/>
          <w:szCs w:val="24"/>
        </w:rPr>
        <w:t xml:space="preserve">от внешнеэкономической конъюнктуры, в январе – сентябре 2022 года показало рост </w:t>
      </w:r>
      <w:r w:rsidR="00AF1852" w:rsidRPr="00213A5D">
        <w:rPr>
          <w:rFonts w:eastAsia="Times New Roman"/>
          <w:bCs/>
          <w:sz w:val="24"/>
          <w:szCs w:val="24"/>
        </w:rPr>
        <w:br/>
      </w:r>
      <w:r w:rsidRPr="00213A5D">
        <w:rPr>
          <w:rFonts w:eastAsia="Times New Roman"/>
          <w:bCs/>
          <w:sz w:val="24"/>
          <w:szCs w:val="24"/>
        </w:rPr>
        <w:t>на 5,2 %. При этом валовый сбор зерна заметно опережает показатели предыдущего года, составив, по предварительным данным, более 150 млн. тонн, что является абсолютным рекордом в истории России.</w:t>
      </w:r>
    </w:p>
    <w:p w14:paraId="6A22E3EC" w14:textId="77777777" w:rsidR="00C91ADC" w:rsidRPr="00213A5D" w:rsidRDefault="00CD0E98" w:rsidP="00AF1852">
      <w:pPr>
        <w:widowControl w:val="0"/>
        <w:ind w:left="0" w:right="-2" w:firstLine="0"/>
        <w:jc w:val="center"/>
        <w:rPr>
          <w:rFonts w:eastAsia="Times New Roman"/>
          <w:bCs/>
          <w:sz w:val="24"/>
          <w:szCs w:val="24"/>
        </w:rPr>
      </w:pPr>
      <w:r w:rsidRPr="00CD0E98">
        <w:rPr>
          <w:rFonts w:eastAsia="Times New Roman"/>
          <w:bCs/>
          <w:noProof/>
          <w:sz w:val="24"/>
          <w:szCs w:val="24"/>
        </w:rPr>
        <w:pict w14:anchorId="0CB2E133">
          <v:shape id="_x0000_i1079" type="#_x0000_t75" alt="" style="width:482.95pt;height:156.9pt;mso-width-percent:0;mso-height-percent:0;mso-position-horizontal-relative:char;mso-position-vertical-relative:line;mso-width-percent:0;mso-height-percent:0">
            <v:imagedata r:id="rId11" o:title=""/>
          </v:shape>
        </w:pict>
      </w:r>
    </w:p>
    <w:p w14:paraId="578EB205" w14:textId="77777777" w:rsidR="00C91ADC" w:rsidRPr="00213A5D" w:rsidRDefault="00C91ADC" w:rsidP="00AF1852">
      <w:pPr>
        <w:widowControl w:val="0"/>
        <w:spacing w:line="336" w:lineRule="auto"/>
        <w:ind w:left="0" w:right="0"/>
        <w:rPr>
          <w:noProof/>
          <w:sz w:val="24"/>
          <w:szCs w:val="24"/>
        </w:rPr>
      </w:pPr>
      <w:r w:rsidRPr="00213A5D">
        <w:rPr>
          <w:b/>
          <w:noProof/>
          <w:sz w:val="24"/>
          <w:szCs w:val="24"/>
        </w:rPr>
        <w:t>1.4. </w:t>
      </w:r>
      <w:r w:rsidRPr="00213A5D">
        <w:rPr>
          <w:noProof/>
          <w:sz w:val="24"/>
          <w:szCs w:val="24"/>
        </w:rPr>
        <w:t xml:space="preserve">Российский рынок труда традиционно адаптируется к ухудшению внешних и внутренних условий не через рост уровня безработицы, а путем сокращения заработной </w:t>
      </w:r>
      <w:r w:rsidRPr="00213A5D">
        <w:rPr>
          <w:noProof/>
          <w:sz w:val="24"/>
          <w:szCs w:val="24"/>
        </w:rPr>
        <w:lastRenderedPageBreak/>
        <w:t xml:space="preserve">платы, введения режима частичной занятости. В 2022 году уровень </w:t>
      </w:r>
      <w:r w:rsidRPr="00213A5D">
        <w:rPr>
          <w:b/>
          <w:noProof/>
          <w:sz w:val="24"/>
          <w:szCs w:val="24"/>
        </w:rPr>
        <w:t>безработицы</w:t>
      </w:r>
      <w:r w:rsidRPr="00213A5D">
        <w:rPr>
          <w:noProof/>
          <w:sz w:val="24"/>
          <w:szCs w:val="24"/>
        </w:rPr>
        <w:t xml:space="preserve"> сохраняется на исторических минимумах (3,8</w:t>
      </w:r>
      <w:r w:rsidR="00872740" w:rsidRPr="00213A5D">
        <w:rPr>
          <w:sz w:val="24"/>
          <w:szCs w:val="24"/>
        </w:rPr>
        <w:t>–</w:t>
      </w:r>
      <w:r w:rsidRPr="00213A5D">
        <w:rPr>
          <w:noProof/>
          <w:sz w:val="24"/>
          <w:szCs w:val="24"/>
        </w:rPr>
        <w:t>3,9 % в мае – сентябре), и в среднем за январь – сентябрь 2022 года составил 4 %.</w:t>
      </w:r>
    </w:p>
    <w:p w14:paraId="18504921" w14:textId="77777777" w:rsidR="00C91ADC" w:rsidRPr="00213A5D" w:rsidRDefault="00C91ADC" w:rsidP="00AF1852">
      <w:pPr>
        <w:widowControl w:val="0"/>
        <w:spacing w:line="336" w:lineRule="auto"/>
        <w:ind w:left="0" w:right="0"/>
        <w:rPr>
          <w:noProof/>
          <w:sz w:val="24"/>
          <w:szCs w:val="24"/>
        </w:rPr>
      </w:pPr>
      <w:r w:rsidRPr="00213A5D">
        <w:rPr>
          <w:noProof/>
          <w:sz w:val="24"/>
          <w:szCs w:val="24"/>
        </w:rPr>
        <w:t xml:space="preserve">При этом на фоне роста цен сокращение </w:t>
      </w:r>
      <w:r w:rsidRPr="00213A5D">
        <w:rPr>
          <w:b/>
          <w:noProof/>
          <w:sz w:val="24"/>
          <w:szCs w:val="24"/>
        </w:rPr>
        <w:t>реальной начисленной заработной платы</w:t>
      </w:r>
      <w:r w:rsidRPr="00213A5D">
        <w:rPr>
          <w:noProof/>
          <w:sz w:val="24"/>
          <w:szCs w:val="24"/>
        </w:rPr>
        <w:t xml:space="preserve"> за 8 месяцев составило 1,5 %, </w:t>
      </w:r>
      <w:r w:rsidRPr="00213A5D">
        <w:rPr>
          <w:b/>
          <w:noProof/>
          <w:sz w:val="24"/>
          <w:szCs w:val="24"/>
        </w:rPr>
        <w:t>реальных назначенных пенсий</w:t>
      </w:r>
      <w:r w:rsidRPr="00213A5D">
        <w:rPr>
          <w:noProof/>
          <w:sz w:val="24"/>
          <w:szCs w:val="24"/>
        </w:rPr>
        <w:t xml:space="preserve"> за 9 месяцев – на 2,6 % </w:t>
      </w:r>
      <w:r w:rsidR="00AF1852" w:rsidRPr="00213A5D">
        <w:rPr>
          <w:noProof/>
          <w:sz w:val="24"/>
          <w:szCs w:val="24"/>
        </w:rPr>
        <w:br/>
      </w:r>
      <w:r w:rsidRPr="00213A5D">
        <w:rPr>
          <w:noProof/>
          <w:sz w:val="24"/>
          <w:szCs w:val="24"/>
        </w:rPr>
        <w:t xml:space="preserve">(без учета единовременной выплаты в сентябре 2021 года), а </w:t>
      </w:r>
      <w:r w:rsidRPr="00213A5D">
        <w:rPr>
          <w:b/>
          <w:noProof/>
          <w:sz w:val="24"/>
          <w:szCs w:val="24"/>
        </w:rPr>
        <w:t>реальные располагаемые денежные доходы населения</w:t>
      </w:r>
      <w:r w:rsidRPr="00213A5D">
        <w:rPr>
          <w:noProof/>
          <w:sz w:val="24"/>
          <w:szCs w:val="24"/>
        </w:rPr>
        <w:t xml:space="preserve"> за 9 месяцев снизились на 1,7 %.</w:t>
      </w:r>
    </w:p>
    <w:p w14:paraId="5B122C43" w14:textId="77777777" w:rsidR="00C91ADC" w:rsidRPr="00213A5D" w:rsidRDefault="00CD0E98" w:rsidP="00AF1852">
      <w:pPr>
        <w:widowControl w:val="0"/>
        <w:ind w:left="0" w:right="-2" w:firstLine="0"/>
        <w:jc w:val="center"/>
        <w:rPr>
          <w:noProof/>
          <w:sz w:val="24"/>
          <w:szCs w:val="24"/>
        </w:rPr>
      </w:pPr>
      <w:r w:rsidRPr="00CD0E98">
        <w:rPr>
          <w:noProof/>
          <w:sz w:val="24"/>
          <w:szCs w:val="24"/>
        </w:rPr>
        <w:pict w14:anchorId="5CD18764">
          <v:shape id="_x0000_i1078" type="#_x0000_t75" alt="" style="width:364.1pt;height:186.1pt;mso-width-percent:0;mso-height-percent:0;mso-position-horizontal-relative:char;mso-position-vertical-relative:line;mso-width-percent:0;mso-height-percent:0">
            <v:imagedata r:id="rId12" o:title=""/>
          </v:shape>
        </w:pict>
      </w:r>
    </w:p>
    <w:p w14:paraId="6338E5CC" w14:textId="77777777" w:rsidR="00C91ADC" w:rsidRPr="00213A5D" w:rsidRDefault="00C91ADC" w:rsidP="00AF1852">
      <w:pPr>
        <w:widowControl w:val="0"/>
        <w:spacing w:line="336" w:lineRule="auto"/>
        <w:ind w:left="0" w:right="0"/>
        <w:rPr>
          <w:noProof/>
          <w:sz w:val="24"/>
          <w:szCs w:val="24"/>
        </w:rPr>
      </w:pPr>
      <w:r w:rsidRPr="00213A5D">
        <w:rPr>
          <w:noProof/>
          <w:sz w:val="24"/>
          <w:szCs w:val="24"/>
        </w:rPr>
        <w:t xml:space="preserve">Снижение уровня доходов населения оказывает влияние на показатели потребительского спроса. </w:t>
      </w:r>
      <w:r w:rsidRPr="00213A5D">
        <w:rPr>
          <w:b/>
          <w:noProof/>
          <w:sz w:val="24"/>
          <w:szCs w:val="24"/>
        </w:rPr>
        <w:t xml:space="preserve">Оборот розничной торговли </w:t>
      </w:r>
      <w:r w:rsidRPr="00213A5D">
        <w:rPr>
          <w:noProof/>
          <w:sz w:val="24"/>
          <w:szCs w:val="24"/>
        </w:rPr>
        <w:t>с апреля сокращается на 7,7</w:t>
      </w:r>
      <w:r w:rsidR="00AF1852" w:rsidRPr="00213A5D">
        <w:rPr>
          <w:sz w:val="24"/>
          <w:szCs w:val="24"/>
        </w:rPr>
        <w:t>–</w:t>
      </w:r>
      <w:r w:rsidRPr="00213A5D">
        <w:rPr>
          <w:noProof/>
          <w:sz w:val="24"/>
          <w:szCs w:val="24"/>
        </w:rPr>
        <w:t xml:space="preserve">10,1 % в месяц (в годовом выражении), что по итогам 9 месяцев привело к снижению на 5,5 %. В основном потребители предпочитают экономить на приобретении непродовольственных товаров – их продажи снизились на 9,7 % по итогам января – сентября, тогда как продажи пищевых продуктов – только на 0,5 %. Одновременно стабильный рост отмечается в </w:t>
      </w:r>
      <w:r w:rsidRPr="00213A5D">
        <w:rPr>
          <w:b/>
          <w:noProof/>
          <w:sz w:val="24"/>
          <w:szCs w:val="24"/>
        </w:rPr>
        <w:t>сфере платных услуг населению</w:t>
      </w:r>
      <w:r w:rsidRPr="00213A5D">
        <w:rPr>
          <w:noProof/>
          <w:sz w:val="24"/>
          <w:szCs w:val="24"/>
        </w:rPr>
        <w:t xml:space="preserve"> – на 3,7 % по итогам 9 месяцев 2022 года. Переориентация потребительского спроса на внутренний рынок способствовала резкому росту объема туристских услуг (на 30,2 %) и услуг культуры (на 17,7 %).</w:t>
      </w:r>
    </w:p>
    <w:p w14:paraId="18D4ACB0" w14:textId="77777777" w:rsidR="00C91ADC" w:rsidRPr="00213A5D" w:rsidRDefault="00CD0E98" w:rsidP="00AF1852">
      <w:pPr>
        <w:widowControl w:val="0"/>
        <w:ind w:left="0" w:right="-2" w:firstLine="0"/>
        <w:jc w:val="center"/>
        <w:rPr>
          <w:noProof/>
          <w:sz w:val="24"/>
          <w:szCs w:val="24"/>
        </w:rPr>
      </w:pPr>
      <w:r w:rsidRPr="00CD0E98">
        <w:rPr>
          <w:noProof/>
          <w:sz w:val="24"/>
          <w:szCs w:val="24"/>
        </w:rPr>
        <w:pict w14:anchorId="5FA0A61C">
          <v:shape id="_x0000_i1077" type="#_x0000_t75" alt="" style="width:408.25pt;height:190.85pt;mso-width-percent:0;mso-height-percent:0;mso-position-horizontal-relative:char;mso-position-vertical-relative:line;mso-width-percent:0;mso-height-percent:0">
            <v:imagedata r:id="rId13" o:title=""/>
          </v:shape>
        </w:pict>
      </w:r>
    </w:p>
    <w:p w14:paraId="31F18CCB" w14:textId="77777777" w:rsidR="00C91ADC" w:rsidRPr="00213A5D" w:rsidRDefault="00C91ADC" w:rsidP="00747D59">
      <w:pPr>
        <w:widowControl w:val="0"/>
        <w:spacing w:line="348" w:lineRule="auto"/>
        <w:ind w:left="0" w:right="0"/>
        <w:rPr>
          <w:noProof/>
          <w:sz w:val="24"/>
          <w:szCs w:val="24"/>
        </w:rPr>
      </w:pPr>
      <w:r w:rsidRPr="00213A5D">
        <w:rPr>
          <w:b/>
          <w:noProof/>
          <w:sz w:val="24"/>
          <w:szCs w:val="24"/>
        </w:rPr>
        <w:t>1.5.</w:t>
      </w:r>
      <w:r w:rsidRPr="00213A5D">
        <w:rPr>
          <w:noProof/>
          <w:sz w:val="24"/>
          <w:szCs w:val="24"/>
        </w:rPr>
        <w:t xml:space="preserve"> </w:t>
      </w:r>
      <w:r w:rsidRPr="00213A5D">
        <w:rPr>
          <w:sz w:val="24"/>
          <w:szCs w:val="24"/>
        </w:rPr>
        <w:t xml:space="preserve">По оценке Банка России, </w:t>
      </w:r>
      <w:r w:rsidRPr="00213A5D">
        <w:rPr>
          <w:b/>
          <w:sz w:val="24"/>
          <w:szCs w:val="24"/>
        </w:rPr>
        <w:t>профицит платежного баланса</w:t>
      </w:r>
      <w:r w:rsidRPr="00213A5D">
        <w:rPr>
          <w:sz w:val="24"/>
          <w:szCs w:val="24"/>
        </w:rPr>
        <w:t xml:space="preserve"> в январе – сентябре </w:t>
      </w:r>
      <w:r w:rsidRPr="00213A5D">
        <w:rPr>
          <w:sz w:val="24"/>
          <w:szCs w:val="24"/>
        </w:rPr>
        <w:lastRenderedPageBreak/>
        <w:t>2022 года укрепился до 198,4 млрд. долларов США, увеличившись в 2,6 раза по сравнению с аналогичным периодом 2021 года. Столь существенный рост произошел за счет опережающего роста экспорта товаров и услуг (в 1,3 раза), обусловленного благоприятной ценовой конъюнктурой, при снижении импорта (на 9,6 %) на фоне санкционных ограничений.</w:t>
      </w:r>
    </w:p>
    <w:p w14:paraId="1AB30BB5" w14:textId="77777777" w:rsidR="00F50C85" w:rsidRPr="00213A5D" w:rsidRDefault="00F50C85" w:rsidP="00AF1852">
      <w:pPr>
        <w:widowControl w:val="0"/>
        <w:spacing w:line="240" w:lineRule="auto"/>
        <w:ind w:left="0" w:right="0"/>
        <w:rPr>
          <w:sz w:val="16"/>
          <w:szCs w:val="16"/>
        </w:rPr>
      </w:pPr>
    </w:p>
    <w:p w14:paraId="61D4EEED" w14:textId="77777777" w:rsidR="00335603" w:rsidRPr="00213A5D" w:rsidRDefault="00AB2027" w:rsidP="00AF1852">
      <w:pPr>
        <w:widowControl w:val="0"/>
        <w:spacing w:line="240" w:lineRule="auto"/>
        <w:ind w:left="0" w:right="0"/>
        <w:jc w:val="center"/>
        <w:rPr>
          <w:b/>
          <w:bCs/>
          <w:sz w:val="24"/>
          <w:szCs w:val="24"/>
          <w:u w:val="single"/>
          <w:lang w:eastAsia="en-US"/>
        </w:rPr>
      </w:pPr>
      <w:r w:rsidRPr="00213A5D">
        <w:rPr>
          <w:b/>
          <w:bCs/>
          <w:sz w:val="24"/>
          <w:szCs w:val="24"/>
          <w:u w:val="single"/>
          <w:lang w:eastAsia="en-US"/>
        </w:rPr>
        <w:t xml:space="preserve">2. </w:t>
      </w:r>
      <w:r w:rsidR="00335603" w:rsidRPr="00213A5D">
        <w:rPr>
          <w:b/>
          <w:bCs/>
          <w:sz w:val="24"/>
          <w:szCs w:val="24"/>
          <w:u w:val="single"/>
          <w:lang w:eastAsia="en-US"/>
        </w:rPr>
        <w:t>Анализ исполнения основных характеристик федерального бюджета</w:t>
      </w:r>
    </w:p>
    <w:p w14:paraId="40DEE193" w14:textId="77777777" w:rsidR="005B0BE9" w:rsidRPr="00213A5D" w:rsidRDefault="005B0BE9" w:rsidP="00AF1852">
      <w:pPr>
        <w:widowControl w:val="0"/>
        <w:spacing w:line="240" w:lineRule="auto"/>
        <w:ind w:left="0" w:right="0"/>
        <w:jc w:val="center"/>
        <w:rPr>
          <w:sz w:val="16"/>
          <w:szCs w:val="16"/>
        </w:rPr>
      </w:pPr>
    </w:p>
    <w:p w14:paraId="41809852" w14:textId="77777777" w:rsidR="006571C9" w:rsidRPr="00213A5D" w:rsidRDefault="006571C9" w:rsidP="00747D59">
      <w:pPr>
        <w:widowControl w:val="0"/>
        <w:spacing w:line="348" w:lineRule="auto"/>
        <w:ind w:left="0" w:right="0"/>
        <w:rPr>
          <w:rFonts w:eastAsia="Times New Roman"/>
          <w:color w:val="000000"/>
          <w:sz w:val="24"/>
          <w:szCs w:val="24"/>
        </w:rPr>
      </w:pPr>
      <w:r w:rsidRPr="00213A5D">
        <w:rPr>
          <w:rFonts w:eastAsia="Times New Roman"/>
          <w:b/>
          <w:bCs/>
          <w:sz w:val="24"/>
          <w:szCs w:val="24"/>
        </w:rPr>
        <w:t>2.1.</w:t>
      </w:r>
      <w:r w:rsidRPr="00213A5D">
        <w:rPr>
          <w:rFonts w:eastAsia="Times New Roman"/>
          <w:b/>
          <w:bCs/>
          <w:color w:val="000000"/>
          <w:sz w:val="24"/>
          <w:szCs w:val="24"/>
        </w:rPr>
        <w:t xml:space="preserve"> Исполнение федерального бюджета</w:t>
      </w:r>
      <w:r w:rsidRPr="00213A5D">
        <w:rPr>
          <w:rFonts w:eastAsia="Times New Roman"/>
          <w:bCs/>
          <w:color w:val="000000"/>
          <w:sz w:val="24"/>
          <w:szCs w:val="24"/>
        </w:rPr>
        <w:t xml:space="preserve"> в 2022 году</w:t>
      </w:r>
      <w:r w:rsidRPr="00213A5D">
        <w:rPr>
          <w:rFonts w:eastAsia="Times New Roman"/>
          <w:color w:val="000000"/>
          <w:sz w:val="24"/>
          <w:szCs w:val="24"/>
        </w:rPr>
        <w:t xml:space="preserve"> осуществлялось с учетом законодательно установленных Бюджетным кодексом Российской Федерации, федеральными законами от 28 ноября 2018 г. № 457-ФЗ «О внесении изменений в Бюджетный кодекс Российской Федерации и отдельные законодательные акты Российской Федерации», от 29 ноября 2021 г. № 384-ФЗ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(далее – Федеральный закон № 384-ФЗ) особенностей, основными из которых являются следующие.</w:t>
      </w:r>
    </w:p>
    <w:p w14:paraId="7D606C69" w14:textId="77777777" w:rsidR="006571C9" w:rsidRPr="00213A5D" w:rsidRDefault="006571C9" w:rsidP="00747D59">
      <w:pPr>
        <w:pStyle w:val="aff6"/>
        <w:widowControl w:val="0"/>
        <w:spacing w:line="348" w:lineRule="auto"/>
        <w:ind w:left="0" w:right="0"/>
        <w:rPr>
          <w:bCs/>
          <w:color w:val="000000"/>
          <w:sz w:val="24"/>
          <w:szCs w:val="24"/>
        </w:rPr>
      </w:pPr>
      <w:r w:rsidRPr="00213A5D">
        <w:rPr>
          <w:bCs/>
          <w:color w:val="000000"/>
          <w:sz w:val="24"/>
          <w:szCs w:val="24"/>
        </w:rPr>
        <w:t xml:space="preserve">В Бюджетном кодексе Российской Федерации на постоянной основе </w:t>
      </w:r>
      <w:r w:rsidR="00872740" w:rsidRPr="00213A5D">
        <w:rPr>
          <w:bCs/>
          <w:color w:val="000000"/>
          <w:sz w:val="24"/>
          <w:szCs w:val="24"/>
        </w:rPr>
        <w:t>закреплены</w:t>
      </w:r>
      <w:r w:rsidRPr="00213A5D">
        <w:rPr>
          <w:bCs/>
          <w:color w:val="000000"/>
          <w:sz w:val="24"/>
          <w:szCs w:val="24"/>
        </w:rPr>
        <w:t xml:space="preserve"> нормы, которые в предыдущие годы регламентировались иными законодательными актами об особенностях исполнения федерального бюджета в текущем финансовом году. Так, в Бюджетном кодексе Российской Федерации установлены нормы:</w:t>
      </w:r>
    </w:p>
    <w:p w14:paraId="772BE430" w14:textId="77777777" w:rsidR="006571C9" w:rsidRPr="00213A5D" w:rsidRDefault="00872740" w:rsidP="00747D59">
      <w:pPr>
        <w:pStyle w:val="aff6"/>
        <w:widowControl w:val="0"/>
        <w:numPr>
          <w:ilvl w:val="0"/>
          <w:numId w:val="1"/>
        </w:numPr>
        <w:overflowPunct/>
        <w:spacing w:line="348" w:lineRule="auto"/>
        <w:ind w:left="0" w:right="0" w:firstLine="709"/>
        <w:rPr>
          <w:bCs/>
          <w:color w:val="000000"/>
          <w:sz w:val="24"/>
          <w:szCs w:val="24"/>
        </w:rPr>
      </w:pPr>
      <w:r w:rsidRPr="00213A5D">
        <w:rPr>
          <w:b/>
          <w:bCs/>
          <w:color w:val="000000"/>
          <w:sz w:val="24"/>
          <w:szCs w:val="24"/>
        </w:rPr>
        <w:t xml:space="preserve">о </w:t>
      </w:r>
      <w:r w:rsidR="006571C9" w:rsidRPr="00213A5D">
        <w:rPr>
          <w:b/>
          <w:bCs/>
          <w:color w:val="000000"/>
          <w:sz w:val="24"/>
          <w:szCs w:val="24"/>
        </w:rPr>
        <w:t>направлении остатков</w:t>
      </w:r>
      <w:r w:rsidR="006571C9" w:rsidRPr="00213A5D">
        <w:rPr>
          <w:rFonts w:eastAsia="Calibri"/>
        </w:rPr>
        <w:t xml:space="preserve"> </w:t>
      </w:r>
      <w:r w:rsidR="006571C9" w:rsidRPr="00213A5D">
        <w:rPr>
          <w:bCs/>
          <w:color w:val="000000"/>
          <w:sz w:val="24"/>
          <w:szCs w:val="24"/>
        </w:rPr>
        <w:t xml:space="preserve">нераспределенных зарезервированных бюджетных ассигнований на реализацию решений по обеспечению </w:t>
      </w:r>
      <w:r w:rsidR="006571C9" w:rsidRPr="00213A5D">
        <w:rPr>
          <w:b/>
          <w:bCs/>
          <w:color w:val="000000"/>
          <w:sz w:val="24"/>
          <w:szCs w:val="24"/>
        </w:rPr>
        <w:t>отдельных мероприятий</w:t>
      </w:r>
      <w:r w:rsidR="006571C9" w:rsidRPr="00213A5D">
        <w:rPr>
          <w:bCs/>
          <w:color w:val="000000"/>
          <w:sz w:val="24"/>
          <w:szCs w:val="24"/>
        </w:rPr>
        <w:t xml:space="preserve"> </w:t>
      </w:r>
      <w:r w:rsidR="006571C9" w:rsidRPr="00213A5D">
        <w:rPr>
          <w:b/>
          <w:bCs/>
          <w:color w:val="000000"/>
          <w:sz w:val="24"/>
          <w:szCs w:val="24"/>
        </w:rPr>
        <w:t>в сфере</w:t>
      </w:r>
      <w:r w:rsidR="006571C9" w:rsidRPr="00213A5D">
        <w:rPr>
          <w:bCs/>
          <w:color w:val="000000"/>
          <w:sz w:val="24"/>
          <w:szCs w:val="24"/>
        </w:rPr>
        <w:t xml:space="preserve">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на увеличение бюджетных ассигнований, зарезервированных </w:t>
      </w:r>
      <w:r w:rsidR="006571C9" w:rsidRPr="00213A5D">
        <w:rPr>
          <w:b/>
          <w:bCs/>
          <w:color w:val="000000"/>
          <w:sz w:val="24"/>
          <w:szCs w:val="24"/>
        </w:rPr>
        <w:t>на соответствующие цели</w:t>
      </w:r>
      <w:r w:rsidR="006571C9" w:rsidRPr="00213A5D">
        <w:rPr>
          <w:bCs/>
          <w:color w:val="000000"/>
          <w:sz w:val="24"/>
          <w:szCs w:val="24"/>
        </w:rPr>
        <w:t xml:space="preserve">; </w:t>
      </w:r>
    </w:p>
    <w:p w14:paraId="69DE02F1" w14:textId="77777777" w:rsidR="006571C9" w:rsidRPr="00213A5D" w:rsidRDefault="00872740" w:rsidP="00747D59">
      <w:pPr>
        <w:pStyle w:val="aff6"/>
        <w:widowControl w:val="0"/>
        <w:numPr>
          <w:ilvl w:val="0"/>
          <w:numId w:val="1"/>
        </w:numPr>
        <w:overflowPunct/>
        <w:spacing w:line="348" w:lineRule="auto"/>
        <w:ind w:left="0" w:right="0" w:firstLine="709"/>
        <w:rPr>
          <w:bCs/>
          <w:color w:val="000000"/>
          <w:sz w:val="24"/>
          <w:szCs w:val="24"/>
        </w:rPr>
      </w:pPr>
      <w:r w:rsidRPr="00213A5D">
        <w:rPr>
          <w:b/>
          <w:bCs/>
          <w:color w:val="000000"/>
          <w:sz w:val="24"/>
          <w:szCs w:val="24"/>
        </w:rPr>
        <w:t xml:space="preserve">о </w:t>
      </w:r>
      <w:r w:rsidR="006571C9" w:rsidRPr="00213A5D">
        <w:rPr>
          <w:b/>
          <w:bCs/>
          <w:color w:val="000000"/>
          <w:sz w:val="24"/>
          <w:szCs w:val="24"/>
        </w:rPr>
        <w:t xml:space="preserve">направлении остатков </w:t>
      </w:r>
      <w:r w:rsidR="006571C9" w:rsidRPr="00213A5D">
        <w:rPr>
          <w:bCs/>
          <w:color w:val="000000"/>
          <w:sz w:val="24"/>
          <w:szCs w:val="24"/>
        </w:rPr>
        <w:t xml:space="preserve">неиспользованных бюджетных ассигнований на оплату заключенных </w:t>
      </w:r>
      <w:r w:rsidR="006571C9" w:rsidRPr="00213A5D">
        <w:rPr>
          <w:b/>
          <w:bCs/>
          <w:color w:val="000000"/>
          <w:sz w:val="24"/>
          <w:szCs w:val="24"/>
        </w:rPr>
        <w:t>госконтрактов на поставку товаров</w:t>
      </w:r>
      <w:r w:rsidR="006571C9" w:rsidRPr="00213A5D">
        <w:rPr>
          <w:bCs/>
          <w:color w:val="000000"/>
          <w:sz w:val="24"/>
          <w:szCs w:val="24"/>
        </w:rPr>
        <w:t xml:space="preserve"> (работ, услуг), в том числе на сумму неисполненного казначейского обеспечения обязательств, на указанные цели (норма действует в части госконтрактов в целях осуществления </w:t>
      </w:r>
      <w:r w:rsidR="006571C9" w:rsidRPr="00213A5D">
        <w:rPr>
          <w:b/>
          <w:bCs/>
          <w:color w:val="000000"/>
          <w:sz w:val="24"/>
          <w:szCs w:val="24"/>
        </w:rPr>
        <w:t>капитальных вложений</w:t>
      </w:r>
      <w:r w:rsidR="006571C9" w:rsidRPr="00213A5D">
        <w:rPr>
          <w:bCs/>
          <w:color w:val="000000"/>
          <w:sz w:val="24"/>
          <w:szCs w:val="24"/>
        </w:rPr>
        <w:t>,</w:t>
      </w:r>
      <w:r w:rsidR="006571C9" w:rsidRPr="00213A5D">
        <w:rPr>
          <w:b/>
          <w:bCs/>
          <w:color w:val="000000"/>
          <w:sz w:val="24"/>
          <w:szCs w:val="24"/>
        </w:rPr>
        <w:t xml:space="preserve"> капремонта</w:t>
      </w:r>
      <w:r w:rsidR="006571C9" w:rsidRPr="00213A5D">
        <w:rPr>
          <w:bCs/>
          <w:color w:val="000000"/>
          <w:sz w:val="24"/>
          <w:szCs w:val="24"/>
        </w:rPr>
        <w:t xml:space="preserve"> и (или) </w:t>
      </w:r>
      <w:r w:rsidR="006571C9" w:rsidRPr="00213A5D">
        <w:rPr>
          <w:b/>
          <w:bCs/>
          <w:color w:val="000000"/>
          <w:sz w:val="24"/>
          <w:szCs w:val="24"/>
        </w:rPr>
        <w:t>реставрации</w:t>
      </w:r>
      <w:r w:rsidR="006571C9" w:rsidRPr="00213A5D">
        <w:rPr>
          <w:bCs/>
          <w:color w:val="000000"/>
          <w:sz w:val="24"/>
          <w:szCs w:val="24"/>
        </w:rPr>
        <w:t xml:space="preserve"> объектов госсобственности Российской Федерации, при исполнении </w:t>
      </w:r>
      <w:r w:rsidR="006571C9" w:rsidRPr="00213A5D">
        <w:rPr>
          <w:b/>
          <w:bCs/>
          <w:color w:val="000000"/>
          <w:sz w:val="24"/>
          <w:szCs w:val="24"/>
        </w:rPr>
        <w:t>международных обязательств</w:t>
      </w:r>
      <w:r w:rsidR="006571C9" w:rsidRPr="00213A5D">
        <w:rPr>
          <w:bCs/>
          <w:color w:val="000000"/>
          <w:sz w:val="24"/>
          <w:szCs w:val="24"/>
        </w:rPr>
        <w:t xml:space="preserve"> Российской Федерации или при реализации </w:t>
      </w:r>
      <w:r w:rsidR="006571C9" w:rsidRPr="00213A5D">
        <w:rPr>
          <w:b/>
          <w:bCs/>
          <w:color w:val="000000"/>
          <w:sz w:val="24"/>
          <w:szCs w:val="24"/>
        </w:rPr>
        <w:t>гособоронзаказа</w:t>
      </w:r>
      <w:r w:rsidR="006571C9" w:rsidRPr="00213A5D">
        <w:rPr>
          <w:bCs/>
          <w:color w:val="000000"/>
          <w:sz w:val="24"/>
          <w:szCs w:val="24"/>
        </w:rPr>
        <w:t xml:space="preserve">, в целях достижения результатов </w:t>
      </w:r>
      <w:r w:rsidR="006571C9" w:rsidRPr="00213A5D">
        <w:rPr>
          <w:b/>
          <w:bCs/>
          <w:color w:val="000000"/>
          <w:sz w:val="24"/>
          <w:szCs w:val="24"/>
        </w:rPr>
        <w:t>федеральных проектов</w:t>
      </w:r>
      <w:r w:rsidR="006571C9" w:rsidRPr="00213A5D">
        <w:rPr>
          <w:bCs/>
          <w:color w:val="000000"/>
          <w:sz w:val="24"/>
          <w:szCs w:val="24"/>
        </w:rPr>
        <w:t>, входящих в состав национальных проектов, а также госконтрактов за счет</w:t>
      </w:r>
      <w:r w:rsidRPr="00213A5D">
        <w:rPr>
          <w:bCs/>
          <w:color w:val="000000"/>
          <w:sz w:val="24"/>
          <w:szCs w:val="24"/>
        </w:rPr>
        <w:t xml:space="preserve"> средств</w:t>
      </w:r>
      <w:r w:rsidR="006571C9" w:rsidRPr="00213A5D">
        <w:rPr>
          <w:bCs/>
          <w:color w:val="000000"/>
          <w:sz w:val="24"/>
          <w:szCs w:val="24"/>
        </w:rPr>
        <w:t xml:space="preserve"> </w:t>
      </w:r>
      <w:r w:rsidR="006571C9" w:rsidRPr="00213A5D">
        <w:rPr>
          <w:b/>
          <w:bCs/>
          <w:color w:val="000000"/>
          <w:sz w:val="24"/>
          <w:szCs w:val="24"/>
        </w:rPr>
        <w:t>резервного фонда Президента</w:t>
      </w:r>
      <w:r w:rsidR="006571C9" w:rsidRPr="00213A5D">
        <w:rPr>
          <w:bCs/>
          <w:color w:val="000000"/>
          <w:sz w:val="24"/>
          <w:szCs w:val="24"/>
        </w:rPr>
        <w:t xml:space="preserve"> Российской Федерации либо после 1 октября</w:t>
      </w:r>
      <w:r w:rsidRPr="00213A5D">
        <w:rPr>
          <w:bCs/>
          <w:color w:val="000000"/>
          <w:sz w:val="24"/>
          <w:szCs w:val="24"/>
        </w:rPr>
        <w:t xml:space="preserve"> средств</w:t>
      </w:r>
      <w:r w:rsidR="006571C9" w:rsidRPr="00213A5D">
        <w:rPr>
          <w:bCs/>
          <w:color w:val="000000"/>
          <w:sz w:val="24"/>
          <w:szCs w:val="24"/>
        </w:rPr>
        <w:t xml:space="preserve"> </w:t>
      </w:r>
      <w:r w:rsidR="006571C9" w:rsidRPr="00213A5D">
        <w:rPr>
          <w:b/>
          <w:bCs/>
          <w:color w:val="000000"/>
          <w:sz w:val="24"/>
          <w:szCs w:val="24"/>
        </w:rPr>
        <w:t>резервного фонда Правительства</w:t>
      </w:r>
      <w:r w:rsidR="006571C9" w:rsidRPr="00213A5D">
        <w:rPr>
          <w:bCs/>
          <w:color w:val="000000"/>
          <w:sz w:val="24"/>
          <w:szCs w:val="24"/>
        </w:rPr>
        <w:t xml:space="preserve"> Российской Федерации);</w:t>
      </w:r>
    </w:p>
    <w:p w14:paraId="0523BAFC" w14:textId="77777777" w:rsidR="006571C9" w:rsidRPr="00213A5D" w:rsidRDefault="00872740" w:rsidP="00747D59">
      <w:pPr>
        <w:pStyle w:val="aff6"/>
        <w:widowControl w:val="0"/>
        <w:numPr>
          <w:ilvl w:val="0"/>
          <w:numId w:val="1"/>
        </w:numPr>
        <w:overflowPunct/>
        <w:spacing w:line="348" w:lineRule="auto"/>
        <w:ind w:left="0" w:right="0" w:firstLine="709"/>
        <w:rPr>
          <w:bCs/>
          <w:color w:val="000000"/>
          <w:sz w:val="24"/>
          <w:szCs w:val="24"/>
        </w:rPr>
      </w:pPr>
      <w:r w:rsidRPr="00213A5D">
        <w:rPr>
          <w:bCs/>
          <w:color w:val="000000"/>
          <w:sz w:val="24"/>
          <w:szCs w:val="24"/>
        </w:rPr>
        <w:t xml:space="preserve">о </w:t>
      </w:r>
      <w:r w:rsidR="006571C9" w:rsidRPr="00213A5D">
        <w:rPr>
          <w:bCs/>
          <w:color w:val="000000"/>
          <w:sz w:val="24"/>
          <w:szCs w:val="24"/>
        </w:rPr>
        <w:t xml:space="preserve">направлении разницы между остатками, образовавшимися в связи с </w:t>
      </w:r>
      <w:r w:rsidR="006571C9" w:rsidRPr="00213A5D">
        <w:rPr>
          <w:bCs/>
          <w:color w:val="000000"/>
          <w:sz w:val="24"/>
          <w:szCs w:val="24"/>
        </w:rPr>
        <w:lastRenderedPageBreak/>
        <w:t>неполным использованием бюджетных ассигнований в ходе исполнения федерального бюджета, и суммой увеличения бюджетных ассигнований за счет связанных остатков средств на увеличение бюджетных ассигнований резервного фонда Правительства Российской Федерации;</w:t>
      </w:r>
    </w:p>
    <w:p w14:paraId="46C90A72" w14:textId="77777777" w:rsidR="006571C9" w:rsidRPr="00213A5D" w:rsidRDefault="00872740" w:rsidP="00747D59">
      <w:pPr>
        <w:pStyle w:val="aff6"/>
        <w:widowControl w:val="0"/>
        <w:numPr>
          <w:ilvl w:val="0"/>
          <w:numId w:val="1"/>
        </w:numPr>
        <w:overflowPunct/>
        <w:spacing w:line="348" w:lineRule="auto"/>
        <w:ind w:left="0" w:right="0" w:firstLine="709"/>
        <w:rPr>
          <w:bCs/>
          <w:color w:val="000000"/>
          <w:sz w:val="24"/>
          <w:szCs w:val="24"/>
        </w:rPr>
      </w:pPr>
      <w:r w:rsidRPr="00213A5D">
        <w:rPr>
          <w:bCs/>
          <w:color w:val="000000"/>
          <w:sz w:val="24"/>
          <w:szCs w:val="24"/>
        </w:rPr>
        <w:t xml:space="preserve">о </w:t>
      </w:r>
      <w:r w:rsidR="006571C9" w:rsidRPr="00213A5D">
        <w:rPr>
          <w:bCs/>
          <w:color w:val="000000"/>
          <w:sz w:val="24"/>
          <w:szCs w:val="24"/>
        </w:rPr>
        <w:t xml:space="preserve">возможности </w:t>
      </w:r>
      <w:r w:rsidR="006571C9" w:rsidRPr="00213A5D">
        <w:rPr>
          <w:b/>
          <w:bCs/>
          <w:color w:val="000000"/>
          <w:sz w:val="24"/>
          <w:szCs w:val="24"/>
        </w:rPr>
        <w:t>увеличения сумм реализации и приобретения</w:t>
      </w:r>
      <w:r w:rsidR="006571C9" w:rsidRPr="00213A5D">
        <w:rPr>
          <w:bCs/>
          <w:color w:val="000000"/>
          <w:sz w:val="24"/>
          <w:szCs w:val="24"/>
        </w:rPr>
        <w:t xml:space="preserve"> драгоценных металлов и драгоценных камней, установленных федеральным законом о федеральном бюджете, с соответствующим изменением сводной бюджетной росписи; </w:t>
      </w:r>
    </w:p>
    <w:p w14:paraId="29A29A65" w14:textId="77777777" w:rsidR="006571C9" w:rsidRPr="00213A5D" w:rsidRDefault="006571C9" w:rsidP="00747D59">
      <w:pPr>
        <w:pStyle w:val="aff6"/>
        <w:widowControl w:val="0"/>
        <w:numPr>
          <w:ilvl w:val="0"/>
          <w:numId w:val="1"/>
        </w:numPr>
        <w:overflowPunct/>
        <w:spacing w:line="348" w:lineRule="auto"/>
        <w:ind w:left="0" w:right="0" w:firstLine="709"/>
        <w:rPr>
          <w:bCs/>
          <w:color w:val="000000"/>
          <w:sz w:val="24"/>
          <w:szCs w:val="24"/>
        </w:rPr>
      </w:pPr>
      <w:r w:rsidRPr="00213A5D">
        <w:rPr>
          <w:bCs/>
          <w:color w:val="000000"/>
          <w:sz w:val="24"/>
          <w:szCs w:val="24"/>
        </w:rPr>
        <w:t xml:space="preserve">об использовании средств ФНБ на покрытие дефицита начиная с текущего месяца в случае превышения базовой цены на нефть марки «Юралс» над среднефактической в размере, не превышающем 1 % объема ВВП. </w:t>
      </w:r>
    </w:p>
    <w:p w14:paraId="5E09EC81" w14:textId="77777777" w:rsidR="006571C9" w:rsidRPr="00213A5D" w:rsidRDefault="006571C9" w:rsidP="00747D59">
      <w:pPr>
        <w:pStyle w:val="aff6"/>
        <w:widowControl w:val="0"/>
        <w:spacing w:line="348" w:lineRule="auto"/>
        <w:ind w:left="0" w:right="0"/>
        <w:rPr>
          <w:bCs/>
          <w:color w:val="000000"/>
          <w:sz w:val="24"/>
          <w:szCs w:val="24"/>
        </w:rPr>
      </w:pPr>
      <w:r w:rsidRPr="00213A5D">
        <w:rPr>
          <w:bCs/>
          <w:color w:val="000000"/>
          <w:sz w:val="24"/>
          <w:szCs w:val="24"/>
        </w:rPr>
        <w:t xml:space="preserve">Впервые установлена возможность переноса </w:t>
      </w:r>
      <w:r w:rsidRPr="00213A5D">
        <w:rPr>
          <w:b/>
          <w:bCs/>
          <w:color w:val="000000"/>
          <w:sz w:val="24"/>
          <w:szCs w:val="24"/>
        </w:rPr>
        <w:t>остатков</w:t>
      </w:r>
      <w:r w:rsidRPr="00213A5D">
        <w:rPr>
          <w:bCs/>
          <w:color w:val="000000"/>
          <w:sz w:val="24"/>
          <w:szCs w:val="24"/>
        </w:rPr>
        <w:t xml:space="preserve"> неиспользованных бюджетных ассигнований на оплату отдельных видов товаров (работ, услуг), приобретаемых с использованием </w:t>
      </w:r>
      <w:r w:rsidRPr="00213A5D">
        <w:rPr>
          <w:b/>
          <w:bCs/>
          <w:color w:val="000000"/>
          <w:sz w:val="24"/>
          <w:szCs w:val="24"/>
        </w:rPr>
        <w:t>электронного сертификата</w:t>
      </w:r>
      <w:r w:rsidRPr="00213A5D">
        <w:rPr>
          <w:bCs/>
          <w:color w:val="000000"/>
          <w:sz w:val="24"/>
          <w:szCs w:val="24"/>
        </w:rPr>
        <w:t>, на указанные цели.</w:t>
      </w:r>
    </w:p>
    <w:p w14:paraId="3DC30C92" w14:textId="77777777" w:rsidR="006571C9" w:rsidRPr="00213A5D" w:rsidRDefault="006571C9" w:rsidP="00747D59">
      <w:pPr>
        <w:pStyle w:val="aff6"/>
        <w:widowControl w:val="0"/>
        <w:spacing w:line="348" w:lineRule="auto"/>
        <w:ind w:left="0" w:right="0"/>
        <w:rPr>
          <w:sz w:val="24"/>
          <w:szCs w:val="24"/>
        </w:rPr>
      </w:pPr>
      <w:r w:rsidRPr="00213A5D">
        <w:rPr>
          <w:bCs/>
          <w:color w:val="000000"/>
          <w:sz w:val="24"/>
          <w:szCs w:val="24"/>
        </w:rPr>
        <w:t>Продлена возможность</w:t>
      </w:r>
      <w:r w:rsidRPr="00213A5D">
        <w:rPr>
          <w:color w:val="000000"/>
          <w:sz w:val="24"/>
          <w:szCs w:val="24"/>
        </w:rPr>
        <w:t xml:space="preserve"> предоставления государственных гарантий Российской Федерации </w:t>
      </w:r>
      <w:r w:rsidRPr="00213A5D">
        <w:rPr>
          <w:bCs/>
          <w:color w:val="000000"/>
          <w:sz w:val="24"/>
          <w:szCs w:val="24"/>
        </w:rPr>
        <w:t xml:space="preserve">с </w:t>
      </w:r>
      <w:r w:rsidRPr="00213A5D">
        <w:rPr>
          <w:b/>
          <w:bCs/>
          <w:color w:val="000000"/>
          <w:sz w:val="24"/>
          <w:szCs w:val="24"/>
        </w:rPr>
        <w:t xml:space="preserve">превышением показателей </w:t>
      </w:r>
      <w:r w:rsidRPr="00213A5D">
        <w:rPr>
          <w:color w:val="000000"/>
          <w:sz w:val="24"/>
          <w:szCs w:val="24"/>
        </w:rPr>
        <w:t xml:space="preserve">программ государственных гарантий Российской Федерации, верхнего предела госдолга Российской Федерации по госгарантиям и госдолга Российской Федерации, а также принятия решений о предоставлении гарантий Российской Федерации, </w:t>
      </w:r>
      <w:r w:rsidRPr="00213A5D">
        <w:rPr>
          <w:b/>
          <w:color w:val="000000"/>
          <w:sz w:val="24"/>
          <w:szCs w:val="24"/>
        </w:rPr>
        <w:t>не предусмотренных</w:t>
      </w:r>
      <w:r w:rsidRPr="00213A5D">
        <w:rPr>
          <w:color w:val="000000"/>
          <w:sz w:val="24"/>
          <w:szCs w:val="24"/>
        </w:rPr>
        <w:t xml:space="preserve"> </w:t>
      </w:r>
      <w:r w:rsidRPr="00213A5D">
        <w:rPr>
          <w:sz w:val="24"/>
          <w:szCs w:val="24"/>
        </w:rPr>
        <w:t xml:space="preserve">Федеральным законом № 390-ФЗ, </w:t>
      </w:r>
      <w:r w:rsidRPr="00213A5D">
        <w:rPr>
          <w:b/>
          <w:color w:val="000000"/>
          <w:sz w:val="24"/>
          <w:szCs w:val="24"/>
        </w:rPr>
        <w:t>на условиях, отличных от установленных</w:t>
      </w:r>
      <w:r w:rsidRPr="00213A5D">
        <w:rPr>
          <w:color w:val="000000"/>
          <w:sz w:val="24"/>
          <w:szCs w:val="24"/>
        </w:rPr>
        <w:t xml:space="preserve"> соответствующими программами</w:t>
      </w:r>
      <w:r w:rsidRPr="00213A5D">
        <w:rPr>
          <w:sz w:val="24"/>
          <w:szCs w:val="24"/>
        </w:rPr>
        <w:t>.</w:t>
      </w:r>
    </w:p>
    <w:p w14:paraId="7EC6129B" w14:textId="77777777" w:rsidR="006571C9" w:rsidRPr="00213A5D" w:rsidRDefault="006571C9" w:rsidP="00747D59">
      <w:pPr>
        <w:pStyle w:val="aff6"/>
        <w:widowControl w:val="0"/>
        <w:spacing w:line="348" w:lineRule="auto"/>
        <w:ind w:left="0" w:right="0"/>
        <w:rPr>
          <w:bCs/>
          <w:color w:val="000000"/>
          <w:sz w:val="24"/>
          <w:szCs w:val="24"/>
        </w:rPr>
      </w:pPr>
      <w:r w:rsidRPr="00213A5D">
        <w:rPr>
          <w:bCs/>
          <w:color w:val="000000"/>
          <w:sz w:val="24"/>
          <w:szCs w:val="24"/>
        </w:rPr>
        <w:t xml:space="preserve">Установлено, что в ходе исполнения федерального бюджета в 2022 году Правительство Российской Федерации вправе без внесения изменений в федеральный закон о федеральном бюджете </w:t>
      </w:r>
      <w:r w:rsidRPr="00213A5D">
        <w:rPr>
          <w:b/>
          <w:bCs/>
          <w:color w:val="000000"/>
          <w:sz w:val="24"/>
          <w:szCs w:val="24"/>
        </w:rPr>
        <w:t>направлять дополнительные нефтегазовые доходы</w:t>
      </w:r>
      <w:r w:rsidRPr="00213A5D">
        <w:rPr>
          <w:bCs/>
          <w:color w:val="000000"/>
          <w:sz w:val="24"/>
          <w:szCs w:val="24"/>
        </w:rPr>
        <w:t xml:space="preserve"> и </w:t>
      </w:r>
      <w:r w:rsidRPr="00213A5D">
        <w:rPr>
          <w:b/>
          <w:bCs/>
          <w:color w:val="000000"/>
          <w:sz w:val="24"/>
          <w:szCs w:val="24"/>
        </w:rPr>
        <w:t>средства ФНБ</w:t>
      </w:r>
      <w:r w:rsidRPr="00213A5D">
        <w:rPr>
          <w:bCs/>
          <w:color w:val="000000"/>
          <w:sz w:val="24"/>
          <w:szCs w:val="24"/>
        </w:rPr>
        <w:t xml:space="preserve"> на замещение государственных заимствований, погашение государственного долга Российской Федерации, исполнение публичных нормативных обязательств, предоставление бюджетных кредитов, а также на иные цели с превышением утвержденного общего объема расходов; </w:t>
      </w:r>
      <w:r w:rsidRPr="00213A5D">
        <w:rPr>
          <w:b/>
          <w:bCs/>
          <w:color w:val="000000"/>
          <w:sz w:val="24"/>
          <w:szCs w:val="24"/>
        </w:rPr>
        <w:t>утверждать</w:t>
      </w:r>
      <w:r w:rsidRPr="00213A5D">
        <w:rPr>
          <w:bCs/>
          <w:color w:val="000000"/>
          <w:sz w:val="24"/>
          <w:szCs w:val="24"/>
        </w:rPr>
        <w:t xml:space="preserve"> </w:t>
      </w:r>
      <w:r w:rsidRPr="00213A5D">
        <w:rPr>
          <w:b/>
          <w:bCs/>
          <w:color w:val="000000"/>
          <w:sz w:val="24"/>
          <w:szCs w:val="24"/>
        </w:rPr>
        <w:t>распределение</w:t>
      </w:r>
      <w:r w:rsidRPr="00213A5D">
        <w:rPr>
          <w:bCs/>
          <w:color w:val="000000"/>
          <w:sz w:val="24"/>
          <w:szCs w:val="24"/>
        </w:rPr>
        <w:t xml:space="preserve"> зарезервированных межбюджетных трансфертов на мероприятия инициатив социально-экономического развития Российской Федерации. Продлена возможность внесения </w:t>
      </w:r>
      <w:r w:rsidRPr="00213A5D">
        <w:rPr>
          <w:b/>
          <w:bCs/>
          <w:color w:val="000000"/>
          <w:sz w:val="24"/>
          <w:szCs w:val="24"/>
        </w:rPr>
        <w:t>изменений в распределение</w:t>
      </w:r>
      <w:r w:rsidRPr="00213A5D">
        <w:rPr>
          <w:bCs/>
          <w:color w:val="000000"/>
          <w:sz w:val="24"/>
          <w:szCs w:val="24"/>
        </w:rPr>
        <w:t xml:space="preserve"> объемов межбюджетных трансфертов на мероприятия индивидуальных программ социально-экономического развития субъектов Российской Федерации.</w:t>
      </w:r>
    </w:p>
    <w:p w14:paraId="0FC4AEC9" w14:textId="77777777" w:rsidR="006571C9" w:rsidRPr="00213A5D" w:rsidRDefault="006571C9" w:rsidP="00747D59">
      <w:pPr>
        <w:widowControl w:val="0"/>
        <w:spacing w:line="348" w:lineRule="auto"/>
        <w:ind w:left="0" w:right="0"/>
        <w:rPr>
          <w:rFonts w:eastAsia="Times New Roman"/>
          <w:bCs/>
          <w:sz w:val="24"/>
          <w:szCs w:val="24"/>
        </w:rPr>
      </w:pPr>
      <w:r w:rsidRPr="00213A5D">
        <w:rPr>
          <w:rFonts w:eastAsia="Times New Roman"/>
          <w:color w:val="000000"/>
          <w:sz w:val="24"/>
          <w:szCs w:val="24"/>
        </w:rPr>
        <w:t>Общий</w:t>
      </w:r>
      <w:r w:rsidRPr="00213A5D">
        <w:rPr>
          <w:rFonts w:eastAsia="Times New Roman"/>
          <w:b/>
          <w:color w:val="000000"/>
          <w:sz w:val="24"/>
          <w:szCs w:val="24"/>
        </w:rPr>
        <w:t xml:space="preserve"> объем расходов</w:t>
      </w:r>
      <w:r w:rsidRPr="00213A5D">
        <w:rPr>
          <w:rFonts w:eastAsia="Times New Roman"/>
          <w:color w:val="000000"/>
          <w:sz w:val="24"/>
          <w:szCs w:val="24"/>
        </w:rPr>
        <w:t xml:space="preserve"> федерального бюджета может быть</w:t>
      </w:r>
      <w:r w:rsidRPr="00213A5D">
        <w:rPr>
          <w:rFonts w:eastAsia="Times New Roman"/>
          <w:b/>
          <w:color w:val="000000"/>
          <w:sz w:val="24"/>
          <w:szCs w:val="24"/>
        </w:rPr>
        <w:t xml:space="preserve"> увеличен</w:t>
      </w:r>
      <w:r w:rsidRPr="00213A5D">
        <w:rPr>
          <w:rFonts w:eastAsia="Times New Roman"/>
          <w:color w:val="000000"/>
          <w:sz w:val="24"/>
          <w:szCs w:val="24"/>
        </w:rPr>
        <w:t xml:space="preserve"> </w:t>
      </w:r>
      <w:r w:rsidRPr="00213A5D">
        <w:rPr>
          <w:rFonts w:eastAsia="Times New Roman"/>
          <w:b/>
          <w:color w:val="000000"/>
          <w:sz w:val="24"/>
          <w:szCs w:val="24"/>
        </w:rPr>
        <w:t xml:space="preserve">без внесения изменений </w:t>
      </w:r>
      <w:r w:rsidRPr="00213A5D">
        <w:rPr>
          <w:rFonts w:eastAsia="Times New Roman"/>
          <w:color w:val="000000"/>
          <w:sz w:val="24"/>
          <w:szCs w:val="24"/>
        </w:rPr>
        <w:t>в федеральный</w:t>
      </w:r>
      <w:r w:rsidRPr="00213A5D">
        <w:rPr>
          <w:rFonts w:eastAsia="Times New Roman"/>
          <w:b/>
          <w:color w:val="000000"/>
          <w:sz w:val="24"/>
          <w:szCs w:val="24"/>
        </w:rPr>
        <w:t xml:space="preserve"> закон о</w:t>
      </w:r>
      <w:r w:rsidRPr="00213A5D">
        <w:rPr>
          <w:rFonts w:eastAsia="Times New Roman"/>
          <w:color w:val="000000"/>
          <w:sz w:val="24"/>
          <w:szCs w:val="24"/>
        </w:rPr>
        <w:t xml:space="preserve"> федеральном</w:t>
      </w:r>
      <w:r w:rsidRPr="00213A5D">
        <w:rPr>
          <w:rFonts w:eastAsia="Times New Roman"/>
          <w:b/>
          <w:color w:val="000000"/>
          <w:sz w:val="24"/>
          <w:szCs w:val="24"/>
        </w:rPr>
        <w:t xml:space="preserve"> бюджете </w:t>
      </w:r>
      <w:r w:rsidRPr="00213A5D">
        <w:rPr>
          <w:rFonts w:eastAsia="Times New Roman"/>
          <w:color w:val="000000"/>
          <w:sz w:val="24"/>
          <w:szCs w:val="24"/>
        </w:rPr>
        <w:t xml:space="preserve">с соответствующим увеличением резервного фонда Правительства Российской Федерации </w:t>
      </w:r>
      <w:r w:rsidRPr="00213A5D">
        <w:rPr>
          <w:rFonts w:eastAsia="Times New Roman"/>
          <w:b/>
          <w:bCs/>
          <w:sz w:val="24"/>
          <w:szCs w:val="24"/>
        </w:rPr>
        <w:t xml:space="preserve">в случае и в пределах поступлений от отдельных видов ненефтегазовых доходов </w:t>
      </w:r>
      <w:r w:rsidRPr="00213A5D">
        <w:rPr>
          <w:rFonts w:eastAsia="Times New Roman"/>
          <w:bCs/>
          <w:sz w:val="24"/>
          <w:szCs w:val="24"/>
        </w:rPr>
        <w:t xml:space="preserve">сверх объемов, учтенных при утверждении общего объема доходов федерального бюджета. </w:t>
      </w:r>
    </w:p>
    <w:p w14:paraId="07720CD8" w14:textId="77777777" w:rsidR="006571C9" w:rsidRPr="00213A5D" w:rsidRDefault="006571C9" w:rsidP="00747D59">
      <w:pPr>
        <w:widowControl w:val="0"/>
        <w:spacing w:line="348" w:lineRule="auto"/>
        <w:ind w:left="0" w:right="0"/>
        <w:rPr>
          <w:sz w:val="24"/>
          <w:szCs w:val="24"/>
        </w:rPr>
      </w:pPr>
      <w:r w:rsidRPr="00213A5D">
        <w:rPr>
          <w:rFonts w:eastAsia="Times New Roman"/>
          <w:bCs/>
          <w:color w:val="000000"/>
          <w:sz w:val="24"/>
          <w:szCs w:val="24"/>
        </w:rPr>
        <w:t>Установлены</w:t>
      </w:r>
      <w:r w:rsidRPr="00213A5D">
        <w:rPr>
          <w:rFonts w:eastAsia="Times New Roman"/>
          <w:b/>
          <w:bCs/>
          <w:color w:val="000000"/>
          <w:sz w:val="24"/>
          <w:szCs w:val="24"/>
        </w:rPr>
        <w:t xml:space="preserve"> дополнительные основания </w:t>
      </w:r>
      <w:r w:rsidRPr="00213A5D">
        <w:rPr>
          <w:rFonts w:eastAsia="Times New Roman"/>
          <w:bCs/>
          <w:color w:val="000000"/>
          <w:sz w:val="24"/>
          <w:szCs w:val="24"/>
        </w:rPr>
        <w:t>для внесения изменений</w:t>
      </w:r>
      <w:r w:rsidRPr="00213A5D">
        <w:rPr>
          <w:rFonts w:eastAsia="Times New Roman"/>
          <w:b/>
          <w:bCs/>
          <w:color w:val="000000"/>
          <w:sz w:val="24"/>
          <w:szCs w:val="24"/>
        </w:rPr>
        <w:t xml:space="preserve"> </w:t>
      </w:r>
      <w:r w:rsidRPr="00213A5D">
        <w:rPr>
          <w:rFonts w:eastAsia="Times New Roman"/>
          <w:color w:val="000000"/>
          <w:sz w:val="24"/>
          <w:szCs w:val="24"/>
        </w:rPr>
        <w:t xml:space="preserve">в сводную </w:t>
      </w:r>
      <w:r w:rsidRPr="00213A5D">
        <w:rPr>
          <w:rFonts w:eastAsia="Times New Roman"/>
          <w:color w:val="000000"/>
          <w:sz w:val="24"/>
          <w:szCs w:val="24"/>
        </w:rPr>
        <w:lastRenderedPageBreak/>
        <w:t xml:space="preserve">роспись федерального бюджета без внесения изменений в федеральный закон о федеральном бюджете в случае </w:t>
      </w:r>
      <w:r w:rsidRPr="00213A5D">
        <w:rPr>
          <w:b/>
          <w:sz w:val="24"/>
          <w:szCs w:val="24"/>
        </w:rPr>
        <w:t>перераспределения</w:t>
      </w:r>
      <w:r w:rsidRPr="00213A5D">
        <w:rPr>
          <w:sz w:val="24"/>
          <w:szCs w:val="24"/>
        </w:rPr>
        <w:t xml:space="preserve"> бюджетных ассигнований </w:t>
      </w:r>
      <w:r w:rsidRPr="00213A5D">
        <w:rPr>
          <w:b/>
          <w:sz w:val="24"/>
          <w:szCs w:val="24"/>
        </w:rPr>
        <w:t>между госпрограммами</w:t>
      </w:r>
      <w:r w:rsidRPr="00213A5D">
        <w:rPr>
          <w:sz w:val="24"/>
          <w:szCs w:val="24"/>
        </w:rPr>
        <w:t xml:space="preserve"> и (или) их структурными элементами в пределах </w:t>
      </w:r>
      <w:r w:rsidRPr="00213A5D">
        <w:rPr>
          <w:b/>
          <w:sz w:val="24"/>
          <w:szCs w:val="24"/>
        </w:rPr>
        <w:t xml:space="preserve">10 </w:t>
      </w:r>
      <w:r w:rsidR="00872740" w:rsidRPr="00213A5D">
        <w:rPr>
          <w:b/>
          <w:sz w:val="24"/>
          <w:szCs w:val="24"/>
        </w:rPr>
        <w:t>%</w:t>
      </w:r>
      <w:r w:rsidRPr="00213A5D">
        <w:rPr>
          <w:sz w:val="24"/>
          <w:szCs w:val="24"/>
        </w:rPr>
        <w:t xml:space="preserve"> общего годового объема бюджетных ассигнований</w:t>
      </w:r>
      <w:r w:rsidRPr="00213A5D">
        <w:t xml:space="preserve"> </w:t>
      </w:r>
      <w:r w:rsidRPr="00213A5D">
        <w:rPr>
          <w:sz w:val="24"/>
          <w:szCs w:val="24"/>
        </w:rPr>
        <w:t xml:space="preserve">на реализацию соответствующей госпрограммы, а также в случае перераспределения бюджетных инвестиций, субсидий на осуществление капитальных вложений, субсидий юридическим лицам на бюджетные инвестиции, субсидий субъектам Российской Федерации на софинансирование капитальных вложений с возможным превышением указанного ограничения; в случае перераспределения (увеличения) зарезервированных бюджетных ассигнований на мероприятия, связанные </w:t>
      </w:r>
      <w:r w:rsidR="00872740" w:rsidRPr="00213A5D">
        <w:rPr>
          <w:sz w:val="24"/>
          <w:szCs w:val="24"/>
        </w:rPr>
        <w:br/>
      </w:r>
      <w:r w:rsidRPr="00213A5D">
        <w:rPr>
          <w:sz w:val="24"/>
          <w:szCs w:val="24"/>
        </w:rPr>
        <w:t xml:space="preserve">с </w:t>
      </w:r>
      <w:r w:rsidRPr="00213A5D">
        <w:rPr>
          <w:b/>
          <w:sz w:val="24"/>
          <w:szCs w:val="24"/>
        </w:rPr>
        <w:t>предотвращением влияния ухудшения геополитической и экономической ситуации</w:t>
      </w:r>
      <w:r w:rsidRPr="00213A5D">
        <w:rPr>
          <w:sz w:val="24"/>
          <w:szCs w:val="24"/>
        </w:rPr>
        <w:t xml:space="preserve"> на развитие отраслей экономики и </w:t>
      </w:r>
      <w:r w:rsidRPr="00213A5D">
        <w:rPr>
          <w:b/>
          <w:sz w:val="24"/>
          <w:szCs w:val="24"/>
        </w:rPr>
        <w:t>на иные цели</w:t>
      </w:r>
      <w:r w:rsidRPr="00213A5D">
        <w:rPr>
          <w:sz w:val="24"/>
          <w:szCs w:val="24"/>
        </w:rPr>
        <w:t>, определенные Правительством Российской Федерации.</w:t>
      </w:r>
    </w:p>
    <w:p w14:paraId="3D637A4F" w14:textId="77777777" w:rsidR="006571C9" w:rsidRPr="00213A5D" w:rsidRDefault="006571C9" w:rsidP="00747D59">
      <w:pPr>
        <w:widowControl w:val="0"/>
        <w:spacing w:line="348" w:lineRule="auto"/>
        <w:ind w:left="0" w:right="0"/>
        <w:rPr>
          <w:rFonts w:eastAsia="Times New Roman"/>
          <w:b/>
          <w:bCs/>
          <w:color w:val="000000"/>
          <w:sz w:val="24"/>
          <w:szCs w:val="24"/>
        </w:rPr>
      </w:pPr>
      <w:r w:rsidRPr="00213A5D">
        <w:rPr>
          <w:rFonts w:eastAsia="Times New Roman"/>
          <w:color w:val="000000"/>
          <w:sz w:val="24"/>
          <w:szCs w:val="24"/>
        </w:rPr>
        <w:t xml:space="preserve">В рамках поддержки регионов внесены изменения в законодательные акты о проведении в 2022 году </w:t>
      </w:r>
      <w:r w:rsidRPr="00213A5D">
        <w:rPr>
          <w:rFonts w:eastAsia="Times New Roman"/>
          <w:b/>
          <w:color w:val="000000"/>
          <w:sz w:val="24"/>
          <w:szCs w:val="24"/>
        </w:rPr>
        <w:t>реструктуризации обязательств (задолженности) субъектов</w:t>
      </w:r>
      <w:r w:rsidRPr="00213A5D">
        <w:rPr>
          <w:rFonts w:eastAsia="Times New Roman"/>
          <w:color w:val="000000"/>
          <w:sz w:val="24"/>
          <w:szCs w:val="24"/>
        </w:rPr>
        <w:t xml:space="preserve"> Российской Федерации перед Российской Федерацией по бюджетным кредитам, а также </w:t>
      </w:r>
      <w:r w:rsidRPr="00213A5D">
        <w:rPr>
          <w:rFonts w:eastAsia="Times New Roman"/>
          <w:color w:val="000000"/>
          <w:sz w:val="24"/>
          <w:szCs w:val="24"/>
        </w:rPr>
        <w:br/>
        <w:t xml:space="preserve">о </w:t>
      </w:r>
      <w:r w:rsidRPr="00213A5D">
        <w:rPr>
          <w:rFonts w:eastAsia="Times New Roman"/>
          <w:b/>
          <w:sz w:val="24"/>
          <w:szCs w:val="24"/>
        </w:rPr>
        <w:t>предоставлении бюджетных кредитов</w:t>
      </w:r>
      <w:r w:rsidRPr="00213A5D">
        <w:rPr>
          <w:rFonts w:eastAsia="Times New Roman"/>
          <w:color w:val="000000"/>
          <w:sz w:val="24"/>
          <w:szCs w:val="24"/>
        </w:rPr>
        <w:t xml:space="preserve"> </w:t>
      </w:r>
      <w:r w:rsidRPr="00213A5D">
        <w:rPr>
          <w:rFonts w:eastAsia="Times New Roman"/>
          <w:sz w:val="24"/>
          <w:szCs w:val="24"/>
        </w:rPr>
        <w:t>в</w:t>
      </w:r>
      <w:r w:rsidRPr="00213A5D">
        <w:rPr>
          <w:rFonts w:eastAsia="Times New Roman"/>
          <w:color w:val="000000"/>
          <w:sz w:val="24"/>
          <w:szCs w:val="24"/>
        </w:rPr>
        <w:t xml:space="preserve"> </w:t>
      </w:r>
      <w:r w:rsidRPr="00213A5D">
        <w:rPr>
          <w:rFonts w:eastAsia="Times New Roman"/>
          <w:sz w:val="24"/>
          <w:szCs w:val="24"/>
        </w:rPr>
        <w:t xml:space="preserve">объеме до </w:t>
      </w:r>
      <w:r w:rsidRPr="00213A5D">
        <w:rPr>
          <w:rFonts w:eastAsia="Times New Roman"/>
          <w:b/>
          <w:sz w:val="24"/>
          <w:szCs w:val="24"/>
        </w:rPr>
        <w:t>420,0 млрд. рублей</w:t>
      </w:r>
      <w:r w:rsidRPr="00213A5D">
        <w:rPr>
          <w:rFonts w:eastAsia="Times New Roman"/>
          <w:sz w:val="24"/>
          <w:szCs w:val="24"/>
        </w:rPr>
        <w:t xml:space="preserve"> для погашения долговых обязательств субъектов Российской Федерации (муниципальных образований) </w:t>
      </w:r>
      <w:r w:rsidRPr="00213A5D">
        <w:rPr>
          <w:rFonts w:eastAsia="Times New Roman"/>
          <w:sz w:val="24"/>
          <w:szCs w:val="24"/>
        </w:rPr>
        <w:br/>
        <w:t>по</w:t>
      </w:r>
      <w:r w:rsidRPr="00213A5D">
        <w:rPr>
          <w:rFonts w:eastAsia="Times New Roman"/>
          <w:color w:val="000000"/>
          <w:sz w:val="24"/>
          <w:szCs w:val="24"/>
        </w:rPr>
        <w:t xml:space="preserve"> </w:t>
      </w:r>
      <w:r w:rsidRPr="00213A5D">
        <w:rPr>
          <w:rFonts w:eastAsia="Times New Roman"/>
          <w:sz w:val="24"/>
          <w:szCs w:val="24"/>
        </w:rPr>
        <w:t>государственным (муниципальным) ценным бумагам субъектов Российской Федерации (муниципальных образований) и</w:t>
      </w:r>
      <w:r w:rsidRPr="00213A5D">
        <w:rPr>
          <w:rFonts w:eastAsia="Times New Roman"/>
          <w:color w:val="000000"/>
          <w:sz w:val="24"/>
          <w:szCs w:val="24"/>
        </w:rPr>
        <w:t xml:space="preserve"> </w:t>
      </w:r>
      <w:r w:rsidRPr="00213A5D">
        <w:rPr>
          <w:rFonts w:eastAsia="Times New Roman"/>
          <w:sz w:val="24"/>
          <w:szCs w:val="24"/>
        </w:rPr>
        <w:t>кредитам, полученным субъектами Российской Федерации (муниципальными образованиями) от кредитных</w:t>
      </w:r>
      <w:r w:rsidRPr="00213A5D">
        <w:rPr>
          <w:rFonts w:eastAsia="Times New Roman"/>
          <w:color w:val="000000"/>
          <w:sz w:val="24"/>
          <w:szCs w:val="24"/>
        </w:rPr>
        <w:t xml:space="preserve"> </w:t>
      </w:r>
      <w:r w:rsidRPr="00213A5D">
        <w:rPr>
          <w:rFonts w:eastAsia="Times New Roman"/>
          <w:sz w:val="24"/>
          <w:szCs w:val="24"/>
        </w:rPr>
        <w:t xml:space="preserve">организаций, иностранных банков </w:t>
      </w:r>
      <w:r w:rsidRPr="00213A5D">
        <w:rPr>
          <w:rFonts w:eastAsia="Times New Roman"/>
          <w:sz w:val="24"/>
          <w:szCs w:val="24"/>
        </w:rPr>
        <w:br/>
        <w:t>и международных финансовых</w:t>
      </w:r>
      <w:r w:rsidRPr="00213A5D">
        <w:rPr>
          <w:rFonts w:eastAsia="Times New Roman"/>
          <w:color w:val="000000"/>
          <w:sz w:val="24"/>
          <w:szCs w:val="24"/>
        </w:rPr>
        <w:t xml:space="preserve"> </w:t>
      </w:r>
      <w:r w:rsidRPr="00213A5D">
        <w:rPr>
          <w:rFonts w:eastAsia="Times New Roman"/>
          <w:sz w:val="24"/>
          <w:szCs w:val="24"/>
        </w:rPr>
        <w:t xml:space="preserve">организаций. </w:t>
      </w:r>
      <w:r w:rsidR="00EF05DC" w:rsidRPr="00213A5D">
        <w:rPr>
          <w:rFonts w:eastAsia="Times New Roman"/>
          <w:b/>
          <w:sz w:val="24"/>
          <w:szCs w:val="24"/>
        </w:rPr>
        <w:t>Д</w:t>
      </w:r>
      <w:r w:rsidR="00EF05DC" w:rsidRPr="00213A5D">
        <w:rPr>
          <w:rFonts w:eastAsia="Times New Roman"/>
          <w:b/>
          <w:bCs/>
          <w:color w:val="000000"/>
          <w:sz w:val="24"/>
          <w:szCs w:val="24"/>
        </w:rPr>
        <w:t>о 30 декабря текущего финансового года</w:t>
      </w:r>
      <w:r w:rsidR="00EF05DC" w:rsidRPr="00213A5D">
        <w:rPr>
          <w:rFonts w:eastAsia="Times New Roman"/>
          <w:sz w:val="24"/>
          <w:szCs w:val="24"/>
        </w:rPr>
        <w:t xml:space="preserve"> у</w:t>
      </w:r>
      <w:r w:rsidRPr="00213A5D">
        <w:rPr>
          <w:rFonts w:eastAsia="Times New Roman"/>
          <w:sz w:val="24"/>
          <w:szCs w:val="24"/>
        </w:rPr>
        <w:t>величен</w:t>
      </w:r>
      <w:r w:rsidRPr="00213A5D">
        <w:rPr>
          <w:rFonts w:eastAsia="Times New Roman"/>
          <w:bCs/>
          <w:color w:val="000000"/>
          <w:kern w:val="36"/>
          <w:sz w:val="24"/>
          <w:szCs w:val="24"/>
        </w:rPr>
        <w:t xml:space="preserve"> </w:t>
      </w:r>
      <w:r w:rsidRPr="00213A5D">
        <w:rPr>
          <w:rFonts w:eastAsia="Times New Roman"/>
          <w:b/>
          <w:bCs/>
          <w:color w:val="000000"/>
          <w:kern w:val="36"/>
          <w:sz w:val="24"/>
          <w:szCs w:val="24"/>
        </w:rPr>
        <w:t>срок</w:t>
      </w:r>
      <w:r w:rsidRPr="00213A5D">
        <w:rPr>
          <w:rFonts w:eastAsia="Times New Roman"/>
          <w:bCs/>
          <w:color w:val="000000"/>
          <w:kern w:val="36"/>
          <w:sz w:val="24"/>
          <w:szCs w:val="24"/>
        </w:rPr>
        <w:t xml:space="preserve"> </w:t>
      </w:r>
      <w:r w:rsidRPr="00213A5D">
        <w:rPr>
          <w:rFonts w:eastAsia="Times New Roman"/>
          <w:b/>
          <w:bCs/>
          <w:color w:val="000000"/>
          <w:sz w:val="24"/>
          <w:szCs w:val="24"/>
        </w:rPr>
        <w:t>возврата бюджетных кредитов</w:t>
      </w:r>
      <w:r w:rsidRPr="00213A5D">
        <w:rPr>
          <w:rFonts w:eastAsia="Times New Roman"/>
          <w:bCs/>
          <w:color w:val="000000"/>
          <w:sz w:val="24"/>
          <w:szCs w:val="24"/>
        </w:rPr>
        <w:t xml:space="preserve"> на пополнение остатка средств на счете бюджета</w:t>
      </w:r>
      <w:r w:rsidRPr="00213A5D">
        <w:rPr>
          <w:rFonts w:eastAsia="Times New Roman"/>
          <w:b/>
          <w:bCs/>
          <w:color w:val="000000"/>
          <w:sz w:val="24"/>
          <w:szCs w:val="24"/>
        </w:rPr>
        <w:t>.</w:t>
      </w:r>
    </w:p>
    <w:p w14:paraId="2C57F940" w14:textId="77777777" w:rsidR="00660CBA" w:rsidRPr="00213A5D" w:rsidRDefault="00660CBA" w:rsidP="00747D59">
      <w:pPr>
        <w:widowControl w:val="0"/>
        <w:spacing w:line="348" w:lineRule="auto"/>
        <w:ind w:left="0" w:right="0"/>
        <w:rPr>
          <w:rFonts w:eastAsia="Times New Roman"/>
          <w:sz w:val="24"/>
          <w:szCs w:val="24"/>
        </w:rPr>
      </w:pPr>
      <w:r w:rsidRPr="00213A5D">
        <w:rPr>
          <w:rFonts w:eastAsia="Times New Roman"/>
          <w:b/>
          <w:sz w:val="24"/>
          <w:szCs w:val="24"/>
        </w:rPr>
        <w:t>2.2.</w:t>
      </w:r>
      <w:r w:rsidRPr="00213A5D">
        <w:rPr>
          <w:rFonts w:eastAsia="Times New Roman"/>
          <w:sz w:val="24"/>
          <w:szCs w:val="24"/>
        </w:rPr>
        <w:t> Настоящая аналитическая записка подготовлена на основе сведений об исполнении федерального бюджета за январь – сентябрь 2022 года</w:t>
      </w:r>
      <w:r w:rsidR="00F17A8B" w:rsidRPr="00213A5D">
        <w:rPr>
          <w:rFonts w:eastAsia="Times New Roman"/>
          <w:sz w:val="24"/>
          <w:szCs w:val="24"/>
        </w:rPr>
        <w:t>,</w:t>
      </w:r>
      <w:r w:rsidRPr="00213A5D">
        <w:rPr>
          <w:rFonts w:eastAsia="Times New Roman"/>
          <w:sz w:val="24"/>
          <w:szCs w:val="24"/>
        </w:rPr>
        <w:t xml:space="preserve"> по данным </w:t>
      </w:r>
      <w:r w:rsidR="001A61DA" w:rsidRPr="00213A5D">
        <w:rPr>
          <w:rFonts w:eastAsia="Times New Roman"/>
          <w:sz w:val="24"/>
          <w:szCs w:val="24"/>
        </w:rPr>
        <w:br/>
      </w:r>
      <w:r w:rsidRPr="00213A5D">
        <w:rPr>
          <w:rFonts w:eastAsia="Times New Roman"/>
          <w:sz w:val="24"/>
          <w:szCs w:val="24"/>
        </w:rPr>
        <w:t xml:space="preserve">Главной книги Федерального казначейства, Аналитической системы мониторинга </w:t>
      </w:r>
      <w:r w:rsidR="001A61DA" w:rsidRPr="00213A5D">
        <w:rPr>
          <w:rFonts w:eastAsia="Times New Roman"/>
          <w:sz w:val="24"/>
          <w:szCs w:val="24"/>
        </w:rPr>
        <w:br/>
      </w:r>
      <w:r w:rsidRPr="00213A5D">
        <w:rPr>
          <w:rFonts w:eastAsia="Times New Roman"/>
          <w:sz w:val="24"/>
          <w:szCs w:val="24"/>
        </w:rPr>
        <w:t>ключевых показателей исполнения бюджетов (КПЭ) Федерального казначейства и оперативной информации Минфина России об исполнении федерального бюджета.</w:t>
      </w:r>
    </w:p>
    <w:p w14:paraId="4601C9D7" w14:textId="77777777" w:rsidR="00660CBA" w:rsidRPr="00213A5D" w:rsidRDefault="00660CBA" w:rsidP="00747D59">
      <w:pPr>
        <w:widowControl w:val="0"/>
        <w:spacing w:line="348" w:lineRule="auto"/>
        <w:ind w:left="0" w:right="0"/>
        <w:rPr>
          <w:rFonts w:eastAsia="Times New Roman"/>
          <w:sz w:val="24"/>
          <w:szCs w:val="24"/>
        </w:rPr>
      </w:pPr>
      <w:r w:rsidRPr="00213A5D">
        <w:rPr>
          <w:rFonts w:eastAsia="Times New Roman"/>
          <w:sz w:val="24"/>
          <w:szCs w:val="24"/>
        </w:rPr>
        <w:t xml:space="preserve">Основные макроэкономические показатели (ВВП и уровень инфляции), основные характеристики федерального бюджета на 2022 год и их исполнение за январь – сентябрь 2022 года представлены в следующей таблице.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13"/>
        <w:gridCol w:w="1049"/>
        <w:gridCol w:w="1049"/>
        <w:gridCol w:w="1045"/>
        <w:gridCol w:w="1024"/>
        <w:gridCol w:w="1191"/>
        <w:gridCol w:w="1024"/>
      </w:tblGrid>
      <w:tr w:rsidR="00660CBA" w:rsidRPr="00213A5D" w14:paraId="2E233471" w14:textId="77777777" w:rsidTr="009B114B">
        <w:trPr>
          <w:tblHeader/>
        </w:trPr>
        <w:tc>
          <w:tcPr>
            <w:tcW w:w="1709" w:type="pct"/>
            <w:vMerge w:val="restart"/>
            <w:tcBorders>
              <w:top w:val="single" w:sz="4" w:space="0" w:color="auto"/>
              <w:left w:val="single" w:sz="4" w:space="0" w:color="auto"/>
              <w:bottom w:val="single" w:sz="4" w:space="0" w:color="auto"/>
              <w:right w:val="single" w:sz="4" w:space="0" w:color="auto"/>
            </w:tcBorders>
            <w:vAlign w:val="center"/>
            <w:hideMark/>
          </w:tcPr>
          <w:p w14:paraId="4DA922C8"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Показатели</w:t>
            </w:r>
          </w:p>
        </w:tc>
        <w:tc>
          <w:tcPr>
            <w:tcW w:w="2149" w:type="pct"/>
            <w:gridSpan w:val="4"/>
            <w:tcBorders>
              <w:top w:val="single" w:sz="4" w:space="0" w:color="auto"/>
              <w:left w:val="single" w:sz="4" w:space="0" w:color="auto"/>
              <w:bottom w:val="single" w:sz="4" w:space="0" w:color="auto"/>
              <w:right w:val="single" w:sz="4" w:space="0" w:color="auto"/>
            </w:tcBorders>
            <w:hideMark/>
          </w:tcPr>
          <w:p w14:paraId="6CA83F26"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 xml:space="preserve">Федеральный бюджет на 2022 год, </w:t>
            </w:r>
          </w:p>
          <w:p w14:paraId="0D8B959C"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утвержденный Федеральным законом</w:t>
            </w:r>
          </w:p>
        </w:tc>
        <w:tc>
          <w:tcPr>
            <w:tcW w:w="1142" w:type="pct"/>
            <w:gridSpan w:val="2"/>
            <w:tcBorders>
              <w:top w:val="single" w:sz="4" w:space="0" w:color="auto"/>
              <w:left w:val="single" w:sz="4" w:space="0" w:color="auto"/>
              <w:bottom w:val="single" w:sz="4" w:space="0" w:color="auto"/>
              <w:right w:val="single" w:sz="4" w:space="0" w:color="auto"/>
            </w:tcBorders>
            <w:hideMark/>
          </w:tcPr>
          <w:p w14:paraId="3EF73E70"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Исполнено</w:t>
            </w:r>
          </w:p>
        </w:tc>
      </w:tr>
      <w:tr w:rsidR="00660CBA" w:rsidRPr="00213A5D" w14:paraId="72DB2750" w14:textId="77777777" w:rsidTr="009B114B">
        <w:trPr>
          <w:trHeight w:val="57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FA028" w14:textId="77777777" w:rsidR="00660CBA" w:rsidRPr="00213A5D" w:rsidRDefault="00660CBA" w:rsidP="00AF1852">
            <w:pPr>
              <w:widowControl w:val="0"/>
              <w:overflowPunct/>
              <w:autoSpaceDE/>
              <w:autoSpaceDN/>
              <w:adjustRightInd/>
              <w:spacing w:line="240" w:lineRule="auto"/>
              <w:ind w:left="0" w:right="0" w:firstLine="0"/>
              <w:jc w:val="left"/>
              <w:rPr>
                <w:rFonts w:eastAsia="Times New Roman"/>
                <w:b/>
                <w:bCs/>
                <w:color w:val="000000"/>
                <w:sz w:val="16"/>
                <w:szCs w:val="16"/>
                <w:lang w:eastAsia="en-US"/>
              </w:rPr>
            </w:pPr>
          </w:p>
        </w:tc>
        <w:tc>
          <w:tcPr>
            <w:tcW w:w="541" w:type="pct"/>
            <w:tcBorders>
              <w:top w:val="single" w:sz="4" w:space="0" w:color="auto"/>
              <w:left w:val="single" w:sz="4" w:space="0" w:color="auto"/>
              <w:bottom w:val="single" w:sz="4" w:space="0" w:color="auto"/>
              <w:right w:val="single" w:sz="4" w:space="0" w:color="auto"/>
            </w:tcBorders>
            <w:vAlign w:val="center"/>
            <w:hideMark/>
          </w:tcPr>
          <w:p w14:paraId="61CFCE7C"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от 2 декабря</w:t>
            </w:r>
          </w:p>
          <w:p w14:paraId="7C314E79"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2019 г.</w:t>
            </w:r>
          </w:p>
          <w:p w14:paraId="0A9C7996"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 380-ФЗ</w:t>
            </w:r>
          </w:p>
        </w:tc>
        <w:tc>
          <w:tcPr>
            <w:tcW w:w="541" w:type="pct"/>
            <w:tcBorders>
              <w:top w:val="single" w:sz="4" w:space="0" w:color="auto"/>
              <w:left w:val="single" w:sz="4" w:space="0" w:color="auto"/>
              <w:bottom w:val="single" w:sz="4" w:space="0" w:color="auto"/>
              <w:right w:val="single" w:sz="4" w:space="0" w:color="auto"/>
            </w:tcBorders>
            <w:vAlign w:val="center"/>
            <w:hideMark/>
          </w:tcPr>
          <w:p w14:paraId="2FF12C43"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от 18 марта</w:t>
            </w:r>
          </w:p>
          <w:p w14:paraId="523BC5BA"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2020 г.</w:t>
            </w:r>
          </w:p>
          <w:p w14:paraId="5A1D6409"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 52-ФЗ</w:t>
            </w:r>
          </w:p>
        </w:tc>
        <w:tc>
          <w:tcPr>
            <w:tcW w:w="539" w:type="pct"/>
            <w:tcBorders>
              <w:top w:val="single" w:sz="4" w:space="0" w:color="auto"/>
              <w:left w:val="single" w:sz="4" w:space="0" w:color="auto"/>
              <w:bottom w:val="single" w:sz="4" w:space="0" w:color="auto"/>
              <w:right w:val="single" w:sz="4" w:space="0" w:color="auto"/>
            </w:tcBorders>
            <w:vAlign w:val="center"/>
            <w:hideMark/>
          </w:tcPr>
          <w:p w14:paraId="34938397"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 xml:space="preserve">от 8 декабря </w:t>
            </w:r>
          </w:p>
          <w:p w14:paraId="1A2BF4ED"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 xml:space="preserve">2020 г. </w:t>
            </w:r>
          </w:p>
          <w:p w14:paraId="235FDD00"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 385-ФЗ</w:t>
            </w:r>
          </w:p>
        </w:tc>
        <w:tc>
          <w:tcPr>
            <w:tcW w:w="528" w:type="pct"/>
            <w:tcBorders>
              <w:top w:val="single" w:sz="4" w:space="0" w:color="auto"/>
              <w:left w:val="single" w:sz="4" w:space="0" w:color="auto"/>
              <w:bottom w:val="single" w:sz="4" w:space="0" w:color="auto"/>
              <w:right w:val="single" w:sz="4" w:space="0" w:color="auto"/>
            </w:tcBorders>
            <w:vAlign w:val="center"/>
            <w:hideMark/>
          </w:tcPr>
          <w:p w14:paraId="2FAE059E"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от 6 декабря 2021 г.</w:t>
            </w:r>
          </w:p>
          <w:p w14:paraId="421A5637"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 390-ФЗ</w:t>
            </w:r>
          </w:p>
        </w:tc>
        <w:tc>
          <w:tcPr>
            <w:tcW w:w="614" w:type="pct"/>
            <w:tcBorders>
              <w:top w:val="single" w:sz="4" w:space="0" w:color="auto"/>
              <w:left w:val="single" w:sz="4" w:space="0" w:color="auto"/>
              <w:bottom w:val="single" w:sz="4" w:space="0" w:color="auto"/>
              <w:right w:val="single" w:sz="4" w:space="0" w:color="auto"/>
            </w:tcBorders>
            <w:vAlign w:val="center"/>
            <w:hideMark/>
          </w:tcPr>
          <w:p w14:paraId="076A5154"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январь – сентябрь</w:t>
            </w:r>
          </w:p>
        </w:tc>
        <w:tc>
          <w:tcPr>
            <w:tcW w:w="528" w:type="pct"/>
            <w:tcBorders>
              <w:top w:val="single" w:sz="4" w:space="0" w:color="auto"/>
              <w:left w:val="single" w:sz="4" w:space="0" w:color="auto"/>
              <w:bottom w:val="single" w:sz="4" w:space="0" w:color="auto"/>
              <w:right w:val="single" w:sz="4" w:space="0" w:color="auto"/>
            </w:tcBorders>
            <w:vAlign w:val="center"/>
            <w:hideMark/>
          </w:tcPr>
          <w:p w14:paraId="14BEB2B9" w14:textId="77777777" w:rsidR="00660CBA" w:rsidRPr="00213A5D" w:rsidRDefault="00660CBA" w:rsidP="00AF1852">
            <w:pPr>
              <w:widowControl w:val="0"/>
              <w:overflowPunct/>
              <w:spacing w:line="240" w:lineRule="auto"/>
              <w:ind w:left="0" w:right="0" w:firstLine="0"/>
              <w:jc w:val="center"/>
              <w:rPr>
                <w:rFonts w:eastAsia="Times New Roman"/>
                <w:b/>
                <w:bCs/>
                <w:color w:val="000000"/>
                <w:sz w:val="16"/>
                <w:szCs w:val="16"/>
                <w:lang w:eastAsia="en-US"/>
              </w:rPr>
            </w:pPr>
            <w:r w:rsidRPr="00213A5D">
              <w:rPr>
                <w:rFonts w:eastAsia="Times New Roman"/>
                <w:b/>
                <w:bCs/>
                <w:color w:val="000000"/>
                <w:sz w:val="16"/>
                <w:szCs w:val="16"/>
                <w:lang w:eastAsia="en-US"/>
              </w:rPr>
              <w:t>% (гр. 6/гр.5*100)</w:t>
            </w:r>
          </w:p>
        </w:tc>
      </w:tr>
      <w:tr w:rsidR="00660CBA" w:rsidRPr="00213A5D" w14:paraId="217340E0" w14:textId="77777777" w:rsidTr="009B114B">
        <w:trPr>
          <w:tblHeader/>
        </w:trPr>
        <w:tc>
          <w:tcPr>
            <w:tcW w:w="1709" w:type="pct"/>
            <w:tcBorders>
              <w:top w:val="single" w:sz="4" w:space="0" w:color="auto"/>
              <w:left w:val="single" w:sz="4" w:space="0" w:color="auto"/>
              <w:bottom w:val="single" w:sz="4" w:space="0" w:color="auto"/>
              <w:right w:val="single" w:sz="4" w:space="0" w:color="auto"/>
            </w:tcBorders>
            <w:hideMark/>
          </w:tcPr>
          <w:p w14:paraId="5C802C89" w14:textId="77777777" w:rsidR="00660CBA" w:rsidRPr="00213A5D" w:rsidRDefault="00660CBA" w:rsidP="00AF1852">
            <w:pPr>
              <w:widowControl w:val="0"/>
              <w:overflowPunct/>
              <w:spacing w:line="240" w:lineRule="auto"/>
              <w:ind w:left="0" w:right="0" w:firstLine="0"/>
              <w:jc w:val="center"/>
              <w:rPr>
                <w:rFonts w:eastAsia="Times New Roman"/>
                <w:bCs/>
                <w:color w:val="000000"/>
                <w:sz w:val="16"/>
                <w:szCs w:val="16"/>
                <w:lang w:eastAsia="en-US"/>
              </w:rPr>
            </w:pPr>
            <w:r w:rsidRPr="00213A5D">
              <w:rPr>
                <w:rFonts w:eastAsia="Times New Roman"/>
                <w:bCs/>
                <w:color w:val="000000"/>
                <w:sz w:val="16"/>
                <w:szCs w:val="16"/>
                <w:lang w:eastAsia="en-US"/>
              </w:rPr>
              <w:t>1</w:t>
            </w:r>
          </w:p>
        </w:tc>
        <w:tc>
          <w:tcPr>
            <w:tcW w:w="541" w:type="pct"/>
            <w:tcBorders>
              <w:top w:val="single" w:sz="4" w:space="0" w:color="auto"/>
              <w:left w:val="single" w:sz="4" w:space="0" w:color="auto"/>
              <w:bottom w:val="single" w:sz="4" w:space="0" w:color="auto"/>
              <w:right w:val="single" w:sz="4" w:space="0" w:color="auto"/>
            </w:tcBorders>
            <w:hideMark/>
          </w:tcPr>
          <w:p w14:paraId="3C396301" w14:textId="77777777" w:rsidR="00660CBA" w:rsidRPr="00213A5D" w:rsidRDefault="00660CBA" w:rsidP="00AF1852">
            <w:pPr>
              <w:widowControl w:val="0"/>
              <w:overflowPunct/>
              <w:spacing w:line="240" w:lineRule="auto"/>
              <w:ind w:left="0" w:right="0" w:firstLine="0"/>
              <w:jc w:val="center"/>
              <w:rPr>
                <w:rFonts w:eastAsia="Times New Roman"/>
                <w:bCs/>
                <w:color w:val="000000"/>
                <w:sz w:val="16"/>
                <w:szCs w:val="16"/>
                <w:lang w:eastAsia="en-US"/>
              </w:rPr>
            </w:pPr>
            <w:r w:rsidRPr="00213A5D">
              <w:rPr>
                <w:rFonts w:eastAsia="Times New Roman"/>
                <w:bCs/>
                <w:color w:val="000000"/>
                <w:sz w:val="16"/>
                <w:szCs w:val="16"/>
                <w:lang w:eastAsia="en-US"/>
              </w:rPr>
              <w:t>2</w:t>
            </w:r>
          </w:p>
        </w:tc>
        <w:tc>
          <w:tcPr>
            <w:tcW w:w="541" w:type="pct"/>
            <w:tcBorders>
              <w:top w:val="single" w:sz="4" w:space="0" w:color="auto"/>
              <w:left w:val="single" w:sz="4" w:space="0" w:color="auto"/>
              <w:bottom w:val="single" w:sz="4" w:space="0" w:color="auto"/>
              <w:right w:val="single" w:sz="4" w:space="0" w:color="auto"/>
            </w:tcBorders>
            <w:hideMark/>
          </w:tcPr>
          <w:p w14:paraId="0097F209" w14:textId="77777777" w:rsidR="00660CBA" w:rsidRPr="00213A5D" w:rsidRDefault="00660CBA" w:rsidP="00AF1852">
            <w:pPr>
              <w:widowControl w:val="0"/>
              <w:overflowPunct/>
              <w:spacing w:line="240" w:lineRule="auto"/>
              <w:ind w:left="0" w:right="0" w:firstLine="0"/>
              <w:jc w:val="center"/>
              <w:rPr>
                <w:rFonts w:eastAsia="Times New Roman"/>
                <w:bCs/>
                <w:color w:val="000000"/>
                <w:sz w:val="16"/>
                <w:szCs w:val="16"/>
                <w:lang w:eastAsia="en-US"/>
              </w:rPr>
            </w:pPr>
            <w:r w:rsidRPr="00213A5D">
              <w:rPr>
                <w:rFonts w:eastAsia="Times New Roman"/>
                <w:bCs/>
                <w:color w:val="000000"/>
                <w:sz w:val="16"/>
                <w:szCs w:val="16"/>
                <w:lang w:eastAsia="en-US"/>
              </w:rPr>
              <w:t>3</w:t>
            </w:r>
          </w:p>
        </w:tc>
        <w:tc>
          <w:tcPr>
            <w:tcW w:w="539" w:type="pct"/>
            <w:tcBorders>
              <w:top w:val="single" w:sz="4" w:space="0" w:color="auto"/>
              <w:left w:val="single" w:sz="4" w:space="0" w:color="auto"/>
              <w:bottom w:val="single" w:sz="4" w:space="0" w:color="auto"/>
              <w:right w:val="single" w:sz="4" w:space="0" w:color="auto"/>
            </w:tcBorders>
            <w:hideMark/>
          </w:tcPr>
          <w:p w14:paraId="602D007C" w14:textId="77777777" w:rsidR="00660CBA" w:rsidRPr="00213A5D" w:rsidRDefault="00660CBA" w:rsidP="00AF1852">
            <w:pPr>
              <w:widowControl w:val="0"/>
              <w:overflowPunct/>
              <w:spacing w:line="240" w:lineRule="auto"/>
              <w:ind w:left="0" w:right="0" w:firstLine="0"/>
              <w:jc w:val="center"/>
              <w:rPr>
                <w:rFonts w:eastAsia="Times New Roman"/>
                <w:bCs/>
                <w:color w:val="000000"/>
                <w:sz w:val="16"/>
                <w:szCs w:val="16"/>
                <w:lang w:eastAsia="en-US"/>
              </w:rPr>
            </w:pPr>
            <w:r w:rsidRPr="00213A5D">
              <w:rPr>
                <w:rFonts w:eastAsia="Times New Roman"/>
                <w:bCs/>
                <w:color w:val="000000"/>
                <w:sz w:val="16"/>
                <w:szCs w:val="16"/>
                <w:lang w:eastAsia="en-US"/>
              </w:rPr>
              <w:t>4</w:t>
            </w:r>
          </w:p>
        </w:tc>
        <w:tc>
          <w:tcPr>
            <w:tcW w:w="528" w:type="pct"/>
            <w:tcBorders>
              <w:top w:val="single" w:sz="4" w:space="0" w:color="auto"/>
              <w:left w:val="single" w:sz="4" w:space="0" w:color="auto"/>
              <w:bottom w:val="single" w:sz="4" w:space="0" w:color="auto"/>
              <w:right w:val="single" w:sz="4" w:space="0" w:color="auto"/>
            </w:tcBorders>
            <w:hideMark/>
          </w:tcPr>
          <w:p w14:paraId="39787E40" w14:textId="77777777" w:rsidR="00660CBA" w:rsidRPr="00213A5D" w:rsidRDefault="00660CBA" w:rsidP="00AF1852">
            <w:pPr>
              <w:widowControl w:val="0"/>
              <w:overflowPunct/>
              <w:spacing w:line="240" w:lineRule="auto"/>
              <w:ind w:left="0" w:right="0" w:firstLine="0"/>
              <w:jc w:val="center"/>
              <w:rPr>
                <w:rFonts w:eastAsia="Times New Roman"/>
                <w:bCs/>
                <w:color w:val="000000"/>
                <w:sz w:val="16"/>
                <w:szCs w:val="16"/>
                <w:lang w:eastAsia="en-US"/>
              </w:rPr>
            </w:pPr>
            <w:r w:rsidRPr="00213A5D">
              <w:rPr>
                <w:rFonts w:eastAsia="Times New Roman"/>
                <w:bCs/>
                <w:color w:val="000000"/>
                <w:sz w:val="16"/>
                <w:szCs w:val="16"/>
                <w:lang w:eastAsia="en-US"/>
              </w:rPr>
              <w:t>5</w:t>
            </w:r>
          </w:p>
        </w:tc>
        <w:tc>
          <w:tcPr>
            <w:tcW w:w="614" w:type="pct"/>
            <w:tcBorders>
              <w:top w:val="single" w:sz="4" w:space="0" w:color="auto"/>
              <w:left w:val="single" w:sz="4" w:space="0" w:color="auto"/>
              <w:bottom w:val="single" w:sz="4" w:space="0" w:color="auto"/>
              <w:right w:val="single" w:sz="4" w:space="0" w:color="auto"/>
            </w:tcBorders>
            <w:hideMark/>
          </w:tcPr>
          <w:p w14:paraId="5E901D16" w14:textId="77777777" w:rsidR="00660CBA" w:rsidRPr="00213A5D" w:rsidRDefault="00660CBA" w:rsidP="00AF1852">
            <w:pPr>
              <w:widowControl w:val="0"/>
              <w:overflowPunct/>
              <w:spacing w:line="240" w:lineRule="auto"/>
              <w:ind w:left="0" w:right="0" w:firstLine="0"/>
              <w:jc w:val="center"/>
              <w:rPr>
                <w:rFonts w:eastAsia="Times New Roman"/>
                <w:bCs/>
                <w:color w:val="000000"/>
                <w:sz w:val="16"/>
                <w:szCs w:val="16"/>
                <w:lang w:eastAsia="en-US"/>
              </w:rPr>
            </w:pPr>
            <w:r w:rsidRPr="00213A5D">
              <w:rPr>
                <w:rFonts w:eastAsia="Times New Roman"/>
                <w:bCs/>
                <w:color w:val="000000"/>
                <w:sz w:val="16"/>
                <w:szCs w:val="16"/>
                <w:lang w:eastAsia="en-US"/>
              </w:rPr>
              <w:t>6</w:t>
            </w:r>
          </w:p>
        </w:tc>
        <w:tc>
          <w:tcPr>
            <w:tcW w:w="528" w:type="pct"/>
            <w:tcBorders>
              <w:top w:val="single" w:sz="4" w:space="0" w:color="auto"/>
              <w:left w:val="single" w:sz="4" w:space="0" w:color="auto"/>
              <w:bottom w:val="single" w:sz="4" w:space="0" w:color="auto"/>
              <w:right w:val="single" w:sz="4" w:space="0" w:color="auto"/>
            </w:tcBorders>
            <w:hideMark/>
          </w:tcPr>
          <w:p w14:paraId="59B8CBE7" w14:textId="77777777" w:rsidR="00660CBA" w:rsidRPr="00213A5D" w:rsidRDefault="00660CBA" w:rsidP="00AF1852">
            <w:pPr>
              <w:widowControl w:val="0"/>
              <w:overflowPunct/>
              <w:spacing w:line="240" w:lineRule="auto"/>
              <w:ind w:left="0" w:right="0" w:firstLine="0"/>
              <w:jc w:val="center"/>
              <w:rPr>
                <w:rFonts w:eastAsia="Times New Roman"/>
                <w:bCs/>
                <w:color w:val="000000"/>
                <w:sz w:val="16"/>
                <w:szCs w:val="16"/>
                <w:lang w:eastAsia="en-US"/>
              </w:rPr>
            </w:pPr>
            <w:r w:rsidRPr="00213A5D">
              <w:rPr>
                <w:rFonts w:eastAsia="Times New Roman"/>
                <w:bCs/>
                <w:color w:val="000000"/>
                <w:sz w:val="16"/>
                <w:szCs w:val="16"/>
                <w:lang w:eastAsia="en-US"/>
              </w:rPr>
              <w:t>7</w:t>
            </w:r>
          </w:p>
        </w:tc>
      </w:tr>
      <w:tr w:rsidR="00660CBA" w:rsidRPr="00213A5D" w14:paraId="18103ACA"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5D8C90B0"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ВВП, млрд. рублей</w:t>
            </w:r>
          </w:p>
        </w:tc>
        <w:tc>
          <w:tcPr>
            <w:tcW w:w="541" w:type="pct"/>
            <w:tcBorders>
              <w:top w:val="single" w:sz="4" w:space="0" w:color="auto"/>
              <w:left w:val="single" w:sz="4" w:space="0" w:color="auto"/>
              <w:bottom w:val="single" w:sz="4" w:space="0" w:color="auto"/>
              <w:right w:val="single" w:sz="4" w:space="0" w:color="auto"/>
            </w:tcBorders>
            <w:hideMark/>
          </w:tcPr>
          <w:p w14:paraId="74979C6E"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128 508,0</w:t>
            </w:r>
          </w:p>
        </w:tc>
        <w:tc>
          <w:tcPr>
            <w:tcW w:w="541" w:type="pct"/>
            <w:tcBorders>
              <w:top w:val="single" w:sz="4" w:space="0" w:color="auto"/>
              <w:left w:val="single" w:sz="4" w:space="0" w:color="auto"/>
              <w:bottom w:val="single" w:sz="4" w:space="0" w:color="auto"/>
              <w:right w:val="single" w:sz="4" w:space="0" w:color="auto"/>
            </w:tcBorders>
            <w:hideMark/>
          </w:tcPr>
          <w:p w14:paraId="775928C2"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128 850,0</w:t>
            </w:r>
          </w:p>
        </w:tc>
        <w:tc>
          <w:tcPr>
            <w:tcW w:w="539" w:type="pct"/>
            <w:tcBorders>
              <w:top w:val="single" w:sz="4" w:space="0" w:color="auto"/>
              <w:left w:val="single" w:sz="4" w:space="0" w:color="auto"/>
              <w:bottom w:val="single" w:sz="4" w:space="0" w:color="auto"/>
              <w:right w:val="single" w:sz="4" w:space="0" w:color="auto"/>
            </w:tcBorders>
            <w:hideMark/>
          </w:tcPr>
          <w:p w14:paraId="327DA3F9"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124 223,0</w:t>
            </w:r>
          </w:p>
        </w:tc>
        <w:tc>
          <w:tcPr>
            <w:tcW w:w="528" w:type="pct"/>
            <w:tcBorders>
              <w:top w:val="single" w:sz="4" w:space="0" w:color="auto"/>
              <w:left w:val="single" w:sz="4" w:space="0" w:color="auto"/>
              <w:bottom w:val="single" w:sz="4" w:space="0" w:color="auto"/>
              <w:right w:val="single" w:sz="4" w:space="0" w:color="auto"/>
            </w:tcBorders>
            <w:hideMark/>
          </w:tcPr>
          <w:p w14:paraId="190846ED"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133 328,0</w:t>
            </w:r>
          </w:p>
        </w:tc>
        <w:tc>
          <w:tcPr>
            <w:tcW w:w="614" w:type="pct"/>
            <w:tcBorders>
              <w:top w:val="single" w:sz="4" w:space="0" w:color="auto"/>
              <w:left w:val="single" w:sz="4" w:space="0" w:color="auto"/>
              <w:bottom w:val="single" w:sz="4" w:space="0" w:color="auto"/>
              <w:right w:val="single" w:sz="4" w:space="0" w:color="auto"/>
            </w:tcBorders>
            <w:hideMark/>
          </w:tcPr>
          <w:p w14:paraId="6D959FCD"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105 399,1</w:t>
            </w:r>
          </w:p>
        </w:tc>
        <w:tc>
          <w:tcPr>
            <w:tcW w:w="528" w:type="pct"/>
            <w:tcBorders>
              <w:top w:val="single" w:sz="4" w:space="0" w:color="auto"/>
              <w:left w:val="single" w:sz="4" w:space="0" w:color="auto"/>
              <w:bottom w:val="single" w:sz="4" w:space="0" w:color="auto"/>
              <w:right w:val="single" w:sz="4" w:space="0" w:color="auto"/>
            </w:tcBorders>
            <w:hideMark/>
          </w:tcPr>
          <w:p w14:paraId="20207409"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79,1</w:t>
            </w:r>
          </w:p>
        </w:tc>
      </w:tr>
      <w:tr w:rsidR="00660CBA" w:rsidRPr="00213A5D" w14:paraId="05FDCC7B"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41AC0FBB"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Уровень инфляции, %</w:t>
            </w:r>
          </w:p>
        </w:tc>
        <w:tc>
          <w:tcPr>
            <w:tcW w:w="541" w:type="pct"/>
            <w:tcBorders>
              <w:top w:val="single" w:sz="4" w:space="0" w:color="auto"/>
              <w:left w:val="single" w:sz="4" w:space="0" w:color="auto"/>
              <w:bottom w:val="single" w:sz="4" w:space="0" w:color="auto"/>
              <w:right w:val="single" w:sz="4" w:space="0" w:color="auto"/>
            </w:tcBorders>
            <w:hideMark/>
          </w:tcPr>
          <w:p w14:paraId="00E44331"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4,0</w:t>
            </w:r>
          </w:p>
        </w:tc>
        <w:tc>
          <w:tcPr>
            <w:tcW w:w="541" w:type="pct"/>
            <w:tcBorders>
              <w:top w:val="single" w:sz="4" w:space="0" w:color="auto"/>
              <w:left w:val="single" w:sz="4" w:space="0" w:color="auto"/>
              <w:bottom w:val="single" w:sz="4" w:space="0" w:color="auto"/>
              <w:right w:val="single" w:sz="4" w:space="0" w:color="auto"/>
            </w:tcBorders>
            <w:hideMark/>
          </w:tcPr>
          <w:p w14:paraId="4FF26280"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4,0</w:t>
            </w:r>
          </w:p>
        </w:tc>
        <w:tc>
          <w:tcPr>
            <w:tcW w:w="539" w:type="pct"/>
            <w:tcBorders>
              <w:top w:val="single" w:sz="4" w:space="0" w:color="auto"/>
              <w:left w:val="single" w:sz="4" w:space="0" w:color="auto"/>
              <w:bottom w:val="single" w:sz="4" w:space="0" w:color="auto"/>
              <w:right w:val="single" w:sz="4" w:space="0" w:color="auto"/>
            </w:tcBorders>
            <w:hideMark/>
          </w:tcPr>
          <w:p w14:paraId="20B9AF15"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4,0</w:t>
            </w:r>
          </w:p>
        </w:tc>
        <w:tc>
          <w:tcPr>
            <w:tcW w:w="528" w:type="pct"/>
            <w:tcBorders>
              <w:top w:val="single" w:sz="4" w:space="0" w:color="auto"/>
              <w:left w:val="single" w:sz="4" w:space="0" w:color="auto"/>
              <w:bottom w:val="single" w:sz="4" w:space="0" w:color="auto"/>
              <w:right w:val="single" w:sz="4" w:space="0" w:color="auto"/>
            </w:tcBorders>
            <w:hideMark/>
          </w:tcPr>
          <w:p w14:paraId="0E7E6AC2"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4,0</w:t>
            </w:r>
          </w:p>
        </w:tc>
        <w:tc>
          <w:tcPr>
            <w:tcW w:w="614" w:type="pct"/>
            <w:tcBorders>
              <w:top w:val="single" w:sz="4" w:space="0" w:color="auto"/>
              <w:left w:val="single" w:sz="4" w:space="0" w:color="auto"/>
              <w:bottom w:val="single" w:sz="4" w:space="0" w:color="auto"/>
              <w:right w:val="single" w:sz="4" w:space="0" w:color="auto"/>
            </w:tcBorders>
            <w:shd w:val="clear" w:color="auto" w:fill="FFFFFF"/>
            <w:hideMark/>
          </w:tcPr>
          <w:p w14:paraId="22D25BCF"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10,5</w:t>
            </w:r>
          </w:p>
        </w:tc>
        <w:tc>
          <w:tcPr>
            <w:tcW w:w="528" w:type="pct"/>
            <w:tcBorders>
              <w:top w:val="single" w:sz="4" w:space="0" w:color="auto"/>
              <w:left w:val="single" w:sz="4" w:space="0" w:color="auto"/>
              <w:bottom w:val="single" w:sz="4" w:space="0" w:color="auto"/>
              <w:right w:val="single" w:sz="4" w:space="0" w:color="auto"/>
            </w:tcBorders>
            <w:hideMark/>
          </w:tcPr>
          <w:p w14:paraId="7B18EB0A"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6,5 п.п.</w:t>
            </w:r>
          </w:p>
        </w:tc>
      </w:tr>
      <w:tr w:rsidR="00660CBA" w:rsidRPr="00213A5D" w14:paraId="1F226C34"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749A493F"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 xml:space="preserve">Доходы, млрд. рублей </w:t>
            </w:r>
          </w:p>
        </w:tc>
        <w:tc>
          <w:tcPr>
            <w:tcW w:w="541" w:type="pct"/>
            <w:tcBorders>
              <w:top w:val="single" w:sz="4" w:space="0" w:color="auto"/>
              <w:left w:val="single" w:sz="4" w:space="0" w:color="auto"/>
              <w:bottom w:val="single" w:sz="4" w:space="0" w:color="auto"/>
              <w:right w:val="single" w:sz="4" w:space="0" w:color="auto"/>
            </w:tcBorders>
            <w:hideMark/>
          </w:tcPr>
          <w:p w14:paraId="5DF8E96D"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22 058,3</w:t>
            </w:r>
          </w:p>
        </w:tc>
        <w:tc>
          <w:tcPr>
            <w:tcW w:w="541" w:type="pct"/>
            <w:tcBorders>
              <w:top w:val="single" w:sz="4" w:space="0" w:color="auto"/>
              <w:left w:val="single" w:sz="4" w:space="0" w:color="auto"/>
              <w:bottom w:val="single" w:sz="4" w:space="0" w:color="auto"/>
              <w:right w:val="single" w:sz="4" w:space="0" w:color="auto"/>
            </w:tcBorders>
            <w:hideMark/>
          </w:tcPr>
          <w:p w14:paraId="311FD809"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22 813,6</w:t>
            </w:r>
          </w:p>
        </w:tc>
        <w:tc>
          <w:tcPr>
            <w:tcW w:w="539" w:type="pct"/>
            <w:tcBorders>
              <w:top w:val="single" w:sz="4" w:space="0" w:color="auto"/>
              <w:left w:val="single" w:sz="4" w:space="0" w:color="auto"/>
              <w:bottom w:val="single" w:sz="4" w:space="0" w:color="auto"/>
              <w:right w:val="single" w:sz="4" w:space="0" w:color="auto"/>
            </w:tcBorders>
            <w:hideMark/>
          </w:tcPr>
          <w:p w14:paraId="2DAF9827"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20 637,5</w:t>
            </w:r>
          </w:p>
        </w:tc>
        <w:tc>
          <w:tcPr>
            <w:tcW w:w="528" w:type="pct"/>
            <w:tcBorders>
              <w:top w:val="single" w:sz="4" w:space="0" w:color="auto"/>
              <w:left w:val="single" w:sz="4" w:space="0" w:color="auto"/>
              <w:bottom w:val="single" w:sz="4" w:space="0" w:color="auto"/>
              <w:right w:val="single" w:sz="4" w:space="0" w:color="auto"/>
            </w:tcBorders>
            <w:hideMark/>
          </w:tcPr>
          <w:p w14:paraId="446CE390"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25 021,9</w:t>
            </w:r>
          </w:p>
        </w:tc>
        <w:tc>
          <w:tcPr>
            <w:tcW w:w="614" w:type="pct"/>
            <w:tcBorders>
              <w:top w:val="single" w:sz="4" w:space="0" w:color="auto"/>
              <w:left w:val="single" w:sz="4" w:space="0" w:color="auto"/>
              <w:bottom w:val="single" w:sz="4" w:space="0" w:color="auto"/>
              <w:right w:val="single" w:sz="4" w:space="0" w:color="auto"/>
            </w:tcBorders>
            <w:hideMark/>
          </w:tcPr>
          <w:p w14:paraId="2062EB86"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19 739,6</w:t>
            </w:r>
          </w:p>
        </w:tc>
        <w:tc>
          <w:tcPr>
            <w:tcW w:w="528" w:type="pct"/>
            <w:tcBorders>
              <w:top w:val="single" w:sz="4" w:space="0" w:color="auto"/>
              <w:left w:val="single" w:sz="4" w:space="0" w:color="auto"/>
              <w:bottom w:val="single" w:sz="4" w:space="0" w:color="auto"/>
              <w:right w:val="single" w:sz="4" w:space="0" w:color="auto"/>
            </w:tcBorders>
            <w:hideMark/>
          </w:tcPr>
          <w:p w14:paraId="0DF22FDA"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78,9</w:t>
            </w:r>
          </w:p>
        </w:tc>
      </w:tr>
      <w:tr w:rsidR="00660CBA" w:rsidRPr="00213A5D" w14:paraId="7F8CB1B8"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069DCE9A"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в % к ВВП за соответствующий период</w:t>
            </w:r>
          </w:p>
        </w:tc>
        <w:tc>
          <w:tcPr>
            <w:tcW w:w="541" w:type="pct"/>
            <w:tcBorders>
              <w:top w:val="single" w:sz="4" w:space="0" w:color="auto"/>
              <w:left w:val="single" w:sz="4" w:space="0" w:color="auto"/>
              <w:bottom w:val="single" w:sz="4" w:space="0" w:color="auto"/>
              <w:right w:val="single" w:sz="4" w:space="0" w:color="auto"/>
            </w:tcBorders>
            <w:hideMark/>
          </w:tcPr>
          <w:p w14:paraId="6F0B96E6"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17,2</w:t>
            </w:r>
          </w:p>
        </w:tc>
        <w:tc>
          <w:tcPr>
            <w:tcW w:w="541" w:type="pct"/>
            <w:tcBorders>
              <w:top w:val="single" w:sz="4" w:space="0" w:color="auto"/>
              <w:left w:val="single" w:sz="4" w:space="0" w:color="auto"/>
              <w:bottom w:val="single" w:sz="4" w:space="0" w:color="auto"/>
              <w:right w:val="single" w:sz="4" w:space="0" w:color="auto"/>
            </w:tcBorders>
            <w:hideMark/>
          </w:tcPr>
          <w:p w14:paraId="2AA8F529"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17,7</w:t>
            </w:r>
          </w:p>
        </w:tc>
        <w:tc>
          <w:tcPr>
            <w:tcW w:w="539" w:type="pct"/>
            <w:tcBorders>
              <w:top w:val="single" w:sz="4" w:space="0" w:color="auto"/>
              <w:left w:val="single" w:sz="4" w:space="0" w:color="auto"/>
              <w:bottom w:val="single" w:sz="4" w:space="0" w:color="auto"/>
              <w:right w:val="single" w:sz="4" w:space="0" w:color="auto"/>
            </w:tcBorders>
            <w:hideMark/>
          </w:tcPr>
          <w:p w14:paraId="2ED1E642"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16,6</w:t>
            </w:r>
          </w:p>
        </w:tc>
        <w:tc>
          <w:tcPr>
            <w:tcW w:w="528" w:type="pct"/>
            <w:tcBorders>
              <w:top w:val="single" w:sz="4" w:space="0" w:color="auto"/>
              <w:left w:val="single" w:sz="4" w:space="0" w:color="auto"/>
              <w:bottom w:val="single" w:sz="4" w:space="0" w:color="auto"/>
              <w:right w:val="single" w:sz="4" w:space="0" w:color="auto"/>
            </w:tcBorders>
            <w:hideMark/>
          </w:tcPr>
          <w:p w14:paraId="457B4CF1"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18,8</w:t>
            </w:r>
          </w:p>
        </w:tc>
        <w:tc>
          <w:tcPr>
            <w:tcW w:w="614" w:type="pct"/>
            <w:tcBorders>
              <w:top w:val="single" w:sz="4" w:space="0" w:color="auto"/>
              <w:left w:val="single" w:sz="4" w:space="0" w:color="auto"/>
              <w:bottom w:val="single" w:sz="4" w:space="0" w:color="auto"/>
              <w:right w:val="single" w:sz="4" w:space="0" w:color="auto"/>
            </w:tcBorders>
            <w:hideMark/>
          </w:tcPr>
          <w:p w14:paraId="264380A9"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18,7</w:t>
            </w:r>
          </w:p>
        </w:tc>
        <w:tc>
          <w:tcPr>
            <w:tcW w:w="528" w:type="pct"/>
            <w:tcBorders>
              <w:top w:val="single" w:sz="4" w:space="0" w:color="auto"/>
              <w:left w:val="single" w:sz="4" w:space="0" w:color="auto"/>
              <w:bottom w:val="single" w:sz="4" w:space="0" w:color="auto"/>
              <w:right w:val="single" w:sz="4" w:space="0" w:color="auto"/>
            </w:tcBorders>
            <w:hideMark/>
          </w:tcPr>
          <w:p w14:paraId="06AB9556"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х</w:t>
            </w:r>
          </w:p>
        </w:tc>
      </w:tr>
      <w:tr w:rsidR="00660CBA" w:rsidRPr="00213A5D" w14:paraId="60A73FA0"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538AE9DC"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 xml:space="preserve">в т. ч. прогнозируемый объем дополнительных </w:t>
            </w:r>
            <w:r w:rsidRPr="00213A5D">
              <w:rPr>
                <w:rFonts w:eastAsia="Times New Roman"/>
                <w:color w:val="000000"/>
                <w:sz w:val="16"/>
                <w:szCs w:val="16"/>
                <w:lang w:eastAsia="en-US"/>
              </w:rPr>
              <w:lastRenderedPageBreak/>
              <w:t xml:space="preserve">нефтегазовых доходов федерального бюджета, млрд. рублей </w:t>
            </w:r>
          </w:p>
        </w:tc>
        <w:tc>
          <w:tcPr>
            <w:tcW w:w="541" w:type="pct"/>
            <w:tcBorders>
              <w:top w:val="single" w:sz="4" w:space="0" w:color="auto"/>
              <w:left w:val="single" w:sz="4" w:space="0" w:color="auto"/>
              <w:bottom w:val="single" w:sz="4" w:space="0" w:color="auto"/>
              <w:right w:val="single" w:sz="4" w:space="0" w:color="auto"/>
            </w:tcBorders>
            <w:hideMark/>
          </w:tcPr>
          <w:p w14:paraId="133A8D3E"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lastRenderedPageBreak/>
              <w:t>2 035,7</w:t>
            </w:r>
          </w:p>
        </w:tc>
        <w:tc>
          <w:tcPr>
            <w:tcW w:w="541" w:type="pct"/>
            <w:tcBorders>
              <w:top w:val="single" w:sz="4" w:space="0" w:color="auto"/>
              <w:left w:val="single" w:sz="4" w:space="0" w:color="auto"/>
              <w:bottom w:val="single" w:sz="4" w:space="0" w:color="auto"/>
              <w:right w:val="single" w:sz="4" w:space="0" w:color="auto"/>
            </w:tcBorders>
            <w:hideMark/>
          </w:tcPr>
          <w:p w14:paraId="484941B7"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2 113,4</w:t>
            </w:r>
          </w:p>
        </w:tc>
        <w:tc>
          <w:tcPr>
            <w:tcW w:w="539" w:type="pct"/>
            <w:tcBorders>
              <w:top w:val="single" w:sz="4" w:space="0" w:color="auto"/>
              <w:left w:val="single" w:sz="4" w:space="0" w:color="auto"/>
              <w:bottom w:val="single" w:sz="4" w:space="0" w:color="auto"/>
              <w:right w:val="single" w:sz="4" w:space="0" w:color="auto"/>
            </w:tcBorders>
            <w:hideMark/>
          </w:tcPr>
          <w:p w14:paraId="3D6ADA2E"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702,7</w:t>
            </w:r>
          </w:p>
        </w:tc>
        <w:tc>
          <w:tcPr>
            <w:tcW w:w="528" w:type="pct"/>
            <w:tcBorders>
              <w:top w:val="single" w:sz="4" w:space="0" w:color="auto"/>
              <w:left w:val="single" w:sz="4" w:space="0" w:color="auto"/>
              <w:bottom w:val="single" w:sz="4" w:space="0" w:color="auto"/>
              <w:right w:val="single" w:sz="4" w:space="0" w:color="auto"/>
            </w:tcBorders>
            <w:hideMark/>
          </w:tcPr>
          <w:p w14:paraId="4740E23D"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3 397,7</w:t>
            </w:r>
          </w:p>
        </w:tc>
        <w:tc>
          <w:tcPr>
            <w:tcW w:w="614" w:type="pct"/>
            <w:tcBorders>
              <w:top w:val="single" w:sz="4" w:space="0" w:color="auto"/>
              <w:left w:val="single" w:sz="4" w:space="0" w:color="auto"/>
              <w:bottom w:val="single" w:sz="4" w:space="0" w:color="auto"/>
              <w:right w:val="single" w:sz="4" w:space="0" w:color="auto"/>
            </w:tcBorders>
            <w:hideMark/>
          </w:tcPr>
          <w:p w14:paraId="1F341B99"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4 368,0</w:t>
            </w:r>
          </w:p>
        </w:tc>
        <w:tc>
          <w:tcPr>
            <w:tcW w:w="528" w:type="pct"/>
            <w:tcBorders>
              <w:top w:val="single" w:sz="4" w:space="0" w:color="auto"/>
              <w:left w:val="single" w:sz="4" w:space="0" w:color="auto"/>
              <w:bottom w:val="single" w:sz="4" w:space="0" w:color="auto"/>
              <w:right w:val="single" w:sz="4" w:space="0" w:color="auto"/>
            </w:tcBorders>
            <w:hideMark/>
          </w:tcPr>
          <w:p w14:paraId="2D138377"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128,6</w:t>
            </w:r>
          </w:p>
        </w:tc>
      </w:tr>
      <w:tr w:rsidR="00660CBA" w:rsidRPr="00213A5D" w14:paraId="3569D348"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0B40BD56"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в % к ВВП за соответствующий период</w:t>
            </w:r>
          </w:p>
        </w:tc>
        <w:tc>
          <w:tcPr>
            <w:tcW w:w="541" w:type="pct"/>
            <w:tcBorders>
              <w:top w:val="single" w:sz="4" w:space="0" w:color="auto"/>
              <w:left w:val="single" w:sz="4" w:space="0" w:color="auto"/>
              <w:bottom w:val="single" w:sz="4" w:space="0" w:color="auto"/>
              <w:right w:val="single" w:sz="4" w:space="0" w:color="auto"/>
            </w:tcBorders>
            <w:hideMark/>
          </w:tcPr>
          <w:p w14:paraId="4DAC4869"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1,6</w:t>
            </w:r>
          </w:p>
        </w:tc>
        <w:tc>
          <w:tcPr>
            <w:tcW w:w="541" w:type="pct"/>
            <w:tcBorders>
              <w:top w:val="single" w:sz="4" w:space="0" w:color="auto"/>
              <w:left w:val="single" w:sz="4" w:space="0" w:color="auto"/>
              <w:bottom w:val="single" w:sz="4" w:space="0" w:color="auto"/>
              <w:right w:val="single" w:sz="4" w:space="0" w:color="auto"/>
            </w:tcBorders>
            <w:hideMark/>
          </w:tcPr>
          <w:p w14:paraId="6562B88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1,6</w:t>
            </w:r>
          </w:p>
        </w:tc>
        <w:tc>
          <w:tcPr>
            <w:tcW w:w="539" w:type="pct"/>
            <w:tcBorders>
              <w:top w:val="single" w:sz="4" w:space="0" w:color="auto"/>
              <w:left w:val="single" w:sz="4" w:space="0" w:color="auto"/>
              <w:bottom w:val="single" w:sz="4" w:space="0" w:color="auto"/>
              <w:right w:val="single" w:sz="4" w:space="0" w:color="auto"/>
            </w:tcBorders>
            <w:hideMark/>
          </w:tcPr>
          <w:p w14:paraId="174D67AA"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0,6</w:t>
            </w:r>
          </w:p>
        </w:tc>
        <w:tc>
          <w:tcPr>
            <w:tcW w:w="528" w:type="pct"/>
            <w:tcBorders>
              <w:top w:val="single" w:sz="4" w:space="0" w:color="auto"/>
              <w:left w:val="single" w:sz="4" w:space="0" w:color="auto"/>
              <w:bottom w:val="single" w:sz="4" w:space="0" w:color="auto"/>
              <w:right w:val="single" w:sz="4" w:space="0" w:color="auto"/>
            </w:tcBorders>
            <w:hideMark/>
          </w:tcPr>
          <w:p w14:paraId="0F8E91B8"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2,5</w:t>
            </w:r>
          </w:p>
        </w:tc>
        <w:tc>
          <w:tcPr>
            <w:tcW w:w="614" w:type="pct"/>
            <w:tcBorders>
              <w:top w:val="single" w:sz="4" w:space="0" w:color="auto"/>
              <w:left w:val="single" w:sz="4" w:space="0" w:color="auto"/>
              <w:bottom w:val="single" w:sz="4" w:space="0" w:color="auto"/>
              <w:right w:val="single" w:sz="4" w:space="0" w:color="auto"/>
            </w:tcBorders>
            <w:hideMark/>
          </w:tcPr>
          <w:p w14:paraId="6B78F2B8"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4,1</w:t>
            </w:r>
          </w:p>
        </w:tc>
        <w:tc>
          <w:tcPr>
            <w:tcW w:w="528" w:type="pct"/>
            <w:tcBorders>
              <w:top w:val="single" w:sz="4" w:space="0" w:color="auto"/>
              <w:left w:val="single" w:sz="4" w:space="0" w:color="auto"/>
              <w:bottom w:val="single" w:sz="4" w:space="0" w:color="auto"/>
              <w:right w:val="single" w:sz="4" w:space="0" w:color="auto"/>
            </w:tcBorders>
            <w:hideMark/>
          </w:tcPr>
          <w:p w14:paraId="1A046380"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х</w:t>
            </w:r>
          </w:p>
        </w:tc>
      </w:tr>
      <w:tr w:rsidR="00660CBA" w:rsidRPr="00213A5D" w14:paraId="4E04FC7B"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37DB4A52"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 xml:space="preserve">Расходы, млрд. рублей </w:t>
            </w:r>
          </w:p>
        </w:tc>
        <w:tc>
          <w:tcPr>
            <w:tcW w:w="541" w:type="pct"/>
            <w:tcBorders>
              <w:top w:val="single" w:sz="4" w:space="0" w:color="auto"/>
              <w:left w:val="single" w:sz="4" w:space="0" w:color="auto"/>
              <w:bottom w:val="single" w:sz="4" w:space="0" w:color="auto"/>
              <w:right w:val="single" w:sz="4" w:space="0" w:color="auto"/>
            </w:tcBorders>
            <w:hideMark/>
          </w:tcPr>
          <w:p w14:paraId="72BF0B78"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21 763,3</w:t>
            </w:r>
          </w:p>
        </w:tc>
        <w:tc>
          <w:tcPr>
            <w:tcW w:w="541" w:type="pct"/>
            <w:tcBorders>
              <w:top w:val="single" w:sz="4" w:space="0" w:color="auto"/>
              <w:left w:val="single" w:sz="4" w:space="0" w:color="auto"/>
              <w:bottom w:val="single" w:sz="4" w:space="0" w:color="auto"/>
              <w:right w:val="single" w:sz="4" w:space="0" w:color="auto"/>
            </w:tcBorders>
            <w:hideMark/>
          </w:tcPr>
          <w:p w14:paraId="2627F91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22 440,9</w:t>
            </w:r>
          </w:p>
        </w:tc>
        <w:tc>
          <w:tcPr>
            <w:tcW w:w="539" w:type="pct"/>
            <w:tcBorders>
              <w:top w:val="single" w:sz="4" w:space="0" w:color="auto"/>
              <w:left w:val="single" w:sz="4" w:space="0" w:color="auto"/>
              <w:bottom w:val="single" w:sz="4" w:space="0" w:color="auto"/>
              <w:right w:val="single" w:sz="4" w:space="0" w:color="auto"/>
            </w:tcBorders>
            <w:hideMark/>
          </w:tcPr>
          <w:p w14:paraId="668B18C1"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21 885,0</w:t>
            </w:r>
          </w:p>
        </w:tc>
        <w:tc>
          <w:tcPr>
            <w:tcW w:w="528" w:type="pct"/>
            <w:tcBorders>
              <w:top w:val="single" w:sz="4" w:space="0" w:color="auto"/>
              <w:left w:val="single" w:sz="4" w:space="0" w:color="auto"/>
              <w:bottom w:val="single" w:sz="4" w:space="0" w:color="auto"/>
              <w:right w:val="single" w:sz="4" w:space="0" w:color="auto"/>
            </w:tcBorders>
            <w:hideMark/>
          </w:tcPr>
          <w:p w14:paraId="01418F91"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23 694,2</w:t>
            </w:r>
          </w:p>
        </w:tc>
        <w:tc>
          <w:tcPr>
            <w:tcW w:w="614" w:type="pct"/>
            <w:tcBorders>
              <w:top w:val="single" w:sz="4" w:space="0" w:color="auto"/>
              <w:left w:val="single" w:sz="4" w:space="0" w:color="auto"/>
              <w:bottom w:val="single" w:sz="4" w:space="0" w:color="auto"/>
              <w:right w:val="single" w:sz="4" w:space="0" w:color="auto"/>
            </w:tcBorders>
            <w:hideMark/>
          </w:tcPr>
          <w:p w14:paraId="4B2D4CEC"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19 654,0</w:t>
            </w:r>
          </w:p>
        </w:tc>
        <w:tc>
          <w:tcPr>
            <w:tcW w:w="528" w:type="pct"/>
            <w:tcBorders>
              <w:top w:val="single" w:sz="4" w:space="0" w:color="auto"/>
              <w:left w:val="single" w:sz="4" w:space="0" w:color="auto"/>
              <w:bottom w:val="single" w:sz="4" w:space="0" w:color="auto"/>
              <w:right w:val="single" w:sz="4" w:space="0" w:color="auto"/>
            </w:tcBorders>
            <w:hideMark/>
          </w:tcPr>
          <w:p w14:paraId="23ECC9C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82,9</w:t>
            </w:r>
          </w:p>
        </w:tc>
      </w:tr>
      <w:tr w:rsidR="00660CBA" w:rsidRPr="00213A5D" w14:paraId="0D035FFD"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3056CED4"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в % к ВВП</w:t>
            </w:r>
          </w:p>
        </w:tc>
        <w:tc>
          <w:tcPr>
            <w:tcW w:w="541" w:type="pct"/>
            <w:tcBorders>
              <w:top w:val="single" w:sz="4" w:space="0" w:color="auto"/>
              <w:left w:val="single" w:sz="4" w:space="0" w:color="auto"/>
              <w:bottom w:val="single" w:sz="4" w:space="0" w:color="auto"/>
              <w:right w:val="single" w:sz="4" w:space="0" w:color="auto"/>
            </w:tcBorders>
            <w:hideMark/>
          </w:tcPr>
          <w:p w14:paraId="0D49742F"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16,9</w:t>
            </w:r>
          </w:p>
        </w:tc>
        <w:tc>
          <w:tcPr>
            <w:tcW w:w="541" w:type="pct"/>
            <w:tcBorders>
              <w:top w:val="single" w:sz="4" w:space="0" w:color="auto"/>
              <w:left w:val="single" w:sz="4" w:space="0" w:color="auto"/>
              <w:bottom w:val="single" w:sz="4" w:space="0" w:color="auto"/>
              <w:right w:val="single" w:sz="4" w:space="0" w:color="auto"/>
            </w:tcBorders>
            <w:hideMark/>
          </w:tcPr>
          <w:p w14:paraId="55FAE865"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17,4</w:t>
            </w:r>
          </w:p>
        </w:tc>
        <w:tc>
          <w:tcPr>
            <w:tcW w:w="539" w:type="pct"/>
            <w:tcBorders>
              <w:top w:val="single" w:sz="4" w:space="0" w:color="auto"/>
              <w:left w:val="single" w:sz="4" w:space="0" w:color="auto"/>
              <w:bottom w:val="single" w:sz="4" w:space="0" w:color="auto"/>
              <w:right w:val="single" w:sz="4" w:space="0" w:color="auto"/>
            </w:tcBorders>
            <w:hideMark/>
          </w:tcPr>
          <w:p w14:paraId="15B242CF"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17,6</w:t>
            </w:r>
          </w:p>
        </w:tc>
        <w:tc>
          <w:tcPr>
            <w:tcW w:w="528" w:type="pct"/>
            <w:tcBorders>
              <w:top w:val="single" w:sz="4" w:space="0" w:color="auto"/>
              <w:left w:val="single" w:sz="4" w:space="0" w:color="auto"/>
              <w:bottom w:val="single" w:sz="4" w:space="0" w:color="auto"/>
              <w:right w:val="single" w:sz="4" w:space="0" w:color="auto"/>
            </w:tcBorders>
            <w:hideMark/>
          </w:tcPr>
          <w:p w14:paraId="72B9CA0D"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17,8</w:t>
            </w:r>
          </w:p>
        </w:tc>
        <w:tc>
          <w:tcPr>
            <w:tcW w:w="614" w:type="pct"/>
            <w:tcBorders>
              <w:top w:val="single" w:sz="4" w:space="0" w:color="auto"/>
              <w:left w:val="single" w:sz="4" w:space="0" w:color="auto"/>
              <w:bottom w:val="single" w:sz="4" w:space="0" w:color="auto"/>
              <w:right w:val="single" w:sz="4" w:space="0" w:color="auto"/>
            </w:tcBorders>
            <w:hideMark/>
          </w:tcPr>
          <w:p w14:paraId="5C89402B"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18,6</w:t>
            </w:r>
          </w:p>
        </w:tc>
        <w:tc>
          <w:tcPr>
            <w:tcW w:w="528" w:type="pct"/>
            <w:tcBorders>
              <w:top w:val="single" w:sz="4" w:space="0" w:color="auto"/>
              <w:left w:val="single" w:sz="4" w:space="0" w:color="auto"/>
              <w:bottom w:val="single" w:sz="4" w:space="0" w:color="auto"/>
              <w:right w:val="single" w:sz="4" w:space="0" w:color="auto"/>
            </w:tcBorders>
            <w:hideMark/>
          </w:tcPr>
          <w:p w14:paraId="186F9DBF"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х</w:t>
            </w:r>
          </w:p>
        </w:tc>
      </w:tr>
      <w:tr w:rsidR="00660CBA" w:rsidRPr="00213A5D" w14:paraId="6812C183"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558617D8"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Дефицит (-) профицит (+), млрд. рублей</w:t>
            </w:r>
          </w:p>
        </w:tc>
        <w:tc>
          <w:tcPr>
            <w:tcW w:w="541" w:type="pct"/>
            <w:tcBorders>
              <w:top w:val="single" w:sz="4" w:space="0" w:color="auto"/>
              <w:left w:val="single" w:sz="4" w:space="0" w:color="auto"/>
              <w:bottom w:val="single" w:sz="4" w:space="0" w:color="auto"/>
              <w:right w:val="single" w:sz="4" w:space="0" w:color="auto"/>
            </w:tcBorders>
            <w:hideMark/>
          </w:tcPr>
          <w:p w14:paraId="144D9662"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295,0</w:t>
            </w:r>
          </w:p>
        </w:tc>
        <w:tc>
          <w:tcPr>
            <w:tcW w:w="541" w:type="pct"/>
            <w:tcBorders>
              <w:top w:val="single" w:sz="4" w:space="0" w:color="auto"/>
              <w:left w:val="single" w:sz="4" w:space="0" w:color="auto"/>
              <w:bottom w:val="single" w:sz="4" w:space="0" w:color="auto"/>
              <w:right w:val="single" w:sz="4" w:space="0" w:color="auto"/>
            </w:tcBorders>
            <w:hideMark/>
          </w:tcPr>
          <w:p w14:paraId="7F8EEA11"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372,7</w:t>
            </w:r>
          </w:p>
        </w:tc>
        <w:tc>
          <w:tcPr>
            <w:tcW w:w="539" w:type="pct"/>
            <w:tcBorders>
              <w:top w:val="single" w:sz="4" w:space="0" w:color="auto"/>
              <w:left w:val="single" w:sz="4" w:space="0" w:color="auto"/>
              <w:bottom w:val="single" w:sz="4" w:space="0" w:color="auto"/>
              <w:right w:val="single" w:sz="4" w:space="0" w:color="auto"/>
            </w:tcBorders>
            <w:hideMark/>
          </w:tcPr>
          <w:p w14:paraId="28B67E6C"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-1 247,5</w:t>
            </w:r>
          </w:p>
        </w:tc>
        <w:tc>
          <w:tcPr>
            <w:tcW w:w="528" w:type="pct"/>
            <w:tcBorders>
              <w:top w:val="single" w:sz="4" w:space="0" w:color="auto"/>
              <w:left w:val="single" w:sz="4" w:space="0" w:color="auto"/>
              <w:bottom w:val="single" w:sz="4" w:space="0" w:color="auto"/>
              <w:right w:val="single" w:sz="4" w:space="0" w:color="auto"/>
            </w:tcBorders>
            <w:hideMark/>
          </w:tcPr>
          <w:p w14:paraId="7C1CAC9A"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1 327,7</w:t>
            </w:r>
          </w:p>
        </w:tc>
        <w:tc>
          <w:tcPr>
            <w:tcW w:w="614" w:type="pct"/>
            <w:tcBorders>
              <w:top w:val="single" w:sz="4" w:space="0" w:color="auto"/>
              <w:left w:val="single" w:sz="4" w:space="0" w:color="auto"/>
              <w:bottom w:val="single" w:sz="4" w:space="0" w:color="auto"/>
              <w:right w:val="single" w:sz="4" w:space="0" w:color="auto"/>
            </w:tcBorders>
            <w:hideMark/>
          </w:tcPr>
          <w:p w14:paraId="73169910"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85,6</w:t>
            </w:r>
          </w:p>
        </w:tc>
        <w:tc>
          <w:tcPr>
            <w:tcW w:w="528" w:type="pct"/>
            <w:tcBorders>
              <w:top w:val="single" w:sz="4" w:space="0" w:color="auto"/>
              <w:left w:val="single" w:sz="4" w:space="0" w:color="auto"/>
              <w:bottom w:val="single" w:sz="4" w:space="0" w:color="auto"/>
              <w:right w:val="single" w:sz="4" w:space="0" w:color="auto"/>
            </w:tcBorders>
            <w:hideMark/>
          </w:tcPr>
          <w:p w14:paraId="44FAE43D"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6,4</w:t>
            </w:r>
          </w:p>
        </w:tc>
      </w:tr>
      <w:tr w:rsidR="00660CBA" w:rsidRPr="00213A5D" w14:paraId="553B5AE7"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3296B820"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в % к ВВП за соответствующий период</w:t>
            </w:r>
          </w:p>
        </w:tc>
        <w:tc>
          <w:tcPr>
            <w:tcW w:w="541" w:type="pct"/>
            <w:tcBorders>
              <w:top w:val="single" w:sz="4" w:space="0" w:color="auto"/>
              <w:left w:val="single" w:sz="4" w:space="0" w:color="auto"/>
              <w:bottom w:val="single" w:sz="4" w:space="0" w:color="auto"/>
              <w:right w:val="single" w:sz="4" w:space="0" w:color="auto"/>
            </w:tcBorders>
            <w:hideMark/>
          </w:tcPr>
          <w:p w14:paraId="5B226EED"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0,2</w:t>
            </w:r>
          </w:p>
        </w:tc>
        <w:tc>
          <w:tcPr>
            <w:tcW w:w="541" w:type="pct"/>
            <w:tcBorders>
              <w:top w:val="single" w:sz="4" w:space="0" w:color="auto"/>
              <w:left w:val="single" w:sz="4" w:space="0" w:color="auto"/>
              <w:bottom w:val="single" w:sz="4" w:space="0" w:color="auto"/>
              <w:right w:val="single" w:sz="4" w:space="0" w:color="auto"/>
            </w:tcBorders>
            <w:hideMark/>
          </w:tcPr>
          <w:p w14:paraId="530668FE"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0,3</w:t>
            </w:r>
          </w:p>
        </w:tc>
        <w:tc>
          <w:tcPr>
            <w:tcW w:w="539" w:type="pct"/>
            <w:tcBorders>
              <w:top w:val="single" w:sz="4" w:space="0" w:color="auto"/>
              <w:left w:val="single" w:sz="4" w:space="0" w:color="auto"/>
              <w:bottom w:val="single" w:sz="4" w:space="0" w:color="auto"/>
              <w:right w:val="single" w:sz="4" w:space="0" w:color="auto"/>
            </w:tcBorders>
            <w:hideMark/>
          </w:tcPr>
          <w:p w14:paraId="37F6AB85"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1,0</w:t>
            </w:r>
          </w:p>
        </w:tc>
        <w:tc>
          <w:tcPr>
            <w:tcW w:w="528" w:type="pct"/>
            <w:tcBorders>
              <w:top w:val="single" w:sz="4" w:space="0" w:color="auto"/>
              <w:left w:val="single" w:sz="4" w:space="0" w:color="auto"/>
              <w:bottom w:val="single" w:sz="4" w:space="0" w:color="auto"/>
              <w:right w:val="single" w:sz="4" w:space="0" w:color="auto"/>
            </w:tcBorders>
            <w:hideMark/>
          </w:tcPr>
          <w:p w14:paraId="0D1EDF97"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1,0</w:t>
            </w:r>
          </w:p>
        </w:tc>
        <w:tc>
          <w:tcPr>
            <w:tcW w:w="614" w:type="pct"/>
            <w:tcBorders>
              <w:top w:val="single" w:sz="4" w:space="0" w:color="auto"/>
              <w:left w:val="single" w:sz="4" w:space="0" w:color="auto"/>
              <w:bottom w:val="single" w:sz="4" w:space="0" w:color="auto"/>
              <w:right w:val="single" w:sz="4" w:space="0" w:color="auto"/>
            </w:tcBorders>
            <w:hideMark/>
          </w:tcPr>
          <w:p w14:paraId="7474684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0,1</w:t>
            </w:r>
          </w:p>
        </w:tc>
        <w:tc>
          <w:tcPr>
            <w:tcW w:w="528" w:type="pct"/>
            <w:tcBorders>
              <w:top w:val="single" w:sz="4" w:space="0" w:color="auto"/>
              <w:left w:val="single" w:sz="4" w:space="0" w:color="auto"/>
              <w:bottom w:val="single" w:sz="4" w:space="0" w:color="auto"/>
              <w:right w:val="single" w:sz="4" w:space="0" w:color="auto"/>
            </w:tcBorders>
            <w:hideMark/>
          </w:tcPr>
          <w:p w14:paraId="30D0CC5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х</w:t>
            </w:r>
          </w:p>
        </w:tc>
      </w:tr>
      <w:tr w:rsidR="00660CBA" w:rsidRPr="00213A5D" w14:paraId="4B59AF5D"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611B2615"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Верхний предел внутреннего долга на 1 января 2023 года, млрд. рублей</w:t>
            </w:r>
          </w:p>
        </w:tc>
        <w:tc>
          <w:tcPr>
            <w:tcW w:w="541" w:type="pct"/>
            <w:tcBorders>
              <w:top w:val="single" w:sz="4" w:space="0" w:color="auto"/>
              <w:left w:val="single" w:sz="4" w:space="0" w:color="auto"/>
              <w:bottom w:val="single" w:sz="4" w:space="0" w:color="auto"/>
              <w:right w:val="single" w:sz="4" w:space="0" w:color="auto"/>
            </w:tcBorders>
            <w:hideMark/>
          </w:tcPr>
          <w:p w14:paraId="6990EF7C"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16 619,3</w:t>
            </w:r>
          </w:p>
        </w:tc>
        <w:tc>
          <w:tcPr>
            <w:tcW w:w="541" w:type="pct"/>
            <w:tcBorders>
              <w:top w:val="single" w:sz="4" w:space="0" w:color="auto"/>
              <w:left w:val="single" w:sz="4" w:space="0" w:color="auto"/>
              <w:bottom w:val="single" w:sz="4" w:space="0" w:color="auto"/>
              <w:right w:val="single" w:sz="4" w:space="0" w:color="auto"/>
            </w:tcBorders>
            <w:hideMark/>
          </w:tcPr>
          <w:p w14:paraId="78404B8C"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16 619,3</w:t>
            </w:r>
          </w:p>
        </w:tc>
        <w:tc>
          <w:tcPr>
            <w:tcW w:w="539" w:type="pct"/>
            <w:tcBorders>
              <w:top w:val="single" w:sz="4" w:space="0" w:color="auto"/>
              <w:left w:val="single" w:sz="4" w:space="0" w:color="auto"/>
              <w:bottom w:val="single" w:sz="4" w:space="0" w:color="auto"/>
              <w:right w:val="single" w:sz="4" w:space="0" w:color="auto"/>
            </w:tcBorders>
            <w:hideMark/>
          </w:tcPr>
          <w:p w14:paraId="559F4274"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20 519,2</w:t>
            </w:r>
          </w:p>
        </w:tc>
        <w:tc>
          <w:tcPr>
            <w:tcW w:w="528" w:type="pct"/>
            <w:tcBorders>
              <w:top w:val="single" w:sz="4" w:space="0" w:color="auto"/>
              <w:left w:val="single" w:sz="4" w:space="0" w:color="auto"/>
              <w:bottom w:val="single" w:sz="4" w:space="0" w:color="auto"/>
              <w:right w:val="single" w:sz="4" w:space="0" w:color="auto"/>
            </w:tcBorders>
            <w:hideMark/>
          </w:tcPr>
          <w:p w14:paraId="59C53B1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20 815,0</w:t>
            </w:r>
          </w:p>
        </w:tc>
        <w:tc>
          <w:tcPr>
            <w:tcW w:w="614" w:type="pct"/>
            <w:tcBorders>
              <w:top w:val="single" w:sz="4" w:space="0" w:color="auto"/>
              <w:left w:val="single" w:sz="4" w:space="0" w:color="auto"/>
              <w:bottom w:val="single" w:sz="4" w:space="0" w:color="auto"/>
              <w:right w:val="single" w:sz="4" w:space="0" w:color="auto"/>
            </w:tcBorders>
            <w:hideMark/>
          </w:tcPr>
          <w:p w14:paraId="7E78270F" w14:textId="77777777" w:rsidR="00660CBA" w:rsidRPr="00213A5D" w:rsidRDefault="00A62C52"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16 228,8</w:t>
            </w:r>
          </w:p>
        </w:tc>
        <w:tc>
          <w:tcPr>
            <w:tcW w:w="528" w:type="pct"/>
            <w:tcBorders>
              <w:top w:val="single" w:sz="4" w:space="0" w:color="auto"/>
              <w:left w:val="single" w:sz="4" w:space="0" w:color="auto"/>
              <w:bottom w:val="single" w:sz="4" w:space="0" w:color="auto"/>
              <w:right w:val="single" w:sz="4" w:space="0" w:color="auto"/>
            </w:tcBorders>
            <w:hideMark/>
          </w:tcPr>
          <w:p w14:paraId="627F5E83" w14:textId="77777777" w:rsidR="00660CBA" w:rsidRPr="00213A5D" w:rsidRDefault="00A62C52" w:rsidP="00045B11">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78</w:t>
            </w:r>
          </w:p>
        </w:tc>
      </w:tr>
      <w:tr w:rsidR="00660CBA" w:rsidRPr="00213A5D" w14:paraId="19A76135"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4AA97294"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Верхний предел внешнего долга на 1 января 2022 года, млрд. долларов США</w:t>
            </w:r>
          </w:p>
        </w:tc>
        <w:tc>
          <w:tcPr>
            <w:tcW w:w="541" w:type="pct"/>
            <w:tcBorders>
              <w:top w:val="single" w:sz="4" w:space="0" w:color="auto"/>
              <w:left w:val="single" w:sz="4" w:space="0" w:color="auto"/>
              <w:bottom w:val="single" w:sz="4" w:space="0" w:color="auto"/>
              <w:right w:val="single" w:sz="4" w:space="0" w:color="auto"/>
            </w:tcBorders>
            <w:hideMark/>
          </w:tcPr>
          <w:p w14:paraId="619D71E7"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68,9</w:t>
            </w:r>
          </w:p>
        </w:tc>
        <w:tc>
          <w:tcPr>
            <w:tcW w:w="541" w:type="pct"/>
            <w:tcBorders>
              <w:top w:val="single" w:sz="4" w:space="0" w:color="auto"/>
              <w:left w:val="single" w:sz="4" w:space="0" w:color="auto"/>
              <w:bottom w:val="single" w:sz="4" w:space="0" w:color="auto"/>
              <w:right w:val="single" w:sz="4" w:space="0" w:color="auto"/>
            </w:tcBorders>
            <w:hideMark/>
          </w:tcPr>
          <w:p w14:paraId="70279876"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68,9</w:t>
            </w:r>
          </w:p>
        </w:tc>
        <w:tc>
          <w:tcPr>
            <w:tcW w:w="539" w:type="pct"/>
            <w:tcBorders>
              <w:top w:val="single" w:sz="4" w:space="0" w:color="auto"/>
              <w:left w:val="single" w:sz="4" w:space="0" w:color="auto"/>
              <w:bottom w:val="single" w:sz="4" w:space="0" w:color="auto"/>
              <w:right w:val="single" w:sz="4" w:space="0" w:color="auto"/>
            </w:tcBorders>
            <w:hideMark/>
          </w:tcPr>
          <w:p w14:paraId="3A10D62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73,2</w:t>
            </w:r>
          </w:p>
        </w:tc>
        <w:tc>
          <w:tcPr>
            <w:tcW w:w="528" w:type="pct"/>
            <w:tcBorders>
              <w:top w:val="single" w:sz="4" w:space="0" w:color="auto"/>
              <w:left w:val="single" w:sz="4" w:space="0" w:color="auto"/>
              <w:bottom w:val="single" w:sz="4" w:space="0" w:color="auto"/>
              <w:right w:val="single" w:sz="4" w:space="0" w:color="auto"/>
            </w:tcBorders>
            <w:hideMark/>
          </w:tcPr>
          <w:p w14:paraId="32F3CC84"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70,7</w:t>
            </w:r>
          </w:p>
        </w:tc>
        <w:tc>
          <w:tcPr>
            <w:tcW w:w="614" w:type="pct"/>
            <w:tcBorders>
              <w:top w:val="single" w:sz="4" w:space="0" w:color="auto"/>
              <w:left w:val="single" w:sz="4" w:space="0" w:color="auto"/>
              <w:bottom w:val="single" w:sz="4" w:space="0" w:color="auto"/>
              <w:right w:val="single" w:sz="4" w:space="0" w:color="auto"/>
            </w:tcBorders>
            <w:hideMark/>
          </w:tcPr>
          <w:p w14:paraId="4DF9A896" w14:textId="77777777" w:rsidR="00660CBA" w:rsidRPr="00213A5D" w:rsidRDefault="00A62C52"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56,6</w:t>
            </w:r>
          </w:p>
        </w:tc>
        <w:tc>
          <w:tcPr>
            <w:tcW w:w="528" w:type="pct"/>
            <w:tcBorders>
              <w:top w:val="single" w:sz="4" w:space="0" w:color="auto"/>
              <w:left w:val="single" w:sz="4" w:space="0" w:color="auto"/>
              <w:bottom w:val="single" w:sz="4" w:space="0" w:color="auto"/>
              <w:right w:val="single" w:sz="4" w:space="0" w:color="auto"/>
            </w:tcBorders>
            <w:hideMark/>
          </w:tcPr>
          <w:p w14:paraId="7DC56B04" w14:textId="77777777" w:rsidR="00660CBA" w:rsidRPr="00213A5D" w:rsidRDefault="00A62C52" w:rsidP="00045B11">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80</w:t>
            </w:r>
          </w:p>
        </w:tc>
      </w:tr>
      <w:tr w:rsidR="00660CBA" w:rsidRPr="00213A5D" w14:paraId="751DC934"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4548DF55" w14:textId="77777777" w:rsidR="00660CBA" w:rsidRPr="00213A5D" w:rsidRDefault="00660CBA" w:rsidP="00AF1852">
            <w:pPr>
              <w:widowControl w:val="0"/>
              <w:overflowPunct/>
              <w:spacing w:line="240" w:lineRule="auto"/>
              <w:ind w:left="0" w:right="0" w:firstLine="0"/>
              <w:rPr>
                <w:rFonts w:eastAsia="Times New Roman"/>
                <w:color w:val="000000"/>
                <w:sz w:val="16"/>
                <w:szCs w:val="16"/>
                <w:lang w:eastAsia="en-US"/>
              </w:rPr>
            </w:pPr>
            <w:r w:rsidRPr="00213A5D">
              <w:rPr>
                <w:rFonts w:eastAsia="Times New Roman"/>
                <w:color w:val="000000"/>
                <w:sz w:val="16"/>
                <w:szCs w:val="16"/>
                <w:lang w:eastAsia="en-US"/>
              </w:rPr>
              <w:t>Верхний предел внешнего долга на 1 января 2022 года, млрд. евро</w:t>
            </w:r>
          </w:p>
        </w:tc>
        <w:tc>
          <w:tcPr>
            <w:tcW w:w="541" w:type="pct"/>
            <w:tcBorders>
              <w:top w:val="single" w:sz="4" w:space="0" w:color="auto"/>
              <w:left w:val="single" w:sz="4" w:space="0" w:color="auto"/>
              <w:bottom w:val="single" w:sz="4" w:space="0" w:color="auto"/>
              <w:right w:val="single" w:sz="4" w:space="0" w:color="auto"/>
            </w:tcBorders>
            <w:hideMark/>
          </w:tcPr>
          <w:p w14:paraId="17AC98BF"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57,4</w:t>
            </w:r>
          </w:p>
        </w:tc>
        <w:tc>
          <w:tcPr>
            <w:tcW w:w="541" w:type="pct"/>
            <w:tcBorders>
              <w:top w:val="single" w:sz="4" w:space="0" w:color="auto"/>
              <w:left w:val="single" w:sz="4" w:space="0" w:color="auto"/>
              <w:bottom w:val="single" w:sz="4" w:space="0" w:color="auto"/>
              <w:right w:val="single" w:sz="4" w:space="0" w:color="auto"/>
            </w:tcBorders>
            <w:hideMark/>
          </w:tcPr>
          <w:p w14:paraId="536C9B32"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57,4</w:t>
            </w:r>
          </w:p>
        </w:tc>
        <w:tc>
          <w:tcPr>
            <w:tcW w:w="539" w:type="pct"/>
            <w:tcBorders>
              <w:top w:val="single" w:sz="4" w:space="0" w:color="auto"/>
              <w:left w:val="single" w:sz="4" w:space="0" w:color="auto"/>
              <w:bottom w:val="single" w:sz="4" w:space="0" w:color="auto"/>
              <w:right w:val="single" w:sz="4" w:space="0" w:color="auto"/>
            </w:tcBorders>
            <w:hideMark/>
          </w:tcPr>
          <w:p w14:paraId="088AB5C5"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61,0</w:t>
            </w:r>
          </w:p>
        </w:tc>
        <w:tc>
          <w:tcPr>
            <w:tcW w:w="528" w:type="pct"/>
            <w:tcBorders>
              <w:top w:val="single" w:sz="4" w:space="0" w:color="auto"/>
              <w:left w:val="single" w:sz="4" w:space="0" w:color="auto"/>
              <w:bottom w:val="single" w:sz="4" w:space="0" w:color="auto"/>
              <w:right w:val="single" w:sz="4" w:space="0" w:color="auto"/>
            </w:tcBorders>
            <w:hideMark/>
          </w:tcPr>
          <w:p w14:paraId="4C6BE98F"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58,5</w:t>
            </w:r>
          </w:p>
        </w:tc>
        <w:tc>
          <w:tcPr>
            <w:tcW w:w="614" w:type="pct"/>
            <w:tcBorders>
              <w:top w:val="single" w:sz="4" w:space="0" w:color="auto"/>
              <w:left w:val="single" w:sz="4" w:space="0" w:color="auto"/>
              <w:bottom w:val="single" w:sz="4" w:space="0" w:color="auto"/>
              <w:right w:val="single" w:sz="4" w:space="0" w:color="auto"/>
            </w:tcBorders>
            <w:hideMark/>
          </w:tcPr>
          <w:p w14:paraId="62EBE61E" w14:textId="77777777" w:rsidR="00660CBA" w:rsidRPr="00213A5D" w:rsidRDefault="00A62C52"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58,6</w:t>
            </w:r>
          </w:p>
        </w:tc>
        <w:tc>
          <w:tcPr>
            <w:tcW w:w="528" w:type="pct"/>
            <w:tcBorders>
              <w:top w:val="single" w:sz="4" w:space="0" w:color="auto"/>
              <w:left w:val="single" w:sz="4" w:space="0" w:color="auto"/>
              <w:bottom w:val="single" w:sz="4" w:space="0" w:color="auto"/>
              <w:right w:val="single" w:sz="4" w:space="0" w:color="auto"/>
            </w:tcBorders>
            <w:hideMark/>
          </w:tcPr>
          <w:p w14:paraId="0EE7FE91" w14:textId="77777777" w:rsidR="00660CBA" w:rsidRPr="00213A5D" w:rsidRDefault="00A62C52"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100,2</w:t>
            </w:r>
          </w:p>
        </w:tc>
      </w:tr>
      <w:tr w:rsidR="00660CBA" w:rsidRPr="00213A5D" w14:paraId="469A84E8"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12BCC981" w14:textId="77777777" w:rsidR="00660CBA" w:rsidRPr="00213A5D" w:rsidRDefault="00660CBA" w:rsidP="00AF1852">
            <w:pPr>
              <w:widowControl w:val="0"/>
              <w:tabs>
                <w:tab w:val="left" w:pos="1170"/>
              </w:tabs>
              <w:overflowPunct/>
              <w:spacing w:line="240" w:lineRule="auto"/>
              <w:ind w:left="0" w:right="0" w:firstLine="0"/>
              <w:rPr>
                <w:rFonts w:eastAsia="Times New Roman"/>
                <w:i/>
                <w:iCs/>
                <w:color w:val="000000"/>
                <w:sz w:val="16"/>
                <w:szCs w:val="16"/>
                <w:lang w:eastAsia="en-US"/>
              </w:rPr>
            </w:pPr>
            <w:r w:rsidRPr="00213A5D">
              <w:rPr>
                <w:rFonts w:eastAsia="Times New Roman"/>
                <w:i/>
                <w:iCs/>
                <w:color w:val="000000"/>
                <w:sz w:val="16"/>
                <w:szCs w:val="16"/>
                <w:lang w:eastAsia="en-US"/>
              </w:rPr>
              <w:t>Справочно:</w:t>
            </w:r>
          </w:p>
        </w:tc>
        <w:tc>
          <w:tcPr>
            <w:tcW w:w="541" w:type="pct"/>
            <w:tcBorders>
              <w:top w:val="single" w:sz="4" w:space="0" w:color="auto"/>
              <w:left w:val="single" w:sz="4" w:space="0" w:color="auto"/>
              <w:bottom w:val="single" w:sz="4" w:space="0" w:color="auto"/>
              <w:right w:val="single" w:sz="4" w:space="0" w:color="auto"/>
            </w:tcBorders>
          </w:tcPr>
          <w:p w14:paraId="6F8B05D8"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p>
        </w:tc>
        <w:tc>
          <w:tcPr>
            <w:tcW w:w="541" w:type="pct"/>
            <w:tcBorders>
              <w:top w:val="single" w:sz="4" w:space="0" w:color="auto"/>
              <w:left w:val="single" w:sz="4" w:space="0" w:color="auto"/>
              <w:bottom w:val="single" w:sz="4" w:space="0" w:color="auto"/>
              <w:right w:val="single" w:sz="4" w:space="0" w:color="auto"/>
            </w:tcBorders>
          </w:tcPr>
          <w:p w14:paraId="436C2136"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p>
        </w:tc>
        <w:tc>
          <w:tcPr>
            <w:tcW w:w="539" w:type="pct"/>
            <w:tcBorders>
              <w:top w:val="single" w:sz="4" w:space="0" w:color="auto"/>
              <w:left w:val="single" w:sz="4" w:space="0" w:color="auto"/>
              <w:bottom w:val="single" w:sz="4" w:space="0" w:color="auto"/>
              <w:right w:val="single" w:sz="4" w:space="0" w:color="auto"/>
            </w:tcBorders>
          </w:tcPr>
          <w:p w14:paraId="2642E445"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p>
        </w:tc>
        <w:tc>
          <w:tcPr>
            <w:tcW w:w="528" w:type="pct"/>
            <w:tcBorders>
              <w:top w:val="single" w:sz="4" w:space="0" w:color="auto"/>
              <w:left w:val="single" w:sz="4" w:space="0" w:color="auto"/>
              <w:bottom w:val="single" w:sz="4" w:space="0" w:color="auto"/>
              <w:right w:val="single" w:sz="4" w:space="0" w:color="auto"/>
            </w:tcBorders>
          </w:tcPr>
          <w:p w14:paraId="6F3BE1C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p>
        </w:tc>
        <w:tc>
          <w:tcPr>
            <w:tcW w:w="614" w:type="pct"/>
            <w:tcBorders>
              <w:top w:val="single" w:sz="4" w:space="0" w:color="auto"/>
              <w:left w:val="single" w:sz="4" w:space="0" w:color="auto"/>
              <w:bottom w:val="single" w:sz="4" w:space="0" w:color="auto"/>
              <w:right w:val="single" w:sz="4" w:space="0" w:color="auto"/>
            </w:tcBorders>
          </w:tcPr>
          <w:p w14:paraId="6750E69B"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p>
        </w:tc>
        <w:tc>
          <w:tcPr>
            <w:tcW w:w="528" w:type="pct"/>
            <w:tcBorders>
              <w:top w:val="single" w:sz="4" w:space="0" w:color="auto"/>
              <w:left w:val="single" w:sz="4" w:space="0" w:color="auto"/>
              <w:bottom w:val="single" w:sz="4" w:space="0" w:color="auto"/>
              <w:right w:val="single" w:sz="4" w:space="0" w:color="auto"/>
            </w:tcBorders>
          </w:tcPr>
          <w:p w14:paraId="25ABB063"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p>
        </w:tc>
      </w:tr>
      <w:tr w:rsidR="00660CBA" w:rsidRPr="00213A5D" w14:paraId="2276D390"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30E981F0" w14:textId="77777777" w:rsidR="00660CBA" w:rsidRPr="00213A5D" w:rsidRDefault="00660CBA" w:rsidP="00AF1852">
            <w:pPr>
              <w:widowControl w:val="0"/>
              <w:overflowPunct/>
              <w:spacing w:line="240" w:lineRule="auto"/>
              <w:ind w:left="0" w:right="0" w:firstLine="0"/>
              <w:rPr>
                <w:rFonts w:eastAsia="Times New Roman"/>
                <w:i/>
                <w:iCs/>
                <w:color w:val="000000"/>
                <w:sz w:val="16"/>
                <w:szCs w:val="16"/>
                <w:lang w:eastAsia="en-US"/>
              </w:rPr>
            </w:pPr>
            <w:r w:rsidRPr="00213A5D">
              <w:rPr>
                <w:rFonts w:eastAsia="Times New Roman"/>
                <w:i/>
                <w:iCs/>
                <w:color w:val="000000"/>
                <w:sz w:val="16"/>
                <w:szCs w:val="16"/>
                <w:lang w:eastAsia="en-US"/>
              </w:rPr>
              <w:t>ненефтегазовый дефицит</w:t>
            </w:r>
          </w:p>
        </w:tc>
        <w:tc>
          <w:tcPr>
            <w:tcW w:w="541" w:type="pct"/>
            <w:tcBorders>
              <w:top w:val="single" w:sz="4" w:space="0" w:color="auto"/>
              <w:left w:val="single" w:sz="4" w:space="0" w:color="auto"/>
              <w:bottom w:val="single" w:sz="4" w:space="0" w:color="auto"/>
              <w:right w:val="single" w:sz="4" w:space="0" w:color="auto"/>
            </w:tcBorders>
            <w:hideMark/>
          </w:tcPr>
          <w:p w14:paraId="092A9CDF"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-7 435,6</w:t>
            </w:r>
          </w:p>
        </w:tc>
        <w:tc>
          <w:tcPr>
            <w:tcW w:w="541" w:type="pct"/>
            <w:tcBorders>
              <w:top w:val="single" w:sz="4" w:space="0" w:color="auto"/>
              <w:left w:val="single" w:sz="4" w:space="0" w:color="auto"/>
              <w:bottom w:val="single" w:sz="4" w:space="0" w:color="auto"/>
              <w:right w:val="single" w:sz="4" w:space="0" w:color="auto"/>
            </w:tcBorders>
            <w:hideMark/>
          </w:tcPr>
          <w:p w14:paraId="42D0D1D5"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-7 499,5</w:t>
            </w:r>
          </w:p>
        </w:tc>
        <w:tc>
          <w:tcPr>
            <w:tcW w:w="539" w:type="pct"/>
            <w:tcBorders>
              <w:top w:val="single" w:sz="4" w:space="0" w:color="auto"/>
              <w:left w:val="single" w:sz="4" w:space="0" w:color="auto"/>
              <w:bottom w:val="single" w:sz="4" w:space="0" w:color="auto"/>
              <w:right w:val="single" w:sz="4" w:space="0" w:color="auto"/>
            </w:tcBorders>
            <w:hideMark/>
          </w:tcPr>
          <w:p w14:paraId="600EA268"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-8 131,8</w:t>
            </w:r>
          </w:p>
        </w:tc>
        <w:tc>
          <w:tcPr>
            <w:tcW w:w="528" w:type="pct"/>
            <w:tcBorders>
              <w:top w:val="single" w:sz="4" w:space="0" w:color="auto"/>
              <w:left w:val="single" w:sz="4" w:space="0" w:color="auto"/>
              <w:bottom w:val="single" w:sz="4" w:space="0" w:color="auto"/>
              <w:right w:val="single" w:sz="4" w:space="0" w:color="auto"/>
            </w:tcBorders>
            <w:hideMark/>
          </w:tcPr>
          <w:p w14:paraId="2C795B4E"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-8 214,9</w:t>
            </w:r>
          </w:p>
        </w:tc>
        <w:tc>
          <w:tcPr>
            <w:tcW w:w="614" w:type="pct"/>
            <w:tcBorders>
              <w:top w:val="single" w:sz="4" w:space="0" w:color="auto"/>
              <w:left w:val="single" w:sz="4" w:space="0" w:color="auto"/>
              <w:bottom w:val="single" w:sz="4" w:space="0" w:color="auto"/>
              <w:right w:val="single" w:sz="4" w:space="0" w:color="auto"/>
            </w:tcBorders>
            <w:hideMark/>
          </w:tcPr>
          <w:p w14:paraId="46B08BEA"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-8 420,9</w:t>
            </w:r>
          </w:p>
        </w:tc>
        <w:tc>
          <w:tcPr>
            <w:tcW w:w="528" w:type="pct"/>
            <w:tcBorders>
              <w:top w:val="single" w:sz="4" w:space="0" w:color="auto"/>
              <w:left w:val="single" w:sz="4" w:space="0" w:color="auto"/>
              <w:bottom w:val="single" w:sz="4" w:space="0" w:color="auto"/>
              <w:right w:val="single" w:sz="4" w:space="0" w:color="auto"/>
            </w:tcBorders>
            <w:hideMark/>
          </w:tcPr>
          <w:p w14:paraId="7DF45BE8" w14:textId="77777777" w:rsidR="00660CBA" w:rsidRPr="00213A5D" w:rsidRDefault="00660CBA" w:rsidP="00AF1852">
            <w:pPr>
              <w:widowControl w:val="0"/>
              <w:spacing w:line="240" w:lineRule="auto"/>
              <w:ind w:left="0" w:right="49" w:firstLine="0"/>
              <w:jc w:val="right"/>
              <w:rPr>
                <w:rFonts w:eastAsia="Times New Roman"/>
                <w:color w:val="000000"/>
                <w:sz w:val="16"/>
                <w:szCs w:val="16"/>
                <w:lang w:eastAsia="en-US"/>
              </w:rPr>
            </w:pPr>
            <w:r w:rsidRPr="00213A5D">
              <w:rPr>
                <w:rFonts w:eastAsia="Times New Roman"/>
                <w:color w:val="000000"/>
                <w:sz w:val="16"/>
                <w:szCs w:val="16"/>
                <w:lang w:eastAsia="en-US"/>
              </w:rPr>
              <w:t>х</w:t>
            </w:r>
          </w:p>
        </w:tc>
      </w:tr>
      <w:tr w:rsidR="00660CBA" w:rsidRPr="00213A5D" w14:paraId="7FAF4B34" w14:textId="77777777" w:rsidTr="009B114B">
        <w:tc>
          <w:tcPr>
            <w:tcW w:w="1709" w:type="pct"/>
            <w:tcBorders>
              <w:top w:val="single" w:sz="4" w:space="0" w:color="auto"/>
              <w:left w:val="single" w:sz="4" w:space="0" w:color="auto"/>
              <w:bottom w:val="single" w:sz="4" w:space="0" w:color="auto"/>
              <w:right w:val="single" w:sz="4" w:space="0" w:color="auto"/>
            </w:tcBorders>
            <w:hideMark/>
          </w:tcPr>
          <w:p w14:paraId="439EED97" w14:textId="77777777" w:rsidR="00660CBA" w:rsidRPr="00213A5D" w:rsidRDefault="00660CBA" w:rsidP="00AF1852">
            <w:pPr>
              <w:widowControl w:val="0"/>
              <w:overflowPunct/>
              <w:spacing w:line="240" w:lineRule="auto"/>
              <w:ind w:left="0" w:right="0" w:firstLine="0"/>
              <w:rPr>
                <w:rFonts w:eastAsia="Times New Roman"/>
                <w:i/>
                <w:iCs/>
                <w:color w:val="000000"/>
                <w:sz w:val="16"/>
                <w:szCs w:val="16"/>
                <w:lang w:eastAsia="en-US"/>
              </w:rPr>
            </w:pPr>
            <w:r w:rsidRPr="00213A5D">
              <w:rPr>
                <w:rFonts w:eastAsia="Times New Roman"/>
                <w:i/>
                <w:color w:val="000000"/>
                <w:sz w:val="16"/>
                <w:szCs w:val="16"/>
                <w:lang w:eastAsia="en-US"/>
              </w:rPr>
              <w:t>в % к ВВП за соответствующий период</w:t>
            </w:r>
          </w:p>
        </w:tc>
        <w:tc>
          <w:tcPr>
            <w:tcW w:w="541" w:type="pct"/>
            <w:tcBorders>
              <w:top w:val="single" w:sz="4" w:space="0" w:color="auto"/>
              <w:left w:val="single" w:sz="4" w:space="0" w:color="auto"/>
              <w:bottom w:val="single" w:sz="4" w:space="0" w:color="auto"/>
              <w:right w:val="single" w:sz="4" w:space="0" w:color="auto"/>
            </w:tcBorders>
            <w:hideMark/>
          </w:tcPr>
          <w:p w14:paraId="430D8F20" w14:textId="77777777" w:rsidR="00660CBA" w:rsidRPr="00213A5D" w:rsidRDefault="00660CBA" w:rsidP="00AF1852">
            <w:pPr>
              <w:widowControl w:val="0"/>
              <w:spacing w:line="240" w:lineRule="auto"/>
              <w:ind w:left="0" w:right="0" w:firstLine="0"/>
              <w:jc w:val="right"/>
              <w:rPr>
                <w:rFonts w:eastAsia="Times New Roman"/>
                <w:color w:val="000000"/>
                <w:sz w:val="16"/>
                <w:szCs w:val="16"/>
                <w:lang w:eastAsia="en-US"/>
              </w:rPr>
            </w:pPr>
            <w:r w:rsidRPr="00213A5D">
              <w:rPr>
                <w:rFonts w:eastAsia="Times New Roman"/>
                <w:color w:val="000000"/>
                <w:sz w:val="16"/>
                <w:szCs w:val="16"/>
                <w:lang w:eastAsia="en-US"/>
              </w:rPr>
              <w:t>5,8</w:t>
            </w:r>
          </w:p>
        </w:tc>
        <w:tc>
          <w:tcPr>
            <w:tcW w:w="541" w:type="pct"/>
            <w:tcBorders>
              <w:top w:val="single" w:sz="4" w:space="0" w:color="auto"/>
              <w:left w:val="single" w:sz="4" w:space="0" w:color="auto"/>
              <w:bottom w:val="single" w:sz="4" w:space="0" w:color="auto"/>
              <w:right w:val="single" w:sz="4" w:space="0" w:color="auto"/>
            </w:tcBorders>
            <w:hideMark/>
          </w:tcPr>
          <w:p w14:paraId="7A388D39" w14:textId="77777777" w:rsidR="00660CBA" w:rsidRPr="00213A5D" w:rsidRDefault="00660CBA" w:rsidP="00AF1852">
            <w:pPr>
              <w:widowControl w:val="0"/>
              <w:spacing w:line="240" w:lineRule="auto"/>
              <w:ind w:left="0" w:right="0" w:firstLine="0"/>
              <w:jc w:val="right"/>
              <w:rPr>
                <w:rFonts w:eastAsia="Times New Roman"/>
                <w:color w:val="000000"/>
                <w:sz w:val="16"/>
                <w:szCs w:val="16"/>
                <w:lang w:eastAsia="en-US"/>
              </w:rPr>
            </w:pPr>
            <w:r w:rsidRPr="00213A5D">
              <w:rPr>
                <w:rFonts w:eastAsia="Times New Roman"/>
                <w:color w:val="000000"/>
                <w:sz w:val="16"/>
                <w:szCs w:val="16"/>
                <w:lang w:eastAsia="en-US"/>
              </w:rPr>
              <w:t>5,8</w:t>
            </w:r>
          </w:p>
        </w:tc>
        <w:tc>
          <w:tcPr>
            <w:tcW w:w="539" w:type="pct"/>
            <w:tcBorders>
              <w:top w:val="single" w:sz="4" w:space="0" w:color="auto"/>
              <w:left w:val="single" w:sz="4" w:space="0" w:color="auto"/>
              <w:bottom w:val="single" w:sz="4" w:space="0" w:color="auto"/>
              <w:right w:val="single" w:sz="4" w:space="0" w:color="auto"/>
            </w:tcBorders>
            <w:hideMark/>
          </w:tcPr>
          <w:p w14:paraId="668EB24D" w14:textId="77777777" w:rsidR="00660CBA" w:rsidRPr="00213A5D" w:rsidRDefault="00660CBA" w:rsidP="00AF1852">
            <w:pPr>
              <w:widowControl w:val="0"/>
              <w:spacing w:line="240" w:lineRule="auto"/>
              <w:ind w:left="0" w:right="0" w:firstLine="0"/>
              <w:jc w:val="right"/>
              <w:rPr>
                <w:rFonts w:eastAsia="Times New Roman"/>
                <w:color w:val="000000"/>
                <w:sz w:val="16"/>
                <w:szCs w:val="16"/>
                <w:lang w:eastAsia="en-US"/>
              </w:rPr>
            </w:pPr>
            <w:r w:rsidRPr="00213A5D">
              <w:rPr>
                <w:rFonts w:eastAsia="Times New Roman"/>
                <w:color w:val="000000"/>
                <w:sz w:val="16"/>
                <w:szCs w:val="16"/>
                <w:lang w:eastAsia="en-US"/>
              </w:rPr>
              <w:t>6,5</w:t>
            </w:r>
          </w:p>
        </w:tc>
        <w:tc>
          <w:tcPr>
            <w:tcW w:w="528" w:type="pct"/>
            <w:tcBorders>
              <w:top w:val="single" w:sz="4" w:space="0" w:color="auto"/>
              <w:left w:val="single" w:sz="4" w:space="0" w:color="auto"/>
              <w:bottom w:val="single" w:sz="4" w:space="0" w:color="auto"/>
              <w:right w:val="single" w:sz="4" w:space="0" w:color="auto"/>
            </w:tcBorders>
            <w:hideMark/>
          </w:tcPr>
          <w:p w14:paraId="0B5B11B6" w14:textId="77777777" w:rsidR="00660CBA" w:rsidRPr="00213A5D" w:rsidRDefault="00660CBA" w:rsidP="00AF1852">
            <w:pPr>
              <w:widowControl w:val="0"/>
              <w:spacing w:line="240" w:lineRule="auto"/>
              <w:ind w:left="0" w:right="0" w:firstLine="0"/>
              <w:jc w:val="right"/>
              <w:rPr>
                <w:rFonts w:eastAsia="Times New Roman"/>
                <w:color w:val="000000"/>
                <w:sz w:val="16"/>
                <w:szCs w:val="16"/>
                <w:lang w:eastAsia="en-US"/>
              </w:rPr>
            </w:pPr>
            <w:r w:rsidRPr="00213A5D">
              <w:rPr>
                <w:rFonts w:eastAsia="Times New Roman"/>
                <w:color w:val="000000"/>
                <w:sz w:val="16"/>
                <w:szCs w:val="16"/>
                <w:lang w:eastAsia="en-US"/>
              </w:rPr>
              <w:t>6,2</w:t>
            </w:r>
          </w:p>
        </w:tc>
        <w:tc>
          <w:tcPr>
            <w:tcW w:w="614" w:type="pct"/>
            <w:tcBorders>
              <w:top w:val="single" w:sz="4" w:space="0" w:color="auto"/>
              <w:left w:val="single" w:sz="4" w:space="0" w:color="auto"/>
              <w:bottom w:val="single" w:sz="4" w:space="0" w:color="auto"/>
              <w:right w:val="single" w:sz="4" w:space="0" w:color="auto"/>
            </w:tcBorders>
            <w:hideMark/>
          </w:tcPr>
          <w:p w14:paraId="3FC32F82" w14:textId="77777777" w:rsidR="00660CBA" w:rsidRPr="00213A5D" w:rsidRDefault="00660CBA" w:rsidP="00AF1852">
            <w:pPr>
              <w:widowControl w:val="0"/>
              <w:spacing w:line="240" w:lineRule="auto"/>
              <w:ind w:left="0" w:right="0" w:firstLine="0"/>
              <w:jc w:val="right"/>
              <w:rPr>
                <w:rFonts w:eastAsia="Times New Roman"/>
                <w:color w:val="000000"/>
                <w:sz w:val="16"/>
                <w:szCs w:val="16"/>
                <w:lang w:eastAsia="en-US"/>
              </w:rPr>
            </w:pPr>
            <w:r w:rsidRPr="00213A5D">
              <w:rPr>
                <w:rFonts w:eastAsia="Times New Roman"/>
                <w:color w:val="000000"/>
                <w:sz w:val="16"/>
                <w:szCs w:val="16"/>
                <w:lang w:eastAsia="en-US"/>
              </w:rPr>
              <w:t>8,0</w:t>
            </w:r>
          </w:p>
        </w:tc>
        <w:tc>
          <w:tcPr>
            <w:tcW w:w="528" w:type="pct"/>
            <w:tcBorders>
              <w:top w:val="single" w:sz="4" w:space="0" w:color="auto"/>
              <w:left w:val="single" w:sz="4" w:space="0" w:color="auto"/>
              <w:bottom w:val="single" w:sz="4" w:space="0" w:color="auto"/>
              <w:right w:val="single" w:sz="4" w:space="0" w:color="auto"/>
            </w:tcBorders>
            <w:hideMark/>
          </w:tcPr>
          <w:p w14:paraId="3E027780" w14:textId="77777777" w:rsidR="00660CBA" w:rsidRPr="00213A5D" w:rsidRDefault="00660CBA" w:rsidP="00AF1852">
            <w:pPr>
              <w:widowControl w:val="0"/>
              <w:spacing w:line="240" w:lineRule="auto"/>
              <w:ind w:left="0" w:right="0" w:firstLine="0"/>
              <w:jc w:val="right"/>
              <w:rPr>
                <w:rFonts w:eastAsia="Times New Roman"/>
                <w:color w:val="000000"/>
                <w:sz w:val="16"/>
                <w:szCs w:val="16"/>
                <w:lang w:eastAsia="en-US"/>
              </w:rPr>
            </w:pPr>
            <w:r w:rsidRPr="00213A5D">
              <w:rPr>
                <w:rFonts w:eastAsia="Times New Roman"/>
                <w:color w:val="000000"/>
                <w:sz w:val="16"/>
                <w:szCs w:val="16"/>
                <w:lang w:eastAsia="en-US"/>
              </w:rPr>
              <w:t>х</w:t>
            </w:r>
          </w:p>
        </w:tc>
      </w:tr>
    </w:tbl>
    <w:p w14:paraId="02E504B4" w14:textId="77777777" w:rsidR="00110C89" w:rsidRPr="00213A5D" w:rsidRDefault="00110C89" w:rsidP="00AF1852">
      <w:pPr>
        <w:widowControl w:val="0"/>
        <w:spacing w:line="240" w:lineRule="auto"/>
        <w:ind w:left="0" w:right="0"/>
        <w:rPr>
          <w:rFonts w:eastAsia="Times New Roman"/>
          <w:sz w:val="12"/>
          <w:szCs w:val="12"/>
        </w:rPr>
      </w:pPr>
    </w:p>
    <w:p w14:paraId="26F215C7" w14:textId="77777777" w:rsidR="00765F4D" w:rsidRPr="00213A5D" w:rsidRDefault="00765F4D" w:rsidP="00DA1722">
      <w:pPr>
        <w:widowControl w:val="0"/>
        <w:spacing w:line="348" w:lineRule="auto"/>
        <w:ind w:left="0" w:right="0"/>
        <w:rPr>
          <w:rFonts w:eastAsia="Times New Roman"/>
          <w:b/>
          <w:sz w:val="24"/>
          <w:szCs w:val="24"/>
        </w:rPr>
      </w:pPr>
      <w:r w:rsidRPr="00213A5D">
        <w:rPr>
          <w:rFonts w:eastAsia="Times New Roman"/>
          <w:sz w:val="24"/>
          <w:szCs w:val="24"/>
        </w:rPr>
        <w:t xml:space="preserve">В 2019–2021 годах </w:t>
      </w:r>
      <w:r w:rsidRPr="00213A5D">
        <w:rPr>
          <w:rFonts w:eastAsia="Times New Roman"/>
          <w:b/>
          <w:sz w:val="24"/>
          <w:szCs w:val="24"/>
        </w:rPr>
        <w:t>основные характеристики федерального бюджета на 2022 год устанавливались 4 раза</w:t>
      </w:r>
      <w:r w:rsidRPr="00213A5D">
        <w:rPr>
          <w:rFonts w:eastAsia="Times New Roman"/>
          <w:sz w:val="24"/>
          <w:szCs w:val="24"/>
        </w:rPr>
        <w:t xml:space="preserve">. При этом </w:t>
      </w:r>
      <w:r w:rsidRPr="00213A5D">
        <w:rPr>
          <w:rFonts w:eastAsia="Times New Roman"/>
          <w:b/>
          <w:sz w:val="24"/>
          <w:szCs w:val="24"/>
        </w:rPr>
        <w:t xml:space="preserve">объемы доходов, расходов и профицита </w:t>
      </w:r>
      <w:r w:rsidRPr="00213A5D">
        <w:rPr>
          <w:rFonts w:eastAsia="Times New Roman"/>
          <w:sz w:val="24"/>
          <w:szCs w:val="24"/>
        </w:rPr>
        <w:t xml:space="preserve">федерального бюджета последовательно </w:t>
      </w:r>
      <w:r w:rsidRPr="00213A5D">
        <w:rPr>
          <w:rFonts w:eastAsia="Times New Roman"/>
          <w:b/>
          <w:sz w:val="24"/>
          <w:szCs w:val="24"/>
        </w:rPr>
        <w:t xml:space="preserve">увеличивались </w:t>
      </w:r>
      <w:r w:rsidRPr="00213A5D">
        <w:rPr>
          <w:rFonts w:eastAsia="Times New Roman"/>
          <w:sz w:val="24"/>
          <w:szCs w:val="24"/>
        </w:rPr>
        <w:t>(за исключением показателей, утвержденных Федеральным законом от 8 декабря 2020 г. № 385-ФЗ «О федеральном бюджете на 2021 год и на плановый период 2022 и 2023 годов», в соответствии с которым прогнозировалось уменьшение объема доходов и расходов, устанавливался дефицит федерального бюджета).</w:t>
      </w:r>
    </w:p>
    <w:p w14:paraId="303A4977" w14:textId="77777777" w:rsidR="00765F4D" w:rsidRPr="00213A5D" w:rsidRDefault="00765F4D" w:rsidP="00DA1722">
      <w:pPr>
        <w:widowControl w:val="0"/>
        <w:spacing w:line="348" w:lineRule="auto"/>
        <w:ind w:left="0" w:right="0"/>
        <w:rPr>
          <w:sz w:val="24"/>
          <w:szCs w:val="24"/>
        </w:rPr>
      </w:pPr>
      <w:r w:rsidRPr="00213A5D">
        <w:rPr>
          <w:b/>
          <w:sz w:val="24"/>
          <w:szCs w:val="24"/>
        </w:rPr>
        <w:t>2.3.</w:t>
      </w:r>
      <w:r w:rsidRPr="00213A5D">
        <w:rPr>
          <w:sz w:val="24"/>
          <w:szCs w:val="24"/>
        </w:rPr>
        <w:t xml:space="preserve"> В целях формирования нормативной правовой базы для реализации Федерального закона № 390-ФЗ поручением Правительства Российской Федерации от 25 октября 2021 г. № 11369п-П13 утвержден график подготовки нормативных правовых актов (далее – график подготовки НПА).</w:t>
      </w:r>
    </w:p>
    <w:p w14:paraId="4721205D" w14:textId="77777777" w:rsidR="00765F4D" w:rsidRPr="00213A5D" w:rsidRDefault="00765F4D" w:rsidP="00DA1722">
      <w:pPr>
        <w:widowControl w:val="0"/>
        <w:spacing w:line="348" w:lineRule="auto"/>
        <w:ind w:left="0" w:right="0"/>
        <w:rPr>
          <w:sz w:val="24"/>
          <w:szCs w:val="24"/>
        </w:rPr>
      </w:pPr>
      <w:r w:rsidRPr="00213A5D">
        <w:rPr>
          <w:sz w:val="24"/>
          <w:szCs w:val="24"/>
        </w:rPr>
        <w:t xml:space="preserve">В соответствии с графиком подготовки НПА необходимо подготовить проекты 130 актов, при этом приняты решения снять с контроля подготовку проектов 13 НПА. </w:t>
      </w:r>
      <w:r w:rsidRPr="00213A5D">
        <w:rPr>
          <w:sz w:val="24"/>
          <w:szCs w:val="24"/>
        </w:rPr>
        <w:br/>
        <w:t xml:space="preserve">Таким образом, в целях реализации Федерального закона № 390-ФЗ необходимо принять 117 НПА, в том числе до начала финансового года </w:t>
      </w:r>
      <w:r w:rsidR="00EE79FF" w:rsidRPr="00213A5D">
        <w:rPr>
          <w:sz w:val="24"/>
          <w:szCs w:val="24"/>
        </w:rPr>
        <w:t>–</w:t>
      </w:r>
      <w:r w:rsidRPr="00213A5D">
        <w:rPr>
          <w:sz w:val="24"/>
          <w:szCs w:val="24"/>
        </w:rPr>
        <w:t xml:space="preserve"> 103 НПА и в 2022 году </w:t>
      </w:r>
      <w:r w:rsidR="002E2E4E" w:rsidRPr="00213A5D">
        <w:rPr>
          <w:sz w:val="24"/>
          <w:szCs w:val="24"/>
        </w:rPr>
        <w:t>–</w:t>
      </w:r>
      <w:r w:rsidRPr="00213A5D">
        <w:rPr>
          <w:sz w:val="24"/>
          <w:szCs w:val="24"/>
        </w:rPr>
        <w:t xml:space="preserve"> 14 НПА. </w:t>
      </w:r>
    </w:p>
    <w:p w14:paraId="5CE36A39" w14:textId="77777777" w:rsidR="00765F4D" w:rsidRPr="00213A5D" w:rsidRDefault="00765F4D" w:rsidP="00DA1722">
      <w:pPr>
        <w:widowControl w:val="0"/>
        <w:spacing w:line="348" w:lineRule="auto"/>
        <w:ind w:left="0" w:right="0"/>
        <w:rPr>
          <w:sz w:val="24"/>
          <w:szCs w:val="24"/>
        </w:rPr>
      </w:pPr>
      <w:r w:rsidRPr="00213A5D">
        <w:rPr>
          <w:sz w:val="24"/>
          <w:szCs w:val="24"/>
        </w:rPr>
        <w:t xml:space="preserve">Следует отметить, что по </w:t>
      </w:r>
      <w:r w:rsidRPr="00213A5D">
        <w:rPr>
          <w:b/>
          <w:sz w:val="24"/>
          <w:szCs w:val="24"/>
        </w:rPr>
        <w:t>6 НПА</w:t>
      </w:r>
      <w:r w:rsidRPr="00213A5D">
        <w:rPr>
          <w:sz w:val="24"/>
          <w:szCs w:val="24"/>
        </w:rPr>
        <w:t xml:space="preserve"> со сроком внесения в Правительство Российской Федерации до начала финансового года были приняты решения </w:t>
      </w:r>
      <w:r w:rsidRPr="00213A5D">
        <w:rPr>
          <w:b/>
          <w:sz w:val="24"/>
          <w:szCs w:val="24"/>
        </w:rPr>
        <w:t>о продлении срока внесения</w:t>
      </w:r>
      <w:r w:rsidRPr="00213A5D">
        <w:rPr>
          <w:sz w:val="24"/>
          <w:szCs w:val="24"/>
        </w:rPr>
        <w:t xml:space="preserve"> проекта акта, из которых по 3 НПА срок продлен на </w:t>
      </w:r>
      <w:r w:rsidRPr="00213A5D">
        <w:rPr>
          <w:b/>
          <w:sz w:val="24"/>
          <w:szCs w:val="24"/>
        </w:rPr>
        <w:t>137 дней</w:t>
      </w:r>
      <w:r w:rsidRPr="00213A5D">
        <w:rPr>
          <w:sz w:val="24"/>
          <w:szCs w:val="24"/>
        </w:rPr>
        <w:t xml:space="preserve">, </w:t>
      </w:r>
      <w:r w:rsidR="00F17A8B" w:rsidRPr="00213A5D">
        <w:rPr>
          <w:sz w:val="24"/>
          <w:szCs w:val="24"/>
        </w:rPr>
        <w:t xml:space="preserve">на </w:t>
      </w:r>
      <w:r w:rsidRPr="00213A5D">
        <w:rPr>
          <w:b/>
          <w:sz w:val="24"/>
          <w:szCs w:val="24"/>
        </w:rPr>
        <w:t>167 дней</w:t>
      </w:r>
      <w:r w:rsidRPr="00213A5D">
        <w:rPr>
          <w:sz w:val="24"/>
          <w:szCs w:val="24"/>
        </w:rPr>
        <w:t xml:space="preserve"> и </w:t>
      </w:r>
      <w:r w:rsidRPr="00213A5D">
        <w:rPr>
          <w:sz w:val="24"/>
          <w:szCs w:val="24"/>
        </w:rPr>
        <w:br/>
        <w:t>на</w:t>
      </w:r>
      <w:r w:rsidRPr="00213A5D">
        <w:rPr>
          <w:b/>
          <w:sz w:val="24"/>
          <w:szCs w:val="24"/>
        </w:rPr>
        <w:t xml:space="preserve"> 212 дней</w:t>
      </w:r>
      <w:r w:rsidRPr="00213A5D">
        <w:rPr>
          <w:sz w:val="24"/>
          <w:szCs w:val="24"/>
        </w:rPr>
        <w:t>, по</w:t>
      </w:r>
      <w:r w:rsidRPr="00213A5D">
        <w:rPr>
          <w:b/>
          <w:sz w:val="24"/>
          <w:szCs w:val="24"/>
        </w:rPr>
        <w:t xml:space="preserve"> 13 НПА </w:t>
      </w:r>
      <w:r w:rsidRPr="00213A5D">
        <w:rPr>
          <w:sz w:val="24"/>
          <w:szCs w:val="24"/>
        </w:rPr>
        <w:t>–</w:t>
      </w:r>
      <w:r w:rsidRPr="00213A5D">
        <w:rPr>
          <w:b/>
          <w:sz w:val="24"/>
          <w:szCs w:val="24"/>
        </w:rPr>
        <w:t xml:space="preserve"> </w:t>
      </w:r>
      <w:r w:rsidRPr="00213A5D">
        <w:rPr>
          <w:sz w:val="24"/>
          <w:szCs w:val="24"/>
        </w:rPr>
        <w:t>в период с ноября 2021 года по май 2022 года принимались решения о</w:t>
      </w:r>
      <w:r w:rsidRPr="00213A5D">
        <w:rPr>
          <w:b/>
          <w:sz w:val="24"/>
          <w:szCs w:val="24"/>
        </w:rPr>
        <w:t xml:space="preserve"> снятии с контроля </w:t>
      </w:r>
      <w:r w:rsidRPr="00213A5D">
        <w:rPr>
          <w:sz w:val="24"/>
          <w:szCs w:val="24"/>
        </w:rPr>
        <w:t>их подготовк</w:t>
      </w:r>
      <w:r w:rsidR="00F17A8B" w:rsidRPr="00213A5D">
        <w:rPr>
          <w:sz w:val="24"/>
          <w:szCs w:val="24"/>
        </w:rPr>
        <w:t>и</w:t>
      </w:r>
      <w:r w:rsidRPr="00213A5D">
        <w:rPr>
          <w:sz w:val="24"/>
          <w:szCs w:val="24"/>
        </w:rPr>
        <w:t>.</w:t>
      </w:r>
    </w:p>
    <w:p w14:paraId="1B6EEFC4" w14:textId="77777777" w:rsidR="00765F4D" w:rsidRPr="00213A5D" w:rsidRDefault="00765F4D" w:rsidP="00DA1722">
      <w:pPr>
        <w:widowControl w:val="0"/>
        <w:spacing w:line="348" w:lineRule="auto"/>
        <w:ind w:left="0" w:right="0"/>
        <w:rPr>
          <w:sz w:val="24"/>
          <w:szCs w:val="24"/>
        </w:rPr>
      </w:pPr>
      <w:r w:rsidRPr="00213A5D">
        <w:rPr>
          <w:b/>
          <w:sz w:val="24"/>
          <w:szCs w:val="24"/>
        </w:rPr>
        <w:t>До начала</w:t>
      </w:r>
      <w:r w:rsidRPr="00213A5D">
        <w:rPr>
          <w:sz w:val="24"/>
          <w:szCs w:val="24"/>
        </w:rPr>
        <w:t xml:space="preserve"> 2022 года принято 92 из 103 НПА, или </w:t>
      </w:r>
      <w:r w:rsidRPr="00213A5D">
        <w:rPr>
          <w:b/>
          <w:sz w:val="24"/>
          <w:szCs w:val="24"/>
        </w:rPr>
        <w:t>89,3 %</w:t>
      </w:r>
      <w:r w:rsidRPr="00213A5D">
        <w:rPr>
          <w:sz w:val="24"/>
          <w:szCs w:val="24"/>
        </w:rPr>
        <w:t xml:space="preserve"> предусмотренных графиком их подготовки (с изменениями) (92 из 122 НПА, или 75,4 %, предусмотренных первоначальным графиком). Таким образом, </w:t>
      </w:r>
      <w:r w:rsidRPr="00213A5D">
        <w:rPr>
          <w:b/>
          <w:sz w:val="24"/>
          <w:szCs w:val="24"/>
        </w:rPr>
        <w:t>до начала финансового года</w:t>
      </w:r>
      <w:r w:rsidRPr="00213A5D">
        <w:rPr>
          <w:sz w:val="24"/>
          <w:szCs w:val="24"/>
        </w:rPr>
        <w:t xml:space="preserve"> </w:t>
      </w:r>
      <w:r w:rsidRPr="00213A5D">
        <w:rPr>
          <w:b/>
          <w:sz w:val="24"/>
          <w:szCs w:val="24"/>
        </w:rPr>
        <w:t>не утверждены проекты 11 НПА</w:t>
      </w:r>
      <w:r w:rsidRPr="00213A5D">
        <w:rPr>
          <w:sz w:val="24"/>
          <w:szCs w:val="24"/>
        </w:rPr>
        <w:t xml:space="preserve"> со сроком внесения в Правительство Российской Федерации в ноябре</w:t>
      </w:r>
      <w:r w:rsidRPr="00213A5D">
        <w:rPr>
          <w:rFonts w:eastAsia="Times New Roman"/>
          <w:sz w:val="24"/>
          <w:szCs w:val="24"/>
        </w:rPr>
        <w:t xml:space="preserve"> – </w:t>
      </w:r>
      <w:r w:rsidRPr="00213A5D">
        <w:rPr>
          <w:sz w:val="24"/>
          <w:szCs w:val="24"/>
        </w:rPr>
        <w:t>декабре 2021 года.</w:t>
      </w:r>
    </w:p>
    <w:p w14:paraId="09F0EAA1" w14:textId="77777777" w:rsidR="00765F4D" w:rsidRPr="00213A5D" w:rsidRDefault="00765F4D" w:rsidP="00DA1722">
      <w:pPr>
        <w:widowControl w:val="0"/>
        <w:spacing w:line="348" w:lineRule="auto"/>
        <w:ind w:left="0" w:right="0"/>
        <w:rPr>
          <w:sz w:val="24"/>
          <w:szCs w:val="24"/>
        </w:rPr>
      </w:pPr>
      <w:r w:rsidRPr="00213A5D">
        <w:rPr>
          <w:sz w:val="24"/>
          <w:szCs w:val="24"/>
        </w:rPr>
        <w:t xml:space="preserve">Динамика принятия НПА до начала финансового года за 2014–2022 годы в </w:t>
      </w:r>
      <w:r w:rsidRPr="00213A5D">
        <w:rPr>
          <w:sz w:val="24"/>
          <w:szCs w:val="24"/>
        </w:rPr>
        <w:lastRenderedPageBreak/>
        <w:t>соответствии с утвержденными графиками подготовки НПА представлена на следующей диаграмме.</w:t>
      </w:r>
    </w:p>
    <w:p w14:paraId="7A65CD58" w14:textId="77777777" w:rsidR="00765F4D" w:rsidRPr="00213A5D" w:rsidRDefault="00CD0E98" w:rsidP="00EE79FF">
      <w:pPr>
        <w:widowControl w:val="0"/>
        <w:spacing w:line="276" w:lineRule="auto"/>
        <w:ind w:left="0" w:right="-2" w:firstLine="0"/>
        <w:jc w:val="center"/>
        <w:rPr>
          <w:sz w:val="24"/>
          <w:szCs w:val="24"/>
        </w:rPr>
      </w:pPr>
      <w:r>
        <w:rPr>
          <w:noProof/>
        </w:rPr>
        <w:pict w14:anchorId="06740031">
          <v:shape id="Рисунок 1" o:spid="_x0000_i1076" type="#_x0000_t75" alt="" style="width:357.95pt;height:201.05pt;visibility:visible;mso-width-percent:0;mso-height-percent:0;mso-width-percent:0;mso-height-percent:0">
            <v:imagedata r:id="rId14" o:title=""/>
          </v:shape>
        </w:pict>
      </w:r>
    </w:p>
    <w:p w14:paraId="2E83A547" w14:textId="77777777" w:rsidR="00765F4D" w:rsidRPr="00213A5D" w:rsidRDefault="00765F4D" w:rsidP="005628D9">
      <w:pPr>
        <w:widowControl w:val="0"/>
        <w:spacing w:line="324" w:lineRule="auto"/>
        <w:ind w:left="0" w:right="-2"/>
        <w:rPr>
          <w:sz w:val="24"/>
          <w:szCs w:val="24"/>
        </w:rPr>
      </w:pPr>
      <w:r w:rsidRPr="00213A5D">
        <w:rPr>
          <w:sz w:val="24"/>
          <w:szCs w:val="24"/>
        </w:rPr>
        <w:t>По состоянию на 1 октября 2022 года в соответствии с графиком подготовки НПА Правительством Российской Федерации (с учетом принятых решений о снятии с контроля и переносе сроков подготовки НПА) утвержден</w:t>
      </w:r>
      <w:r w:rsidR="00F17A8B" w:rsidRPr="00213A5D">
        <w:rPr>
          <w:sz w:val="24"/>
          <w:szCs w:val="24"/>
        </w:rPr>
        <w:t>о</w:t>
      </w:r>
      <w:r w:rsidRPr="00213A5D">
        <w:rPr>
          <w:sz w:val="24"/>
          <w:szCs w:val="24"/>
        </w:rPr>
        <w:t xml:space="preserve"> 116 из 117 НПА (99,1 %).</w:t>
      </w:r>
    </w:p>
    <w:p w14:paraId="0B685576" w14:textId="77777777" w:rsidR="00765F4D" w:rsidRPr="00213A5D" w:rsidRDefault="00765F4D" w:rsidP="005628D9">
      <w:pPr>
        <w:widowControl w:val="0"/>
        <w:spacing w:line="324" w:lineRule="auto"/>
        <w:ind w:left="0" w:right="-2"/>
        <w:rPr>
          <w:sz w:val="24"/>
          <w:szCs w:val="24"/>
        </w:rPr>
      </w:pPr>
      <w:r w:rsidRPr="00213A5D">
        <w:rPr>
          <w:b/>
          <w:sz w:val="24"/>
          <w:szCs w:val="24"/>
        </w:rPr>
        <w:t>Не утвержден 1</w:t>
      </w:r>
      <w:r w:rsidRPr="00213A5D">
        <w:rPr>
          <w:sz w:val="24"/>
          <w:szCs w:val="24"/>
        </w:rPr>
        <w:t xml:space="preserve"> из 117 НПА, по которому срок внесения в Правительство Российской Федерации </w:t>
      </w:r>
      <w:r w:rsidRPr="00213A5D">
        <w:rPr>
          <w:b/>
          <w:sz w:val="24"/>
          <w:szCs w:val="24"/>
        </w:rPr>
        <w:t xml:space="preserve">продлен </w:t>
      </w:r>
      <w:r w:rsidRPr="00213A5D">
        <w:rPr>
          <w:sz w:val="24"/>
          <w:szCs w:val="24"/>
        </w:rPr>
        <w:t>с 15 ноября 2021 года</w:t>
      </w:r>
      <w:r w:rsidRPr="00213A5D">
        <w:rPr>
          <w:b/>
          <w:sz w:val="24"/>
          <w:szCs w:val="24"/>
        </w:rPr>
        <w:t xml:space="preserve"> до 1 мая 2022 года</w:t>
      </w:r>
      <w:r w:rsidRPr="00213A5D">
        <w:rPr>
          <w:sz w:val="24"/>
          <w:szCs w:val="24"/>
        </w:rPr>
        <w:t xml:space="preserve">: «Об утверждении Правил предоставления </w:t>
      </w:r>
      <w:r w:rsidRPr="00213A5D">
        <w:rPr>
          <w:b/>
          <w:sz w:val="24"/>
          <w:szCs w:val="24"/>
        </w:rPr>
        <w:t>субсидий</w:t>
      </w:r>
      <w:r w:rsidRPr="00213A5D">
        <w:rPr>
          <w:sz w:val="24"/>
          <w:szCs w:val="24"/>
        </w:rPr>
        <w:t xml:space="preserve"> из федерального бюджета на компенсацию части затрат на реализацию проектов в сфере технологий производства, транспортировки и хранения водорода для крупных экспортно-ориентированных проектов» (в соответствии с графиком ответственный исполнитель – Минэнерго России</w:t>
      </w:r>
      <w:r w:rsidRPr="00213A5D">
        <w:rPr>
          <w:sz w:val="24"/>
          <w:szCs w:val="24"/>
          <w:vertAlign w:val="superscript"/>
        </w:rPr>
        <w:footnoteReference w:id="5"/>
      </w:r>
      <w:r w:rsidRPr="00213A5D">
        <w:rPr>
          <w:sz w:val="24"/>
          <w:szCs w:val="24"/>
        </w:rPr>
        <w:t xml:space="preserve">; объем бюджетных ассигнований </w:t>
      </w:r>
      <w:r w:rsidR="00EE79FF" w:rsidRPr="00213A5D">
        <w:rPr>
          <w:sz w:val="24"/>
          <w:szCs w:val="24"/>
        </w:rPr>
        <w:br/>
      </w:r>
      <w:r w:rsidRPr="00213A5D">
        <w:rPr>
          <w:sz w:val="24"/>
          <w:szCs w:val="24"/>
        </w:rPr>
        <w:t>на 2022 год – 1 550,0 млн. рублей).</w:t>
      </w:r>
    </w:p>
    <w:p w14:paraId="3CA339FA" w14:textId="77777777" w:rsidR="00765F4D" w:rsidRPr="00213A5D" w:rsidRDefault="00765F4D" w:rsidP="005628D9">
      <w:pPr>
        <w:widowControl w:val="0"/>
        <w:spacing w:line="324" w:lineRule="auto"/>
        <w:ind w:left="0" w:right="-2"/>
        <w:rPr>
          <w:sz w:val="24"/>
          <w:szCs w:val="24"/>
        </w:rPr>
      </w:pPr>
      <w:r w:rsidRPr="00213A5D">
        <w:rPr>
          <w:sz w:val="24"/>
          <w:szCs w:val="24"/>
        </w:rPr>
        <w:t xml:space="preserve">Следует отметить, что </w:t>
      </w:r>
      <w:r w:rsidRPr="00213A5D">
        <w:rPr>
          <w:b/>
          <w:sz w:val="24"/>
          <w:szCs w:val="24"/>
        </w:rPr>
        <w:t>6 НПА</w:t>
      </w:r>
      <w:r w:rsidRPr="00213A5D">
        <w:rPr>
          <w:sz w:val="24"/>
          <w:szCs w:val="24"/>
        </w:rPr>
        <w:t xml:space="preserve"> приняты по истечении </w:t>
      </w:r>
      <w:r w:rsidRPr="00213A5D">
        <w:rPr>
          <w:b/>
          <w:sz w:val="24"/>
          <w:szCs w:val="24"/>
        </w:rPr>
        <w:t>от 104 до 159 дня</w:t>
      </w:r>
      <w:r w:rsidRPr="00213A5D">
        <w:rPr>
          <w:sz w:val="24"/>
          <w:szCs w:val="24"/>
        </w:rPr>
        <w:t xml:space="preserve"> со срока внесения в Правительство Российской Федерации, утвержденного графиком подготовки НПА (ответственные исполнители: Минсельхоз России, Минэкономразвития России, Ростуризм).</w:t>
      </w:r>
    </w:p>
    <w:p w14:paraId="5CF408CE" w14:textId="77777777" w:rsidR="00A55DC7" w:rsidRPr="00213A5D" w:rsidRDefault="001304C1" w:rsidP="005628D9">
      <w:pPr>
        <w:widowControl w:val="0"/>
        <w:spacing w:line="324" w:lineRule="auto"/>
        <w:ind w:left="0" w:right="0"/>
        <w:rPr>
          <w:bCs/>
          <w:sz w:val="24"/>
          <w:szCs w:val="24"/>
        </w:rPr>
      </w:pPr>
      <w:r w:rsidRPr="00213A5D">
        <w:rPr>
          <w:b/>
          <w:sz w:val="24"/>
          <w:szCs w:val="24"/>
          <w:lang w:eastAsia="en-US"/>
        </w:rPr>
        <w:t>2.</w:t>
      </w:r>
      <w:r w:rsidR="007F59A9" w:rsidRPr="00213A5D">
        <w:rPr>
          <w:b/>
          <w:sz w:val="24"/>
          <w:szCs w:val="24"/>
          <w:lang w:eastAsia="en-US"/>
        </w:rPr>
        <w:t>4</w:t>
      </w:r>
      <w:r w:rsidRPr="00213A5D">
        <w:rPr>
          <w:b/>
          <w:sz w:val="24"/>
          <w:szCs w:val="24"/>
          <w:lang w:eastAsia="en-US"/>
        </w:rPr>
        <w:t>.</w:t>
      </w:r>
      <w:r w:rsidRPr="00213A5D">
        <w:rPr>
          <w:sz w:val="24"/>
          <w:szCs w:val="24"/>
          <w:lang w:eastAsia="en-US"/>
        </w:rPr>
        <w:t> </w:t>
      </w:r>
      <w:r w:rsidR="00A55DC7" w:rsidRPr="00213A5D">
        <w:rPr>
          <w:bCs/>
          <w:sz w:val="24"/>
          <w:szCs w:val="24"/>
        </w:rPr>
        <w:t>В целях обеспечения согласованных действий федеральных органов исполнительной власти при решении вопросов повышения эффективности бюджетных расходов в период с января по сентябрь 2022 года проведено 21 заседание Правительственной комиссии по вопросам оптимизации и повышения эффективности бюджетных расходов</w:t>
      </w:r>
      <w:r w:rsidR="00A55DC7" w:rsidRPr="00213A5D">
        <w:rPr>
          <w:rStyle w:val="aff2"/>
          <w:bCs/>
          <w:sz w:val="24"/>
          <w:szCs w:val="24"/>
        </w:rPr>
        <w:footnoteReference w:id="6"/>
      </w:r>
      <w:r w:rsidR="00A55DC7" w:rsidRPr="00213A5D">
        <w:rPr>
          <w:bCs/>
          <w:sz w:val="24"/>
          <w:szCs w:val="24"/>
        </w:rPr>
        <w:t xml:space="preserve">, в том числе </w:t>
      </w:r>
      <w:r w:rsidR="00A55DC7" w:rsidRPr="00213A5D">
        <w:rPr>
          <w:sz w:val="24"/>
          <w:szCs w:val="24"/>
          <w:lang w:bidi="ru-RU"/>
        </w:rPr>
        <w:t xml:space="preserve">заседания рабочей группы по вопросам бюджетной устойчивости </w:t>
      </w:r>
      <w:r w:rsidR="00A55DC7" w:rsidRPr="00213A5D">
        <w:rPr>
          <w:bCs/>
          <w:sz w:val="24"/>
          <w:szCs w:val="24"/>
        </w:rPr>
        <w:t>(далее – Правительственная комиссия по оптимизации).</w:t>
      </w:r>
    </w:p>
    <w:p w14:paraId="1902B0A3" w14:textId="77777777" w:rsidR="00A55DC7" w:rsidRPr="00213A5D" w:rsidRDefault="00A55DC7" w:rsidP="00D809DF">
      <w:pPr>
        <w:widowControl w:val="0"/>
        <w:spacing w:line="324" w:lineRule="auto"/>
        <w:ind w:left="0" w:right="0"/>
        <w:rPr>
          <w:bCs/>
          <w:sz w:val="24"/>
          <w:szCs w:val="24"/>
        </w:rPr>
      </w:pPr>
      <w:r w:rsidRPr="00213A5D">
        <w:rPr>
          <w:bCs/>
          <w:sz w:val="24"/>
          <w:szCs w:val="24"/>
        </w:rPr>
        <w:lastRenderedPageBreak/>
        <w:t>Правительственной комиссией по оптимизации рассматривались следующие вопросы:</w:t>
      </w:r>
    </w:p>
    <w:p w14:paraId="173F22FA" w14:textId="77777777" w:rsidR="00A55DC7" w:rsidRPr="00213A5D" w:rsidRDefault="00A55DC7" w:rsidP="00D809DF">
      <w:pPr>
        <w:widowControl w:val="0"/>
        <w:spacing w:line="324" w:lineRule="auto"/>
        <w:ind w:left="0" w:right="0"/>
        <w:rPr>
          <w:bCs/>
          <w:sz w:val="24"/>
          <w:szCs w:val="24"/>
        </w:rPr>
      </w:pPr>
      <w:r w:rsidRPr="00213A5D">
        <w:rPr>
          <w:bCs/>
          <w:sz w:val="24"/>
          <w:szCs w:val="24"/>
        </w:rPr>
        <w:t xml:space="preserve">предложения по мерам, необходимым для обеспечения бюджетной дисциплины  при исполнении федерального бюджета (соблюдение сроков бюджетных и закупочных процедур и алгоритм действий при их нарушении); </w:t>
      </w:r>
    </w:p>
    <w:p w14:paraId="6C2D886A" w14:textId="77777777" w:rsidR="00A55DC7" w:rsidRPr="00213A5D" w:rsidRDefault="00A55DC7" w:rsidP="00D809DF">
      <w:pPr>
        <w:widowControl w:val="0"/>
        <w:spacing w:line="324" w:lineRule="auto"/>
        <w:ind w:left="0" w:right="0"/>
        <w:rPr>
          <w:bCs/>
          <w:sz w:val="24"/>
          <w:szCs w:val="24"/>
        </w:rPr>
      </w:pPr>
      <w:r w:rsidRPr="00213A5D">
        <w:rPr>
          <w:bCs/>
          <w:sz w:val="24"/>
          <w:szCs w:val="24"/>
        </w:rPr>
        <w:t>предложения главных распорядителей по перераспределению бюджетных ассигнований с целью минимизации объемов их неисполнения;</w:t>
      </w:r>
    </w:p>
    <w:p w14:paraId="29D7422C" w14:textId="77777777" w:rsidR="00A55DC7" w:rsidRPr="00213A5D" w:rsidRDefault="00A55DC7" w:rsidP="00D809DF">
      <w:pPr>
        <w:widowControl w:val="0"/>
        <w:spacing w:line="324" w:lineRule="auto"/>
        <w:ind w:left="0" w:right="0"/>
        <w:rPr>
          <w:bCs/>
          <w:sz w:val="24"/>
          <w:szCs w:val="24"/>
        </w:rPr>
      </w:pPr>
      <w:r w:rsidRPr="00213A5D">
        <w:rPr>
          <w:bCs/>
          <w:sz w:val="24"/>
          <w:szCs w:val="24"/>
        </w:rPr>
        <w:t>предложения по порядку перераспределения в 2022 году бюджетных ассигнований, предусмотренных на реализацию инициатив социально-экономического развития Российской Федерации;</w:t>
      </w:r>
    </w:p>
    <w:p w14:paraId="4212489B" w14:textId="77777777" w:rsidR="00A55DC7" w:rsidRPr="00213A5D" w:rsidRDefault="00A55DC7" w:rsidP="00D809DF">
      <w:pPr>
        <w:widowControl w:val="0"/>
        <w:spacing w:line="324" w:lineRule="auto"/>
        <w:ind w:left="0" w:right="0"/>
        <w:rPr>
          <w:bCs/>
          <w:sz w:val="24"/>
          <w:szCs w:val="24"/>
        </w:rPr>
      </w:pPr>
      <w:r w:rsidRPr="00213A5D">
        <w:rPr>
          <w:bCs/>
          <w:sz w:val="24"/>
          <w:szCs w:val="24"/>
        </w:rPr>
        <w:t>мониторинг принятия бюджетных обязательств;</w:t>
      </w:r>
    </w:p>
    <w:p w14:paraId="52784C1B" w14:textId="77777777" w:rsidR="00A55DC7" w:rsidRPr="00213A5D" w:rsidRDefault="00A55DC7" w:rsidP="00D809DF">
      <w:pPr>
        <w:widowControl w:val="0"/>
        <w:spacing w:line="324" w:lineRule="auto"/>
        <w:ind w:left="0" w:right="0"/>
        <w:rPr>
          <w:bCs/>
          <w:sz w:val="24"/>
          <w:szCs w:val="24"/>
        </w:rPr>
      </w:pPr>
      <w:r w:rsidRPr="00213A5D">
        <w:rPr>
          <w:bCs/>
          <w:sz w:val="24"/>
          <w:szCs w:val="24"/>
        </w:rPr>
        <w:t xml:space="preserve">предложения по перечню налоговых расходов Российской Федерации на 2022 год и плановый период 2023 и 2024 годов; </w:t>
      </w:r>
    </w:p>
    <w:p w14:paraId="6C0C93EE" w14:textId="77777777" w:rsidR="00A55DC7" w:rsidRPr="00213A5D" w:rsidRDefault="00A55DC7" w:rsidP="00D809DF">
      <w:pPr>
        <w:widowControl w:val="0"/>
        <w:spacing w:line="324" w:lineRule="auto"/>
        <w:ind w:left="0" w:right="0"/>
        <w:rPr>
          <w:bCs/>
          <w:sz w:val="24"/>
          <w:szCs w:val="24"/>
        </w:rPr>
      </w:pPr>
      <w:r w:rsidRPr="00213A5D">
        <w:rPr>
          <w:bCs/>
          <w:sz w:val="24"/>
          <w:szCs w:val="24"/>
        </w:rPr>
        <w:t>утверждение методики оценки инфраструктурных проектов;</w:t>
      </w:r>
    </w:p>
    <w:p w14:paraId="3993EF6C" w14:textId="77777777" w:rsidR="00A55DC7" w:rsidRPr="00213A5D" w:rsidRDefault="00A55DC7" w:rsidP="00D809DF">
      <w:pPr>
        <w:widowControl w:val="0"/>
        <w:spacing w:line="324" w:lineRule="auto"/>
        <w:ind w:left="0" w:right="0"/>
        <w:rPr>
          <w:rFonts w:eastAsia="Times New Roman"/>
          <w:sz w:val="24"/>
          <w:szCs w:val="24"/>
        </w:rPr>
      </w:pPr>
      <w:r w:rsidRPr="00213A5D">
        <w:rPr>
          <w:bCs/>
          <w:sz w:val="24"/>
          <w:szCs w:val="24"/>
        </w:rPr>
        <w:t>согласование продления срока принятия бюджетных обязательств, связанных с поставкой товаров (работ, услуг)</w:t>
      </w:r>
      <w:r w:rsidRPr="00213A5D">
        <w:rPr>
          <w:rStyle w:val="aff2"/>
          <w:bCs/>
          <w:sz w:val="24"/>
          <w:szCs w:val="24"/>
        </w:rPr>
        <w:footnoteReference w:id="7"/>
      </w:r>
      <w:r w:rsidRPr="00213A5D">
        <w:rPr>
          <w:bCs/>
          <w:sz w:val="24"/>
          <w:szCs w:val="24"/>
        </w:rPr>
        <w:t>;</w:t>
      </w:r>
      <w:r w:rsidRPr="00213A5D">
        <w:rPr>
          <w:rFonts w:eastAsia="Times New Roman"/>
          <w:sz w:val="24"/>
          <w:szCs w:val="24"/>
        </w:rPr>
        <w:t xml:space="preserve"> </w:t>
      </w:r>
    </w:p>
    <w:p w14:paraId="7B54D3AE" w14:textId="77777777" w:rsidR="00A55DC7" w:rsidRPr="00213A5D" w:rsidRDefault="00A55DC7" w:rsidP="00D809DF">
      <w:pPr>
        <w:widowControl w:val="0"/>
        <w:spacing w:line="324" w:lineRule="auto"/>
        <w:ind w:left="0" w:right="0"/>
        <w:rPr>
          <w:bCs/>
          <w:sz w:val="24"/>
          <w:szCs w:val="24"/>
        </w:rPr>
      </w:pPr>
      <w:r w:rsidRPr="00213A5D">
        <w:rPr>
          <w:bCs/>
          <w:sz w:val="24"/>
          <w:szCs w:val="24"/>
        </w:rPr>
        <w:t>другие вопросы.</w:t>
      </w:r>
    </w:p>
    <w:p w14:paraId="0049A510" w14:textId="77777777" w:rsidR="00A55DC7" w:rsidRPr="00213A5D" w:rsidRDefault="00A55DC7" w:rsidP="00D809DF">
      <w:pPr>
        <w:widowControl w:val="0"/>
        <w:spacing w:line="324" w:lineRule="auto"/>
        <w:ind w:left="0" w:right="-2"/>
        <w:rPr>
          <w:rFonts w:eastAsia="Times New Roman"/>
          <w:sz w:val="24"/>
          <w:szCs w:val="24"/>
        </w:rPr>
      </w:pPr>
      <w:r w:rsidRPr="00213A5D">
        <w:rPr>
          <w:sz w:val="24"/>
          <w:szCs w:val="24"/>
        </w:rPr>
        <w:t xml:space="preserve">Начиная с мая 2022 года принимались решения </w:t>
      </w:r>
      <w:r w:rsidRPr="00213A5D">
        <w:rPr>
          <w:rFonts w:eastAsia="Times New Roman"/>
          <w:sz w:val="24"/>
          <w:szCs w:val="24"/>
        </w:rPr>
        <w:t xml:space="preserve">о перераспределении бюджетных ассигнований </w:t>
      </w:r>
      <w:r w:rsidRPr="00213A5D">
        <w:rPr>
          <w:sz w:val="24"/>
          <w:szCs w:val="24"/>
          <w:lang w:eastAsia="en-US"/>
        </w:rPr>
        <w:t xml:space="preserve">на 2022–2024 годы </w:t>
      </w:r>
      <w:r w:rsidRPr="00213A5D">
        <w:rPr>
          <w:rFonts w:eastAsia="Times New Roman"/>
          <w:sz w:val="24"/>
          <w:szCs w:val="24"/>
        </w:rPr>
        <w:t xml:space="preserve">по предложениям 32 </w:t>
      </w:r>
      <w:r w:rsidRPr="00213A5D">
        <w:rPr>
          <w:sz w:val="24"/>
          <w:szCs w:val="24"/>
          <w:lang w:eastAsia="en-US"/>
        </w:rPr>
        <w:t xml:space="preserve">главных распорядителей </w:t>
      </w:r>
      <w:r w:rsidRPr="00213A5D">
        <w:rPr>
          <w:rFonts w:eastAsia="Times New Roman"/>
          <w:sz w:val="24"/>
          <w:szCs w:val="24"/>
        </w:rPr>
        <w:t xml:space="preserve">в объеме </w:t>
      </w:r>
      <w:r w:rsidRPr="00213A5D">
        <w:rPr>
          <w:sz w:val="24"/>
          <w:szCs w:val="24"/>
          <w:lang w:eastAsia="en-US"/>
        </w:rPr>
        <w:t>144,0 млрд. рублей (расчетно), в том числе на 2022 год – 125,0 млрд. рублей, или 86,8 % общего объема перераспределени</w:t>
      </w:r>
      <w:r w:rsidR="006B214B" w:rsidRPr="00213A5D">
        <w:rPr>
          <w:sz w:val="24"/>
          <w:szCs w:val="24"/>
          <w:lang w:eastAsia="en-US"/>
        </w:rPr>
        <w:t>я</w:t>
      </w:r>
      <w:r w:rsidRPr="00213A5D">
        <w:rPr>
          <w:sz w:val="24"/>
          <w:szCs w:val="24"/>
          <w:lang w:eastAsia="en-US"/>
        </w:rPr>
        <w:t>, а т</w:t>
      </w:r>
      <w:r w:rsidRPr="00213A5D">
        <w:rPr>
          <w:bCs/>
          <w:sz w:val="24"/>
          <w:szCs w:val="24"/>
        </w:rPr>
        <w:t xml:space="preserve">акже </w:t>
      </w:r>
      <w:r w:rsidRPr="00213A5D">
        <w:rPr>
          <w:sz w:val="24"/>
          <w:szCs w:val="24"/>
        </w:rPr>
        <w:t xml:space="preserve">решения </w:t>
      </w:r>
      <w:r w:rsidRPr="00213A5D">
        <w:rPr>
          <w:rFonts w:eastAsia="Times New Roman"/>
          <w:sz w:val="24"/>
          <w:szCs w:val="24"/>
        </w:rPr>
        <w:t>о направлении 48,6 млрд. рублей в резервный фонд Правительства Российской Федерации.</w:t>
      </w:r>
    </w:p>
    <w:p w14:paraId="244E0B30" w14:textId="77777777" w:rsidR="001304C1" w:rsidRPr="00213A5D" w:rsidRDefault="001304C1" w:rsidP="00AF1852">
      <w:pPr>
        <w:widowControl w:val="0"/>
        <w:spacing w:line="240" w:lineRule="auto"/>
        <w:ind w:left="0" w:right="0"/>
        <w:rPr>
          <w:sz w:val="12"/>
          <w:szCs w:val="12"/>
        </w:rPr>
      </w:pPr>
    </w:p>
    <w:p w14:paraId="61100901" w14:textId="77777777" w:rsidR="002B4B56" w:rsidRPr="00213A5D" w:rsidRDefault="00524DF2" w:rsidP="00AF1852">
      <w:pPr>
        <w:widowControl w:val="0"/>
        <w:spacing w:line="240" w:lineRule="auto"/>
        <w:ind w:left="0" w:right="0"/>
        <w:jc w:val="center"/>
        <w:rPr>
          <w:b/>
          <w:sz w:val="24"/>
          <w:szCs w:val="24"/>
          <w:u w:val="single"/>
          <w:lang w:eastAsia="en-US"/>
        </w:rPr>
      </w:pPr>
      <w:r w:rsidRPr="00213A5D">
        <w:rPr>
          <w:b/>
          <w:sz w:val="24"/>
          <w:szCs w:val="24"/>
        </w:rPr>
        <w:t>3.</w:t>
      </w:r>
      <w:r w:rsidRPr="00213A5D">
        <w:rPr>
          <w:sz w:val="24"/>
          <w:szCs w:val="24"/>
        </w:rPr>
        <w:t xml:space="preserve"> </w:t>
      </w:r>
      <w:r w:rsidR="00F50052" w:rsidRPr="00213A5D">
        <w:rPr>
          <w:b/>
          <w:sz w:val="24"/>
          <w:szCs w:val="24"/>
          <w:u w:val="single"/>
        </w:rPr>
        <w:t>Анализ исполнения д</w:t>
      </w:r>
      <w:r w:rsidR="00F50052" w:rsidRPr="00213A5D">
        <w:rPr>
          <w:b/>
          <w:sz w:val="24"/>
          <w:szCs w:val="24"/>
          <w:u w:val="single"/>
          <w:lang w:eastAsia="en-US"/>
        </w:rPr>
        <w:t>оходов</w:t>
      </w:r>
      <w:r w:rsidR="002B4B56" w:rsidRPr="00213A5D">
        <w:rPr>
          <w:b/>
          <w:sz w:val="24"/>
          <w:szCs w:val="24"/>
          <w:u w:val="single"/>
          <w:lang w:eastAsia="en-US"/>
        </w:rPr>
        <w:t xml:space="preserve"> федерального бюджета</w:t>
      </w:r>
    </w:p>
    <w:p w14:paraId="3F36480D" w14:textId="77777777" w:rsidR="00A9277F" w:rsidRPr="00213A5D" w:rsidRDefault="00A9277F" w:rsidP="00AF1852">
      <w:pPr>
        <w:widowControl w:val="0"/>
        <w:spacing w:line="240" w:lineRule="auto"/>
        <w:ind w:left="0" w:right="0"/>
        <w:jc w:val="center"/>
        <w:rPr>
          <w:sz w:val="18"/>
          <w:szCs w:val="18"/>
        </w:rPr>
      </w:pPr>
    </w:p>
    <w:p w14:paraId="2076E8A6" w14:textId="77777777" w:rsidR="00765F4D" w:rsidRPr="00213A5D" w:rsidRDefault="00765F4D" w:rsidP="00EE79FF">
      <w:pPr>
        <w:widowControl w:val="0"/>
        <w:spacing w:line="324" w:lineRule="auto"/>
        <w:ind w:left="0" w:right="0"/>
        <w:rPr>
          <w:sz w:val="24"/>
          <w:szCs w:val="24"/>
        </w:rPr>
      </w:pPr>
      <w:r w:rsidRPr="00213A5D">
        <w:rPr>
          <w:b/>
          <w:sz w:val="24"/>
          <w:szCs w:val="24"/>
        </w:rPr>
        <w:t>3.1. </w:t>
      </w:r>
      <w:r w:rsidRPr="00213A5D">
        <w:rPr>
          <w:bCs/>
          <w:sz w:val="24"/>
          <w:szCs w:val="24"/>
        </w:rPr>
        <w:t>Исполнение</w:t>
      </w:r>
      <w:r w:rsidRPr="00213A5D">
        <w:rPr>
          <w:b/>
          <w:bCs/>
          <w:sz w:val="24"/>
          <w:szCs w:val="24"/>
        </w:rPr>
        <w:t xml:space="preserve"> доходов федерального бюджета</w:t>
      </w:r>
      <w:r w:rsidRPr="00213A5D">
        <w:rPr>
          <w:sz w:val="24"/>
          <w:szCs w:val="24"/>
        </w:rPr>
        <w:t xml:space="preserve"> за январь </w:t>
      </w:r>
      <w:r w:rsidRPr="00213A5D">
        <w:rPr>
          <w:rFonts w:eastAsia="Times New Roman"/>
          <w:sz w:val="24"/>
          <w:szCs w:val="24"/>
        </w:rPr>
        <w:t>–</w:t>
      </w:r>
      <w:r w:rsidRPr="00213A5D">
        <w:rPr>
          <w:sz w:val="24"/>
          <w:szCs w:val="24"/>
        </w:rPr>
        <w:t> сентябрь 2022 года характеризуется данными, приведенными в следующей таблице.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
        <w:gridCol w:w="1888"/>
        <w:gridCol w:w="1701"/>
        <w:gridCol w:w="992"/>
        <w:gridCol w:w="992"/>
        <w:gridCol w:w="992"/>
        <w:gridCol w:w="993"/>
        <w:gridCol w:w="992"/>
        <w:gridCol w:w="850"/>
      </w:tblGrid>
      <w:tr w:rsidR="00765F4D" w:rsidRPr="00213A5D" w14:paraId="4958FBA4" w14:textId="77777777" w:rsidTr="00A55DC7">
        <w:trPr>
          <w:trHeight w:val="268"/>
          <w:tblHeader/>
        </w:trPr>
        <w:tc>
          <w:tcPr>
            <w:tcW w:w="2142" w:type="dxa"/>
            <w:gridSpan w:val="2"/>
            <w:vMerge w:val="restart"/>
            <w:shd w:val="clear" w:color="auto" w:fill="auto"/>
            <w:vAlign w:val="center"/>
            <w:hideMark/>
          </w:tcPr>
          <w:p w14:paraId="0CC7FE8D"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Показатели</w:t>
            </w:r>
          </w:p>
        </w:tc>
        <w:tc>
          <w:tcPr>
            <w:tcW w:w="1701" w:type="dxa"/>
            <w:vMerge w:val="restart"/>
            <w:shd w:val="clear" w:color="000000" w:fill="FFFFFF"/>
            <w:vAlign w:val="center"/>
            <w:hideMark/>
          </w:tcPr>
          <w:p w14:paraId="6F7D1D51"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Прогноз доходов федерального бюджета на 2022 год в соответствии с Федеральным законом № 390-ФЗ</w:t>
            </w:r>
          </w:p>
        </w:tc>
        <w:tc>
          <w:tcPr>
            <w:tcW w:w="3969" w:type="dxa"/>
            <w:gridSpan w:val="4"/>
            <w:shd w:val="clear" w:color="auto" w:fill="auto"/>
            <w:vAlign w:val="center"/>
            <w:hideMark/>
          </w:tcPr>
          <w:p w14:paraId="2DDAB22D" w14:textId="77777777" w:rsidR="00765F4D" w:rsidRPr="00213A5D" w:rsidRDefault="006B4B6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Исполнение</w:t>
            </w:r>
            <w:r w:rsidRPr="00213A5D">
              <w:rPr>
                <w:rFonts w:eastAsia="Times New Roman"/>
                <w:b/>
                <w:bCs/>
                <w:sz w:val="14"/>
                <w:szCs w:val="14"/>
              </w:rPr>
              <w:br/>
              <w:t xml:space="preserve">за январь – </w:t>
            </w:r>
            <w:r w:rsidR="00765F4D" w:rsidRPr="00213A5D">
              <w:rPr>
                <w:rFonts w:eastAsia="Times New Roman"/>
                <w:b/>
                <w:bCs/>
                <w:sz w:val="14"/>
                <w:szCs w:val="14"/>
              </w:rPr>
              <w:t>сентябрь</w:t>
            </w:r>
          </w:p>
        </w:tc>
        <w:tc>
          <w:tcPr>
            <w:tcW w:w="1842" w:type="dxa"/>
            <w:gridSpan w:val="2"/>
            <w:shd w:val="clear" w:color="auto" w:fill="auto"/>
            <w:vAlign w:val="center"/>
            <w:hideMark/>
          </w:tcPr>
          <w:p w14:paraId="39F224AA" w14:textId="77777777" w:rsidR="00765F4D" w:rsidRPr="00213A5D" w:rsidRDefault="006B4B6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Отклонение исполнения</w:t>
            </w:r>
            <w:r w:rsidRPr="00213A5D">
              <w:rPr>
                <w:rFonts w:eastAsia="Times New Roman"/>
                <w:b/>
                <w:bCs/>
                <w:sz w:val="14"/>
                <w:szCs w:val="14"/>
              </w:rPr>
              <w:br/>
              <w:t xml:space="preserve">января – </w:t>
            </w:r>
            <w:r w:rsidR="00765F4D" w:rsidRPr="00213A5D">
              <w:rPr>
                <w:rFonts w:eastAsia="Times New Roman"/>
                <w:b/>
                <w:bCs/>
                <w:sz w:val="14"/>
                <w:szCs w:val="14"/>
              </w:rPr>
              <w:t>сентября</w:t>
            </w:r>
          </w:p>
          <w:p w14:paraId="19757011"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2022 года от 2021 года</w:t>
            </w:r>
          </w:p>
        </w:tc>
      </w:tr>
      <w:tr w:rsidR="00765F4D" w:rsidRPr="00213A5D" w14:paraId="531D4A2B" w14:textId="77777777" w:rsidTr="00A55DC7">
        <w:trPr>
          <w:trHeight w:val="235"/>
          <w:tblHeader/>
        </w:trPr>
        <w:tc>
          <w:tcPr>
            <w:tcW w:w="2142" w:type="dxa"/>
            <w:gridSpan w:val="2"/>
            <w:vMerge/>
            <w:vAlign w:val="center"/>
            <w:hideMark/>
          </w:tcPr>
          <w:p w14:paraId="75BA96A5"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701" w:type="dxa"/>
            <w:vMerge/>
            <w:vAlign w:val="center"/>
            <w:hideMark/>
          </w:tcPr>
          <w:p w14:paraId="12323081"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984" w:type="dxa"/>
            <w:gridSpan w:val="2"/>
            <w:shd w:val="clear" w:color="auto" w:fill="auto"/>
            <w:vAlign w:val="center"/>
            <w:hideMark/>
          </w:tcPr>
          <w:p w14:paraId="2A7B8262"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2021 года</w:t>
            </w:r>
          </w:p>
        </w:tc>
        <w:tc>
          <w:tcPr>
            <w:tcW w:w="1985" w:type="dxa"/>
            <w:gridSpan w:val="2"/>
            <w:shd w:val="clear" w:color="auto" w:fill="auto"/>
            <w:vAlign w:val="center"/>
            <w:hideMark/>
          </w:tcPr>
          <w:p w14:paraId="5F45A1F2"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2022 года</w:t>
            </w:r>
          </w:p>
        </w:tc>
        <w:tc>
          <w:tcPr>
            <w:tcW w:w="992" w:type="dxa"/>
            <w:shd w:val="clear" w:color="auto" w:fill="auto"/>
            <w:vAlign w:val="center"/>
            <w:hideMark/>
          </w:tcPr>
          <w:p w14:paraId="0D62B189" w14:textId="77777777" w:rsidR="00765F4D" w:rsidRPr="00213A5D" w:rsidRDefault="00765F4D" w:rsidP="00AF1852">
            <w:pPr>
              <w:widowControl w:val="0"/>
              <w:spacing w:line="240" w:lineRule="auto"/>
              <w:ind w:left="0" w:right="0" w:firstLine="0"/>
              <w:rPr>
                <w:rFonts w:eastAsia="Times New Roman"/>
                <w:b/>
                <w:bCs/>
                <w:sz w:val="14"/>
                <w:szCs w:val="14"/>
              </w:rPr>
            </w:pPr>
            <w:r w:rsidRPr="00213A5D">
              <w:rPr>
                <w:rFonts w:eastAsia="Times New Roman"/>
                <w:b/>
                <w:bCs/>
                <w:sz w:val="14"/>
                <w:szCs w:val="14"/>
              </w:rPr>
              <w:t>гр. 5 - гр. 3</w:t>
            </w:r>
          </w:p>
        </w:tc>
        <w:tc>
          <w:tcPr>
            <w:tcW w:w="850" w:type="dxa"/>
            <w:shd w:val="clear" w:color="auto" w:fill="auto"/>
            <w:vAlign w:val="center"/>
          </w:tcPr>
          <w:p w14:paraId="1E418879" w14:textId="77777777" w:rsidR="00765F4D" w:rsidRPr="00213A5D" w:rsidRDefault="00765F4D" w:rsidP="00045B11">
            <w:pPr>
              <w:widowControl w:val="0"/>
              <w:spacing w:line="240" w:lineRule="auto"/>
              <w:ind w:left="0" w:right="0" w:firstLine="0"/>
              <w:jc w:val="center"/>
              <w:rPr>
                <w:rFonts w:eastAsia="Times New Roman"/>
                <w:b/>
                <w:bCs/>
                <w:sz w:val="14"/>
                <w:szCs w:val="14"/>
              </w:rPr>
            </w:pPr>
            <w:r w:rsidRPr="00213A5D">
              <w:rPr>
                <w:rFonts w:eastAsia="Times New Roman"/>
                <w:b/>
                <w:bCs/>
                <w:sz w:val="14"/>
                <w:szCs w:val="14"/>
              </w:rPr>
              <w:t>гр. 5/гр. 3*</w:t>
            </w:r>
            <w:r w:rsidR="00045B11" w:rsidRPr="00213A5D">
              <w:rPr>
                <w:rFonts w:eastAsia="Times New Roman"/>
                <w:b/>
                <w:bCs/>
                <w:sz w:val="14"/>
                <w:szCs w:val="14"/>
              </w:rPr>
              <w:t xml:space="preserve"> </w:t>
            </w:r>
            <w:r w:rsidRPr="00213A5D">
              <w:rPr>
                <w:rFonts w:eastAsia="Times New Roman"/>
                <w:b/>
                <w:bCs/>
                <w:sz w:val="14"/>
                <w:szCs w:val="14"/>
              </w:rPr>
              <w:t>100</w:t>
            </w:r>
          </w:p>
        </w:tc>
      </w:tr>
      <w:tr w:rsidR="00765F4D" w:rsidRPr="00213A5D" w14:paraId="0FF2F569" w14:textId="77777777" w:rsidTr="00A55DC7">
        <w:trPr>
          <w:trHeight w:val="136"/>
          <w:tblHeader/>
        </w:trPr>
        <w:tc>
          <w:tcPr>
            <w:tcW w:w="2142" w:type="dxa"/>
            <w:gridSpan w:val="2"/>
            <w:vMerge/>
            <w:vAlign w:val="center"/>
            <w:hideMark/>
          </w:tcPr>
          <w:p w14:paraId="25B34703"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701" w:type="dxa"/>
            <w:shd w:val="clear" w:color="000000" w:fill="FFFFFF"/>
            <w:vAlign w:val="center"/>
            <w:hideMark/>
          </w:tcPr>
          <w:p w14:paraId="69B80D70"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992" w:type="dxa"/>
            <w:shd w:val="clear" w:color="auto" w:fill="auto"/>
            <w:vAlign w:val="center"/>
            <w:hideMark/>
          </w:tcPr>
          <w:p w14:paraId="54E8693D"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992" w:type="dxa"/>
            <w:shd w:val="clear" w:color="auto" w:fill="auto"/>
            <w:vAlign w:val="center"/>
            <w:hideMark/>
          </w:tcPr>
          <w:p w14:paraId="731A240C" w14:textId="77777777" w:rsidR="00EE79FF"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 xml:space="preserve">в % к прогнозу </w:t>
            </w:r>
          </w:p>
          <w:p w14:paraId="4CE5C6DC"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за 2021 год</w:t>
            </w:r>
          </w:p>
        </w:tc>
        <w:tc>
          <w:tcPr>
            <w:tcW w:w="992" w:type="dxa"/>
            <w:shd w:val="clear" w:color="auto" w:fill="auto"/>
            <w:vAlign w:val="center"/>
            <w:hideMark/>
          </w:tcPr>
          <w:p w14:paraId="260AD258"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993" w:type="dxa"/>
            <w:shd w:val="clear" w:color="auto" w:fill="auto"/>
            <w:vAlign w:val="center"/>
            <w:hideMark/>
          </w:tcPr>
          <w:p w14:paraId="08344D71"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в % к прогнозу за 2022 год</w:t>
            </w:r>
          </w:p>
        </w:tc>
        <w:tc>
          <w:tcPr>
            <w:tcW w:w="992" w:type="dxa"/>
            <w:shd w:val="clear" w:color="auto" w:fill="auto"/>
            <w:vAlign w:val="center"/>
            <w:hideMark/>
          </w:tcPr>
          <w:p w14:paraId="598BA8DD"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850" w:type="dxa"/>
            <w:shd w:val="clear" w:color="auto" w:fill="auto"/>
            <w:vAlign w:val="center"/>
            <w:hideMark/>
          </w:tcPr>
          <w:p w14:paraId="5DDA04B1"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w:t>
            </w:r>
          </w:p>
        </w:tc>
      </w:tr>
      <w:tr w:rsidR="00765F4D" w:rsidRPr="00213A5D" w14:paraId="0E7CAD7E" w14:textId="77777777" w:rsidTr="00A55DC7">
        <w:trPr>
          <w:trHeight w:val="53"/>
          <w:tblHeader/>
        </w:trPr>
        <w:tc>
          <w:tcPr>
            <w:tcW w:w="2142" w:type="dxa"/>
            <w:gridSpan w:val="2"/>
            <w:shd w:val="clear" w:color="auto" w:fill="auto"/>
            <w:vAlign w:val="center"/>
            <w:hideMark/>
          </w:tcPr>
          <w:p w14:paraId="76BD8154"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1</w:t>
            </w:r>
          </w:p>
        </w:tc>
        <w:tc>
          <w:tcPr>
            <w:tcW w:w="1701" w:type="dxa"/>
            <w:shd w:val="clear" w:color="auto" w:fill="auto"/>
            <w:vAlign w:val="center"/>
            <w:hideMark/>
          </w:tcPr>
          <w:p w14:paraId="5F175898"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2</w:t>
            </w:r>
          </w:p>
        </w:tc>
        <w:tc>
          <w:tcPr>
            <w:tcW w:w="992" w:type="dxa"/>
            <w:shd w:val="clear" w:color="auto" w:fill="auto"/>
            <w:noWrap/>
            <w:vAlign w:val="center"/>
            <w:hideMark/>
          </w:tcPr>
          <w:p w14:paraId="1DAE9A69"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3</w:t>
            </w:r>
          </w:p>
        </w:tc>
        <w:tc>
          <w:tcPr>
            <w:tcW w:w="992" w:type="dxa"/>
            <w:shd w:val="clear" w:color="auto" w:fill="auto"/>
            <w:noWrap/>
            <w:vAlign w:val="center"/>
            <w:hideMark/>
          </w:tcPr>
          <w:p w14:paraId="4E6663CB"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4</w:t>
            </w:r>
          </w:p>
        </w:tc>
        <w:tc>
          <w:tcPr>
            <w:tcW w:w="992" w:type="dxa"/>
            <w:shd w:val="clear" w:color="auto" w:fill="auto"/>
            <w:noWrap/>
            <w:vAlign w:val="center"/>
            <w:hideMark/>
          </w:tcPr>
          <w:p w14:paraId="490F3EAF"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5</w:t>
            </w:r>
          </w:p>
        </w:tc>
        <w:tc>
          <w:tcPr>
            <w:tcW w:w="993" w:type="dxa"/>
            <w:shd w:val="clear" w:color="auto" w:fill="auto"/>
            <w:noWrap/>
            <w:vAlign w:val="center"/>
            <w:hideMark/>
          </w:tcPr>
          <w:p w14:paraId="68E4948A"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6</w:t>
            </w:r>
          </w:p>
        </w:tc>
        <w:tc>
          <w:tcPr>
            <w:tcW w:w="992" w:type="dxa"/>
            <w:shd w:val="clear" w:color="auto" w:fill="auto"/>
            <w:noWrap/>
            <w:vAlign w:val="center"/>
            <w:hideMark/>
          </w:tcPr>
          <w:p w14:paraId="24237196"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7</w:t>
            </w:r>
          </w:p>
        </w:tc>
        <w:tc>
          <w:tcPr>
            <w:tcW w:w="850" w:type="dxa"/>
            <w:shd w:val="clear" w:color="auto" w:fill="auto"/>
            <w:noWrap/>
            <w:vAlign w:val="center"/>
            <w:hideMark/>
          </w:tcPr>
          <w:p w14:paraId="7EC96034" w14:textId="77777777" w:rsidR="00765F4D" w:rsidRPr="00213A5D" w:rsidRDefault="00765F4D"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8</w:t>
            </w:r>
          </w:p>
        </w:tc>
      </w:tr>
      <w:tr w:rsidR="00765F4D" w:rsidRPr="00213A5D" w14:paraId="61917695" w14:textId="77777777" w:rsidTr="00765F4D">
        <w:trPr>
          <w:trHeight w:val="53"/>
        </w:trPr>
        <w:tc>
          <w:tcPr>
            <w:tcW w:w="2142" w:type="dxa"/>
            <w:gridSpan w:val="2"/>
            <w:shd w:val="clear" w:color="auto" w:fill="auto"/>
            <w:noWrap/>
            <w:vAlign w:val="center"/>
            <w:hideMark/>
          </w:tcPr>
          <w:p w14:paraId="60188553"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Доходы</w:t>
            </w:r>
          </w:p>
        </w:tc>
        <w:tc>
          <w:tcPr>
            <w:tcW w:w="1701" w:type="dxa"/>
            <w:shd w:val="clear" w:color="auto" w:fill="auto"/>
            <w:noWrap/>
            <w:vAlign w:val="center"/>
            <w:hideMark/>
          </w:tcPr>
          <w:p w14:paraId="27BFB717"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25 021 905,1</w:t>
            </w:r>
          </w:p>
        </w:tc>
        <w:tc>
          <w:tcPr>
            <w:tcW w:w="992" w:type="dxa"/>
            <w:shd w:val="clear" w:color="auto" w:fill="auto"/>
            <w:noWrap/>
            <w:vAlign w:val="center"/>
            <w:hideMark/>
          </w:tcPr>
          <w:p w14:paraId="00DFC374"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17 923 871,5</w:t>
            </w:r>
          </w:p>
        </w:tc>
        <w:tc>
          <w:tcPr>
            <w:tcW w:w="992" w:type="dxa"/>
            <w:shd w:val="clear" w:color="auto" w:fill="auto"/>
            <w:noWrap/>
            <w:vAlign w:val="center"/>
            <w:hideMark/>
          </w:tcPr>
          <w:p w14:paraId="2359E14E"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95,5</w:t>
            </w:r>
          </w:p>
        </w:tc>
        <w:tc>
          <w:tcPr>
            <w:tcW w:w="992" w:type="dxa"/>
            <w:shd w:val="clear" w:color="auto" w:fill="auto"/>
            <w:noWrap/>
            <w:vAlign w:val="center"/>
            <w:hideMark/>
          </w:tcPr>
          <w:p w14:paraId="4A252E99"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19 739 645,7</w:t>
            </w:r>
          </w:p>
        </w:tc>
        <w:tc>
          <w:tcPr>
            <w:tcW w:w="993" w:type="dxa"/>
            <w:shd w:val="clear" w:color="auto" w:fill="auto"/>
            <w:noWrap/>
            <w:vAlign w:val="center"/>
            <w:hideMark/>
          </w:tcPr>
          <w:p w14:paraId="0F7990F1"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78,9</w:t>
            </w:r>
          </w:p>
        </w:tc>
        <w:tc>
          <w:tcPr>
            <w:tcW w:w="992" w:type="dxa"/>
            <w:shd w:val="clear" w:color="auto" w:fill="auto"/>
            <w:noWrap/>
            <w:vAlign w:val="center"/>
            <w:hideMark/>
          </w:tcPr>
          <w:p w14:paraId="45BA382E"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1 815 774,2</w:t>
            </w:r>
          </w:p>
        </w:tc>
        <w:tc>
          <w:tcPr>
            <w:tcW w:w="850" w:type="dxa"/>
            <w:shd w:val="clear" w:color="auto" w:fill="auto"/>
            <w:noWrap/>
            <w:vAlign w:val="center"/>
            <w:hideMark/>
          </w:tcPr>
          <w:p w14:paraId="140A1342"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110,1</w:t>
            </w:r>
          </w:p>
        </w:tc>
      </w:tr>
      <w:tr w:rsidR="00765F4D" w:rsidRPr="00213A5D" w14:paraId="5DACF105" w14:textId="77777777" w:rsidTr="00765F4D">
        <w:trPr>
          <w:trHeight w:val="53"/>
        </w:trPr>
        <w:tc>
          <w:tcPr>
            <w:tcW w:w="254" w:type="dxa"/>
            <w:shd w:val="clear" w:color="auto" w:fill="auto"/>
            <w:noWrap/>
            <w:vAlign w:val="center"/>
            <w:hideMark/>
          </w:tcPr>
          <w:p w14:paraId="247F2765"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r w:rsidRPr="00213A5D">
              <w:rPr>
                <w:rFonts w:eastAsia="Times New Roman"/>
                <w:b/>
                <w:bCs/>
                <w:sz w:val="14"/>
                <w:szCs w:val="14"/>
              </w:rPr>
              <w:t> </w:t>
            </w:r>
          </w:p>
        </w:tc>
        <w:tc>
          <w:tcPr>
            <w:tcW w:w="1888" w:type="dxa"/>
            <w:shd w:val="clear" w:color="auto" w:fill="auto"/>
            <w:noWrap/>
            <w:vAlign w:val="center"/>
            <w:hideMark/>
          </w:tcPr>
          <w:p w14:paraId="3D170B6F"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ВВП</w:t>
            </w:r>
          </w:p>
        </w:tc>
        <w:tc>
          <w:tcPr>
            <w:tcW w:w="1701" w:type="dxa"/>
            <w:shd w:val="clear" w:color="auto" w:fill="auto"/>
            <w:noWrap/>
            <w:vAlign w:val="center"/>
            <w:hideMark/>
          </w:tcPr>
          <w:p w14:paraId="381E6E93"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18,8</w:t>
            </w:r>
          </w:p>
        </w:tc>
        <w:tc>
          <w:tcPr>
            <w:tcW w:w="992" w:type="dxa"/>
            <w:shd w:val="clear" w:color="000000" w:fill="FFFFFF"/>
            <w:noWrap/>
            <w:vAlign w:val="center"/>
            <w:hideMark/>
          </w:tcPr>
          <w:p w14:paraId="0284E1A9"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13,7</w:t>
            </w:r>
          </w:p>
        </w:tc>
        <w:tc>
          <w:tcPr>
            <w:tcW w:w="992" w:type="dxa"/>
            <w:shd w:val="clear" w:color="000000" w:fill="FFFFFF"/>
            <w:noWrap/>
            <w:vAlign w:val="center"/>
            <w:hideMark/>
          </w:tcPr>
          <w:p w14:paraId="3ED1C538"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000000" w:fill="FFFFFF"/>
            <w:noWrap/>
            <w:vAlign w:val="center"/>
            <w:hideMark/>
          </w:tcPr>
          <w:p w14:paraId="1087D15C"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13,5</w:t>
            </w:r>
          </w:p>
        </w:tc>
        <w:tc>
          <w:tcPr>
            <w:tcW w:w="993" w:type="dxa"/>
            <w:shd w:val="clear" w:color="auto" w:fill="auto"/>
            <w:noWrap/>
            <w:vAlign w:val="center"/>
            <w:hideMark/>
          </w:tcPr>
          <w:p w14:paraId="45778300"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14E962E8"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-0,2</w:t>
            </w:r>
          </w:p>
        </w:tc>
        <w:tc>
          <w:tcPr>
            <w:tcW w:w="850" w:type="dxa"/>
            <w:shd w:val="clear" w:color="auto" w:fill="auto"/>
            <w:noWrap/>
            <w:vAlign w:val="center"/>
            <w:hideMark/>
          </w:tcPr>
          <w:p w14:paraId="588411D5"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r>
      <w:tr w:rsidR="00765F4D" w:rsidRPr="00213A5D" w14:paraId="56537C4D" w14:textId="77777777" w:rsidTr="00765F4D">
        <w:trPr>
          <w:trHeight w:val="53"/>
        </w:trPr>
        <w:tc>
          <w:tcPr>
            <w:tcW w:w="2142" w:type="dxa"/>
            <w:gridSpan w:val="2"/>
            <w:shd w:val="clear" w:color="auto" w:fill="auto"/>
            <w:noWrap/>
            <w:vAlign w:val="center"/>
            <w:hideMark/>
          </w:tcPr>
          <w:p w14:paraId="4EA72216"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том числе:</w:t>
            </w:r>
          </w:p>
        </w:tc>
        <w:tc>
          <w:tcPr>
            <w:tcW w:w="1701" w:type="dxa"/>
            <w:shd w:val="clear" w:color="auto" w:fill="auto"/>
            <w:noWrap/>
            <w:vAlign w:val="center"/>
            <w:hideMark/>
          </w:tcPr>
          <w:p w14:paraId="7CD37497"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992" w:type="dxa"/>
            <w:shd w:val="clear" w:color="000000" w:fill="FFFFFF"/>
            <w:noWrap/>
            <w:vAlign w:val="center"/>
            <w:hideMark/>
          </w:tcPr>
          <w:p w14:paraId="572CB373"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68ED2083"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000000" w:fill="FFFFFF"/>
            <w:noWrap/>
            <w:vAlign w:val="center"/>
            <w:hideMark/>
          </w:tcPr>
          <w:p w14:paraId="6C052458"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993" w:type="dxa"/>
            <w:shd w:val="clear" w:color="auto" w:fill="auto"/>
            <w:noWrap/>
            <w:vAlign w:val="center"/>
            <w:hideMark/>
          </w:tcPr>
          <w:p w14:paraId="1C502D3F"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4AE4854E"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850" w:type="dxa"/>
            <w:shd w:val="clear" w:color="auto" w:fill="auto"/>
            <w:noWrap/>
            <w:vAlign w:val="center"/>
            <w:hideMark/>
          </w:tcPr>
          <w:p w14:paraId="3BDADCC0"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765F4D" w:rsidRPr="00213A5D" w14:paraId="2824F385" w14:textId="77777777" w:rsidTr="00765F4D">
        <w:trPr>
          <w:trHeight w:val="53"/>
        </w:trPr>
        <w:tc>
          <w:tcPr>
            <w:tcW w:w="254" w:type="dxa"/>
            <w:shd w:val="clear" w:color="auto" w:fill="auto"/>
            <w:noWrap/>
            <w:vAlign w:val="center"/>
            <w:hideMark/>
          </w:tcPr>
          <w:p w14:paraId="5BD48BE9"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1888" w:type="dxa"/>
            <w:shd w:val="clear" w:color="auto" w:fill="auto"/>
            <w:noWrap/>
            <w:vAlign w:val="center"/>
            <w:hideMark/>
          </w:tcPr>
          <w:p w14:paraId="04083FBE"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нефтегазовые доходы</w:t>
            </w:r>
          </w:p>
        </w:tc>
        <w:tc>
          <w:tcPr>
            <w:tcW w:w="1701" w:type="dxa"/>
            <w:shd w:val="clear" w:color="auto" w:fill="auto"/>
            <w:noWrap/>
            <w:vAlign w:val="center"/>
            <w:hideMark/>
          </w:tcPr>
          <w:p w14:paraId="4B82042F"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9 542 624,8</w:t>
            </w:r>
          </w:p>
        </w:tc>
        <w:tc>
          <w:tcPr>
            <w:tcW w:w="992" w:type="dxa"/>
            <w:shd w:val="clear" w:color="auto" w:fill="auto"/>
            <w:noWrap/>
            <w:vAlign w:val="center"/>
            <w:hideMark/>
          </w:tcPr>
          <w:p w14:paraId="55E766B3"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6 184 879,5</w:t>
            </w:r>
          </w:p>
        </w:tc>
        <w:tc>
          <w:tcPr>
            <w:tcW w:w="992" w:type="dxa"/>
            <w:shd w:val="clear" w:color="auto" w:fill="auto"/>
            <w:noWrap/>
            <w:vAlign w:val="center"/>
            <w:hideMark/>
          </w:tcPr>
          <w:p w14:paraId="295BC2E3"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103,3</w:t>
            </w:r>
          </w:p>
        </w:tc>
        <w:tc>
          <w:tcPr>
            <w:tcW w:w="992" w:type="dxa"/>
            <w:shd w:val="clear" w:color="auto" w:fill="auto"/>
            <w:noWrap/>
            <w:vAlign w:val="center"/>
            <w:hideMark/>
          </w:tcPr>
          <w:p w14:paraId="40503A7C"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8 506 587,4</w:t>
            </w:r>
          </w:p>
        </w:tc>
        <w:tc>
          <w:tcPr>
            <w:tcW w:w="993" w:type="dxa"/>
            <w:shd w:val="clear" w:color="auto" w:fill="auto"/>
            <w:noWrap/>
            <w:vAlign w:val="center"/>
            <w:hideMark/>
          </w:tcPr>
          <w:p w14:paraId="60E06D7A"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89,1</w:t>
            </w:r>
          </w:p>
        </w:tc>
        <w:tc>
          <w:tcPr>
            <w:tcW w:w="992" w:type="dxa"/>
            <w:shd w:val="clear" w:color="auto" w:fill="auto"/>
            <w:noWrap/>
            <w:vAlign w:val="center"/>
            <w:hideMark/>
          </w:tcPr>
          <w:p w14:paraId="1CD4D7A2"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2 321 707,9</w:t>
            </w:r>
          </w:p>
        </w:tc>
        <w:tc>
          <w:tcPr>
            <w:tcW w:w="850" w:type="dxa"/>
            <w:shd w:val="clear" w:color="auto" w:fill="auto"/>
            <w:noWrap/>
            <w:vAlign w:val="center"/>
            <w:hideMark/>
          </w:tcPr>
          <w:p w14:paraId="2C61346D"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137,5</w:t>
            </w:r>
          </w:p>
        </w:tc>
      </w:tr>
      <w:tr w:rsidR="00765F4D" w:rsidRPr="00213A5D" w14:paraId="67A5C75C" w14:textId="77777777" w:rsidTr="00765F4D">
        <w:trPr>
          <w:trHeight w:val="53"/>
        </w:trPr>
        <w:tc>
          <w:tcPr>
            <w:tcW w:w="254" w:type="dxa"/>
            <w:shd w:val="clear" w:color="auto" w:fill="auto"/>
            <w:noWrap/>
            <w:vAlign w:val="center"/>
            <w:hideMark/>
          </w:tcPr>
          <w:p w14:paraId="2C9EF874"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1888" w:type="dxa"/>
            <w:shd w:val="clear" w:color="auto" w:fill="auto"/>
            <w:noWrap/>
            <w:vAlign w:val="center"/>
            <w:hideMark/>
          </w:tcPr>
          <w:p w14:paraId="69AE4A63"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ВВП</w:t>
            </w:r>
          </w:p>
        </w:tc>
        <w:tc>
          <w:tcPr>
            <w:tcW w:w="1701" w:type="dxa"/>
            <w:shd w:val="clear" w:color="auto" w:fill="auto"/>
            <w:noWrap/>
            <w:vAlign w:val="center"/>
            <w:hideMark/>
          </w:tcPr>
          <w:p w14:paraId="5E68A668"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7,2</w:t>
            </w:r>
          </w:p>
        </w:tc>
        <w:tc>
          <w:tcPr>
            <w:tcW w:w="992" w:type="dxa"/>
            <w:shd w:val="clear" w:color="000000" w:fill="FFFFFF"/>
            <w:noWrap/>
            <w:vAlign w:val="center"/>
            <w:hideMark/>
          </w:tcPr>
          <w:p w14:paraId="6FC4D9F1"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4,7</w:t>
            </w:r>
          </w:p>
        </w:tc>
        <w:tc>
          <w:tcPr>
            <w:tcW w:w="992" w:type="dxa"/>
            <w:shd w:val="clear" w:color="auto" w:fill="auto"/>
            <w:noWrap/>
            <w:vAlign w:val="center"/>
            <w:hideMark/>
          </w:tcPr>
          <w:p w14:paraId="6DE9DD8C"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000000" w:fill="FFFFFF"/>
            <w:noWrap/>
            <w:vAlign w:val="center"/>
            <w:hideMark/>
          </w:tcPr>
          <w:p w14:paraId="3FE52C62"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5,8</w:t>
            </w:r>
          </w:p>
        </w:tc>
        <w:tc>
          <w:tcPr>
            <w:tcW w:w="993" w:type="dxa"/>
            <w:shd w:val="clear" w:color="auto" w:fill="auto"/>
            <w:noWrap/>
            <w:vAlign w:val="center"/>
            <w:hideMark/>
          </w:tcPr>
          <w:p w14:paraId="55E4946D"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3D1EF7DC"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1,1</w:t>
            </w:r>
          </w:p>
        </w:tc>
        <w:tc>
          <w:tcPr>
            <w:tcW w:w="850" w:type="dxa"/>
            <w:shd w:val="clear" w:color="auto" w:fill="auto"/>
            <w:noWrap/>
            <w:vAlign w:val="center"/>
            <w:hideMark/>
          </w:tcPr>
          <w:p w14:paraId="681779BA"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r>
      <w:tr w:rsidR="00765F4D" w:rsidRPr="00213A5D" w14:paraId="3F484606" w14:textId="77777777" w:rsidTr="00765F4D">
        <w:trPr>
          <w:trHeight w:val="53"/>
        </w:trPr>
        <w:tc>
          <w:tcPr>
            <w:tcW w:w="254" w:type="dxa"/>
            <w:shd w:val="clear" w:color="auto" w:fill="auto"/>
            <w:noWrap/>
            <w:vAlign w:val="center"/>
            <w:hideMark/>
          </w:tcPr>
          <w:p w14:paraId="5DDDF8C0"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1888" w:type="dxa"/>
            <w:shd w:val="clear" w:color="auto" w:fill="auto"/>
            <w:noWrap/>
            <w:vAlign w:val="center"/>
            <w:hideMark/>
          </w:tcPr>
          <w:p w14:paraId="279CBFE8"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общей сумме доходов</w:t>
            </w:r>
          </w:p>
        </w:tc>
        <w:tc>
          <w:tcPr>
            <w:tcW w:w="1701" w:type="dxa"/>
            <w:shd w:val="clear" w:color="000000" w:fill="FFFFFF"/>
            <w:noWrap/>
            <w:vAlign w:val="center"/>
            <w:hideMark/>
          </w:tcPr>
          <w:p w14:paraId="437AFF2C"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38,1</w:t>
            </w:r>
          </w:p>
        </w:tc>
        <w:tc>
          <w:tcPr>
            <w:tcW w:w="992" w:type="dxa"/>
            <w:shd w:val="clear" w:color="000000" w:fill="FFFFFF"/>
            <w:noWrap/>
            <w:vAlign w:val="center"/>
            <w:hideMark/>
          </w:tcPr>
          <w:p w14:paraId="609C174B"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34,5</w:t>
            </w:r>
          </w:p>
        </w:tc>
        <w:tc>
          <w:tcPr>
            <w:tcW w:w="992" w:type="dxa"/>
            <w:shd w:val="clear" w:color="auto" w:fill="auto"/>
            <w:noWrap/>
            <w:vAlign w:val="center"/>
            <w:hideMark/>
          </w:tcPr>
          <w:p w14:paraId="5F36900E"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000000" w:fill="FFFFFF"/>
            <w:noWrap/>
            <w:vAlign w:val="center"/>
            <w:hideMark/>
          </w:tcPr>
          <w:p w14:paraId="4B4153EF"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43,1</w:t>
            </w:r>
          </w:p>
        </w:tc>
        <w:tc>
          <w:tcPr>
            <w:tcW w:w="993" w:type="dxa"/>
            <w:shd w:val="clear" w:color="auto" w:fill="auto"/>
            <w:noWrap/>
            <w:vAlign w:val="center"/>
            <w:hideMark/>
          </w:tcPr>
          <w:p w14:paraId="243DD26A"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72BDF722"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8,6</w:t>
            </w:r>
          </w:p>
        </w:tc>
        <w:tc>
          <w:tcPr>
            <w:tcW w:w="850" w:type="dxa"/>
            <w:shd w:val="clear" w:color="auto" w:fill="auto"/>
            <w:noWrap/>
            <w:vAlign w:val="center"/>
            <w:hideMark/>
          </w:tcPr>
          <w:p w14:paraId="7CBED041"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r>
      <w:tr w:rsidR="00765F4D" w:rsidRPr="00213A5D" w14:paraId="4BE113C4" w14:textId="77777777" w:rsidTr="00765F4D">
        <w:trPr>
          <w:trHeight w:val="53"/>
        </w:trPr>
        <w:tc>
          <w:tcPr>
            <w:tcW w:w="254" w:type="dxa"/>
            <w:shd w:val="clear" w:color="auto" w:fill="auto"/>
            <w:noWrap/>
            <w:vAlign w:val="center"/>
            <w:hideMark/>
          </w:tcPr>
          <w:p w14:paraId="52B32A1F"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1888" w:type="dxa"/>
            <w:shd w:val="clear" w:color="auto" w:fill="auto"/>
            <w:vAlign w:val="center"/>
            <w:hideMark/>
          </w:tcPr>
          <w:p w14:paraId="3E63CE37"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ненефтегазовые доходы</w:t>
            </w:r>
          </w:p>
        </w:tc>
        <w:tc>
          <w:tcPr>
            <w:tcW w:w="1701" w:type="dxa"/>
            <w:shd w:val="clear" w:color="auto" w:fill="auto"/>
            <w:noWrap/>
            <w:vAlign w:val="center"/>
            <w:hideMark/>
          </w:tcPr>
          <w:p w14:paraId="15EADD7D"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15 479 280,3</w:t>
            </w:r>
          </w:p>
        </w:tc>
        <w:tc>
          <w:tcPr>
            <w:tcW w:w="992" w:type="dxa"/>
            <w:shd w:val="clear" w:color="auto" w:fill="auto"/>
            <w:noWrap/>
            <w:vAlign w:val="center"/>
            <w:hideMark/>
          </w:tcPr>
          <w:p w14:paraId="6E3FBF27"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11 738 992,0</w:t>
            </w:r>
          </w:p>
        </w:tc>
        <w:tc>
          <w:tcPr>
            <w:tcW w:w="992" w:type="dxa"/>
            <w:shd w:val="clear" w:color="auto" w:fill="auto"/>
            <w:noWrap/>
            <w:vAlign w:val="center"/>
            <w:hideMark/>
          </w:tcPr>
          <w:p w14:paraId="1E952498"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91,9</w:t>
            </w:r>
          </w:p>
        </w:tc>
        <w:tc>
          <w:tcPr>
            <w:tcW w:w="992" w:type="dxa"/>
            <w:shd w:val="clear" w:color="000000" w:fill="FFFFFF"/>
            <w:noWrap/>
            <w:vAlign w:val="center"/>
            <w:hideMark/>
          </w:tcPr>
          <w:p w14:paraId="5AA9A492"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11 233 058,3</w:t>
            </w:r>
          </w:p>
        </w:tc>
        <w:tc>
          <w:tcPr>
            <w:tcW w:w="993" w:type="dxa"/>
            <w:shd w:val="clear" w:color="auto" w:fill="auto"/>
            <w:noWrap/>
            <w:vAlign w:val="center"/>
            <w:hideMark/>
          </w:tcPr>
          <w:p w14:paraId="391B6E93"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72,6</w:t>
            </w:r>
          </w:p>
        </w:tc>
        <w:tc>
          <w:tcPr>
            <w:tcW w:w="992" w:type="dxa"/>
            <w:shd w:val="clear" w:color="auto" w:fill="auto"/>
            <w:noWrap/>
            <w:vAlign w:val="center"/>
            <w:hideMark/>
          </w:tcPr>
          <w:p w14:paraId="6C6DC8B4"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-505 933,7</w:t>
            </w:r>
          </w:p>
        </w:tc>
        <w:tc>
          <w:tcPr>
            <w:tcW w:w="850" w:type="dxa"/>
            <w:shd w:val="clear" w:color="auto" w:fill="auto"/>
            <w:noWrap/>
            <w:vAlign w:val="center"/>
            <w:hideMark/>
          </w:tcPr>
          <w:p w14:paraId="4AB99049"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95,7</w:t>
            </w:r>
          </w:p>
        </w:tc>
      </w:tr>
      <w:tr w:rsidR="00765F4D" w:rsidRPr="00213A5D" w14:paraId="263784C5" w14:textId="77777777" w:rsidTr="00765F4D">
        <w:trPr>
          <w:trHeight w:val="53"/>
        </w:trPr>
        <w:tc>
          <w:tcPr>
            <w:tcW w:w="254" w:type="dxa"/>
            <w:shd w:val="clear" w:color="auto" w:fill="auto"/>
            <w:noWrap/>
            <w:vAlign w:val="center"/>
            <w:hideMark/>
          </w:tcPr>
          <w:p w14:paraId="14C0187A"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1888" w:type="dxa"/>
            <w:shd w:val="clear" w:color="auto" w:fill="auto"/>
            <w:noWrap/>
            <w:vAlign w:val="center"/>
            <w:hideMark/>
          </w:tcPr>
          <w:p w14:paraId="2877C4BB"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ВВП</w:t>
            </w:r>
          </w:p>
        </w:tc>
        <w:tc>
          <w:tcPr>
            <w:tcW w:w="1701" w:type="dxa"/>
            <w:shd w:val="clear" w:color="auto" w:fill="auto"/>
            <w:noWrap/>
            <w:vAlign w:val="center"/>
            <w:hideMark/>
          </w:tcPr>
          <w:p w14:paraId="15C30D8E"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11,6</w:t>
            </w:r>
          </w:p>
        </w:tc>
        <w:tc>
          <w:tcPr>
            <w:tcW w:w="992" w:type="dxa"/>
            <w:shd w:val="clear" w:color="000000" w:fill="FFFFFF"/>
            <w:noWrap/>
            <w:vAlign w:val="center"/>
            <w:hideMark/>
          </w:tcPr>
          <w:p w14:paraId="76EBCF55"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9,0</w:t>
            </w:r>
          </w:p>
        </w:tc>
        <w:tc>
          <w:tcPr>
            <w:tcW w:w="992" w:type="dxa"/>
            <w:shd w:val="clear" w:color="auto" w:fill="auto"/>
            <w:noWrap/>
            <w:vAlign w:val="center"/>
            <w:hideMark/>
          </w:tcPr>
          <w:p w14:paraId="4F7DEC69"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000000" w:fill="FFFFFF"/>
            <w:noWrap/>
            <w:vAlign w:val="center"/>
            <w:hideMark/>
          </w:tcPr>
          <w:p w14:paraId="2CE34DCA"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7,7</w:t>
            </w:r>
          </w:p>
        </w:tc>
        <w:tc>
          <w:tcPr>
            <w:tcW w:w="993" w:type="dxa"/>
            <w:shd w:val="clear" w:color="auto" w:fill="auto"/>
            <w:noWrap/>
            <w:vAlign w:val="center"/>
            <w:hideMark/>
          </w:tcPr>
          <w:p w14:paraId="272C0976"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5F73CDDB"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w:t>
            </w:r>
          </w:p>
        </w:tc>
        <w:tc>
          <w:tcPr>
            <w:tcW w:w="850" w:type="dxa"/>
            <w:shd w:val="clear" w:color="auto" w:fill="auto"/>
            <w:noWrap/>
            <w:vAlign w:val="center"/>
            <w:hideMark/>
          </w:tcPr>
          <w:p w14:paraId="78AD2A2A"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765F4D" w:rsidRPr="00213A5D" w14:paraId="7D5AC9FF" w14:textId="77777777" w:rsidTr="00765F4D">
        <w:trPr>
          <w:trHeight w:val="53"/>
        </w:trPr>
        <w:tc>
          <w:tcPr>
            <w:tcW w:w="254" w:type="dxa"/>
            <w:shd w:val="clear" w:color="auto" w:fill="auto"/>
            <w:noWrap/>
            <w:vAlign w:val="center"/>
            <w:hideMark/>
          </w:tcPr>
          <w:p w14:paraId="3AED489E"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1888" w:type="dxa"/>
            <w:shd w:val="clear" w:color="auto" w:fill="auto"/>
            <w:noWrap/>
            <w:vAlign w:val="center"/>
            <w:hideMark/>
          </w:tcPr>
          <w:p w14:paraId="3C07A114" w14:textId="77777777" w:rsidR="00765F4D" w:rsidRPr="00213A5D" w:rsidRDefault="00765F4D"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общей сумме доходов</w:t>
            </w:r>
          </w:p>
        </w:tc>
        <w:tc>
          <w:tcPr>
            <w:tcW w:w="1701" w:type="dxa"/>
            <w:shd w:val="clear" w:color="auto" w:fill="auto"/>
            <w:noWrap/>
            <w:vAlign w:val="center"/>
            <w:hideMark/>
          </w:tcPr>
          <w:p w14:paraId="0BBB4147"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61,9</w:t>
            </w:r>
          </w:p>
        </w:tc>
        <w:tc>
          <w:tcPr>
            <w:tcW w:w="992" w:type="dxa"/>
            <w:shd w:val="clear" w:color="auto" w:fill="auto"/>
            <w:noWrap/>
            <w:vAlign w:val="center"/>
            <w:hideMark/>
          </w:tcPr>
          <w:p w14:paraId="29C3FF6F"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65,5</w:t>
            </w:r>
          </w:p>
        </w:tc>
        <w:tc>
          <w:tcPr>
            <w:tcW w:w="992" w:type="dxa"/>
            <w:shd w:val="clear" w:color="auto" w:fill="auto"/>
            <w:noWrap/>
            <w:vAlign w:val="center"/>
            <w:hideMark/>
          </w:tcPr>
          <w:p w14:paraId="5F2B1978"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137CE9C3"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56,9</w:t>
            </w:r>
          </w:p>
        </w:tc>
        <w:tc>
          <w:tcPr>
            <w:tcW w:w="993" w:type="dxa"/>
            <w:shd w:val="clear" w:color="auto" w:fill="auto"/>
            <w:noWrap/>
            <w:vAlign w:val="center"/>
            <w:hideMark/>
          </w:tcPr>
          <w:p w14:paraId="3A209729"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0F53D803"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-8,6</w:t>
            </w:r>
          </w:p>
        </w:tc>
        <w:tc>
          <w:tcPr>
            <w:tcW w:w="850" w:type="dxa"/>
            <w:shd w:val="clear" w:color="auto" w:fill="auto"/>
            <w:noWrap/>
            <w:vAlign w:val="center"/>
            <w:hideMark/>
          </w:tcPr>
          <w:p w14:paraId="1E92B5F2" w14:textId="77777777" w:rsidR="00765F4D" w:rsidRPr="00213A5D" w:rsidRDefault="00765F4D"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bl>
    <w:p w14:paraId="1F04279C" w14:textId="77777777" w:rsidR="00D809DF" w:rsidRPr="00213A5D" w:rsidRDefault="00D809DF" w:rsidP="00D809DF">
      <w:pPr>
        <w:widowControl w:val="0"/>
        <w:spacing w:line="240" w:lineRule="auto"/>
        <w:ind w:left="0" w:right="0"/>
        <w:rPr>
          <w:sz w:val="16"/>
          <w:szCs w:val="16"/>
        </w:rPr>
      </w:pPr>
    </w:p>
    <w:p w14:paraId="7D705BC4" w14:textId="77777777" w:rsidR="00765F4D" w:rsidRPr="00213A5D" w:rsidRDefault="00765F4D" w:rsidP="00B95B0A">
      <w:pPr>
        <w:widowControl w:val="0"/>
        <w:spacing w:line="324" w:lineRule="auto"/>
        <w:ind w:left="0" w:right="0"/>
        <w:rPr>
          <w:sz w:val="24"/>
          <w:szCs w:val="24"/>
        </w:rPr>
      </w:pPr>
      <w:r w:rsidRPr="00213A5D">
        <w:rPr>
          <w:sz w:val="24"/>
          <w:szCs w:val="24"/>
        </w:rPr>
        <w:t xml:space="preserve">В январе – сентябре 2022 года объем доходов федерального бюджета составил </w:t>
      </w:r>
      <w:r w:rsidRPr="00213A5D">
        <w:rPr>
          <w:sz w:val="24"/>
          <w:szCs w:val="24"/>
        </w:rPr>
        <w:lastRenderedPageBreak/>
        <w:t xml:space="preserve">19 739 645,7 млн. рублей, или </w:t>
      </w:r>
      <w:r w:rsidRPr="00213A5D">
        <w:rPr>
          <w:b/>
          <w:sz w:val="24"/>
          <w:szCs w:val="24"/>
        </w:rPr>
        <w:t>78,9 %</w:t>
      </w:r>
      <w:r w:rsidRPr="00213A5D">
        <w:rPr>
          <w:sz w:val="24"/>
          <w:szCs w:val="24"/>
        </w:rPr>
        <w:t xml:space="preserve"> прогнозируемого общего объема доходов, утвержденного Федеральным законом № 390-ФЗ (далее – прогноз доходов).</w:t>
      </w:r>
    </w:p>
    <w:p w14:paraId="5A7D7513" w14:textId="77777777" w:rsidR="00765F4D" w:rsidRPr="00213A5D" w:rsidRDefault="00765F4D" w:rsidP="00B95B0A">
      <w:pPr>
        <w:widowControl w:val="0"/>
        <w:spacing w:line="324" w:lineRule="auto"/>
        <w:ind w:left="0" w:right="0"/>
        <w:rPr>
          <w:sz w:val="24"/>
          <w:szCs w:val="24"/>
        </w:rPr>
      </w:pPr>
      <w:r w:rsidRPr="00213A5D">
        <w:rPr>
          <w:sz w:val="24"/>
          <w:szCs w:val="24"/>
        </w:rPr>
        <w:t>По сравнению с январем – сентябрем 2021 года общий объем доходов федерального бюджета увеличился на 1 815 774,2 млн. рублей, или на 10,1 %.</w:t>
      </w:r>
    </w:p>
    <w:p w14:paraId="1A0131F2" w14:textId="77777777" w:rsidR="00765F4D" w:rsidRPr="00213A5D" w:rsidRDefault="00765F4D" w:rsidP="00B95B0A">
      <w:pPr>
        <w:widowControl w:val="0"/>
        <w:spacing w:line="324" w:lineRule="auto"/>
        <w:ind w:left="0" w:right="0"/>
        <w:rPr>
          <w:sz w:val="24"/>
          <w:szCs w:val="24"/>
        </w:rPr>
      </w:pPr>
      <w:r w:rsidRPr="00213A5D">
        <w:rPr>
          <w:sz w:val="24"/>
          <w:szCs w:val="24"/>
        </w:rPr>
        <w:t>На отклонение суммы доходов за январь – сентябрь 2022 года от суммы доходов за аналогичный период 2021 года оказали влияние в том числе разовые поступления – в марте 2021 года в федеральный бюджет зачислена часть дохода, полученного Центральным банком Российской Федерации от продажи обыкновенных акций ПАО «Сбербанк России» в соответствии с распоряжением Правительства Российской Федерации от 16 апреля 2020 г. № 1042-р (в сумме 200 000,0 млн. рублей), а также платеж в возмещение вреда, причиненного водным объектам от АО «Норильско-Таймырская энергетическая компания» (в сумме 145 492,6 млн. рублей).</w:t>
      </w:r>
    </w:p>
    <w:p w14:paraId="3AE5D4CD" w14:textId="77777777" w:rsidR="00765F4D" w:rsidRPr="00213A5D" w:rsidRDefault="00765F4D" w:rsidP="00B95B0A">
      <w:pPr>
        <w:widowControl w:val="0"/>
        <w:spacing w:line="324" w:lineRule="auto"/>
        <w:ind w:left="0" w:right="0"/>
        <w:rPr>
          <w:sz w:val="24"/>
          <w:szCs w:val="24"/>
        </w:rPr>
      </w:pPr>
      <w:r w:rsidRPr="00213A5D">
        <w:rPr>
          <w:sz w:val="24"/>
          <w:szCs w:val="24"/>
        </w:rPr>
        <w:t>Без учета указанных разовых поступлений доходы федерального бюджета в январе – сентябре 2022 года по сравнению с поступлениями января – сентября 2021 года увеличились на 2 161 266,8 млн. рублей, или на 12,3 %.</w:t>
      </w:r>
    </w:p>
    <w:p w14:paraId="1E2185AE" w14:textId="77777777" w:rsidR="00765F4D" w:rsidRPr="00213A5D" w:rsidRDefault="00765F4D" w:rsidP="00B95B0A">
      <w:pPr>
        <w:widowControl w:val="0"/>
        <w:spacing w:line="324" w:lineRule="auto"/>
        <w:ind w:left="0" w:right="0"/>
        <w:rPr>
          <w:sz w:val="24"/>
          <w:szCs w:val="24"/>
        </w:rPr>
      </w:pPr>
      <w:r w:rsidRPr="00213A5D">
        <w:rPr>
          <w:sz w:val="24"/>
          <w:szCs w:val="24"/>
        </w:rPr>
        <w:t>Основные виды доходов федерального бюджета, по которым сложились отклонения поступлений по сравнению с январем – сентябрем 2021 года, представлены на следующей диаграмме.</w:t>
      </w:r>
    </w:p>
    <w:p w14:paraId="07122973" w14:textId="77777777" w:rsidR="00765F4D" w:rsidRPr="00213A5D" w:rsidRDefault="00CD0E98" w:rsidP="00D809DF">
      <w:pPr>
        <w:widowControl w:val="0"/>
        <w:spacing w:line="331" w:lineRule="auto"/>
        <w:ind w:left="0" w:right="0"/>
        <w:jc w:val="center"/>
        <w:rPr>
          <w:sz w:val="24"/>
          <w:szCs w:val="24"/>
        </w:rPr>
      </w:pPr>
      <w:r w:rsidRPr="00CD0E98">
        <w:rPr>
          <w:noProof/>
          <w:sz w:val="24"/>
          <w:szCs w:val="24"/>
        </w:rPr>
        <w:pict w14:anchorId="1E1B8B3B">
          <v:shape id="_x0000_i1075" type="#_x0000_t75" alt="" style="width:381.05pt;height:269pt;mso-width-percent:0;mso-height-percent:0;mso-position-horizontal-relative:char;mso-position-vertical-relative:line;mso-width-percent:0;mso-height-percent:0">
            <v:imagedata r:id="rId15" o:title=""/>
          </v:shape>
        </w:pict>
      </w:r>
    </w:p>
    <w:p w14:paraId="5ECCCDF5" w14:textId="77777777" w:rsidR="00765F4D" w:rsidRPr="00213A5D" w:rsidRDefault="00765F4D" w:rsidP="009C3154">
      <w:pPr>
        <w:widowControl w:val="0"/>
        <w:spacing w:line="324" w:lineRule="auto"/>
        <w:ind w:left="0" w:right="0"/>
        <w:rPr>
          <w:iCs/>
          <w:sz w:val="24"/>
          <w:szCs w:val="24"/>
        </w:rPr>
      </w:pPr>
      <w:r w:rsidRPr="00213A5D">
        <w:rPr>
          <w:iCs/>
          <w:sz w:val="24"/>
          <w:szCs w:val="24"/>
        </w:rPr>
        <w:t>За</w:t>
      </w:r>
      <w:r w:rsidRPr="00213A5D">
        <w:rPr>
          <w:sz w:val="24"/>
          <w:szCs w:val="24"/>
        </w:rPr>
        <w:t xml:space="preserve"> январь – сентябрь</w:t>
      </w:r>
      <w:r w:rsidRPr="00213A5D">
        <w:rPr>
          <w:iCs/>
          <w:sz w:val="24"/>
          <w:szCs w:val="24"/>
        </w:rPr>
        <w:t xml:space="preserve"> 2022 года в федеральный бюджет (за исключением доходов, полученных за рубежом) поступило </w:t>
      </w:r>
      <w:r w:rsidRPr="00213A5D">
        <w:rPr>
          <w:b/>
          <w:iCs/>
          <w:sz w:val="24"/>
          <w:szCs w:val="24"/>
        </w:rPr>
        <w:t>218</w:t>
      </w:r>
      <w:r w:rsidRPr="00213A5D">
        <w:rPr>
          <w:b/>
          <w:bCs/>
          <w:iCs/>
          <w:sz w:val="24"/>
          <w:szCs w:val="24"/>
        </w:rPr>
        <w:t xml:space="preserve"> видов (подвидов) доходов</w:t>
      </w:r>
      <w:r w:rsidRPr="00213A5D">
        <w:rPr>
          <w:iCs/>
          <w:sz w:val="24"/>
          <w:szCs w:val="24"/>
        </w:rPr>
        <w:t xml:space="preserve">, </w:t>
      </w:r>
      <w:r w:rsidRPr="00213A5D">
        <w:rPr>
          <w:b/>
          <w:iCs/>
          <w:sz w:val="24"/>
          <w:szCs w:val="24"/>
        </w:rPr>
        <w:t>не учтенных в прогнозе</w:t>
      </w:r>
      <w:r w:rsidRPr="00213A5D">
        <w:rPr>
          <w:iCs/>
          <w:sz w:val="24"/>
          <w:szCs w:val="24"/>
        </w:rPr>
        <w:t xml:space="preserve"> поступлений при формировании основных параметров Федерального закона № 390-ФЗ, на общую сумму </w:t>
      </w:r>
      <w:r w:rsidRPr="00213A5D">
        <w:rPr>
          <w:b/>
          <w:bCs/>
          <w:iCs/>
          <w:sz w:val="24"/>
          <w:szCs w:val="24"/>
        </w:rPr>
        <w:t>34 710,8</w:t>
      </w:r>
      <w:r w:rsidRPr="00213A5D">
        <w:rPr>
          <w:b/>
          <w:iCs/>
          <w:sz w:val="24"/>
          <w:szCs w:val="24"/>
        </w:rPr>
        <w:t xml:space="preserve"> млн. рублей. </w:t>
      </w:r>
      <w:r w:rsidRPr="00213A5D">
        <w:rPr>
          <w:iCs/>
          <w:sz w:val="24"/>
          <w:szCs w:val="24"/>
        </w:rPr>
        <w:t>Более 58 % указанной суммы приходится на 192 вида (подвида) безвозмездных поступлений (20 379,0 млн. рублей).</w:t>
      </w:r>
    </w:p>
    <w:p w14:paraId="72061E25" w14:textId="77777777" w:rsidR="00765F4D" w:rsidRPr="00213A5D" w:rsidRDefault="00765F4D" w:rsidP="00AF1852">
      <w:pPr>
        <w:widowControl w:val="0"/>
        <w:ind w:left="0" w:right="0"/>
        <w:rPr>
          <w:iCs/>
          <w:sz w:val="24"/>
          <w:szCs w:val="24"/>
        </w:rPr>
      </w:pPr>
      <w:r w:rsidRPr="00213A5D">
        <w:rPr>
          <w:iCs/>
          <w:sz w:val="24"/>
          <w:szCs w:val="24"/>
        </w:rPr>
        <w:t xml:space="preserve">За </w:t>
      </w:r>
      <w:r w:rsidRPr="00213A5D">
        <w:rPr>
          <w:sz w:val="24"/>
          <w:szCs w:val="24"/>
        </w:rPr>
        <w:t>январь – сентябрь</w:t>
      </w:r>
      <w:r w:rsidRPr="00213A5D">
        <w:rPr>
          <w:iCs/>
          <w:sz w:val="24"/>
          <w:szCs w:val="24"/>
        </w:rPr>
        <w:t xml:space="preserve"> 2022 года в федеральный бюджет поступления </w:t>
      </w:r>
      <w:r w:rsidRPr="00213A5D">
        <w:rPr>
          <w:b/>
          <w:iCs/>
          <w:sz w:val="24"/>
          <w:szCs w:val="24"/>
        </w:rPr>
        <w:t xml:space="preserve">по 129 видам </w:t>
      </w:r>
      <w:r w:rsidRPr="00213A5D">
        <w:rPr>
          <w:b/>
          <w:iCs/>
          <w:sz w:val="24"/>
          <w:szCs w:val="24"/>
        </w:rPr>
        <w:lastRenderedPageBreak/>
        <w:t>(подвидам)</w:t>
      </w:r>
      <w:r w:rsidRPr="00213A5D">
        <w:rPr>
          <w:iCs/>
          <w:sz w:val="24"/>
          <w:szCs w:val="24"/>
        </w:rPr>
        <w:t xml:space="preserve"> доходов превысили</w:t>
      </w:r>
      <w:r w:rsidRPr="00213A5D">
        <w:rPr>
          <w:b/>
          <w:iCs/>
          <w:sz w:val="24"/>
          <w:szCs w:val="24"/>
        </w:rPr>
        <w:t xml:space="preserve"> </w:t>
      </w:r>
      <w:r w:rsidRPr="00213A5D">
        <w:rPr>
          <w:iCs/>
          <w:sz w:val="24"/>
          <w:szCs w:val="24"/>
        </w:rPr>
        <w:t xml:space="preserve">прогноз, учтенный при формировании основных параметров Федерального закона № 390-ФЗ, на общую сумму </w:t>
      </w:r>
      <w:r w:rsidRPr="00213A5D">
        <w:rPr>
          <w:b/>
          <w:iCs/>
          <w:sz w:val="24"/>
          <w:szCs w:val="24"/>
        </w:rPr>
        <w:t xml:space="preserve">1 526 454,7 млн. рублей, </w:t>
      </w:r>
      <w:r w:rsidRPr="00213A5D">
        <w:rPr>
          <w:iCs/>
          <w:sz w:val="24"/>
          <w:szCs w:val="24"/>
        </w:rPr>
        <w:t>из них:</w:t>
      </w:r>
    </w:p>
    <w:p w14:paraId="6FBF7217" w14:textId="77777777" w:rsidR="00765F4D" w:rsidRPr="00213A5D" w:rsidRDefault="00765F4D" w:rsidP="00B67957">
      <w:pPr>
        <w:widowControl w:val="0"/>
        <w:numPr>
          <w:ilvl w:val="0"/>
          <w:numId w:val="2"/>
        </w:numPr>
        <w:tabs>
          <w:tab w:val="left" w:pos="993"/>
        </w:tabs>
        <w:ind w:left="0" w:right="0" w:firstLine="709"/>
        <w:rPr>
          <w:iCs/>
          <w:sz w:val="24"/>
          <w:szCs w:val="24"/>
        </w:rPr>
      </w:pPr>
      <w:r w:rsidRPr="00213A5D">
        <w:rPr>
          <w:iCs/>
          <w:sz w:val="24"/>
          <w:szCs w:val="24"/>
        </w:rPr>
        <w:t>вывозные таможенные пошлины на газ природный – на сумму 609 142,5 млн. рублей;</w:t>
      </w:r>
    </w:p>
    <w:p w14:paraId="1E88D7EA" w14:textId="77777777" w:rsidR="00765F4D" w:rsidRPr="00213A5D" w:rsidRDefault="00765F4D" w:rsidP="00B67957">
      <w:pPr>
        <w:widowControl w:val="0"/>
        <w:numPr>
          <w:ilvl w:val="0"/>
          <w:numId w:val="2"/>
        </w:numPr>
        <w:tabs>
          <w:tab w:val="left" w:pos="993"/>
        </w:tabs>
        <w:ind w:left="0" w:right="0" w:firstLine="709"/>
        <w:rPr>
          <w:iCs/>
          <w:sz w:val="24"/>
          <w:szCs w:val="24"/>
        </w:rPr>
      </w:pPr>
      <w:r w:rsidRPr="00213A5D">
        <w:rPr>
          <w:iCs/>
          <w:sz w:val="24"/>
          <w:szCs w:val="24"/>
        </w:rPr>
        <w:t>налог на дополнительный доход от добычи углеводородного сырья </w:t>
      </w:r>
      <w:r w:rsidR="005C7E6A" w:rsidRPr="00213A5D">
        <w:rPr>
          <w:iCs/>
          <w:sz w:val="24"/>
          <w:szCs w:val="24"/>
        </w:rPr>
        <w:br/>
      </w:r>
      <w:r w:rsidRPr="00213A5D">
        <w:rPr>
          <w:iCs/>
          <w:sz w:val="24"/>
          <w:szCs w:val="24"/>
        </w:rPr>
        <w:t>(далее –</w:t>
      </w:r>
      <w:r w:rsidR="003E59DD" w:rsidRPr="00213A5D">
        <w:rPr>
          <w:iCs/>
          <w:sz w:val="24"/>
          <w:szCs w:val="24"/>
        </w:rPr>
        <w:t xml:space="preserve"> </w:t>
      </w:r>
      <w:r w:rsidRPr="00213A5D">
        <w:rPr>
          <w:iCs/>
          <w:sz w:val="24"/>
          <w:szCs w:val="24"/>
        </w:rPr>
        <w:t>НДД) – на сумму 317 190,6 млн. рублей;</w:t>
      </w:r>
    </w:p>
    <w:p w14:paraId="02CFF3B8" w14:textId="77777777" w:rsidR="00765F4D" w:rsidRPr="00213A5D" w:rsidRDefault="00765F4D" w:rsidP="00B67957">
      <w:pPr>
        <w:widowControl w:val="0"/>
        <w:numPr>
          <w:ilvl w:val="0"/>
          <w:numId w:val="2"/>
        </w:numPr>
        <w:tabs>
          <w:tab w:val="left" w:pos="993"/>
        </w:tabs>
        <w:ind w:left="0" w:right="0" w:firstLine="709"/>
        <w:rPr>
          <w:iCs/>
          <w:sz w:val="24"/>
          <w:szCs w:val="24"/>
        </w:rPr>
      </w:pPr>
      <w:r w:rsidRPr="00213A5D">
        <w:rPr>
          <w:iCs/>
          <w:sz w:val="24"/>
          <w:szCs w:val="24"/>
        </w:rPr>
        <w:t>акцизы на природный газ, предусмотренные международными договорами Российской Федерации</w:t>
      </w:r>
      <w:r w:rsidR="00161C71" w:rsidRPr="00213A5D">
        <w:rPr>
          <w:iCs/>
          <w:sz w:val="24"/>
          <w:szCs w:val="24"/>
        </w:rPr>
        <w:t>,</w:t>
      </w:r>
      <w:r w:rsidRPr="00213A5D">
        <w:rPr>
          <w:iCs/>
          <w:sz w:val="24"/>
          <w:szCs w:val="24"/>
        </w:rPr>
        <w:t xml:space="preserve"> – на</w:t>
      </w:r>
      <w:r w:rsidR="00161C71" w:rsidRPr="00213A5D">
        <w:rPr>
          <w:iCs/>
          <w:sz w:val="24"/>
          <w:szCs w:val="24"/>
        </w:rPr>
        <w:t xml:space="preserve"> сумму</w:t>
      </w:r>
      <w:r w:rsidRPr="00213A5D">
        <w:rPr>
          <w:iCs/>
          <w:sz w:val="24"/>
          <w:szCs w:val="24"/>
        </w:rPr>
        <w:t> 158 401,8 млн. рублей;</w:t>
      </w:r>
    </w:p>
    <w:p w14:paraId="7EC586CC" w14:textId="77777777" w:rsidR="00765F4D" w:rsidRPr="00213A5D" w:rsidRDefault="00765F4D" w:rsidP="00B67957">
      <w:pPr>
        <w:widowControl w:val="0"/>
        <w:numPr>
          <w:ilvl w:val="0"/>
          <w:numId w:val="2"/>
        </w:numPr>
        <w:tabs>
          <w:tab w:val="left" w:pos="993"/>
        </w:tabs>
        <w:ind w:left="0" w:right="0" w:firstLine="709"/>
        <w:rPr>
          <w:iCs/>
          <w:sz w:val="24"/>
          <w:szCs w:val="24"/>
        </w:rPr>
      </w:pPr>
      <w:r w:rsidRPr="00213A5D">
        <w:rPr>
          <w:iCs/>
          <w:sz w:val="24"/>
          <w:szCs w:val="24"/>
        </w:rPr>
        <w:t>доходы от операций по управлению остатками средств на едином казначейском счете, зачисляемые в федеральный бюджет</w:t>
      </w:r>
      <w:r w:rsidR="00161C71" w:rsidRPr="00213A5D">
        <w:rPr>
          <w:iCs/>
          <w:sz w:val="24"/>
          <w:szCs w:val="24"/>
        </w:rPr>
        <w:t>,</w:t>
      </w:r>
      <w:r w:rsidRPr="00213A5D">
        <w:rPr>
          <w:iCs/>
          <w:sz w:val="24"/>
          <w:szCs w:val="24"/>
        </w:rPr>
        <w:t xml:space="preserve"> – на</w:t>
      </w:r>
      <w:r w:rsidR="00161C71" w:rsidRPr="00213A5D">
        <w:rPr>
          <w:iCs/>
          <w:sz w:val="24"/>
          <w:szCs w:val="24"/>
        </w:rPr>
        <w:t xml:space="preserve"> сумму</w:t>
      </w:r>
      <w:r w:rsidRPr="00213A5D">
        <w:rPr>
          <w:iCs/>
          <w:sz w:val="24"/>
          <w:szCs w:val="24"/>
        </w:rPr>
        <w:t> 97 291,8 млн. рублей;</w:t>
      </w:r>
    </w:p>
    <w:p w14:paraId="7AD13FB6" w14:textId="77777777" w:rsidR="00765F4D" w:rsidRPr="00213A5D" w:rsidRDefault="00765F4D" w:rsidP="00B67957">
      <w:pPr>
        <w:widowControl w:val="0"/>
        <w:numPr>
          <w:ilvl w:val="0"/>
          <w:numId w:val="2"/>
        </w:numPr>
        <w:tabs>
          <w:tab w:val="left" w:pos="993"/>
        </w:tabs>
        <w:ind w:left="0" w:right="0" w:firstLine="709"/>
        <w:rPr>
          <w:iCs/>
          <w:sz w:val="24"/>
          <w:szCs w:val="24"/>
        </w:rPr>
      </w:pPr>
      <w:r w:rsidRPr="00213A5D">
        <w:rPr>
          <w:iCs/>
          <w:sz w:val="24"/>
          <w:szCs w:val="24"/>
        </w:rPr>
        <w:t>прочие вывозные таможенные пошлины</w:t>
      </w:r>
      <w:r w:rsidR="00161C71" w:rsidRPr="00213A5D">
        <w:rPr>
          <w:iCs/>
          <w:sz w:val="24"/>
          <w:szCs w:val="24"/>
        </w:rPr>
        <w:t>,</w:t>
      </w:r>
      <w:r w:rsidRPr="00213A5D">
        <w:rPr>
          <w:iCs/>
          <w:sz w:val="24"/>
          <w:szCs w:val="24"/>
        </w:rPr>
        <w:t xml:space="preserve"> – на</w:t>
      </w:r>
      <w:r w:rsidR="00161C71" w:rsidRPr="00213A5D">
        <w:rPr>
          <w:iCs/>
          <w:sz w:val="24"/>
          <w:szCs w:val="24"/>
        </w:rPr>
        <w:t xml:space="preserve"> сумму</w:t>
      </w:r>
      <w:r w:rsidRPr="00213A5D">
        <w:rPr>
          <w:iCs/>
          <w:sz w:val="24"/>
          <w:szCs w:val="24"/>
        </w:rPr>
        <w:t xml:space="preserve"> 68 256,4 млн. рублей;</w:t>
      </w:r>
    </w:p>
    <w:p w14:paraId="488626C6" w14:textId="77777777" w:rsidR="00765F4D" w:rsidRPr="00213A5D" w:rsidRDefault="00765F4D" w:rsidP="00B67957">
      <w:pPr>
        <w:widowControl w:val="0"/>
        <w:numPr>
          <w:ilvl w:val="0"/>
          <w:numId w:val="2"/>
        </w:numPr>
        <w:tabs>
          <w:tab w:val="left" w:pos="993"/>
        </w:tabs>
        <w:ind w:left="0" w:right="0" w:firstLine="709"/>
        <w:rPr>
          <w:iCs/>
          <w:sz w:val="24"/>
          <w:szCs w:val="24"/>
        </w:rPr>
      </w:pPr>
      <w:r w:rsidRPr="00213A5D">
        <w:rPr>
          <w:iCs/>
          <w:sz w:val="24"/>
          <w:szCs w:val="24"/>
        </w:rPr>
        <w:t>налог на прибыль организаций при выполнении соглашений о разработке месторождений нефти и газа</w:t>
      </w:r>
      <w:r w:rsidR="00161C71" w:rsidRPr="00213A5D">
        <w:rPr>
          <w:iCs/>
          <w:sz w:val="24"/>
          <w:szCs w:val="24"/>
        </w:rPr>
        <w:t>,</w:t>
      </w:r>
      <w:r w:rsidRPr="00213A5D">
        <w:rPr>
          <w:iCs/>
          <w:sz w:val="24"/>
          <w:szCs w:val="24"/>
        </w:rPr>
        <w:t xml:space="preserve"> – на </w:t>
      </w:r>
      <w:r w:rsidR="00161C71" w:rsidRPr="00213A5D">
        <w:rPr>
          <w:iCs/>
          <w:sz w:val="24"/>
          <w:szCs w:val="24"/>
        </w:rPr>
        <w:t xml:space="preserve">сумму </w:t>
      </w:r>
      <w:r w:rsidRPr="00213A5D">
        <w:rPr>
          <w:iCs/>
          <w:sz w:val="24"/>
          <w:szCs w:val="24"/>
        </w:rPr>
        <w:t>42 850,5 млн. рублей.</w:t>
      </w:r>
    </w:p>
    <w:p w14:paraId="5D8A44EE" w14:textId="77777777" w:rsidR="00765F4D" w:rsidRPr="00213A5D" w:rsidRDefault="00765F4D" w:rsidP="0050582A">
      <w:pPr>
        <w:widowControl w:val="0"/>
        <w:spacing w:line="355" w:lineRule="auto"/>
        <w:ind w:left="0" w:right="0"/>
        <w:rPr>
          <w:sz w:val="24"/>
          <w:szCs w:val="24"/>
        </w:rPr>
      </w:pPr>
      <w:r w:rsidRPr="00213A5D">
        <w:rPr>
          <w:b/>
          <w:sz w:val="24"/>
          <w:szCs w:val="24"/>
        </w:rPr>
        <w:t>3.2. </w:t>
      </w:r>
      <w:r w:rsidRPr="00213A5D">
        <w:rPr>
          <w:sz w:val="24"/>
          <w:szCs w:val="24"/>
        </w:rPr>
        <w:t>Доля ненефтегазовых и нефтегазовых доходов составила 7,7 % и 5,8 % ВВП соответственно (рост доли нефтегазовых доходов в ВВП по сравнению с январем –</w:t>
      </w:r>
      <w:r w:rsidR="003E59DD" w:rsidRPr="00213A5D">
        <w:rPr>
          <w:sz w:val="24"/>
          <w:szCs w:val="24"/>
        </w:rPr>
        <w:t xml:space="preserve"> </w:t>
      </w:r>
      <w:r w:rsidRPr="00213A5D">
        <w:rPr>
          <w:sz w:val="24"/>
          <w:szCs w:val="24"/>
        </w:rPr>
        <w:t>сентябрем 2021 года составил 1,1 процентного пункта, доля ненефтегазовых доходов снизилась на 1,3 процентного пункта).</w:t>
      </w:r>
    </w:p>
    <w:p w14:paraId="1C8357D9" w14:textId="77777777" w:rsidR="00765F4D" w:rsidRPr="00213A5D" w:rsidRDefault="00765F4D" w:rsidP="0050582A">
      <w:pPr>
        <w:widowControl w:val="0"/>
        <w:spacing w:line="355" w:lineRule="auto"/>
        <w:ind w:left="0" w:right="0"/>
        <w:rPr>
          <w:sz w:val="24"/>
          <w:szCs w:val="24"/>
        </w:rPr>
      </w:pPr>
      <w:r w:rsidRPr="00213A5D">
        <w:rPr>
          <w:sz w:val="24"/>
          <w:szCs w:val="24"/>
        </w:rPr>
        <w:t xml:space="preserve">Ненефтегазовые доходы составили 11 233 058,3 млн. рублей, или </w:t>
      </w:r>
      <w:r w:rsidRPr="00213A5D">
        <w:rPr>
          <w:b/>
          <w:bCs/>
          <w:sz w:val="24"/>
          <w:szCs w:val="24"/>
        </w:rPr>
        <w:t>72,6</w:t>
      </w:r>
      <w:r w:rsidRPr="00213A5D">
        <w:rPr>
          <w:b/>
          <w:sz w:val="24"/>
          <w:szCs w:val="24"/>
        </w:rPr>
        <w:t> %</w:t>
      </w:r>
      <w:r w:rsidRPr="00213A5D">
        <w:rPr>
          <w:sz w:val="24"/>
          <w:szCs w:val="24"/>
        </w:rPr>
        <w:t xml:space="preserve"> объема доходов, учтенного при формировании прогноза доходов, и уменьшились по сравнению </w:t>
      </w:r>
      <w:r w:rsidR="003E59DD" w:rsidRPr="00213A5D">
        <w:rPr>
          <w:sz w:val="24"/>
          <w:szCs w:val="24"/>
        </w:rPr>
        <w:br/>
      </w:r>
      <w:r w:rsidRPr="00213A5D">
        <w:rPr>
          <w:sz w:val="24"/>
          <w:szCs w:val="24"/>
        </w:rPr>
        <w:t xml:space="preserve">с январем – сентябрем 2021 года на 505 933,7 млн. рублей, или на 4,3 %, что в основном связано со снижением поступлений налога на добавленную стоимость (далее – НДС) </w:t>
      </w:r>
      <w:r w:rsidR="003E59DD" w:rsidRPr="00213A5D">
        <w:rPr>
          <w:sz w:val="24"/>
          <w:szCs w:val="24"/>
        </w:rPr>
        <w:br/>
      </w:r>
      <w:r w:rsidRPr="00213A5D">
        <w:rPr>
          <w:sz w:val="24"/>
          <w:szCs w:val="24"/>
        </w:rPr>
        <w:t>на товары, ввозимые на территорию Российской Федерации, доходов от управления средствами Фонда национального благосостояния, утилизационного сбора, при увеличении поступления НДС на товары (работы, услуги), реализуемые на территории Российской Федерации</w:t>
      </w:r>
      <w:r w:rsidR="00161C71" w:rsidRPr="00213A5D">
        <w:rPr>
          <w:sz w:val="24"/>
          <w:szCs w:val="24"/>
        </w:rPr>
        <w:t>,</w:t>
      </w:r>
      <w:r w:rsidRPr="00213A5D">
        <w:rPr>
          <w:sz w:val="24"/>
          <w:szCs w:val="24"/>
        </w:rPr>
        <w:t xml:space="preserve"> и налога на прибыль организаций.</w:t>
      </w:r>
    </w:p>
    <w:p w14:paraId="75CDDD32" w14:textId="77777777" w:rsidR="00765F4D" w:rsidRPr="00213A5D" w:rsidRDefault="00765F4D" w:rsidP="0050582A">
      <w:pPr>
        <w:widowControl w:val="0"/>
        <w:spacing w:line="355" w:lineRule="auto"/>
        <w:ind w:left="0" w:right="0"/>
        <w:rPr>
          <w:sz w:val="24"/>
          <w:szCs w:val="24"/>
        </w:rPr>
      </w:pPr>
      <w:r w:rsidRPr="00213A5D">
        <w:rPr>
          <w:b/>
          <w:sz w:val="24"/>
          <w:szCs w:val="24"/>
        </w:rPr>
        <w:t>Доля ненефтегазовых доходов в общем объеме доходов федерального бюджета в отчетном периоде составила 56,9 % и по сравнению с январем – сентябрем 2021 года уменьшилась на 8,6 </w:t>
      </w:r>
      <w:r w:rsidRPr="00213A5D">
        <w:rPr>
          <w:sz w:val="24"/>
          <w:szCs w:val="24"/>
        </w:rPr>
        <w:t>процентного пункта (в январе – сентябре</w:t>
      </w:r>
      <w:r w:rsidRPr="00213A5D">
        <w:rPr>
          <w:b/>
          <w:sz w:val="24"/>
          <w:szCs w:val="24"/>
        </w:rPr>
        <w:t xml:space="preserve"> </w:t>
      </w:r>
      <w:r w:rsidRPr="00213A5D">
        <w:rPr>
          <w:sz w:val="24"/>
          <w:szCs w:val="24"/>
        </w:rPr>
        <w:t>2021 года – 65,5 %).</w:t>
      </w:r>
    </w:p>
    <w:p w14:paraId="75ABBE4C" w14:textId="77777777" w:rsidR="00765F4D" w:rsidRPr="00213A5D" w:rsidRDefault="00765F4D" w:rsidP="0050582A">
      <w:pPr>
        <w:widowControl w:val="0"/>
        <w:spacing w:line="355" w:lineRule="auto"/>
        <w:ind w:left="0" w:right="0"/>
        <w:rPr>
          <w:sz w:val="24"/>
          <w:szCs w:val="24"/>
        </w:rPr>
      </w:pPr>
      <w:r w:rsidRPr="00213A5D">
        <w:rPr>
          <w:sz w:val="24"/>
          <w:szCs w:val="24"/>
        </w:rPr>
        <w:t xml:space="preserve">Нефтегазовые доходы составили 8 506 587,4 млн. рублей, или </w:t>
      </w:r>
      <w:r w:rsidRPr="00213A5D">
        <w:rPr>
          <w:b/>
          <w:sz w:val="24"/>
          <w:szCs w:val="24"/>
        </w:rPr>
        <w:t>89,1 %</w:t>
      </w:r>
      <w:r w:rsidRPr="00213A5D">
        <w:rPr>
          <w:sz w:val="24"/>
          <w:szCs w:val="24"/>
        </w:rPr>
        <w:t xml:space="preserve"> объема доходов, учтенного при формировании прогноза доходов, и увеличились по сравнению с январем – сентябрем 2021 года на 2 321 707,9 млн. рублей, или в 1,4 раза. </w:t>
      </w:r>
    </w:p>
    <w:p w14:paraId="58B0629E" w14:textId="77777777" w:rsidR="00765F4D" w:rsidRPr="00213A5D" w:rsidRDefault="00765F4D" w:rsidP="0050582A">
      <w:pPr>
        <w:widowControl w:val="0"/>
        <w:spacing w:line="355" w:lineRule="auto"/>
        <w:ind w:left="0" w:right="0"/>
        <w:rPr>
          <w:sz w:val="24"/>
          <w:szCs w:val="24"/>
        </w:rPr>
      </w:pPr>
      <w:r w:rsidRPr="00213A5D">
        <w:rPr>
          <w:b/>
          <w:sz w:val="24"/>
          <w:szCs w:val="24"/>
        </w:rPr>
        <w:t xml:space="preserve">Доля нефтегазовых доходов в общем объеме доходов федерального бюджета в отчетном периоде составила 43,1 % и по сравнению с январем – сентябрем 2021 года увеличилась на 8,6 </w:t>
      </w:r>
      <w:r w:rsidRPr="00213A5D">
        <w:rPr>
          <w:sz w:val="24"/>
          <w:szCs w:val="24"/>
        </w:rPr>
        <w:t>процентного пункта (в январе – сентябре 2021 года – 34,5 %).</w:t>
      </w:r>
    </w:p>
    <w:p w14:paraId="01C42EBB" w14:textId="77777777" w:rsidR="00765F4D" w:rsidRPr="00213A5D" w:rsidRDefault="00765F4D" w:rsidP="003E59DD">
      <w:pPr>
        <w:widowControl w:val="0"/>
        <w:spacing w:line="348" w:lineRule="auto"/>
        <w:ind w:left="0" w:right="0"/>
        <w:rPr>
          <w:sz w:val="24"/>
          <w:szCs w:val="24"/>
        </w:rPr>
      </w:pPr>
      <w:r w:rsidRPr="00213A5D">
        <w:rPr>
          <w:sz w:val="24"/>
          <w:szCs w:val="24"/>
        </w:rPr>
        <w:t>Структура поступлений нефтегазовых доходов в январе </w:t>
      </w:r>
      <w:r w:rsidRPr="00213A5D">
        <w:rPr>
          <w:rFonts w:eastAsia="Times New Roman"/>
          <w:sz w:val="24"/>
          <w:szCs w:val="24"/>
        </w:rPr>
        <w:t>–</w:t>
      </w:r>
      <w:r w:rsidRPr="00213A5D">
        <w:rPr>
          <w:sz w:val="24"/>
          <w:szCs w:val="24"/>
        </w:rPr>
        <w:t xml:space="preserve"> сентябре 2021 и 2022 годов </w:t>
      </w:r>
      <w:r w:rsidRPr="00213A5D">
        <w:rPr>
          <w:sz w:val="24"/>
          <w:szCs w:val="24"/>
        </w:rPr>
        <w:lastRenderedPageBreak/>
        <w:t>представлена на следующей диаграмме.</w:t>
      </w:r>
    </w:p>
    <w:p w14:paraId="5E415B8D" w14:textId="77777777" w:rsidR="00C478E1" w:rsidRPr="00213A5D" w:rsidRDefault="00765F4D" w:rsidP="00AF1852">
      <w:pPr>
        <w:widowControl w:val="0"/>
        <w:shd w:val="clear" w:color="auto" w:fill="FFFFFF"/>
        <w:spacing w:line="240" w:lineRule="auto"/>
        <w:ind w:left="0" w:right="0"/>
        <w:jc w:val="right"/>
        <w:rPr>
          <w:sz w:val="20"/>
          <w:szCs w:val="20"/>
        </w:rPr>
      </w:pPr>
      <w:r w:rsidRPr="00213A5D">
        <w:rPr>
          <w:sz w:val="20"/>
          <w:szCs w:val="20"/>
        </w:rPr>
        <w:t xml:space="preserve"> </w:t>
      </w:r>
      <w:r w:rsidR="00C478E1" w:rsidRPr="00213A5D">
        <w:rPr>
          <w:sz w:val="20"/>
          <w:szCs w:val="20"/>
        </w:rPr>
        <w:t>(млн.</w:t>
      </w:r>
      <w:r w:rsidR="00934C5A" w:rsidRPr="00213A5D">
        <w:rPr>
          <w:sz w:val="20"/>
          <w:szCs w:val="20"/>
        </w:rPr>
        <w:t xml:space="preserve"> </w:t>
      </w:r>
      <w:r w:rsidR="00C478E1" w:rsidRPr="00213A5D">
        <w:rPr>
          <w:sz w:val="20"/>
          <w:szCs w:val="20"/>
        </w:rPr>
        <w:t>рублей)</w:t>
      </w:r>
    </w:p>
    <w:p w14:paraId="0C622318" w14:textId="77777777" w:rsidR="00765F4D" w:rsidRPr="00213A5D" w:rsidRDefault="00CD0E98" w:rsidP="00AF1852">
      <w:pPr>
        <w:widowControl w:val="0"/>
        <w:shd w:val="clear" w:color="auto" w:fill="FFFFFF"/>
        <w:spacing w:line="240" w:lineRule="auto"/>
        <w:ind w:left="0" w:right="0" w:firstLine="0"/>
        <w:jc w:val="center"/>
        <w:rPr>
          <w:sz w:val="20"/>
          <w:szCs w:val="20"/>
        </w:rPr>
      </w:pPr>
      <w:r w:rsidRPr="00CD0E98">
        <w:rPr>
          <w:noProof/>
          <w:sz w:val="24"/>
          <w:szCs w:val="24"/>
        </w:rPr>
        <w:pict w14:anchorId="5222C84D">
          <v:shape id="_x0000_i1074" type="#_x0000_t75" alt="" style="width:372.25pt;height:266.95pt;mso-width-percent:0;mso-height-percent:0;mso-position-horizontal-relative:char;mso-position-vertical-relative:line;mso-width-percent:0;mso-height-percent:0">
            <v:imagedata r:id="rId16" o:title=""/>
          </v:shape>
        </w:pict>
      </w:r>
    </w:p>
    <w:p w14:paraId="2BE9054B" w14:textId="77777777" w:rsidR="00765F4D" w:rsidRPr="00213A5D" w:rsidRDefault="00765F4D" w:rsidP="003E59DD">
      <w:pPr>
        <w:widowControl w:val="0"/>
        <w:spacing w:line="240" w:lineRule="auto"/>
        <w:ind w:left="0" w:right="0"/>
        <w:rPr>
          <w:sz w:val="16"/>
          <w:szCs w:val="16"/>
        </w:rPr>
      </w:pPr>
    </w:p>
    <w:p w14:paraId="257CE337" w14:textId="77777777" w:rsidR="00765F4D" w:rsidRPr="00213A5D" w:rsidRDefault="00765F4D" w:rsidP="003E59DD">
      <w:pPr>
        <w:widowControl w:val="0"/>
        <w:spacing w:line="324" w:lineRule="auto"/>
        <w:ind w:left="0" w:right="0"/>
        <w:rPr>
          <w:sz w:val="24"/>
          <w:szCs w:val="24"/>
        </w:rPr>
      </w:pPr>
      <w:r w:rsidRPr="00213A5D">
        <w:rPr>
          <w:sz w:val="24"/>
          <w:szCs w:val="24"/>
        </w:rPr>
        <w:t>На увеличение нефтегазовых доходов по сравнению с январем </w:t>
      </w:r>
      <w:r w:rsidRPr="00213A5D">
        <w:rPr>
          <w:rFonts w:eastAsia="Times New Roman"/>
          <w:sz w:val="24"/>
          <w:szCs w:val="24"/>
        </w:rPr>
        <w:t>–</w:t>
      </w:r>
      <w:r w:rsidRPr="00213A5D">
        <w:rPr>
          <w:sz w:val="24"/>
          <w:szCs w:val="24"/>
        </w:rPr>
        <w:t xml:space="preserve"> сентябрем 2021 года наиболее существенное влияние оказало увеличение поступлений доходов от НДПИ в виде углеводородного сырья </w:t>
      </w:r>
      <w:r w:rsidR="00DF1E3E" w:rsidRPr="00213A5D">
        <w:rPr>
          <w:sz w:val="24"/>
          <w:szCs w:val="24"/>
        </w:rPr>
        <w:t>(</w:t>
      </w:r>
      <w:r w:rsidRPr="00213A5D">
        <w:rPr>
          <w:sz w:val="24"/>
          <w:szCs w:val="24"/>
        </w:rPr>
        <w:t>на 2 743 635,5 млн. рублей, или в 1,6 раза</w:t>
      </w:r>
      <w:r w:rsidR="00DF1E3E" w:rsidRPr="00213A5D">
        <w:rPr>
          <w:sz w:val="24"/>
          <w:szCs w:val="24"/>
        </w:rPr>
        <w:t>)</w:t>
      </w:r>
      <w:r w:rsidRPr="00213A5D">
        <w:rPr>
          <w:sz w:val="24"/>
          <w:szCs w:val="24"/>
        </w:rPr>
        <w:t xml:space="preserve">, вывозных таможенных пошлин на нефть сырую и газ природный </w:t>
      </w:r>
      <w:r w:rsidR="00DF1E3E" w:rsidRPr="00213A5D">
        <w:rPr>
          <w:sz w:val="24"/>
          <w:szCs w:val="24"/>
        </w:rPr>
        <w:t>(</w:t>
      </w:r>
      <w:r w:rsidRPr="00213A5D">
        <w:rPr>
          <w:sz w:val="24"/>
          <w:szCs w:val="24"/>
        </w:rPr>
        <w:t>на 837 856,6 млн. рублей, или в 1,7 раза</w:t>
      </w:r>
      <w:r w:rsidR="00DF1E3E" w:rsidRPr="00213A5D">
        <w:rPr>
          <w:sz w:val="24"/>
          <w:szCs w:val="24"/>
        </w:rPr>
        <w:t>)</w:t>
      </w:r>
      <w:r w:rsidRPr="00213A5D">
        <w:rPr>
          <w:sz w:val="24"/>
          <w:szCs w:val="24"/>
        </w:rPr>
        <w:t xml:space="preserve"> и НДД – на 731 129,9 млн. рублей, или в 21,4 раза, в основном в результате роста средней цены на нефть марки «Юралс» с 63,5 доллара США за баррель в декабре 2020 года – августе 2021 года до 82,8 доллара США за баррель в декабре 2021 года – августе 2022 года, а также роста экспортной цены на газ природный, поставляемый в страны дальнего зарубежья, при росте возмещения акциза на нефтяное сырье, направленное на переработку, </w:t>
      </w:r>
      <w:r w:rsidR="00DF1E3E" w:rsidRPr="00213A5D">
        <w:rPr>
          <w:sz w:val="24"/>
          <w:szCs w:val="24"/>
        </w:rPr>
        <w:t xml:space="preserve">и </w:t>
      </w:r>
      <w:r w:rsidRPr="00213A5D">
        <w:rPr>
          <w:sz w:val="24"/>
          <w:szCs w:val="24"/>
        </w:rPr>
        <w:t>снижении объемов экспорта энергоресурсов и среднего обменного курса доллара США по отношению к рублю.</w:t>
      </w:r>
    </w:p>
    <w:p w14:paraId="43258E12" w14:textId="77777777" w:rsidR="00765F4D" w:rsidRPr="00213A5D" w:rsidRDefault="00765F4D" w:rsidP="003E59DD">
      <w:pPr>
        <w:widowControl w:val="0"/>
        <w:spacing w:line="324" w:lineRule="auto"/>
        <w:ind w:left="0" w:right="0"/>
        <w:rPr>
          <w:sz w:val="24"/>
          <w:szCs w:val="24"/>
        </w:rPr>
      </w:pPr>
      <w:r w:rsidRPr="00213A5D">
        <w:rPr>
          <w:sz w:val="24"/>
          <w:szCs w:val="24"/>
        </w:rPr>
        <w:t>Кроме того, существенное влияние на объем и структуру нефтегазовых доходов оказали:</w:t>
      </w:r>
    </w:p>
    <w:p w14:paraId="12C82142" w14:textId="77777777" w:rsidR="00765F4D" w:rsidRPr="00213A5D" w:rsidRDefault="00765F4D" w:rsidP="006F191F">
      <w:pPr>
        <w:widowControl w:val="0"/>
        <w:numPr>
          <w:ilvl w:val="0"/>
          <w:numId w:val="3"/>
        </w:numPr>
        <w:tabs>
          <w:tab w:val="left" w:pos="993"/>
        </w:tabs>
        <w:spacing w:line="324" w:lineRule="auto"/>
        <w:ind w:left="0" w:right="0" w:firstLine="709"/>
        <w:rPr>
          <w:sz w:val="24"/>
          <w:szCs w:val="24"/>
        </w:rPr>
      </w:pPr>
      <w:r w:rsidRPr="00213A5D">
        <w:rPr>
          <w:sz w:val="24"/>
          <w:szCs w:val="24"/>
        </w:rPr>
        <w:t>изменение налогового и таможенного законод</w:t>
      </w:r>
      <w:r w:rsidR="00DF1E3E" w:rsidRPr="00213A5D">
        <w:rPr>
          <w:sz w:val="24"/>
          <w:szCs w:val="24"/>
        </w:rPr>
        <w:t xml:space="preserve">ательства в рамках продолжения </w:t>
      </w:r>
      <w:r w:rsidRPr="00213A5D">
        <w:rPr>
          <w:sz w:val="24"/>
          <w:szCs w:val="24"/>
        </w:rPr>
        <w:t>налогового маневра;</w:t>
      </w:r>
    </w:p>
    <w:p w14:paraId="22B096DA" w14:textId="77777777" w:rsidR="00765F4D" w:rsidRPr="00213A5D" w:rsidRDefault="00765F4D" w:rsidP="006F191F">
      <w:pPr>
        <w:widowControl w:val="0"/>
        <w:numPr>
          <w:ilvl w:val="0"/>
          <w:numId w:val="3"/>
        </w:numPr>
        <w:tabs>
          <w:tab w:val="left" w:pos="993"/>
        </w:tabs>
        <w:spacing w:line="324" w:lineRule="auto"/>
        <w:ind w:left="0" w:right="0" w:firstLine="709"/>
        <w:rPr>
          <w:sz w:val="24"/>
          <w:szCs w:val="24"/>
        </w:rPr>
      </w:pPr>
      <w:r w:rsidRPr="00213A5D">
        <w:rPr>
          <w:sz w:val="24"/>
          <w:szCs w:val="24"/>
        </w:rPr>
        <w:t>изменение структуры добычи нефти (</w:t>
      </w:r>
      <w:r w:rsidR="00A40DE8" w:rsidRPr="00213A5D">
        <w:rPr>
          <w:sz w:val="24"/>
          <w:szCs w:val="24"/>
        </w:rPr>
        <w:t>увеличение</w:t>
      </w:r>
      <w:r w:rsidRPr="00213A5D">
        <w:rPr>
          <w:sz w:val="24"/>
          <w:szCs w:val="24"/>
        </w:rPr>
        <w:t xml:space="preserve"> в 2021 году количества месторождений, перешедших на режим НДД, которое оказало влияние </w:t>
      </w:r>
      <w:r w:rsidR="003E59DD" w:rsidRPr="00213A5D">
        <w:rPr>
          <w:sz w:val="24"/>
          <w:szCs w:val="24"/>
        </w:rPr>
        <w:br/>
      </w:r>
      <w:r w:rsidRPr="00213A5D">
        <w:rPr>
          <w:sz w:val="24"/>
          <w:szCs w:val="24"/>
        </w:rPr>
        <w:t>на снижение поступлений НДПИ и рост поступлений НДД);</w:t>
      </w:r>
    </w:p>
    <w:p w14:paraId="6B97F3AC" w14:textId="77777777" w:rsidR="00765F4D" w:rsidRPr="00213A5D" w:rsidRDefault="00765F4D" w:rsidP="00262D43">
      <w:pPr>
        <w:widowControl w:val="0"/>
        <w:numPr>
          <w:ilvl w:val="0"/>
          <w:numId w:val="3"/>
        </w:numPr>
        <w:tabs>
          <w:tab w:val="left" w:pos="993"/>
        </w:tabs>
        <w:spacing w:line="324" w:lineRule="auto"/>
        <w:ind w:left="0" w:right="0" w:firstLine="709"/>
        <w:rPr>
          <w:sz w:val="24"/>
          <w:szCs w:val="24"/>
        </w:rPr>
      </w:pPr>
      <w:r w:rsidRPr="00213A5D">
        <w:rPr>
          <w:sz w:val="24"/>
          <w:szCs w:val="24"/>
        </w:rPr>
        <w:t>корректировка с мая 2021 года условных цен оптового рынка, используемых при расчете демпфирующей компоненты акциза на нефтяное сырье, направленное на переработку.</w:t>
      </w:r>
    </w:p>
    <w:p w14:paraId="3F6BFC74" w14:textId="77777777" w:rsidR="00765F4D" w:rsidRPr="00213A5D" w:rsidRDefault="00765F4D" w:rsidP="00AF1852">
      <w:pPr>
        <w:widowControl w:val="0"/>
        <w:spacing w:line="372" w:lineRule="auto"/>
        <w:ind w:left="0" w:right="0"/>
        <w:rPr>
          <w:sz w:val="24"/>
          <w:szCs w:val="24"/>
        </w:rPr>
      </w:pPr>
      <w:r w:rsidRPr="00213A5D">
        <w:rPr>
          <w:b/>
          <w:sz w:val="24"/>
          <w:szCs w:val="24"/>
        </w:rPr>
        <w:t>3.3.</w:t>
      </w:r>
      <w:r w:rsidRPr="00213A5D">
        <w:rPr>
          <w:sz w:val="24"/>
          <w:szCs w:val="24"/>
        </w:rPr>
        <w:t xml:space="preserve"> Поступление налоговых и неналоговых доходов, а также безвозмездных </w:t>
      </w:r>
      <w:r w:rsidRPr="00213A5D">
        <w:rPr>
          <w:sz w:val="24"/>
          <w:szCs w:val="24"/>
        </w:rPr>
        <w:lastRenderedPageBreak/>
        <w:t>поступлений федерального бюджета в январе – сентябре 2022 года отражено в следующей таблице.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
        <w:gridCol w:w="2169"/>
        <w:gridCol w:w="1418"/>
        <w:gridCol w:w="992"/>
        <w:gridCol w:w="850"/>
        <w:gridCol w:w="1134"/>
        <w:gridCol w:w="851"/>
        <w:gridCol w:w="992"/>
        <w:gridCol w:w="992"/>
      </w:tblGrid>
      <w:tr w:rsidR="00C05628" w:rsidRPr="00213A5D" w14:paraId="26FA47A7" w14:textId="77777777" w:rsidTr="009B114B">
        <w:trPr>
          <w:trHeight w:val="375"/>
          <w:tblHeader/>
        </w:trPr>
        <w:tc>
          <w:tcPr>
            <w:tcW w:w="2425" w:type="dxa"/>
            <w:gridSpan w:val="2"/>
            <w:vMerge w:val="restart"/>
            <w:shd w:val="clear" w:color="auto" w:fill="auto"/>
            <w:vAlign w:val="center"/>
            <w:hideMark/>
          </w:tcPr>
          <w:p w14:paraId="2CC0C86E"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Показатели</w:t>
            </w:r>
          </w:p>
        </w:tc>
        <w:tc>
          <w:tcPr>
            <w:tcW w:w="1418" w:type="dxa"/>
            <w:vMerge w:val="restart"/>
            <w:shd w:val="clear" w:color="000000" w:fill="FFFFFF"/>
            <w:vAlign w:val="center"/>
            <w:hideMark/>
          </w:tcPr>
          <w:p w14:paraId="7AD5F914" w14:textId="77777777" w:rsidR="00C05628" w:rsidRPr="00213A5D" w:rsidRDefault="00C05628" w:rsidP="00AF1852">
            <w:pPr>
              <w:widowControl w:val="0"/>
              <w:overflowPunct/>
              <w:autoSpaceDE/>
              <w:autoSpaceDN/>
              <w:adjustRightInd/>
              <w:spacing w:line="240" w:lineRule="auto"/>
              <w:ind w:left="-108" w:right="-108" w:firstLine="0"/>
              <w:jc w:val="center"/>
              <w:textAlignment w:val="auto"/>
              <w:rPr>
                <w:rFonts w:eastAsia="Times New Roman"/>
                <w:b/>
                <w:bCs/>
                <w:sz w:val="14"/>
                <w:szCs w:val="14"/>
              </w:rPr>
            </w:pPr>
            <w:r w:rsidRPr="00213A5D">
              <w:rPr>
                <w:rFonts w:eastAsia="Times New Roman"/>
                <w:b/>
                <w:bCs/>
                <w:sz w:val="14"/>
                <w:szCs w:val="14"/>
              </w:rPr>
              <w:t>Прогноз доходов федерального бюджета на 2022 год в соответствии с Федеральным законом № 390-ФЗ</w:t>
            </w:r>
          </w:p>
        </w:tc>
        <w:tc>
          <w:tcPr>
            <w:tcW w:w="3827" w:type="dxa"/>
            <w:gridSpan w:val="4"/>
            <w:shd w:val="clear" w:color="auto" w:fill="auto"/>
            <w:vAlign w:val="center"/>
            <w:hideMark/>
          </w:tcPr>
          <w:p w14:paraId="7DC15B4A"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Исполнение</w:t>
            </w:r>
            <w:r w:rsidRPr="00213A5D">
              <w:rPr>
                <w:rFonts w:eastAsia="Times New Roman"/>
                <w:b/>
                <w:bCs/>
                <w:sz w:val="14"/>
                <w:szCs w:val="14"/>
              </w:rPr>
              <w:br/>
              <w:t>за январь</w:t>
            </w:r>
            <w:r w:rsidR="006B4B6D" w:rsidRPr="00213A5D">
              <w:rPr>
                <w:rFonts w:eastAsia="Times New Roman"/>
                <w:b/>
                <w:bCs/>
                <w:sz w:val="14"/>
                <w:szCs w:val="14"/>
              </w:rPr>
              <w:t xml:space="preserve"> – </w:t>
            </w:r>
            <w:r w:rsidRPr="00213A5D">
              <w:rPr>
                <w:rFonts w:eastAsia="Times New Roman"/>
                <w:b/>
                <w:bCs/>
                <w:sz w:val="14"/>
                <w:szCs w:val="14"/>
              </w:rPr>
              <w:t>сентябрь</w:t>
            </w:r>
          </w:p>
        </w:tc>
        <w:tc>
          <w:tcPr>
            <w:tcW w:w="1984" w:type="dxa"/>
            <w:gridSpan w:val="2"/>
            <w:shd w:val="clear" w:color="auto" w:fill="auto"/>
            <w:vAlign w:val="center"/>
            <w:hideMark/>
          </w:tcPr>
          <w:p w14:paraId="7DD81CCA"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Отклонение исполнения</w:t>
            </w:r>
            <w:r w:rsidRPr="00213A5D">
              <w:rPr>
                <w:rFonts w:eastAsia="Times New Roman"/>
                <w:b/>
                <w:bCs/>
                <w:sz w:val="14"/>
                <w:szCs w:val="14"/>
              </w:rPr>
              <w:br/>
              <w:t>января – сентября</w:t>
            </w:r>
          </w:p>
          <w:p w14:paraId="66D57BC6"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2022 года от 2021 года</w:t>
            </w:r>
          </w:p>
        </w:tc>
      </w:tr>
      <w:tr w:rsidR="00C05628" w:rsidRPr="00213A5D" w14:paraId="3CDB615F" w14:textId="77777777" w:rsidTr="009B114B">
        <w:trPr>
          <w:trHeight w:val="431"/>
          <w:tblHeader/>
        </w:trPr>
        <w:tc>
          <w:tcPr>
            <w:tcW w:w="2425" w:type="dxa"/>
            <w:gridSpan w:val="2"/>
            <w:vMerge/>
            <w:vAlign w:val="center"/>
            <w:hideMark/>
          </w:tcPr>
          <w:p w14:paraId="6A9B9AA5"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418" w:type="dxa"/>
            <w:vMerge/>
            <w:vAlign w:val="center"/>
            <w:hideMark/>
          </w:tcPr>
          <w:p w14:paraId="6E88A8FF"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842" w:type="dxa"/>
            <w:gridSpan w:val="2"/>
            <w:shd w:val="clear" w:color="auto" w:fill="auto"/>
            <w:vAlign w:val="center"/>
            <w:hideMark/>
          </w:tcPr>
          <w:p w14:paraId="0BC81E8C"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2021 года</w:t>
            </w:r>
          </w:p>
        </w:tc>
        <w:tc>
          <w:tcPr>
            <w:tcW w:w="1985" w:type="dxa"/>
            <w:gridSpan w:val="2"/>
            <w:shd w:val="clear" w:color="auto" w:fill="auto"/>
            <w:vAlign w:val="center"/>
            <w:hideMark/>
          </w:tcPr>
          <w:p w14:paraId="1748A785"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2022 года</w:t>
            </w:r>
          </w:p>
        </w:tc>
        <w:tc>
          <w:tcPr>
            <w:tcW w:w="992" w:type="dxa"/>
            <w:shd w:val="clear" w:color="auto" w:fill="auto"/>
            <w:vAlign w:val="center"/>
            <w:hideMark/>
          </w:tcPr>
          <w:p w14:paraId="594F57CE" w14:textId="77777777" w:rsidR="00C05628" w:rsidRPr="00213A5D" w:rsidRDefault="00C05628" w:rsidP="00AF1852">
            <w:pPr>
              <w:widowControl w:val="0"/>
              <w:spacing w:line="240" w:lineRule="auto"/>
              <w:ind w:left="-108" w:right="-108" w:firstLine="0"/>
              <w:jc w:val="center"/>
              <w:rPr>
                <w:rFonts w:eastAsia="Times New Roman"/>
                <w:b/>
                <w:bCs/>
                <w:sz w:val="14"/>
                <w:szCs w:val="14"/>
              </w:rPr>
            </w:pPr>
            <w:r w:rsidRPr="00213A5D">
              <w:rPr>
                <w:rFonts w:eastAsia="Times New Roman"/>
                <w:b/>
                <w:bCs/>
                <w:sz w:val="14"/>
                <w:szCs w:val="14"/>
              </w:rPr>
              <w:t>гр. 5 - гр. 3</w:t>
            </w:r>
          </w:p>
        </w:tc>
        <w:tc>
          <w:tcPr>
            <w:tcW w:w="992" w:type="dxa"/>
            <w:shd w:val="clear" w:color="auto" w:fill="auto"/>
            <w:vAlign w:val="center"/>
          </w:tcPr>
          <w:p w14:paraId="53E86668" w14:textId="77777777" w:rsidR="00B11A16" w:rsidRPr="00213A5D" w:rsidRDefault="00C05628" w:rsidP="00AF1852">
            <w:pPr>
              <w:widowControl w:val="0"/>
              <w:spacing w:line="240" w:lineRule="auto"/>
              <w:ind w:left="-108" w:right="0" w:firstLine="0"/>
              <w:jc w:val="center"/>
              <w:rPr>
                <w:rFonts w:eastAsia="Times New Roman"/>
                <w:b/>
                <w:bCs/>
                <w:sz w:val="14"/>
                <w:szCs w:val="14"/>
              </w:rPr>
            </w:pPr>
            <w:r w:rsidRPr="00213A5D">
              <w:rPr>
                <w:rFonts w:eastAsia="Times New Roman"/>
                <w:b/>
                <w:bCs/>
                <w:sz w:val="14"/>
                <w:szCs w:val="14"/>
              </w:rPr>
              <w:t>гр. 5/гр. 3</w:t>
            </w:r>
          </w:p>
          <w:p w14:paraId="15AD8531" w14:textId="77777777" w:rsidR="00C05628" w:rsidRPr="00213A5D" w:rsidRDefault="00C05628" w:rsidP="00B11A16">
            <w:pPr>
              <w:widowControl w:val="0"/>
              <w:spacing w:line="240" w:lineRule="auto"/>
              <w:ind w:left="-108" w:right="0" w:firstLine="0"/>
              <w:jc w:val="center"/>
              <w:rPr>
                <w:rFonts w:eastAsia="Times New Roman"/>
                <w:b/>
                <w:bCs/>
                <w:sz w:val="14"/>
                <w:szCs w:val="14"/>
              </w:rPr>
            </w:pPr>
            <w:r w:rsidRPr="00213A5D">
              <w:rPr>
                <w:rFonts w:eastAsia="Times New Roman"/>
                <w:b/>
                <w:bCs/>
                <w:sz w:val="14"/>
                <w:szCs w:val="14"/>
              </w:rPr>
              <w:t>*</w:t>
            </w:r>
            <w:r w:rsidR="00B11A16" w:rsidRPr="00213A5D">
              <w:rPr>
                <w:rFonts w:eastAsia="Times New Roman"/>
                <w:b/>
                <w:bCs/>
                <w:sz w:val="14"/>
                <w:szCs w:val="14"/>
              </w:rPr>
              <w:t xml:space="preserve"> </w:t>
            </w:r>
            <w:r w:rsidRPr="00213A5D">
              <w:rPr>
                <w:rFonts w:eastAsia="Times New Roman"/>
                <w:b/>
                <w:bCs/>
                <w:sz w:val="14"/>
                <w:szCs w:val="14"/>
              </w:rPr>
              <w:t>100</w:t>
            </w:r>
          </w:p>
        </w:tc>
      </w:tr>
      <w:tr w:rsidR="00C05628" w:rsidRPr="00213A5D" w14:paraId="00020D53" w14:textId="77777777" w:rsidTr="009B114B">
        <w:trPr>
          <w:trHeight w:val="349"/>
          <w:tblHeader/>
        </w:trPr>
        <w:tc>
          <w:tcPr>
            <w:tcW w:w="2425" w:type="dxa"/>
            <w:gridSpan w:val="2"/>
            <w:vMerge/>
            <w:vAlign w:val="center"/>
            <w:hideMark/>
          </w:tcPr>
          <w:p w14:paraId="473358AC"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418" w:type="dxa"/>
            <w:shd w:val="clear" w:color="000000" w:fill="FFFFFF"/>
            <w:vAlign w:val="center"/>
            <w:hideMark/>
          </w:tcPr>
          <w:p w14:paraId="17DD8C30"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992" w:type="dxa"/>
            <w:shd w:val="clear" w:color="auto" w:fill="auto"/>
            <w:vAlign w:val="center"/>
            <w:hideMark/>
          </w:tcPr>
          <w:p w14:paraId="2957CEC7" w14:textId="77777777" w:rsidR="00C05628" w:rsidRPr="00213A5D" w:rsidRDefault="00C05628" w:rsidP="00AF1852">
            <w:pPr>
              <w:widowControl w:val="0"/>
              <w:overflowPunct/>
              <w:autoSpaceDE/>
              <w:autoSpaceDN/>
              <w:adjustRightInd/>
              <w:spacing w:line="240" w:lineRule="auto"/>
              <w:ind w:left="-108" w:right="-108" w:firstLine="0"/>
              <w:jc w:val="center"/>
              <w:textAlignment w:val="auto"/>
              <w:rPr>
                <w:rFonts w:eastAsia="Times New Roman"/>
                <w:b/>
                <w:bCs/>
                <w:sz w:val="14"/>
                <w:szCs w:val="14"/>
              </w:rPr>
            </w:pPr>
            <w:r w:rsidRPr="00213A5D">
              <w:rPr>
                <w:rFonts w:eastAsia="Times New Roman"/>
                <w:b/>
                <w:bCs/>
                <w:sz w:val="14"/>
                <w:szCs w:val="14"/>
              </w:rPr>
              <w:t>млн. рублей</w:t>
            </w:r>
          </w:p>
        </w:tc>
        <w:tc>
          <w:tcPr>
            <w:tcW w:w="850" w:type="dxa"/>
            <w:shd w:val="clear" w:color="auto" w:fill="auto"/>
            <w:vAlign w:val="center"/>
            <w:hideMark/>
          </w:tcPr>
          <w:p w14:paraId="28A46AC2" w14:textId="77777777" w:rsidR="00C05628" w:rsidRPr="00213A5D" w:rsidRDefault="00C05628" w:rsidP="00AF1852">
            <w:pPr>
              <w:widowControl w:val="0"/>
              <w:overflowPunct/>
              <w:autoSpaceDE/>
              <w:autoSpaceDN/>
              <w:adjustRightInd/>
              <w:spacing w:line="240" w:lineRule="auto"/>
              <w:ind w:left="-108" w:right="-92" w:firstLine="0"/>
              <w:jc w:val="center"/>
              <w:textAlignment w:val="auto"/>
              <w:rPr>
                <w:rFonts w:eastAsia="Times New Roman"/>
                <w:b/>
                <w:bCs/>
                <w:sz w:val="14"/>
                <w:szCs w:val="14"/>
              </w:rPr>
            </w:pPr>
            <w:r w:rsidRPr="00213A5D">
              <w:rPr>
                <w:rFonts w:eastAsia="Times New Roman"/>
                <w:b/>
                <w:bCs/>
                <w:sz w:val="14"/>
                <w:szCs w:val="14"/>
              </w:rPr>
              <w:t>в % к прогнозу за 2021 год</w:t>
            </w:r>
          </w:p>
        </w:tc>
        <w:tc>
          <w:tcPr>
            <w:tcW w:w="1134" w:type="dxa"/>
            <w:shd w:val="clear" w:color="auto" w:fill="auto"/>
            <w:vAlign w:val="center"/>
            <w:hideMark/>
          </w:tcPr>
          <w:p w14:paraId="46A04C5F"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851" w:type="dxa"/>
            <w:shd w:val="clear" w:color="auto" w:fill="auto"/>
            <w:vAlign w:val="center"/>
            <w:hideMark/>
          </w:tcPr>
          <w:p w14:paraId="0E9EC5B0" w14:textId="77777777" w:rsidR="00C05628" w:rsidRPr="00213A5D" w:rsidRDefault="00C05628" w:rsidP="00AF1852">
            <w:pPr>
              <w:widowControl w:val="0"/>
              <w:overflowPunct/>
              <w:autoSpaceDE/>
              <w:autoSpaceDN/>
              <w:adjustRightInd/>
              <w:spacing w:line="240" w:lineRule="auto"/>
              <w:ind w:left="-108" w:right="-92" w:firstLine="0"/>
              <w:jc w:val="center"/>
              <w:textAlignment w:val="auto"/>
              <w:rPr>
                <w:rFonts w:eastAsia="Times New Roman"/>
                <w:b/>
                <w:bCs/>
                <w:sz w:val="14"/>
                <w:szCs w:val="14"/>
              </w:rPr>
            </w:pPr>
            <w:r w:rsidRPr="00213A5D">
              <w:rPr>
                <w:rFonts w:eastAsia="Times New Roman"/>
                <w:b/>
                <w:bCs/>
                <w:sz w:val="14"/>
                <w:szCs w:val="14"/>
              </w:rPr>
              <w:t xml:space="preserve">в % к прогнозу </w:t>
            </w:r>
          </w:p>
          <w:p w14:paraId="7C1296FF" w14:textId="77777777" w:rsidR="00C05628" w:rsidRPr="00213A5D" w:rsidRDefault="00C05628" w:rsidP="00AF1852">
            <w:pPr>
              <w:widowControl w:val="0"/>
              <w:overflowPunct/>
              <w:autoSpaceDE/>
              <w:autoSpaceDN/>
              <w:adjustRightInd/>
              <w:spacing w:line="240" w:lineRule="auto"/>
              <w:ind w:left="-108" w:right="-92" w:firstLine="0"/>
              <w:jc w:val="center"/>
              <w:textAlignment w:val="auto"/>
              <w:rPr>
                <w:rFonts w:eastAsia="Times New Roman"/>
                <w:b/>
                <w:bCs/>
                <w:sz w:val="14"/>
                <w:szCs w:val="14"/>
              </w:rPr>
            </w:pPr>
            <w:r w:rsidRPr="00213A5D">
              <w:rPr>
                <w:rFonts w:eastAsia="Times New Roman"/>
                <w:b/>
                <w:bCs/>
                <w:sz w:val="14"/>
                <w:szCs w:val="14"/>
              </w:rPr>
              <w:t>за 2022 год</w:t>
            </w:r>
          </w:p>
        </w:tc>
        <w:tc>
          <w:tcPr>
            <w:tcW w:w="992" w:type="dxa"/>
            <w:shd w:val="clear" w:color="auto" w:fill="auto"/>
            <w:vAlign w:val="center"/>
            <w:hideMark/>
          </w:tcPr>
          <w:p w14:paraId="7037BF54" w14:textId="77777777" w:rsidR="00C05628" w:rsidRPr="00213A5D" w:rsidRDefault="00C05628" w:rsidP="00AF1852">
            <w:pPr>
              <w:widowControl w:val="0"/>
              <w:overflowPunct/>
              <w:autoSpaceDE/>
              <w:autoSpaceDN/>
              <w:adjustRightInd/>
              <w:spacing w:line="240" w:lineRule="auto"/>
              <w:ind w:left="-108" w:right="-92" w:firstLine="0"/>
              <w:jc w:val="center"/>
              <w:textAlignment w:val="auto"/>
              <w:rPr>
                <w:rFonts w:eastAsia="Times New Roman"/>
                <w:b/>
                <w:bCs/>
                <w:sz w:val="14"/>
                <w:szCs w:val="14"/>
              </w:rPr>
            </w:pPr>
            <w:r w:rsidRPr="00213A5D">
              <w:rPr>
                <w:rFonts w:eastAsia="Times New Roman"/>
                <w:b/>
                <w:bCs/>
                <w:sz w:val="14"/>
                <w:szCs w:val="14"/>
              </w:rPr>
              <w:t>млн. рублей</w:t>
            </w:r>
          </w:p>
        </w:tc>
        <w:tc>
          <w:tcPr>
            <w:tcW w:w="992" w:type="dxa"/>
            <w:shd w:val="clear" w:color="auto" w:fill="auto"/>
            <w:vAlign w:val="center"/>
            <w:hideMark/>
          </w:tcPr>
          <w:p w14:paraId="25B3DBC0" w14:textId="77777777" w:rsidR="00C05628" w:rsidRPr="00213A5D" w:rsidRDefault="00C05628" w:rsidP="00AF1852">
            <w:pPr>
              <w:widowControl w:val="0"/>
              <w:overflowPunct/>
              <w:autoSpaceDE/>
              <w:autoSpaceDN/>
              <w:adjustRightInd/>
              <w:spacing w:line="240" w:lineRule="auto"/>
              <w:ind w:left="-108" w:right="-92" w:firstLine="0"/>
              <w:jc w:val="center"/>
              <w:textAlignment w:val="auto"/>
              <w:rPr>
                <w:rFonts w:eastAsia="Times New Roman"/>
                <w:b/>
                <w:bCs/>
                <w:sz w:val="14"/>
                <w:szCs w:val="14"/>
              </w:rPr>
            </w:pPr>
            <w:r w:rsidRPr="00213A5D">
              <w:rPr>
                <w:rFonts w:eastAsia="Times New Roman"/>
                <w:b/>
                <w:bCs/>
                <w:sz w:val="14"/>
                <w:szCs w:val="14"/>
              </w:rPr>
              <w:t>(%)</w:t>
            </w:r>
          </w:p>
        </w:tc>
      </w:tr>
      <w:tr w:rsidR="00C05628" w:rsidRPr="00213A5D" w14:paraId="4C5DF5E6" w14:textId="77777777" w:rsidTr="009B114B">
        <w:trPr>
          <w:trHeight w:val="53"/>
          <w:tblHeader/>
        </w:trPr>
        <w:tc>
          <w:tcPr>
            <w:tcW w:w="2425" w:type="dxa"/>
            <w:gridSpan w:val="2"/>
            <w:shd w:val="clear" w:color="auto" w:fill="auto"/>
            <w:vAlign w:val="center"/>
            <w:hideMark/>
          </w:tcPr>
          <w:p w14:paraId="69C5E1F2"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1</w:t>
            </w:r>
          </w:p>
        </w:tc>
        <w:tc>
          <w:tcPr>
            <w:tcW w:w="1418" w:type="dxa"/>
            <w:shd w:val="clear" w:color="auto" w:fill="auto"/>
            <w:vAlign w:val="center"/>
            <w:hideMark/>
          </w:tcPr>
          <w:p w14:paraId="6779F4FA"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2</w:t>
            </w:r>
          </w:p>
        </w:tc>
        <w:tc>
          <w:tcPr>
            <w:tcW w:w="992" w:type="dxa"/>
            <w:shd w:val="clear" w:color="auto" w:fill="auto"/>
            <w:noWrap/>
            <w:vAlign w:val="center"/>
            <w:hideMark/>
          </w:tcPr>
          <w:p w14:paraId="4CB81062"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3</w:t>
            </w:r>
          </w:p>
        </w:tc>
        <w:tc>
          <w:tcPr>
            <w:tcW w:w="850" w:type="dxa"/>
            <w:shd w:val="clear" w:color="auto" w:fill="auto"/>
            <w:noWrap/>
            <w:vAlign w:val="center"/>
            <w:hideMark/>
          </w:tcPr>
          <w:p w14:paraId="4C595937"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4</w:t>
            </w:r>
          </w:p>
        </w:tc>
        <w:tc>
          <w:tcPr>
            <w:tcW w:w="1134" w:type="dxa"/>
            <w:shd w:val="clear" w:color="auto" w:fill="auto"/>
            <w:noWrap/>
            <w:vAlign w:val="center"/>
            <w:hideMark/>
          </w:tcPr>
          <w:p w14:paraId="1AC0761D"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5</w:t>
            </w:r>
          </w:p>
        </w:tc>
        <w:tc>
          <w:tcPr>
            <w:tcW w:w="851" w:type="dxa"/>
            <w:shd w:val="clear" w:color="auto" w:fill="auto"/>
            <w:noWrap/>
            <w:vAlign w:val="center"/>
            <w:hideMark/>
          </w:tcPr>
          <w:p w14:paraId="647FF5EC"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6</w:t>
            </w:r>
          </w:p>
        </w:tc>
        <w:tc>
          <w:tcPr>
            <w:tcW w:w="992" w:type="dxa"/>
            <w:shd w:val="clear" w:color="auto" w:fill="auto"/>
            <w:noWrap/>
            <w:vAlign w:val="center"/>
            <w:hideMark/>
          </w:tcPr>
          <w:p w14:paraId="1C0A5234"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7</w:t>
            </w:r>
          </w:p>
        </w:tc>
        <w:tc>
          <w:tcPr>
            <w:tcW w:w="992" w:type="dxa"/>
            <w:shd w:val="clear" w:color="auto" w:fill="auto"/>
            <w:noWrap/>
            <w:vAlign w:val="center"/>
            <w:hideMark/>
          </w:tcPr>
          <w:p w14:paraId="530044D8"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8</w:t>
            </w:r>
          </w:p>
        </w:tc>
      </w:tr>
      <w:tr w:rsidR="00C05628" w:rsidRPr="00213A5D" w14:paraId="23D4DC2E" w14:textId="77777777" w:rsidTr="005B4443">
        <w:trPr>
          <w:trHeight w:val="385"/>
        </w:trPr>
        <w:tc>
          <w:tcPr>
            <w:tcW w:w="2425" w:type="dxa"/>
            <w:gridSpan w:val="2"/>
            <w:shd w:val="clear" w:color="auto" w:fill="auto"/>
            <w:noWrap/>
            <w:vAlign w:val="center"/>
            <w:hideMark/>
          </w:tcPr>
          <w:p w14:paraId="4BAF53D1"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Доходы</w:t>
            </w:r>
          </w:p>
        </w:tc>
        <w:tc>
          <w:tcPr>
            <w:tcW w:w="1418" w:type="dxa"/>
            <w:shd w:val="clear" w:color="auto" w:fill="auto"/>
            <w:noWrap/>
            <w:vAlign w:val="center"/>
            <w:hideMark/>
          </w:tcPr>
          <w:p w14:paraId="202F5BE9"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25 021 905,1</w:t>
            </w:r>
          </w:p>
        </w:tc>
        <w:tc>
          <w:tcPr>
            <w:tcW w:w="992" w:type="dxa"/>
            <w:shd w:val="clear" w:color="auto" w:fill="auto"/>
            <w:noWrap/>
            <w:vAlign w:val="center"/>
            <w:hideMark/>
          </w:tcPr>
          <w:p w14:paraId="53E5AB19" w14:textId="77777777" w:rsidR="00C05628" w:rsidRPr="00213A5D" w:rsidRDefault="00C05628" w:rsidP="00AF1852">
            <w:pPr>
              <w:widowControl w:val="0"/>
              <w:overflowPunct/>
              <w:autoSpaceDE/>
              <w:autoSpaceDN/>
              <w:adjustRightInd/>
              <w:spacing w:line="240" w:lineRule="auto"/>
              <w:ind w:left="-108" w:right="-108" w:firstLine="0"/>
              <w:jc w:val="center"/>
              <w:textAlignment w:val="auto"/>
              <w:rPr>
                <w:rFonts w:eastAsia="Times New Roman"/>
                <w:sz w:val="14"/>
                <w:szCs w:val="14"/>
              </w:rPr>
            </w:pPr>
            <w:r w:rsidRPr="00213A5D">
              <w:rPr>
                <w:rFonts w:eastAsia="Times New Roman"/>
                <w:sz w:val="14"/>
                <w:szCs w:val="14"/>
              </w:rPr>
              <w:t>17 923 871,6</w:t>
            </w:r>
          </w:p>
        </w:tc>
        <w:tc>
          <w:tcPr>
            <w:tcW w:w="850" w:type="dxa"/>
            <w:shd w:val="clear" w:color="auto" w:fill="auto"/>
            <w:noWrap/>
            <w:vAlign w:val="center"/>
            <w:hideMark/>
          </w:tcPr>
          <w:p w14:paraId="2CE1B36D"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95,5</w:t>
            </w:r>
          </w:p>
        </w:tc>
        <w:tc>
          <w:tcPr>
            <w:tcW w:w="1134" w:type="dxa"/>
            <w:shd w:val="clear" w:color="auto" w:fill="auto"/>
            <w:noWrap/>
            <w:vAlign w:val="center"/>
            <w:hideMark/>
          </w:tcPr>
          <w:p w14:paraId="69AD322A"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19 739 645,7</w:t>
            </w:r>
          </w:p>
        </w:tc>
        <w:tc>
          <w:tcPr>
            <w:tcW w:w="851" w:type="dxa"/>
            <w:shd w:val="clear" w:color="auto" w:fill="auto"/>
            <w:noWrap/>
            <w:vAlign w:val="center"/>
            <w:hideMark/>
          </w:tcPr>
          <w:p w14:paraId="346A5FBB"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78,9</w:t>
            </w:r>
          </w:p>
        </w:tc>
        <w:tc>
          <w:tcPr>
            <w:tcW w:w="992" w:type="dxa"/>
            <w:shd w:val="clear" w:color="auto" w:fill="auto"/>
            <w:noWrap/>
            <w:vAlign w:val="center"/>
            <w:hideMark/>
          </w:tcPr>
          <w:p w14:paraId="6FE7670A"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1 815 774,1</w:t>
            </w:r>
          </w:p>
        </w:tc>
        <w:tc>
          <w:tcPr>
            <w:tcW w:w="992" w:type="dxa"/>
            <w:shd w:val="clear" w:color="auto" w:fill="auto"/>
            <w:noWrap/>
            <w:vAlign w:val="center"/>
            <w:hideMark/>
          </w:tcPr>
          <w:p w14:paraId="1B68F03C"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110,1</w:t>
            </w:r>
          </w:p>
        </w:tc>
      </w:tr>
      <w:tr w:rsidR="00C05628" w:rsidRPr="00213A5D" w14:paraId="4B1BC11C" w14:textId="77777777" w:rsidTr="009B114B">
        <w:trPr>
          <w:trHeight w:val="53"/>
        </w:trPr>
        <w:tc>
          <w:tcPr>
            <w:tcW w:w="256" w:type="dxa"/>
            <w:shd w:val="clear" w:color="auto" w:fill="auto"/>
            <w:noWrap/>
            <w:vAlign w:val="center"/>
            <w:hideMark/>
          </w:tcPr>
          <w:p w14:paraId="380F94E6"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r w:rsidRPr="00213A5D">
              <w:rPr>
                <w:rFonts w:eastAsia="Times New Roman"/>
                <w:b/>
                <w:bCs/>
                <w:sz w:val="14"/>
                <w:szCs w:val="14"/>
              </w:rPr>
              <w:t> </w:t>
            </w:r>
          </w:p>
        </w:tc>
        <w:tc>
          <w:tcPr>
            <w:tcW w:w="2169" w:type="dxa"/>
            <w:shd w:val="clear" w:color="auto" w:fill="auto"/>
            <w:noWrap/>
            <w:vAlign w:val="center"/>
            <w:hideMark/>
          </w:tcPr>
          <w:p w14:paraId="48CFFA45"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ВВП</w:t>
            </w:r>
          </w:p>
        </w:tc>
        <w:tc>
          <w:tcPr>
            <w:tcW w:w="1418" w:type="dxa"/>
            <w:shd w:val="clear" w:color="auto" w:fill="auto"/>
            <w:noWrap/>
            <w:vAlign w:val="center"/>
            <w:hideMark/>
          </w:tcPr>
          <w:p w14:paraId="6DC1042D"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18,8</w:t>
            </w:r>
          </w:p>
        </w:tc>
        <w:tc>
          <w:tcPr>
            <w:tcW w:w="992" w:type="dxa"/>
            <w:shd w:val="clear" w:color="auto" w:fill="auto"/>
            <w:noWrap/>
            <w:vAlign w:val="center"/>
            <w:hideMark/>
          </w:tcPr>
          <w:p w14:paraId="20CA2DC2"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13,7</w:t>
            </w:r>
          </w:p>
        </w:tc>
        <w:tc>
          <w:tcPr>
            <w:tcW w:w="850" w:type="dxa"/>
            <w:shd w:val="clear" w:color="auto" w:fill="auto"/>
            <w:noWrap/>
            <w:vAlign w:val="center"/>
            <w:hideMark/>
          </w:tcPr>
          <w:p w14:paraId="074A254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1134" w:type="dxa"/>
            <w:shd w:val="clear" w:color="auto" w:fill="auto"/>
            <w:noWrap/>
            <w:vAlign w:val="center"/>
            <w:hideMark/>
          </w:tcPr>
          <w:p w14:paraId="4283BD73"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13,5</w:t>
            </w:r>
          </w:p>
        </w:tc>
        <w:tc>
          <w:tcPr>
            <w:tcW w:w="851" w:type="dxa"/>
            <w:shd w:val="clear" w:color="auto" w:fill="auto"/>
            <w:noWrap/>
            <w:vAlign w:val="center"/>
            <w:hideMark/>
          </w:tcPr>
          <w:p w14:paraId="5307BD44"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6AF4C765"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4B926AE5"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C05628" w:rsidRPr="00213A5D" w14:paraId="6BD9202C" w14:textId="77777777" w:rsidTr="009B114B">
        <w:trPr>
          <w:trHeight w:val="53"/>
        </w:trPr>
        <w:tc>
          <w:tcPr>
            <w:tcW w:w="2425" w:type="dxa"/>
            <w:gridSpan w:val="2"/>
            <w:shd w:val="clear" w:color="auto" w:fill="auto"/>
            <w:noWrap/>
            <w:vAlign w:val="center"/>
            <w:hideMark/>
          </w:tcPr>
          <w:p w14:paraId="02CC3AEC"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том числе:</w:t>
            </w:r>
          </w:p>
        </w:tc>
        <w:tc>
          <w:tcPr>
            <w:tcW w:w="1418" w:type="dxa"/>
            <w:shd w:val="clear" w:color="auto" w:fill="auto"/>
            <w:noWrap/>
            <w:vAlign w:val="center"/>
            <w:hideMark/>
          </w:tcPr>
          <w:p w14:paraId="6FFD2ADA"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992" w:type="dxa"/>
            <w:shd w:val="clear" w:color="000000" w:fill="FFFFFF"/>
            <w:noWrap/>
            <w:vAlign w:val="center"/>
            <w:hideMark/>
          </w:tcPr>
          <w:p w14:paraId="5E61D319"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850" w:type="dxa"/>
            <w:shd w:val="clear" w:color="auto" w:fill="auto"/>
            <w:noWrap/>
            <w:vAlign w:val="center"/>
            <w:hideMark/>
          </w:tcPr>
          <w:p w14:paraId="69EC5832"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1134" w:type="dxa"/>
            <w:shd w:val="clear" w:color="000000" w:fill="FFFFFF"/>
            <w:noWrap/>
            <w:vAlign w:val="center"/>
            <w:hideMark/>
          </w:tcPr>
          <w:p w14:paraId="2B006882"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 </w:t>
            </w:r>
          </w:p>
        </w:tc>
        <w:tc>
          <w:tcPr>
            <w:tcW w:w="851" w:type="dxa"/>
            <w:shd w:val="clear" w:color="auto" w:fill="auto"/>
            <w:noWrap/>
            <w:vAlign w:val="center"/>
            <w:hideMark/>
          </w:tcPr>
          <w:p w14:paraId="49B5FDBF"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65D45CE7"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1EFD05ED"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C05628" w:rsidRPr="00213A5D" w14:paraId="26441322" w14:textId="77777777" w:rsidTr="009B114B">
        <w:trPr>
          <w:trHeight w:val="53"/>
        </w:trPr>
        <w:tc>
          <w:tcPr>
            <w:tcW w:w="2425" w:type="dxa"/>
            <w:gridSpan w:val="2"/>
            <w:shd w:val="clear" w:color="auto" w:fill="auto"/>
            <w:noWrap/>
            <w:vAlign w:val="center"/>
            <w:hideMark/>
          </w:tcPr>
          <w:p w14:paraId="03B43857"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Налоговые доходы</w:t>
            </w:r>
          </w:p>
        </w:tc>
        <w:tc>
          <w:tcPr>
            <w:tcW w:w="1418" w:type="dxa"/>
            <w:shd w:val="clear" w:color="auto" w:fill="auto"/>
            <w:noWrap/>
            <w:vAlign w:val="center"/>
            <w:hideMark/>
          </w:tcPr>
          <w:p w14:paraId="33E21AED"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19 967 458,0</w:t>
            </w:r>
          </w:p>
        </w:tc>
        <w:tc>
          <w:tcPr>
            <w:tcW w:w="992" w:type="dxa"/>
            <w:shd w:val="clear" w:color="auto" w:fill="auto"/>
            <w:noWrap/>
            <w:vAlign w:val="center"/>
            <w:hideMark/>
          </w:tcPr>
          <w:p w14:paraId="042FCE38" w14:textId="77777777" w:rsidR="00C05628" w:rsidRPr="00213A5D" w:rsidRDefault="00C05628" w:rsidP="00AF1852">
            <w:pPr>
              <w:widowControl w:val="0"/>
              <w:overflowPunct/>
              <w:autoSpaceDE/>
              <w:autoSpaceDN/>
              <w:adjustRightInd/>
              <w:spacing w:line="240" w:lineRule="auto"/>
              <w:ind w:left="-108" w:right="0" w:firstLine="0"/>
              <w:jc w:val="right"/>
              <w:textAlignment w:val="auto"/>
              <w:rPr>
                <w:rFonts w:eastAsia="Times New Roman"/>
                <w:sz w:val="14"/>
                <w:szCs w:val="14"/>
              </w:rPr>
            </w:pPr>
            <w:r w:rsidRPr="00213A5D">
              <w:rPr>
                <w:rFonts w:eastAsia="Times New Roman"/>
                <w:sz w:val="14"/>
                <w:szCs w:val="14"/>
              </w:rPr>
              <w:t>13  689 729,2</w:t>
            </w:r>
          </w:p>
        </w:tc>
        <w:tc>
          <w:tcPr>
            <w:tcW w:w="850" w:type="dxa"/>
            <w:shd w:val="clear" w:color="auto" w:fill="auto"/>
            <w:noWrap/>
            <w:vAlign w:val="center"/>
            <w:hideMark/>
          </w:tcPr>
          <w:p w14:paraId="3906DED6" w14:textId="77777777" w:rsidR="00C05628" w:rsidRPr="00213A5D" w:rsidRDefault="00C05628" w:rsidP="00633541">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92</w:t>
            </w:r>
          </w:p>
        </w:tc>
        <w:tc>
          <w:tcPr>
            <w:tcW w:w="1134" w:type="dxa"/>
            <w:shd w:val="clear" w:color="auto" w:fill="auto"/>
            <w:noWrap/>
            <w:vAlign w:val="center"/>
            <w:hideMark/>
          </w:tcPr>
          <w:p w14:paraId="579F7CD3"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15 762 237,3</w:t>
            </w:r>
          </w:p>
        </w:tc>
        <w:tc>
          <w:tcPr>
            <w:tcW w:w="851" w:type="dxa"/>
            <w:shd w:val="clear" w:color="auto" w:fill="auto"/>
            <w:noWrap/>
            <w:vAlign w:val="center"/>
            <w:hideMark/>
          </w:tcPr>
          <w:p w14:paraId="1C8496A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78,9</w:t>
            </w:r>
          </w:p>
        </w:tc>
        <w:tc>
          <w:tcPr>
            <w:tcW w:w="992" w:type="dxa"/>
            <w:shd w:val="clear" w:color="auto" w:fill="auto"/>
            <w:noWrap/>
            <w:vAlign w:val="center"/>
            <w:hideMark/>
          </w:tcPr>
          <w:p w14:paraId="25934826"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2 072 508,1</w:t>
            </w:r>
          </w:p>
        </w:tc>
        <w:tc>
          <w:tcPr>
            <w:tcW w:w="992" w:type="dxa"/>
            <w:shd w:val="clear" w:color="auto" w:fill="auto"/>
            <w:noWrap/>
            <w:vAlign w:val="center"/>
            <w:hideMark/>
          </w:tcPr>
          <w:p w14:paraId="1E43B359"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115,1</w:t>
            </w:r>
          </w:p>
        </w:tc>
      </w:tr>
      <w:tr w:rsidR="00C05628" w:rsidRPr="00213A5D" w14:paraId="64434B4C" w14:textId="77777777" w:rsidTr="009B114B">
        <w:trPr>
          <w:trHeight w:val="53"/>
        </w:trPr>
        <w:tc>
          <w:tcPr>
            <w:tcW w:w="256" w:type="dxa"/>
            <w:vMerge w:val="restart"/>
            <w:shd w:val="clear" w:color="auto" w:fill="auto"/>
            <w:noWrap/>
            <w:vAlign w:val="center"/>
            <w:hideMark/>
          </w:tcPr>
          <w:p w14:paraId="1C9EC2DD"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 </w:t>
            </w:r>
          </w:p>
        </w:tc>
        <w:tc>
          <w:tcPr>
            <w:tcW w:w="2169" w:type="dxa"/>
            <w:shd w:val="clear" w:color="auto" w:fill="auto"/>
            <w:noWrap/>
            <w:vAlign w:val="center"/>
            <w:hideMark/>
          </w:tcPr>
          <w:p w14:paraId="11A66504" w14:textId="77777777" w:rsidR="00C05628" w:rsidRPr="00213A5D" w:rsidRDefault="00C05628" w:rsidP="00AF1852">
            <w:pPr>
              <w:widowControl w:val="0"/>
              <w:overflowPunct/>
              <w:autoSpaceDE/>
              <w:autoSpaceDN/>
              <w:adjustRightInd/>
              <w:spacing w:line="240" w:lineRule="auto"/>
              <w:ind w:left="0" w:right="-108" w:firstLine="0"/>
              <w:jc w:val="left"/>
              <w:textAlignment w:val="auto"/>
              <w:rPr>
                <w:rFonts w:eastAsia="Times New Roman"/>
                <w:sz w:val="14"/>
                <w:szCs w:val="14"/>
              </w:rPr>
            </w:pPr>
            <w:r w:rsidRPr="00213A5D">
              <w:rPr>
                <w:rFonts w:eastAsia="Times New Roman"/>
                <w:sz w:val="14"/>
                <w:szCs w:val="14"/>
              </w:rPr>
              <w:t>в % к общей сумме доходов</w:t>
            </w:r>
          </w:p>
        </w:tc>
        <w:tc>
          <w:tcPr>
            <w:tcW w:w="1418" w:type="dxa"/>
            <w:shd w:val="clear" w:color="000000" w:fill="FFFFFF"/>
            <w:noWrap/>
            <w:vAlign w:val="center"/>
            <w:hideMark/>
          </w:tcPr>
          <w:p w14:paraId="377DFDEE"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79,8</w:t>
            </w:r>
          </w:p>
        </w:tc>
        <w:tc>
          <w:tcPr>
            <w:tcW w:w="992" w:type="dxa"/>
            <w:shd w:val="clear" w:color="000000" w:fill="FFFFFF"/>
            <w:noWrap/>
            <w:vAlign w:val="center"/>
            <w:hideMark/>
          </w:tcPr>
          <w:p w14:paraId="77836521"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76,4</w:t>
            </w:r>
          </w:p>
        </w:tc>
        <w:tc>
          <w:tcPr>
            <w:tcW w:w="850" w:type="dxa"/>
            <w:shd w:val="clear" w:color="auto" w:fill="auto"/>
            <w:noWrap/>
            <w:vAlign w:val="center"/>
            <w:hideMark/>
          </w:tcPr>
          <w:p w14:paraId="06CBA2BF"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1134" w:type="dxa"/>
            <w:shd w:val="clear" w:color="000000" w:fill="FFFFFF"/>
            <w:noWrap/>
            <w:vAlign w:val="center"/>
            <w:hideMark/>
          </w:tcPr>
          <w:p w14:paraId="4D2F2153"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79,9</w:t>
            </w:r>
          </w:p>
        </w:tc>
        <w:tc>
          <w:tcPr>
            <w:tcW w:w="851" w:type="dxa"/>
            <w:shd w:val="clear" w:color="auto" w:fill="auto"/>
            <w:noWrap/>
            <w:vAlign w:val="center"/>
            <w:hideMark/>
          </w:tcPr>
          <w:p w14:paraId="241E3FE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37853C3B"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0D6484B2"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C05628" w:rsidRPr="00213A5D" w14:paraId="04D3F2E2" w14:textId="77777777" w:rsidTr="009B114B">
        <w:trPr>
          <w:trHeight w:val="53"/>
        </w:trPr>
        <w:tc>
          <w:tcPr>
            <w:tcW w:w="256" w:type="dxa"/>
            <w:vMerge/>
            <w:vAlign w:val="center"/>
            <w:hideMark/>
          </w:tcPr>
          <w:p w14:paraId="04AC8A04"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p>
        </w:tc>
        <w:tc>
          <w:tcPr>
            <w:tcW w:w="2169" w:type="dxa"/>
            <w:shd w:val="clear" w:color="auto" w:fill="auto"/>
            <w:noWrap/>
            <w:vAlign w:val="center"/>
            <w:hideMark/>
          </w:tcPr>
          <w:p w14:paraId="6A37620A"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ВВП</w:t>
            </w:r>
          </w:p>
        </w:tc>
        <w:tc>
          <w:tcPr>
            <w:tcW w:w="1418" w:type="dxa"/>
            <w:shd w:val="clear" w:color="auto" w:fill="auto"/>
            <w:noWrap/>
            <w:vAlign w:val="center"/>
            <w:hideMark/>
          </w:tcPr>
          <w:p w14:paraId="69B9086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15,0</w:t>
            </w:r>
          </w:p>
        </w:tc>
        <w:tc>
          <w:tcPr>
            <w:tcW w:w="992" w:type="dxa"/>
            <w:shd w:val="clear" w:color="auto" w:fill="auto"/>
            <w:noWrap/>
            <w:vAlign w:val="center"/>
            <w:hideMark/>
          </w:tcPr>
          <w:p w14:paraId="7A83368B"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10,4</w:t>
            </w:r>
          </w:p>
        </w:tc>
        <w:tc>
          <w:tcPr>
            <w:tcW w:w="850" w:type="dxa"/>
            <w:shd w:val="clear" w:color="auto" w:fill="auto"/>
            <w:noWrap/>
            <w:vAlign w:val="center"/>
            <w:hideMark/>
          </w:tcPr>
          <w:p w14:paraId="16D0736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1134" w:type="dxa"/>
            <w:shd w:val="clear" w:color="auto" w:fill="auto"/>
            <w:noWrap/>
            <w:vAlign w:val="center"/>
            <w:hideMark/>
          </w:tcPr>
          <w:p w14:paraId="55E6ED89"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10,8</w:t>
            </w:r>
          </w:p>
        </w:tc>
        <w:tc>
          <w:tcPr>
            <w:tcW w:w="851" w:type="dxa"/>
            <w:shd w:val="clear" w:color="auto" w:fill="auto"/>
            <w:noWrap/>
            <w:vAlign w:val="center"/>
            <w:hideMark/>
          </w:tcPr>
          <w:p w14:paraId="17337B7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2D1322EC"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522F8A28"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C05628" w:rsidRPr="00213A5D" w14:paraId="14C11D86" w14:textId="77777777" w:rsidTr="009B114B">
        <w:trPr>
          <w:trHeight w:val="53"/>
        </w:trPr>
        <w:tc>
          <w:tcPr>
            <w:tcW w:w="2425" w:type="dxa"/>
            <w:gridSpan w:val="2"/>
            <w:shd w:val="clear" w:color="auto" w:fill="auto"/>
            <w:vAlign w:val="center"/>
            <w:hideMark/>
          </w:tcPr>
          <w:p w14:paraId="52196D1E"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Неналоговые доходы</w:t>
            </w:r>
          </w:p>
        </w:tc>
        <w:tc>
          <w:tcPr>
            <w:tcW w:w="1418" w:type="dxa"/>
            <w:shd w:val="clear" w:color="auto" w:fill="auto"/>
            <w:noWrap/>
            <w:vAlign w:val="center"/>
            <w:hideMark/>
          </w:tcPr>
          <w:p w14:paraId="347BE766"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5 027 674,6</w:t>
            </w:r>
          </w:p>
        </w:tc>
        <w:tc>
          <w:tcPr>
            <w:tcW w:w="992" w:type="dxa"/>
            <w:shd w:val="clear" w:color="auto" w:fill="auto"/>
            <w:noWrap/>
            <w:vAlign w:val="center"/>
            <w:hideMark/>
          </w:tcPr>
          <w:p w14:paraId="1069032F"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3 944 857,9</w:t>
            </w:r>
          </w:p>
        </w:tc>
        <w:tc>
          <w:tcPr>
            <w:tcW w:w="850" w:type="dxa"/>
            <w:shd w:val="clear" w:color="auto" w:fill="auto"/>
            <w:noWrap/>
            <w:vAlign w:val="center"/>
            <w:hideMark/>
          </w:tcPr>
          <w:p w14:paraId="27ABCE5C"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107,5</w:t>
            </w:r>
          </w:p>
        </w:tc>
        <w:tc>
          <w:tcPr>
            <w:tcW w:w="1134" w:type="dxa"/>
            <w:shd w:val="clear" w:color="000000" w:fill="FFFFFF"/>
            <w:noWrap/>
            <w:vAlign w:val="center"/>
            <w:hideMark/>
          </w:tcPr>
          <w:p w14:paraId="0518605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3 912 915,7</w:t>
            </w:r>
          </w:p>
        </w:tc>
        <w:tc>
          <w:tcPr>
            <w:tcW w:w="851" w:type="dxa"/>
            <w:shd w:val="clear" w:color="auto" w:fill="auto"/>
            <w:noWrap/>
            <w:vAlign w:val="center"/>
            <w:hideMark/>
          </w:tcPr>
          <w:p w14:paraId="13339C15"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77,8</w:t>
            </w:r>
          </w:p>
        </w:tc>
        <w:tc>
          <w:tcPr>
            <w:tcW w:w="992" w:type="dxa"/>
            <w:shd w:val="clear" w:color="auto" w:fill="auto"/>
            <w:noWrap/>
            <w:vAlign w:val="center"/>
            <w:hideMark/>
          </w:tcPr>
          <w:p w14:paraId="3DF77BE4"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-31 942,2</w:t>
            </w:r>
          </w:p>
        </w:tc>
        <w:tc>
          <w:tcPr>
            <w:tcW w:w="992" w:type="dxa"/>
            <w:shd w:val="clear" w:color="auto" w:fill="auto"/>
            <w:noWrap/>
            <w:vAlign w:val="center"/>
            <w:hideMark/>
          </w:tcPr>
          <w:p w14:paraId="5A589E63"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99,2</w:t>
            </w:r>
          </w:p>
        </w:tc>
      </w:tr>
      <w:tr w:rsidR="00C05628" w:rsidRPr="00213A5D" w14:paraId="218095F7" w14:textId="77777777" w:rsidTr="009B114B">
        <w:trPr>
          <w:trHeight w:val="53"/>
        </w:trPr>
        <w:tc>
          <w:tcPr>
            <w:tcW w:w="256" w:type="dxa"/>
            <w:vMerge w:val="restart"/>
            <w:shd w:val="clear" w:color="auto" w:fill="auto"/>
            <w:noWrap/>
            <w:vAlign w:val="center"/>
            <w:hideMark/>
          </w:tcPr>
          <w:p w14:paraId="4F966430"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 </w:t>
            </w:r>
          </w:p>
        </w:tc>
        <w:tc>
          <w:tcPr>
            <w:tcW w:w="2169" w:type="dxa"/>
            <w:shd w:val="clear" w:color="auto" w:fill="auto"/>
            <w:noWrap/>
            <w:vAlign w:val="center"/>
            <w:hideMark/>
          </w:tcPr>
          <w:p w14:paraId="578E5C5A"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общей сумме доходов</w:t>
            </w:r>
          </w:p>
        </w:tc>
        <w:tc>
          <w:tcPr>
            <w:tcW w:w="1418" w:type="dxa"/>
            <w:shd w:val="clear" w:color="auto" w:fill="auto"/>
            <w:noWrap/>
            <w:vAlign w:val="center"/>
            <w:hideMark/>
          </w:tcPr>
          <w:p w14:paraId="0B79DD83"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20,1</w:t>
            </w:r>
          </w:p>
        </w:tc>
        <w:tc>
          <w:tcPr>
            <w:tcW w:w="992" w:type="dxa"/>
            <w:shd w:val="clear" w:color="auto" w:fill="auto"/>
            <w:noWrap/>
            <w:vAlign w:val="center"/>
            <w:hideMark/>
          </w:tcPr>
          <w:p w14:paraId="5D33A4E2"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22,0</w:t>
            </w:r>
          </w:p>
        </w:tc>
        <w:tc>
          <w:tcPr>
            <w:tcW w:w="850" w:type="dxa"/>
            <w:shd w:val="clear" w:color="auto" w:fill="auto"/>
            <w:noWrap/>
            <w:vAlign w:val="center"/>
            <w:hideMark/>
          </w:tcPr>
          <w:p w14:paraId="21495815"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1134" w:type="dxa"/>
            <w:shd w:val="clear" w:color="auto" w:fill="auto"/>
            <w:noWrap/>
            <w:vAlign w:val="center"/>
            <w:hideMark/>
          </w:tcPr>
          <w:p w14:paraId="15C4D946"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19,8</w:t>
            </w:r>
          </w:p>
        </w:tc>
        <w:tc>
          <w:tcPr>
            <w:tcW w:w="851" w:type="dxa"/>
            <w:shd w:val="clear" w:color="auto" w:fill="auto"/>
            <w:noWrap/>
            <w:vAlign w:val="center"/>
            <w:hideMark/>
          </w:tcPr>
          <w:p w14:paraId="3BD01C62"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39DDC028"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0B218F3C"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C05628" w:rsidRPr="00213A5D" w14:paraId="0A95B574" w14:textId="77777777" w:rsidTr="009B114B">
        <w:trPr>
          <w:trHeight w:val="53"/>
        </w:trPr>
        <w:tc>
          <w:tcPr>
            <w:tcW w:w="256" w:type="dxa"/>
            <w:vMerge/>
            <w:vAlign w:val="center"/>
            <w:hideMark/>
          </w:tcPr>
          <w:p w14:paraId="5D05DBCD"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p>
        </w:tc>
        <w:tc>
          <w:tcPr>
            <w:tcW w:w="2169" w:type="dxa"/>
            <w:shd w:val="clear" w:color="auto" w:fill="auto"/>
            <w:noWrap/>
            <w:vAlign w:val="center"/>
            <w:hideMark/>
          </w:tcPr>
          <w:p w14:paraId="44CE34B8"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ВВП</w:t>
            </w:r>
          </w:p>
        </w:tc>
        <w:tc>
          <w:tcPr>
            <w:tcW w:w="1418" w:type="dxa"/>
            <w:shd w:val="clear" w:color="auto" w:fill="auto"/>
            <w:noWrap/>
            <w:vAlign w:val="center"/>
            <w:hideMark/>
          </w:tcPr>
          <w:p w14:paraId="35C94A3D"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3,8</w:t>
            </w:r>
          </w:p>
        </w:tc>
        <w:tc>
          <w:tcPr>
            <w:tcW w:w="992" w:type="dxa"/>
            <w:shd w:val="clear" w:color="auto" w:fill="auto"/>
            <w:noWrap/>
            <w:vAlign w:val="center"/>
            <w:hideMark/>
          </w:tcPr>
          <w:p w14:paraId="0631E65F"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3,0</w:t>
            </w:r>
          </w:p>
        </w:tc>
        <w:tc>
          <w:tcPr>
            <w:tcW w:w="850" w:type="dxa"/>
            <w:shd w:val="clear" w:color="auto" w:fill="auto"/>
            <w:noWrap/>
            <w:vAlign w:val="center"/>
            <w:hideMark/>
          </w:tcPr>
          <w:p w14:paraId="435F86AE"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1134" w:type="dxa"/>
            <w:shd w:val="clear" w:color="auto" w:fill="auto"/>
            <w:noWrap/>
            <w:vAlign w:val="center"/>
            <w:hideMark/>
          </w:tcPr>
          <w:p w14:paraId="42BE9595"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2,7</w:t>
            </w:r>
          </w:p>
        </w:tc>
        <w:tc>
          <w:tcPr>
            <w:tcW w:w="851" w:type="dxa"/>
            <w:shd w:val="clear" w:color="auto" w:fill="auto"/>
            <w:noWrap/>
            <w:vAlign w:val="center"/>
            <w:hideMark/>
          </w:tcPr>
          <w:p w14:paraId="247D3CD6"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7393B10F"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03FC8C0E"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C05628" w:rsidRPr="00213A5D" w14:paraId="072484C3" w14:textId="77777777" w:rsidTr="009B114B">
        <w:trPr>
          <w:trHeight w:val="53"/>
        </w:trPr>
        <w:tc>
          <w:tcPr>
            <w:tcW w:w="2425" w:type="dxa"/>
            <w:gridSpan w:val="2"/>
            <w:shd w:val="clear" w:color="auto" w:fill="auto"/>
            <w:noWrap/>
            <w:vAlign w:val="center"/>
            <w:hideMark/>
          </w:tcPr>
          <w:p w14:paraId="2C5ED7BE"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Безвозмездные поступления</w:t>
            </w:r>
          </w:p>
        </w:tc>
        <w:tc>
          <w:tcPr>
            <w:tcW w:w="1418" w:type="dxa"/>
            <w:shd w:val="clear" w:color="auto" w:fill="auto"/>
            <w:noWrap/>
            <w:vAlign w:val="center"/>
            <w:hideMark/>
          </w:tcPr>
          <w:p w14:paraId="4D875B21"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26 772,5</w:t>
            </w:r>
          </w:p>
        </w:tc>
        <w:tc>
          <w:tcPr>
            <w:tcW w:w="992" w:type="dxa"/>
            <w:shd w:val="clear" w:color="auto" w:fill="auto"/>
            <w:noWrap/>
            <w:vAlign w:val="center"/>
            <w:hideMark/>
          </w:tcPr>
          <w:p w14:paraId="5CBFE949"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289 284,5</w:t>
            </w:r>
          </w:p>
        </w:tc>
        <w:tc>
          <w:tcPr>
            <w:tcW w:w="850" w:type="dxa"/>
            <w:shd w:val="clear" w:color="auto" w:fill="auto"/>
            <w:noWrap/>
            <w:vAlign w:val="center"/>
            <w:hideMark/>
          </w:tcPr>
          <w:p w14:paraId="49658FBA"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131,3</w:t>
            </w:r>
          </w:p>
        </w:tc>
        <w:tc>
          <w:tcPr>
            <w:tcW w:w="1134" w:type="dxa"/>
            <w:shd w:val="clear" w:color="auto" w:fill="auto"/>
            <w:noWrap/>
            <w:vAlign w:val="center"/>
            <w:hideMark/>
          </w:tcPr>
          <w:p w14:paraId="5847B639"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64 492,7</w:t>
            </w:r>
          </w:p>
        </w:tc>
        <w:tc>
          <w:tcPr>
            <w:tcW w:w="851" w:type="dxa"/>
            <w:shd w:val="clear" w:color="auto" w:fill="auto"/>
            <w:noWrap/>
            <w:vAlign w:val="center"/>
            <w:hideMark/>
          </w:tcPr>
          <w:p w14:paraId="522698E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240,9</w:t>
            </w:r>
          </w:p>
        </w:tc>
        <w:tc>
          <w:tcPr>
            <w:tcW w:w="992" w:type="dxa"/>
            <w:shd w:val="clear" w:color="auto" w:fill="auto"/>
            <w:noWrap/>
            <w:vAlign w:val="center"/>
            <w:hideMark/>
          </w:tcPr>
          <w:p w14:paraId="2DC39FFE"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-224 791,8</w:t>
            </w:r>
          </w:p>
        </w:tc>
        <w:tc>
          <w:tcPr>
            <w:tcW w:w="992" w:type="dxa"/>
            <w:shd w:val="clear" w:color="auto" w:fill="auto"/>
            <w:noWrap/>
            <w:vAlign w:val="center"/>
            <w:hideMark/>
          </w:tcPr>
          <w:p w14:paraId="44DDAC37"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22,3</w:t>
            </w:r>
          </w:p>
        </w:tc>
      </w:tr>
      <w:tr w:rsidR="00C05628" w:rsidRPr="00213A5D" w14:paraId="1E535FD0" w14:textId="77777777" w:rsidTr="009B114B">
        <w:trPr>
          <w:trHeight w:val="53"/>
        </w:trPr>
        <w:tc>
          <w:tcPr>
            <w:tcW w:w="256" w:type="dxa"/>
            <w:vMerge w:val="restart"/>
            <w:shd w:val="clear" w:color="auto" w:fill="auto"/>
            <w:noWrap/>
            <w:vAlign w:val="center"/>
            <w:hideMark/>
          </w:tcPr>
          <w:p w14:paraId="1F05EAF5" w14:textId="77777777" w:rsidR="00C05628" w:rsidRPr="00213A5D" w:rsidRDefault="00C05628"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 </w:t>
            </w:r>
          </w:p>
        </w:tc>
        <w:tc>
          <w:tcPr>
            <w:tcW w:w="2169" w:type="dxa"/>
            <w:shd w:val="clear" w:color="auto" w:fill="auto"/>
            <w:noWrap/>
            <w:vAlign w:val="center"/>
            <w:hideMark/>
          </w:tcPr>
          <w:p w14:paraId="411382BC"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общей сумме доходов</w:t>
            </w:r>
          </w:p>
        </w:tc>
        <w:tc>
          <w:tcPr>
            <w:tcW w:w="1418" w:type="dxa"/>
            <w:shd w:val="clear" w:color="auto" w:fill="auto"/>
            <w:noWrap/>
            <w:vAlign w:val="center"/>
            <w:hideMark/>
          </w:tcPr>
          <w:p w14:paraId="248B35F3"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0,1</w:t>
            </w:r>
          </w:p>
        </w:tc>
        <w:tc>
          <w:tcPr>
            <w:tcW w:w="992" w:type="dxa"/>
            <w:shd w:val="clear" w:color="auto" w:fill="auto"/>
            <w:noWrap/>
            <w:vAlign w:val="center"/>
            <w:hideMark/>
          </w:tcPr>
          <w:p w14:paraId="0BA161FB"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1,6</w:t>
            </w:r>
          </w:p>
        </w:tc>
        <w:tc>
          <w:tcPr>
            <w:tcW w:w="850" w:type="dxa"/>
            <w:shd w:val="clear" w:color="auto" w:fill="auto"/>
            <w:noWrap/>
            <w:vAlign w:val="center"/>
            <w:hideMark/>
          </w:tcPr>
          <w:p w14:paraId="49387E39"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1134" w:type="dxa"/>
            <w:shd w:val="clear" w:color="auto" w:fill="auto"/>
            <w:noWrap/>
            <w:vAlign w:val="center"/>
            <w:hideMark/>
          </w:tcPr>
          <w:p w14:paraId="174F38B6"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0,3</w:t>
            </w:r>
          </w:p>
        </w:tc>
        <w:tc>
          <w:tcPr>
            <w:tcW w:w="851" w:type="dxa"/>
            <w:shd w:val="clear" w:color="auto" w:fill="auto"/>
            <w:noWrap/>
            <w:vAlign w:val="center"/>
            <w:hideMark/>
          </w:tcPr>
          <w:p w14:paraId="553F5616"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79D67E21"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34B1A6A9"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r w:rsidR="00C05628" w:rsidRPr="00213A5D" w14:paraId="5A213732" w14:textId="77777777" w:rsidTr="009B114B">
        <w:trPr>
          <w:trHeight w:val="53"/>
        </w:trPr>
        <w:tc>
          <w:tcPr>
            <w:tcW w:w="256" w:type="dxa"/>
            <w:vMerge/>
            <w:vAlign w:val="center"/>
            <w:hideMark/>
          </w:tcPr>
          <w:p w14:paraId="7F8F6DCC"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p>
        </w:tc>
        <w:tc>
          <w:tcPr>
            <w:tcW w:w="2169" w:type="dxa"/>
            <w:shd w:val="clear" w:color="auto" w:fill="auto"/>
            <w:noWrap/>
            <w:vAlign w:val="center"/>
            <w:hideMark/>
          </w:tcPr>
          <w:p w14:paraId="3C743700" w14:textId="77777777" w:rsidR="00C05628" w:rsidRPr="00213A5D" w:rsidRDefault="00C05628" w:rsidP="00AF1852">
            <w:pPr>
              <w:widowControl w:val="0"/>
              <w:overflowPunct/>
              <w:autoSpaceDE/>
              <w:autoSpaceDN/>
              <w:adjustRightInd/>
              <w:spacing w:line="240" w:lineRule="auto"/>
              <w:ind w:left="0" w:right="0" w:firstLine="0"/>
              <w:jc w:val="left"/>
              <w:textAlignment w:val="auto"/>
              <w:rPr>
                <w:rFonts w:eastAsia="Times New Roman"/>
                <w:sz w:val="14"/>
                <w:szCs w:val="14"/>
              </w:rPr>
            </w:pPr>
            <w:r w:rsidRPr="00213A5D">
              <w:rPr>
                <w:rFonts w:eastAsia="Times New Roman"/>
                <w:sz w:val="14"/>
                <w:szCs w:val="14"/>
              </w:rPr>
              <w:t>в % к ВВП</w:t>
            </w:r>
          </w:p>
        </w:tc>
        <w:tc>
          <w:tcPr>
            <w:tcW w:w="1418" w:type="dxa"/>
            <w:shd w:val="clear" w:color="auto" w:fill="auto"/>
            <w:noWrap/>
            <w:vAlign w:val="center"/>
            <w:hideMark/>
          </w:tcPr>
          <w:p w14:paraId="516ED9A2"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0,02</w:t>
            </w:r>
          </w:p>
        </w:tc>
        <w:tc>
          <w:tcPr>
            <w:tcW w:w="992" w:type="dxa"/>
            <w:shd w:val="clear" w:color="auto" w:fill="auto"/>
            <w:noWrap/>
            <w:vAlign w:val="center"/>
            <w:hideMark/>
          </w:tcPr>
          <w:p w14:paraId="24A00581"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0,22</w:t>
            </w:r>
          </w:p>
        </w:tc>
        <w:tc>
          <w:tcPr>
            <w:tcW w:w="850" w:type="dxa"/>
            <w:shd w:val="clear" w:color="auto" w:fill="auto"/>
            <w:noWrap/>
            <w:vAlign w:val="center"/>
            <w:hideMark/>
          </w:tcPr>
          <w:p w14:paraId="29FFDDB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1134" w:type="dxa"/>
            <w:shd w:val="clear" w:color="auto" w:fill="auto"/>
            <w:noWrap/>
            <w:vAlign w:val="center"/>
            <w:hideMark/>
          </w:tcPr>
          <w:p w14:paraId="57E868C6"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0,04</w:t>
            </w:r>
          </w:p>
        </w:tc>
        <w:tc>
          <w:tcPr>
            <w:tcW w:w="851" w:type="dxa"/>
            <w:shd w:val="clear" w:color="auto" w:fill="auto"/>
            <w:noWrap/>
            <w:vAlign w:val="center"/>
            <w:hideMark/>
          </w:tcPr>
          <w:p w14:paraId="0A086AD8"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7FF79E0E"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c>
          <w:tcPr>
            <w:tcW w:w="992" w:type="dxa"/>
            <w:shd w:val="clear" w:color="auto" w:fill="auto"/>
            <w:noWrap/>
            <w:vAlign w:val="center"/>
            <w:hideMark/>
          </w:tcPr>
          <w:p w14:paraId="59778B20" w14:textId="77777777" w:rsidR="00C05628" w:rsidRPr="00213A5D" w:rsidRDefault="00C05628"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 </w:t>
            </w:r>
          </w:p>
        </w:tc>
      </w:tr>
    </w:tbl>
    <w:p w14:paraId="474F5A92" w14:textId="77777777" w:rsidR="008A21AB" w:rsidRPr="00213A5D" w:rsidRDefault="008A21AB" w:rsidP="00AF1852">
      <w:pPr>
        <w:widowControl w:val="0"/>
        <w:tabs>
          <w:tab w:val="left" w:pos="9923"/>
        </w:tabs>
        <w:ind w:left="0" w:right="0"/>
        <w:rPr>
          <w:bCs/>
          <w:sz w:val="10"/>
          <w:szCs w:val="10"/>
        </w:rPr>
      </w:pPr>
    </w:p>
    <w:p w14:paraId="4A5271F9" w14:textId="77777777" w:rsidR="00C05628" w:rsidRPr="00213A5D" w:rsidRDefault="00C05628" w:rsidP="003E59DD">
      <w:pPr>
        <w:widowControl w:val="0"/>
        <w:tabs>
          <w:tab w:val="left" w:pos="9923"/>
        </w:tabs>
        <w:spacing w:line="348" w:lineRule="auto"/>
        <w:ind w:left="0" w:right="0"/>
        <w:rPr>
          <w:bCs/>
          <w:sz w:val="24"/>
          <w:szCs w:val="24"/>
        </w:rPr>
      </w:pPr>
      <w:r w:rsidRPr="00213A5D">
        <w:rPr>
          <w:b/>
          <w:bCs/>
          <w:sz w:val="24"/>
          <w:szCs w:val="24"/>
        </w:rPr>
        <w:t>3.3.1.</w:t>
      </w:r>
      <w:r w:rsidRPr="00213A5D">
        <w:rPr>
          <w:bCs/>
          <w:sz w:val="24"/>
          <w:szCs w:val="24"/>
        </w:rPr>
        <w:t xml:space="preserve"> Структура и объем </w:t>
      </w:r>
      <w:r w:rsidRPr="00213A5D">
        <w:rPr>
          <w:b/>
          <w:bCs/>
          <w:sz w:val="24"/>
          <w:szCs w:val="24"/>
        </w:rPr>
        <w:t>налоговых</w:t>
      </w:r>
      <w:r w:rsidRPr="00213A5D">
        <w:rPr>
          <w:bCs/>
          <w:sz w:val="24"/>
          <w:szCs w:val="24"/>
        </w:rPr>
        <w:t xml:space="preserve"> доходов федерального бюджета в январе –</w:t>
      </w:r>
      <w:r w:rsidR="006B4B6D" w:rsidRPr="00213A5D">
        <w:rPr>
          <w:bCs/>
          <w:sz w:val="24"/>
          <w:szCs w:val="24"/>
        </w:rPr>
        <w:t xml:space="preserve"> </w:t>
      </w:r>
      <w:r w:rsidRPr="00213A5D">
        <w:rPr>
          <w:bCs/>
          <w:sz w:val="24"/>
          <w:szCs w:val="24"/>
        </w:rPr>
        <w:t>сентябре 2022 года представлены на следующей диаграмме.</w:t>
      </w:r>
    </w:p>
    <w:p w14:paraId="57EB3C9D" w14:textId="77777777" w:rsidR="00C05628" w:rsidRPr="00213A5D" w:rsidRDefault="00CD0E98" w:rsidP="00AF1852">
      <w:pPr>
        <w:widowControl w:val="0"/>
        <w:tabs>
          <w:tab w:val="left" w:pos="9923"/>
        </w:tabs>
        <w:ind w:left="0" w:right="0" w:firstLine="0"/>
        <w:jc w:val="center"/>
        <w:rPr>
          <w:bCs/>
          <w:sz w:val="24"/>
          <w:szCs w:val="24"/>
        </w:rPr>
      </w:pPr>
      <w:r w:rsidRPr="00CD0E98">
        <w:rPr>
          <w:bCs/>
          <w:noProof/>
          <w:sz w:val="24"/>
          <w:szCs w:val="24"/>
        </w:rPr>
        <w:pict w14:anchorId="737A8A33">
          <v:shape id="_x0000_i1073" type="#_x0000_t75" alt="" style="width:389.2pt;height:243.15pt;mso-width-percent:0;mso-height-percent:0;mso-position-horizontal-relative:char;mso-position-vertical-relative:line;mso-width-percent:0;mso-height-percent:0">
            <v:imagedata r:id="rId17" o:title=""/>
          </v:shape>
        </w:pict>
      </w:r>
    </w:p>
    <w:p w14:paraId="76814719" w14:textId="77777777" w:rsidR="00855BF8" w:rsidRPr="00213A5D" w:rsidRDefault="00855BF8" w:rsidP="00AF1852">
      <w:pPr>
        <w:widowControl w:val="0"/>
        <w:tabs>
          <w:tab w:val="left" w:pos="9923"/>
        </w:tabs>
        <w:ind w:left="0" w:right="0"/>
        <w:rPr>
          <w:bCs/>
          <w:sz w:val="24"/>
          <w:szCs w:val="24"/>
        </w:rPr>
      </w:pPr>
      <w:r w:rsidRPr="00213A5D">
        <w:rPr>
          <w:bCs/>
          <w:sz w:val="24"/>
          <w:szCs w:val="24"/>
        </w:rPr>
        <w:t>Данные об основных налоговых доходах федерального бюджета, поступивших в январе – сентябре 2021 и 2022 годах, представлены в следующей таблице.</w:t>
      </w:r>
    </w:p>
    <w:tbl>
      <w:tblPr>
        <w:tblW w:w="103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850"/>
        <w:gridCol w:w="709"/>
        <w:gridCol w:w="567"/>
        <w:gridCol w:w="850"/>
        <w:gridCol w:w="567"/>
        <w:gridCol w:w="567"/>
        <w:gridCol w:w="567"/>
        <w:gridCol w:w="851"/>
        <w:gridCol w:w="567"/>
        <w:gridCol w:w="960"/>
      </w:tblGrid>
      <w:tr w:rsidR="00726E3F" w:rsidRPr="00213A5D" w14:paraId="7C072A89" w14:textId="77777777" w:rsidTr="009B114B">
        <w:trPr>
          <w:trHeight w:val="53"/>
          <w:tblHeader/>
        </w:trPr>
        <w:tc>
          <w:tcPr>
            <w:tcW w:w="2268" w:type="dxa"/>
            <w:vMerge w:val="restart"/>
            <w:shd w:val="clear" w:color="auto" w:fill="auto"/>
            <w:vAlign w:val="center"/>
            <w:hideMark/>
          </w:tcPr>
          <w:p w14:paraId="589171C8"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Наименование показателя</w:t>
            </w:r>
          </w:p>
        </w:tc>
        <w:tc>
          <w:tcPr>
            <w:tcW w:w="993" w:type="dxa"/>
            <w:vMerge w:val="restart"/>
            <w:shd w:val="clear" w:color="auto" w:fill="auto"/>
            <w:vAlign w:val="center"/>
            <w:hideMark/>
          </w:tcPr>
          <w:p w14:paraId="5EC6EE7B" w14:textId="77777777" w:rsidR="00726E3F" w:rsidRPr="00213A5D" w:rsidRDefault="00726E3F" w:rsidP="00AF1852">
            <w:pPr>
              <w:widowControl w:val="0"/>
              <w:overflowPunct/>
              <w:autoSpaceDE/>
              <w:autoSpaceDN/>
              <w:adjustRightInd/>
              <w:spacing w:line="240" w:lineRule="auto"/>
              <w:ind w:left="-108" w:right="-55" w:firstLine="0"/>
              <w:jc w:val="center"/>
              <w:textAlignment w:val="auto"/>
              <w:rPr>
                <w:rFonts w:eastAsia="Times New Roman"/>
                <w:color w:val="000000"/>
                <w:sz w:val="14"/>
                <w:szCs w:val="14"/>
              </w:rPr>
            </w:pPr>
            <w:r w:rsidRPr="00213A5D">
              <w:rPr>
                <w:rFonts w:eastAsia="Times New Roman"/>
                <w:color w:val="000000"/>
                <w:sz w:val="14"/>
                <w:szCs w:val="14"/>
              </w:rPr>
              <w:t xml:space="preserve">Прогноз доходов федерального бюджета на 2022 год в соответствии с Федеральным законом </w:t>
            </w:r>
          </w:p>
          <w:p w14:paraId="10B7C2F2" w14:textId="77777777" w:rsidR="00726E3F" w:rsidRPr="00213A5D" w:rsidRDefault="00726E3F" w:rsidP="00AF1852">
            <w:pPr>
              <w:widowControl w:val="0"/>
              <w:overflowPunct/>
              <w:autoSpaceDE/>
              <w:autoSpaceDN/>
              <w:adjustRightInd/>
              <w:spacing w:line="240" w:lineRule="auto"/>
              <w:ind w:left="-108" w:right="-55" w:firstLine="0"/>
              <w:jc w:val="center"/>
              <w:textAlignment w:val="auto"/>
              <w:rPr>
                <w:rFonts w:eastAsia="Times New Roman"/>
                <w:color w:val="000000"/>
                <w:sz w:val="14"/>
                <w:szCs w:val="14"/>
              </w:rPr>
            </w:pPr>
            <w:r w:rsidRPr="00213A5D">
              <w:rPr>
                <w:rFonts w:eastAsia="Times New Roman"/>
                <w:color w:val="000000"/>
                <w:sz w:val="14"/>
                <w:szCs w:val="14"/>
              </w:rPr>
              <w:t>№ 390-ФЗ</w:t>
            </w:r>
          </w:p>
        </w:tc>
        <w:tc>
          <w:tcPr>
            <w:tcW w:w="2126" w:type="dxa"/>
            <w:gridSpan w:val="3"/>
            <w:shd w:val="clear" w:color="auto" w:fill="auto"/>
            <w:vAlign w:val="center"/>
            <w:hideMark/>
          </w:tcPr>
          <w:p w14:paraId="74BE84B8" w14:textId="77777777" w:rsidR="00726E3F" w:rsidRPr="00213A5D" w:rsidRDefault="006B4B6D"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я</w:t>
            </w:r>
            <w:r w:rsidR="00726E3F" w:rsidRPr="00213A5D">
              <w:rPr>
                <w:rFonts w:eastAsia="Times New Roman"/>
                <w:color w:val="000000"/>
                <w:sz w:val="14"/>
                <w:szCs w:val="14"/>
              </w:rPr>
              <w:t>нварь</w:t>
            </w:r>
            <w:r w:rsidRPr="00213A5D">
              <w:rPr>
                <w:rFonts w:eastAsia="Times New Roman"/>
                <w:color w:val="000000"/>
                <w:sz w:val="14"/>
                <w:szCs w:val="14"/>
              </w:rPr>
              <w:t xml:space="preserve"> – </w:t>
            </w:r>
            <w:r w:rsidR="00726E3F" w:rsidRPr="00213A5D">
              <w:rPr>
                <w:rFonts w:eastAsia="Times New Roman"/>
                <w:color w:val="000000"/>
                <w:sz w:val="14"/>
                <w:szCs w:val="14"/>
              </w:rPr>
              <w:t>сентябрь 2021 года</w:t>
            </w:r>
          </w:p>
        </w:tc>
        <w:tc>
          <w:tcPr>
            <w:tcW w:w="1984" w:type="dxa"/>
            <w:gridSpan w:val="3"/>
            <w:shd w:val="clear" w:color="auto" w:fill="auto"/>
            <w:vAlign w:val="center"/>
            <w:hideMark/>
          </w:tcPr>
          <w:p w14:paraId="4BF679A2" w14:textId="77777777" w:rsidR="00726E3F" w:rsidRPr="00213A5D" w:rsidRDefault="006B4B6D"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 xml:space="preserve">январь – </w:t>
            </w:r>
            <w:r w:rsidR="00726E3F" w:rsidRPr="00213A5D">
              <w:rPr>
                <w:rFonts w:eastAsia="Times New Roman"/>
                <w:color w:val="000000"/>
                <w:sz w:val="14"/>
                <w:szCs w:val="14"/>
              </w:rPr>
              <w:t>сентябрь 2022 года</w:t>
            </w:r>
          </w:p>
        </w:tc>
        <w:tc>
          <w:tcPr>
            <w:tcW w:w="2945" w:type="dxa"/>
            <w:gridSpan w:val="4"/>
            <w:shd w:val="clear" w:color="auto" w:fill="auto"/>
            <w:vAlign w:val="center"/>
            <w:hideMark/>
          </w:tcPr>
          <w:p w14:paraId="49A5202E"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Отклонение исполнения</w:t>
            </w:r>
          </w:p>
          <w:p w14:paraId="5ED066DE" w14:textId="77777777" w:rsidR="00726E3F" w:rsidRPr="00213A5D" w:rsidRDefault="006B4B6D"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я</w:t>
            </w:r>
            <w:r w:rsidR="00726E3F" w:rsidRPr="00213A5D">
              <w:rPr>
                <w:rFonts w:eastAsia="Times New Roman"/>
                <w:color w:val="000000"/>
                <w:sz w:val="14"/>
                <w:szCs w:val="14"/>
              </w:rPr>
              <w:t>нваря</w:t>
            </w:r>
            <w:r w:rsidRPr="00213A5D">
              <w:rPr>
                <w:rFonts w:eastAsia="Times New Roman"/>
                <w:color w:val="000000"/>
                <w:sz w:val="14"/>
                <w:szCs w:val="14"/>
              </w:rPr>
              <w:t xml:space="preserve"> – </w:t>
            </w:r>
            <w:r w:rsidR="00726E3F" w:rsidRPr="00213A5D">
              <w:rPr>
                <w:rFonts w:eastAsia="Times New Roman"/>
                <w:color w:val="000000"/>
                <w:sz w:val="14"/>
                <w:szCs w:val="14"/>
              </w:rPr>
              <w:t>сентября 2022 г.  от</w:t>
            </w:r>
          </w:p>
        </w:tc>
      </w:tr>
      <w:tr w:rsidR="00726E3F" w:rsidRPr="00213A5D" w14:paraId="2A0F3C2A" w14:textId="77777777" w:rsidTr="009B114B">
        <w:trPr>
          <w:trHeight w:val="654"/>
          <w:tblHeader/>
        </w:trPr>
        <w:tc>
          <w:tcPr>
            <w:tcW w:w="2268" w:type="dxa"/>
            <w:vMerge/>
            <w:vAlign w:val="center"/>
            <w:hideMark/>
          </w:tcPr>
          <w:p w14:paraId="39F7CC72"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993" w:type="dxa"/>
            <w:vMerge/>
            <w:vAlign w:val="center"/>
            <w:hideMark/>
          </w:tcPr>
          <w:p w14:paraId="726B02DC"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850" w:type="dxa"/>
            <w:vMerge w:val="restart"/>
            <w:shd w:val="clear" w:color="auto" w:fill="auto"/>
            <w:vAlign w:val="center"/>
            <w:hideMark/>
          </w:tcPr>
          <w:p w14:paraId="0E599CC6"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млн. рублей</w:t>
            </w:r>
          </w:p>
        </w:tc>
        <w:tc>
          <w:tcPr>
            <w:tcW w:w="709" w:type="dxa"/>
            <w:vMerge w:val="restart"/>
            <w:shd w:val="clear" w:color="auto" w:fill="auto"/>
            <w:vAlign w:val="center"/>
            <w:hideMark/>
          </w:tcPr>
          <w:p w14:paraId="1EE00C4F"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струк-тура*</w:t>
            </w:r>
          </w:p>
        </w:tc>
        <w:tc>
          <w:tcPr>
            <w:tcW w:w="567" w:type="dxa"/>
            <w:vMerge w:val="restart"/>
            <w:shd w:val="clear" w:color="auto" w:fill="auto"/>
            <w:vAlign w:val="center"/>
            <w:hideMark/>
          </w:tcPr>
          <w:p w14:paraId="1444E4E7" w14:textId="77777777" w:rsidR="00726E3F" w:rsidRPr="00213A5D" w:rsidRDefault="00726E3F" w:rsidP="00AF1852">
            <w:pPr>
              <w:widowControl w:val="0"/>
              <w:overflowPunct/>
              <w:autoSpaceDE/>
              <w:autoSpaceDN/>
              <w:adjustRightInd/>
              <w:spacing w:line="240" w:lineRule="auto"/>
              <w:ind w:left="-108" w:right="-108" w:firstLine="0"/>
              <w:jc w:val="center"/>
              <w:textAlignment w:val="auto"/>
              <w:rPr>
                <w:rFonts w:eastAsia="Times New Roman"/>
                <w:color w:val="000000"/>
                <w:sz w:val="14"/>
                <w:szCs w:val="14"/>
              </w:rPr>
            </w:pPr>
            <w:r w:rsidRPr="00213A5D">
              <w:rPr>
                <w:rFonts w:eastAsia="Times New Roman"/>
                <w:color w:val="000000"/>
                <w:sz w:val="14"/>
                <w:szCs w:val="14"/>
              </w:rPr>
              <w:t>в %, к ВВП</w:t>
            </w:r>
          </w:p>
        </w:tc>
        <w:tc>
          <w:tcPr>
            <w:tcW w:w="850" w:type="dxa"/>
            <w:vMerge w:val="restart"/>
            <w:shd w:val="clear" w:color="auto" w:fill="auto"/>
            <w:vAlign w:val="center"/>
            <w:hideMark/>
          </w:tcPr>
          <w:p w14:paraId="320E4038"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млн. рублей</w:t>
            </w:r>
          </w:p>
        </w:tc>
        <w:tc>
          <w:tcPr>
            <w:tcW w:w="567" w:type="dxa"/>
            <w:vMerge w:val="restart"/>
            <w:shd w:val="clear" w:color="auto" w:fill="auto"/>
            <w:vAlign w:val="center"/>
            <w:hideMark/>
          </w:tcPr>
          <w:p w14:paraId="67C27710" w14:textId="77777777" w:rsidR="00726E3F" w:rsidRPr="00213A5D" w:rsidRDefault="00726E3F" w:rsidP="00AF1852">
            <w:pPr>
              <w:widowControl w:val="0"/>
              <w:overflowPunct/>
              <w:autoSpaceDE/>
              <w:autoSpaceDN/>
              <w:adjustRightInd/>
              <w:spacing w:line="240" w:lineRule="auto"/>
              <w:ind w:left="-108" w:right="-108" w:firstLine="0"/>
              <w:jc w:val="center"/>
              <w:textAlignment w:val="auto"/>
              <w:rPr>
                <w:rFonts w:eastAsia="Times New Roman"/>
                <w:color w:val="000000"/>
                <w:sz w:val="14"/>
                <w:szCs w:val="14"/>
              </w:rPr>
            </w:pPr>
            <w:r w:rsidRPr="00213A5D">
              <w:rPr>
                <w:rFonts w:eastAsia="Times New Roman"/>
                <w:color w:val="000000"/>
                <w:sz w:val="14"/>
                <w:szCs w:val="14"/>
              </w:rPr>
              <w:t>струк-тура*</w:t>
            </w:r>
          </w:p>
        </w:tc>
        <w:tc>
          <w:tcPr>
            <w:tcW w:w="567" w:type="dxa"/>
            <w:vMerge w:val="restart"/>
            <w:shd w:val="clear" w:color="auto" w:fill="auto"/>
            <w:vAlign w:val="center"/>
            <w:hideMark/>
          </w:tcPr>
          <w:p w14:paraId="2A5E8F09"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в %, к ВВП</w:t>
            </w:r>
          </w:p>
        </w:tc>
        <w:tc>
          <w:tcPr>
            <w:tcW w:w="1418" w:type="dxa"/>
            <w:gridSpan w:val="2"/>
            <w:shd w:val="clear" w:color="auto" w:fill="auto"/>
            <w:vAlign w:val="center"/>
            <w:hideMark/>
          </w:tcPr>
          <w:p w14:paraId="08A2072B"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прогноза доходов на 2022 год</w:t>
            </w:r>
          </w:p>
        </w:tc>
        <w:tc>
          <w:tcPr>
            <w:tcW w:w="1527" w:type="dxa"/>
            <w:gridSpan w:val="2"/>
            <w:shd w:val="clear" w:color="auto" w:fill="auto"/>
            <w:vAlign w:val="center"/>
            <w:hideMark/>
          </w:tcPr>
          <w:p w14:paraId="4AF9A741"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исполнения</w:t>
            </w:r>
          </w:p>
          <w:p w14:paraId="66925003" w14:textId="77777777" w:rsidR="00726E3F" w:rsidRPr="00213A5D" w:rsidRDefault="006B4B6D"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 xml:space="preserve">января – </w:t>
            </w:r>
            <w:r w:rsidR="00726E3F" w:rsidRPr="00213A5D">
              <w:rPr>
                <w:rFonts w:eastAsia="Times New Roman"/>
                <w:color w:val="000000"/>
                <w:sz w:val="14"/>
                <w:szCs w:val="14"/>
              </w:rPr>
              <w:t>сентября</w:t>
            </w:r>
          </w:p>
          <w:p w14:paraId="16147668"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2021 г</w:t>
            </w:r>
          </w:p>
        </w:tc>
      </w:tr>
      <w:tr w:rsidR="00726E3F" w:rsidRPr="00213A5D" w14:paraId="4BB95539" w14:textId="77777777" w:rsidTr="009B114B">
        <w:trPr>
          <w:trHeight w:val="259"/>
          <w:tblHeader/>
        </w:trPr>
        <w:tc>
          <w:tcPr>
            <w:tcW w:w="2268" w:type="dxa"/>
            <w:vMerge/>
            <w:vAlign w:val="center"/>
            <w:hideMark/>
          </w:tcPr>
          <w:p w14:paraId="2583DC92"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993" w:type="dxa"/>
            <w:vMerge/>
            <w:vAlign w:val="center"/>
            <w:hideMark/>
          </w:tcPr>
          <w:p w14:paraId="4EB18130"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850" w:type="dxa"/>
            <w:vMerge/>
            <w:vAlign w:val="center"/>
            <w:hideMark/>
          </w:tcPr>
          <w:p w14:paraId="0AB5F877"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709" w:type="dxa"/>
            <w:vMerge/>
            <w:vAlign w:val="center"/>
            <w:hideMark/>
          </w:tcPr>
          <w:p w14:paraId="0209A189"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567" w:type="dxa"/>
            <w:vMerge/>
            <w:vAlign w:val="center"/>
            <w:hideMark/>
          </w:tcPr>
          <w:p w14:paraId="4686B001"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850" w:type="dxa"/>
            <w:vMerge/>
            <w:vAlign w:val="center"/>
            <w:hideMark/>
          </w:tcPr>
          <w:p w14:paraId="381AE8CA"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567" w:type="dxa"/>
            <w:vMerge/>
            <w:vAlign w:val="center"/>
            <w:hideMark/>
          </w:tcPr>
          <w:p w14:paraId="7B61505E"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567" w:type="dxa"/>
            <w:vMerge/>
            <w:vAlign w:val="center"/>
            <w:hideMark/>
          </w:tcPr>
          <w:p w14:paraId="5F550ED2"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567" w:type="dxa"/>
            <w:shd w:val="clear" w:color="auto" w:fill="auto"/>
            <w:vAlign w:val="center"/>
            <w:hideMark/>
          </w:tcPr>
          <w:p w14:paraId="5D26850D"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w:t>
            </w:r>
          </w:p>
        </w:tc>
        <w:tc>
          <w:tcPr>
            <w:tcW w:w="851" w:type="dxa"/>
            <w:shd w:val="clear" w:color="auto" w:fill="auto"/>
            <w:vAlign w:val="center"/>
            <w:hideMark/>
          </w:tcPr>
          <w:p w14:paraId="29CB19BE"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w:t>
            </w:r>
          </w:p>
        </w:tc>
        <w:tc>
          <w:tcPr>
            <w:tcW w:w="567" w:type="dxa"/>
            <w:shd w:val="clear" w:color="auto" w:fill="auto"/>
            <w:vAlign w:val="center"/>
            <w:hideMark/>
          </w:tcPr>
          <w:p w14:paraId="6FA75594"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w:t>
            </w:r>
          </w:p>
        </w:tc>
        <w:tc>
          <w:tcPr>
            <w:tcW w:w="960" w:type="dxa"/>
            <w:shd w:val="clear" w:color="auto" w:fill="auto"/>
            <w:vAlign w:val="center"/>
            <w:hideMark/>
          </w:tcPr>
          <w:p w14:paraId="018AFA84"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w:t>
            </w:r>
          </w:p>
        </w:tc>
      </w:tr>
      <w:tr w:rsidR="00726E3F" w:rsidRPr="00213A5D" w14:paraId="78A0111A" w14:textId="77777777" w:rsidTr="009B114B">
        <w:trPr>
          <w:trHeight w:val="53"/>
          <w:tblHeader/>
        </w:trPr>
        <w:tc>
          <w:tcPr>
            <w:tcW w:w="2268" w:type="dxa"/>
            <w:shd w:val="clear" w:color="auto" w:fill="auto"/>
            <w:vAlign w:val="center"/>
            <w:hideMark/>
          </w:tcPr>
          <w:p w14:paraId="20073930"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А</w:t>
            </w:r>
          </w:p>
        </w:tc>
        <w:tc>
          <w:tcPr>
            <w:tcW w:w="993" w:type="dxa"/>
            <w:shd w:val="clear" w:color="auto" w:fill="auto"/>
            <w:noWrap/>
            <w:vAlign w:val="center"/>
            <w:hideMark/>
          </w:tcPr>
          <w:p w14:paraId="50299E55"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1</w:t>
            </w:r>
          </w:p>
        </w:tc>
        <w:tc>
          <w:tcPr>
            <w:tcW w:w="850" w:type="dxa"/>
            <w:shd w:val="clear" w:color="auto" w:fill="auto"/>
            <w:noWrap/>
            <w:vAlign w:val="center"/>
            <w:hideMark/>
          </w:tcPr>
          <w:p w14:paraId="67AC100C"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2</w:t>
            </w:r>
          </w:p>
        </w:tc>
        <w:tc>
          <w:tcPr>
            <w:tcW w:w="709" w:type="dxa"/>
            <w:shd w:val="clear" w:color="auto" w:fill="auto"/>
            <w:noWrap/>
            <w:vAlign w:val="center"/>
            <w:hideMark/>
          </w:tcPr>
          <w:p w14:paraId="4EF08F26"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3</w:t>
            </w:r>
          </w:p>
        </w:tc>
        <w:tc>
          <w:tcPr>
            <w:tcW w:w="567" w:type="dxa"/>
            <w:shd w:val="clear" w:color="auto" w:fill="auto"/>
            <w:noWrap/>
            <w:vAlign w:val="center"/>
            <w:hideMark/>
          </w:tcPr>
          <w:p w14:paraId="7DB08921"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4</w:t>
            </w:r>
          </w:p>
        </w:tc>
        <w:tc>
          <w:tcPr>
            <w:tcW w:w="850" w:type="dxa"/>
            <w:shd w:val="clear" w:color="auto" w:fill="auto"/>
            <w:noWrap/>
            <w:vAlign w:val="center"/>
            <w:hideMark/>
          </w:tcPr>
          <w:p w14:paraId="7889BF81"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5</w:t>
            </w:r>
          </w:p>
        </w:tc>
        <w:tc>
          <w:tcPr>
            <w:tcW w:w="567" w:type="dxa"/>
            <w:shd w:val="clear" w:color="auto" w:fill="auto"/>
            <w:noWrap/>
            <w:vAlign w:val="center"/>
            <w:hideMark/>
          </w:tcPr>
          <w:p w14:paraId="5784B644"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6</w:t>
            </w:r>
          </w:p>
        </w:tc>
        <w:tc>
          <w:tcPr>
            <w:tcW w:w="567" w:type="dxa"/>
            <w:shd w:val="clear" w:color="auto" w:fill="auto"/>
            <w:noWrap/>
            <w:vAlign w:val="center"/>
            <w:hideMark/>
          </w:tcPr>
          <w:p w14:paraId="19513907"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7</w:t>
            </w:r>
          </w:p>
        </w:tc>
        <w:tc>
          <w:tcPr>
            <w:tcW w:w="567" w:type="dxa"/>
            <w:shd w:val="clear" w:color="auto" w:fill="auto"/>
            <w:noWrap/>
            <w:vAlign w:val="center"/>
            <w:hideMark/>
          </w:tcPr>
          <w:p w14:paraId="5C0591B7"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8</w:t>
            </w:r>
          </w:p>
        </w:tc>
        <w:tc>
          <w:tcPr>
            <w:tcW w:w="851" w:type="dxa"/>
            <w:shd w:val="clear" w:color="auto" w:fill="auto"/>
            <w:noWrap/>
            <w:vAlign w:val="center"/>
            <w:hideMark/>
          </w:tcPr>
          <w:p w14:paraId="5CB400F4"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9</w:t>
            </w:r>
          </w:p>
        </w:tc>
        <w:tc>
          <w:tcPr>
            <w:tcW w:w="567" w:type="dxa"/>
            <w:shd w:val="clear" w:color="auto" w:fill="auto"/>
            <w:noWrap/>
            <w:vAlign w:val="center"/>
            <w:hideMark/>
          </w:tcPr>
          <w:p w14:paraId="00958AEE"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10</w:t>
            </w:r>
          </w:p>
        </w:tc>
        <w:tc>
          <w:tcPr>
            <w:tcW w:w="960" w:type="dxa"/>
            <w:shd w:val="clear" w:color="auto" w:fill="auto"/>
            <w:noWrap/>
            <w:vAlign w:val="center"/>
            <w:hideMark/>
          </w:tcPr>
          <w:p w14:paraId="03FF6A5C" w14:textId="77777777" w:rsidR="00726E3F" w:rsidRPr="00213A5D" w:rsidRDefault="00726E3F"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11</w:t>
            </w:r>
          </w:p>
        </w:tc>
      </w:tr>
      <w:tr w:rsidR="00726E3F" w:rsidRPr="00213A5D" w14:paraId="21616865" w14:textId="77777777" w:rsidTr="009B114B">
        <w:trPr>
          <w:trHeight w:val="53"/>
        </w:trPr>
        <w:tc>
          <w:tcPr>
            <w:tcW w:w="2268" w:type="dxa"/>
            <w:shd w:val="clear" w:color="auto" w:fill="auto"/>
            <w:vAlign w:val="center"/>
            <w:hideMark/>
          </w:tcPr>
          <w:p w14:paraId="2FBD1B4C"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Налог на прибыль организаций</w:t>
            </w:r>
          </w:p>
        </w:tc>
        <w:tc>
          <w:tcPr>
            <w:tcW w:w="993" w:type="dxa"/>
            <w:shd w:val="clear" w:color="auto" w:fill="auto"/>
            <w:noWrap/>
            <w:vAlign w:val="center"/>
            <w:hideMark/>
          </w:tcPr>
          <w:p w14:paraId="04CD0F26"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1 447 439,2</w:t>
            </w:r>
          </w:p>
        </w:tc>
        <w:tc>
          <w:tcPr>
            <w:tcW w:w="850" w:type="dxa"/>
            <w:shd w:val="clear" w:color="auto" w:fill="auto"/>
            <w:noWrap/>
            <w:vAlign w:val="center"/>
            <w:hideMark/>
          </w:tcPr>
          <w:p w14:paraId="49CAE4CB"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1 076 801,5</w:t>
            </w:r>
          </w:p>
        </w:tc>
        <w:tc>
          <w:tcPr>
            <w:tcW w:w="709" w:type="dxa"/>
            <w:shd w:val="clear" w:color="auto" w:fill="auto"/>
            <w:noWrap/>
            <w:vAlign w:val="center"/>
            <w:hideMark/>
          </w:tcPr>
          <w:p w14:paraId="07B81E3C"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7,9</w:t>
            </w:r>
          </w:p>
        </w:tc>
        <w:tc>
          <w:tcPr>
            <w:tcW w:w="567" w:type="dxa"/>
            <w:shd w:val="clear" w:color="auto" w:fill="auto"/>
            <w:noWrap/>
            <w:vAlign w:val="center"/>
            <w:hideMark/>
          </w:tcPr>
          <w:p w14:paraId="3D6C9925"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0,8</w:t>
            </w:r>
          </w:p>
        </w:tc>
        <w:tc>
          <w:tcPr>
            <w:tcW w:w="850" w:type="dxa"/>
            <w:shd w:val="clear" w:color="auto" w:fill="auto"/>
            <w:noWrap/>
            <w:vAlign w:val="center"/>
            <w:hideMark/>
          </w:tcPr>
          <w:p w14:paraId="0A3C06DF"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1 252 727,5</w:t>
            </w:r>
          </w:p>
        </w:tc>
        <w:tc>
          <w:tcPr>
            <w:tcW w:w="567" w:type="dxa"/>
            <w:shd w:val="clear" w:color="auto" w:fill="auto"/>
            <w:noWrap/>
            <w:vAlign w:val="center"/>
            <w:hideMark/>
          </w:tcPr>
          <w:p w14:paraId="3BE0581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7,9</w:t>
            </w:r>
          </w:p>
        </w:tc>
        <w:tc>
          <w:tcPr>
            <w:tcW w:w="567" w:type="dxa"/>
            <w:shd w:val="clear" w:color="auto" w:fill="auto"/>
            <w:noWrap/>
            <w:vAlign w:val="center"/>
            <w:hideMark/>
          </w:tcPr>
          <w:p w14:paraId="28A0B50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0,9</w:t>
            </w:r>
          </w:p>
        </w:tc>
        <w:tc>
          <w:tcPr>
            <w:tcW w:w="567" w:type="dxa"/>
            <w:shd w:val="clear" w:color="auto" w:fill="auto"/>
            <w:noWrap/>
            <w:vAlign w:val="center"/>
            <w:hideMark/>
          </w:tcPr>
          <w:p w14:paraId="384E0112"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86,5</w:t>
            </w:r>
          </w:p>
        </w:tc>
        <w:tc>
          <w:tcPr>
            <w:tcW w:w="851" w:type="dxa"/>
            <w:shd w:val="clear" w:color="auto" w:fill="auto"/>
            <w:noWrap/>
            <w:vAlign w:val="center"/>
            <w:hideMark/>
          </w:tcPr>
          <w:p w14:paraId="238BF179"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-194 711,8</w:t>
            </w:r>
          </w:p>
        </w:tc>
        <w:tc>
          <w:tcPr>
            <w:tcW w:w="567" w:type="dxa"/>
            <w:shd w:val="clear" w:color="auto" w:fill="auto"/>
            <w:noWrap/>
            <w:vAlign w:val="center"/>
            <w:hideMark/>
          </w:tcPr>
          <w:p w14:paraId="4ABB71F1" w14:textId="77777777" w:rsidR="00726E3F" w:rsidRPr="00213A5D" w:rsidRDefault="00726E3F" w:rsidP="00A26632">
            <w:pPr>
              <w:widowControl w:val="0"/>
              <w:overflowPunct/>
              <w:autoSpaceDE/>
              <w:autoSpaceDN/>
              <w:adjustRightInd/>
              <w:spacing w:line="240" w:lineRule="auto"/>
              <w:ind w:left="-250" w:right="0" w:firstLine="0"/>
              <w:jc w:val="right"/>
              <w:textAlignment w:val="auto"/>
              <w:rPr>
                <w:rFonts w:eastAsia="Times New Roman"/>
                <w:color w:val="000000"/>
                <w:sz w:val="14"/>
                <w:szCs w:val="14"/>
              </w:rPr>
            </w:pPr>
            <w:r w:rsidRPr="00213A5D">
              <w:rPr>
                <w:rFonts w:eastAsia="Times New Roman"/>
                <w:color w:val="000000"/>
                <w:sz w:val="14"/>
                <w:szCs w:val="14"/>
              </w:rPr>
              <w:t>116,3</w:t>
            </w:r>
          </w:p>
        </w:tc>
        <w:tc>
          <w:tcPr>
            <w:tcW w:w="960" w:type="dxa"/>
            <w:shd w:val="clear" w:color="auto" w:fill="auto"/>
            <w:noWrap/>
            <w:vAlign w:val="center"/>
            <w:hideMark/>
          </w:tcPr>
          <w:p w14:paraId="140F133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175 925,9</w:t>
            </w:r>
          </w:p>
        </w:tc>
      </w:tr>
      <w:tr w:rsidR="00726E3F" w:rsidRPr="00213A5D" w14:paraId="371D44CA" w14:textId="77777777" w:rsidTr="009B114B">
        <w:trPr>
          <w:trHeight w:val="53"/>
        </w:trPr>
        <w:tc>
          <w:tcPr>
            <w:tcW w:w="2268" w:type="dxa"/>
            <w:shd w:val="clear" w:color="auto" w:fill="auto"/>
            <w:vAlign w:val="center"/>
            <w:hideMark/>
          </w:tcPr>
          <w:p w14:paraId="30EEB9BE"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Налог на добавленную стоимость на товары (работы, услуги), реализуемые на территории Российской Федерации</w:t>
            </w:r>
          </w:p>
        </w:tc>
        <w:tc>
          <w:tcPr>
            <w:tcW w:w="993" w:type="dxa"/>
            <w:shd w:val="clear" w:color="auto" w:fill="auto"/>
            <w:noWrap/>
            <w:vAlign w:val="center"/>
            <w:hideMark/>
          </w:tcPr>
          <w:p w14:paraId="515879B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5 270 639,3</w:t>
            </w:r>
          </w:p>
        </w:tc>
        <w:tc>
          <w:tcPr>
            <w:tcW w:w="850" w:type="dxa"/>
            <w:shd w:val="clear" w:color="auto" w:fill="auto"/>
            <w:noWrap/>
            <w:vAlign w:val="center"/>
            <w:hideMark/>
          </w:tcPr>
          <w:p w14:paraId="4A41B366"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4 030 375,6</w:t>
            </w:r>
          </w:p>
        </w:tc>
        <w:tc>
          <w:tcPr>
            <w:tcW w:w="709" w:type="dxa"/>
            <w:shd w:val="clear" w:color="auto" w:fill="auto"/>
            <w:noWrap/>
            <w:vAlign w:val="center"/>
            <w:hideMark/>
          </w:tcPr>
          <w:p w14:paraId="558C350F"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29,4</w:t>
            </w:r>
          </w:p>
        </w:tc>
        <w:tc>
          <w:tcPr>
            <w:tcW w:w="567" w:type="dxa"/>
            <w:shd w:val="clear" w:color="auto" w:fill="auto"/>
            <w:noWrap/>
            <w:vAlign w:val="center"/>
            <w:hideMark/>
          </w:tcPr>
          <w:p w14:paraId="7EDC5497"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3,1</w:t>
            </w:r>
          </w:p>
        </w:tc>
        <w:tc>
          <w:tcPr>
            <w:tcW w:w="850" w:type="dxa"/>
            <w:shd w:val="clear" w:color="auto" w:fill="auto"/>
            <w:noWrap/>
            <w:vAlign w:val="center"/>
            <w:hideMark/>
          </w:tcPr>
          <w:p w14:paraId="65A62462"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4 681 622,5</w:t>
            </w:r>
          </w:p>
        </w:tc>
        <w:tc>
          <w:tcPr>
            <w:tcW w:w="567" w:type="dxa"/>
            <w:shd w:val="clear" w:color="auto" w:fill="auto"/>
            <w:noWrap/>
            <w:vAlign w:val="center"/>
            <w:hideMark/>
          </w:tcPr>
          <w:p w14:paraId="31CEA37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29,7</w:t>
            </w:r>
          </w:p>
        </w:tc>
        <w:tc>
          <w:tcPr>
            <w:tcW w:w="567" w:type="dxa"/>
            <w:shd w:val="clear" w:color="auto" w:fill="auto"/>
            <w:noWrap/>
            <w:vAlign w:val="center"/>
            <w:hideMark/>
          </w:tcPr>
          <w:p w14:paraId="5F60BF6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3,2</w:t>
            </w:r>
          </w:p>
        </w:tc>
        <w:tc>
          <w:tcPr>
            <w:tcW w:w="567" w:type="dxa"/>
            <w:shd w:val="clear" w:color="auto" w:fill="auto"/>
            <w:noWrap/>
            <w:vAlign w:val="center"/>
            <w:hideMark/>
          </w:tcPr>
          <w:p w14:paraId="1D9AAED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88,8</w:t>
            </w:r>
          </w:p>
        </w:tc>
        <w:tc>
          <w:tcPr>
            <w:tcW w:w="851" w:type="dxa"/>
            <w:shd w:val="clear" w:color="auto" w:fill="auto"/>
            <w:noWrap/>
            <w:vAlign w:val="center"/>
            <w:hideMark/>
          </w:tcPr>
          <w:p w14:paraId="5232A707"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-589 016,8</w:t>
            </w:r>
          </w:p>
        </w:tc>
        <w:tc>
          <w:tcPr>
            <w:tcW w:w="567" w:type="dxa"/>
            <w:shd w:val="clear" w:color="auto" w:fill="auto"/>
            <w:noWrap/>
            <w:vAlign w:val="center"/>
            <w:hideMark/>
          </w:tcPr>
          <w:p w14:paraId="7C3E9C78" w14:textId="77777777" w:rsidR="00726E3F" w:rsidRPr="00213A5D" w:rsidRDefault="00726E3F" w:rsidP="00A26632">
            <w:pPr>
              <w:widowControl w:val="0"/>
              <w:overflowPunct/>
              <w:autoSpaceDE/>
              <w:autoSpaceDN/>
              <w:adjustRightInd/>
              <w:spacing w:line="240" w:lineRule="auto"/>
              <w:ind w:left="-250" w:right="0" w:firstLine="0"/>
              <w:jc w:val="right"/>
              <w:textAlignment w:val="auto"/>
              <w:rPr>
                <w:rFonts w:eastAsia="Times New Roman"/>
                <w:color w:val="000000"/>
                <w:sz w:val="14"/>
                <w:szCs w:val="14"/>
              </w:rPr>
            </w:pPr>
            <w:r w:rsidRPr="00213A5D">
              <w:rPr>
                <w:rFonts w:eastAsia="Times New Roman"/>
                <w:color w:val="000000"/>
                <w:sz w:val="14"/>
                <w:szCs w:val="14"/>
              </w:rPr>
              <w:t>116,2</w:t>
            </w:r>
          </w:p>
        </w:tc>
        <w:tc>
          <w:tcPr>
            <w:tcW w:w="960" w:type="dxa"/>
            <w:shd w:val="clear" w:color="auto" w:fill="auto"/>
            <w:noWrap/>
            <w:vAlign w:val="center"/>
            <w:hideMark/>
          </w:tcPr>
          <w:p w14:paraId="09059B2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651 246,8</w:t>
            </w:r>
          </w:p>
        </w:tc>
      </w:tr>
      <w:tr w:rsidR="00726E3F" w:rsidRPr="00213A5D" w14:paraId="234EE602" w14:textId="77777777" w:rsidTr="009B114B">
        <w:trPr>
          <w:trHeight w:val="53"/>
        </w:trPr>
        <w:tc>
          <w:tcPr>
            <w:tcW w:w="2268" w:type="dxa"/>
            <w:shd w:val="clear" w:color="auto" w:fill="auto"/>
            <w:vAlign w:val="center"/>
            <w:hideMark/>
          </w:tcPr>
          <w:p w14:paraId="78E4C043"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 xml:space="preserve">Акцизы по подакцизным товарам (продукции), производимым на территории Российской </w:t>
            </w:r>
            <w:r w:rsidRPr="00213A5D">
              <w:rPr>
                <w:rFonts w:eastAsia="Times New Roman"/>
                <w:color w:val="000000"/>
                <w:sz w:val="14"/>
                <w:szCs w:val="14"/>
              </w:rPr>
              <w:lastRenderedPageBreak/>
              <w:t>Федерации</w:t>
            </w:r>
          </w:p>
        </w:tc>
        <w:tc>
          <w:tcPr>
            <w:tcW w:w="993" w:type="dxa"/>
            <w:shd w:val="clear" w:color="auto" w:fill="auto"/>
            <w:noWrap/>
            <w:vAlign w:val="center"/>
            <w:hideMark/>
          </w:tcPr>
          <w:p w14:paraId="7AB0C418"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lastRenderedPageBreak/>
              <w:t>101 773,7</w:t>
            </w:r>
          </w:p>
        </w:tc>
        <w:tc>
          <w:tcPr>
            <w:tcW w:w="850" w:type="dxa"/>
            <w:shd w:val="clear" w:color="auto" w:fill="auto"/>
            <w:noWrap/>
            <w:vAlign w:val="center"/>
            <w:hideMark/>
          </w:tcPr>
          <w:p w14:paraId="6A5FD35D"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-16 947,1</w:t>
            </w:r>
          </w:p>
        </w:tc>
        <w:tc>
          <w:tcPr>
            <w:tcW w:w="709" w:type="dxa"/>
            <w:shd w:val="clear" w:color="auto" w:fill="auto"/>
            <w:noWrap/>
            <w:vAlign w:val="center"/>
            <w:hideMark/>
          </w:tcPr>
          <w:p w14:paraId="793C805B"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211520A4"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w:t>
            </w:r>
          </w:p>
        </w:tc>
        <w:tc>
          <w:tcPr>
            <w:tcW w:w="850" w:type="dxa"/>
            <w:shd w:val="clear" w:color="auto" w:fill="auto"/>
            <w:noWrap/>
            <w:vAlign w:val="center"/>
            <w:hideMark/>
          </w:tcPr>
          <w:p w14:paraId="4291F78A"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-1 859 952,3</w:t>
            </w:r>
          </w:p>
        </w:tc>
        <w:tc>
          <w:tcPr>
            <w:tcW w:w="567" w:type="dxa"/>
            <w:shd w:val="clear" w:color="auto" w:fill="auto"/>
            <w:noWrap/>
            <w:vAlign w:val="center"/>
            <w:hideMark/>
          </w:tcPr>
          <w:p w14:paraId="74D2394E"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-11,8</w:t>
            </w:r>
          </w:p>
        </w:tc>
        <w:tc>
          <w:tcPr>
            <w:tcW w:w="567" w:type="dxa"/>
            <w:shd w:val="clear" w:color="auto" w:fill="auto"/>
            <w:noWrap/>
            <w:vAlign w:val="center"/>
            <w:hideMark/>
          </w:tcPr>
          <w:p w14:paraId="3FED4CD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-1,3</w:t>
            </w:r>
          </w:p>
        </w:tc>
        <w:tc>
          <w:tcPr>
            <w:tcW w:w="567" w:type="dxa"/>
            <w:shd w:val="clear" w:color="auto" w:fill="auto"/>
            <w:noWrap/>
            <w:vAlign w:val="center"/>
            <w:hideMark/>
          </w:tcPr>
          <w:p w14:paraId="0DA89B8F"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-1 827,5</w:t>
            </w:r>
          </w:p>
        </w:tc>
        <w:tc>
          <w:tcPr>
            <w:tcW w:w="851" w:type="dxa"/>
            <w:shd w:val="clear" w:color="auto" w:fill="auto"/>
            <w:noWrap/>
            <w:vAlign w:val="center"/>
            <w:hideMark/>
          </w:tcPr>
          <w:p w14:paraId="1864882E"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-1 961 726,0</w:t>
            </w:r>
          </w:p>
        </w:tc>
        <w:tc>
          <w:tcPr>
            <w:tcW w:w="567" w:type="dxa"/>
            <w:shd w:val="clear" w:color="auto" w:fill="auto"/>
            <w:noWrap/>
            <w:vAlign w:val="center"/>
            <w:hideMark/>
          </w:tcPr>
          <w:p w14:paraId="63C90E45" w14:textId="77777777" w:rsidR="00726E3F" w:rsidRPr="00213A5D" w:rsidRDefault="00726E3F" w:rsidP="00A26632">
            <w:pPr>
              <w:widowControl w:val="0"/>
              <w:overflowPunct/>
              <w:autoSpaceDE/>
              <w:autoSpaceDN/>
              <w:adjustRightInd/>
              <w:spacing w:line="240" w:lineRule="auto"/>
              <w:ind w:left="-250" w:right="-108" w:firstLine="0"/>
              <w:jc w:val="right"/>
              <w:textAlignment w:val="auto"/>
              <w:rPr>
                <w:rFonts w:eastAsia="Times New Roman"/>
                <w:color w:val="000000"/>
                <w:sz w:val="14"/>
                <w:szCs w:val="14"/>
              </w:rPr>
            </w:pPr>
            <w:r w:rsidRPr="00213A5D">
              <w:rPr>
                <w:rFonts w:eastAsia="Times New Roman"/>
                <w:color w:val="000000"/>
                <w:sz w:val="14"/>
                <w:szCs w:val="14"/>
              </w:rPr>
              <w:t>10 975,0</w:t>
            </w:r>
          </w:p>
        </w:tc>
        <w:tc>
          <w:tcPr>
            <w:tcW w:w="960" w:type="dxa"/>
            <w:shd w:val="clear" w:color="auto" w:fill="auto"/>
            <w:noWrap/>
            <w:vAlign w:val="center"/>
            <w:hideMark/>
          </w:tcPr>
          <w:p w14:paraId="33356ACC"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-1 843 005,2</w:t>
            </w:r>
          </w:p>
        </w:tc>
      </w:tr>
      <w:tr w:rsidR="00726E3F" w:rsidRPr="00213A5D" w14:paraId="2E7C4F30" w14:textId="77777777" w:rsidTr="009B114B">
        <w:trPr>
          <w:trHeight w:val="53"/>
        </w:trPr>
        <w:tc>
          <w:tcPr>
            <w:tcW w:w="2268" w:type="dxa"/>
            <w:shd w:val="clear" w:color="auto" w:fill="auto"/>
            <w:vAlign w:val="center"/>
            <w:hideMark/>
          </w:tcPr>
          <w:p w14:paraId="24DAA2A9"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из них:</w:t>
            </w:r>
          </w:p>
        </w:tc>
        <w:tc>
          <w:tcPr>
            <w:tcW w:w="993" w:type="dxa"/>
            <w:shd w:val="clear" w:color="auto" w:fill="auto"/>
            <w:noWrap/>
            <w:vAlign w:val="center"/>
            <w:hideMark/>
          </w:tcPr>
          <w:p w14:paraId="729EEF41"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0" w:type="dxa"/>
            <w:shd w:val="clear" w:color="auto" w:fill="auto"/>
            <w:noWrap/>
            <w:vAlign w:val="center"/>
            <w:hideMark/>
          </w:tcPr>
          <w:p w14:paraId="564D83DA"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76C82A1E"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7804BEA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0" w:type="dxa"/>
            <w:shd w:val="clear" w:color="auto" w:fill="auto"/>
            <w:noWrap/>
            <w:vAlign w:val="center"/>
            <w:hideMark/>
          </w:tcPr>
          <w:p w14:paraId="6911F888"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717875B6" w14:textId="77777777" w:rsidR="00726E3F" w:rsidRPr="00213A5D" w:rsidRDefault="00726E3F"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3548AE12"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404AB232"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1" w:type="dxa"/>
            <w:shd w:val="clear" w:color="auto" w:fill="auto"/>
            <w:noWrap/>
            <w:vAlign w:val="center"/>
            <w:hideMark/>
          </w:tcPr>
          <w:p w14:paraId="0CA2F0D9"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61FE6FA6" w14:textId="77777777" w:rsidR="00726E3F" w:rsidRPr="00213A5D" w:rsidRDefault="00726E3F" w:rsidP="00A26632">
            <w:pPr>
              <w:widowControl w:val="0"/>
              <w:overflowPunct/>
              <w:autoSpaceDE/>
              <w:autoSpaceDN/>
              <w:adjustRightInd/>
              <w:spacing w:line="240" w:lineRule="auto"/>
              <w:ind w:left="-25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960" w:type="dxa"/>
            <w:shd w:val="clear" w:color="auto" w:fill="auto"/>
            <w:noWrap/>
            <w:vAlign w:val="center"/>
            <w:hideMark/>
          </w:tcPr>
          <w:p w14:paraId="790E23B2"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r>
      <w:tr w:rsidR="00726E3F" w:rsidRPr="00213A5D" w14:paraId="7E5054F3" w14:textId="77777777" w:rsidTr="009B114B">
        <w:trPr>
          <w:trHeight w:val="53"/>
        </w:trPr>
        <w:tc>
          <w:tcPr>
            <w:tcW w:w="2268" w:type="dxa"/>
            <w:shd w:val="clear" w:color="auto" w:fill="auto"/>
            <w:vAlign w:val="center"/>
            <w:hideMark/>
          </w:tcPr>
          <w:p w14:paraId="71F6B116"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Акцизы на табачную продукцию, производимую на территории Российской Федерации</w:t>
            </w:r>
          </w:p>
        </w:tc>
        <w:tc>
          <w:tcPr>
            <w:tcW w:w="993" w:type="dxa"/>
            <w:shd w:val="clear" w:color="auto" w:fill="auto"/>
            <w:noWrap/>
            <w:vAlign w:val="center"/>
            <w:hideMark/>
          </w:tcPr>
          <w:p w14:paraId="1FF4923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686 470,5</w:t>
            </w:r>
          </w:p>
        </w:tc>
        <w:tc>
          <w:tcPr>
            <w:tcW w:w="850" w:type="dxa"/>
            <w:shd w:val="clear" w:color="auto" w:fill="auto"/>
            <w:noWrap/>
            <w:vAlign w:val="center"/>
            <w:hideMark/>
          </w:tcPr>
          <w:p w14:paraId="049A9104"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511 216,1</w:t>
            </w:r>
          </w:p>
        </w:tc>
        <w:tc>
          <w:tcPr>
            <w:tcW w:w="709" w:type="dxa"/>
            <w:shd w:val="clear" w:color="auto" w:fill="auto"/>
            <w:noWrap/>
            <w:vAlign w:val="center"/>
            <w:hideMark/>
          </w:tcPr>
          <w:p w14:paraId="38BA070B"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-3 016,5</w:t>
            </w:r>
          </w:p>
        </w:tc>
        <w:tc>
          <w:tcPr>
            <w:tcW w:w="567" w:type="dxa"/>
            <w:shd w:val="clear" w:color="auto" w:fill="auto"/>
            <w:noWrap/>
            <w:vAlign w:val="center"/>
            <w:hideMark/>
          </w:tcPr>
          <w:p w14:paraId="53ACFA8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0,4</w:t>
            </w:r>
          </w:p>
        </w:tc>
        <w:tc>
          <w:tcPr>
            <w:tcW w:w="850" w:type="dxa"/>
            <w:shd w:val="clear" w:color="auto" w:fill="auto"/>
            <w:noWrap/>
            <w:vAlign w:val="center"/>
            <w:hideMark/>
          </w:tcPr>
          <w:p w14:paraId="2E12E19C"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483 628,1</w:t>
            </w:r>
          </w:p>
        </w:tc>
        <w:tc>
          <w:tcPr>
            <w:tcW w:w="567" w:type="dxa"/>
            <w:shd w:val="clear" w:color="auto" w:fill="auto"/>
            <w:noWrap/>
            <w:vAlign w:val="center"/>
            <w:hideMark/>
          </w:tcPr>
          <w:p w14:paraId="2565E0BC"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-26,0</w:t>
            </w:r>
          </w:p>
        </w:tc>
        <w:tc>
          <w:tcPr>
            <w:tcW w:w="567" w:type="dxa"/>
            <w:shd w:val="clear" w:color="auto" w:fill="auto"/>
            <w:noWrap/>
            <w:vAlign w:val="center"/>
            <w:hideMark/>
          </w:tcPr>
          <w:p w14:paraId="506B559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0,3</w:t>
            </w:r>
          </w:p>
        </w:tc>
        <w:tc>
          <w:tcPr>
            <w:tcW w:w="567" w:type="dxa"/>
            <w:shd w:val="clear" w:color="auto" w:fill="auto"/>
            <w:noWrap/>
            <w:vAlign w:val="center"/>
            <w:hideMark/>
          </w:tcPr>
          <w:p w14:paraId="40BEDAF8"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70,5</w:t>
            </w:r>
          </w:p>
        </w:tc>
        <w:tc>
          <w:tcPr>
            <w:tcW w:w="851" w:type="dxa"/>
            <w:shd w:val="clear" w:color="auto" w:fill="auto"/>
            <w:noWrap/>
            <w:vAlign w:val="center"/>
            <w:hideMark/>
          </w:tcPr>
          <w:p w14:paraId="74E32B84"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-202 842,3</w:t>
            </w:r>
          </w:p>
        </w:tc>
        <w:tc>
          <w:tcPr>
            <w:tcW w:w="567" w:type="dxa"/>
            <w:shd w:val="clear" w:color="auto" w:fill="auto"/>
            <w:noWrap/>
            <w:vAlign w:val="center"/>
            <w:hideMark/>
          </w:tcPr>
          <w:p w14:paraId="4A095579" w14:textId="77777777" w:rsidR="00726E3F" w:rsidRPr="00213A5D" w:rsidRDefault="00726E3F" w:rsidP="00A26632">
            <w:pPr>
              <w:widowControl w:val="0"/>
              <w:overflowPunct/>
              <w:autoSpaceDE/>
              <w:autoSpaceDN/>
              <w:adjustRightInd/>
              <w:spacing w:line="240" w:lineRule="auto"/>
              <w:ind w:left="-250" w:right="0" w:firstLine="0"/>
              <w:jc w:val="right"/>
              <w:textAlignment w:val="auto"/>
              <w:rPr>
                <w:rFonts w:eastAsia="Times New Roman"/>
                <w:color w:val="000000"/>
                <w:sz w:val="14"/>
                <w:szCs w:val="14"/>
              </w:rPr>
            </w:pPr>
            <w:r w:rsidRPr="00213A5D">
              <w:rPr>
                <w:rFonts w:eastAsia="Times New Roman"/>
                <w:color w:val="000000"/>
                <w:sz w:val="14"/>
                <w:szCs w:val="14"/>
              </w:rPr>
              <w:t>94,6</w:t>
            </w:r>
          </w:p>
        </w:tc>
        <w:tc>
          <w:tcPr>
            <w:tcW w:w="960" w:type="dxa"/>
            <w:shd w:val="clear" w:color="auto" w:fill="auto"/>
            <w:noWrap/>
            <w:vAlign w:val="center"/>
            <w:hideMark/>
          </w:tcPr>
          <w:p w14:paraId="6320D9CC"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-27 588,0</w:t>
            </w:r>
          </w:p>
        </w:tc>
      </w:tr>
      <w:tr w:rsidR="00726E3F" w:rsidRPr="00213A5D" w14:paraId="01FED574" w14:textId="77777777" w:rsidTr="009B114B">
        <w:trPr>
          <w:trHeight w:val="53"/>
        </w:trPr>
        <w:tc>
          <w:tcPr>
            <w:tcW w:w="2268" w:type="dxa"/>
            <w:shd w:val="clear" w:color="auto" w:fill="auto"/>
            <w:vAlign w:val="center"/>
            <w:hideMark/>
          </w:tcPr>
          <w:p w14:paraId="6AD7F96B"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Акциз на нефтяное сырье, направленное на переработку**</w:t>
            </w:r>
          </w:p>
        </w:tc>
        <w:tc>
          <w:tcPr>
            <w:tcW w:w="993" w:type="dxa"/>
            <w:shd w:val="clear" w:color="auto" w:fill="auto"/>
            <w:noWrap/>
            <w:vAlign w:val="center"/>
            <w:hideMark/>
          </w:tcPr>
          <w:p w14:paraId="7A88638C"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-940 085,6</w:t>
            </w:r>
          </w:p>
        </w:tc>
        <w:tc>
          <w:tcPr>
            <w:tcW w:w="850" w:type="dxa"/>
            <w:shd w:val="clear" w:color="auto" w:fill="auto"/>
            <w:noWrap/>
            <w:vAlign w:val="center"/>
            <w:hideMark/>
          </w:tcPr>
          <w:p w14:paraId="5D5FDE6E"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-782 421,5</w:t>
            </w:r>
          </w:p>
        </w:tc>
        <w:tc>
          <w:tcPr>
            <w:tcW w:w="709" w:type="dxa"/>
            <w:shd w:val="clear" w:color="auto" w:fill="auto"/>
            <w:noWrap/>
            <w:vAlign w:val="center"/>
            <w:hideMark/>
          </w:tcPr>
          <w:p w14:paraId="41E50371"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09C1EBF5"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-0,6</w:t>
            </w:r>
          </w:p>
        </w:tc>
        <w:tc>
          <w:tcPr>
            <w:tcW w:w="850" w:type="dxa"/>
            <w:shd w:val="clear" w:color="auto" w:fill="auto"/>
            <w:noWrap/>
            <w:vAlign w:val="center"/>
            <w:hideMark/>
          </w:tcPr>
          <w:p w14:paraId="6F85CAAD"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-2 716 594,1</w:t>
            </w:r>
          </w:p>
        </w:tc>
        <w:tc>
          <w:tcPr>
            <w:tcW w:w="567" w:type="dxa"/>
            <w:shd w:val="clear" w:color="auto" w:fill="auto"/>
            <w:noWrap/>
            <w:vAlign w:val="center"/>
            <w:hideMark/>
          </w:tcPr>
          <w:p w14:paraId="7ABD4348"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49CB2BD9"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-1,9</w:t>
            </w:r>
          </w:p>
        </w:tc>
        <w:tc>
          <w:tcPr>
            <w:tcW w:w="567" w:type="dxa"/>
            <w:shd w:val="clear" w:color="auto" w:fill="auto"/>
            <w:noWrap/>
            <w:vAlign w:val="center"/>
            <w:hideMark/>
          </w:tcPr>
          <w:p w14:paraId="125E0611"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289,0</w:t>
            </w:r>
          </w:p>
        </w:tc>
        <w:tc>
          <w:tcPr>
            <w:tcW w:w="851" w:type="dxa"/>
            <w:shd w:val="clear" w:color="auto" w:fill="auto"/>
            <w:noWrap/>
            <w:vAlign w:val="center"/>
            <w:hideMark/>
          </w:tcPr>
          <w:p w14:paraId="3C1B72AC"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-1 776 508,4</w:t>
            </w:r>
          </w:p>
        </w:tc>
        <w:tc>
          <w:tcPr>
            <w:tcW w:w="567" w:type="dxa"/>
            <w:shd w:val="clear" w:color="auto" w:fill="auto"/>
            <w:noWrap/>
            <w:vAlign w:val="center"/>
            <w:hideMark/>
          </w:tcPr>
          <w:p w14:paraId="040B08AE" w14:textId="77777777" w:rsidR="00726E3F" w:rsidRPr="00213A5D" w:rsidRDefault="00726E3F" w:rsidP="00A26632">
            <w:pPr>
              <w:widowControl w:val="0"/>
              <w:overflowPunct/>
              <w:autoSpaceDE/>
              <w:autoSpaceDN/>
              <w:adjustRightInd/>
              <w:spacing w:line="240" w:lineRule="auto"/>
              <w:ind w:left="-250" w:right="0" w:firstLine="0"/>
              <w:jc w:val="right"/>
              <w:textAlignment w:val="auto"/>
              <w:rPr>
                <w:rFonts w:eastAsia="Times New Roman"/>
                <w:color w:val="000000"/>
                <w:sz w:val="14"/>
                <w:szCs w:val="14"/>
              </w:rPr>
            </w:pPr>
            <w:r w:rsidRPr="00213A5D">
              <w:rPr>
                <w:rFonts w:eastAsia="Times New Roman"/>
                <w:color w:val="000000"/>
                <w:sz w:val="14"/>
                <w:szCs w:val="14"/>
              </w:rPr>
              <w:t>347,2</w:t>
            </w:r>
          </w:p>
        </w:tc>
        <w:tc>
          <w:tcPr>
            <w:tcW w:w="960" w:type="dxa"/>
            <w:shd w:val="clear" w:color="auto" w:fill="auto"/>
            <w:noWrap/>
            <w:vAlign w:val="center"/>
            <w:hideMark/>
          </w:tcPr>
          <w:p w14:paraId="3658A6AC"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-1 934 172,6</w:t>
            </w:r>
          </w:p>
        </w:tc>
      </w:tr>
      <w:tr w:rsidR="00726E3F" w:rsidRPr="00213A5D" w14:paraId="026631D7" w14:textId="77777777" w:rsidTr="009B114B">
        <w:trPr>
          <w:trHeight w:val="53"/>
        </w:trPr>
        <w:tc>
          <w:tcPr>
            <w:tcW w:w="2268" w:type="dxa"/>
            <w:shd w:val="clear" w:color="auto" w:fill="auto"/>
            <w:vAlign w:val="center"/>
            <w:hideMark/>
          </w:tcPr>
          <w:p w14:paraId="284F62C3"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Налог на добавленную стоимость на товары, ввозимые на территорию Российской Федерации</w:t>
            </w:r>
          </w:p>
        </w:tc>
        <w:tc>
          <w:tcPr>
            <w:tcW w:w="993" w:type="dxa"/>
            <w:shd w:val="clear" w:color="auto" w:fill="auto"/>
            <w:noWrap/>
            <w:vAlign w:val="center"/>
            <w:hideMark/>
          </w:tcPr>
          <w:p w14:paraId="088C9F59"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3 673 242,4</w:t>
            </w:r>
          </w:p>
        </w:tc>
        <w:tc>
          <w:tcPr>
            <w:tcW w:w="850" w:type="dxa"/>
            <w:shd w:val="clear" w:color="auto" w:fill="auto"/>
            <w:noWrap/>
            <w:vAlign w:val="center"/>
            <w:hideMark/>
          </w:tcPr>
          <w:p w14:paraId="15C9CEE9"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2 686 576,5</w:t>
            </w:r>
          </w:p>
        </w:tc>
        <w:tc>
          <w:tcPr>
            <w:tcW w:w="709" w:type="dxa"/>
            <w:shd w:val="clear" w:color="auto" w:fill="auto"/>
            <w:noWrap/>
            <w:vAlign w:val="center"/>
            <w:hideMark/>
          </w:tcPr>
          <w:p w14:paraId="7A136F3F"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19,6</w:t>
            </w:r>
          </w:p>
        </w:tc>
        <w:tc>
          <w:tcPr>
            <w:tcW w:w="567" w:type="dxa"/>
            <w:shd w:val="clear" w:color="auto" w:fill="auto"/>
            <w:noWrap/>
            <w:vAlign w:val="center"/>
            <w:hideMark/>
          </w:tcPr>
          <w:p w14:paraId="569FC357"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2,1</w:t>
            </w:r>
          </w:p>
        </w:tc>
        <w:tc>
          <w:tcPr>
            <w:tcW w:w="850" w:type="dxa"/>
            <w:shd w:val="clear" w:color="auto" w:fill="auto"/>
            <w:noWrap/>
            <w:vAlign w:val="center"/>
            <w:hideMark/>
          </w:tcPr>
          <w:p w14:paraId="4A15B965"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2 220 986,2</w:t>
            </w:r>
          </w:p>
        </w:tc>
        <w:tc>
          <w:tcPr>
            <w:tcW w:w="567" w:type="dxa"/>
            <w:shd w:val="clear" w:color="auto" w:fill="auto"/>
            <w:noWrap/>
            <w:vAlign w:val="center"/>
            <w:hideMark/>
          </w:tcPr>
          <w:p w14:paraId="3E763AE6"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14,1</w:t>
            </w:r>
          </w:p>
        </w:tc>
        <w:tc>
          <w:tcPr>
            <w:tcW w:w="567" w:type="dxa"/>
            <w:shd w:val="clear" w:color="auto" w:fill="auto"/>
            <w:noWrap/>
            <w:vAlign w:val="center"/>
            <w:hideMark/>
          </w:tcPr>
          <w:p w14:paraId="58BE4FE9"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1,5</w:t>
            </w:r>
          </w:p>
        </w:tc>
        <w:tc>
          <w:tcPr>
            <w:tcW w:w="567" w:type="dxa"/>
            <w:shd w:val="clear" w:color="auto" w:fill="auto"/>
            <w:noWrap/>
            <w:vAlign w:val="center"/>
            <w:hideMark/>
          </w:tcPr>
          <w:p w14:paraId="180C8CFE"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60,5</w:t>
            </w:r>
          </w:p>
        </w:tc>
        <w:tc>
          <w:tcPr>
            <w:tcW w:w="851" w:type="dxa"/>
            <w:shd w:val="clear" w:color="auto" w:fill="auto"/>
            <w:noWrap/>
            <w:vAlign w:val="center"/>
            <w:hideMark/>
          </w:tcPr>
          <w:p w14:paraId="34899C9A"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-1 452 256,2</w:t>
            </w:r>
          </w:p>
        </w:tc>
        <w:tc>
          <w:tcPr>
            <w:tcW w:w="567" w:type="dxa"/>
            <w:shd w:val="clear" w:color="auto" w:fill="auto"/>
            <w:noWrap/>
            <w:vAlign w:val="center"/>
            <w:hideMark/>
          </w:tcPr>
          <w:p w14:paraId="1E499FDB" w14:textId="77777777" w:rsidR="00726E3F" w:rsidRPr="00213A5D" w:rsidRDefault="00726E3F" w:rsidP="00A26632">
            <w:pPr>
              <w:widowControl w:val="0"/>
              <w:overflowPunct/>
              <w:autoSpaceDE/>
              <w:autoSpaceDN/>
              <w:adjustRightInd/>
              <w:spacing w:line="240" w:lineRule="auto"/>
              <w:ind w:left="-250" w:right="0" w:firstLine="0"/>
              <w:jc w:val="right"/>
              <w:textAlignment w:val="auto"/>
              <w:rPr>
                <w:rFonts w:eastAsia="Times New Roman"/>
                <w:color w:val="000000"/>
                <w:sz w:val="14"/>
                <w:szCs w:val="14"/>
              </w:rPr>
            </w:pPr>
            <w:r w:rsidRPr="00213A5D">
              <w:rPr>
                <w:rFonts w:eastAsia="Times New Roman"/>
                <w:color w:val="000000"/>
                <w:sz w:val="14"/>
                <w:szCs w:val="14"/>
              </w:rPr>
              <w:t>82,7</w:t>
            </w:r>
          </w:p>
        </w:tc>
        <w:tc>
          <w:tcPr>
            <w:tcW w:w="960" w:type="dxa"/>
            <w:shd w:val="clear" w:color="auto" w:fill="auto"/>
            <w:noWrap/>
            <w:vAlign w:val="center"/>
            <w:hideMark/>
          </w:tcPr>
          <w:p w14:paraId="09865B38"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-465 590,3</w:t>
            </w:r>
          </w:p>
        </w:tc>
      </w:tr>
      <w:tr w:rsidR="00726E3F" w:rsidRPr="00213A5D" w14:paraId="052F0E58" w14:textId="77777777" w:rsidTr="009B114B">
        <w:trPr>
          <w:trHeight w:val="53"/>
        </w:trPr>
        <w:tc>
          <w:tcPr>
            <w:tcW w:w="2268" w:type="dxa"/>
            <w:shd w:val="clear" w:color="auto" w:fill="auto"/>
          </w:tcPr>
          <w:p w14:paraId="2592A4F4"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Акцизы по подакцизным товарам (продукции), ввозимым на территорию Российской Федерации</w:t>
            </w:r>
          </w:p>
        </w:tc>
        <w:tc>
          <w:tcPr>
            <w:tcW w:w="993" w:type="dxa"/>
            <w:shd w:val="clear" w:color="auto" w:fill="auto"/>
            <w:noWrap/>
          </w:tcPr>
          <w:p w14:paraId="05CEDFB1"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140 265,2</w:t>
            </w:r>
          </w:p>
        </w:tc>
        <w:tc>
          <w:tcPr>
            <w:tcW w:w="850" w:type="dxa"/>
            <w:shd w:val="clear" w:color="auto" w:fill="auto"/>
            <w:noWrap/>
          </w:tcPr>
          <w:p w14:paraId="6C683282"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95 201,4</w:t>
            </w:r>
          </w:p>
        </w:tc>
        <w:tc>
          <w:tcPr>
            <w:tcW w:w="709" w:type="dxa"/>
            <w:shd w:val="clear" w:color="auto" w:fill="auto"/>
            <w:noWrap/>
          </w:tcPr>
          <w:p w14:paraId="7466A1AE"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0,7</w:t>
            </w:r>
          </w:p>
        </w:tc>
        <w:tc>
          <w:tcPr>
            <w:tcW w:w="567" w:type="dxa"/>
            <w:shd w:val="clear" w:color="auto" w:fill="auto"/>
            <w:noWrap/>
          </w:tcPr>
          <w:p w14:paraId="2055852D"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850" w:type="dxa"/>
            <w:shd w:val="clear" w:color="auto" w:fill="auto"/>
            <w:noWrap/>
          </w:tcPr>
          <w:p w14:paraId="0BE2D7A8"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67 541,1</w:t>
            </w:r>
          </w:p>
        </w:tc>
        <w:tc>
          <w:tcPr>
            <w:tcW w:w="567" w:type="dxa"/>
            <w:shd w:val="clear" w:color="auto" w:fill="auto"/>
            <w:noWrap/>
          </w:tcPr>
          <w:p w14:paraId="1878066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0,4</w:t>
            </w:r>
          </w:p>
        </w:tc>
        <w:tc>
          <w:tcPr>
            <w:tcW w:w="567" w:type="dxa"/>
            <w:shd w:val="clear" w:color="auto" w:fill="auto"/>
            <w:noWrap/>
          </w:tcPr>
          <w:p w14:paraId="4F994925"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w:t>
            </w:r>
          </w:p>
        </w:tc>
        <w:tc>
          <w:tcPr>
            <w:tcW w:w="567" w:type="dxa"/>
            <w:shd w:val="clear" w:color="auto" w:fill="auto"/>
            <w:noWrap/>
          </w:tcPr>
          <w:p w14:paraId="4697FA17"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48,2</w:t>
            </w:r>
          </w:p>
        </w:tc>
        <w:tc>
          <w:tcPr>
            <w:tcW w:w="851" w:type="dxa"/>
            <w:shd w:val="clear" w:color="auto" w:fill="auto"/>
            <w:noWrap/>
          </w:tcPr>
          <w:p w14:paraId="4F62228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-72 724,1</w:t>
            </w:r>
          </w:p>
        </w:tc>
        <w:tc>
          <w:tcPr>
            <w:tcW w:w="567" w:type="dxa"/>
            <w:shd w:val="clear" w:color="auto" w:fill="auto"/>
            <w:noWrap/>
          </w:tcPr>
          <w:p w14:paraId="02D3EE57" w14:textId="77777777" w:rsidR="00726E3F" w:rsidRPr="00213A5D" w:rsidRDefault="00726E3F" w:rsidP="00A26632">
            <w:pPr>
              <w:widowControl w:val="0"/>
              <w:overflowPunct/>
              <w:autoSpaceDE/>
              <w:autoSpaceDN/>
              <w:adjustRightInd/>
              <w:spacing w:line="240" w:lineRule="auto"/>
              <w:ind w:left="-250" w:right="0" w:firstLine="0"/>
              <w:jc w:val="right"/>
              <w:textAlignment w:val="auto"/>
              <w:rPr>
                <w:rFonts w:eastAsia="Times New Roman"/>
                <w:color w:val="000000"/>
                <w:sz w:val="14"/>
                <w:szCs w:val="14"/>
              </w:rPr>
            </w:pPr>
            <w:r w:rsidRPr="00213A5D">
              <w:rPr>
                <w:rFonts w:eastAsia="Times New Roman"/>
                <w:color w:val="000000"/>
                <w:sz w:val="14"/>
                <w:szCs w:val="14"/>
              </w:rPr>
              <w:t>70,9</w:t>
            </w:r>
          </w:p>
        </w:tc>
        <w:tc>
          <w:tcPr>
            <w:tcW w:w="960" w:type="dxa"/>
            <w:shd w:val="clear" w:color="auto" w:fill="auto"/>
            <w:noWrap/>
          </w:tcPr>
          <w:p w14:paraId="176B29C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-27 660,2</w:t>
            </w:r>
          </w:p>
        </w:tc>
      </w:tr>
      <w:tr w:rsidR="00726E3F" w:rsidRPr="00213A5D" w14:paraId="2136BB37" w14:textId="77777777" w:rsidTr="009B114B">
        <w:trPr>
          <w:trHeight w:val="53"/>
        </w:trPr>
        <w:tc>
          <w:tcPr>
            <w:tcW w:w="2268" w:type="dxa"/>
            <w:shd w:val="clear" w:color="auto" w:fill="auto"/>
          </w:tcPr>
          <w:p w14:paraId="7945F5EB"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из них:</w:t>
            </w:r>
          </w:p>
        </w:tc>
        <w:tc>
          <w:tcPr>
            <w:tcW w:w="993" w:type="dxa"/>
            <w:shd w:val="clear" w:color="auto" w:fill="auto"/>
            <w:noWrap/>
          </w:tcPr>
          <w:p w14:paraId="0BF8422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850" w:type="dxa"/>
            <w:shd w:val="clear" w:color="auto" w:fill="auto"/>
            <w:noWrap/>
          </w:tcPr>
          <w:p w14:paraId="4E0F2098"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709" w:type="dxa"/>
            <w:shd w:val="clear" w:color="auto" w:fill="auto"/>
            <w:noWrap/>
          </w:tcPr>
          <w:p w14:paraId="3562512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567" w:type="dxa"/>
            <w:shd w:val="clear" w:color="auto" w:fill="auto"/>
            <w:noWrap/>
          </w:tcPr>
          <w:p w14:paraId="17D0B252"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850" w:type="dxa"/>
            <w:shd w:val="clear" w:color="auto" w:fill="auto"/>
            <w:noWrap/>
          </w:tcPr>
          <w:p w14:paraId="3C55A325"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p>
        </w:tc>
        <w:tc>
          <w:tcPr>
            <w:tcW w:w="567" w:type="dxa"/>
            <w:shd w:val="clear" w:color="auto" w:fill="auto"/>
            <w:noWrap/>
          </w:tcPr>
          <w:p w14:paraId="3C60947D"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567" w:type="dxa"/>
            <w:shd w:val="clear" w:color="auto" w:fill="auto"/>
            <w:noWrap/>
          </w:tcPr>
          <w:p w14:paraId="602D5547"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567" w:type="dxa"/>
            <w:shd w:val="clear" w:color="auto" w:fill="auto"/>
            <w:noWrap/>
          </w:tcPr>
          <w:p w14:paraId="462D64C7"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851" w:type="dxa"/>
            <w:shd w:val="clear" w:color="auto" w:fill="auto"/>
            <w:noWrap/>
          </w:tcPr>
          <w:p w14:paraId="567FF3E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567" w:type="dxa"/>
            <w:shd w:val="clear" w:color="auto" w:fill="auto"/>
            <w:noWrap/>
          </w:tcPr>
          <w:p w14:paraId="05BD5F1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c>
          <w:tcPr>
            <w:tcW w:w="960" w:type="dxa"/>
            <w:shd w:val="clear" w:color="auto" w:fill="auto"/>
            <w:noWrap/>
          </w:tcPr>
          <w:p w14:paraId="4CF65564"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p>
        </w:tc>
      </w:tr>
      <w:tr w:rsidR="00726E3F" w:rsidRPr="00213A5D" w14:paraId="43A13758" w14:textId="77777777" w:rsidTr="009B114B">
        <w:trPr>
          <w:trHeight w:val="53"/>
        </w:trPr>
        <w:tc>
          <w:tcPr>
            <w:tcW w:w="2268" w:type="dxa"/>
            <w:shd w:val="clear" w:color="auto" w:fill="auto"/>
          </w:tcPr>
          <w:p w14:paraId="4BB8F74F"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Акцизы на автомобили легковые  и мотоциклы, ввозимые на территорию Российской Федерации</w:t>
            </w:r>
          </w:p>
        </w:tc>
        <w:tc>
          <w:tcPr>
            <w:tcW w:w="993" w:type="dxa"/>
            <w:shd w:val="clear" w:color="auto" w:fill="auto"/>
            <w:noWrap/>
          </w:tcPr>
          <w:p w14:paraId="11F472BC"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47 180,3</w:t>
            </w:r>
          </w:p>
        </w:tc>
        <w:tc>
          <w:tcPr>
            <w:tcW w:w="850" w:type="dxa"/>
            <w:shd w:val="clear" w:color="auto" w:fill="auto"/>
            <w:noWrap/>
          </w:tcPr>
          <w:p w14:paraId="69E2526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27 382,8</w:t>
            </w:r>
          </w:p>
        </w:tc>
        <w:tc>
          <w:tcPr>
            <w:tcW w:w="709" w:type="dxa"/>
            <w:shd w:val="clear" w:color="auto" w:fill="auto"/>
            <w:noWrap/>
          </w:tcPr>
          <w:p w14:paraId="2A7F93B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0,2</w:t>
            </w:r>
          </w:p>
        </w:tc>
        <w:tc>
          <w:tcPr>
            <w:tcW w:w="567" w:type="dxa"/>
            <w:shd w:val="clear" w:color="auto" w:fill="auto"/>
            <w:noWrap/>
          </w:tcPr>
          <w:p w14:paraId="7B5338C2"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w:t>
            </w:r>
          </w:p>
        </w:tc>
        <w:tc>
          <w:tcPr>
            <w:tcW w:w="850" w:type="dxa"/>
            <w:shd w:val="clear" w:color="auto" w:fill="auto"/>
            <w:noWrap/>
          </w:tcPr>
          <w:p w14:paraId="42B563C9"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10 120,1</w:t>
            </w:r>
          </w:p>
        </w:tc>
        <w:tc>
          <w:tcPr>
            <w:tcW w:w="567" w:type="dxa"/>
            <w:shd w:val="clear" w:color="auto" w:fill="auto"/>
            <w:noWrap/>
          </w:tcPr>
          <w:p w14:paraId="43C1F2D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0,06</w:t>
            </w:r>
          </w:p>
        </w:tc>
        <w:tc>
          <w:tcPr>
            <w:tcW w:w="567" w:type="dxa"/>
            <w:shd w:val="clear" w:color="auto" w:fill="auto"/>
            <w:noWrap/>
          </w:tcPr>
          <w:p w14:paraId="028E976D"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0,007</w:t>
            </w:r>
          </w:p>
        </w:tc>
        <w:tc>
          <w:tcPr>
            <w:tcW w:w="567" w:type="dxa"/>
            <w:shd w:val="clear" w:color="auto" w:fill="auto"/>
            <w:noWrap/>
          </w:tcPr>
          <w:p w14:paraId="3353D83C"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21,4</w:t>
            </w:r>
          </w:p>
        </w:tc>
        <w:tc>
          <w:tcPr>
            <w:tcW w:w="851" w:type="dxa"/>
            <w:shd w:val="clear" w:color="auto" w:fill="auto"/>
            <w:noWrap/>
          </w:tcPr>
          <w:p w14:paraId="329B530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-37 060,2</w:t>
            </w:r>
          </w:p>
        </w:tc>
        <w:tc>
          <w:tcPr>
            <w:tcW w:w="567" w:type="dxa"/>
            <w:shd w:val="clear" w:color="auto" w:fill="auto"/>
            <w:noWrap/>
          </w:tcPr>
          <w:p w14:paraId="0BCC631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37,0</w:t>
            </w:r>
          </w:p>
        </w:tc>
        <w:tc>
          <w:tcPr>
            <w:tcW w:w="960" w:type="dxa"/>
            <w:shd w:val="clear" w:color="auto" w:fill="auto"/>
            <w:noWrap/>
          </w:tcPr>
          <w:p w14:paraId="3B01803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-17 262,7</w:t>
            </w:r>
          </w:p>
        </w:tc>
      </w:tr>
      <w:tr w:rsidR="00726E3F" w:rsidRPr="00213A5D" w14:paraId="486A7FFA" w14:textId="77777777" w:rsidTr="009B114B">
        <w:trPr>
          <w:trHeight w:val="53"/>
        </w:trPr>
        <w:tc>
          <w:tcPr>
            <w:tcW w:w="2268" w:type="dxa"/>
            <w:shd w:val="clear" w:color="auto" w:fill="auto"/>
          </w:tcPr>
          <w:p w14:paraId="1AD4F1A1"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Акцизы на вина, фруктовые вина, игристые вина (шампанские),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ввозимые на территорию Российской Федерации</w:t>
            </w:r>
          </w:p>
        </w:tc>
        <w:tc>
          <w:tcPr>
            <w:tcW w:w="993" w:type="dxa"/>
            <w:shd w:val="clear" w:color="auto" w:fill="auto"/>
            <w:noWrap/>
          </w:tcPr>
          <w:p w14:paraId="76466BF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34 885,2</w:t>
            </w:r>
          </w:p>
        </w:tc>
        <w:tc>
          <w:tcPr>
            <w:tcW w:w="850" w:type="dxa"/>
            <w:shd w:val="clear" w:color="auto" w:fill="auto"/>
            <w:noWrap/>
          </w:tcPr>
          <w:p w14:paraId="06A94265"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24 494,5</w:t>
            </w:r>
          </w:p>
        </w:tc>
        <w:tc>
          <w:tcPr>
            <w:tcW w:w="709" w:type="dxa"/>
            <w:shd w:val="clear" w:color="auto" w:fill="auto"/>
            <w:noWrap/>
          </w:tcPr>
          <w:p w14:paraId="2664D7D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0,2</w:t>
            </w:r>
          </w:p>
        </w:tc>
        <w:tc>
          <w:tcPr>
            <w:tcW w:w="567" w:type="dxa"/>
            <w:shd w:val="clear" w:color="auto" w:fill="auto"/>
            <w:noWrap/>
          </w:tcPr>
          <w:p w14:paraId="05B8061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0,02</w:t>
            </w:r>
          </w:p>
        </w:tc>
        <w:tc>
          <w:tcPr>
            <w:tcW w:w="850" w:type="dxa"/>
            <w:shd w:val="clear" w:color="auto" w:fill="auto"/>
            <w:noWrap/>
          </w:tcPr>
          <w:p w14:paraId="7FCEEE7B"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21 396,8</w:t>
            </w:r>
          </w:p>
        </w:tc>
        <w:tc>
          <w:tcPr>
            <w:tcW w:w="567" w:type="dxa"/>
            <w:shd w:val="clear" w:color="auto" w:fill="auto"/>
            <w:noWrap/>
          </w:tcPr>
          <w:p w14:paraId="409FD91F"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0,14</w:t>
            </w:r>
          </w:p>
        </w:tc>
        <w:tc>
          <w:tcPr>
            <w:tcW w:w="567" w:type="dxa"/>
            <w:shd w:val="clear" w:color="auto" w:fill="auto"/>
            <w:noWrap/>
          </w:tcPr>
          <w:p w14:paraId="4F595E97"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0,015</w:t>
            </w:r>
          </w:p>
        </w:tc>
        <w:tc>
          <w:tcPr>
            <w:tcW w:w="567" w:type="dxa"/>
            <w:shd w:val="clear" w:color="auto" w:fill="auto"/>
            <w:noWrap/>
          </w:tcPr>
          <w:p w14:paraId="328EA90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61,3</w:t>
            </w:r>
          </w:p>
        </w:tc>
        <w:tc>
          <w:tcPr>
            <w:tcW w:w="851" w:type="dxa"/>
            <w:shd w:val="clear" w:color="auto" w:fill="auto"/>
            <w:noWrap/>
          </w:tcPr>
          <w:p w14:paraId="25F6AFFC"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-13 488,4</w:t>
            </w:r>
          </w:p>
        </w:tc>
        <w:tc>
          <w:tcPr>
            <w:tcW w:w="567" w:type="dxa"/>
            <w:shd w:val="clear" w:color="auto" w:fill="auto"/>
            <w:noWrap/>
          </w:tcPr>
          <w:p w14:paraId="03CA0C8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87,4</w:t>
            </w:r>
          </w:p>
        </w:tc>
        <w:tc>
          <w:tcPr>
            <w:tcW w:w="960" w:type="dxa"/>
            <w:shd w:val="clear" w:color="auto" w:fill="auto"/>
            <w:noWrap/>
          </w:tcPr>
          <w:p w14:paraId="794E3595"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-3 097,7</w:t>
            </w:r>
          </w:p>
        </w:tc>
      </w:tr>
      <w:tr w:rsidR="00726E3F" w:rsidRPr="00213A5D" w14:paraId="1F27F2F0" w14:textId="77777777" w:rsidTr="009B114B">
        <w:trPr>
          <w:trHeight w:val="53"/>
        </w:trPr>
        <w:tc>
          <w:tcPr>
            <w:tcW w:w="2268" w:type="dxa"/>
            <w:shd w:val="clear" w:color="auto" w:fill="auto"/>
            <w:vAlign w:val="center"/>
            <w:hideMark/>
          </w:tcPr>
          <w:p w14:paraId="38BC748F"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Налоги, сборы и регулярные платежи за пользование природными ресурсами</w:t>
            </w:r>
          </w:p>
        </w:tc>
        <w:tc>
          <w:tcPr>
            <w:tcW w:w="993" w:type="dxa"/>
            <w:shd w:val="clear" w:color="auto" w:fill="auto"/>
            <w:noWrap/>
            <w:vAlign w:val="center"/>
            <w:hideMark/>
          </w:tcPr>
          <w:p w14:paraId="30D06A84"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9 048 740,1</w:t>
            </w:r>
          </w:p>
        </w:tc>
        <w:tc>
          <w:tcPr>
            <w:tcW w:w="850" w:type="dxa"/>
            <w:shd w:val="clear" w:color="auto" w:fill="auto"/>
            <w:noWrap/>
            <w:vAlign w:val="center"/>
            <w:hideMark/>
          </w:tcPr>
          <w:p w14:paraId="46931841"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5 687 262,1</w:t>
            </w:r>
          </w:p>
        </w:tc>
        <w:tc>
          <w:tcPr>
            <w:tcW w:w="709" w:type="dxa"/>
            <w:shd w:val="clear" w:color="auto" w:fill="auto"/>
            <w:noWrap/>
            <w:vAlign w:val="center"/>
            <w:hideMark/>
          </w:tcPr>
          <w:p w14:paraId="14164856"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41,5</w:t>
            </w:r>
          </w:p>
        </w:tc>
        <w:tc>
          <w:tcPr>
            <w:tcW w:w="567" w:type="dxa"/>
            <w:shd w:val="clear" w:color="auto" w:fill="auto"/>
            <w:noWrap/>
            <w:vAlign w:val="center"/>
            <w:hideMark/>
          </w:tcPr>
          <w:p w14:paraId="35E1D319"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4,3</w:t>
            </w:r>
          </w:p>
        </w:tc>
        <w:tc>
          <w:tcPr>
            <w:tcW w:w="850" w:type="dxa"/>
            <w:shd w:val="clear" w:color="auto" w:fill="auto"/>
            <w:noWrap/>
            <w:vAlign w:val="center"/>
            <w:hideMark/>
          </w:tcPr>
          <w:p w14:paraId="336C4757"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9 233 610,3</w:t>
            </w:r>
          </w:p>
        </w:tc>
        <w:tc>
          <w:tcPr>
            <w:tcW w:w="567" w:type="dxa"/>
            <w:shd w:val="clear" w:color="auto" w:fill="auto"/>
            <w:noWrap/>
            <w:vAlign w:val="center"/>
            <w:hideMark/>
          </w:tcPr>
          <w:p w14:paraId="5BF9A59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58,6</w:t>
            </w:r>
          </w:p>
        </w:tc>
        <w:tc>
          <w:tcPr>
            <w:tcW w:w="567" w:type="dxa"/>
            <w:shd w:val="clear" w:color="auto" w:fill="auto"/>
            <w:noWrap/>
            <w:vAlign w:val="center"/>
            <w:hideMark/>
          </w:tcPr>
          <w:p w14:paraId="1352EC59"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6,3</w:t>
            </w:r>
          </w:p>
        </w:tc>
        <w:tc>
          <w:tcPr>
            <w:tcW w:w="567" w:type="dxa"/>
            <w:shd w:val="clear" w:color="auto" w:fill="auto"/>
            <w:noWrap/>
            <w:vAlign w:val="center"/>
            <w:hideMark/>
          </w:tcPr>
          <w:p w14:paraId="6F41DF48" w14:textId="77777777" w:rsidR="00726E3F" w:rsidRPr="00213A5D" w:rsidRDefault="00726E3F" w:rsidP="00A2663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102</w:t>
            </w:r>
          </w:p>
        </w:tc>
        <w:tc>
          <w:tcPr>
            <w:tcW w:w="851" w:type="dxa"/>
            <w:shd w:val="clear" w:color="auto" w:fill="auto"/>
            <w:noWrap/>
            <w:vAlign w:val="center"/>
            <w:hideMark/>
          </w:tcPr>
          <w:p w14:paraId="4D1FBBE6"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184 870,2</w:t>
            </w:r>
          </w:p>
        </w:tc>
        <w:tc>
          <w:tcPr>
            <w:tcW w:w="567" w:type="dxa"/>
            <w:shd w:val="clear" w:color="auto" w:fill="auto"/>
            <w:noWrap/>
            <w:vAlign w:val="center"/>
            <w:hideMark/>
          </w:tcPr>
          <w:p w14:paraId="5578526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162,4</w:t>
            </w:r>
          </w:p>
        </w:tc>
        <w:tc>
          <w:tcPr>
            <w:tcW w:w="960" w:type="dxa"/>
            <w:shd w:val="clear" w:color="auto" w:fill="auto"/>
            <w:noWrap/>
            <w:vAlign w:val="center"/>
            <w:hideMark/>
          </w:tcPr>
          <w:p w14:paraId="03FD1554"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3 546 348,2</w:t>
            </w:r>
          </w:p>
        </w:tc>
      </w:tr>
      <w:tr w:rsidR="00726E3F" w:rsidRPr="00213A5D" w14:paraId="3710CA26" w14:textId="77777777" w:rsidTr="009B114B">
        <w:trPr>
          <w:trHeight w:val="53"/>
        </w:trPr>
        <w:tc>
          <w:tcPr>
            <w:tcW w:w="2268" w:type="dxa"/>
            <w:shd w:val="clear" w:color="auto" w:fill="auto"/>
            <w:vAlign w:val="center"/>
            <w:hideMark/>
          </w:tcPr>
          <w:p w14:paraId="5A9F963C"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из них:</w:t>
            </w:r>
          </w:p>
        </w:tc>
        <w:tc>
          <w:tcPr>
            <w:tcW w:w="993" w:type="dxa"/>
            <w:shd w:val="clear" w:color="auto" w:fill="auto"/>
            <w:noWrap/>
            <w:vAlign w:val="center"/>
            <w:hideMark/>
          </w:tcPr>
          <w:p w14:paraId="37536CB7"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0" w:type="dxa"/>
            <w:shd w:val="clear" w:color="auto" w:fill="auto"/>
            <w:noWrap/>
            <w:vAlign w:val="center"/>
            <w:hideMark/>
          </w:tcPr>
          <w:p w14:paraId="167E780F"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0CD0872F"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36DEBE3D"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0" w:type="dxa"/>
            <w:shd w:val="clear" w:color="auto" w:fill="auto"/>
            <w:noWrap/>
            <w:vAlign w:val="center"/>
            <w:hideMark/>
          </w:tcPr>
          <w:p w14:paraId="1A34EB6D"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7B387016"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3F3104BD"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568F8D2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1" w:type="dxa"/>
            <w:shd w:val="clear" w:color="auto" w:fill="auto"/>
            <w:noWrap/>
            <w:vAlign w:val="center"/>
            <w:hideMark/>
          </w:tcPr>
          <w:p w14:paraId="5C278189"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72A15994" w14:textId="77777777" w:rsidR="00726E3F" w:rsidRPr="00213A5D" w:rsidRDefault="00726E3F"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 </w:t>
            </w:r>
          </w:p>
        </w:tc>
        <w:tc>
          <w:tcPr>
            <w:tcW w:w="960" w:type="dxa"/>
            <w:shd w:val="clear" w:color="auto" w:fill="auto"/>
            <w:noWrap/>
            <w:vAlign w:val="center"/>
            <w:hideMark/>
          </w:tcPr>
          <w:p w14:paraId="32F689C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r>
      <w:tr w:rsidR="00726E3F" w:rsidRPr="00213A5D" w14:paraId="1149D7EB" w14:textId="77777777" w:rsidTr="009B114B">
        <w:trPr>
          <w:trHeight w:val="53"/>
        </w:trPr>
        <w:tc>
          <w:tcPr>
            <w:tcW w:w="2268" w:type="dxa"/>
            <w:shd w:val="clear" w:color="auto" w:fill="auto"/>
            <w:vAlign w:val="center"/>
            <w:hideMark/>
          </w:tcPr>
          <w:p w14:paraId="1A27DD63"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Налог на добычу полезных ископаемых</w:t>
            </w:r>
          </w:p>
        </w:tc>
        <w:tc>
          <w:tcPr>
            <w:tcW w:w="993" w:type="dxa"/>
            <w:shd w:val="clear" w:color="auto" w:fill="auto"/>
            <w:noWrap/>
            <w:vAlign w:val="center"/>
            <w:hideMark/>
          </w:tcPr>
          <w:p w14:paraId="0664E0AE"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7 957 336,4</w:t>
            </w:r>
          </w:p>
        </w:tc>
        <w:tc>
          <w:tcPr>
            <w:tcW w:w="850" w:type="dxa"/>
            <w:shd w:val="clear" w:color="auto" w:fill="auto"/>
            <w:noWrap/>
            <w:vAlign w:val="center"/>
            <w:hideMark/>
          </w:tcPr>
          <w:p w14:paraId="670C3226"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5 010 317,3</w:t>
            </w:r>
          </w:p>
        </w:tc>
        <w:tc>
          <w:tcPr>
            <w:tcW w:w="709" w:type="dxa"/>
            <w:shd w:val="clear" w:color="auto" w:fill="auto"/>
            <w:noWrap/>
            <w:vAlign w:val="center"/>
            <w:hideMark/>
          </w:tcPr>
          <w:p w14:paraId="59ECCBD2"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88,1</w:t>
            </w:r>
          </w:p>
        </w:tc>
        <w:tc>
          <w:tcPr>
            <w:tcW w:w="567" w:type="dxa"/>
            <w:shd w:val="clear" w:color="auto" w:fill="auto"/>
            <w:noWrap/>
            <w:vAlign w:val="center"/>
            <w:hideMark/>
          </w:tcPr>
          <w:p w14:paraId="6C542655"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3,8</w:t>
            </w:r>
          </w:p>
        </w:tc>
        <w:tc>
          <w:tcPr>
            <w:tcW w:w="850" w:type="dxa"/>
            <w:shd w:val="clear" w:color="auto" w:fill="auto"/>
            <w:noWrap/>
            <w:vAlign w:val="center"/>
            <w:hideMark/>
          </w:tcPr>
          <w:p w14:paraId="734F6C0F"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7 819 979,0</w:t>
            </w:r>
          </w:p>
        </w:tc>
        <w:tc>
          <w:tcPr>
            <w:tcW w:w="567" w:type="dxa"/>
            <w:shd w:val="clear" w:color="auto" w:fill="auto"/>
            <w:noWrap/>
            <w:vAlign w:val="center"/>
            <w:hideMark/>
          </w:tcPr>
          <w:p w14:paraId="48F16BE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84,7</w:t>
            </w:r>
          </w:p>
        </w:tc>
        <w:tc>
          <w:tcPr>
            <w:tcW w:w="567" w:type="dxa"/>
            <w:shd w:val="clear" w:color="auto" w:fill="auto"/>
            <w:noWrap/>
            <w:vAlign w:val="center"/>
            <w:hideMark/>
          </w:tcPr>
          <w:p w14:paraId="70C5E292"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5,4</w:t>
            </w:r>
          </w:p>
        </w:tc>
        <w:tc>
          <w:tcPr>
            <w:tcW w:w="567" w:type="dxa"/>
            <w:shd w:val="clear" w:color="auto" w:fill="auto"/>
            <w:noWrap/>
            <w:vAlign w:val="center"/>
            <w:hideMark/>
          </w:tcPr>
          <w:p w14:paraId="7291F0D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98,3</w:t>
            </w:r>
          </w:p>
        </w:tc>
        <w:tc>
          <w:tcPr>
            <w:tcW w:w="851" w:type="dxa"/>
            <w:shd w:val="clear" w:color="auto" w:fill="auto"/>
            <w:noWrap/>
            <w:vAlign w:val="center"/>
            <w:hideMark/>
          </w:tcPr>
          <w:p w14:paraId="63D0BD2B" w14:textId="77777777" w:rsidR="00726E3F" w:rsidRPr="00213A5D" w:rsidRDefault="00726E3F" w:rsidP="00A2663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-137 357,4</w:t>
            </w:r>
          </w:p>
        </w:tc>
        <w:tc>
          <w:tcPr>
            <w:tcW w:w="567" w:type="dxa"/>
            <w:shd w:val="clear" w:color="auto" w:fill="auto"/>
            <w:noWrap/>
            <w:vAlign w:val="center"/>
            <w:hideMark/>
          </w:tcPr>
          <w:p w14:paraId="59F617D3" w14:textId="77777777" w:rsidR="00726E3F" w:rsidRPr="00213A5D" w:rsidRDefault="00726E3F" w:rsidP="00A2663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156,1</w:t>
            </w:r>
          </w:p>
        </w:tc>
        <w:tc>
          <w:tcPr>
            <w:tcW w:w="960" w:type="dxa"/>
            <w:shd w:val="clear" w:color="auto" w:fill="auto"/>
            <w:noWrap/>
            <w:vAlign w:val="center"/>
            <w:hideMark/>
          </w:tcPr>
          <w:p w14:paraId="50FCE77F"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2 809 661,6</w:t>
            </w:r>
          </w:p>
        </w:tc>
      </w:tr>
      <w:tr w:rsidR="00726E3F" w:rsidRPr="00213A5D" w14:paraId="7126686D" w14:textId="77777777" w:rsidTr="009B114B">
        <w:trPr>
          <w:trHeight w:val="53"/>
        </w:trPr>
        <w:tc>
          <w:tcPr>
            <w:tcW w:w="2268" w:type="dxa"/>
            <w:shd w:val="clear" w:color="auto" w:fill="auto"/>
            <w:vAlign w:val="center"/>
            <w:hideMark/>
          </w:tcPr>
          <w:p w14:paraId="58ED119C"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из них:</w:t>
            </w:r>
          </w:p>
        </w:tc>
        <w:tc>
          <w:tcPr>
            <w:tcW w:w="993" w:type="dxa"/>
            <w:shd w:val="clear" w:color="auto" w:fill="auto"/>
            <w:noWrap/>
            <w:vAlign w:val="center"/>
            <w:hideMark/>
          </w:tcPr>
          <w:p w14:paraId="19C97334"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0" w:type="dxa"/>
            <w:shd w:val="clear" w:color="auto" w:fill="auto"/>
            <w:noWrap/>
            <w:vAlign w:val="center"/>
            <w:hideMark/>
          </w:tcPr>
          <w:p w14:paraId="60554A16"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430810AC"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277478C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0" w:type="dxa"/>
            <w:shd w:val="clear" w:color="auto" w:fill="auto"/>
            <w:noWrap/>
            <w:vAlign w:val="center"/>
            <w:hideMark/>
          </w:tcPr>
          <w:p w14:paraId="3A4AC336"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612FC2AF"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004CAC23"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18747829"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851" w:type="dxa"/>
            <w:shd w:val="clear" w:color="auto" w:fill="auto"/>
            <w:noWrap/>
            <w:vAlign w:val="center"/>
            <w:hideMark/>
          </w:tcPr>
          <w:p w14:paraId="47326E46" w14:textId="77777777" w:rsidR="00726E3F" w:rsidRPr="00213A5D" w:rsidRDefault="00726E3F" w:rsidP="00A2663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74BD502B" w14:textId="77777777" w:rsidR="00726E3F" w:rsidRPr="00213A5D" w:rsidRDefault="00726E3F" w:rsidP="00A2663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960" w:type="dxa"/>
            <w:shd w:val="clear" w:color="auto" w:fill="auto"/>
            <w:noWrap/>
            <w:vAlign w:val="center"/>
            <w:hideMark/>
          </w:tcPr>
          <w:p w14:paraId="1DB984BF"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r>
      <w:tr w:rsidR="00726E3F" w:rsidRPr="00213A5D" w14:paraId="585A30DB" w14:textId="77777777" w:rsidTr="009B114B">
        <w:trPr>
          <w:trHeight w:val="53"/>
        </w:trPr>
        <w:tc>
          <w:tcPr>
            <w:tcW w:w="2268" w:type="dxa"/>
            <w:shd w:val="clear" w:color="auto" w:fill="auto"/>
            <w:vAlign w:val="center"/>
            <w:hideMark/>
          </w:tcPr>
          <w:p w14:paraId="69812404" w14:textId="77777777" w:rsidR="00726E3F" w:rsidRPr="00213A5D" w:rsidRDefault="00726E3F" w:rsidP="00AF1852">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Нефть**</w:t>
            </w:r>
          </w:p>
        </w:tc>
        <w:tc>
          <w:tcPr>
            <w:tcW w:w="993" w:type="dxa"/>
            <w:shd w:val="clear" w:color="auto" w:fill="auto"/>
            <w:noWrap/>
            <w:vAlign w:val="center"/>
            <w:hideMark/>
          </w:tcPr>
          <w:p w14:paraId="1A4FA890"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6 897 718,7</w:t>
            </w:r>
          </w:p>
        </w:tc>
        <w:tc>
          <w:tcPr>
            <w:tcW w:w="850" w:type="dxa"/>
            <w:shd w:val="clear" w:color="auto" w:fill="auto"/>
            <w:noWrap/>
            <w:vAlign w:val="center"/>
            <w:hideMark/>
          </w:tcPr>
          <w:p w14:paraId="7D02607E" w14:textId="77777777" w:rsidR="00726E3F" w:rsidRPr="00213A5D" w:rsidRDefault="00726E3F" w:rsidP="00AF1852">
            <w:pPr>
              <w:widowControl w:val="0"/>
              <w:overflowPunct/>
              <w:autoSpaceDE/>
              <w:autoSpaceDN/>
              <w:adjustRightInd/>
              <w:spacing w:line="240" w:lineRule="auto"/>
              <w:ind w:left="-161" w:right="-25" w:firstLine="0"/>
              <w:jc w:val="right"/>
              <w:textAlignment w:val="auto"/>
              <w:rPr>
                <w:rFonts w:eastAsia="Times New Roman"/>
                <w:color w:val="000000"/>
                <w:sz w:val="14"/>
                <w:szCs w:val="14"/>
              </w:rPr>
            </w:pPr>
            <w:r w:rsidRPr="00213A5D">
              <w:rPr>
                <w:rFonts w:eastAsia="Times New Roman"/>
                <w:color w:val="000000"/>
                <w:sz w:val="14"/>
                <w:szCs w:val="14"/>
              </w:rPr>
              <w:t>4 337 538,3</w:t>
            </w:r>
          </w:p>
        </w:tc>
        <w:tc>
          <w:tcPr>
            <w:tcW w:w="709" w:type="dxa"/>
            <w:shd w:val="clear" w:color="auto" w:fill="auto"/>
            <w:noWrap/>
            <w:vAlign w:val="center"/>
            <w:hideMark/>
          </w:tcPr>
          <w:p w14:paraId="5F3CCD37" w14:textId="77777777" w:rsidR="00726E3F" w:rsidRPr="00213A5D" w:rsidRDefault="00726E3F"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86,6</w:t>
            </w:r>
          </w:p>
        </w:tc>
        <w:tc>
          <w:tcPr>
            <w:tcW w:w="567" w:type="dxa"/>
            <w:shd w:val="clear" w:color="auto" w:fill="auto"/>
            <w:noWrap/>
            <w:vAlign w:val="center"/>
            <w:hideMark/>
          </w:tcPr>
          <w:p w14:paraId="3A99922B"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3,3</w:t>
            </w:r>
          </w:p>
        </w:tc>
        <w:tc>
          <w:tcPr>
            <w:tcW w:w="850" w:type="dxa"/>
            <w:shd w:val="clear" w:color="auto" w:fill="auto"/>
            <w:noWrap/>
            <w:vAlign w:val="center"/>
            <w:hideMark/>
          </w:tcPr>
          <w:p w14:paraId="308957A2" w14:textId="77777777" w:rsidR="00726E3F" w:rsidRPr="00213A5D" w:rsidRDefault="00726E3F" w:rsidP="00A2663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6 880 431,6</w:t>
            </w:r>
          </w:p>
        </w:tc>
        <w:tc>
          <w:tcPr>
            <w:tcW w:w="567" w:type="dxa"/>
            <w:shd w:val="clear" w:color="auto" w:fill="auto"/>
            <w:noWrap/>
            <w:vAlign w:val="center"/>
            <w:hideMark/>
          </w:tcPr>
          <w:p w14:paraId="1FF3BDCA"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88,0</w:t>
            </w:r>
          </w:p>
        </w:tc>
        <w:tc>
          <w:tcPr>
            <w:tcW w:w="567" w:type="dxa"/>
            <w:shd w:val="clear" w:color="auto" w:fill="auto"/>
            <w:noWrap/>
            <w:vAlign w:val="center"/>
            <w:hideMark/>
          </w:tcPr>
          <w:p w14:paraId="64C4C359"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4,7</w:t>
            </w:r>
          </w:p>
        </w:tc>
        <w:tc>
          <w:tcPr>
            <w:tcW w:w="567" w:type="dxa"/>
            <w:shd w:val="clear" w:color="auto" w:fill="auto"/>
            <w:noWrap/>
            <w:vAlign w:val="center"/>
            <w:hideMark/>
          </w:tcPr>
          <w:p w14:paraId="6B872CC8"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99,7</w:t>
            </w:r>
          </w:p>
        </w:tc>
        <w:tc>
          <w:tcPr>
            <w:tcW w:w="851" w:type="dxa"/>
            <w:shd w:val="clear" w:color="auto" w:fill="auto"/>
            <w:noWrap/>
            <w:vAlign w:val="center"/>
            <w:hideMark/>
          </w:tcPr>
          <w:p w14:paraId="3BCDF3BC" w14:textId="77777777" w:rsidR="00726E3F" w:rsidRPr="00213A5D" w:rsidRDefault="00726E3F" w:rsidP="00A2663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-17 287,1</w:t>
            </w:r>
          </w:p>
        </w:tc>
        <w:tc>
          <w:tcPr>
            <w:tcW w:w="567" w:type="dxa"/>
            <w:shd w:val="clear" w:color="auto" w:fill="auto"/>
            <w:noWrap/>
            <w:vAlign w:val="center"/>
            <w:hideMark/>
          </w:tcPr>
          <w:p w14:paraId="670C4F88" w14:textId="77777777" w:rsidR="00726E3F" w:rsidRPr="00213A5D" w:rsidRDefault="00726E3F" w:rsidP="00A2663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158,6</w:t>
            </w:r>
          </w:p>
        </w:tc>
        <w:tc>
          <w:tcPr>
            <w:tcW w:w="960" w:type="dxa"/>
            <w:shd w:val="clear" w:color="auto" w:fill="auto"/>
            <w:noWrap/>
            <w:vAlign w:val="center"/>
            <w:hideMark/>
          </w:tcPr>
          <w:p w14:paraId="5E54053F" w14:textId="77777777" w:rsidR="00726E3F" w:rsidRPr="00213A5D" w:rsidRDefault="00726E3F"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2 542 893,4</w:t>
            </w:r>
          </w:p>
        </w:tc>
      </w:tr>
    </w:tbl>
    <w:p w14:paraId="17111BC6" w14:textId="77777777" w:rsidR="00726E3F" w:rsidRPr="00213A5D" w:rsidRDefault="00726E3F" w:rsidP="00AF1852">
      <w:pPr>
        <w:widowControl w:val="0"/>
        <w:overflowPunct/>
        <w:autoSpaceDE/>
        <w:spacing w:line="240" w:lineRule="auto"/>
        <w:ind w:left="0" w:right="0" w:firstLine="0"/>
        <w:rPr>
          <w:rFonts w:ascii="TimesNewRomanPSMT" w:hAnsi="TimesNewRomanPSMT" w:cs="TimesNewRomanPSMT"/>
          <w:sz w:val="14"/>
          <w:szCs w:val="14"/>
        </w:rPr>
      </w:pPr>
      <w:r w:rsidRPr="00213A5D">
        <w:rPr>
          <w:rFonts w:ascii="TimesNewRomanPSMT" w:hAnsi="TimesNewRomanPSMT" w:cs="TimesNewRomanPSMT"/>
          <w:sz w:val="14"/>
          <w:szCs w:val="14"/>
        </w:rPr>
        <w:t>* В структуре доходов удельный вес дохода приведен к общей сумме налоговых доходов.</w:t>
      </w:r>
    </w:p>
    <w:p w14:paraId="06634915" w14:textId="77777777" w:rsidR="00726E3F" w:rsidRPr="00213A5D" w:rsidRDefault="00726E3F" w:rsidP="00AF1852">
      <w:pPr>
        <w:widowControl w:val="0"/>
        <w:overflowPunct/>
        <w:autoSpaceDE/>
        <w:spacing w:line="240" w:lineRule="auto"/>
        <w:ind w:left="0" w:right="0" w:firstLine="0"/>
        <w:rPr>
          <w:rFonts w:ascii="TimesNewRomanPSMT" w:hAnsi="TimesNewRomanPSMT" w:cs="TimesNewRomanPSMT"/>
          <w:sz w:val="14"/>
          <w:szCs w:val="14"/>
        </w:rPr>
      </w:pPr>
      <w:r w:rsidRPr="00213A5D">
        <w:rPr>
          <w:rFonts w:ascii="TimesNewRomanPSMT" w:hAnsi="TimesNewRomanPSMT" w:cs="TimesNewRomanPSMT"/>
          <w:sz w:val="14"/>
          <w:szCs w:val="14"/>
        </w:rPr>
        <w:t>** В структуре доходов удельный вес конкретных видов доходов приведен к общей сумме по соответствующей группе доходов.</w:t>
      </w:r>
    </w:p>
    <w:p w14:paraId="29F76F6A" w14:textId="77777777" w:rsidR="00726E3F" w:rsidRPr="00213A5D" w:rsidRDefault="00726E3F" w:rsidP="00AF1852">
      <w:pPr>
        <w:widowControl w:val="0"/>
        <w:spacing w:line="372" w:lineRule="auto"/>
        <w:ind w:left="0" w:right="0"/>
        <w:rPr>
          <w:bCs/>
          <w:sz w:val="10"/>
          <w:szCs w:val="10"/>
        </w:rPr>
      </w:pPr>
    </w:p>
    <w:p w14:paraId="147A059C" w14:textId="77777777" w:rsidR="00726E3F" w:rsidRPr="00213A5D" w:rsidRDefault="00726E3F" w:rsidP="0028115A">
      <w:pPr>
        <w:widowControl w:val="0"/>
        <w:spacing w:line="348" w:lineRule="auto"/>
        <w:ind w:left="0" w:right="0"/>
        <w:rPr>
          <w:sz w:val="20"/>
          <w:szCs w:val="20"/>
        </w:rPr>
      </w:pPr>
      <w:r w:rsidRPr="00213A5D">
        <w:rPr>
          <w:bCs/>
          <w:sz w:val="24"/>
          <w:szCs w:val="24"/>
        </w:rPr>
        <w:t>Основной рост налоговых доходов по сравнению с аналогичным периодом 2021 года, сложился за счет увеличения поступления НДПИ на нефть,</w:t>
      </w:r>
      <w:r w:rsidRPr="00213A5D">
        <w:rPr>
          <w:bCs/>
          <w:color w:val="FF0000"/>
          <w:sz w:val="24"/>
          <w:szCs w:val="24"/>
        </w:rPr>
        <w:t xml:space="preserve"> </w:t>
      </w:r>
      <w:r w:rsidRPr="00213A5D">
        <w:rPr>
          <w:bCs/>
          <w:sz w:val="24"/>
          <w:szCs w:val="24"/>
        </w:rPr>
        <w:t>НДС на товары (работы, услуги), реализуемые на территории Российской Федерации, НДД, а также налога на прибыль организаций при одновременном увеличении возмещения акциза на нефтяное сырье, направленное на переработку.</w:t>
      </w:r>
    </w:p>
    <w:p w14:paraId="2835EBD1" w14:textId="77777777" w:rsidR="001178BA" w:rsidRPr="00213A5D" w:rsidRDefault="001178BA" w:rsidP="0028115A">
      <w:pPr>
        <w:widowControl w:val="0"/>
        <w:spacing w:line="348" w:lineRule="auto"/>
        <w:ind w:left="0" w:right="0"/>
        <w:rPr>
          <w:bCs/>
          <w:sz w:val="24"/>
          <w:szCs w:val="24"/>
        </w:rPr>
      </w:pPr>
      <w:r w:rsidRPr="00213A5D">
        <w:rPr>
          <w:b/>
          <w:bCs/>
          <w:sz w:val="24"/>
          <w:szCs w:val="24"/>
        </w:rPr>
        <w:t>3.3.1.1.</w:t>
      </w:r>
      <w:r w:rsidRPr="00213A5D">
        <w:rPr>
          <w:bCs/>
          <w:sz w:val="24"/>
          <w:szCs w:val="24"/>
        </w:rPr>
        <w:t xml:space="preserve"> Поступление </w:t>
      </w:r>
      <w:r w:rsidRPr="00213A5D">
        <w:rPr>
          <w:b/>
          <w:bCs/>
          <w:sz w:val="24"/>
          <w:szCs w:val="24"/>
        </w:rPr>
        <w:t>налога на прибыль организаций</w:t>
      </w:r>
      <w:r w:rsidRPr="00213A5D">
        <w:rPr>
          <w:bCs/>
          <w:sz w:val="24"/>
          <w:szCs w:val="24"/>
        </w:rPr>
        <w:t xml:space="preserve"> составило 86,5 % </w:t>
      </w:r>
      <w:r w:rsidR="00792D84" w:rsidRPr="00213A5D">
        <w:rPr>
          <w:bCs/>
          <w:sz w:val="24"/>
          <w:szCs w:val="24"/>
        </w:rPr>
        <w:t xml:space="preserve">показателя, </w:t>
      </w:r>
      <w:r w:rsidRPr="00213A5D">
        <w:rPr>
          <w:sz w:val="24"/>
          <w:szCs w:val="24"/>
        </w:rPr>
        <w:t>установленного прогнозом поступлений</w:t>
      </w:r>
      <w:r w:rsidRPr="00213A5D">
        <w:rPr>
          <w:bCs/>
          <w:sz w:val="24"/>
          <w:szCs w:val="24"/>
        </w:rPr>
        <w:t>.</w:t>
      </w:r>
    </w:p>
    <w:p w14:paraId="37A488F8" w14:textId="77777777" w:rsidR="001178BA" w:rsidRPr="00213A5D" w:rsidRDefault="001178BA" w:rsidP="0028115A">
      <w:pPr>
        <w:widowControl w:val="0"/>
        <w:spacing w:line="348" w:lineRule="auto"/>
        <w:ind w:left="0" w:right="0"/>
        <w:rPr>
          <w:bCs/>
          <w:sz w:val="24"/>
          <w:szCs w:val="24"/>
        </w:rPr>
      </w:pPr>
      <w:r w:rsidRPr="00213A5D">
        <w:rPr>
          <w:b/>
          <w:bCs/>
          <w:sz w:val="24"/>
          <w:szCs w:val="24"/>
        </w:rPr>
        <w:t xml:space="preserve">По сравнению с январем – сентябрем 2021 года </w:t>
      </w:r>
      <w:r w:rsidRPr="00213A5D">
        <w:rPr>
          <w:bCs/>
          <w:sz w:val="24"/>
          <w:szCs w:val="24"/>
        </w:rPr>
        <w:t>увеличение поступлений на 16,3 % в основном обусловлено следующими факторами:</w:t>
      </w:r>
    </w:p>
    <w:p w14:paraId="3E2755FB" w14:textId="77777777" w:rsidR="001178BA" w:rsidRPr="00213A5D" w:rsidRDefault="001178BA" w:rsidP="00F41B21">
      <w:pPr>
        <w:widowControl w:val="0"/>
        <w:numPr>
          <w:ilvl w:val="0"/>
          <w:numId w:val="4"/>
        </w:numPr>
        <w:tabs>
          <w:tab w:val="left" w:pos="993"/>
        </w:tabs>
        <w:spacing w:line="372" w:lineRule="auto"/>
        <w:ind w:left="0" w:right="0" w:firstLine="774"/>
        <w:rPr>
          <w:bCs/>
          <w:sz w:val="24"/>
          <w:szCs w:val="24"/>
        </w:rPr>
      </w:pPr>
      <w:r w:rsidRPr="00213A5D">
        <w:rPr>
          <w:bCs/>
          <w:sz w:val="24"/>
          <w:szCs w:val="24"/>
        </w:rPr>
        <w:t>ростом прибыли организаций на фоне восстановления экономики</w:t>
      </w:r>
      <w:r w:rsidRPr="00213A5D">
        <w:rPr>
          <w:rStyle w:val="aff2"/>
          <w:bCs/>
          <w:sz w:val="24"/>
          <w:szCs w:val="24"/>
        </w:rPr>
        <w:footnoteReference w:id="8"/>
      </w:r>
      <w:r w:rsidRPr="00213A5D">
        <w:rPr>
          <w:bCs/>
          <w:sz w:val="24"/>
          <w:szCs w:val="24"/>
        </w:rPr>
        <w:t>;</w:t>
      </w:r>
    </w:p>
    <w:p w14:paraId="061A4764" w14:textId="77777777" w:rsidR="001178BA" w:rsidRPr="00213A5D" w:rsidRDefault="001178BA" w:rsidP="00F41B21">
      <w:pPr>
        <w:widowControl w:val="0"/>
        <w:numPr>
          <w:ilvl w:val="0"/>
          <w:numId w:val="4"/>
        </w:numPr>
        <w:tabs>
          <w:tab w:val="left" w:pos="993"/>
        </w:tabs>
        <w:spacing w:line="372" w:lineRule="auto"/>
        <w:ind w:left="0" w:right="0" w:firstLine="774"/>
        <w:rPr>
          <w:bCs/>
          <w:sz w:val="24"/>
          <w:szCs w:val="24"/>
        </w:rPr>
      </w:pPr>
      <w:r w:rsidRPr="00213A5D">
        <w:rPr>
          <w:bCs/>
          <w:sz w:val="24"/>
          <w:szCs w:val="24"/>
        </w:rPr>
        <w:t xml:space="preserve">увеличением поступлений от организаций нефтегазового, нефтехимического и </w:t>
      </w:r>
      <w:r w:rsidRPr="00213A5D">
        <w:rPr>
          <w:bCs/>
          <w:sz w:val="24"/>
          <w:szCs w:val="24"/>
        </w:rPr>
        <w:lastRenderedPageBreak/>
        <w:t>угольного секторов экономики;</w:t>
      </w:r>
    </w:p>
    <w:p w14:paraId="39318C90" w14:textId="77777777" w:rsidR="001178BA" w:rsidRPr="00213A5D" w:rsidRDefault="001178BA" w:rsidP="00F41B21">
      <w:pPr>
        <w:widowControl w:val="0"/>
        <w:numPr>
          <w:ilvl w:val="0"/>
          <w:numId w:val="4"/>
        </w:numPr>
        <w:tabs>
          <w:tab w:val="left" w:pos="993"/>
        </w:tabs>
        <w:spacing w:line="372" w:lineRule="auto"/>
        <w:ind w:left="0" w:right="0" w:firstLine="774"/>
        <w:rPr>
          <w:bCs/>
          <w:sz w:val="24"/>
          <w:szCs w:val="24"/>
        </w:rPr>
      </w:pPr>
      <w:r w:rsidRPr="00213A5D">
        <w:rPr>
          <w:bCs/>
          <w:sz w:val="24"/>
          <w:szCs w:val="24"/>
        </w:rPr>
        <w:t xml:space="preserve">увеличением среднегодовой стоимости нефти марки «Юралс», а также изменением порядка уплаты налога при выполнении </w:t>
      </w:r>
      <w:r w:rsidR="00792D84" w:rsidRPr="00213A5D">
        <w:rPr>
          <w:bCs/>
          <w:sz w:val="24"/>
          <w:szCs w:val="24"/>
        </w:rPr>
        <w:t>с</w:t>
      </w:r>
      <w:r w:rsidRPr="00213A5D">
        <w:rPr>
          <w:bCs/>
          <w:sz w:val="24"/>
          <w:szCs w:val="24"/>
        </w:rPr>
        <w:t>оглашений о разработк</w:t>
      </w:r>
      <w:r w:rsidR="00792D84" w:rsidRPr="00213A5D">
        <w:rPr>
          <w:bCs/>
          <w:sz w:val="24"/>
          <w:szCs w:val="24"/>
        </w:rPr>
        <w:t>е</w:t>
      </w:r>
      <w:r w:rsidRPr="00213A5D">
        <w:rPr>
          <w:bCs/>
          <w:sz w:val="24"/>
          <w:szCs w:val="24"/>
        </w:rPr>
        <w:t xml:space="preserve"> месторождений нефти и газа;</w:t>
      </w:r>
    </w:p>
    <w:p w14:paraId="3CEA43DC" w14:textId="77777777" w:rsidR="001178BA" w:rsidRPr="00213A5D" w:rsidRDefault="001178BA" w:rsidP="006421AC">
      <w:pPr>
        <w:widowControl w:val="0"/>
        <w:numPr>
          <w:ilvl w:val="0"/>
          <w:numId w:val="4"/>
        </w:numPr>
        <w:tabs>
          <w:tab w:val="left" w:pos="993"/>
        </w:tabs>
        <w:spacing w:line="372" w:lineRule="auto"/>
        <w:ind w:left="0" w:right="0" w:firstLine="774"/>
        <w:rPr>
          <w:bCs/>
          <w:sz w:val="24"/>
          <w:szCs w:val="24"/>
        </w:rPr>
      </w:pPr>
      <w:r w:rsidRPr="00213A5D">
        <w:rPr>
          <w:bCs/>
          <w:sz w:val="24"/>
          <w:szCs w:val="24"/>
        </w:rPr>
        <w:t>увеличением объема промежуточных выплат дивидендов российскими организациями российским организациям, а также ростом доходности акций по ряду крупных организаций нефтегазового и химического секторов экономики;</w:t>
      </w:r>
    </w:p>
    <w:p w14:paraId="023A16B5" w14:textId="77777777" w:rsidR="001178BA" w:rsidRPr="00213A5D" w:rsidRDefault="001178BA" w:rsidP="006421AC">
      <w:pPr>
        <w:widowControl w:val="0"/>
        <w:numPr>
          <w:ilvl w:val="0"/>
          <w:numId w:val="4"/>
        </w:numPr>
        <w:tabs>
          <w:tab w:val="left" w:pos="993"/>
        </w:tabs>
        <w:spacing w:line="372" w:lineRule="auto"/>
        <w:ind w:left="0" w:right="0" w:firstLine="774"/>
        <w:rPr>
          <w:bCs/>
          <w:sz w:val="24"/>
          <w:szCs w:val="24"/>
        </w:rPr>
      </w:pPr>
      <w:r w:rsidRPr="00213A5D">
        <w:rPr>
          <w:bCs/>
          <w:sz w:val="24"/>
          <w:szCs w:val="24"/>
        </w:rPr>
        <w:t>увеличением пакета государственных ценных бумаг по ряду крупных организаций финансового сектора экономики;</w:t>
      </w:r>
    </w:p>
    <w:p w14:paraId="0985D1AF" w14:textId="77777777" w:rsidR="001178BA" w:rsidRPr="00213A5D" w:rsidRDefault="001178BA" w:rsidP="006421AC">
      <w:pPr>
        <w:widowControl w:val="0"/>
        <w:numPr>
          <w:ilvl w:val="0"/>
          <w:numId w:val="4"/>
        </w:numPr>
        <w:tabs>
          <w:tab w:val="left" w:pos="993"/>
        </w:tabs>
        <w:spacing w:line="372" w:lineRule="auto"/>
        <w:ind w:left="0" w:right="0" w:firstLine="774"/>
        <w:rPr>
          <w:bCs/>
          <w:sz w:val="24"/>
          <w:szCs w:val="24"/>
        </w:rPr>
      </w:pPr>
      <w:r w:rsidRPr="00213A5D">
        <w:rPr>
          <w:bCs/>
          <w:sz w:val="24"/>
          <w:szCs w:val="24"/>
        </w:rPr>
        <w:t>увеличением прибыли контролируемых иностранных компаний.</w:t>
      </w:r>
    </w:p>
    <w:p w14:paraId="6DC9D554" w14:textId="77777777" w:rsidR="001178BA" w:rsidRPr="00213A5D" w:rsidRDefault="001178BA" w:rsidP="00AF1852">
      <w:pPr>
        <w:widowControl w:val="0"/>
        <w:spacing w:line="372" w:lineRule="auto"/>
        <w:ind w:left="0" w:right="0"/>
        <w:rPr>
          <w:bCs/>
          <w:sz w:val="24"/>
          <w:szCs w:val="24"/>
        </w:rPr>
      </w:pPr>
      <w:r w:rsidRPr="00213A5D">
        <w:rPr>
          <w:b/>
          <w:bCs/>
          <w:sz w:val="24"/>
          <w:szCs w:val="24"/>
        </w:rPr>
        <w:t>3.3.1.2.</w:t>
      </w:r>
      <w:r w:rsidRPr="00213A5D">
        <w:rPr>
          <w:bCs/>
          <w:sz w:val="24"/>
          <w:szCs w:val="24"/>
        </w:rPr>
        <w:t xml:space="preserve"> Поступление </w:t>
      </w:r>
      <w:r w:rsidRPr="00213A5D">
        <w:rPr>
          <w:b/>
          <w:bCs/>
          <w:sz w:val="24"/>
          <w:szCs w:val="24"/>
        </w:rPr>
        <w:t>налога на доходы физических лиц в части суммы налога, превышающей 650 тыс</w:t>
      </w:r>
      <w:r w:rsidR="00792D84" w:rsidRPr="00213A5D">
        <w:rPr>
          <w:b/>
          <w:bCs/>
          <w:sz w:val="24"/>
          <w:szCs w:val="24"/>
        </w:rPr>
        <w:t>.</w:t>
      </w:r>
      <w:r w:rsidRPr="00213A5D">
        <w:rPr>
          <w:b/>
          <w:bCs/>
          <w:sz w:val="24"/>
          <w:szCs w:val="24"/>
        </w:rPr>
        <w:t xml:space="preserve"> рублей, относящейся к части </w:t>
      </w:r>
      <w:r w:rsidR="00792D84" w:rsidRPr="00213A5D">
        <w:rPr>
          <w:b/>
          <w:bCs/>
          <w:sz w:val="24"/>
          <w:szCs w:val="24"/>
        </w:rPr>
        <w:t xml:space="preserve">налоговой базы, превышающей </w:t>
      </w:r>
      <w:r w:rsidR="007D2E05" w:rsidRPr="00213A5D">
        <w:rPr>
          <w:b/>
          <w:bCs/>
          <w:sz w:val="24"/>
          <w:szCs w:val="24"/>
        </w:rPr>
        <w:br/>
      </w:r>
      <w:r w:rsidR="00792D84" w:rsidRPr="00213A5D">
        <w:rPr>
          <w:b/>
          <w:bCs/>
          <w:sz w:val="24"/>
          <w:szCs w:val="24"/>
        </w:rPr>
        <w:t>5 м</w:t>
      </w:r>
      <w:r w:rsidRPr="00213A5D">
        <w:rPr>
          <w:b/>
          <w:bCs/>
          <w:sz w:val="24"/>
          <w:szCs w:val="24"/>
        </w:rPr>
        <w:t>л</w:t>
      </w:r>
      <w:r w:rsidR="00792D84" w:rsidRPr="00213A5D">
        <w:rPr>
          <w:b/>
          <w:bCs/>
          <w:sz w:val="24"/>
          <w:szCs w:val="24"/>
        </w:rPr>
        <w:t>н.</w:t>
      </w:r>
      <w:r w:rsidRPr="00213A5D">
        <w:rPr>
          <w:b/>
          <w:bCs/>
          <w:sz w:val="24"/>
          <w:szCs w:val="24"/>
        </w:rPr>
        <w:t xml:space="preserve"> рублей</w:t>
      </w:r>
      <w:r w:rsidR="00792D84" w:rsidRPr="00213A5D">
        <w:rPr>
          <w:bCs/>
          <w:sz w:val="24"/>
          <w:szCs w:val="24"/>
        </w:rPr>
        <w:t>,</w:t>
      </w:r>
      <w:r w:rsidRPr="00213A5D">
        <w:rPr>
          <w:b/>
          <w:bCs/>
          <w:sz w:val="24"/>
          <w:szCs w:val="24"/>
        </w:rPr>
        <w:t xml:space="preserve"> </w:t>
      </w:r>
      <w:r w:rsidRPr="00213A5D">
        <w:rPr>
          <w:bCs/>
          <w:sz w:val="24"/>
          <w:szCs w:val="24"/>
        </w:rPr>
        <w:t>составило 112,4 %</w:t>
      </w:r>
      <w:r w:rsidR="00792D84" w:rsidRPr="00213A5D">
        <w:rPr>
          <w:bCs/>
          <w:sz w:val="24"/>
          <w:szCs w:val="24"/>
        </w:rPr>
        <w:t xml:space="preserve"> показателя,</w:t>
      </w:r>
      <w:r w:rsidRPr="00213A5D">
        <w:rPr>
          <w:bCs/>
          <w:sz w:val="24"/>
          <w:szCs w:val="24"/>
        </w:rPr>
        <w:t xml:space="preserve"> установленного прогнозом поступлений</w:t>
      </w:r>
      <w:r w:rsidR="00792D84" w:rsidRPr="00213A5D">
        <w:rPr>
          <w:bCs/>
          <w:sz w:val="24"/>
          <w:szCs w:val="24"/>
        </w:rPr>
        <w:t>,</w:t>
      </w:r>
      <w:r w:rsidRPr="00213A5D">
        <w:rPr>
          <w:bCs/>
          <w:sz w:val="24"/>
          <w:szCs w:val="24"/>
        </w:rPr>
        <w:t xml:space="preserve"> </w:t>
      </w:r>
      <w:r w:rsidR="007D2E05" w:rsidRPr="00213A5D">
        <w:rPr>
          <w:bCs/>
          <w:sz w:val="24"/>
          <w:szCs w:val="24"/>
        </w:rPr>
        <w:br/>
      </w:r>
      <w:r w:rsidRPr="00213A5D">
        <w:rPr>
          <w:bCs/>
          <w:sz w:val="24"/>
          <w:szCs w:val="24"/>
        </w:rPr>
        <w:t>и по сравнению с январем – сентябрем 2021 года</w:t>
      </w:r>
      <w:r w:rsidRPr="00213A5D">
        <w:rPr>
          <w:b/>
          <w:bCs/>
          <w:sz w:val="24"/>
          <w:szCs w:val="24"/>
        </w:rPr>
        <w:t xml:space="preserve"> увеличилось</w:t>
      </w:r>
      <w:r w:rsidRPr="00213A5D">
        <w:rPr>
          <w:bCs/>
          <w:sz w:val="24"/>
          <w:szCs w:val="24"/>
        </w:rPr>
        <w:t xml:space="preserve"> в 1,8 раза, что в основном обусловлено ростом премиальных выплат физическим лицам, а также ростом уплаты НДФЛ с дивидендов.</w:t>
      </w:r>
    </w:p>
    <w:p w14:paraId="7309F588" w14:textId="77777777" w:rsidR="001178BA" w:rsidRPr="00213A5D" w:rsidRDefault="001178BA" w:rsidP="00AF1852">
      <w:pPr>
        <w:widowControl w:val="0"/>
        <w:spacing w:line="372" w:lineRule="auto"/>
        <w:ind w:left="0" w:right="0"/>
        <w:rPr>
          <w:bCs/>
          <w:sz w:val="24"/>
          <w:szCs w:val="24"/>
        </w:rPr>
      </w:pPr>
      <w:r w:rsidRPr="00213A5D">
        <w:rPr>
          <w:b/>
          <w:bCs/>
          <w:sz w:val="24"/>
          <w:szCs w:val="24"/>
        </w:rPr>
        <w:t>3.3.1.3.</w:t>
      </w:r>
      <w:r w:rsidRPr="00213A5D">
        <w:rPr>
          <w:bCs/>
          <w:sz w:val="24"/>
          <w:szCs w:val="24"/>
        </w:rPr>
        <w:t xml:space="preserve"> Поступление </w:t>
      </w:r>
      <w:r w:rsidRPr="00213A5D">
        <w:rPr>
          <w:b/>
          <w:bCs/>
          <w:sz w:val="24"/>
          <w:szCs w:val="24"/>
        </w:rPr>
        <w:t>НДС на товары (работы, услуги), реализуемые на территории Российской Федерации</w:t>
      </w:r>
      <w:r w:rsidR="00792D84" w:rsidRPr="00213A5D">
        <w:rPr>
          <w:bCs/>
          <w:sz w:val="24"/>
          <w:szCs w:val="24"/>
        </w:rPr>
        <w:t>,</w:t>
      </w:r>
      <w:r w:rsidRPr="00213A5D">
        <w:rPr>
          <w:bCs/>
          <w:sz w:val="24"/>
          <w:szCs w:val="24"/>
        </w:rPr>
        <w:t xml:space="preserve"> составило 88,8 %</w:t>
      </w:r>
      <w:r w:rsidR="00792D84" w:rsidRPr="00213A5D">
        <w:rPr>
          <w:bCs/>
          <w:sz w:val="24"/>
          <w:szCs w:val="24"/>
        </w:rPr>
        <w:t xml:space="preserve"> показателя,</w:t>
      </w:r>
      <w:r w:rsidRPr="00213A5D">
        <w:rPr>
          <w:bCs/>
          <w:color w:val="FF0000"/>
          <w:sz w:val="24"/>
          <w:szCs w:val="24"/>
        </w:rPr>
        <w:t xml:space="preserve"> </w:t>
      </w:r>
      <w:r w:rsidRPr="00213A5D">
        <w:rPr>
          <w:bCs/>
          <w:sz w:val="24"/>
          <w:szCs w:val="24"/>
        </w:rPr>
        <w:t>установленного прогнозом поступлений, что в основном обусловлено высокой динамикой роста цен производителей в секторах добычи угля, а также ускорением инфляции.</w:t>
      </w:r>
    </w:p>
    <w:p w14:paraId="601D6767" w14:textId="77777777" w:rsidR="001178BA" w:rsidRPr="00213A5D" w:rsidRDefault="001178BA" w:rsidP="00AF1852">
      <w:pPr>
        <w:widowControl w:val="0"/>
        <w:spacing w:line="372" w:lineRule="auto"/>
        <w:ind w:left="0" w:right="0"/>
        <w:rPr>
          <w:bCs/>
          <w:sz w:val="24"/>
          <w:szCs w:val="24"/>
        </w:rPr>
      </w:pPr>
      <w:r w:rsidRPr="00213A5D">
        <w:rPr>
          <w:b/>
          <w:bCs/>
          <w:sz w:val="24"/>
          <w:szCs w:val="24"/>
        </w:rPr>
        <w:t xml:space="preserve">По сравнению с январем – сентябрем 2021 года </w:t>
      </w:r>
      <w:r w:rsidRPr="00213A5D">
        <w:rPr>
          <w:bCs/>
          <w:sz w:val="24"/>
          <w:szCs w:val="24"/>
        </w:rPr>
        <w:t>увеличение поступлений на 16,2 % в основном обусловлено влиянием следующих факторов</w:t>
      </w:r>
      <w:r w:rsidRPr="00213A5D">
        <w:rPr>
          <w:rStyle w:val="aff2"/>
          <w:bCs/>
          <w:sz w:val="24"/>
          <w:szCs w:val="24"/>
        </w:rPr>
        <w:footnoteReference w:id="9"/>
      </w:r>
      <w:r w:rsidRPr="00213A5D">
        <w:rPr>
          <w:bCs/>
          <w:sz w:val="24"/>
          <w:szCs w:val="24"/>
        </w:rPr>
        <w:t>:</w:t>
      </w:r>
    </w:p>
    <w:p w14:paraId="6314C424" w14:textId="77777777" w:rsidR="001178BA" w:rsidRPr="00213A5D" w:rsidRDefault="001178BA" w:rsidP="001C32ED">
      <w:pPr>
        <w:widowControl w:val="0"/>
        <w:numPr>
          <w:ilvl w:val="0"/>
          <w:numId w:val="5"/>
        </w:numPr>
        <w:tabs>
          <w:tab w:val="left" w:pos="993"/>
        </w:tabs>
        <w:spacing w:line="372" w:lineRule="auto"/>
        <w:ind w:left="0" w:right="0" w:firstLine="709"/>
        <w:rPr>
          <w:bCs/>
          <w:sz w:val="24"/>
          <w:szCs w:val="24"/>
        </w:rPr>
      </w:pPr>
      <w:r w:rsidRPr="00213A5D">
        <w:rPr>
          <w:bCs/>
          <w:sz w:val="24"/>
          <w:szCs w:val="24"/>
        </w:rPr>
        <w:t>рост ВВП в номинальном выражении</w:t>
      </w:r>
      <w:r w:rsidR="00792D84" w:rsidRPr="00213A5D">
        <w:rPr>
          <w:bCs/>
          <w:sz w:val="24"/>
          <w:szCs w:val="24"/>
        </w:rPr>
        <w:t>,</w:t>
      </w:r>
      <w:r w:rsidRPr="00213A5D">
        <w:rPr>
          <w:bCs/>
          <w:sz w:val="24"/>
          <w:szCs w:val="24"/>
        </w:rPr>
        <w:t xml:space="preserve"> по данным Росстата</w:t>
      </w:r>
      <w:r w:rsidR="00792D84" w:rsidRPr="00213A5D">
        <w:rPr>
          <w:bCs/>
          <w:sz w:val="24"/>
          <w:szCs w:val="24"/>
        </w:rPr>
        <w:t>,</w:t>
      </w:r>
      <w:r w:rsidRPr="00213A5D">
        <w:rPr>
          <w:bCs/>
          <w:sz w:val="24"/>
          <w:szCs w:val="24"/>
        </w:rPr>
        <w:t xml:space="preserve"> составил 121,3 % </w:t>
      </w:r>
      <w:r w:rsidR="005D5071" w:rsidRPr="00213A5D">
        <w:rPr>
          <w:bCs/>
          <w:sz w:val="24"/>
          <w:szCs w:val="24"/>
        </w:rPr>
        <w:br/>
      </w:r>
      <w:r w:rsidRPr="00213A5D">
        <w:rPr>
          <w:bCs/>
          <w:sz w:val="24"/>
          <w:szCs w:val="24"/>
        </w:rPr>
        <w:t>(в номинальном выражении 108</w:t>
      </w:r>
      <w:r w:rsidRPr="00213A5D">
        <w:rPr>
          <w:bCs/>
          <w:sz w:val="24"/>
          <w:szCs w:val="24"/>
          <w:lang w:val="en-US"/>
        </w:rPr>
        <w:t> </w:t>
      </w:r>
      <w:r w:rsidRPr="00213A5D">
        <w:rPr>
          <w:bCs/>
          <w:sz w:val="24"/>
          <w:szCs w:val="24"/>
        </w:rPr>
        <w:t>076,1</w:t>
      </w:r>
      <w:r w:rsidRPr="00213A5D">
        <w:rPr>
          <w:bCs/>
          <w:sz w:val="24"/>
          <w:szCs w:val="24"/>
          <w:lang w:val="en-US"/>
        </w:rPr>
        <w:t> </w:t>
      </w:r>
      <w:r w:rsidRPr="00213A5D">
        <w:rPr>
          <w:bCs/>
          <w:sz w:val="24"/>
          <w:szCs w:val="24"/>
        </w:rPr>
        <w:t xml:space="preserve">млрд. рублей в IV квартале 2021 года – </w:t>
      </w:r>
      <w:r w:rsidRPr="00213A5D">
        <w:rPr>
          <w:bCs/>
          <w:sz w:val="24"/>
          <w:szCs w:val="24"/>
          <w:lang w:val="en-US"/>
        </w:rPr>
        <w:t>I</w:t>
      </w:r>
      <w:r w:rsidRPr="00213A5D">
        <w:rPr>
          <w:bCs/>
          <w:sz w:val="24"/>
          <w:szCs w:val="24"/>
        </w:rPr>
        <w:t>I</w:t>
      </w:r>
      <w:r w:rsidRPr="00213A5D">
        <w:rPr>
          <w:bCs/>
          <w:sz w:val="24"/>
          <w:szCs w:val="24"/>
          <w:lang w:val="en-US"/>
        </w:rPr>
        <w:t> </w:t>
      </w:r>
      <w:r w:rsidRPr="00213A5D">
        <w:rPr>
          <w:bCs/>
          <w:sz w:val="24"/>
          <w:szCs w:val="24"/>
        </w:rPr>
        <w:t>квартале 2022</w:t>
      </w:r>
      <w:r w:rsidRPr="00213A5D">
        <w:rPr>
          <w:bCs/>
          <w:sz w:val="24"/>
          <w:szCs w:val="24"/>
          <w:lang w:val="en-US"/>
        </w:rPr>
        <w:t> </w:t>
      </w:r>
      <w:r w:rsidRPr="00213A5D">
        <w:rPr>
          <w:bCs/>
          <w:sz w:val="24"/>
          <w:szCs w:val="24"/>
        </w:rPr>
        <w:t>года к 89</w:t>
      </w:r>
      <w:r w:rsidRPr="00213A5D">
        <w:rPr>
          <w:bCs/>
          <w:sz w:val="24"/>
          <w:szCs w:val="24"/>
          <w:lang w:val="en-US"/>
        </w:rPr>
        <w:t> </w:t>
      </w:r>
      <w:r w:rsidRPr="00213A5D">
        <w:rPr>
          <w:bCs/>
          <w:sz w:val="24"/>
          <w:szCs w:val="24"/>
        </w:rPr>
        <w:t>093,9</w:t>
      </w:r>
      <w:r w:rsidRPr="00213A5D">
        <w:rPr>
          <w:bCs/>
          <w:sz w:val="24"/>
          <w:szCs w:val="24"/>
          <w:lang w:val="en-US"/>
        </w:rPr>
        <w:t> </w:t>
      </w:r>
      <w:r w:rsidRPr="00213A5D">
        <w:rPr>
          <w:bCs/>
          <w:sz w:val="24"/>
          <w:szCs w:val="24"/>
        </w:rPr>
        <w:t xml:space="preserve">млрд. рублей в IV квартале 2020 года – </w:t>
      </w:r>
      <w:r w:rsidRPr="00213A5D">
        <w:rPr>
          <w:bCs/>
          <w:sz w:val="24"/>
          <w:szCs w:val="24"/>
          <w:lang w:val="en-US"/>
        </w:rPr>
        <w:t>I</w:t>
      </w:r>
      <w:r w:rsidRPr="00213A5D">
        <w:rPr>
          <w:bCs/>
          <w:sz w:val="24"/>
          <w:szCs w:val="24"/>
        </w:rPr>
        <w:t>I</w:t>
      </w:r>
      <w:r w:rsidRPr="00213A5D">
        <w:rPr>
          <w:bCs/>
          <w:sz w:val="24"/>
          <w:szCs w:val="24"/>
          <w:lang w:val="en-US"/>
        </w:rPr>
        <w:t> </w:t>
      </w:r>
      <w:r w:rsidRPr="00213A5D">
        <w:rPr>
          <w:bCs/>
          <w:sz w:val="24"/>
          <w:szCs w:val="24"/>
        </w:rPr>
        <w:t>квартале 2021</w:t>
      </w:r>
      <w:r w:rsidRPr="00213A5D">
        <w:rPr>
          <w:bCs/>
          <w:sz w:val="24"/>
          <w:szCs w:val="24"/>
          <w:lang w:val="en-US"/>
        </w:rPr>
        <w:t> </w:t>
      </w:r>
      <w:r w:rsidRPr="00213A5D">
        <w:rPr>
          <w:bCs/>
          <w:sz w:val="24"/>
          <w:szCs w:val="24"/>
        </w:rPr>
        <w:t>года);</w:t>
      </w:r>
    </w:p>
    <w:p w14:paraId="2EB57E3C" w14:textId="77777777" w:rsidR="001178BA" w:rsidRPr="00213A5D" w:rsidRDefault="001178BA" w:rsidP="001C32ED">
      <w:pPr>
        <w:widowControl w:val="0"/>
        <w:numPr>
          <w:ilvl w:val="0"/>
          <w:numId w:val="5"/>
        </w:numPr>
        <w:tabs>
          <w:tab w:val="left" w:pos="993"/>
        </w:tabs>
        <w:spacing w:line="372" w:lineRule="auto"/>
        <w:ind w:left="0" w:right="0" w:firstLine="709"/>
        <w:rPr>
          <w:bCs/>
          <w:sz w:val="24"/>
          <w:szCs w:val="24"/>
        </w:rPr>
      </w:pPr>
      <w:r w:rsidRPr="00213A5D">
        <w:rPr>
          <w:bCs/>
          <w:sz w:val="24"/>
          <w:szCs w:val="24"/>
        </w:rPr>
        <w:t>инфляция в первом полугодии 2022 года к декабрю 2021 года составила 11,4 % (первое полугодие 2021 года к декабрю 2020 года – 4,2 %).</w:t>
      </w:r>
    </w:p>
    <w:p w14:paraId="03B87F85" w14:textId="77777777" w:rsidR="001178BA" w:rsidRPr="00213A5D" w:rsidRDefault="001178BA" w:rsidP="00AF1852">
      <w:pPr>
        <w:widowControl w:val="0"/>
        <w:spacing w:line="372" w:lineRule="auto"/>
        <w:ind w:left="0" w:right="0"/>
        <w:rPr>
          <w:bCs/>
          <w:sz w:val="24"/>
          <w:szCs w:val="24"/>
        </w:rPr>
      </w:pPr>
      <w:r w:rsidRPr="00213A5D">
        <w:rPr>
          <w:bCs/>
          <w:sz w:val="24"/>
          <w:szCs w:val="24"/>
        </w:rPr>
        <w:t>При этом объем возмещения налога из бюджета с учетом зачета в пользу иных налогов увеличился на 42,5 % и составил на 1 октября 2022 года 3 450 522,1 млн. рублей</w:t>
      </w:r>
      <w:r w:rsidRPr="00213A5D">
        <w:rPr>
          <w:bCs/>
          <w:sz w:val="24"/>
          <w:szCs w:val="24"/>
        </w:rPr>
        <w:br/>
        <w:t>(на 1 октября 2021 года – 2 593 186,7 млн. рублей).</w:t>
      </w:r>
    </w:p>
    <w:p w14:paraId="5800BBE0" w14:textId="77777777" w:rsidR="001178BA" w:rsidRPr="00213A5D" w:rsidRDefault="001178BA" w:rsidP="00AF1852">
      <w:pPr>
        <w:widowControl w:val="0"/>
        <w:spacing w:line="372" w:lineRule="auto"/>
        <w:ind w:left="0" w:right="0"/>
        <w:rPr>
          <w:bCs/>
          <w:sz w:val="24"/>
          <w:szCs w:val="24"/>
        </w:rPr>
      </w:pPr>
      <w:r w:rsidRPr="00213A5D">
        <w:rPr>
          <w:b/>
          <w:bCs/>
          <w:sz w:val="24"/>
          <w:szCs w:val="24"/>
        </w:rPr>
        <w:t>3.3.1.4.</w:t>
      </w:r>
      <w:r w:rsidRPr="00213A5D">
        <w:rPr>
          <w:bCs/>
          <w:sz w:val="24"/>
          <w:szCs w:val="24"/>
        </w:rPr>
        <w:t xml:space="preserve"> Поступление </w:t>
      </w:r>
      <w:r w:rsidRPr="00213A5D">
        <w:rPr>
          <w:b/>
          <w:bCs/>
          <w:sz w:val="24"/>
          <w:szCs w:val="24"/>
        </w:rPr>
        <w:t>НДС на товары, ввозимые на территорию Российской Федерации</w:t>
      </w:r>
      <w:r w:rsidR="00792D84" w:rsidRPr="00213A5D">
        <w:rPr>
          <w:bCs/>
          <w:sz w:val="24"/>
          <w:szCs w:val="24"/>
        </w:rPr>
        <w:t>,</w:t>
      </w:r>
      <w:r w:rsidRPr="00213A5D">
        <w:rPr>
          <w:bCs/>
          <w:sz w:val="24"/>
          <w:szCs w:val="24"/>
        </w:rPr>
        <w:t xml:space="preserve"> составило 60,5 %</w:t>
      </w:r>
      <w:r w:rsidR="00792D84" w:rsidRPr="00213A5D">
        <w:rPr>
          <w:bCs/>
          <w:sz w:val="24"/>
          <w:szCs w:val="24"/>
        </w:rPr>
        <w:t xml:space="preserve"> показателя,</w:t>
      </w:r>
      <w:r w:rsidRPr="00213A5D">
        <w:rPr>
          <w:bCs/>
          <w:sz w:val="24"/>
          <w:szCs w:val="24"/>
        </w:rPr>
        <w:t xml:space="preserve"> установленного прогнозом поступлений, что </w:t>
      </w:r>
      <w:r w:rsidRPr="00213A5D">
        <w:rPr>
          <w:bCs/>
          <w:sz w:val="24"/>
          <w:szCs w:val="24"/>
        </w:rPr>
        <w:lastRenderedPageBreak/>
        <w:t xml:space="preserve">обусловлено снижением объемов налогооблагаемого импорта из стран дальнего зарубежья </w:t>
      </w:r>
      <w:r w:rsidR="00792D84" w:rsidRPr="00213A5D">
        <w:rPr>
          <w:bCs/>
          <w:sz w:val="24"/>
          <w:szCs w:val="24"/>
        </w:rPr>
        <w:t>(</w:t>
      </w:r>
      <w:r w:rsidRPr="00213A5D">
        <w:rPr>
          <w:bCs/>
          <w:sz w:val="24"/>
          <w:szCs w:val="24"/>
        </w:rPr>
        <w:t>на 21,1 %</w:t>
      </w:r>
      <w:r w:rsidR="00792D84" w:rsidRPr="00213A5D">
        <w:rPr>
          <w:bCs/>
          <w:sz w:val="24"/>
          <w:szCs w:val="24"/>
        </w:rPr>
        <w:t>)</w:t>
      </w:r>
      <w:r w:rsidRPr="00213A5D">
        <w:rPr>
          <w:bCs/>
          <w:sz w:val="24"/>
          <w:szCs w:val="24"/>
        </w:rPr>
        <w:t xml:space="preserve"> и курса доллара США по отношению к рублю </w:t>
      </w:r>
      <w:r w:rsidR="00792D84" w:rsidRPr="00213A5D">
        <w:rPr>
          <w:bCs/>
          <w:sz w:val="24"/>
          <w:szCs w:val="24"/>
        </w:rPr>
        <w:t>(</w:t>
      </w:r>
      <w:r w:rsidRPr="00213A5D">
        <w:rPr>
          <w:bCs/>
          <w:sz w:val="24"/>
          <w:szCs w:val="24"/>
        </w:rPr>
        <w:t>на 2,2 %</w:t>
      </w:r>
      <w:r w:rsidR="00792D84" w:rsidRPr="00213A5D">
        <w:rPr>
          <w:bCs/>
          <w:sz w:val="24"/>
          <w:szCs w:val="24"/>
        </w:rPr>
        <w:t>)</w:t>
      </w:r>
      <w:r w:rsidRPr="00213A5D">
        <w:rPr>
          <w:bCs/>
          <w:sz w:val="24"/>
          <w:szCs w:val="24"/>
        </w:rPr>
        <w:t xml:space="preserve"> относительно параметров, учтенных при формировании бюджета.</w:t>
      </w:r>
    </w:p>
    <w:p w14:paraId="2F3460CF" w14:textId="77777777" w:rsidR="001178BA" w:rsidRPr="00213A5D" w:rsidRDefault="001178BA" w:rsidP="00AF1852">
      <w:pPr>
        <w:widowControl w:val="0"/>
        <w:spacing w:line="372" w:lineRule="auto"/>
        <w:ind w:left="0" w:right="0"/>
        <w:rPr>
          <w:bCs/>
          <w:sz w:val="24"/>
          <w:szCs w:val="24"/>
        </w:rPr>
      </w:pPr>
      <w:r w:rsidRPr="00213A5D">
        <w:rPr>
          <w:b/>
          <w:bCs/>
          <w:sz w:val="24"/>
          <w:szCs w:val="24"/>
        </w:rPr>
        <w:t xml:space="preserve">По сравнению с январем – сентябрем 2021 года </w:t>
      </w:r>
      <w:r w:rsidRPr="00213A5D">
        <w:rPr>
          <w:bCs/>
          <w:sz w:val="24"/>
          <w:szCs w:val="24"/>
        </w:rPr>
        <w:t xml:space="preserve">снижение поступлений на 17,3 % связано с сокращением объемов налогооблагаемого импорта из стран дальнего зарубежья на 18,7 %, а также </w:t>
      </w:r>
      <w:r w:rsidR="00A15824" w:rsidRPr="00213A5D">
        <w:rPr>
          <w:bCs/>
          <w:sz w:val="24"/>
          <w:szCs w:val="24"/>
        </w:rPr>
        <w:t xml:space="preserve">со </w:t>
      </w:r>
      <w:r w:rsidRPr="00213A5D">
        <w:rPr>
          <w:bCs/>
          <w:sz w:val="24"/>
          <w:szCs w:val="24"/>
        </w:rPr>
        <w:t>снижением среднего курса доллара США по отношению к рублю на 4,7 %.</w:t>
      </w:r>
    </w:p>
    <w:p w14:paraId="0772B647" w14:textId="77777777" w:rsidR="001178BA" w:rsidRPr="00213A5D" w:rsidRDefault="001178BA" w:rsidP="00044867">
      <w:pPr>
        <w:widowControl w:val="0"/>
        <w:ind w:left="0" w:right="0"/>
        <w:rPr>
          <w:bCs/>
          <w:sz w:val="24"/>
          <w:szCs w:val="24"/>
        </w:rPr>
      </w:pPr>
      <w:r w:rsidRPr="00213A5D">
        <w:rPr>
          <w:b/>
          <w:bCs/>
          <w:sz w:val="24"/>
          <w:szCs w:val="24"/>
        </w:rPr>
        <w:t>3.3.1.5.</w:t>
      </w:r>
      <w:r w:rsidRPr="00213A5D">
        <w:rPr>
          <w:bCs/>
          <w:sz w:val="24"/>
          <w:szCs w:val="24"/>
        </w:rPr>
        <w:t xml:space="preserve"> Поступление </w:t>
      </w:r>
      <w:r w:rsidRPr="00213A5D">
        <w:rPr>
          <w:b/>
          <w:bCs/>
          <w:sz w:val="24"/>
          <w:szCs w:val="24"/>
        </w:rPr>
        <w:t>акцизов по подакцизным товарам (продукции), производимым на территории Российской Федерации</w:t>
      </w:r>
      <w:r w:rsidR="00A15824" w:rsidRPr="00213A5D">
        <w:rPr>
          <w:bCs/>
          <w:sz w:val="24"/>
          <w:szCs w:val="24"/>
        </w:rPr>
        <w:t>,</w:t>
      </w:r>
      <w:r w:rsidRPr="00213A5D">
        <w:rPr>
          <w:bCs/>
          <w:sz w:val="24"/>
          <w:szCs w:val="24"/>
        </w:rPr>
        <w:t xml:space="preserve"> составило (-) 1 859 952,3 млн. рублей, при этом прогноз поступлений установлен в размере 101 773,7 млн. рублей. Без учета акциза на нефтяное сырье, направленное на переработку</w:t>
      </w:r>
      <w:r w:rsidR="00A15824" w:rsidRPr="00213A5D">
        <w:rPr>
          <w:bCs/>
          <w:sz w:val="24"/>
          <w:szCs w:val="24"/>
        </w:rPr>
        <w:t>,</w:t>
      </w:r>
      <w:r w:rsidRPr="00213A5D">
        <w:rPr>
          <w:bCs/>
          <w:sz w:val="24"/>
          <w:szCs w:val="24"/>
        </w:rPr>
        <w:t xml:space="preserve"> сумма поступления составила 856 641,8 млн. рублей, или 82,2 % </w:t>
      </w:r>
      <w:r w:rsidR="00A15824" w:rsidRPr="00213A5D">
        <w:rPr>
          <w:bCs/>
          <w:sz w:val="24"/>
          <w:szCs w:val="24"/>
        </w:rPr>
        <w:t xml:space="preserve">показателя, </w:t>
      </w:r>
      <w:r w:rsidRPr="00213A5D">
        <w:rPr>
          <w:bCs/>
          <w:sz w:val="24"/>
          <w:szCs w:val="24"/>
        </w:rPr>
        <w:t>установленного прогнозом поступлений.</w:t>
      </w:r>
    </w:p>
    <w:p w14:paraId="56C7636F" w14:textId="77777777" w:rsidR="001178BA" w:rsidRPr="00213A5D" w:rsidRDefault="001178BA" w:rsidP="00044867">
      <w:pPr>
        <w:widowControl w:val="0"/>
        <w:ind w:left="0" w:right="0"/>
        <w:rPr>
          <w:bCs/>
          <w:sz w:val="24"/>
          <w:szCs w:val="24"/>
        </w:rPr>
      </w:pPr>
      <w:r w:rsidRPr="00213A5D">
        <w:rPr>
          <w:bCs/>
          <w:sz w:val="24"/>
          <w:szCs w:val="24"/>
        </w:rPr>
        <w:t>По сравнению с январем</w:t>
      </w:r>
      <w:r w:rsidRPr="00213A5D">
        <w:rPr>
          <w:sz w:val="24"/>
          <w:szCs w:val="24"/>
        </w:rPr>
        <w:t> </w:t>
      </w:r>
      <w:r w:rsidRPr="00213A5D">
        <w:rPr>
          <w:rFonts w:eastAsia="Times New Roman"/>
          <w:sz w:val="24"/>
          <w:szCs w:val="24"/>
        </w:rPr>
        <w:t>–</w:t>
      </w:r>
      <w:r w:rsidRPr="00213A5D">
        <w:rPr>
          <w:sz w:val="24"/>
          <w:szCs w:val="24"/>
        </w:rPr>
        <w:t> </w:t>
      </w:r>
      <w:r w:rsidRPr="00213A5D">
        <w:rPr>
          <w:bCs/>
          <w:sz w:val="24"/>
          <w:szCs w:val="24"/>
        </w:rPr>
        <w:t>сентябрем 2021 года поступление уменьши</w:t>
      </w:r>
      <w:r w:rsidR="00A15824" w:rsidRPr="00213A5D">
        <w:rPr>
          <w:bCs/>
          <w:sz w:val="24"/>
          <w:szCs w:val="24"/>
        </w:rPr>
        <w:t>лось</w:t>
      </w:r>
      <w:r w:rsidR="00A15824" w:rsidRPr="00213A5D">
        <w:rPr>
          <w:bCs/>
          <w:sz w:val="24"/>
          <w:szCs w:val="24"/>
        </w:rPr>
        <w:br/>
        <w:t>на 1 843 005,2 млн. рублей</w:t>
      </w:r>
      <w:r w:rsidRPr="00213A5D">
        <w:rPr>
          <w:bCs/>
          <w:sz w:val="24"/>
          <w:szCs w:val="24"/>
        </w:rPr>
        <w:t xml:space="preserve"> за счет увеличения объема возмещения акциза на нефтяное сырье, направленное на переработку. Без учета акциза на нефтяное сырье, направленное </w:t>
      </w:r>
      <w:r w:rsidR="005D5071" w:rsidRPr="00213A5D">
        <w:rPr>
          <w:bCs/>
          <w:sz w:val="24"/>
          <w:szCs w:val="24"/>
        </w:rPr>
        <w:br/>
      </w:r>
      <w:r w:rsidRPr="00213A5D">
        <w:rPr>
          <w:bCs/>
          <w:sz w:val="24"/>
          <w:szCs w:val="24"/>
        </w:rPr>
        <w:t>на переработку</w:t>
      </w:r>
      <w:r w:rsidR="00A15824" w:rsidRPr="00213A5D">
        <w:rPr>
          <w:bCs/>
          <w:sz w:val="24"/>
          <w:szCs w:val="24"/>
        </w:rPr>
        <w:t>,</w:t>
      </w:r>
      <w:r w:rsidRPr="00213A5D">
        <w:rPr>
          <w:bCs/>
          <w:sz w:val="24"/>
          <w:szCs w:val="24"/>
        </w:rPr>
        <w:t xml:space="preserve"> сумма поступления увеличилась на 91 167,4 млн. рублей, или на 11,9 %.</w:t>
      </w:r>
    </w:p>
    <w:p w14:paraId="3A3E8885" w14:textId="77777777" w:rsidR="001178BA" w:rsidRPr="00213A5D" w:rsidRDefault="001178BA" w:rsidP="00044867">
      <w:pPr>
        <w:widowControl w:val="0"/>
        <w:ind w:left="0" w:right="0"/>
        <w:rPr>
          <w:bCs/>
          <w:sz w:val="24"/>
          <w:szCs w:val="24"/>
        </w:rPr>
      </w:pPr>
      <w:r w:rsidRPr="00213A5D">
        <w:rPr>
          <w:bCs/>
          <w:sz w:val="24"/>
          <w:szCs w:val="24"/>
        </w:rPr>
        <w:t xml:space="preserve">В общем объеме поступлений акцизов по подакцизным товарам (продукции) </w:t>
      </w:r>
      <w:r w:rsidR="005D5071" w:rsidRPr="00213A5D">
        <w:rPr>
          <w:bCs/>
          <w:sz w:val="24"/>
          <w:szCs w:val="24"/>
        </w:rPr>
        <w:br/>
      </w:r>
      <w:r w:rsidRPr="00213A5D">
        <w:rPr>
          <w:bCs/>
          <w:sz w:val="24"/>
          <w:szCs w:val="24"/>
        </w:rPr>
        <w:t xml:space="preserve">(без учета акциза на нефтяное сырье, направленное на переработку) основную долю составляют акцизы на табачную продукцию (56,5 % </w:t>
      </w:r>
      <w:r w:rsidRPr="00213A5D">
        <w:rPr>
          <w:sz w:val="24"/>
          <w:szCs w:val="24"/>
        </w:rPr>
        <w:t>общего объема поступлений данной подгруппы</w:t>
      </w:r>
      <w:r w:rsidRPr="00213A5D">
        <w:rPr>
          <w:bCs/>
          <w:sz w:val="24"/>
          <w:szCs w:val="24"/>
        </w:rPr>
        <w:t>), акцизы на природный газ, предусмотренные международными договорами Российской Федерации (22,9 %)</w:t>
      </w:r>
      <w:r w:rsidR="00FD1B6F" w:rsidRPr="00213A5D">
        <w:rPr>
          <w:bCs/>
          <w:sz w:val="24"/>
          <w:szCs w:val="24"/>
        </w:rPr>
        <w:t>,</w:t>
      </w:r>
      <w:r w:rsidRPr="00213A5D">
        <w:rPr>
          <w:bCs/>
          <w:sz w:val="24"/>
          <w:szCs w:val="24"/>
        </w:rPr>
        <w:t xml:space="preserve"> и акцизы на автомобильный бензин, производимый </w:t>
      </w:r>
      <w:r w:rsidR="005D5071" w:rsidRPr="00213A5D">
        <w:rPr>
          <w:bCs/>
          <w:sz w:val="24"/>
          <w:szCs w:val="24"/>
        </w:rPr>
        <w:br/>
      </w:r>
      <w:r w:rsidRPr="00213A5D">
        <w:rPr>
          <w:bCs/>
          <w:sz w:val="24"/>
          <w:szCs w:val="24"/>
        </w:rPr>
        <w:t>на территории Российской Федерации (11,6 %).</w:t>
      </w:r>
    </w:p>
    <w:p w14:paraId="0C081F13" w14:textId="77777777" w:rsidR="001178BA" w:rsidRPr="00213A5D" w:rsidRDefault="001178BA" w:rsidP="00044867">
      <w:pPr>
        <w:widowControl w:val="0"/>
        <w:ind w:left="0" w:right="0"/>
        <w:rPr>
          <w:bCs/>
          <w:sz w:val="24"/>
          <w:szCs w:val="24"/>
        </w:rPr>
      </w:pPr>
      <w:r w:rsidRPr="00213A5D">
        <w:rPr>
          <w:bCs/>
          <w:sz w:val="24"/>
          <w:szCs w:val="24"/>
        </w:rPr>
        <w:t xml:space="preserve">Поступление </w:t>
      </w:r>
      <w:r w:rsidRPr="00213A5D">
        <w:rPr>
          <w:b/>
          <w:bCs/>
          <w:sz w:val="24"/>
          <w:szCs w:val="24"/>
        </w:rPr>
        <w:t>акцизов на табачную продукцию</w:t>
      </w:r>
      <w:r w:rsidRPr="00213A5D">
        <w:rPr>
          <w:bCs/>
          <w:sz w:val="24"/>
          <w:szCs w:val="24"/>
        </w:rPr>
        <w:t xml:space="preserve"> составило 70,5 %</w:t>
      </w:r>
      <w:r w:rsidR="00FD1B6F" w:rsidRPr="00213A5D">
        <w:rPr>
          <w:bCs/>
          <w:sz w:val="24"/>
          <w:szCs w:val="24"/>
        </w:rPr>
        <w:t xml:space="preserve"> показателя,</w:t>
      </w:r>
      <w:r w:rsidRPr="00213A5D">
        <w:rPr>
          <w:bCs/>
          <w:sz w:val="24"/>
          <w:szCs w:val="24"/>
        </w:rPr>
        <w:t xml:space="preserve"> установленного прогнозом поступлений, что обусловлено сокращением фактического объема ввоза на 31,7 %.</w:t>
      </w:r>
      <w:r w:rsidRPr="00213A5D" w:rsidDel="003921BF">
        <w:rPr>
          <w:bCs/>
          <w:sz w:val="24"/>
          <w:szCs w:val="24"/>
        </w:rPr>
        <w:t xml:space="preserve"> </w:t>
      </w:r>
    </w:p>
    <w:p w14:paraId="2E9CDDB1" w14:textId="77777777" w:rsidR="001178BA" w:rsidRPr="00213A5D" w:rsidRDefault="001178BA" w:rsidP="00044867">
      <w:pPr>
        <w:widowControl w:val="0"/>
        <w:ind w:left="0" w:right="0"/>
        <w:rPr>
          <w:bCs/>
          <w:sz w:val="24"/>
          <w:szCs w:val="24"/>
        </w:rPr>
      </w:pPr>
      <w:r w:rsidRPr="00213A5D">
        <w:rPr>
          <w:b/>
          <w:bCs/>
          <w:sz w:val="24"/>
          <w:szCs w:val="24"/>
        </w:rPr>
        <w:t xml:space="preserve">По сравнению с январем – сентябрем 2021 года </w:t>
      </w:r>
      <w:r w:rsidRPr="00213A5D">
        <w:rPr>
          <w:bCs/>
          <w:sz w:val="24"/>
          <w:szCs w:val="24"/>
        </w:rPr>
        <w:t>снижение поступлений на 5,4 % обусловлено снижением объемов реализации табачной продукции при увеличении ставок акцизов</w:t>
      </w:r>
      <w:r w:rsidRPr="00213A5D">
        <w:rPr>
          <w:rStyle w:val="aff2"/>
          <w:bCs/>
          <w:sz w:val="24"/>
          <w:szCs w:val="24"/>
        </w:rPr>
        <w:footnoteReference w:id="10"/>
      </w:r>
      <w:r w:rsidRPr="00213A5D">
        <w:rPr>
          <w:bCs/>
          <w:sz w:val="24"/>
          <w:szCs w:val="24"/>
        </w:rPr>
        <w:t>.</w:t>
      </w:r>
    </w:p>
    <w:p w14:paraId="52F19535" w14:textId="77777777" w:rsidR="001178BA" w:rsidRPr="00213A5D" w:rsidRDefault="001178BA" w:rsidP="00044867">
      <w:pPr>
        <w:widowControl w:val="0"/>
        <w:ind w:left="0" w:right="0"/>
        <w:rPr>
          <w:bCs/>
          <w:sz w:val="24"/>
          <w:szCs w:val="24"/>
        </w:rPr>
      </w:pPr>
      <w:r w:rsidRPr="00213A5D">
        <w:rPr>
          <w:bCs/>
          <w:sz w:val="24"/>
          <w:szCs w:val="24"/>
        </w:rPr>
        <w:t xml:space="preserve">Сумма возврата из бюджета </w:t>
      </w:r>
      <w:r w:rsidRPr="00213A5D">
        <w:rPr>
          <w:b/>
          <w:bCs/>
          <w:sz w:val="24"/>
          <w:szCs w:val="24"/>
        </w:rPr>
        <w:t>акциза на нефтяное сырье, направленное на переработку</w:t>
      </w:r>
      <w:r w:rsidR="00E720BA" w:rsidRPr="00213A5D">
        <w:rPr>
          <w:bCs/>
          <w:sz w:val="24"/>
          <w:szCs w:val="24"/>
        </w:rPr>
        <w:t>,</w:t>
      </w:r>
      <w:r w:rsidRPr="00213A5D">
        <w:rPr>
          <w:bCs/>
          <w:sz w:val="24"/>
          <w:szCs w:val="24"/>
        </w:rPr>
        <w:t xml:space="preserve"> в январе – сентябре 2022 года составила 289 % </w:t>
      </w:r>
      <w:r w:rsidR="00E720BA" w:rsidRPr="00213A5D">
        <w:rPr>
          <w:bCs/>
          <w:sz w:val="24"/>
          <w:szCs w:val="24"/>
        </w:rPr>
        <w:t xml:space="preserve">показателя, </w:t>
      </w:r>
      <w:r w:rsidRPr="00213A5D">
        <w:rPr>
          <w:bCs/>
          <w:sz w:val="24"/>
          <w:szCs w:val="24"/>
        </w:rPr>
        <w:t>установленного прогнозом поступлений, что обусловлено изменением цены реализации автомобильного бензина и дизельного топлива на роттердамском рынке, повлиявши</w:t>
      </w:r>
      <w:r w:rsidR="00E720BA" w:rsidRPr="00213A5D">
        <w:rPr>
          <w:bCs/>
          <w:sz w:val="24"/>
          <w:szCs w:val="24"/>
        </w:rPr>
        <w:t>м</w:t>
      </w:r>
      <w:r w:rsidRPr="00213A5D">
        <w:rPr>
          <w:bCs/>
          <w:sz w:val="24"/>
          <w:szCs w:val="24"/>
        </w:rPr>
        <w:t xml:space="preserve"> на изменение величины вычета К</w:t>
      </w:r>
      <w:r w:rsidRPr="00213A5D">
        <w:rPr>
          <w:bCs/>
          <w:sz w:val="24"/>
          <w:szCs w:val="24"/>
          <w:vertAlign w:val="subscript"/>
        </w:rPr>
        <w:t>демп</w:t>
      </w:r>
      <w:r w:rsidRPr="00213A5D">
        <w:rPr>
          <w:bCs/>
          <w:sz w:val="24"/>
          <w:szCs w:val="24"/>
        </w:rPr>
        <w:t>, относительно показателей, учтенных при формировании бюджета.</w:t>
      </w:r>
    </w:p>
    <w:p w14:paraId="18F5FE27" w14:textId="77777777" w:rsidR="001178BA" w:rsidRPr="00213A5D" w:rsidRDefault="001178BA" w:rsidP="00524121">
      <w:pPr>
        <w:widowControl w:val="0"/>
        <w:ind w:left="0" w:right="0"/>
        <w:rPr>
          <w:bCs/>
          <w:sz w:val="24"/>
          <w:szCs w:val="24"/>
        </w:rPr>
      </w:pPr>
      <w:r w:rsidRPr="00213A5D">
        <w:rPr>
          <w:bCs/>
          <w:sz w:val="24"/>
          <w:szCs w:val="24"/>
        </w:rPr>
        <w:t>По сравнению с январем</w:t>
      </w:r>
      <w:r w:rsidRPr="00213A5D">
        <w:rPr>
          <w:sz w:val="24"/>
          <w:szCs w:val="24"/>
        </w:rPr>
        <w:t> </w:t>
      </w:r>
      <w:r w:rsidRPr="00213A5D">
        <w:rPr>
          <w:rFonts w:eastAsia="Times New Roman"/>
          <w:sz w:val="24"/>
          <w:szCs w:val="24"/>
        </w:rPr>
        <w:t>–</w:t>
      </w:r>
      <w:r w:rsidRPr="00213A5D">
        <w:rPr>
          <w:sz w:val="24"/>
          <w:szCs w:val="24"/>
        </w:rPr>
        <w:t> </w:t>
      </w:r>
      <w:r w:rsidRPr="00213A5D">
        <w:rPr>
          <w:bCs/>
          <w:sz w:val="24"/>
          <w:szCs w:val="24"/>
        </w:rPr>
        <w:t xml:space="preserve">сентябрем 2021 года сумма возврата акциза на нефтяное </w:t>
      </w:r>
      <w:r w:rsidRPr="00213A5D">
        <w:rPr>
          <w:bCs/>
          <w:sz w:val="24"/>
          <w:szCs w:val="24"/>
        </w:rPr>
        <w:lastRenderedPageBreak/>
        <w:t xml:space="preserve">сырье, направленное на переработку, </w:t>
      </w:r>
      <w:r w:rsidRPr="00213A5D">
        <w:rPr>
          <w:b/>
          <w:bCs/>
          <w:sz w:val="24"/>
          <w:szCs w:val="24"/>
        </w:rPr>
        <w:t>увеличилась</w:t>
      </w:r>
      <w:r w:rsidRPr="00213A5D">
        <w:rPr>
          <w:bCs/>
          <w:sz w:val="24"/>
          <w:szCs w:val="24"/>
        </w:rPr>
        <w:t xml:space="preserve"> на 1 934 172,6 млн. рублей, или в 3,5 раза, что связано с ростом цены реализации автомобильного бензина и дизельного топлива на роттердамском рынке, который привел к превышению экспортной цены реализации автомобильного бензина и дизельного топлива над установленной внутренней ценой реализации и, соответственно, </w:t>
      </w:r>
      <w:r w:rsidR="00E720BA" w:rsidRPr="00213A5D">
        <w:rPr>
          <w:bCs/>
          <w:sz w:val="24"/>
          <w:szCs w:val="24"/>
        </w:rPr>
        <w:t xml:space="preserve">к </w:t>
      </w:r>
      <w:r w:rsidRPr="00213A5D">
        <w:rPr>
          <w:bCs/>
          <w:sz w:val="24"/>
          <w:szCs w:val="24"/>
        </w:rPr>
        <w:t>увеличению вычета К</w:t>
      </w:r>
      <w:r w:rsidRPr="00213A5D">
        <w:rPr>
          <w:bCs/>
          <w:sz w:val="24"/>
          <w:szCs w:val="24"/>
          <w:vertAlign w:val="subscript"/>
        </w:rPr>
        <w:t>демп</w:t>
      </w:r>
      <w:r w:rsidRPr="00213A5D">
        <w:rPr>
          <w:bCs/>
          <w:sz w:val="24"/>
          <w:szCs w:val="24"/>
        </w:rPr>
        <w:t>. Кроме того, в связи с изменением законодательства с 1 января 2022 года увеличен коэффициент К</w:t>
      </w:r>
      <w:r w:rsidRPr="00213A5D">
        <w:rPr>
          <w:bCs/>
          <w:sz w:val="24"/>
          <w:szCs w:val="24"/>
          <w:vertAlign w:val="subscript"/>
        </w:rPr>
        <w:t>корр</w:t>
      </w:r>
      <w:r w:rsidRPr="00213A5D">
        <w:rPr>
          <w:bCs/>
          <w:sz w:val="24"/>
          <w:szCs w:val="24"/>
        </w:rPr>
        <w:br/>
        <w:t>(с 0,5 до 0,667), влияющий на размер расчетной ставки акциза на нефтяное сырье.</w:t>
      </w:r>
    </w:p>
    <w:p w14:paraId="3023E739" w14:textId="77777777" w:rsidR="001178BA" w:rsidRPr="00213A5D" w:rsidRDefault="001178BA" w:rsidP="00524121">
      <w:pPr>
        <w:widowControl w:val="0"/>
        <w:ind w:left="0" w:right="0"/>
        <w:rPr>
          <w:bCs/>
          <w:sz w:val="24"/>
          <w:szCs w:val="24"/>
        </w:rPr>
      </w:pPr>
      <w:r w:rsidRPr="00213A5D">
        <w:rPr>
          <w:b/>
          <w:bCs/>
          <w:sz w:val="24"/>
          <w:szCs w:val="24"/>
        </w:rPr>
        <w:t>3.3.1.6.</w:t>
      </w:r>
      <w:r w:rsidRPr="00213A5D">
        <w:rPr>
          <w:bCs/>
          <w:sz w:val="24"/>
          <w:szCs w:val="24"/>
        </w:rPr>
        <w:t xml:space="preserve"> Поступление </w:t>
      </w:r>
      <w:r w:rsidRPr="00213A5D">
        <w:rPr>
          <w:b/>
          <w:bCs/>
          <w:sz w:val="24"/>
          <w:szCs w:val="24"/>
        </w:rPr>
        <w:t>акцизов по подакцизным товарам (продукции), ввозимым на территорию Российской Федерации</w:t>
      </w:r>
      <w:r w:rsidRPr="00213A5D">
        <w:rPr>
          <w:bCs/>
          <w:sz w:val="24"/>
          <w:szCs w:val="24"/>
        </w:rPr>
        <w:t xml:space="preserve">, составило 48,2 % </w:t>
      </w:r>
      <w:r w:rsidR="00E720BA" w:rsidRPr="00213A5D">
        <w:rPr>
          <w:bCs/>
          <w:sz w:val="24"/>
          <w:szCs w:val="24"/>
        </w:rPr>
        <w:t xml:space="preserve">показателя, </w:t>
      </w:r>
      <w:r w:rsidRPr="00213A5D">
        <w:rPr>
          <w:bCs/>
          <w:sz w:val="24"/>
          <w:szCs w:val="24"/>
        </w:rPr>
        <w:t>установленного прогнозом поступлений</w:t>
      </w:r>
      <w:r w:rsidR="00E720BA" w:rsidRPr="00213A5D">
        <w:rPr>
          <w:bCs/>
          <w:sz w:val="24"/>
          <w:szCs w:val="24"/>
        </w:rPr>
        <w:t>,</w:t>
      </w:r>
      <w:r w:rsidRPr="00213A5D">
        <w:rPr>
          <w:bCs/>
          <w:sz w:val="24"/>
          <w:szCs w:val="24"/>
        </w:rPr>
        <w:t xml:space="preserve"> и по сравнению с январем</w:t>
      </w:r>
      <w:r w:rsidRPr="00213A5D">
        <w:rPr>
          <w:sz w:val="24"/>
          <w:szCs w:val="24"/>
        </w:rPr>
        <w:t> </w:t>
      </w:r>
      <w:r w:rsidRPr="00213A5D">
        <w:rPr>
          <w:rFonts w:eastAsia="Times New Roman"/>
          <w:sz w:val="24"/>
          <w:szCs w:val="24"/>
        </w:rPr>
        <w:t>–</w:t>
      </w:r>
      <w:r w:rsidRPr="00213A5D">
        <w:rPr>
          <w:sz w:val="24"/>
          <w:szCs w:val="24"/>
        </w:rPr>
        <w:t> сентябрем</w:t>
      </w:r>
      <w:r w:rsidRPr="00213A5D">
        <w:rPr>
          <w:bCs/>
          <w:sz w:val="24"/>
          <w:szCs w:val="24"/>
        </w:rPr>
        <w:t xml:space="preserve"> 2021 года </w:t>
      </w:r>
      <w:r w:rsidRPr="00213A5D">
        <w:rPr>
          <w:b/>
          <w:bCs/>
          <w:sz w:val="24"/>
          <w:szCs w:val="24"/>
        </w:rPr>
        <w:t xml:space="preserve">уменьшилось </w:t>
      </w:r>
      <w:r w:rsidR="00E720BA" w:rsidRPr="00213A5D">
        <w:rPr>
          <w:b/>
          <w:bCs/>
          <w:sz w:val="24"/>
          <w:szCs w:val="24"/>
        </w:rPr>
        <w:br/>
      </w:r>
      <w:r w:rsidRPr="00213A5D">
        <w:rPr>
          <w:bCs/>
          <w:sz w:val="24"/>
          <w:szCs w:val="24"/>
        </w:rPr>
        <w:t>на 29,1 %.</w:t>
      </w:r>
    </w:p>
    <w:p w14:paraId="6C6A535D" w14:textId="77777777" w:rsidR="001178BA" w:rsidRPr="00213A5D" w:rsidRDefault="001178BA" w:rsidP="00044867">
      <w:pPr>
        <w:widowControl w:val="0"/>
        <w:ind w:left="0" w:right="0"/>
        <w:rPr>
          <w:bCs/>
          <w:sz w:val="24"/>
          <w:szCs w:val="24"/>
        </w:rPr>
      </w:pPr>
      <w:r w:rsidRPr="00213A5D">
        <w:rPr>
          <w:bCs/>
          <w:sz w:val="24"/>
          <w:szCs w:val="24"/>
        </w:rPr>
        <w:t xml:space="preserve">В общем объеме поступлений акцизов по подакцизным товарам (продукции) основную долю составляют акцизы на алкогольную продукцию с объемной долей этилового спирта свыше 9 </w:t>
      </w:r>
      <w:r w:rsidR="00E720BA" w:rsidRPr="00213A5D">
        <w:rPr>
          <w:bCs/>
          <w:sz w:val="24"/>
          <w:szCs w:val="24"/>
        </w:rPr>
        <w:t>%</w:t>
      </w:r>
      <w:r w:rsidRPr="00213A5D">
        <w:rPr>
          <w:bCs/>
          <w:sz w:val="24"/>
          <w:szCs w:val="24"/>
        </w:rPr>
        <w:t xml:space="preserve"> (за исключением пива, вин, фруктовых вин, игристых вин (шампанских), винных напитков, изготавливаемых без добавления ректификованного этилового спирта (31,7 % </w:t>
      </w:r>
      <w:r w:rsidRPr="00213A5D">
        <w:rPr>
          <w:sz w:val="24"/>
          <w:szCs w:val="24"/>
        </w:rPr>
        <w:t>общего объема поступлений данной подгруппы</w:t>
      </w:r>
      <w:r w:rsidRPr="00213A5D">
        <w:rPr>
          <w:bCs/>
          <w:sz w:val="24"/>
          <w:szCs w:val="24"/>
        </w:rPr>
        <w:t xml:space="preserve">) и акцизы на автомобили легковые </w:t>
      </w:r>
      <w:r w:rsidR="00E720BA" w:rsidRPr="00213A5D">
        <w:rPr>
          <w:bCs/>
          <w:sz w:val="24"/>
          <w:szCs w:val="24"/>
        </w:rPr>
        <w:br/>
      </w:r>
      <w:r w:rsidRPr="00213A5D">
        <w:rPr>
          <w:bCs/>
          <w:sz w:val="24"/>
          <w:szCs w:val="24"/>
        </w:rPr>
        <w:t>и мотоциклы, ввозимые на территорию Российской Федерации (15 %).</w:t>
      </w:r>
    </w:p>
    <w:p w14:paraId="460D18F0" w14:textId="77777777" w:rsidR="001178BA" w:rsidRPr="00213A5D" w:rsidRDefault="001178BA" w:rsidP="00044867">
      <w:pPr>
        <w:widowControl w:val="0"/>
        <w:ind w:left="0" w:right="0"/>
        <w:rPr>
          <w:bCs/>
          <w:sz w:val="24"/>
          <w:szCs w:val="24"/>
        </w:rPr>
      </w:pPr>
      <w:r w:rsidRPr="00213A5D">
        <w:rPr>
          <w:bCs/>
          <w:sz w:val="24"/>
          <w:szCs w:val="24"/>
        </w:rPr>
        <w:t xml:space="preserve">Поступление </w:t>
      </w:r>
      <w:r w:rsidRPr="00213A5D">
        <w:rPr>
          <w:b/>
          <w:bCs/>
          <w:sz w:val="24"/>
          <w:szCs w:val="24"/>
        </w:rPr>
        <w:t xml:space="preserve">акцизов на алкогольную продукцию с объемной долей этилового спирта свыше 9 </w:t>
      </w:r>
      <w:r w:rsidR="00E720BA" w:rsidRPr="00213A5D">
        <w:rPr>
          <w:b/>
          <w:bCs/>
          <w:sz w:val="24"/>
          <w:szCs w:val="24"/>
        </w:rPr>
        <w:t>%</w:t>
      </w:r>
      <w:r w:rsidRPr="00213A5D">
        <w:rPr>
          <w:b/>
          <w:bCs/>
          <w:sz w:val="24"/>
          <w:szCs w:val="24"/>
        </w:rPr>
        <w:t xml:space="preserve">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ввозимую на территорию Российской Федерации, </w:t>
      </w:r>
      <w:r w:rsidRPr="00213A5D">
        <w:rPr>
          <w:bCs/>
          <w:sz w:val="24"/>
          <w:szCs w:val="24"/>
        </w:rPr>
        <w:t>составило 61,3 %</w:t>
      </w:r>
      <w:r w:rsidR="00E720BA" w:rsidRPr="00213A5D">
        <w:rPr>
          <w:bCs/>
          <w:sz w:val="24"/>
          <w:szCs w:val="24"/>
        </w:rPr>
        <w:t xml:space="preserve"> показателя,</w:t>
      </w:r>
      <w:r w:rsidRPr="00213A5D">
        <w:rPr>
          <w:bCs/>
          <w:sz w:val="24"/>
          <w:szCs w:val="24"/>
        </w:rPr>
        <w:t xml:space="preserve"> установленного прогнозом поступлений, что обусловлено снижением фактических объемов ввоза алкогольной продукции на 10 % относительно показателей, учтенных при формировании бюджета.</w:t>
      </w:r>
    </w:p>
    <w:p w14:paraId="7F82764A" w14:textId="77777777" w:rsidR="001178BA" w:rsidRPr="00213A5D" w:rsidRDefault="001178BA" w:rsidP="00044867">
      <w:pPr>
        <w:widowControl w:val="0"/>
        <w:ind w:left="0" w:right="0"/>
        <w:rPr>
          <w:bCs/>
          <w:sz w:val="24"/>
          <w:szCs w:val="24"/>
        </w:rPr>
      </w:pPr>
      <w:r w:rsidRPr="00213A5D">
        <w:rPr>
          <w:b/>
          <w:bCs/>
          <w:sz w:val="24"/>
          <w:szCs w:val="24"/>
        </w:rPr>
        <w:t xml:space="preserve">По сравнению с январем – сентябрем 2021 года </w:t>
      </w:r>
      <w:r w:rsidRPr="00213A5D">
        <w:rPr>
          <w:bCs/>
          <w:sz w:val="24"/>
          <w:szCs w:val="24"/>
        </w:rPr>
        <w:t>снижение поступлений на 12,6 % обусловлено сокращением объемов ввоза товаров на 17 % на фоне роста ставки акциза на 4 %.</w:t>
      </w:r>
    </w:p>
    <w:p w14:paraId="4B01038C" w14:textId="77777777" w:rsidR="001178BA" w:rsidRPr="00213A5D" w:rsidRDefault="001178BA" w:rsidP="00AF1852">
      <w:pPr>
        <w:widowControl w:val="0"/>
        <w:ind w:left="0" w:right="0"/>
        <w:rPr>
          <w:bCs/>
          <w:sz w:val="24"/>
          <w:szCs w:val="24"/>
        </w:rPr>
      </w:pPr>
      <w:r w:rsidRPr="00213A5D">
        <w:rPr>
          <w:bCs/>
          <w:sz w:val="24"/>
          <w:szCs w:val="24"/>
        </w:rPr>
        <w:t xml:space="preserve">Поступление </w:t>
      </w:r>
      <w:r w:rsidRPr="00213A5D">
        <w:rPr>
          <w:b/>
          <w:bCs/>
          <w:sz w:val="24"/>
          <w:szCs w:val="24"/>
        </w:rPr>
        <w:t xml:space="preserve">акцизов на автомобили легковые и мотоциклы, ввозимые на территорию Российской Федерации, </w:t>
      </w:r>
      <w:r w:rsidRPr="00213A5D">
        <w:rPr>
          <w:bCs/>
          <w:sz w:val="24"/>
          <w:szCs w:val="24"/>
        </w:rPr>
        <w:t>составило 21,4 %</w:t>
      </w:r>
      <w:r w:rsidR="008478B7" w:rsidRPr="00213A5D">
        <w:rPr>
          <w:bCs/>
          <w:sz w:val="24"/>
          <w:szCs w:val="24"/>
        </w:rPr>
        <w:t xml:space="preserve"> показателя,</w:t>
      </w:r>
      <w:r w:rsidRPr="00213A5D">
        <w:rPr>
          <w:bCs/>
          <w:sz w:val="24"/>
          <w:szCs w:val="24"/>
        </w:rPr>
        <w:t xml:space="preserve"> установленного прогнозом поступлений</w:t>
      </w:r>
      <w:r w:rsidR="008478B7" w:rsidRPr="00213A5D">
        <w:rPr>
          <w:bCs/>
          <w:sz w:val="24"/>
          <w:szCs w:val="24"/>
        </w:rPr>
        <w:t>,</w:t>
      </w:r>
      <w:r w:rsidRPr="00213A5D">
        <w:rPr>
          <w:bCs/>
          <w:sz w:val="24"/>
          <w:szCs w:val="24"/>
        </w:rPr>
        <w:t xml:space="preserve"> и по сравнению с январем – сентябрем 2021 года</w:t>
      </w:r>
      <w:r w:rsidRPr="00213A5D">
        <w:rPr>
          <w:b/>
          <w:bCs/>
          <w:sz w:val="24"/>
          <w:szCs w:val="24"/>
        </w:rPr>
        <w:t xml:space="preserve"> уменьшилось</w:t>
      </w:r>
      <w:r w:rsidRPr="00213A5D">
        <w:rPr>
          <w:bCs/>
          <w:sz w:val="24"/>
          <w:szCs w:val="24"/>
        </w:rPr>
        <w:t xml:space="preserve"> в 2,7 раза, что обусловлено сокращением объемов ввоза легковых автомобилей и мотоциклов в марте – сентябре 2022 года.</w:t>
      </w:r>
    </w:p>
    <w:p w14:paraId="00F1E5B5" w14:textId="77777777" w:rsidR="001178BA" w:rsidRPr="00213A5D" w:rsidRDefault="001178BA" w:rsidP="00AF1852">
      <w:pPr>
        <w:widowControl w:val="0"/>
        <w:ind w:left="0" w:right="0"/>
        <w:rPr>
          <w:bCs/>
          <w:sz w:val="24"/>
          <w:szCs w:val="24"/>
        </w:rPr>
      </w:pPr>
      <w:r w:rsidRPr="00213A5D">
        <w:rPr>
          <w:b/>
          <w:bCs/>
          <w:sz w:val="24"/>
          <w:szCs w:val="24"/>
        </w:rPr>
        <w:t>3.3.1.7.</w:t>
      </w:r>
      <w:r w:rsidRPr="00213A5D">
        <w:rPr>
          <w:bCs/>
          <w:sz w:val="24"/>
          <w:szCs w:val="24"/>
        </w:rPr>
        <w:t xml:space="preserve"> Поступление </w:t>
      </w:r>
      <w:r w:rsidRPr="00213A5D">
        <w:rPr>
          <w:b/>
          <w:bCs/>
          <w:sz w:val="24"/>
          <w:szCs w:val="24"/>
        </w:rPr>
        <w:t>НДПИ</w:t>
      </w:r>
      <w:r w:rsidRPr="00213A5D">
        <w:rPr>
          <w:bCs/>
          <w:sz w:val="24"/>
          <w:szCs w:val="24"/>
        </w:rPr>
        <w:t xml:space="preserve"> составило 98,3 % </w:t>
      </w:r>
      <w:r w:rsidR="008478B7" w:rsidRPr="00213A5D">
        <w:rPr>
          <w:bCs/>
          <w:sz w:val="24"/>
          <w:szCs w:val="24"/>
        </w:rPr>
        <w:t xml:space="preserve">показателя, </w:t>
      </w:r>
      <w:r w:rsidRPr="00213A5D">
        <w:rPr>
          <w:bCs/>
          <w:sz w:val="24"/>
          <w:szCs w:val="24"/>
        </w:rPr>
        <w:t xml:space="preserve">установленного прогнозом </w:t>
      </w:r>
      <w:r w:rsidRPr="00213A5D">
        <w:rPr>
          <w:bCs/>
          <w:sz w:val="24"/>
          <w:szCs w:val="24"/>
        </w:rPr>
        <w:lastRenderedPageBreak/>
        <w:t>поступлений</w:t>
      </w:r>
      <w:r w:rsidR="008478B7" w:rsidRPr="00213A5D">
        <w:rPr>
          <w:bCs/>
          <w:sz w:val="24"/>
          <w:szCs w:val="24"/>
        </w:rPr>
        <w:t>,</w:t>
      </w:r>
      <w:r w:rsidRPr="00213A5D">
        <w:rPr>
          <w:bCs/>
          <w:sz w:val="24"/>
          <w:szCs w:val="24"/>
        </w:rPr>
        <w:t xml:space="preserve"> и по сравнению с январем</w:t>
      </w:r>
      <w:r w:rsidRPr="00213A5D">
        <w:rPr>
          <w:sz w:val="24"/>
          <w:szCs w:val="24"/>
        </w:rPr>
        <w:t> </w:t>
      </w:r>
      <w:r w:rsidRPr="00213A5D">
        <w:rPr>
          <w:rFonts w:eastAsia="Times New Roman"/>
          <w:sz w:val="24"/>
          <w:szCs w:val="24"/>
        </w:rPr>
        <w:t>–</w:t>
      </w:r>
      <w:r w:rsidRPr="00213A5D">
        <w:rPr>
          <w:sz w:val="24"/>
          <w:szCs w:val="24"/>
        </w:rPr>
        <w:t> сентябрем</w:t>
      </w:r>
      <w:r w:rsidRPr="00213A5D">
        <w:rPr>
          <w:bCs/>
          <w:sz w:val="24"/>
          <w:szCs w:val="24"/>
        </w:rPr>
        <w:t xml:space="preserve"> 2021 года </w:t>
      </w:r>
      <w:r w:rsidRPr="00213A5D">
        <w:rPr>
          <w:b/>
          <w:bCs/>
          <w:sz w:val="24"/>
          <w:szCs w:val="24"/>
        </w:rPr>
        <w:t xml:space="preserve">увеличилось </w:t>
      </w:r>
      <w:r w:rsidRPr="00213A5D">
        <w:rPr>
          <w:bCs/>
          <w:sz w:val="24"/>
          <w:szCs w:val="24"/>
        </w:rPr>
        <w:t>в 1,6 раза.</w:t>
      </w:r>
    </w:p>
    <w:p w14:paraId="5B060E0B" w14:textId="77777777" w:rsidR="001178BA" w:rsidRPr="00213A5D" w:rsidRDefault="001178BA" w:rsidP="00AF1852">
      <w:pPr>
        <w:widowControl w:val="0"/>
        <w:ind w:left="0" w:right="0"/>
        <w:rPr>
          <w:bCs/>
          <w:sz w:val="24"/>
          <w:szCs w:val="24"/>
        </w:rPr>
      </w:pPr>
      <w:r w:rsidRPr="00213A5D">
        <w:rPr>
          <w:bCs/>
          <w:sz w:val="24"/>
          <w:szCs w:val="24"/>
        </w:rPr>
        <w:t>Основной удельный вес занима</w:t>
      </w:r>
      <w:r w:rsidR="008478B7" w:rsidRPr="00213A5D">
        <w:rPr>
          <w:bCs/>
          <w:sz w:val="24"/>
          <w:szCs w:val="24"/>
        </w:rPr>
        <w:t>е</w:t>
      </w:r>
      <w:r w:rsidRPr="00213A5D">
        <w:rPr>
          <w:bCs/>
          <w:sz w:val="24"/>
          <w:szCs w:val="24"/>
        </w:rPr>
        <w:t>т НДПИ на нефть и газ горючий природный из всех видов месторождений углеводородного сырья (94,2 %), рост поступления котор</w:t>
      </w:r>
      <w:r w:rsidR="008478B7" w:rsidRPr="00213A5D">
        <w:rPr>
          <w:bCs/>
          <w:sz w:val="24"/>
          <w:szCs w:val="24"/>
        </w:rPr>
        <w:t>ого</w:t>
      </w:r>
      <w:r w:rsidRPr="00213A5D">
        <w:rPr>
          <w:bCs/>
          <w:sz w:val="24"/>
          <w:szCs w:val="24"/>
        </w:rPr>
        <w:t xml:space="preserve"> обусловлен увеличением средней цены на нефть сырую марки «Юралс» и газ природный.</w:t>
      </w:r>
    </w:p>
    <w:p w14:paraId="1255AC2B" w14:textId="77777777" w:rsidR="001178BA" w:rsidRPr="00213A5D" w:rsidRDefault="001178BA" w:rsidP="00AF1852">
      <w:pPr>
        <w:widowControl w:val="0"/>
        <w:ind w:left="0" w:right="0"/>
        <w:rPr>
          <w:bCs/>
          <w:sz w:val="24"/>
          <w:szCs w:val="24"/>
        </w:rPr>
      </w:pPr>
      <w:r w:rsidRPr="00213A5D">
        <w:rPr>
          <w:bCs/>
          <w:sz w:val="24"/>
          <w:szCs w:val="24"/>
        </w:rPr>
        <w:t xml:space="preserve">Поступление </w:t>
      </w:r>
      <w:r w:rsidRPr="00213A5D">
        <w:rPr>
          <w:b/>
          <w:bCs/>
          <w:sz w:val="24"/>
          <w:szCs w:val="24"/>
        </w:rPr>
        <w:t>НДПИ на нефть</w:t>
      </w:r>
      <w:r w:rsidRPr="00213A5D">
        <w:rPr>
          <w:bCs/>
          <w:sz w:val="24"/>
          <w:szCs w:val="24"/>
        </w:rPr>
        <w:t xml:space="preserve"> составило 99,7 % </w:t>
      </w:r>
      <w:r w:rsidR="008478B7" w:rsidRPr="00213A5D">
        <w:rPr>
          <w:bCs/>
          <w:sz w:val="24"/>
          <w:szCs w:val="24"/>
        </w:rPr>
        <w:t xml:space="preserve">показателя, </w:t>
      </w:r>
      <w:r w:rsidRPr="00213A5D">
        <w:rPr>
          <w:bCs/>
          <w:sz w:val="24"/>
          <w:szCs w:val="24"/>
        </w:rPr>
        <w:t>установленного прогнозом поступлений, что обусловлено увеличением цены на нефть сырую марки «Юралс» в декабре 2021 года – августе 2022 года на 31 % (с 63,2 до 82,8 доллара США за баррель) относительно показателей, учтенных при формировании бюджета.</w:t>
      </w:r>
    </w:p>
    <w:p w14:paraId="7BBAA956" w14:textId="77777777" w:rsidR="001178BA" w:rsidRPr="00213A5D" w:rsidRDefault="001178BA" w:rsidP="00AF1852">
      <w:pPr>
        <w:widowControl w:val="0"/>
        <w:ind w:left="0" w:right="0"/>
        <w:rPr>
          <w:bCs/>
          <w:sz w:val="24"/>
          <w:szCs w:val="24"/>
        </w:rPr>
      </w:pPr>
      <w:r w:rsidRPr="00213A5D">
        <w:rPr>
          <w:b/>
          <w:bCs/>
          <w:sz w:val="24"/>
          <w:szCs w:val="24"/>
        </w:rPr>
        <w:t xml:space="preserve">По сравнению с январем – сентябрем 2021 года </w:t>
      </w:r>
      <w:r w:rsidRPr="00213A5D">
        <w:rPr>
          <w:bCs/>
          <w:sz w:val="24"/>
          <w:szCs w:val="24"/>
        </w:rPr>
        <w:t>увеличение поступлений в 1,6 раза в основном обусловлено увеличением средней цены на нефть сырую марки «Юралс» на 30,4 % (с 63,5 до 82,8 доллара США за баррель), изменением законодательства в части порядка расчета коэффициентов К</w:t>
      </w:r>
      <w:r w:rsidRPr="00213A5D">
        <w:rPr>
          <w:bCs/>
          <w:sz w:val="24"/>
          <w:szCs w:val="24"/>
          <w:vertAlign w:val="subscript"/>
        </w:rPr>
        <w:t>МАН</w:t>
      </w:r>
      <w:r w:rsidRPr="00213A5D">
        <w:rPr>
          <w:bCs/>
          <w:sz w:val="24"/>
          <w:szCs w:val="24"/>
        </w:rPr>
        <w:t xml:space="preserve"> (в составе показателей увеличивается К</w:t>
      </w:r>
      <w:r w:rsidRPr="00213A5D">
        <w:rPr>
          <w:bCs/>
          <w:sz w:val="24"/>
          <w:szCs w:val="24"/>
          <w:vertAlign w:val="subscript"/>
        </w:rPr>
        <w:t>корр</w:t>
      </w:r>
      <w:r w:rsidRPr="00213A5D">
        <w:rPr>
          <w:bCs/>
          <w:sz w:val="24"/>
          <w:szCs w:val="24"/>
        </w:rPr>
        <w:t xml:space="preserve"> с 0,500 </w:t>
      </w:r>
      <w:r w:rsidR="00EB1689" w:rsidRPr="00213A5D">
        <w:rPr>
          <w:bCs/>
          <w:sz w:val="24"/>
          <w:szCs w:val="24"/>
        </w:rPr>
        <w:br/>
      </w:r>
      <w:r w:rsidRPr="00213A5D">
        <w:rPr>
          <w:bCs/>
          <w:sz w:val="24"/>
          <w:szCs w:val="24"/>
        </w:rPr>
        <w:t>в 2021 году до 0,667 в 2022 году) и К</w:t>
      </w:r>
      <w:r w:rsidRPr="00213A5D">
        <w:rPr>
          <w:bCs/>
          <w:sz w:val="24"/>
          <w:szCs w:val="24"/>
          <w:vertAlign w:val="subscript"/>
        </w:rPr>
        <w:t>АБДТ</w:t>
      </w:r>
      <w:r w:rsidRPr="00213A5D">
        <w:rPr>
          <w:bCs/>
          <w:sz w:val="24"/>
          <w:szCs w:val="24"/>
        </w:rPr>
        <w:t xml:space="preserve">, увеличивающих ставку налога в соответствии </w:t>
      </w:r>
      <w:r w:rsidR="005D5071" w:rsidRPr="00213A5D">
        <w:rPr>
          <w:bCs/>
          <w:sz w:val="24"/>
          <w:szCs w:val="24"/>
        </w:rPr>
        <w:br/>
      </w:r>
      <w:r w:rsidRPr="00213A5D">
        <w:rPr>
          <w:bCs/>
          <w:sz w:val="24"/>
          <w:szCs w:val="24"/>
        </w:rPr>
        <w:t>с Федеральным законом от 3 августа 2018 г</w:t>
      </w:r>
      <w:r w:rsidR="008478B7" w:rsidRPr="00213A5D">
        <w:rPr>
          <w:bCs/>
          <w:sz w:val="24"/>
          <w:szCs w:val="24"/>
        </w:rPr>
        <w:t>.</w:t>
      </w:r>
      <w:r w:rsidRPr="00213A5D">
        <w:rPr>
          <w:bCs/>
          <w:sz w:val="24"/>
          <w:szCs w:val="24"/>
        </w:rPr>
        <w:t xml:space="preserve"> № 301-ФЗ «О внесении изменений </w:t>
      </w:r>
      <w:r w:rsidR="00EB1689" w:rsidRPr="00213A5D">
        <w:rPr>
          <w:bCs/>
          <w:sz w:val="24"/>
          <w:szCs w:val="24"/>
        </w:rPr>
        <w:br/>
      </w:r>
      <w:r w:rsidRPr="00213A5D">
        <w:rPr>
          <w:bCs/>
          <w:sz w:val="24"/>
          <w:szCs w:val="24"/>
        </w:rPr>
        <w:t>в отдельные законодательные акты Российской Федерации», а также увеличением объемов добычи нефти, по данным Росстата</w:t>
      </w:r>
      <w:r w:rsidR="00842160" w:rsidRPr="00213A5D">
        <w:rPr>
          <w:bCs/>
          <w:sz w:val="24"/>
          <w:szCs w:val="24"/>
        </w:rPr>
        <w:t>,</w:t>
      </w:r>
      <w:r w:rsidRPr="00213A5D">
        <w:rPr>
          <w:bCs/>
          <w:sz w:val="24"/>
          <w:szCs w:val="24"/>
        </w:rPr>
        <w:t xml:space="preserve"> за декабрь 2021 года</w:t>
      </w:r>
      <w:r w:rsidRPr="00213A5D">
        <w:rPr>
          <w:sz w:val="24"/>
          <w:szCs w:val="24"/>
        </w:rPr>
        <w:t> </w:t>
      </w:r>
      <w:r w:rsidRPr="00213A5D">
        <w:rPr>
          <w:rFonts w:eastAsia="Times New Roman"/>
          <w:sz w:val="24"/>
          <w:szCs w:val="24"/>
        </w:rPr>
        <w:t>–</w:t>
      </w:r>
      <w:r w:rsidRPr="00213A5D">
        <w:rPr>
          <w:sz w:val="24"/>
          <w:szCs w:val="24"/>
        </w:rPr>
        <w:t> </w:t>
      </w:r>
      <w:r w:rsidRPr="00213A5D">
        <w:rPr>
          <w:bCs/>
          <w:sz w:val="24"/>
          <w:szCs w:val="24"/>
        </w:rPr>
        <w:t xml:space="preserve">август 2022 года на 3,1 % </w:t>
      </w:r>
      <w:r w:rsidR="005D5071" w:rsidRPr="00213A5D">
        <w:rPr>
          <w:bCs/>
          <w:sz w:val="24"/>
          <w:szCs w:val="24"/>
        </w:rPr>
        <w:br/>
      </w:r>
      <w:r w:rsidRPr="00213A5D">
        <w:rPr>
          <w:bCs/>
          <w:sz w:val="24"/>
          <w:szCs w:val="24"/>
        </w:rPr>
        <w:t>по сравнению с аналогичным периодом 2021 года.</w:t>
      </w:r>
    </w:p>
    <w:p w14:paraId="42FF3F87" w14:textId="77777777" w:rsidR="001178BA" w:rsidRPr="00213A5D" w:rsidRDefault="001178BA" w:rsidP="00AF1852">
      <w:pPr>
        <w:widowControl w:val="0"/>
        <w:tabs>
          <w:tab w:val="left" w:pos="9923"/>
        </w:tabs>
        <w:ind w:left="0" w:right="0"/>
        <w:rPr>
          <w:bCs/>
          <w:sz w:val="24"/>
          <w:szCs w:val="24"/>
        </w:rPr>
      </w:pPr>
      <w:r w:rsidRPr="00213A5D">
        <w:rPr>
          <w:b/>
          <w:bCs/>
          <w:sz w:val="24"/>
          <w:szCs w:val="24"/>
        </w:rPr>
        <w:t>3.3.2.</w:t>
      </w:r>
      <w:r w:rsidRPr="00213A5D">
        <w:rPr>
          <w:bCs/>
          <w:sz w:val="24"/>
          <w:szCs w:val="24"/>
        </w:rPr>
        <w:t xml:space="preserve"> Структура и объем </w:t>
      </w:r>
      <w:r w:rsidRPr="00213A5D">
        <w:rPr>
          <w:b/>
          <w:bCs/>
          <w:sz w:val="24"/>
          <w:szCs w:val="24"/>
        </w:rPr>
        <w:t>неналоговых</w:t>
      </w:r>
      <w:r w:rsidRPr="00213A5D">
        <w:rPr>
          <w:bCs/>
          <w:sz w:val="24"/>
          <w:szCs w:val="24"/>
        </w:rPr>
        <w:t xml:space="preserve"> доходов федерального бюджета в январе –</w:t>
      </w:r>
      <w:r w:rsidR="006B4B6D" w:rsidRPr="00213A5D">
        <w:rPr>
          <w:bCs/>
          <w:sz w:val="24"/>
          <w:szCs w:val="24"/>
        </w:rPr>
        <w:t xml:space="preserve"> </w:t>
      </w:r>
      <w:r w:rsidRPr="00213A5D">
        <w:rPr>
          <w:bCs/>
          <w:sz w:val="24"/>
          <w:szCs w:val="24"/>
        </w:rPr>
        <w:t>сентябре 2022 года представлены на следующей диаграмме.</w:t>
      </w:r>
    </w:p>
    <w:p w14:paraId="5534FE7A" w14:textId="77777777" w:rsidR="007E2CBE" w:rsidRPr="00213A5D" w:rsidRDefault="007E2CBE" w:rsidP="007E2CBE">
      <w:pPr>
        <w:widowControl w:val="0"/>
        <w:tabs>
          <w:tab w:val="left" w:pos="9923"/>
        </w:tabs>
        <w:spacing w:line="240" w:lineRule="auto"/>
        <w:ind w:left="0" w:right="0"/>
        <w:rPr>
          <w:bCs/>
          <w:sz w:val="24"/>
          <w:szCs w:val="24"/>
        </w:rPr>
      </w:pPr>
    </w:p>
    <w:p w14:paraId="6D135F64" w14:textId="77777777" w:rsidR="001178BA" w:rsidRPr="00213A5D" w:rsidRDefault="00CD0E98" w:rsidP="00AF1852">
      <w:pPr>
        <w:widowControl w:val="0"/>
        <w:spacing w:line="372" w:lineRule="auto"/>
        <w:ind w:left="0" w:right="0" w:firstLine="0"/>
        <w:jc w:val="center"/>
        <w:rPr>
          <w:bCs/>
          <w:sz w:val="24"/>
          <w:szCs w:val="24"/>
        </w:rPr>
      </w:pPr>
      <w:r w:rsidRPr="00CD0E98">
        <w:rPr>
          <w:bCs/>
          <w:noProof/>
          <w:sz w:val="24"/>
          <w:szCs w:val="24"/>
        </w:rPr>
        <w:pict w14:anchorId="18BD20D7">
          <v:shape id="_x0000_i1072" type="#_x0000_t75" alt="" style="width:444.9pt;height:260.85pt;mso-width-percent:0;mso-height-percent:0;mso-position-horizontal-relative:char;mso-position-vertical-relative:line;mso-width-percent:0;mso-height-percent:0">
            <v:imagedata r:id="rId18" o:title=""/>
          </v:shape>
        </w:pict>
      </w:r>
    </w:p>
    <w:p w14:paraId="1B3F6DB3" w14:textId="77777777" w:rsidR="00EB1689" w:rsidRPr="00213A5D" w:rsidRDefault="00EB1689" w:rsidP="00AF1852">
      <w:pPr>
        <w:widowControl w:val="0"/>
        <w:spacing w:line="372" w:lineRule="auto"/>
        <w:ind w:left="0" w:right="0" w:firstLine="0"/>
        <w:jc w:val="center"/>
        <w:rPr>
          <w:bCs/>
          <w:sz w:val="24"/>
          <w:szCs w:val="24"/>
        </w:rPr>
      </w:pPr>
    </w:p>
    <w:p w14:paraId="6B6034EE" w14:textId="77777777" w:rsidR="001178BA" w:rsidRPr="00213A5D" w:rsidRDefault="001178BA" w:rsidP="00AF1852">
      <w:pPr>
        <w:widowControl w:val="0"/>
        <w:ind w:left="0" w:right="0"/>
        <w:rPr>
          <w:sz w:val="24"/>
          <w:szCs w:val="24"/>
        </w:rPr>
      </w:pPr>
      <w:r w:rsidRPr="00213A5D">
        <w:rPr>
          <w:sz w:val="24"/>
          <w:szCs w:val="24"/>
        </w:rPr>
        <w:t xml:space="preserve">Данные об основных неналоговых доходах федерального бюджета, поступивших </w:t>
      </w:r>
      <w:r w:rsidRPr="00213A5D">
        <w:rPr>
          <w:sz w:val="24"/>
          <w:szCs w:val="24"/>
        </w:rPr>
        <w:lastRenderedPageBreak/>
        <w:t>в январе – сентябре 2021 и 2022 год</w:t>
      </w:r>
      <w:r w:rsidR="00497A37" w:rsidRPr="00213A5D">
        <w:rPr>
          <w:sz w:val="24"/>
          <w:szCs w:val="24"/>
        </w:rPr>
        <w:t>ов</w:t>
      </w:r>
      <w:r w:rsidRPr="00213A5D">
        <w:rPr>
          <w:sz w:val="24"/>
          <w:szCs w:val="24"/>
        </w:rPr>
        <w:t>, представлены в следующей таблице.</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567"/>
        <w:gridCol w:w="567"/>
        <w:gridCol w:w="992"/>
        <w:gridCol w:w="567"/>
        <w:gridCol w:w="567"/>
        <w:gridCol w:w="567"/>
        <w:gridCol w:w="709"/>
        <w:gridCol w:w="567"/>
        <w:gridCol w:w="709"/>
      </w:tblGrid>
      <w:tr w:rsidR="001178BA" w:rsidRPr="00213A5D" w14:paraId="72A17E5F" w14:textId="77777777" w:rsidTr="009B114B">
        <w:trPr>
          <w:trHeight w:val="53"/>
          <w:tblHeader/>
        </w:trPr>
        <w:tc>
          <w:tcPr>
            <w:tcW w:w="2694" w:type="dxa"/>
            <w:vMerge w:val="restart"/>
            <w:shd w:val="clear" w:color="auto" w:fill="auto"/>
            <w:vAlign w:val="center"/>
            <w:hideMark/>
          </w:tcPr>
          <w:p w14:paraId="64DB848C"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Наименование показателя</w:t>
            </w:r>
          </w:p>
        </w:tc>
        <w:tc>
          <w:tcPr>
            <w:tcW w:w="992" w:type="dxa"/>
            <w:vMerge w:val="restart"/>
            <w:shd w:val="clear" w:color="auto" w:fill="auto"/>
            <w:vAlign w:val="center"/>
            <w:hideMark/>
          </w:tcPr>
          <w:p w14:paraId="5478D2E3" w14:textId="77777777" w:rsidR="001178BA" w:rsidRPr="00213A5D" w:rsidRDefault="001178BA" w:rsidP="00AF1852">
            <w:pPr>
              <w:widowControl w:val="0"/>
              <w:overflowPunct/>
              <w:autoSpaceDE/>
              <w:autoSpaceDN/>
              <w:adjustRightInd/>
              <w:spacing w:line="240" w:lineRule="auto"/>
              <w:ind w:left="-100" w:right="-62" w:firstLine="0"/>
              <w:jc w:val="center"/>
              <w:textAlignment w:val="auto"/>
              <w:rPr>
                <w:rFonts w:eastAsia="Times New Roman"/>
                <w:color w:val="000000"/>
                <w:sz w:val="14"/>
                <w:szCs w:val="14"/>
              </w:rPr>
            </w:pPr>
            <w:r w:rsidRPr="00213A5D">
              <w:rPr>
                <w:rFonts w:eastAsia="Times New Roman"/>
                <w:color w:val="000000"/>
                <w:sz w:val="14"/>
                <w:szCs w:val="14"/>
              </w:rPr>
              <w:t>Прогноз доходов федерального бюджета</w:t>
            </w:r>
          </w:p>
          <w:p w14:paraId="3A3F3B1D" w14:textId="77777777" w:rsidR="001178BA" w:rsidRPr="00213A5D" w:rsidRDefault="001178BA" w:rsidP="00AF1852">
            <w:pPr>
              <w:widowControl w:val="0"/>
              <w:overflowPunct/>
              <w:autoSpaceDE/>
              <w:autoSpaceDN/>
              <w:adjustRightInd/>
              <w:spacing w:line="240" w:lineRule="auto"/>
              <w:ind w:left="-100" w:right="-62" w:firstLine="0"/>
              <w:jc w:val="center"/>
              <w:textAlignment w:val="auto"/>
              <w:rPr>
                <w:rFonts w:eastAsia="Times New Roman"/>
                <w:color w:val="000000"/>
                <w:sz w:val="14"/>
                <w:szCs w:val="14"/>
              </w:rPr>
            </w:pPr>
            <w:r w:rsidRPr="00213A5D">
              <w:rPr>
                <w:rFonts w:eastAsia="Times New Roman"/>
                <w:color w:val="000000"/>
                <w:sz w:val="14"/>
                <w:szCs w:val="14"/>
              </w:rPr>
              <w:t xml:space="preserve"> на 2022 год в соответствии с Федеральным законом</w:t>
            </w:r>
          </w:p>
          <w:p w14:paraId="26CB898D" w14:textId="77777777" w:rsidR="001178BA" w:rsidRPr="00213A5D" w:rsidRDefault="001178BA" w:rsidP="00AF1852">
            <w:pPr>
              <w:widowControl w:val="0"/>
              <w:overflowPunct/>
              <w:autoSpaceDE/>
              <w:autoSpaceDN/>
              <w:adjustRightInd/>
              <w:spacing w:line="240" w:lineRule="auto"/>
              <w:ind w:left="-100" w:right="-62" w:firstLine="0"/>
              <w:jc w:val="center"/>
              <w:textAlignment w:val="auto"/>
              <w:rPr>
                <w:rFonts w:eastAsia="Times New Roman"/>
                <w:color w:val="000000"/>
                <w:sz w:val="14"/>
                <w:szCs w:val="14"/>
              </w:rPr>
            </w:pPr>
            <w:r w:rsidRPr="00213A5D">
              <w:rPr>
                <w:rFonts w:eastAsia="Times New Roman"/>
                <w:color w:val="000000"/>
                <w:sz w:val="14"/>
                <w:szCs w:val="14"/>
              </w:rPr>
              <w:t xml:space="preserve"> № 390-ФЗ</w:t>
            </w:r>
          </w:p>
        </w:tc>
        <w:tc>
          <w:tcPr>
            <w:tcW w:w="2126" w:type="dxa"/>
            <w:gridSpan w:val="3"/>
            <w:shd w:val="clear" w:color="auto" w:fill="auto"/>
            <w:vAlign w:val="center"/>
            <w:hideMark/>
          </w:tcPr>
          <w:p w14:paraId="69689AAC" w14:textId="77777777" w:rsidR="001178BA" w:rsidRPr="00213A5D" w:rsidRDefault="006B4B6D"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 xml:space="preserve">январь – </w:t>
            </w:r>
            <w:r w:rsidR="001178BA" w:rsidRPr="00213A5D">
              <w:rPr>
                <w:rFonts w:eastAsia="Times New Roman"/>
                <w:color w:val="000000"/>
                <w:sz w:val="14"/>
                <w:szCs w:val="14"/>
              </w:rPr>
              <w:t>сентябрь 2021 года</w:t>
            </w:r>
          </w:p>
        </w:tc>
        <w:tc>
          <w:tcPr>
            <w:tcW w:w="2126" w:type="dxa"/>
            <w:gridSpan w:val="3"/>
            <w:shd w:val="clear" w:color="auto" w:fill="auto"/>
            <w:vAlign w:val="center"/>
            <w:hideMark/>
          </w:tcPr>
          <w:p w14:paraId="6D029804" w14:textId="77777777" w:rsidR="001178BA" w:rsidRPr="00213A5D" w:rsidRDefault="006B4B6D"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я</w:t>
            </w:r>
            <w:r w:rsidR="001178BA" w:rsidRPr="00213A5D">
              <w:rPr>
                <w:rFonts w:eastAsia="Times New Roman"/>
                <w:color w:val="000000"/>
                <w:sz w:val="14"/>
                <w:szCs w:val="14"/>
              </w:rPr>
              <w:t>нварь</w:t>
            </w:r>
            <w:r w:rsidRPr="00213A5D">
              <w:rPr>
                <w:rFonts w:eastAsia="Times New Roman"/>
                <w:color w:val="000000"/>
                <w:sz w:val="14"/>
                <w:szCs w:val="14"/>
              </w:rPr>
              <w:t xml:space="preserve"> – </w:t>
            </w:r>
            <w:r w:rsidR="001178BA" w:rsidRPr="00213A5D">
              <w:rPr>
                <w:rFonts w:eastAsia="Times New Roman"/>
                <w:color w:val="000000"/>
                <w:sz w:val="14"/>
                <w:szCs w:val="14"/>
              </w:rPr>
              <w:t>сентябрь 2022 года</w:t>
            </w:r>
          </w:p>
        </w:tc>
        <w:tc>
          <w:tcPr>
            <w:tcW w:w="2552" w:type="dxa"/>
            <w:gridSpan w:val="4"/>
            <w:shd w:val="clear" w:color="auto" w:fill="auto"/>
            <w:vAlign w:val="center"/>
            <w:hideMark/>
          </w:tcPr>
          <w:p w14:paraId="178EC200" w14:textId="77777777" w:rsidR="001178BA" w:rsidRPr="00213A5D" w:rsidRDefault="001178BA" w:rsidP="00AF1852">
            <w:pPr>
              <w:widowControl w:val="0"/>
              <w:overflowPunct/>
              <w:autoSpaceDE/>
              <w:autoSpaceDN/>
              <w:adjustRightInd/>
              <w:spacing w:line="240" w:lineRule="auto"/>
              <w:ind w:left="-107" w:right="-108" w:firstLine="0"/>
              <w:jc w:val="center"/>
              <w:textAlignment w:val="auto"/>
              <w:rPr>
                <w:rFonts w:eastAsia="Times New Roman"/>
                <w:color w:val="000000"/>
                <w:sz w:val="14"/>
                <w:szCs w:val="14"/>
              </w:rPr>
            </w:pPr>
            <w:r w:rsidRPr="00213A5D">
              <w:rPr>
                <w:rFonts w:eastAsia="Times New Roman"/>
                <w:color w:val="000000"/>
                <w:sz w:val="14"/>
                <w:szCs w:val="14"/>
              </w:rPr>
              <w:t>Отклонение</w:t>
            </w:r>
          </w:p>
          <w:p w14:paraId="5AB526E1" w14:textId="77777777" w:rsidR="001178BA" w:rsidRPr="00213A5D" w:rsidRDefault="001178BA" w:rsidP="009724F9">
            <w:pPr>
              <w:widowControl w:val="0"/>
              <w:overflowPunct/>
              <w:autoSpaceDE/>
              <w:autoSpaceDN/>
              <w:adjustRightInd/>
              <w:spacing w:line="240" w:lineRule="auto"/>
              <w:ind w:left="-107" w:right="-108" w:firstLine="0"/>
              <w:jc w:val="center"/>
              <w:textAlignment w:val="auto"/>
              <w:rPr>
                <w:rFonts w:eastAsia="Times New Roman"/>
                <w:color w:val="000000"/>
                <w:sz w:val="14"/>
                <w:szCs w:val="14"/>
              </w:rPr>
            </w:pPr>
            <w:r w:rsidRPr="00213A5D">
              <w:rPr>
                <w:rFonts w:eastAsia="Times New Roman"/>
                <w:color w:val="000000"/>
                <w:sz w:val="14"/>
                <w:szCs w:val="14"/>
              </w:rPr>
              <w:t xml:space="preserve">исполнения </w:t>
            </w:r>
            <w:r w:rsidR="006B4B6D" w:rsidRPr="00213A5D">
              <w:rPr>
                <w:rFonts w:eastAsia="Times New Roman"/>
                <w:color w:val="000000"/>
                <w:sz w:val="14"/>
                <w:szCs w:val="14"/>
              </w:rPr>
              <w:t xml:space="preserve">января – </w:t>
            </w:r>
            <w:r w:rsidRPr="00213A5D">
              <w:rPr>
                <w:rFonts w:eastAsia="Times New Roman"/>
                <w:color w:val="000000"/>
                <w:sz w:val="14"/>
                <w:szCs w:val="14"/>
              </w:rPr>
              <w:t>сентября 2022 г. от</w:t>
            </w:r>
          </w:p>
        </w:tc>
      </w:tr>
      <w:tr w:rsidR="001178BA" w:rsidRPr="00213A5D" w14:paraId="289B30DA" w14:textId="77777777" w:rsidTr="009B114B">
        <w:trPr>
          <w:trHeight w:val="654"/>
          <w:tblHeader/>
        </w:trPr>
        <w:tc>
          <w:tcPr>
            <w:tcW w:w="2694" w:type="dxa"/>
            <w:vMerge/>
            <w:vAlign w:val="center"/>
            <w:hideMark/>
          </w:tcPr>
          <w:p w14:paraId="3879ED49"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992" w:type="dxa"/>
            <w:vMerge/>
            <w:vAlign w:val="center"/>
            <w:hideMark/>
          </w:tcPr>
          <w:p w14:paraId="3890DD37"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992" w:type="dxa"/>
            <w:vMerge w:val="restart"/>
            <w:shd w:val="clear" w:color="auto" w:fill="auto"/>
            <w:vAlign w:val="center"/>
            <w:hideMark/>
          </w:tcPr>
          <w:p w14:paraId="28835CB3" w14:textId="77777777" w:rsidR="001178BA" w:rsidRPr="00213A5D" w:rsidRDefault="001178BA" w:rsidP="00AF1852">
            <w:pPr>
              <w:widowControl w:val="0"/>
              <w:overflowPunct/>
              <w:autoSpaceDE/>
              <w:autoSpaceDN/>
              <w:adjustRightInd/>
              <w:spacing w:line="240" w:lineRule="auto"/>
              <w:ind w:left="-108" w:right="-108" w:firstLine="0"/>
              <w:jc w:val="center"/>
              <w:textAlignment w:val="auto"/>
              <w:rPr>
                <w:rFonts w:eastAsia="Times New Roman"/>
                <w:color w:val="000000"/>
                <w:sz w:val="14"/>
                <w:szCs w:val="14"/>
              </w:rPr>
            </w:pPr>
            <w:r w:rsidRPr="00213A5D">
              <w:rPr>
                <w:rFonts w:eastAsia="Times New Roman"/>
                <w:color w:val="000000"/>
                <w:sz w:val="14"/>
                <w:szCs w:val="14"/>
              </w:rPr>
              <w:t>млн. рублей</w:t>
            </w:r>
          </w:p>
        </w:tc>
        <w:tc>
          <w:tcPr>
            <w:tcW w:w="567" w:type="dxa"/>
            <w:vMerge w:val="restart"/>
            <w:shd w:val="clear" w:color="auto" w:fill="auto"/>
            <w:vAlign w:val="center"/>
            <w:hideMark/>
          </w:tcPr>
          <w:p w14:paraId="52881113" w14:textId="77777777" w:rsidR="001178BA" w:rsidRPr="00213A5D" w:rsidRDefault="001178BA" w:rsidP="00AF1852">
            <w:pPr>
              <w:widowControl w:val="0"/>
              <w:overflowPunct/>
              <w:autoSpaceDE/>
              <w:autoSpaceDN/>
              <w:adjustRightInd/>
              <w:spacing w:line="240" w:lineRule="auto"/>
              <w:ind w:left="-108" w:right="-108" w:firstLine="0"/>
              <w:jc w:val="center"/>
              <w:textAlignment w:val="auto"/>
              <w:rPr>
                <w:rFonts w:eastAsia="Times New Roman"/>
                <w:color w:val="000000"/>
                <w:sz w:val="14"/>
                <w:szCs w:val="14"/>
              </w:rPr>
            </w:pPr>
            <w:r w:rsidRPr="00213A5D">
              <w:rPr>
                <w:rFonts w:eastAsia="Times New Roman"/>
                <w:color w:val="000000"/>
                <w:sz w:val="14"/>
                <w:szCs w:val="14"/>
              </w:rPr>
              <w:t>струк-тура*</w:t>
            </w:r>
          </w:p>
        </w:tc>
        <w:tc>
          <w:tcPr>
            <w:tcW w:w="567" w:type="dxa"/>
            <w:vMerge w:val="restart"/>
            <w:shd w:val="clear" w:color="auto" w:fill="auto"/>
            <w:vAlign w:val="center"/>
            <w:hideMark/>
          </w:tcPr>
          <w:p w14:paraId="4903DBC5"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в %, к ВВП</w:t>
            </w:r>
          </w:p>
        </w:tc>
        <w:tc>
          <w:tcPr>
            <w:tcW w:w="992" w:type="dxa"/>
            <w:vMerge w:val="restart"/>
            <w:shd w:val="clear" w:color="auto" w:fill="auto"/>
            <w:vAlign w:val="center"/>
            <w:hideMark/>
          </w:tcPr>
          <w:p w14:paraId="3412F48D" w14:textId="77777777" w:rsidR="001178BA" w:rsidRPr="00213A5D" w:rsidRDefault="001178BA" w:rsidP="00AF1852">
            <w:pPr>
              <w:widowControl w:val="0"/>
              <w:overflowPunct/>
              <w:autoSpaceDE/>
              <w:autoSpaceDN/>
              <w:adjustRightInd/>
              <w:spacing w:line="240" w:lineRule="auto"/>
              <w:ind w:left="-108" w:right="-108" w:firstLine="0"/>
              <w:jc w:val="center"/>
              <w:textAlignment w:val="auto"/>
              <w:rPr>
                <w:rFonts w:eastAsia="Times New Roman"/>
                <w:color w:val="000000"/>
                <w:sz w:val="14"/>
                <w:szCs w:val="14"/>
              </w:rPr>
            </w:pPr>
            <w:r w:rsidRPr="00213A5D">
              <w:rPr>
                <w:rFonts w:eastAsia="Times New Roman"/>
                <w:color w:val="000000"/>
                <w:sz w:val="14"/>
                <w:szCs w:val="14"/>
              </w:rPr>
              <w:t>млн. рублей</w:t>
            </w:r>
          </w:p>
        </w:tc>
        <w:tc>
          <w:tcPr>
            <w:tcW w:w="567" w:type="dxa"/>
            <w:vMerge w:val="restart"/>
            <w:shd w:val="clear" w:color="auto" w:fill="auto"/>
            <w:vAlign w:val="center"/>
            <w:hideMark/>
          </w:tcPr>
          <w:p w14:paraId="563C92D9" w14:textId="77777777" w:rsidR="001178BA" w:rsidRPr="00213A5D" w:rsidRDefault="001178BA" w:rsidP="00AF1852">
            <w:pPr>
              <w:widowControl w:val="0"/>
              <w:overflowPunct/>
              <w:autoSpaceDE/>
              <w:autoSpaceDN/>
              <w:adjustRightInd/>
              <w:spacing w:line="240" w:lineRule="auto"/>
              <w:ind w:left="-108" w:right="-108" w:firstLine="0"/>
              <w:jc w:val="center"/>
              <w:textAlignment w:val="auto"/>
              <w:rPr>
                <w:rFonts w:eastAsia="Times New Roman"/>
                <w:color w:val="000000"/>
                <w:sz w:val="14"/>
                <w:szCs w:val="14"/>
              </w:rPr>
            </w:pPr>
            <w:r w:rsidRPr="00213A5D">
              <w:rPr>
                <w:rFonts w:eastAsia="Times New Roman"/>
                <w:color w:val="000000"/>
                <w:sz w:val="14"/>
                <w:szCs w:val="14"/>
              </w:rPr>
              <w:t>струк-тура*</w:t>
            </w:r>
          </w:p>
        </w:tc>
        <w:tc>
          <w:tcPr>
            <w:tcW w:w="567" w:type="dxa"/>
            <w:vMerge w:val="restart"/>
            <w:shd w:val="clear" w:color="auto" w:fill="auto"/>
            <w:vAlign w:val="center"/>
            <w:hideMark/>
          </w:tcPr>
          <w:p w14:paraId="6CDA6F90"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в %, к ВВП</w:t>
            </w:r>
          </w:p>
        </w:tc>
        <w:tc>
          <w:tcPr>
            <w:tcW w:w="1276" w:type="dxa"/>
            <w:gridSpan w:val="2"/>
            <w:shd w:val="clear" w:color="auto" w:fill="auto"/>
            <w:vAlign w:val="center"/>
            <w:hideMark/>
          </w:tcPr>
          <w:p w14:paraId="12F6D443"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прогноза доходов на 2022 год</w:t>
            </w:r>
          </w:p>
        </w:tc>
        <w:tc>
          <w:tcPr>
            <w:tcW w:w="1276" w:type="dxa"/>
            <w:gridSpan w:val="2"/>
            <w:shd w:val="clear" w:color="auto" w:fill="auto"/>
            <w:vAlign w:val="center"/>
            <w:hideMark/>
          </w:tcPr>
          <w:p w14:paraId="2239C604"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исполнения</w:t>
            </w:r>
          </w:p>
          <w:p w14:paraId="1D6E395C" w14:textId="77777777" w:rsidR="001178BA" w:rsidRPr="00213A5D" w:rsidRDefault="006B4B6D"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 xml:space="preserve">января – </w:t>
            </w:r>
            <w:r w:rsidR="001178BA" w:rsidRPr="00213A5D">
              <w:rPr>
                <w:rFonts w:eastAsia="Times New Roman"/>
                <w:color w:val="000000"/>
                <w:sz w:val="14"/>
                <w:szCs w:val="14"/>
              </w:rPr>
              <w:t>сентября 2021 г</w:t>
            </w:r>
          </w:p>
        </w:tc>
      </w:tr>
      <w:tr w:rsidR="001178BA" w:rsidRPr="00213A5D" w14:paraId="19D8874D" w14:textId="77777777" w:rsidTr="009B114B">
        <w:trPr>
          <w:trHeight w:val="53"/>
          <w:tblHeader/>
        </w:trPr>
        <w:tc>
          <w:tcPr>
            <w:tcW w:w="2694" w:type="dxa"/>
            <w:vMerge/>
            <w:vAlign w:val="center"/>
            <w:hideMark/>
          </w:tcPr>
          <w:p w14:paraId="64ADD809"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992" w:type="dxa"/>
            <w:vMerge/>
            <w:vAlign w:val="center"/>
            <w:hideMark/>
          </w:tcPr>
          <w:p w14:paraId="7C45BDFD"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992" w:type="dxa"/>
            <w:vMerge/>
            <w:vAlign w:val="center"/>
            <w:hideMark/>
          </w:tcPr>
          <w:p w14:paraId="1A968242"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567" w:type="dxa"/>
            <w:vMerge/>
            <w:vAlign w:val="center"/>
            <w:hideMark/>
          </w:tcPr>
          <w:p w14:paraId="1B0FCE75"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567" w:type="dxa"/>
            <w:vMerge/>
            <w:vAlign w:val="center"/>
            <w:hideMark/>
          </w:tcPr>
          <w:p w14:paraId="487025FC"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992" w:type="dxa"/>
            <w:vMerge/>
            <w:vAlign w:val="center"/>
            <w:hideMark/>
          </w:tcPr>
          <w:p w14:paraId="116E1954" w14:textId="77777777" w:rsidR="001178BA" w:rsidRPr="00213A5D" w:rsidRDefault="001178BA" w:rsidP="00AF1852">
            <w:pPr>
              <w:widowControl w:val="0"/>
              <w:overflowPunct/>
              <w:autoSpaceDE/>
              <w:autoSpaceDN/>
              <w:adjustRightInd/>
              <w:spacing w:line="240" w:lineRule="auto"/>
              <w:ind w:left="-108" w:right="-108" w:firstLine="0"/>
              <w:jc w:val="left"/>
              <w:textAlignment w:val="auto"/>
              <w:rPr>
                <w:rFonts w:eastAsia="Times New Roman"/>
                <w:color w:val="000000"/>
                <w:sz w:val="14"/>
                <w:szCs w:val="14"/>
              </w:rPr>
            </w:pPr>
          </w:p>
        </w:tc>
        <w:tc>
          <w:tcPr>
            <w:tcW w:w="567" w:type="dxa"/>
            <w:vMerge/>
            <w:vAlign w:val="center"/>
            <w:hideMark/>
          </w:tcPr>
          <w:p w14:paraId="47CE6AC1"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567" w:type="dxa"/>
            <w:vMerge/>
            <w:vAlign w:val="center"/>
            <w:hideMark/>
          </w:tcPr>
          <w:p w14:paraId="54E253A4"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p>
        </w:tc>
        <w:tc>
          <w:tcPr>
            <w:tcW w:w="567" w:type="dxa"/>
            <w:shd w:val="clear" w:color="auto" w:fill="auto"/>
            <w:vAlign w:val="center"/>
            <w:hideMark/>
          </w:tcPr>
          <w:p w14:paraId="09AF9924"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w:t>
            </w:r>
          </w:p>
        </w:tc>
        <w:tc>
          <w:tcPr>
            <w:tcW w:w="709" w:type="dxa"/>
            <w:shd w:val="clear" w:color="auto" w:fill="auto"/>
            <w:vAlign w:val="center"/>
            <w:hideMark/>
          </w:tcPr>
          <w:p w14:paraId="3092B666"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w:t>
            </w:r>
          </w:p>
        </w:tc>
        <w:tc>
          <w:tcPr>
            <w:tcW w:w="567" w:type="dxa"/>
            <w:shd w:val="clear" w:color="auto" w:fill="auto"/>
            <w:vAlign w:val="center"/>
            <w:hideMark/>
          </w:tcPr>
          <w:p w14:paraId="076C2300"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w:t>
            </w:r>
          </w:p>
        </w:tc>
        <w:tc>
          <w:tcPr>
            <w:tcW w:w="709" w:type="dxa"/>
            <w:shd w:val="clear" w:color="auto" w:fill="auto"/>
            <w:vAlign w:val="center"/>
            <w:hideMark/>
          </w:tcPr>
          <w:p w14:paraId="5A877677"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w:t>
            </w:r>
          </w:p>
        </w:tc>
      </w:tr>
      <w:tr w:rsidR="001178BA" w:rsidRPr="00213A5D" w14:paraId="3E36A03B" w14:textId="77777777" w:rsidTr="009B114B">
        <w:trPr>
          <w:trHeight w:val="53"/>
          <w:tblHeader/>
        </w:trPr>
        <w:tc>
          <w:tcPr>
            <w:tcW w:w="2694" w:type="dxa"/>
            <w:shd w:val="clear" w:color="auto" w:fill="auto"/>
            <w:vAlign w:val="center"/>
            <w:hideMark/>
          </w:tcPr>
          <w:p w14:paraId="22CB672C"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А</w:t>
            </w:r>
          </w:p>
        </w:tc>
        <w:tc>
          <w:tcPr>
            <w:tcW w:w="992" w:type="dxa"/>
            <w:shd w:val="clear" w:color="auto" w:fill="auto"/>
            <w:vAlign w:val="center"/>
            <w:hideMark/>
          </w:tcPr>
          <w:p w14:paraId="7041C06C"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1</w:t>
            </w:r>
          </w:p>
        </w:tc>
        <w:tc>
          <w:tcPr>
            <w:tcW w:w="992" w:type="dxa"/>
            <w:shd w:val="clear" w:color="auto" w:fill="auto"/>
            <w:vAlign w:val="center"/>
            <w:hideMark/>
          </w:tcPr>
          <w:p w14:paraId="257FED57"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2</w:t>
            </w:r>
          </w:p>
        </w:tc>
        <w:tc>
          <w:tcPr>
            <w:tcW w:w="567" w:type="dxa"/>
            <w:shd w:val="clear" w:color="auto" w:fill="auto"/>
            <w:vAlign w:val="center"/>
            <w:hideMark/>
          </w:tcPr>
          <w:p w14:paraId="37C0F10E"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3</w:t>
            </w:r>
          </w:p>
        </w:tc>
        <w:tc>
          <w:tcPr>
            <w:tcW w:w="567" w:type="dxa"/>
            <w:shd w:val="clear" w:color="auto" w:fill="auto"/>
            <w:vAlign w:val="center"/>
            <w:hideMark/>
          </w:tcPr>
          <w:p w14:paraId="7FEC86BD"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4</w:t>
            </w:r>
          </w:p>
        </w:tc>
        <w:tc>
          <w:tcPr>
            <w:tcW w:w="992" w:type="dxa"/>
            <w:shd w:val="clear" w:color="auto" w:fill="auto"/>
            <w:vAlign w:val="center"/>
            <w:hideMark/>
          </w:tcPr>
          <w:p w14:paraId="2FFA0D01" w14:textId="77777777" w:rsidR="001178BA" w:rsidRPr="00213A5D" w:rsidRDefault="001178BA" w:rsidP="00AF1852">
            <w:pPr>
              <w:widowControl w:val="0"/>
              <w:overflowPunct/>
              <w:autoSpaceDE/>
              <w:autoSpaceDN/>
              <w:adjustRightInd/>
              <w:spacing w:line="240" w:lineRule="auto"/>
              <w:ind w:left="-108" w:right="-108" w:firstLine="0"/>
              <w:jc w:val="center"/>
              <w:textAlignment w:val="auto"/>
              <w:rPr>
                <w:rFonts w:eastAsia="Times New Roman"/>
                <w:color w:val="000000"/>
                <w:sz w:val="14"/>
                <w:szCs w:val="14"/>
              </w:rPr>
            </w:pPr>
            <w:r w:rsidRPr="00213A5D">
              <w:rPr>
                <w:rFonts w:eastAsia="Times New Roman"/>
                <w:color w:val="000000"/>
                <w:sz w:val="14"/>
                <w:szCs w:val="14"/>
              </w:rPr>
              <w:t>5</w:t>
            </w:r>
          </w:p>
        </w:tc>
        <w:tc>
          <w:tcPr>
            <w:tcW w:w="567" w:type="dxa"/>
            <w:shd w:val="clear" w:color="auto" w:fill="auto"/>
            <w:vAlign w:val="center"/>
            <w:hideMark/>
          </w:tcPr>
          <w:p w14:paraId="26D19B15"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6</w:t>
            </w:r>
          </w:p>
        </w:tc>
        <w:tc>
          <w:tcPr>
            <w:tcW w:w="567" w:type="dxa"/>
            <w:shd w:val="clear" w:color="auto" w:fill="auto"/>
            <w:vAlign w:val="center"/>
            <w:hideMark/>
          </w:tcPr>
          <w:p w14:paraId="5237458D"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7</w:t>
            </w:r>
          </w:p>
        </w:tc>
        <w:tc>
          <w:tcPr>
            <w:tcW w:w="567" w:type="dxa"/>
            <w:shd w:val="clear" w:color="auto" w:fill="auto"/>
            <w:vAlign w:val="center"/>
            <w:hideMark/>
          </w:tcPr>
          <w:p w14:paraId="2D7412A8"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8</w:t>
            </w:r>
          </w:p>
        </w:tc>
        <w:tc>
          <w:tcPr>
            <w:tcW w:w="709" w:type="dxa"/>
            <w:shd w:val="clear" w:color="auto" w:fill="auto"/>
            <w:vAlign w:val="center"/>
            <w:hideMark/>
          </w:tcPr>
          <w:p w14:paraId="58FC881A"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9</w:t>
            </w:r>
          </w:p>
        </w:tc>
        <w:tc>
          <w:tcPr>
            <w:tcW w:w="567" w:type="dxa"/>
            <w:shd w:val="clear" w:color="auto" w:fill="auto"/>
            <w:vAlign w:val="center"/>
            <w:hideMark/>
          </w:tcPr>
          <w:p w14:paraId="6AFE3BD0"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10</w:t>
            </w:r>
          </w:p>
        </w:tc>
        <w:tc>
          <w:tcPr>
            <w:tcW w:w="709" w:type="dxa"/>
            <w:shd w:val="clear" w:color="auto" w:fill="auto"/>
            <w:vAlign w:val="center"/>
            <w:hideMark/>
          </w:tcPr>
          <w:p w14:paraId="364989C2"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color w:val="000000"/>
                <w:sz w:val="14"/>
                <w:szCs w:val="14"/>
              </w:rPr>
            </w:pPr>
            <w:r w:rsidRPr="00213A5D">
              <w:rPr>
                <w:rFonts w:eastAsia="Times New Roman"/>
                <w:color w:val="000000"/>
                <w:sz w:val="14"/>
                <w:szCs w:val="14"/>
              </w:rPr>
              <w:t>11</w:t>
            </w:r>
          </w:p>
        </w:tc>
      </w:tr>
      <w:tr w:rsidR="001178BA" w:rsidRPr="00213A5D" w14:paraId="3070CD17" w14:textId="77777777" w:rsidTr="009B114B">
        <w:trPr>
          <w:trHeight w:val="53"/>
        </w:trPr>
        <w:tc>
          <w:tcPr>
            <w:tcW w:w="2694" w:type="dxa"/>
            <w:shd w:val="clear" w:color="auto" w:fill="auto"/>
            <w:vAlign w:val="center"/>
            <w:hideMark/>
          </w:tcPr>
          <w:p w14:paraId="50ADDF95"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Доходы от внешнеэкономической деятельности</w:t>
            </w:r>
          </w:p>
        </w:tc>
        <w:tc>
          <w:tcPr>
            <w:tcW w:w="992" w:type="dxa"/>
            <w:shd w:val="clear" w:color="auto" w:fill="auto"/>
            <w:noWrap/>
            <w:vAlign w:val="center"/>
            <w:hideMark/>
          </w:tcPr>
          <w:p w14:paraId="3967436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2 682 697,3</w:t>
            </w:r>
          </w:p>
        </w:tc>
        <w:tc>
          <w:tcPr>
            <w:tcW w:w="992" w:type="dxa"/>
            <w:shd w:val="clear" w:color="auto" w:fill="auto"/>
            <w:noWrap/>
            <w:vAlign w:val="center"/>
            <w:hideMark/>
          </w:tcPr>
          <w:p w14:paraId="49918BF3"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2 225 310,3</w:t>
            </w:r>
          </w:p>
        </w:tc>
        <w:tc>
          <w:tcPr>
            <w:tcW w:w="567" w:type="dxa"/>
            <w:shd w:val="clear" w:color="auto" w:fill="auto"/>
            <w:noWrap/>
            <w:vAlign w:val="center"/>
            <w:hideMark/>
          </w:tcPr>
          <w:p w14:paraId="6FB2D8B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56,4</w:t>
            </w:r>
          </w:p>
        </w:tc>
        <w:tc>
          <w:tcPr>
            <w:tcW w:w="567" w:type="dxa"/>
            <w:shd w:val="clear" w:color="auto" w:fill="auto"/>
            <w:noWrap/>
            <w:vAlign w:val="center"/>
            <w:hideMark/>
          </w:tcPr>
          <w:p w14:paraId="3B300253"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1,7</w:t>
            </w:r>
          </w:p>
        </w:tc>
        <w:tc>
          <w:tcPr>
            <w:tcW w:w="992" w:type="dxa"/>
            <w:shd w:val="clear" w:color="auto" w:fill="auto"/>
            <w:noWrap/>
            <w:vAlign w:val="center"/>
            <w:hideMark/>
          </w:tcPr>
          <w:p w14:paraId="3BD60617"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2 782 933,3</w:t>
            </w:r>
          </w:p>
        </w:tc>
        <w:tc>
          <w:tcPr>
            <w:tcW w:w="567" w:type="dxa"/>
            <w:shd w:val="clear" w:color="auto" w:fill="auto"/>
            <w:noWrap/>
            <w:vAlign w:val="center"/>
            <w:hideMark/>
          </w:tcPr>
          <w:p w14:paraId="1CB4755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71,1</w:t>
            </w:r>
          </w:p>
        </w:tc>
        <w:tc>
          <w:tcPr>
            <w:tcW w:w="567" w:type="dxa"/>
            <w:shd w:val="clear" w:color="auto" w:fill="auto"/>
            <w:noWrap/>
            <w:vAlign w:val="center"/>
            <w:hideMark/>
          </w:tcPr>
          <w:p w14:paraId="5205CA3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1,9</w:t>
            </w:r>
          </w:p>
        </w:tc>
        <w:tc>
          <w:tcPr>
            <w:tcW w:w="567" w:type="dxa"/>
            <w:shd w:val="clear" w:color="auto" w:fill="auto"/>
            <w:noWrap/>
            <w:vAlign w:val="center"/>
            <w:hideMark/>
          </w:tcPr>
          <w:p w14:paraId="432C853D"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103,7</w:t>
            </w:r>
          </w:p>
        </w:tc>
        <w:tc>
          <w:tcPr>
            <w:tcW w:w="709" w:type="dxa"/>
            <w:shd w:val="clear" w:color="auto" w:fill="auto"/>
            <w:noWrap/>
            <w:vAlign w:val="center"/>
            <w:hideMark/>
          </w:tcPr>
          <w:p w14:paraId="1E005166"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100 236,1</w:t>
            </w:r>
          </w:p>
        </w:tc>
        <w:tc>
          <w:tcPr>
            <w:tcW w:w="567" w:type="dxa"/>
            <w:shd w:val="clear" w:color="auto" w:fill="auto"/>
            <w:noWrap/>
            <w:vAlign w:val="center"/>
            <w:hideMark/>
          </w:tcPr>
          <w:p w14:paraId="0D3F808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125,1</w:t>
            </w:r>
          </w:p>
        </w:tc>
        <w:tc>
          <w:tcPr>
            <w:tcW w:w="709" w:type="dxa"/>
            <w:shd w:val="clear" w:color="auto" w:fill="auto"/>
            <w:noWrap/>
            <w:vAlign w:val="center"/>
            <w:hideMark/>
          </w:tcPr>
          <w:p w14:paraId="5832D060"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557 623,1</w:t>
            </w:r>
          </w:p>
        </w:tc>
      </w:tr>
      <w:tr w:rsidR="001178BA" w:rsidRPr="00213A5D" w14:paraId="18D27AE0" w14:textId="77777777" w:rsidTr="009B114B">
        <w:trPr>
          <w:trHeight w:val="53"/>
        </w:trPr>
        <w:tc>
          <w:tcPr>
            <w:tcW w:w="2694" w:type="dxa"/>
            <w:shd w:val="clear" w:color="auto" w:fill="auto"/>
            <w:vAlign w:val="center"/>
            <w:hideMark/>
          </w:tcPr>
          <w:p w14:paraId="7278B981"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из них:</w:t>
            </w:r>
          </w:p>
        </w:tc>
        <w:tc>
          <w:tcPr>
            <w:tcW w:w="992" w:type="dxa"/>
            <w:shd w:val="clear" w:color="auto" w:fill="auto"/>
            <w:noWrap/>
            <w:vAlign w:val="center"/>
            <w:hideMark/>
          </w:tcPr>
          <w:p w14:paraId="1C717503"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r w:rsidRPr="00213A5D">
              <w:rPr>
                <w:rFonts w:eastAsia="Times New Roman"/>
                <w:color w:val="000000"/>
                <w:sz w:val="14"/>
                <w:szCs w:val="14"/>
              </w:rPr>
              <w:t> </w:t>
            </w:r>
          </w:p>
        </w:tc>
        <w:tc>
          <w:tcPr>
            <w:tcW w:w="992" w:type="dxa"/>
            <w:shd w:val="clear" w:color="auto" w:fill="auto"/>
            <w:noWrap/>
            <w:vAlign w:val="center"/>
            <w:hideMark/>
          </w:tcPr>
          <w:p w14:paraId="47A2C457" w14:textId="77777777" w:rsidR="001178BA" w:rsidRPr="00213A5D" w:rsidRDefault="001178BA" w:rsidP="00AF1852">
            <w:pPr>
              <w:widowControl w:val="0"/>
              <w:overflowPunct/>
              <w:autoSpaceDE/>
              <w:autoSpaceDN/>
              <w:adjustRightInd/>
              <w:spacing w:line="240" w:lineRule="auto"/>
              <w:ind w:left="-108" w:right="0" w:firstLine="0"/>
              <w:jc w:val="lef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4A5305B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6E0E00B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992" w:type="dxa"/>
            <w:shd w:val="clear" w:color="auto" w:fill="auto"/>
            <w:noWrap/>
            <w:vAlign w:val="center"/>
            <w:hideMark/>
          </w:tcPr>
          <w:p w14:paraId="2A3F174C"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p>
        </w:tc>
        <w:tc>
          <w:tcPr>
            <w:tcW w:w="567" w:type="dxa"/>
            <w:shd w:val="clear" w:color="auto" w:fill="auto"/>
            <w:noWrap/>
            <w:vAlign w:val="center"/>
            <w:hideMark/>
          </w:tcPr>
          <w:p w14:paraId="516D80C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70F1EE5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0C5070B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05010DDA"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147D10D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1CFC5EED"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 </w:t>
            </w:r>
          </w:p>
        </w:tc>
      </w:tr>
      <w:tr w:rsidR="001178BA" w:rsidRPr="00213A5D" w14:paraId="71E720F1" w14:textId="77777777" w:rsidTr="009B114B">
        <w:trPr>
          <w:trHeight w:val="53"/>
        </w:trPr>
        <w:tc>
          <w:tcPr>
            <w:tcW w:w="2694" w:type="dxa"/>
            <w:shd w:val="clear" w:color="auto" w:fill="auto"/>
            <w:vAlign w:val="center"/>
            <w:hideMark/>
          </w:tcPr>
          <w:p w14:paraId="5DC08F82"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Вывозные таможенные пошлины на нефть сырую</w:t>
            </w:r>
          </w:p>
        </w:tc>
        <w:tc>
          <w:tcPr>
            <w:tcW w:w="992" w:type="dxa"/>
            <w:shd w:val="clear" w:color="auto" w:fill="auto"/>
            <w:noWrap/>
            <w:vAlign w:val="center"/>
            <w:hideMark/>
          </w:tcPr>
          <w:p w14:paraId="3F4E478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548 752,2</w:t>
            </w:r>
          </w:p>
        </w:tc>
        <w:tc>
          <w:tcPr>
            <w:tcW w:w="992" w:type="dxa"/>
            <w:shd w:val="clear" w:color="auto" w:fill="auto"/>
            <w:noWrap/>
            <w:vAlign w:val="center"/>
            <w:hideMark/>
          </w:tcPr>
          <w:p w14:paraId="391B66C1"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485 535,6</w:t>
            </w:r>
          </w:p>
        </w:tc>
        <w:tc>
          <w:tcPr>
            <w:tcW w:w="567" w:type="dxa"/>
            <w:shd w:val="clear" w:color="auto" w:fill="auto"/>
            <w:noWrap/>
            <w:vAlign w:val="center"/>
            <w:hideMark/>
          </w:tcPr>
          <w:p w14:paraId="6B41C9F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21,8</w:t>
            </w:r>
          </w:p>
        </w:tc>
        <w:tc>
          <w:tcPr>
            <w:tcW w:w="567" w:type="dxa"/>
            <w:shd w:val="clear" w:color="auto" w:fill="auto"/>
            <w:noWrap/>
            <w:vAlign w:val="center"/>
            <w:hideMark/>
          </w:tcPr>
          <w:p w14:paraId="55EEBA83"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0,4</w:t>
            </w:r>
          </w:p>
        </w:tc>
        <w:tc>
          <w:tcPr>
            <w:tcW w:w="992" w:type="dxa"/>
            <w:shd w:val="clear" w:color="auto" w:fill="auto"/>
            <w:noWrap/>
            <w:vAlign w:val="center"/>
            <w:hideMark/>
          </w:tcPr>
          <w:p w14:paraId="42761812"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487 655,4</w:t>
            </w:r>
          </w:p>
        </w:tc>
        <w:tc>
          <w:tcPr>
            <w:tcW w:w="567" w:type="dxa"/>
            <w:shd w:val="clear" w:color="auto" w:fill="auto"/>
            <w:noWrap/>
            <w:vAlign w:val="center"/>
            <w:hideMark/>
          </w:tcPr>
          <w:p w14:paraId="4786344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17,5</w:t>
            </w:r>
          </w:p>
        </w:tc>
        <w:tc>
          <w:tcPr>
            <w:tcW w:w="567" w:type="dxa"/>
            <w:shd w:val="clear" w:color="auto" w:fill="auto"/>
            <w:noWrap/>
            <w:vAlign w:val="center"/>
            <w:hideMark/>
          </w:tcPr>
          <w:p w14:paraId="02900AB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0,3</w:t>
            </w:r>
          </w:p>
        </w:tc>
        <w:tc>
          <w:tcPr>
            <w:tcW w:w="567" w:type="dxa"/>
            <w:shd w:val="clear" w:color="auto" w:fill="auto"/>
            <w:noWrap/>
            <w:vAlign w:val="center"/>
            <w:hideMark/>
          </w:tcPr>
          <w:p w14:paraId="6AF7EB8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88,9</w:t>
            </w:r>
          </w:p>
        </w:tc>
        <w:tc>
          <w:tcPr>
            <w:tcW w:w="709" w:type="dxa"/>
            <w:shd w:val="clear" w:color="auto" w:fill="auto"/>
            <w:noWrap/>
            <w:vAlign w:val="center"/>
            <w:hideMark/>
          </w:tcPr>
          <w:p w14:paraId="4413FDE7"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-61 096,9</w:t>
            </w:r>
          </w:p>
        </w:tc>
        <w:tc>
          <w:tcPr>
            <w:tcW w:w="567" w:type="dxa"/>
            <w:shd w:val="clear" w:color="auto" w:fill="auto"/>
            <w:noWrap/>
            <w:vAlign w:val="center"/>
            <w:hideMark/>
          </w:tcPr>
          <w:p w14:paraId="4E005F8F"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100,4</w:t>
            </w:r>
          </w:p>
        </w:tc>
        <w:tc>
          <w:tcPr>
            <w:tcW w:w="709" w:type="dxa"/>
            <w:shd w:val="clear" w:color="auto" w:fill="auto"/>
            <w:noWrap/>
            <w:vAlign w:val="center"/>
            <w:hideMark/>
          </w:tcPr>
          <w:p w14:paraId="7F5EC637"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2 119,8</w:t>
            </w:r>
          </w:p>
        </w:tc>
      </w:tr>
      <w:tr w:rsidR="001178BA" w:rsidRPr="00213A5D" w14:paraId="7C9AD4C3" w14:textId="77777777" w:rsidTr="009B114B">
        <w:trPr>
          <w:trHeight w:val="104"/>
        </w:trPr>
        <w:tc>
          <w:tcPr>
            <w:tcW w:w="2694" w:type="dxa"/>
            <w:shd w:val="clear" w:color="auto" w:fill="auto"/>
            <w:vAlign w:val="center"/>
            <w:hideMark/>
          </w:tcPr>
          <w:p w14:paraId="4AE7AC38"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Вывозные таможенные пошлины на газ природный</w:t>
            </w:r>
          </w:p>
        </w:tc>
        <w:tc>
          <w:tcPr>
            <w:tcW w:w="992" w:type="dxa"/>
            <w:shd w:val="clear" w:color="auto" w:fill="auto"/>
            <w:noWrap/>
            <w:vAlign w:val="center"/>
            <w:hideMark/>
          </w:tcPr>
          <w:p w14:paraId="34C6C52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884 816,6</w:t>
            </w:r>
          </w:p>
        </w:tc>
        <w:tc>
          <w:tcPr>
            <w:tcW w:w="992" w:type="dxa"/>
            <w:shd w:val="clear" w:color="auto" w:fill="auto"/>
            <w:noWrap/>
            <w:vAlign w:val="center"/>
            <w:hideMark/>
          </w:tcPr>
          <w:p w14:paraId="48851BDD"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658 222,4</w:t>
            </w:r>
          </w:p>
        </w:tc>
        <w:tc>
          <w:tcPr>
            <w:tcW w:w="567" w:type="dxa"/>
            <w:shd w:val="clear" w:color="auto" w:fill="auto"/>
            <w:noWrap/>
            <w:vAlign w:val="center"/>
            <w:hideMark/>
          </w:tcPr>
          <w:p w14:paraId="358AD2D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29,6</w:t>
            </w:r>
          </w:p>
        </w:tc>
        <w:tc>
          <w:tcPr>
            <w:tcW w:w="567" w:type="dxa"/>
            <w:shd w:val="clear" w:color="auto" w:fill="auto"/>
            <w:noWrap/>
            <w:vAlign w:val="center"/>
            <w:hideMark/>
          </w:tcPr>
          <w:p w14:paraId="29C6542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0,5</w:t>
            </w:r>
          </w:p>
        </w:tc>
        <w:tc>
          <w:tcPr>
            <w:tcW w:w="992" w:type="dxa"/>
            <w:shd w:val="clear" w:color="auto" w:fill="auto"/>
            <w:noWrap/>
            <w:vAlign w:val="center"/>
            <w:hideMark/>
          </w:tcPr>
          <w:p w14:paraId="38960BF1"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1 493 959,1</w:t>
            </w:r>
          </w:p>
        </w:tc>
        <w:tc>
          <w:tcPr>
            <w:tcW w:w="567" w:type="dxa"/>
            <w:shd w:val="clear" w:color="auto" w:fill="auto"/>
            <w:noWrap/>
            <w:vAlign w:val="center"/>
            <w:hideMark/>
          </w:tcPr>
          <w:p w14:paraId="6F54FED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53,7</w:t>
            </w:r>
          </w:p>
        </w:tc>
        <w:tc>
          <w:tcPr>
            <w:tcW w:w="567" w:type="dxa"/>
            <w:shd w:val="clear" w:color="auto" w:fill="auto"/>
            <w:noWrap/>
            <w:vAlign w:val="center"/>
            <w:hideMark/>
          </w:tcPr>
          <w:p w14:paraId="2AC1FD63"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1,0</w:t>
            </w:r>
          </w:p>
        </w:tc>
        <w:tc>
          <w:tcPr>
            <w:tcW w:w="567" w:type="dxa"/>
            <w:shd w:val="clear" w:color="auto" w:fill="auto"/>
            <w:noWrap/>
            <w:vAlign w:val="center"/>
            <w:hideMark/>
          </w:tcPr>
          <w:p w14:paraId="6F22931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168,8</w:t>
            </w:r>
          </w:p>
        </w:tc>
        <w:tc>
          <w:tcPr>
            <w:tcW w:w="709" w:type="dxa"/>
            <w:shd w:val="clear" w:color="auto" w:fill="auto"/>
            <w:noWrap/>
            <w:vAlign w:val="center"/>
            <w:hideMark/>
          </w:tcPr>
          <w:p w14:paraId="1C727257"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609 142,5</w:t>
            </w:r>
          </w:p>
        </w:tc>
        <w:tc>
          <w:tcPr>
            <w:tcW w:w="567" w:type="dxa"/>
            <w:shd w:val="clear" w:color="auto" w:fill="auto"/>
            <w:noWrap/>
            <w:vAlign w:val="center"/>
            <w:hideMark/>
          </w:tcPr>
          <w:p w14:paraId="6D992D13" w14:textId="77777777" w:rsidR="001178BA" w:rsidRPr="00213A5D" w:rsidRDefault="001178BA" w:rsidP="00CE5728">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227</w:t>
            </w:r>
          </w:p>
        </w:tc>
        <w:tc>
          <w:tcPr>
            <w:tcW w:w="709" w:type="dxa"/>
            <w:shd w:val="clear" w:color="auto" w:fill="auto"/>
            <w:noWrap/>
            <w:vAlign w:val="center"/>
            <w:hideMark/>
          </w:tcPr>
          <w:p w14:paraId="286317F5"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835 736,8</w:t>
            </w:r>
          </w:p>
        </w:tc>
      </w:tr>
      <w:tr w:rsidR="001178BA" w:rsidRPr="00213A5D" w14:paraId="054B1ED9" w14:textId="77777777" w:rsidTr="009B114B">
        <w:trPr>
          <w:trHeight w:val="156"/>
        </w:trPr>
        <w:tc>
          <w:tcPr>
            <w:tcW w:w="2694" w:type="dxa"/>
            <w:shd w:val="clear" w:color="auto" w:fill="auto"/>
          </w:tcPr>
          <w:p w14:paraId="5AE136F9"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Прочие вывозные таможенные пошлины</w:t>
            </w:r>
          </w:p>
        </w:tc>
        <w:tc>
          <w:tcPr>
            <w:tcW w:w="992" w:type="dxa"/>
            <w:shd w:val="clear" w:color="auto" w:fill="auto"/>
            <w:noWrap/>
          </w:tcPr>
          <w:p w14:paraId="0D06CB4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112 444,8</w:t>
            </w:r>
          </w:p>
        </w:tc>
        <w:tc>
          <w:tcPr>
            <w:tcW w:w="992" w:type="dxa"/>
            <w:shd w:val="clear" w:color="auto" w:fill="auto"/>
            <w:noWrap/>
          </w:tcPr>
          <w:p w14:paraId="58B1D81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126 961,7</w:t>
            </w:r>
          </w:p>
        </w:tc>
        <w:tc>
          <w:tcPr>
            <w:tcW w:w="567" w:type="dxa"/>
            <w:shd w:val="clear" w:color="auto" w:fill="auto"/>
            <w:noWrap/>
          </w:tcPr>
          <w:p w14:paraId="39BC782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5,7</w:t>
            </w:r>
          </w:p>
        </w:tc>
        <w:tc>
          <w:tcPr>
            <w:tcW w:w="567" w:type="dxa"/>
            <w:shd w:val="clear" w:color="auto" w:fill="auto"/>
            <w:noWrap/>
          </w:tcPr>
          <w:p w14:paraId="0E5B0D33"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992" w:type="dxa"/>
            <w:shd w:val="clear" w:color="auto" w:fill="auto"/>
            <w:noWrap/>
          </w:tcPr>
          <w:p w14:paraId="56160F8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180 701,2</w:t>
            </w:r>
          </w:p>
        </w:tc>
        <w:tc>
          <w:tcPr>
            <w:tcW w:w="567" w:type="dxa"/>
            <w:shd w:val="clear" w:color="auto" w:fill="auto"/>
            <w:noWrap/>
          </w:tcPr>
          <w:p w14:paraId="275DA7A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6,5</w:t>
            </w:r>
          </w:p>
        </w:tc>
        <w:tc>
          <w:tcPr>
            <w:tcW w:w="567" w:type="dxa"/>
            <w:shd w:val="clear" w:color="auto" w:fill="auto"/>
            <w:noWrap/>
          </w:tcPr>
          <w:p w14:paraId="4EF45DD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567" w:type="dxa"/>
            <w:shd w:val="clear" w:color="auto" w:fill="auto"/>
            <w:noWrap/>
          </w:tcPr>
          <w:p w14:paraId="0FC1149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160,7</w:t>
            </w:r>
          </w:p>
        </w:tc>
        <w:tc>
          <w:tcPr>
            <w:tcW w:w="709" w:type="dxa"/>
            <w:shd w:val="clear" w:color="auto" w:fill="auto"/>
            <w:noWrap/>
          </w:tcPr>
          <w:p w14:paraId="7D3EC422" w14:textId="77777777" w:rsidR="001178BA" w:rsidRPr="00213A5D" w:rsidRDefault="001178BA"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68 256,4</w:t>
            </w:r>
          </w:p>
        </w:tc>
        <w:tc>
          <w:tcPr>
            <w:tcW w:w="567" w:type="dxa"/>
            <w:shd w:val="clear" w:color="auto" w:fill="auto"/>
            <w:noWrap/>
          </w:tcPr>
          <w:p w14:paraId="6BF734CD"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142,3</w:t>
            </w:r>
          </w:p>
        </w:tc>
        <w:tc>
          <w:tcPr>
            <w:tcW w:w="709" w:type="dxa"/>
            <w:shd w:val="clear" w:color="auto" w:fill="auto"/>
            <w:noWrap/>
          </w:tcPr>
          <w:p w14:paraId="05B17E68" w14:textId="77777777" w:rsidR="001178BA" w:rsidRPr="00213A5D" w:rsidRDefault="001178BA"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53 739,6</w:t>
            </w:r>
          </w:p>
        </w:tc>
      </w:tr>
      <w:tr w:rsidR="001178BA" w:rsidRPr="00213A5D" w14:paraId="5A2DFC3B" w14:textId="77777777" w:rsidTr="009B114B">
        <w:trPr>
          <w:trHeight w:val="156"/>
        </w:trPr>
        <w:tc>
          <w:tcPr>
            <w:tcW w:w="2694" w:type="dxa"/>
            <w:shd w:val="clear" w:color="auto" w:fill="auto"/>
            <w:vAlign w:val="center"/>
            <w:hideMark/>
          </w:tcPr>
          <w:p w14:paraId="2DEB0DC0"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Распределенные ввозные таможенные пошлины (иные пошлины, налоги и сборы, имеющие эквивалентное действие), уплаченные на территории Российской Федерации</w:t>
            </w:r>
          </w:p>
        </w:tc>
        <w:tc>
          <w:tcPr>
            <w:tcW w:w="992" w:type="dxa"/>
            <w:shd w:val="clear" w:color="auto" w:fill="auto"/>
            <w:noWrap/>
            <w:vAlign w:val="center"/>
            <w:hideMark/>
          </w:tcPr>
          <w:p w14:paraId="2D7B4AF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718 685,5</w:t>
            </w:r>
          </w:p>
        </w:tc>
        <w:tc>
          <w:tcPr>
            <w:tcW w:w="992" w:type="dxa"/>
            <w:shd w:val="clear" w:color="auto" w:fill="auto"/>
            <w:noWrap/>
            <w:vAlign w:val="center"/>
            <w:hideMark/>
          </w:tcPr>
          <w:p w14:paraId="6DF74210"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537 271,5</w:t>
            </w:r>
          </w:p>
        </w:tc>
        <w:tc>
          <w:tcPr>
            <w:tcW w:w="567" w:type="dxa"/>
            <w:shd w:val="clear" w:color="auto" w:fill="auto"/>
            <w:noWrap/>
            <w:vAlign w:val="center"/>
            <w:hideMark/>
          </w:tcPr>
          <w:p w14:paraId="41AE4E5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24,1</w:t>
            </w:r>
          </w:p>
        </w:tc>
        <w:tc>
          <w:tcPr>
            <w:tcW w:w="567" w:type="dxa"/>
            <w:shd w:val="clear" w:color="auto" w:fill="auto"/>
            <w:noWrap/>
            <w:vAlign w:val="center"/>
            <w:hideMark/>
          </w:tcPr>
          <w:p w14:paraId="56FFE9B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0,4</w:t>
            </w:r>
          </w:p>
        </w:tc>
        <w:tc>
          <w:tcPr>
            <w:tcW w:w="992" w:type="dxa"/>
            <w:shd w:val="clear" w:color="auto" w:fill="auto"/>
            <w:noWrap/>
            <w:vAlign w:val="center"/>
            <w:hideMark/>
          </w:tcPr>
          <w:p w14:paraId="32B625B1"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345 279,0</w:t>
            </w:r>
          </w:p>
        </w:tc>
        <w:tc>
          <w:tcPr>
            <w:tcW w:w="567" w:type="dxa"/>
            <w:shd w:val="clear" w:color="auto" w:fill="auto"/>
            <w:noWrap/>
            <w:vAlign w:val="center"/>
            <w:hideMark/>
          </w:tcPr>
          <w:p w14:paraId="10D0B5B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12,4</w:t>
            </w:r>
          </w:p>
        </w:tc>
        <w:tc>
          <w:tcPr>
            <w:tcW w:w="567" w:type="dxa"/>
            <w:shd w:val="clear" w:color="auto" w:fill="auto"/>
            <w:noWrap/>
            <w:vAlign w:val="center"/>
            <w:hideMark/>
          </w:tcPr>
          <w:p w14:paraId="31D81316"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0,2</w:t>
            </w:r>
          </w:p>
        </w:tc>
        <w:tc>
          <w:tcPr>
            <w:tcW w:w="567" w:type="dxa"/>
            <w:shd w:val="clear" w:color="auto" w:fill="auto"/>
            <w:noWrap/>
            <w:vAlign w:val="center"/>
            <w:hideMark/>
          </w:tcPr>
          <w:p w14:paraId="4960F228" w14:textId="77777777" w:rsidR="001178BA" w:rsidRPr="00213A5D" w:rsidRDefault="001178BA" w:rsidP="00CE5728">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48</w:t>
            </w:r>
          </w:p>
        </w:tc>
        <w:tc>
          <w:tcPr>
            <w:tcW w:w="709" w:type="dxa"/>
            <w:shd w:val="clear" w:color="auto" w:fill="auto"/>
            <w:noWrap/>
            <w:vAlign w:val="center"/>
            <w:hideMark/>
          </w:tcPr>
          <w:p w14:paraId="2736C718"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-373 406,5</w:t>
            </w:r>
          </w:p>
        </w:tc>
        <w:tc>
          <w:tcPr>
            <w:tcW w:w="567" w:type="dxa"/>
            <w:shd w:val="clear" w:color="auto" w:fill="auto"/>
            <w:noWrap/>
            <w:vAlign w:val="center"/>
            <w:hideMark/>
          </w:tcPr>
          <w:p w14:paraId="7B80A00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64,3</w:t>
            </w:r>
          </w:p>
        </w:tc>
        <w:tc>
          <w:tcPr>
            <w:tcW w:w="709" w:type="dxa"/>
            <w:shd w:val="clear" w:color="auto" w:fill="auto"/>
            <w:noWrap/>
            <w:vAlign w:val="center"/>
            <w:hideMark/>
          </w:tcPr>
          <w:p w14:paraId="10885B94"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-191 992,5</w:t>
            </w:r>
          </w:p>
        </w:tc>
      </w:tr>
      <w:tr w:rsidR="001178BA" w:rsidRPr="00213A5D" w14:paraId="294938B6" w14:textId="77777777" w:rsidTr="009B114B">
        <w:trPr>
          <w:trHeight w:val="250"/>
        </w:trPr>
        <w:tc>
          <w:tcPr>
            <w:tcW w:w="2694" w:type="dxa"/>
            <w:shd w:val="clear" w:color="auto" w:fill="auto"/>
            <w:vAlign w:val="center"/>
            <w:hideMark/>
          </w:tcPr>
          <w:p w14:paraId="31323781"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Доходы от использования имущества, находящегося в государственной собственности</w:t>
            </w:r>
          </w:p>
        </w:tc>
        <w:tc>
          <w:tcPr>
            <w:tcW w:w="992" w:type="dxa"/>
            <w:shd w:val="clear" w:color="auto" w:fill="auto"/>
            <w:noWrap/>
            <w:vAlign w:val="center"/>
            <w:hideMark/>
          </w:tcPr>
          <w:p w14:paraId="6E88220F"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1 290 525,3</w:t>
            </w:r>
          </w:p>
        </w:tc>
        <w:tc>
          <w:tcPr>
            <w:tcW w:w="992" w:type="dxa"/>
            <w:shd w:val="clear" w:color="auto" w:fill="auto"/>
            <w:noWrap/>
            <w:vAlign w:val="center"/>
            <w:hideMark/>
          </w:tcPr>
          <w:p w14:paraId="778F7D40"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719 782,4</w:t>
            </w:r>
          </w:p>
        </w:tc>
        <w:tc>
          <w:tcPr>
            <w:tcW w:w="567" w:type="dxa"/>
            <w:shd w:val="clear" w:color="auto" w:fill="auto"/>
            <w:noWrap/>
            <w:vAlign w:val="center"/>
            <w:hideMark/>
          </w:tcPr>
          <w:p w14:paraId="56C4FE5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18,2</w:t>
            </w:r>
          </w:p>
        </w:tc>
        <w:tc>
          <w:tcPr>
            <w:tcW w:w="567" w:type="dxa"/>
            <w:shd w:val="clear" w:color="auto" w:fill="auto"/>
            <w:noWrap/>
            <w:vAlign w:val="center"/>
            <w:hideMark/>
          </w:tcPr>
          <w:p w14:paraId="5E5EB782"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0,5</w:t>
            </w:r>
          </w:p>
        </w:tc>
        <w:tc>
          <w:tcPr>
            <w:tcW w:w="992" w:type="dxa"/>
            <w:shd w:val="clear" w:color="auto" w:fill="auto"/>
            <w:noWrap/>
            <w:vAlign w:val="center"/>
            <w:hideMark/>
          </w:tcPr>
          <w:p w14:paraId="72B2D6E2"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481 360,9</w:t>
            </w:r>
          </w:p>
        </w:tc>
        <w:tc>
          <w:tcPr>
            <w:tcW w:w="567" w:type="dxa"/>
            <w:shd w:val="clear" w:color="auto" w:fill="auto"/>
            <w:noWrap/>
            <w:vAlign w:val="center"/>
            <w:hideMark/>
          </w:tcPr>
          <w:p w14:paraId="51EA821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12,3</w:t>
            </w:r>
          </w:p>
        </w:tc>
        <w:tc>
          <w:tcPr>
            <w:tcW w:w="567" w:type="dxa"/>
            <w:shd w:val="clear" w:color="auto" w:fill="auto"/>
            <w:noWrap/>
            <w:vAlign w:val="center"/>
            <w:hideMark/>
          </w:tcPr>
          <w:p w14:paraId="2C8D1B5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0,3</w:t>
            </w:r>
          </w:p>
        </w:tc>
        <w:tc>
          <w:tcPr>
            <w:tcW w:w="567" w:type="dxa"/>
            <w:shd w:val="clear" w:color="auto" w:fill="auto"/>
            <w:noWrap/>
            <w:vAlign w:val="center"/>
            <w:hideMark/>
          </w:tcPr>
          <w:p w14:paraId="3C5EF64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37,3</w:t>
            </w:r>
          </w:p>
        </w:tc>
        <w:tc>
          <w:tcPr>
            <w:tcW w:w="709" w:type="dxa"/>
            <w:shd w:val="clear" w:color="auto" w:fill="auto"/>
            <w:noWrap/>
            <w:vAlign w:val="center"/>
            <w:hideMark/>
          </w:tcPr>
          <w:p w14:paraId="2219FC0C"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-809 164,4</w:t>
            </w:r>
          </w:p>
        </w:tc>
        <w:tc>
          <w:tcPr>
            <w:tcW w:w="567" w:type="dxa"/>
            <w:shd w:val="clear" w:color="auto" w:fill="auto"/>
            <w:noWrap/>
            <w:vAlign w:val="center"/>
            <w:hideMark/>
          </w:tcPr>
          <w:p w14:paraId="59E7296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66,9</w:t>
            </w:r>
          </w:p>
        </w:tc>
        <w:tc>
          <w:tcPr>
            <w:tcW w:w="709" w:type="dxa"/>
            <w:shd w:val="clear" w:color="auto" w:fill="auto"/>
            <w:noWrap/>
            <w:vAlign w:val="center"/>
            <w:hideMark/>
          </w:tcPr>
          <w:p w14:paraId="142D4F55"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-238 421,5</w:t>
            </w:r>
          </w:p>
        </w:tc>
      </w:tr>
      <w:tr w:rsidR="001178BA" w:rsidRPr="00213A5D" w14:paraId="4A805857" w14:textId="77777777" w:rsidTr="009B114B">
        <w:trPr>
          <w:trHeight w:val="53"/>
        </w:trPr>
        <w:tc>
          <w:tcPr>
            <w:tcW w:w="2694" w:type="dxa"/>
            <w:shd w:val="clear" w:color="auto" w:fill="auto"/>
            <w:vAlign w:val="center"/>
            <w:hideMark/>
          </w:tcPr>
          <w:p w14:paraId="791166DF"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из них:</w:t>
            </w:r>
          </w:p>
        </w:tc>
        <w:tc>
          <w:tcPr>
            <w:tcW w:w="992" w:type="dxa"/>
            <w:shd w:val="clear" w:color="auto" w:fill="auto"/>
            <w:noWrap/>
            <w:vAlign w:val="center"/>
            <w:hideMark/>
          </w:tcPr>
          <w:p w14:paraId="2BA4612A"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r w:rsidRPr="00213A5D">
              <w:rPr>
                <w:rFonts w:eastAsia="Times New Roman"/>
                <w:color w:val="000000"/>
                <w:sz w:val="14"/>
                <w:szCs w:val="14"/>
              </w:rPr>
              <w:t> </w:t>
            </w:r>
          </w:p>
        </w:tc>
        <w:tc>
          <w:tcPr>
            <w:tcW w:w="992" w:type="dxa"/>
            <w:shd w:val="clear" w:color="auto" w:fill="auto"/>
            <w:noWrap/>
            <w:vAlign w:val="center"/>
            <w:hideMark/>
          </w:tcPr>
          <w:p w14:paraId="5C304E50" w14:textId="77777777" w:rsidR="001178BA" w:rsidRPr="00213A5D" w:rsidRDefault="001178BA" w:rsidP="00AF1852">
            <w:pPr>
              <w:widowControl w:val="0"/>
              <w:overflowPunct/>
              <w:autoSpaceDE/>
              <w:autoSpaceDN/>
              <w:adjustRightInd/>
              <w:spacing w:line="240" w:lineRule="auto"/>
              <w:ind w:left="-108" w:right="0" w:firstLine="0"/>
              <w:jc w:val="lef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44394CE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6547D45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992" w:type="dxa"/>
            <w:shd w:val="clear" w:color="auto" w:fill="auto"/>
            <w:noWrap/>
            <w:vAlign w:val="center"/>
            <w:hideMark/>
          </w:tcPr>
          <w:p w14:paraId="0FAAF890"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p>
        </w:tc>
        <w:tc>
          <w:tcPr>
            <w:tcW w:w="567" w:type="dxa"/>
            <w:shd w:val="clear" w:color="auto" w:fill="auto"/>
            <w:noWrap/>
            <w:vAlign w:val="center"/>
            <w:hideMark/>
          </w:tcPr>
          <w:p w14:paraId="2D0E5AB2"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1ABA22D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71D7C3E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7D839CC1"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3D21938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4C253573"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 </w:t>
            </w:r>
          </w:p>
        </w:tc>
      </w:tr>
      <w:tr w:rsidR="001178BA" w:rsidRPr="00213A5D" w14:paraId="1360AE1B" w14:textId="77777777" w:rsidTr="009B114B">
        <w:trPr>
          <w:trHeight w:val="549"/>
        </w:trPr>
        <w:tc>
          <w:tcPr>
            <w:tcW w:w="2694" w:type="dxa"/>
            <w:shd w:val="clear" w:color="auto" w:fill="auto"/>
            <w:vAlign w:val="center"/>
            <w:hideMark/>
          </w:tcPr>
          <w:p w14:paraId="38C9DA19"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w:t>
            </w:r>
          </w:p>
        </w:tc>
        <w:tc>
          <w:tcPr>
            <w:tcW w:w="992" w:type="dxa"/>
            <w:shd w:val="clear" w:color="auto" w:fill="auto"/>
            <w:noWrap/>
            <w:vAlign w:val="center"/>
            <w:hideMark/>
          </w:tcPr>
          <w:p w14:paraId="32C0B86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693 037,6</w:t>
            </w:r>
          </w:p>
        </w:tc>
        <w:tc>
          <w:tcPr>
            <w:tcW w:w="992" w:type="dxa"/>
            <w:shd w:val="clear" w:color="auto" w:fill="auto"/>
            <w:noWrap/>
            <w:vAlign w:val="center"/>
            <w:hideMark/>
          </w:tcPr>
          <w:p w14:paraId="266F915A"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279 913,6</w:t>
            </w:r>
          </w:p>
        </w:tc>
        <w:tc>
          <w:tcPr>
            <w:tcW w:w="567" w:type="dxa"/>
            <w:shd w:val="clear" w:color="auto" w:fill="auto"/>
            <w:noWrap/>
            <w:vAlign w:val="center"/>
            <w:hideMark/>
          </w:tcPr>
          <w:p w14:paraId="2127F12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38,9</w:t>
            </w:r>
          </w:p>
        </w:tc>
        <w:tc>
          <w:tcPr>
            <w:tcW w:w="567" w:type="dxa"/>
            <w:shd w:val="clear" w:color="auto" w:fill="auto"/>
            <w:noWrap/>
            <w:vAlign w:val="center"/>
            <w:hideMark/>
          </w:tcPr>
          <w:p w14:paraId="145C302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0,2</w:t>
            </w:r>
          </w:p>
        </w:tc>
        <w:tc>
          <w:tcPr>
            <w:tcW w:w="992" w:type="dxa"/>
            <w:shd w:val="clear" w:color="auto" w:fill="auto"/>
            <w:noWrap/>
            <w:vAlign w:val="center"/>
            <w:hideMark/>
          </w:tcPr>
          <w:p w14:paraId="2FAF213B"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178 230,9</w:t>
            </w:r>
          </w:p>
        </w:tc>
        <w:tc>
          <w:tcPr>
            <w:tcW w:w="567" w:type="dxa"/>
            <w:shd w:val="clear" w:color="auto" w:fill="auto"/>
            <w:noWrap/>
            <w:vAlign w:val="center"/>
            <w:hideMark/>
          </w:tcPr>
          <w:p w14:paraId="6C9A939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37,0</w:t>
            </w:r>
          </w:p>
        </w:tc>
        <w:tc>
          <w:tcPr>
            <w:tcW w:w="567" w:type="dxa"/>
            <w:shd w:val="clear" w:color="auto" w:fill="auto"/>
            <w:noWrap/>
            <w:vAlign w:val="center"/>
            <w:hideMark/>
          </w:tcPr>
          <w:p w14:paraId="011D332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567" w:type="dxa"/>
            <w:shd w:val="clear" w:color="auto" w:fill="auto"/>
            <w:noWrap/>
            <w:vAlign w:val="center"/>
            <w:hideMark/>
          </w:tcPr>
          <w:p w14:paraId="583FCEE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25,7</w:t>
            </w:r>
          </w:p>
        </w:tc>
        <w:tc>
          <w:tcPr>
            <w:tcW w:w="709" w:type="dxa"/>
            <w:shd w:val="clear" w:color="auto" w:fill="auto"/>
            <w:noWrap/>
            <w:vAlign w:val="center"/>
            <w:hideMark/>
          </w:tcPr>
          <w:p w14:paraId="22F18A87"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-514 806,7</w:t>
            </w:r>
          </w:p>
        </w:tc>
        <w:tc>
          <w:tcPr>
            <w:tcW w:w="567" w:type="dxa"/>
            <w:shd w:val="clear" w:color="auto" w:fill="auto"/>
            <w:noWrap/>
            <w:vAlign w:val="center"/>
            <w:hideMark/>
          </w:tcPr>
          <w:p w14:paraId="275C1FB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63,7</w:t>
            </w:r>
          </w:p>
        </w:tc>
        <w:tc>
          <w:tcPr>
            <w:tcW w:w="709" w:type="dxa"/>
            <w:shd w:val="clear" w:color="auto" w:fill="auto"/>
            <w:noWrap/>
            <w:vAlign w:val="center"/>
            <w:hideMark/>
          </w:tcPr>
          <w:p w14:paraId="143A15BD"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-101 682,7</w:t>
            </w:r>
          </w:p>
        </w:tc>
      </w:tr>
      <w:tr w:rsidR="001178BA" w:rsidRPr="00213A5D" w14:paraId="48CA61CF" w14:textId="77777777" w:rsidTr="009B114B">
        <w:trPr>
          <w:trHeight w:val="56"/>
        </w:trPr>
        <w:tc>
          <w:tcPr>
            <w:tcW w:w="2694" w:type="dxa"/>
            <w:shd w:val="clear" w:color="auto" w:fill="auto"/>
            <w:vAlign w:val="center"/>
            <w:hideMark/>
          </w:tcPr>
          <w:p w14:paraId="7F040F5B"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Доходы по остаткам средств на счетах федерального бюджета и от их размещения, кроме средств  Фонда национального благосостояния**</w:t>
            </w:r>
          </w:p>
        </w:tc>
        <w:tc>
          <w:tcPr>
            <w:tcW w:w="992" w:type="dxa"/>
            <w:shd w:val="clear" w:color="auto" w:fill="auto"/>
            <w:noWrap/>
            <w:vAlign w:val="center"/>
            <w:hideMark/>
          </w:tcPr>
          <w:p w14:paraId="59CE162F"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123 744,2</w:t>
            </w:r>
          </w:p>
        </w:tc>
        <w:tc>
          <w:tcPr>
            <w:tcW w:w="992" w:type="dxa"/>
            <w:shd w:val="clear" w:color="auto" w:fill="auto"/>
            <w:noWrap/>
            <w:vAlign w:val="center"/>
            <w:hideMark/>
          </w:tcPr>
          <w:p w14:paraId="5235FA4A"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105 176,1</w:t>
            </w:r>
          </w:p>
        </w:tc>
        <w:tc>
          <w:tcPr>
            <w:tcW w:w="567" w:type="dxa"/>
            <w:shd w:val="clear" w:color="auto" w:fill="auto"/>
            <w:noWrap/>
            <w:vAlign w:val="center"/>
            <w:hideMark/>
          </w:tcPr>
          <w:p w14:paraId="7BCFD45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14,6</w:t>
            </w:r>
          </w:p>
        </w:tc>
        <w:tc>
          <w:tcPr>
            <w:tcW w:w="567" w:type="dxa"/>
            <w:shd w:val="clear" w:color="auto" w:fill="auto"/>
            <w:noWrap/>
            <w:vAlign w:val="center"/>
            <w:hideMark/>
          </w:tcPr>
          <w:p w14:paraId="6F11867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992" w:type="dxa"/>
            <w:shd w:val="clear" w:color="auto" w:fill="auto"/>
            <w:noWrap/>
            <w:vAlign w:val="center"/>
            <w:hideMark/>
          </w:tcPr>
          <w:p w14:paraId="0E613983"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100 470,2</w:t>
            </w:r>
          </w:p>
        </w:tc>
        <w:tc>
          <w:tcPr>
            <w:tcW w:w="567" w:type="dxa"/>
            <w:shd w:val="clear" w:color="auto" w:fill="auto"/>
            <w:noWrap/>
            <w:vAlign w:val="center"/>
            <w:hideMark/>
          </w:tcPr>
          <w:p w14:paraId="42E810CF"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20,9</w:t>
            </w:r>
          </w:p>
        </w:tc>
        <w:tc>
          <w:tcPr>
            <w:tcW w:w="567" w:type="dxa"/>
            <w:shd w:val="clear" w:color="auto" w:fill="auto"/>
            <w:noWrap/>
            <w:vAlign w:val="center"/>
            <w:hideMark/>
          </w:tcPr>
          <w:p w14:paraId="5BD9B43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567" w:type="dxa"/>
            <w:shd w:val="clear" w:color="auto" w:fill="auto"/>
            <w:noWrap/>
            <w:vAlign w:val="center"/>
            <w:hideMark/>
          </w:tcPr>
          <w:p w14:paraId="49E33B62"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81,2</w:t>
            </w:r>
          </w:p>
        </w:tc>
        <w:tc>
          <w:tcPr>
            <w:tcW w:w="709" w:type="dxa"/>
            <w:shd w:val="clear" w:color="auto" w:fill="auto"/>
            <w:noWrap/>
            <w:vAlign w:val="center"/>
            <w:hideMark/>
          </w:tcPr>
          <w:p w14:paraId="2D69E82F"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-23 274,0</w:t>
            </w:r>
          </w:p>
        </w:tc>
        <w:tc>
          <w:tcPr>
            <w:tcW w:w="567" w:type="dxa"/>
            <w:shd w:val="clear" w:color="auto" w:fill="auto"/>
            <w:noWrap/>
            <w:vAlign w:val="center"/>
            <w:hideMark/>
          </w:tcPr>
          <w:p w14:paraId="52FD14C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95,5</w:t>
            </w:r>
          </w:p>
        </w:tc>
        <w:tc>
          <w:tcPr>
            <w:tcW w:w="709" w:type="dxa"/>
            <w:shd w:val="clear" w:color="auto" w:fill="auto"/>
            <w:noWrap/>
            <w:vAlign w:val="center"/>
            <w:hideMark/>
          </w:tcPr>
          <w:p w14:paraId="52134852"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-4 705,9</w:t>
            </w:r>
          </w:p>
        </w:tc>
      </w:tr>
      <w:tr w:rsidR="001178BA" w:rsidRPr="00213A5D" w14:paraId="3390378E" w14:textId="77777777" w:rsidTr="009B114B">
        <w:trPr>
          <w:trHeight w:val="291"/>
        </w:trPr>
        <w:tc>
          <w:tcPr>
            <w:tcW w:w="2694" w:type="dxa"/>
            <w:shd w:val="clear" w:color="auto" w:fill="auto"/>
            <w:vAlign w:val="center"/>
            <w:hideMark/>
          </w:tcPr>
          <w:p w14:paraId="17170AE2"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Доходы от управления средствами Фонда  национального благосостояния**</w:t>
            </w:r>
          </w:p>
        </w:tc>
        <w:tc>
          <w:tcPr>
            <w:tcW w:w="992" w:type="dxa"/>
            <w:shd w:val="clear" w:color="auto" w:fill="auto"/>
            <w:noWrap/>
            <w:vAlign w:val="center"/>
            <w:hideMark/>
          </w:tcPr>
          <w:p w14:paraId="6A093AE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348 075,4</w:t>
            </w:r>
          </w:p>
        </w:tc>
        <w:tc>
          <w:tcPr>
            <w:tcW w:w="992" w:type="dxa"/>
            <w:shd w:val="clear" w:color="auto" w:fill="auto"/>
            <w:noWrap/>
            <w:vAlign w:val="center"/>
            <w:hideMark/>
          </w:tcPr>
          <w:p w14:paraId="7F2639C3"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246 767,4</w:t>
            </w:r>
          </w:p>
        </w:tc>
        <w:tc>
          <w:tcPr>
            <w:tcW w:w="567" w:type="dxa"/>
            <w:shd w:val="clear" w:color="auto" w:fill="auto"/>
            <w:noWrap/>
            <w:vAlign w:val="center"/>
            <w:hideMark/>
          </w:tcPr>
          <w:p w14:paraId="7882D95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34,3</w:t>
            </w:r>
          </w:p>
        </w:tc>
        <w:tc>
          <w:tcPr>
            <w:tcW w:w="567" w:type="dxa"/>
            <w:shd w:val="clear" w:color="auto" w:fill="auto"/>
            <w:noWrap/>
            <w:vAlign w:val="center"/>
            <w:hideMark/>
          </w:tcPr>
          <w:p w14:paraId="4ED9917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0,2</w:t>
            </w:r>
          </w:p>
        </w:tc>
        <w:tc>
          <w:tcPr>
            <w:tcW w:w="992" w:type="dxa"/>
            <w:shd w:val="clear" w:color="auto" w:fill="auto"/>
            <w:noWrap/>
            <w:vAlign w:val="center"/>
            <w:hideMark/>
          </w:tcPr>
          <w:p w14:paraId="0BAD48A3"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34 307,2</w:t>
            </w:r>
          </w:p>
        </w:tc>
        <w:tc>
          <w:tcPr>
            <w:tcW w:w="567" w:type="dxa"/>
            <w:shd w:val="clear" w:color="auto" w:fill="auto"/>
            <w:noWrap/>
            <w:vAlign w:val="center"/>
            <w:hideMark/>
          </w:tcPr>
          <w:p w14:paraId="11C84B9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7,1</w:t>
            </w:r>
          </w:p>
        </w:tc>
        <w:tc>
          <w:tcPr>
            <w:tcW w:w="567" w:type="dxa"/>
            <w:shd w:val="clear" w:color="auto" w:fill="auto"/>
            <w:noWrap/>
            <w:vAlign w:val="center"/>
            <w:hideMark/>
          </w:tcPr>
          <w:p w14:paraId="4C099AE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w:t>
            </w:r>
          </w:p>
        </w:tc>
        <w:tc>
          <w:tcPr>
            <w:tcW w:w="567" w:type="dxa"/>
            <w:shd w:val="clear" w:color="auto" w:fill="auto"/>
            <w:noWrap/>
            <w:vAlign w:val="center"/>
            <w:hideMark/>
          </w:tcPr>
          <w:p w14:paraId="27896E96"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9,9</w:t>
            </w:r>
          </w:p>
        </w:tc>
        <w:tc>
          <w:tcPr>
            <w:tcW w:w="709" w:type="dxa"/>
            <w:shd w:val="clear" w:color="auto" w:fill="auto"/>
            <w:noWrap/>
            <w:vAlign w:val="center"/>
            <w:hideMark/>
          </w:tcPr>
          <w:p w14:paraId="5E6426F7"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-313 768,2</w:t>
            </w:r>
          </w:p>
        </w:tc>
        <w:tc>
          <w:tcPr>
            <w:tcW w:w="567" w:type="dxa"/>
            <w:shd w:val="clear" w:color="auto" w:fill="auto"/>
            <w:noWrap/>
            <w:vAlign w:val="center"/>
            <w:hideMark/>
          </w:tcPr>
          <w:p w14:paraId="4337AD9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13,9</w:t>
            </w:r>
          </w:p>
        </w:tc>
        <w:tc>
          <w:tcPr>
            <w:tcW w:w="709" w:type="dxa"/>
            <w:shd w:val="clear" w:color="auto" w:fill="auto"/>
            <w:noWrap/>
            <w:vAlign w:val="center"/>
            <w:hideMark/>
          </w:tcPr>
          <w:p w14:paraId="4A0B6E38"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-212 460,1</w:t>
            </w:r>
          </w:p>
        </w:tc>
      </w:tr>
      <w:tr w:rsidR="001178BA" w:rsidRPr="00213A5D" w14:paraId="73113606" w14:textId="77777777" w:rsidTr="009B114B">
        <w:trPr>
          <w:trHeight w:val="53"/>
        </w:trPr>
        <w:tc>
          <w:tcPr>
            <w:tcW w:w="2694" w:type="dxa"/>
            <w:shd w:val="clear" w:color="auto" w:fill="auto"/>
            <w:vAlign w:val="center"/>
          </w:tcPr>
          <w:p w14:paraId="3EB01AED"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Доходы от операций по управлению остатками средств на едином казначейском счете, зачисляемые в федеральный бюджет</w:t>
            </w:r>
          </w:p>
        </w:tc>
        <w:tc>
          <w:tcPr>
            <w:tcW w:w="992" w:type="dxa"/>
            <w:shd w:val="clear" w:color="auto" w:fill="auto"/>
            <w:noWrap/>
          </w:tcPr>
          <w:p w14:paraId="0505D5D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39 807,7</w:t>
            </w:r>
          </w:p>
        </w:tc>
        <w:tc>
          <w:tcPr>
            <w:tcW w:w="992" w:type="dxa"/>
            <w:shd w:val="clear" w:color="auto" w:fill="auto"/>
            <w:noWrap/>
          </w:tcPr>
          <w:p w14:paraId="4BEA11A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24 208,1</w:t>
            </w:r>
          </w:p>
        </w:tc>
        <w:tc>
          <w:tcPr>
            <w:tcW w:w="567" w:type="dxa"/>
            <w:shd w:val="clear" w:color="auto" w:fill="auto"/>
            <w:noWrap/>
          </w:tcPr>
          <w:p w14:paraId="6DB3ADA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3,4</w:t>
            </w:r>
          </w:p>
        </w:tc>
        <w:tc>
          <w:tcPr>
            <w:tcW w:w="567" w:type="dxa"/>
            <w:shd w:val="clear" w:color="auto" w:fill="auto"/>
            <w:noWrap/>
          </w:tcPr>
          <w:p w14:paraId="211A8B4F"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0,02</w:t>
            </w:r>
          </w:p>
        </w:tc>
        <w:tc>
          <w:tcPr>
            <w:tcW w:w="992" w:type="dxa"/>
            <w:shd w:val="clear" w:color="auto" w:fill="auto"/>
            <w:noWrap/>
          </w:tcPr>
          <w:p w14:paraId="125F17DD"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137 099,5</w:t>
            </w:r>
          </w:p>
        </w:tc>
        <w:tc>
          <w:tcPr>
            <w:tcW w:w="567" w:type="dxa"/>
            <w:shd w:val="clear" w:color="auto" w:fill="auto"/>
            <w:noWrap/>
          </w:tcPr>
          <w:p w14:paraId="65233BA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28,5</w:t>
            </w:r>
          </w:p>
        </w:tc>
        <w:tc>
          <w:tcPr>
            <w:tcW w:w="567" w:type="dxa"/>
            <w:shd w:val="clear" w:color="auto" w:fill="auto"/>
            <w:noWrap/>
          </w:tcPr>
          <w:p w14:paraId="13B50CC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567" w:type="dxa"/>
            <w:shd w:val="clear" w:color="auto" w:fill="auto"/>
            <w:noWrap/>
          </w:tcPr>
          <w:p w14:paraId="23B7F93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344,4</w:t>
            </w:r>
          </w:p>
        </w:tc>
        <w:tc>
          <w:tcPr>
            <w:tcW w:w="709" w:type="dxa"/>
            <w:shd w:val="clear" w:color="auto" w:fill="auto"/>
            <w:noWrap/>
          </w:tcPr>
          <w:p w14:paraId="63E0CBC2" w14:textId="77777777" w:rsidR="001178BA" w:rsidRPr="00213A5D" w:rsidRDefault="001178BA" w:rsidP="00AF1852">
            <w:pPr>
              <w:widowControl w:val="0"/>
              <w:overflowPunct/>
              <w:autoSpaceDE/>
              <w:autoSpaceDN/>
              <w:adjustRightInd/>
              <w:spacing w:line="240" w:lineRule="auto"/>
              <w:ind w:left="-108" w:right="-108" w:firstLine="0"/>
              <w:jc w:val="right"/>
              <w:textAlignment w:val="auto"/>
              <w:rPr>
                <w:rFonts w:eastAsia="Times New Roman"/>
                <w:color w:val="000000"/>
                <w:sz w:val="14"/>
                <w:szCs w:val="14"/>
              </w:rPr>
            </w:pPr>
            <w:r w:rsidRPr="00213A5D">
              <w:rPr>
                <w:rFonts w:eastAsia="Times New Roman"/>
                <w:color w:val="000000"/>
                <w:sz w:val="14"/>
                <w:szCs w:val="14"/>
              </w:rPr>
              <w:t>97 291,8</w:t>
            </w:r>
          </w:p>
        </w:tc>
        <w:tc>
          <w:tcPr>
            <w:tcW w:w="567" w:type="dxa"/>
            <w:shd w:val="clear" w:color="auto" w:fill="auto"/>
            <w:noWrap/>
          </w:tcPr>
          <w:p w14:paraId="41F5B95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566,3</w:t>
            </w:r>
          </w:p>
        </w:tc>
        <w:tc>
          <w:tcPr>
            <w:tcW w:w="709" w:type="dxa"/>
            <w:shd w:val="clear" w:color="auto" w:fill="auto"/>
            <w:noWrap/>
          </w:tcPr>
          <w:p w14:paraId="0AD39BEB" w14:textId="77777777" w:rsidR="001178BA" w:rsidRPr="00213A5D" w:rsidRDefault="001178BA" w:rsidP="00AF1852">
            <w:pPr>
              <w:widowControl w:val="0"/>
              <w:overflowPunct/>
              <w:autoSpaceDE/>
              <w:autoSpaceDN/>
              <w:adjustRightInd/>
              <w:spacing w:line="240" w:lineRule="auto"/>
              <w:ind w:left="-108" w:right="-107" w:firstLine="0"/>
              <w:jc w:val="right"/>
              <w:textAlignment w:val="auto"/>
              <w:rPr>
                <w:rFonts w:eastAsia="Times New Roman"/>
                <w:color w:val="000000"/>
                <w:sz w:val="14"/>
                <w:szCs w:val="14"/>
              </w:rPr>
            </w:pPr>
            <w:r w:rsidRPr="00213A5D">
              <w:rPr>
                <w:rFonts w:eastAsia="Times New Roman"/>
                <w:color w:val="000000"/>
                <w:sz w:val="14"/>
                <w:szCs w:val="14"/>
              </w:rPr>
              <w:t>112 891,4</w:t>
            </w:r>
          </w:p>
        </w:tc>
      </w:tr>
      <w:tr w:rsidR="001178BA" w:rsidRPr="00213A5D" w14:paraId="383A787B" w14:textId="77777777" w:rsidTr="009B114B">
        <w:trPr>
          <w:trHeight w:val="53"/>
        </w:trPr>
        <w:tc>
          <w:tcPr>
            <w:tcW w:w="2694" w:type="dxa"/>
            <w:shd w:val="clear" w:color="auto" w:fill="auto"/>
            <w:vAlign w:val="center"/>
            <w:hideMark/>
          </w:tcPr>
          <w:p w14:paraId="76527219"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Платежи при пользовании природными ресурсами</w:t>
            </w:r>
          </w:p>
        </w:tc>
        <w:tc>
          <w:tcPr>
            <w:tcW w:w="992" w:type="dxa"/>
            <w:shd w:val="clear" w:color="auto" w:fill="auto"/>
            <w:noWrap/>
            <w:vAlign w:val="center"/>
            <w:hideMark/>
          </w:tcPr>
          <w:p w14:paraId="53F014E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637 041,2</w:t>
            </w:r>
          </w:p>
        </w:tc>
        <w:tc>
          <w:tcPr>
            <w:tcW w:w="992" w:type="dxa"/>
            <w:shd w:val="clear" w:color="auto" w:fill="auto"/>
            <w:noWrap/>
            <w:vAlign w:val="center"/>
            <w:hideMark/>
          </w:tcPr>
          <w:p w14:paraId="3C5ECA72"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465 767,4</w:t>
            </w:r>
          </w:p>
        </w:tc>
        <w:tc>
          <w:tcPr>
            <w:tcW w:w="567" w:type="dxa"/>
            <w:shd w:val="clear" w:color="auto" w:fill="auto"/>
            <w:noWrap/>
            <w:vAlign w:val="center"/>
            <w:hideMark/>
          </w:tcPr>
          <w:p w14:paraId="1B8939C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11,8</w:t>
            </w:r>
          </w:p>
        </w:tc>
        <w:tc>
          <w:tcPr>
            <w:tcW w:w="567" w:type="dxa"/>
            <w:shd w:val="clear" w:color="auto" w:fill="auto"/>
            <w:noWrap/>
            <w:vAlign w:val="center"/>
            <w:hideMark/>
          </w:tcPr>
          <w:p w14:paraId="7A7B44C3"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0,4</w:t>
            </w:r>
          </w:p>
        </w:tc>
        <w:tc>
          <w:tcPr>
            <w:tcW w:w="992" w:type="dxa"/>
            <w:shd w:val="clear" w:color="auto" w:fill="auto"/>
            <w:noWrap/>
            <w:vAlign w:val="center"/>
            <w:hideMark/>
          </w:tcPr>
          <w:p w14:paraId="6609DE21"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259 901,0</w:t>
            </w:r>
          </w:p>
        </w:tc>
        <w:tc>
          <w:tcPr>
            <w:tcW w:w="567" w:type="dxa"/>
            <w:shd w:val="clear" w:color="auto" w:fill="auto"/>
            <w:noWrap/>
            <w:vAlign w:val="center"/>
            <w:hideMark/>
          </w:tcPr>
          <w:p w14:paraId="239B8A6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6,6</w:t>
            </w:r>
          </w:p>
        </w:tc>
        <w:tc>
          <w:tcPr>
            <w:tcW w:w="567" w:type="dxa"/>
            <w:shd w:val="clear" w:color="auto" w:fill="auto"/>
            <w:noWrap/>
            <w:vAlign w:val="center"/>
            <w:hideMark/>
          </w:tcPr>
          <w:p w14:paraId="2119794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0,2</w:t>
            </w:r>
          </w:p>
        </w:tc>
        <w:tc>
          <w:tcPr>
            <w:tcW w:w="567" w:type="dxa"/>
            <w:shd w:val="clear" w:color="auto" w:fill="auto"/>
            <w:noWrap/>
            <w:vAlign w:val="center"/>
            <w:hideMark/>
          </w:tcPr>
          <w:p w14:paraId="694E1C76"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40,8</w:t>
            </w:r>
          </w:p>
        </w:tc>
        <w:tc>
          <w:tcPr>
            <w:tcW w:w="709" w:type="dxa"/>
            <w:shd w:val="clear" w:color="auto" w:fill="auto"/>
            <w:noWrap/>
            <w:vAlign w:val="center"/>
            <w:hideMark/>
          </w:tcPr>
          <w:p w14:paraId="74A6D73F"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-377 140,2</w:t>
            </w:r>
          </w:p>
        </w:tc>
        <w:tc>
          <w:tcPr>
            <w:tcW w:w="567" w:type="dxa"/>
            <w:shd w:val="clear" w:color="auto" w:fill="auto"/>
            <w:noWrap/>
            <w:vAlign w:val="center"/>
            <w:hideMark/>
          </w:tcPr>
          <w:p w14:paraId="3F9C79CF"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55,8</w:t>
            </w:r>
          </w:p>
        </w:tc>
        <w:tc>
          <w:tcPr>
            <w:tcW w:w="709" w:type="dxa"/>
            <w:shd w:val="clear" w:color="auto" w:fill="auto"/>
            <w:noWrap/>
            <w:vAlign w:val="center"/>
            <w:hideMark/>
          </w:tcPr>
          <w:p w14:paraId="70F9BFA8"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-205 866,4</w:t>
            </w:r>
          </w:p>
        </w:tc>
      </w:tr>
      <w:tr w:rsidR="001178BA" w:rsidRPr="00213A5D" w14:paraId="544628E0" w14:textId="77777777" w:rsidTr="009B114B">
        <w:trPr>
          <w:trHeight w:val="53"/>
        </w:trPr>
        <w:tc>
          <w:tcPr>
            <w:tcW w:w="2694" w:type="dxa"/>
            <w:shd w:val="clear" w:color="auto" w:fill="auto"/>
            <w:vAlign w:val="center"/>
            <w:hideMark/>
          </w:tcPr>
          <w:p w14:paraId="362CE89E"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из них:</w:t>
            </w:r>
          </w:p>
        </w:tc>
        <w:tc>
          <w:tcPr>
            <w:tcW w:w="992" w:type="dxa"/>
            <w:shd w:val="clear" w:color="auto" w:fill="auto"/>
            <w:noWrap/>
            <w:vAlign w:val="center"/>
            <w:hideMark/>
          </w:tcPr>
          <w:p w14:paraId="73E4B862"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color w:val="000000"/>
                <w:sz w:val="14"/>
                <w:szCs w:val="14"/>
              </w:rPr>
            </w:pPr>
            <w:r w:rsidRPr="00213A5D">
              <w:rPr>
                <w:rFonts w:eastAsia="Times New Roman"/>
                <w:color w:val="000000"/>
                <w:sz w:val="14"/>
                <w:szCs w:val="14"/>
              </w:rPr>
              <w:t> </w:t>
            </w:r>
          </w:p>
        </w:tc>
        <w:tc>
          <w:tcPr>
            <w:tcW w:w="992" w:type="dxa"/>
            <w:shd w:val="clear" w:color="auto" w:fill="auto"/>
            <w:noWrap/>
            <w:vAlign w:val="center"/>
            <w:hideMark/>
          </w:tcPr>
          <w:p w14:paraId="28827047" w14:textId="77777777" w:rsidR="001178BA" w:rsidRPr="00213A5D" w:rsidRDefault="001178BA" w:rsidP="00AF1852">
            <w:pPr>
              <w:widowControl w:val="0"/>
              <w:overflowPunct/>
              <w:autoSpaceDE/>
              <w:autoSpaceDN/>
              <w:adjustRightInd/>
              <w:spacing w:line="240" w:lineRule="auto"/>
              <w:ind w:left="-108" w:right="0" w:firstLine="0"/>
              <w:jc w:val="lef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2F1A243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18EB41D2"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992" w:type="dxa"/>
            <w:shd w:val="clear" w:color="auto" w:fill="auto"/>
            <w:noWrap/>
            <w:vAlign w:val="center"/>
            <w:hideMark/>
          </w:tcPr>
          <w:p w14:paraId="1448DCD9"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p>
        </w:tc>
        <w:tc>
          <w:tcPr>
            <w:tcW w:w="567" w:type="dxa"/>
            <w:shd w:val="clear" w:color="auto" w:fill="auto"/>
            <w:noWrap/>
            <w:vAlign w:val="center"/>
            <w:hideMark/>
          </w:tcPr>
          <w:p w14:paraId="4A4D363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0F25BD7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35E23DC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4368899B"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 </w:t>
            </w:r>
          </w:p>
        </w:tc>
        <w:tc>
          <w:tcPr>
            <w:tcW w:w="567" w:type="dxa"/>
            <w:shd w:val="clear" w:color="auto" w:fill="auto"/>
            <w:noWrap/>
            <w:vAlign w:val="center"/>
            <w:hideMark/>
          </w:tcPr>
          <w:p w14:paraId="1C73CD63"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 </w:t>
            </w:r>
          </w:p>
        </w:tc>
        <w:tc>
          <w:tcPr>
            <w:tcW w:w="709" w:type="dxa"/>
            <w:shd w:val="clear" w:color="auto" w:fill="auto"/>
            <w:noWrap/>
            <w:vAlign w:val="center"/>
            <w:hideMark/>
          </w:tcPr>
          <w:p w14:paraId="219B0CC8"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 </w:t>
            </w:r>
          </w:p>
        </w:tc>
      </w:tr>
      <w:tr w:rsidR="001178BA" w:rsidRPr="00213A5D" w14:paraId="79DD28F9" w14:textId="77777777" w:rsidTr="009B114B">
        <w:trPr>
          <w:trHeight w:val="53"/>
        </w:trPr>
        <w:tc>
          <w:tcPr>
            <w:tcW w:w="2694" w:type="dxa"/>
            <w:shd w:val="clear" w:color="auto" w:fill="auto"/>
            <w:vAlign w:val="center"/>
            <w:hideMark/>
          </w:tcPr>
          <w:p w14:paraId="229AF983"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Утилизационный сбор**</w:t>
            </w:r>
          </w:p>
        </w:tc>
        <w:tc>
          <w:tcPr>
            <w:tcW w:w="992" w:type="dxa"/>
            <w:shd w:val="clear" w:color="auto" w:fill="auto"/>
            <w:noWrap/>
            <w:vAlign w:val="center"/>
            <w:hideMark/>
          </w:tcPr>
          <w:p w14:paraId="2E62CBC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530 989,1</w:t>
            </w:r>
          </w:p>
        </w:tc>
        <w:tc>
          <w:tcPr>
            <w:tcW w:w="992" w:type="dxa"/>
            <w:shd w:val="clear" w:color="auto" w:fill="auto"/>
            <w:noWrap/>
            <w:vAlign w:val="center"/>
            <w:hideMark/>
          </w:tcPr>
          <w:p w14:paraId="1F30DCE0"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370 107,0</w:t>
            </w:r>
          </w:p>
        </w:tc>
        <w:tc>
          <w:tcPr>
            <w:tcW w:w="567" w:type="dxa"/>
            <w:shd w:val="clear" w:color="auto" w:fill="auto"/>
            <w:noWrap/>
            <w:vAlign w:val="center"/>
            <w:hideMark/>
          </w:tcPr>
          <w:p w14:paraId="309644B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79,5</w:t>
            </w:r>
          </w:p>
        </w:tc>
        <w:tc>
          <w:tcPr>
            <w:tcW w:w="567" w:type="dxa"/>
            <w:shd w:val="clear" w:color="auto" w:fill="auto"/>
            <w:noWrap/>
            <w:vAlign w:val="center"/>
            <w:hideMark/>
          </w:tcPr>
          <w:p w14:paraId="0FD6AA9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0,3</w:t>
            </w:r>
          </w:p>
        </w:tc>
        <w:tc>
          <w:tcPr>
            <w:tcW w:w="992" w:type="dxa"/>
            <w:shd w:val="clear" w:color="auto" w:fill="auto"/>
            <w:noWrap/>
            <w:vAlign w:val="center"/>
            <w:hideMark/>
          </w:tcPr>
          <w:p w14:paraId="395B7710"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161 551,3</w:t>
            </w:r>
          </w:p>
        </w:tc>
        <w:tc>
          <w:tcPr>
            <w:tcW w:w="567" w:type="dxa"/>
            <w:shd w:val="clear" w:color="auto" w:fill="auto"/>
            <w:noWrap/>
            <w:vAlign w:val="center"/>
            <w:hideMark/>
          </w:tcPr>
          <w:p w14:paraId="04F3859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62,2</w:t>
            </w:r>
          </w:p>
        </w:tc>
        <w:tc>
          <w:tcPr>
            <w:tcW w:w="567" w:type="dxa"/>
            <w:shd w:val="clear" w:color="auto" w:fill="auto"/>
            <w:noWrap/>
            <w:vAlign w:val="center"/>
            <w:hideMark/>
          </w:tcPr>
          <w:p w14:paraId="0D58D776"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567" w:type="dxa"/>
            <w:shd w:val="clear" w:color="auto" w:fill="auto"/>
            <w:noWrap/>
            <w:vAlign w:val="center"/>
            <w:hideMark/>
          </w:tcPr>
          <w:p w14:paraId="244E890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30,4</w:t>
            </w:r>
          </w:p>
        </w:tc>
        <w:tc>
          <w:tcPr>
            <w:tcW w:w="709" w:type="dxa"/>
            <w:shd w:val="clear" w:color="auto" w:fill="auto"/>
            <w:noWrap/>
            <w:vAlign w:val="center"/>
            <w:hideMark/>
          </w:tcPr>
          <w:p w14:paraId="73EBD677"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-369 437,7</w:t>
            </w:r>
          </w:p>
        </w:tc>
        <w:tc>
          <w:tcPr>
            <w:tcW w:w="567" w:type="dxa"/>
            <w:shd w:val="clear" w:color="auto" w:fill="auto"/>
            <w:noWrap/>
            <w:vAlign w:val="center"/>
            <w:hideMark/>
          </w:tcPr>
          <w:p w14:paraId="398F75E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43,6</w:t>
            </w:r>
          </w:p>
        </w:tc>
        <w:tc>
          <w:tcPr>
            <w:tcW w:w="709" w:type="dxa"/>
            <w:shd w:val="clear" w:color="auto" w:fill="auto"/>
            <w:noWrap/>
            <w:vAlign w:val="center"/>
            <w:hideMark/>
          </w:tcPr>
          <w:p w14:paraId="4FAB4E06"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-208 555,7</w:t>
            </w:r>
          </w:p>
        </w:tc>
      </w:tr>
      <w:tr w:rsidR="001178BA" w:rsidRPr="00213A5D" w14:paraId="791244FF" w14:textId="77777777" w:rsidTr="009B114B">
        <w:trPr>
          <w:trHeight w:val="53"/>
        </w:trPr>
        <w:tc>
          <w:tcPr>
            <w:tcW w:w="2694" w:type="dxa"/>
            <w:shd w:val="clear" w:color="auto" w:fill="auto"/>
            <w:vAlign w:val="center"/>
            <w:hideMark/>
          </w:tcPr>
          <w:p w14:paraId="3479CEC5" w14:textId="77777777" w:rsidR="001178BA" w:rsidRPr="00213A5D" w:rsidRDefault="001178BA" w:rsidP="00497A37">
            <w:pPr>
              <w:widowControl w:val="0"/>
              <w:overflowPunct/>
              <w:autoSpaceDE/>
              <w:autoSpaceDN/>
              <w:adjustRightInd/>
              <w:spacing w:line="240" w:lineRule="auto"/>
              <w:ind w:left="0" w:right="0" w:firstLine="0"/>
              <w:textAlignment w:val="auto"/>
              <w:rPr>
                <w:rFonts w:eastAsia="Times New Roman"/>
                <w:color w:val="000000"/>
                <w:sz w:val="14"/>
                <w:szCs w:val="14"/>
              </w:rPr>
            </w:pPr>
            <w:r w:rsidRPr="00213A5D">
              <w:rPr>
                <w:rFonts w:eastAsia="Times New Roman"/>
                <w:color w:val="000000"/>
                <w:sz w:val="14"/>
                <w:szCs w:val="14"/>
              </w:rPr>
              <w:t>Штрафы, санкции, возмещение ущерба</w:t>
            </w:r>
          </w:p>
        </w:tc>
        <w:tc>
          <w:tcPr>
            <w:tcW w:w="992" w:type="dxa"/>
            <w:shd w:val="clear" w:color="auto" w:fill="auto"/>
            <w:noWrap/>
            <w:vAlign w:val="center"/>
            <w:hideMark/>
          </w:tcPr>
          <w:p w14:paraId="3FFE2E36"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83 092,6</w:t>
            </w:r>
          </w:p>
        </w:tc>
        <w:tc>
          <w:tcPr>
            <w:tcW w:w="992" w:type="dxa"/>
            <w:shd w:val="clear" w:color="auto" w:fill="auto"/>
            <w:noWrap/>
            <w:vAlign w:val="center"/>
            <w:hideMark/>
          </w:tcPr>
          <w:p w14:paraId="153FB4DF"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232 955,4</w:t>
            </w:r>
          </w:p>
        </w:tc>
        <w:tc>
          <w:tcPr>
            <w:tcW w:w="567" w:type="dxa"/>
            <w:shd w:val="clear" w:color="auto" w:fill="auto"/>
            <w:noWrap/>
            <w:vAlign w:val="center"/>
            <w:hideMark/>
          </w:tcPr>
          <w:p w14:paraId="480A8E0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5,9</w:t>
            </w:r>
          </w:p>
        </w:tc>
        <w:tc>
          <w:tcPr>
            <w:tcW w:w="567" w:type="dxa"/>
            <w:shd w:val="clear" w:color="auto" w:fill="auto"/>
            <w:noWrap/>
            <w:vAlign w:val="center"/>
            <w:hideMark/>
          </w:tcPr>
          <w:p w14:paraId="57F7732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0,2</w:t>
            </w:r>
          </w:p>
        </w:tc>
        <w:tc>
          <w:tcPr>
            <w:tcW w:w="992" w:type="dxa"/>
            <w:shd w:val="clear" w:color="auto" w:fill="auto"/>
            <w:noWrap/>
            <w:vAlign w:val="center"/>
            <w:hideMark/>
          </w:tcPr>
          <w:p w14:paraId="4B09FD2E" w14:textId="77777777" w:rsidR="001178BA" w:rsidRPr="00213A5D" w:rsidRDefault="001178BA" w:rsidP="00AF1852">
            <w:pPr>
              <w:widowControl w:val="0"/>
              <w:overflowPunct/>
              <w:autoSpaceDE/>
              <w:autoSpaceDN/>
              <w:adjustRightInd/>
              <w:spacing w:line="240" w:lineRule="auto"/>
              <w:ind w:left="-108" w:right="0" w:firstLine="0"/>
              <w:jc w:val="right"/>
              <w:textAlignment w:val="auto"/>
              <w:rPr>
                <w:rFonts w:eastAsia="Times New Roman"/>
                <w:color w:val="000000"/>
                <w:sz w:val="14"/>
                <w:szCs w:val="14"/>
              </w:rPr>
            </w:pPr>
            <w:r w:rsidRPr="00213A5D">
              <w:rPr>
                <w:rFonts w:eastAsia="Times New Roman"/>
                <w:color w:val="000000"/>
                <w:sz w:val="14"/>
                <w:szCs w:val="14"/>
              </w:rPr>
              <w:t>98 548,0</w:t>
            </w:r>
          </w:p>
        </w:tc>
        <w:tc>
          <w:tcPr>
            <w:tcW w:w="567" w:type="dxa"/>
            <w:shd w:val="clear" w:color="auto" w:fill="auto"/>
            <w:noWrap/>
            <w:vAlign w:val="center"/>
            <w:hideMark/>
          </w:tcPr>
          <w:p w14:paraId="5942AF4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2,5</w:t>
            </w:r>
          </w:p>
        </w:tc>
        <w:tc>
          <w:tcPr>
            <w:tcW w:w="567" w:type="dxa"/>
            <w:shd w:val="clear" w:color="auto" w:fill="auto"/>
            <w:noWrap/>
            <w:vAlign w:val="center"/>
            <w:hideMark/>
          </w:tcPr>
          <w:p w14:paraId="6E4AB092"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0,1</w:t>
            </w:r>
          </w:p>
        </w:tc>
        <w:tc>
          <w:tcPr>
            <w:tcW w:w="567" w:type="dxa"/>
            <w:shd w:val="clear" w:color="auto" w:fill="auto"/>
            <w:noWrap/>
            <w:vAlign w:val="center"/>
            <w:hideMark/>
          </w:tcPr>
          <w:p w14:paraId="4264CE52"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118,6</w:t>
            </w:r>
          </w:p>
        </w:tc>
        <w:tc>
          <w:tcPr>
            <w:tcW w:w="709" w:type="dxa"/>
            <w:shd w:val="clear" w:color="auto" w:fill="auto"/>
            <w:noWrap/>
            <w:vAlign w:val="center"/>
            <w:hideMark/>
          </w:tcPr>
          <w:p w14:paraId="304BEE3E" w14:textId="77777777" w:rsidR="001178BA" w:rsidRPr="00213A5D" w:rsidRDefault="001178BA" w:rsidP="00AF1852">
            <w:pPr>
              <w:widowControl w:val="0"/>
              <w:overflowPunct/>
              <w:autoSpaceDE/>
              <w:autoSpaceDN/>
              <w:adjustRightInd/>
              <w:spacing w:line="240" w:lineRule="auto"/>
              <w:ind w:left="-107" w:right="-109" w:firstLine="0"/>
              <w:jc w:val="right"/>
              <w:textAlignment w:val="auto"/>
              <w:rPr>
                <w:rFonts w:eastAsia="Times New Roman"/>
                <w:color w:val="000000"/>
                <w:sz w:val="14"/>
                <w:szCs w:val="14"/>
              </w:rPr>
            </w:pPr>
            <w:r w:rsidRPr="00213A5D">
              <w:rPr>
                <w:rFonts w:eastAsia="Times New Roman"/>
                <w:color w:val="000000"/>
                <w:sz w:val="14"/>
                <w:szCs w:val="14"/>
              </w:rPr>
              <w:t>15 455,4</w:t>
            </w:r>
          </w:p>
        </w:tc>
        <w:tc>
          <w:tcPr>
            <w:tcW w:w="567" w:type="dxa"/>
            <w:shd w:val="clear" w:color="auto" w:fill="auto"/>
            <w:noWrap/>
            <w:vAlign w:val="center"/>
            <w:hideMark/>
          </w:tcPr>
          <w:p w14:paraId="6BFF7AD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color w:val="000000"/>
                <w:sz w:val="14"/>
                <w:szCs w:val="14"/>
              </w:rPr>
            </w:pPr>
            <w:r w:rsidRPr="00213A5D">
              <w:rPr>
                <w:rFonts w:eastAsia="Times New Roman"/>
                <w:color w:val="000000"/>
                <w:sz w:val="14"/>
                <w:szCs w:val="14"/>
              </w:rPr>
              <w:t>42,3</w:t>
            </w:r>
          </w:p>
        </w:tc>
        <w:tc>
          <w:tcPr>
            <w:tcW w:w="709" w:type="dxa"/>
            <w:shd w:val="clear" w:color="auto" w:fill="auto"/>
            <w:noWrap/>
            <w:vAlign w:val="center"/>
            <w:hideMark/>
          </w:tcPr>
          <w:p w14:paraId="431789E7" w14:textId="77777777" w:rsidR="001178BA" w:rsidRPr="00213A5D" w:rsidRDefault="001178BA" w:rsidP="00AF1852">
            <w:pPr>
              <w:widowControl w:val="0"/>
              <w:overflowPunct/>
              <w:autoSpaceDE/>
              <w:autoSpaceDN/>
              <w:adjustRightInd/>
              <w:spacing w:line="240" w:lineRule="auto"/>
              <w:ind w:left="-107" w:right="-108" w:firstLine="0"/>
              <w:jc w:val="right"/>
              <w:textAlignment w:val="auto"/>
              <w:rPr>
                <w:rFonts w:eastAsia="Times New Roman"/>
                <w:color w:val="000000"/>
                <w:sz w:val="14"/>
                <w:szCs w:val="14"/>
              </w:rPr>
            </w:pPr>
            <w:r w:rsidRPr="00213A5D">
              <w:rPr>
                <w:rFonts w:eastAsia="Times New Roman"/>
                <w:color w:val="000000"/>
                <w:sz w:val="14"/>
                <w:szCs w:val="14"/>
              </w:rPr>
              <w:t>-134 407,4</w:t>
            </w:r>
          </w:p>
        </w:tc>
      </w:tr>
    </w:tbl>
    <w:p w14:paraId="4CEDE1EC" w14:textId="77777777" w:rsidR="001178BA" w:rsidRPr="00213A5D" w:rsidRDefault="001178BA" w:rsidP="00AF1852">
      <w:pPr>
        <w:widowControl w:val="0"/>
        <w:overflowPunct/>
        <w:autoSpaceDE/>
        <w:spacing w:line="240" w:lineRule="auto"/>
        <w:ind w:left="0" w:right="0" w:firstLine="0"/>
        <w:rPr>
          <w:rFonts w:ascii="TimesNewRomanPSMT" w:hAnsi="TimesNewRomanPSMT" w:cs="TimesNewRomanPSMT"/>
          <w:sz w:val="14"/>
          <w:szCs w:val="14"/>
        </w:rPr>
      </w:pPr>
      <w:r w:rsidRPr="00213A5D">
        <w:rPr>
          <w:rFonts w:ascii="TimesNewRomanPSMT" w:hAnsi="TimesNewRomanPSMT" w:cs="TimesNewRomanPSMT"/>
          <w:sz w:val="14"/>
          <w:szCs w:val="14"/>
        </w:rPr>
        <w:t>* В структуре доходов удельный вес дохода приведен к общей сумме налоговых доходов.</w:t>
      </w:r>
    </w:p>
    <w:p w14:paraId="5D00FB2A" w14:textId="77777777" w:rsidR="001178BA" w:rsidRPr="00213A5D" w:rsidRDefault="001178BA" w:rsidP="00AF1852">
      <w:pPr>
        <w:widowControl w:val="0"/>
        <w:overflowPunct/>
        <w:autoSpaceDE/>
        <w:spacing w:line="240" w:lineRule="auto"/>
        <w:ind w:left="0" w:right="0" w:firstLine="0"/>
        <w:rPr>
          <w:sz w:val="24"/>
          <w:szCs w:val="24"/>
        </w:rPr>
      </w:pPr>
      <w:r w:rsidRPr="00213A5D">
        <w:rPr>
          <w:rFonts w:ascii="TimesNewRomanPSMT" w:hAnsi="TimesNewRomanPSMT" w:cs="TimesNewRomanPSMT"/>
          <w:sz w:val="14"/>
          <w:szCs w:val="14"/>
        </w:rPr>
        <w:t>** В структуре доходов удельный вес конкретных видов доходов приведен к общей сумме по соответствующей группе доходов.</w:t>
      </w:r>
    </w:p>
    <w:p w14:paraId="09B071B2" w14:textId="77777777" w:rsidR="001178BA" w:rsidRPr="00213A5D" w:rsidRDefault="001178BA" w:rsidP="00AF1852">
      <w:pPr>
        <w:widowControl w:val="0"/>
        <w:ind w:left="0" w:right="0"/>
        <w:rPr>
          <w:sz w:val="10"/>
          <w:szCs w:val="10"/>
        </w:rPr>
      </w:pPr>
    </w:p>
    <w:p w14:paraId="510681AB" w14:textId="77777777" w:rsidR="001178BA" w:rsidRPr="00213A5D" w:rsidRDefault="001178BA" w:rsidP="00AF1852">
      <w:pPr>
        <w:widowControl w:val="0"/>
        <w:ind w:left="0" w:right="0"/>
        <w:rPr>
          <w:sz w:val="24"/>
          <w:szCs w:val="24"/>
        </w:rPr>
      </w:pPr>
      <w:r w:rsidRPr="00213A5D">
        <w:rPr>
          <w:sz w:val="24"/>
          <w:szCs w:val="24"/>
        </w:rPr>
        <w:t>Основную часть неналоговых доходов в январе – сентябре 2022 года составили поступления от внешнеэкономической деятельности – 71,1 % (в январе </w:t>
      </w:r>
      <w:r w:rsidRPr="00213A5D">
        <w:rPr>
          <w:rFonts w:eastAsia="Times New Roman"/>
          <w:sz w:val="24"/>
          <w:szCs w:val="24"/>
        </w:rPr>
        <w:t>–</w:t>
      </w:r>
      <w:r w:rsidRPr="00213A5D">
        <w:rPr>
          <w:sz w:val="24"/>
          <w:szCs w:val="24"/>
        </w:rPr>
        <w:t> сентябре 2021 года</w:t>
      </w:r>
      <w:r w:rsidRPr="00213A5D">
        <w:rPr>
          <w:sz w:val="24"/>
          <w:szCs w:val="24"/>
          <w:lang w:val="en-US"/>
        </w:rPr>
        <w:t> </w:t>
      </w:r>
      <w:r w:rsidRPr="00213A5D">
        <w:rPr>
          <w:sz w:val="24"/>
          <w:szCs w:val="24"/>
        </w:rPr>
        <w:t>– 56,4 %).</w:t>
      </w:r>
    </w:p>
    <w:p w14:paraId="01A96C52" w14:textId="77777777" w:rsidR="001178BA" w:rsidRPr="00213A5D" w:rsidRDefault="001178BA" w:rsidP="00AF1852">
      <w:pPr>
        <w:widowControl w:val="0"/>
        <w:ind w:left="0" w:right="0"/>
        <w:rPr>
          <w:sz w:val="24"/>
          <w:szCs w:val="24"/>
        </w:rPr>
      </w:pPr>
      <w:r w:rsidRPr="00213A5D">
        <w:rPr>
          <w:b/>
          <w:bCs/>
          <w:sz w:val="24"/>
          <w:szCs w:val="24"/>
        </w:rPr>
        <w:t>3.3.2.1. </w:t>
      </w:r>
      <w:r w:rsidRPr="00213A5D">
        <w:rPr>
          <w:sz w:val="24"/>
          <w:szCs w:val="24"/>
        </w:rPr>
        <w:t xml:space="preserve">Поступление </w:t>
      </w:r>
      <w:r w:rsidRPr="00213A5D">
        <w:rPr>
          <w:b/>
          <w:sz w:val="24"/>
          <w:szCs w:val="24"/>
        </w:rPr>
        <w:t>доходов от внешнеэкономической деятельности</w:t>
      </w:r>
      <w:r w:rsidRPr="00213A5D">
        <w:rPr>
          <w:sz w:val="24"/>
          <w:szCs w:val="24"/>
        </w:rPr>
        <w:t xml:space="preserve"> составило 103,7 %</w:t>
      </w:r>
      <w:r w:rsidR="00B63897" w:rsidRPr="00213A5D">
        <w:rPr>
          <w:sz w:val="24"/>
          <w:szCs w:val="24"/>
        </w:rPr>
        <w:t xml:space="preserve"> показателя, </w:t>
      </w:r>
      <w:r w:rsidRPr="00213A5D">
        <w:rPr>
          <w:sz w:val="24"/>
          <w:szCs w:val="24"/>
        </w:rPr>
        <w:t>установленного прогнозом поступлений</w:t>
      </w:r>
      <w:r w:rsidR="00B63897" w:rsidRPr="00213A5D">
        <w:rPr>
          <w:sz w:val="24"/>
          <w:szCs w:val="24"/>
        </w:rPr>
        <w:t>,</w:t>
      </w:r>
      <w:r w:rsidRPr="00213A5D">
        <w:rPr>
          <w:sz w:val="24"/>
          <w:szCs w:val="24"/>
        </w:rPr>
        <w:t xml:space="preserve"> и </w:t>
      </w:r>
      <w:r w:rsidRPr="00213A5D">
        <w:rPr>
          <w:b/>
          <w:sz w:val="24"/>
          <w:szCs w:val="24"/>
        </w:rPr>
        <w:t>увеличилось</w:t>
      </w:r>
      <w:r w:rsidRPr="00213A5D">
        <w:rPr>
          <w:sz w:val="24"/>
          <w:szCs w:val="24"/>
        </w:rPr>
        <w:t xml:space="preserve"> по сравнению с январем – сентябрем 2021 года на 25,1 %.</w:t>
      </w:r>
    </w:p>
    <w:p w14:paraId="5BAD282E" w14:textId="77777777" w:rsidR="001178BA" w:rsidRPr="00213A5D" w:rsidRDefault="001178BA" w:rsidP="00AF1852">
      <w:pPr>
        <w:widowControl w:val="0"/>
        <w:ind w:left="0" w:right="0"/>
        <w:rPr>
          <w:sz w:val="24"/>
          <w:szCs w:val="24"/>
        </w:rPr>
      </w:pPr>
      <w:r w:rsidRPr="00213A5D">
        <w:rPr>
          <w:sz w:val="24"/>
          <w:szCs w:val="24"/>
        </w:rPr>
        <w:t xml:space="preserve">Из общего объема указанных доходов 85,1 % приходится на вывозные таможенные пошлины. Основной удельный вес занимают таможенные пошлины на топливно-энергетические товары (92,4 %). </w:t>
      </w:r>
    </w:p>
    <w:p w14:paraId="1CEB54DD" w14:textId="77777777" w:rsidR="001178BA" w:rsidRPr="00213A5D" w:rsidRDefault="001178BA" w:rsidP="00AF1852">
      <w:pPr>
        <w:widowControl w:val="0"/>
        <w:ind w:left="0" w:right="0"/>
        <w:rPr>
          <w:sz w:val="24"/>
          <w:szCs w:val="24"/>
        </w:rPr>
      </w:pPr>
      <w:r w:rsidRPr="00213A5D">
        <w:rPr>
          <w:sz w:val="24"/>
          <w:szCs w:val="24"/>
        </w:rPr>
        <w:t xml:space="preserve">Поступление </w:t>
      </w:r>
      <w:r w:rsidRPr="00213A5D">
        <w:rPr>
          <w:b/>
          <w:sz w:val="24"/>
          <w:szCs w:val="24"/>
        </w:rPr>
        <w:t>вывозных таможенных пошлин на нефть сырую</w:t>
      </w:r>
      <w:r w:rsidRPr="00213A5D">
        <w:rPr>
          <w:bCs/>
          <w:sz w:val="24"/>
          <w:szCs w:val="24"/>
        </w:rPr>
        <w:t xml:space="preserve"> составило 88,9 % </w:t>
      </w:r>
      <w:r w:rsidR="00B63897" w:rsidRPr="00213A5D">
        <w:rPr>
          <w:bCs/>
          <w:sz w:val="24"/>
          <w:szCs w:val="24"/>
        </w:rPr>
        <w:t xml:space="preserve">показателя, </w:t>
      </w:r>
      <w:r w:rsidRPr="00213A5D">
        <w:rPr>
          <w:bCs/>
          <w:sz w:val="24"/>
          <w:szCs w:val="24"/>
        </w:rPr>
        <w:t>установленного прогнозом поступлений</w:t>
      </w:r>
      <w:r w:rsidR="00B63897" w:rsidRPr="00213A5D">
        <w:rPr>
          <w:bCs/>
          <w:sz w:val="24"/>
          <w:szCs w:val="24"/>
        </w:rPr>
        <w:t>,</w:t>
      </w:r>
      <w:r w:rsidRPr="00213A5D">
        <w:rPr>
          <w:bCs/>
          <w:sz w:val="24"/>
          <w:szCs w:val="24"/>
        </w:rPr>
        <w:t xml:space="preserve"> и по сравнению с январем – сентябрем 2021 года</w:t>
      </w:r>
      <w:r w:rsidRPr="00213A5D">
        <w:rPr>
          <w:b/>
          <w:bCs/>
          <w:sz w:val="24"/>
          <w:szCs w:val="24"/>
        </w:rPr>
        <w:t xml:space="preserve"> увеличилось</w:t>
      </w:r>
      <w:r w:rsidRPr="00213A5D">
        <w:rPr>
          <w:bCs/>
          <w:sz w:val="24"/>
          <w:szCs w:val="24"/>
        </w:rPr>
        <w:t xml:space="preserve"> на 0,4 %, что в основном обусловлено увеличением цены на нефть сырую марки «Юралс».</w:t>
      </w:r>
    </w:p>
    <w:p w14:paraId="0B2373A9" w14:textId="77777777" w:rsidR="001178BA" w:rsidRPr="00213A5D" w:rsidRDefault="001178BA" w:rsidP="003624EE">
      <w:pPr>
        <w:widowControl w:val="0"/>
        <w:spacing w:line="348" w:lineRule="auto"/>
        <w:ind w:left="0" w:right="0"/>
        <w:rPr>
          <w:sz w:val="24"/>
          <w:szCs w:val="24"/>
        </w:rPr>
      </w:pPr>
      <w:r w:rsidRPr="00213A5D">
        <w:rPr>
          <w:sz w:val="24"/>
          <w:szCs w:val="24"/>
        </w:rPr>
        <w:t xml:space="preserve">Поступление </w:t>
      </w:r>
      <w:r w:rsidRPr="00213A5D">
        <w:rPr>
          <w:b/>
          <w:sz w:val="24"/>
          <w:szCs w:val="24"/>
        </w:rPr>
        <w:t>вывозных таможенных пошлин на газ природный</w:t>
      </w:r>
      <w:r w:rsidRPr="00213A5D">
        <w:rPr>
          <w:sz w:val="24"/>
          <w:szCs w:val="24"/>
        </w:rPr>
        <w:t xml:space="preserve"> составило 168,8 % </w:t>
      </w:r>
      <w:r w:rsidR="003624EE" w:rsidRPr="00213A5D">
        <w:rPr>
          <w:sz w:val="24"/>
          <w:szCs w:val="24"/>
        </w:rPr>
        <w:lastRenderedPageBreak/>
        <w:t xml:space="preserve">показателя, </w:t>
      </w:r>
      <w:r w:rsidRPr="00213A5D">
        <w:rPr>
          <w:bCs/>
          <w:sz w:val="24"/>
          <w:szCs w:val="24"/>
        </w:rPr>
        <w:t>установленного прогнозом поступлений</w:t>
      </w:r>
      <w:r w:rsidR="003624EE" w:rsidRPr="00213A5D">
        <w:rPr>
          <w:bCs/>
          <w:sz w:val="24"/>
          <w:szCs w:val="24"/>
        </w:rPr>
        <w:t>,</w:t>
      </w:r>
      <w:r w:rsidRPr="00213A5D">
        <w:rPr>
          <w:bCs/>
          <w:sz w:val="24"/>
          <w:szCs w:val="24"/>
        </w:rPr>
        <w:t xml:space="preserve"> и по сравнению с январем – сентябрем 2021 года</w:t>
      </w:r>
      <w:r w:rsidRPr="00213A5D">
        <w:rPr>
          <w:b/>
          <w:bCs/>
          <w:sz w:val="24"/>
          <w:szCs w:val="24"/>
        </w:rPr>
        <w:t xml:space="preserve"> увеличилось</w:t>
      </w:r>
      <w:r w:rsidRPr="00213A5D">
        <w:rPr>
          <w:bCs/>
          <w:sz w:val="24"/>
          <w:szCs w:val="24"/>
        </w:rPr>
        <w:t xml:space="preserve"> в 2,3 раза, что обусловлено</w:t>
      </w:r>
      <w:r w:rsidRPr="00213A5D">
        <w:rPr>
          <w:sz w:val="24"/>
          <w:szCs w:val="24"/>
        </w:rPr>
        <w:t xml:space="preserve"> ростом средней цены на газ природный в страны дальнего зарубежья.</w:t>
      </w:r>
    </w:p>
    <w:p w14:paraId="6A18D7E9" w14:textId="77777777" w:rsidR="001178BA" w:rsidRPr="00213A5D" w:rsidRDefault="001178BA" w:rsidP="003624EE">
      <w:pPr>
        <w:widowControl w:val="0"/>
        <w:spacing w:line="348" w:lineRule="auto"/>
        <w:ind w:left="0" w:right="0"/>
        <w:rPr>
          <w:sz w:val="24"/>
          <w:szCs w:val="24"/>
        </w:rPr>
      </w:pPr>
      <w:r w:rsidRPr="00213A5D">
        <w:rPr>
          <w:sz w:val="24"/>
          <w:szCs w:val="24"/>
        </w:rPr>
        <w:t xml:space="preserve">Поступление </w:t>
      </w:r>
      <w:r w:rsidRPr="00213A5D">
        <w:rPr>
          <w:b/>
          <w:sz w:val="24"/>
          <w:szCs w:val="24"/>
        </w:rPr>
        <w:t xml:space="preserve">прочих вывозных таможенных пошлин </w:t>
      </w:r>
      <w:r w:rsidRPr="00213A5D">
        <w:rPr>
          <w:sz w:val="24"/>
          <w:szCs w:val="24"/>
        </w:rPr>
        <w:t xml:space="preserve">составило 160,7 % </w:t>
      </w:r>
      <w:r w:rsidR="003624EE" w:rsidRPr="00213A5D">
        <w:rPr>
          <w:sz w:val="24"/>
          <w:szCs w:val="24"/>
        </w:rPr>
        <w:t xml:space="preserve">показателя, </w:t>
      </w:r>
      <w:r w:rsidRPr="00213A5D">
        <w:rPr>
          <w:bCs/>
          <w:sz w:val="24"/>
          <w:szCs w:val="24"/>
        </w:rPr>
        <w:t>установленного прогнозом поступлений</w:t>
      </w:r>
      <w:r w:rsidR="003624EE" w:rsidRPr="00213A5D">
        <w:rPr>
          <w:bCs/>
          <w:sz w:val="24"/>
          <w:szCs w:val="24"/>
        </w:rPr>
        <w:t>,</w:t>
      </w:r>
      <w:r w:rsidRPr="00213A5D">
        <w:rPr>
          <w:bCs/>
          <w:sz w:val="24"/>
          <w:szCs w:val="24"/>
        </w:rPr>
        <w:t xml:space="preserve"> и по сравнению с январем – сентябрем 2021 года</w:t>
      </w:r>
      <w:r w:rsidRPr="00213A5D">
        <w:rPr>
          <w:b/>
          <w:bCs/>
          <w:sz w:val="24"/>
          <w:szCs w:val="24"/>
        </w:rPr>
        <w:t xml:space="preserve"> увеличилось</w:t>
      </w:r>
      <w:r w:rsidRPr="00213A5D">
        <w:rPr>
          <w:bCs/>
          <w:sz w:val="24"/>
          <w:szCs w:val="24"/>
        </w:rPr>
        <w:t xml:space="preserve"> в 1,4 раза, что обусловлено</w:t>
      </w:r>
      <w:r w:rsidRPr="00213A5D">
        <w:rPr>
          <w:sz w:val="24"/>
          <w:szCs w:val="24"/>
        </w:rPr>
        <w:t xml:space="preserve"> применением повышенных ставок на отдельные виды товаров, в том числе на зерновые культуры, масло подсолнечное, древесину и изделия из нее.</w:t>
      </w:r>
    </w:p>
    <w:p w14:paraId="561FE45A" w14:textId="77777777" w:rsidR="001178BA" w:rsidRPr="00213A5D" w:rsidRDefault="001178BA" w:rsidP="003624EE">
      <w:pPr>
        <w:widowControl w:val="0"/>
        <w:spacing w:line="348" w:lineRule="auto"/>
        <w:ind w:left="0" w:right="0"/>
        <w:rPr>
          <w:sz w:val="24"/>
          <w:szCs w:val="24"/>
        </w:rPr>
      </w:pPr>
      <w:r w:rsidRPr="00213A5D">
        <w:rPr>
          <w:sz w:val="24"/>
          <w:szCs w:val="24"/>
        </w:rPr>
        <w:t xml:space="preserve">Поступление </w:t>
      </w:r>
      <w:r w:rsidRPr="00213A5D">
        <w:rPr>
          <w:b/>
          <w:sz w:val="24"/>
          <w:szCs w:val="24"/>
        </w:rPr>
        <w:t>распределенных ввозных таможенных пошлин (иные пошлины, налоги и сборы, имеющие эквивалентное действие), уплаченных на территории Российской Федерации,</w:t>
      </w:r>
      <w:r w:rsidRPr="00213A5D">
        <w:rPr>
          <w:sz w:val="24"/>
          <w:szCs w:val="24"/>
        </w:rPr>
        <w:t xml:space="preserve"> </w:t>
      </w:r>
      <w:r w:rsidRPr="00213A5D">
        <w:rPr>
          <w:bCs/>
          <w:sz w:val="24"/>
          <w:szCs w:val="24"/>
        </w:rPr>
        <w:t xml:space="preserve">составило </w:t>
      </w:r>
      <w:r w:rsidRPr="00213A5D">
        <w:rPr>
          <w:sz w:val="24"/>
          <w:szCs w:val="24"/>
        </w:rPr>
        <w:t xml:space="preserve">48 % </w:t>
      </w:r>
      <w:r w:rsidR="003624EE" w:rsidRPr="00213A5D">
        <w:rPr>
          <w:sz w:val="24"/>
          <w:szCs w:val="24"/>
        </w:rPr>
        <w:t xml:space="preserve">показателя, </w:t>
      </w:r>
      <w:r w:rsidRPr="00213A5D">
        <w:rPr>
          <w:sz w:val="24"/>
          <w:szCs w:val="24"/>
        </w:rPr>
        <w:t>установленного прогнозом поступлений, что обусловлено снижением объемов налогооблагаемого импорта из стран дальнего зарубежья на 21,1 %, снижением средней ставки ввозной таможенной пошлины на 17,9 %, а также снижением среднего обменного курса доллара США по отношению к рублю на 2,2 % относительно параметров, учтенных при формировании бюджета.</w:t>
      </w:r>
    </w:p>
    <w:p w14:paraId="20884151" w14:textId="77777777" w:rsidR="001178BA" w:rsidRPr="00213A5D" w:rsidRDefault="001178BA" w:rsidP="003624EE">
      <w:pPr>
        <w:widowControl w:val="0"/>
        <w:spacing w:line="348" w:lineRule="auto"/>
        <w:ind w:left="0" w:right="0"/>
        <w:rPr>
          <w:sz w:val="24"/>
          <w:szCs w:val="24"/>
        </w:rPr>
      </w:pPr>
      <w:r w:rsidRPr="00213A5D">
        <w:rPr>
          <w:b/>
          <w:bCs/>
          <w:sz w:val="24"/>
          <w:szCs w:val="24"/>
        </w:rPr>
        <w:t xml:space="preserve">По сравнению с январем – сентябрем 2021 года </w:t>
      </w:r>
      <w:r w:rsidRPr="00213A5D">
        <w:rPr>
          <w:bCs/>
          <w:sz w:val="24"/>
          <w:szCs w:val="24"/>
        </w:rPr>
        <w:t>снижение поступлений</w:t>
      </w:r>
      <w:r w:rsidRPr="00213A5D">
        <w:rPr>
          <w:sz w:val="24"/>
          <w:szCs w:val="24"/>
        </w:rPr>
        <w:t xml:space="preserve"> на 35,7 % обусловлено снижением объемов налогооблагаемого импорта из стран дальнего зарубежья на 18,7 %, снижением средней ставки ввозной таможенной пошлины на 17,5 %, а также снижением среднего обменного курса доллара США по отношению к рублю на 4,7 %.</w:t>
      </w:r>
    </w:p>
    <w:p w14:paraId="263E7421" w14:textId="77777777" w:rsidR="001178BA" w:rsidRPr="00213A5D" w:rsidRDefault="001178BA" w:rsidP="003624EE">
      <w:pPr>
        <w:widowControl w:val="0"/>
        <w:spacing w:line="348" w:lineRule="auto"/>
        <w:ind w:left="0" w:right="0"/>
        <w:rPr>
          <w:sz w:val="24"/>
          <w:szCs w:val="24"/>
        </w:rPr>
      </w:pPr>
      <w:r w:rsidRPr="00213A5D">
        <w:rPr>
          <w:b/>
          <w:bCs/>
          <w:sz w:val="24"/>
          <w:szCs w:val="24"/>
        </w:rPr>
        <w:t>3.3.2.2. </w:t>
      </w:r>
      <w:r w:rsidRPr="00213A5D">
        <w:rPr>
          <w:sz w:val="24"/>
          <w:szCs w:val="24"/>
        </w:rPr>
        <w:t xml:space="preserve">Поступление </w:t>
      </w:r>
      <w:r w:rsidRPr="00213A5D">
        <w:rPr>
          <w:b/>
          <w:sz w:val="24"/>
          <w:szCs w:val="24"/>
        </w:rPr>
        <w:t xml:space="preserve">доходов от использования имущества, находящегося в государственной собственности, </w:t>
      </w:r>
      <w:r w:rsidRPr="00213A5D">
        <w:rPr>
          <w:sz w:val="24"/>
          <w:szCs w:val="24"/>
        </w:rPr>
        <w:t xml:space="preserve">составило 37,3 % </w:t>
      </w:r>
      <w:r w:rsidR="003624EE" w:rsidRPr="00213A5D">
        <w:rPr>
          <w:sz w:val="24"/>
          <w:szCs w:val="24"/>
        </w:rPr>
        <w:t xml:space="preserve">показателя, </w:t>
      </w:r>
      <w:r w:rsidRPr="00213A5D">
        <w:rPr>
          <w:sz w:val="24"/>
          <w:szCs w:val="24"/>
        </w:rPr>
        <w:t>установленного прогнозом поступлений.</w:t>
      </w:r>
    </w:p>
    <w:p w14:paraId="44F9D634" w14:textId="77777777" w:rsidR="001178BA" w:rsidRPr="00213A5D" w:rsidRDefault="001178BA" w:rsidP="003624EE">
      <w:pPr>
        <w:widowControl w:val="0"/>
        <w:spacing w:line="348" w:lineRule="auto"/>
        <w:ind w:left="0" w:right="0"/>
        <w:rPr>
          <w:sz w:val="24"/>
          <w:szCs w:val="24"/>
        </w:rPr>
      </w:pPr>
      <w:r w:rsidRPr="00213A5D">
        <w:rPr>
          <w:sz w:val="24"/>
          <w:szCs w:val="24"/>
        </w:rPr>
        <w:t>Из общего объема всех доходов данной подгруппы более 87 % составляют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(37 % общего объема поступлений данной подгруппы), доходы от операций по управлению остатками средств на едином казначейском счете, зачисляемые в федеральный бюджет (28,5 %), доходы по остаткам средств на счетах федерального бюджета и от их размещения, кроме средств Фонда национального благосостояния (20,9 %), а также доходы от управления средствами Фонда национального благосостояния (7,1 %).</w:t>
      </w:r>
    </w:p>
    <w:p w14:paraId="3F9B55EB" w14:textId="77777777" w:rsidR="001178BA" w:rsidRPr="00213A5D" w:rsidRDefault="001178BA" w:rsidP="00AF1852">
      <w:pPr>
        <w:widowControl w:val="0"/>
        <w:ind w:left="0" w:right="0"/>
        <w:rPr>
          <w:bCs/>
          <w:sz w:val="24"/>
          <w:szCs w:val="24"/>
        </w:rPr>
      </w:pPr>
      <w:r w:rsidRPr="00213A5D">
        <w:rPr>
          <w:sz w:val="24"/>
          <w:szCs w:val="24"/>
        </w:rPr>
        <w:t xml:space="preserve">Поступление </w:t>
      </w:r>
      <w:r w:rsidRPr="00213A5D">
        <w:rPr>
          <w:b/>
          <w:sz w:val="24"/>
          <w:szCs w:val="24"/>
        </w:rPr>
        <w:t>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w:t>
      </w:r>
      <w:r w:rsidRPr="00213A5D">
        <w:rPr>
          <w:sz w:val="24"/>
          <w:szCs w:val="24"/>
        </w:rPr>
        <w:t xml:space="preserve"> </w:t>
      </w:r>
      <w:r w:rsidRPr="00213A5D">
        <w:rPr>
          <w:bCs/>
          <w:sz w:val="24"/>
          <w:szCs w:val="24"/>
        </w:rPr>
        <w:t xml:space="preserve">составило 25,7 % </w:t>
      </w:r>
      <w:r w:rsidR="003624EE" w:rsidRPr="00213A5D">
        <w:rPr>
          <w:bCs/>
          <w:sz w:val="24"/>
          <w:szCs w:val="24"/>
        </w:rPr>
        <w:t xml:space="preserve">показателя, </w:t>
      </w:r>
      <w:r w:rsidRPr="00213A5D">
        <w:rPr>
          <w:bCs/>
          <w:sz w:val="24"/>
          <w:szCs w:val="24"/>
        </w:rPr>
        <w:t>установленного прогнозом поступлений, что обусловлено принятием Правительством Российской Федерации с учетом сложившейся экономической ситуации по ряду крупнейших компаний решений, не предусматривающих выплату дивидендов по итогам 2021 года.</w:t>
      </w:r>
    </w:p>
    <w:p w14:paraId="453BE7B8" w14:textId="77777777" w:rsidR="001178BA" w:rsidRPr="00213A5D" w:rsidRDefault="001178BA" w:rsidP="00AF1852">
      <w:pPr>
        <w:widowControl w:val="0"/>
        <w:ind w:left="0" w:right="0"/>
        <w:rPr>
          <w:sz w:val="24"/>
          <w:szCs w:val="24"/>
        </w:rPr>
      </w:pPr>
      <w:r w:rsidRPr="00213A5D">
        <w:rPr>
          <w:sz w:val="24"/>
          <w:szCs w:val="24"/>
        </w:rPr>
        <w:lastRenderedPageBreak/>
        <w:t>Практически весь объем поступлений (99,7 %) приходится на доходы, администрируемые Росимуществом.</w:t>
      </w:r>
    </w:p>
    <w:p w14:paraId="26356566" w14:textId="77777777" w:rsidR="001178BA" w:rsidRPr="00213A5D" w:rsidRDefault="001178BA" w:rsidP="00AF1852">
      <w:pPr>
        <w:widowControl w:val="0"/>
        <w:ind w:left="0" w:right="0"/>
        <w:rPr>
          <w:sz w:val="24"/>
          <w:szCs w:val="24"/>
        </w:rPr>
      </w:pPr>
      <w:r w:rsidRPr="00213A5D">
        <w:rPr>
          <w:b/>
          <w:bCs/>
          <w:sz w:val="24"/>
          <w:szCs w:val="24"/>
        </w:rPr>
        <w:t xml:space="preserve">По сравнению с январем – сентябрем 2021 года </w:t>
      </w:r>
      <w:r w:rsidRPr="00213A5D">
        <w:rPr>
          <w:bCs/>
          <w:sz w:val="24"/>
          <w:szCs w:val="24"/>
        </w:rPr>
        <w:t xml:space="preserve">снижение поступлений составило 36,3 %, </w:t>
      </w:r>
      <w:r w:rsidRPr="00213A5D">
        <w:rPr>
          <w:sz w:val="24"/>
          <w:szCs w:val="24"/>
        </w:rPr>
        <w:t>что обусловлено принятием решений о снижении или невыплате дивидендов.</w:t>
      </w:r>
    </w:p>
    <w:p w14:paraId="697FAE94" w14:textId="77777777" w:rsidR="001178BA" w:rsidRPr="00213A5D" w:rsidRDefault="001178BA" w:rsidP="00AF1852">
      <w:pPr>
        <w:widowControl w:val="0"/>
        <w:ind w:left="0" w:right="0"/>
        <w:rPr>
          <w:sz w:val="24"/>
          <w:szCs w:val="24"/>
        </w:rPr>
      </w:pPr>
      <w:r w:rsidRPr="00213A5D">
        <w:rPr>
          <w:sz w:val="24"/>
          <w:szCs w:val="24"/>
        </w:rPr>
        <w:t xml:space="preserve">При этом в 2022 году ожидается поступление дивидендов по итогам 2021 года, а также промежуточных дивидендов от </w:t>
      </w:r>
      <w:r w:rsidR="00CC2810" w:rsidRPr="00213A5D">
        <w:rPr>
          <w:sz w:val="24"/>
          <w:szCs w:val="24"/>
        </w:rPr>
        <w:t>3</w:t>
      </w:r>
      <w:r w:rsidRPr="00213A5D">
        <w:rPr>
          <w:sz w:val="24"/>
          <w:szCs w:val="24"/>
        </w:rPr>
        <w:t xml:space="preserve"> крупнейших плательщиков.</w:t>
      </w:r>
    </w:p>
    <w:p w14:paraId="62594A44" w14:textId="77777777" w:rsidR="001178BA" w:rsidRPr="00213A5D" w:rsidRDefault="001178BA" w:rsidP="00AF1852">
      <w:pPr>
        <w:widowControl w:val="0"/>
        <w:ind w:left="0" w:right="0"/>
        <w:rPr>
          <w:sz w:val="24"/>
          <w:szCs w:val="24"/>
        </w:rPr>
      </w:pPr>
      <w:r w:rsidRPr="00213A5D">
        <w:rPr>
          <w:sz w:val="24"/>
          <w:szCs w:val="24"/>
        </w:rPr>
        <w:t xml:space="preserve">Поступление </w:t>
      </w:r>
      <w:r w:rsidRPr="00213A5D">
        <w:rPr>
          <w:b/>
          <w:sz w:val="24"/>
          <w:szCs w:val="24"/>
        </w:rPr>
        <w:t>доходов по остаткам средств на счетах федерального бюджета и от их размещения, кроме средств Фонда национального благосостояния</w:t>
      </w:r>
      <w:r w:rsidR="00CC2810" w:rsidRPr="00213A5D">
        <w:rPr>
          <w:sz w:val="24"/>
          <w:szCs w:val="24"/>
        </w:rPr>
        <w:t>,</w:t>
      </w:r>
      <w:r w:rsidRPr="00213A5D">
        <w:rPr>
          <w:sz w:val="24"/>
          <w:szCs w:val="24"/>
        </w:rPr>
        <w:t xml:space="preserve"> составило 81,2 %</w:t>
      </w:r>
      <w:r w:rsidR="00CC2810" w:rsidRPr="00213A5D">
        <w:rPr>
          <w:sz w:val="24"/>
          <w:szCs w:val="24"/>
        </w:rPr>
        <w:t xml:space="preserve"> показателя, </w:t>
      </w:r>
      <w:r w:rsidRPr="00213A5D">
        <w:rPr>
          <w:sz w:val="24"/>
          <w:szCs w:val="24"/>
        </w:rPr>
        <w:t>установленного прогнозом поступлений</w:t>
      </w:r>
      <w:r w:rsidR="00CC2810" w:rsidRPr="00213A5D">
        <w:rPr>
          <w:sz w:val="24"/>
          <w:szCs w:val="24"/>
        </w:rPr>
        <w:t>,</w:t>
      </w:r>
      <w:r w:rsidRPr="00213A5D">
        <w:rPr>
          <w:sz w:val="24"/>
          <w:szCs w:val="24"/>
        </w:rPr>
        <w:t xml:space="preserve"> и </w:t>
      </w:r>
      <w:r w:rsidRPr="00213A5D">
        <w:rPr>
          <w:b/>
          <w:sz w:val="24"/>
          <w:szCs w:val="24"/>
        </w:rPr>
        <w:t>уменьшилось</w:t>
      </w:r>
      <w:r w:rsidRPr="00213A5D">
        <w:rPr>
          <w:sz w:val="24"/>
          <w:szCs w:val="24"/>
        </w:rPr>
        <w:t xml:space="preserve"> по сравнению с январем – сентябрем 2021 года на 4,5 %, что обусловлено в основном сокращением объемов размещаемых средств на едином счете федерального бюджета (ЕСФБ) в операциях Федерального казначейства.</w:t>
      </w:r>
    </w:p>
    <w:p w14:paraId="1682FF21" w14:textId="77777777" w:rsidR="001178BA" w:rsidRPr="00213A5D" w:rsidRDefault="001178BA" w:rsidP="00AF1852">
      <w:pPr>
        <w:widowControl w:val="0"/>
        <w:ind w:left="0" w:right="0"/>
        <w:rPr>
          <w:sz w:val="24"/>
          <w:szCs w:val="24"/>
        </w:rPr>
      </w:pPr>
      <w:r w:rsidRPr="00213A5D">
        <w:rPr>
          <w:sz w:val="24"/>
          <w:szCs w:val="24"/>
        </w:rPr>
        <w:t xml:space="preserve">Поступление </w:t>
      </w:r>
      <w:r w:rsidRPr="00213A5D">
        <w:rPr>
          <w:b/>
          <w:sz w:val="24"/>
          <w:szCs w:val="24"/>
        </w:rPr>
        <w:t>доходов от операций по управлению остатками средств на едином казначейском счете, зачисляемы</w:t>
      </w:r>
      <w:r w:rsidR="006F3681" w:rsidRPr="00213A5D">
        <w:rPr>
          <w:b/>
          <w:sz w:val="24"/>
          <w:szCs w:val="24"/>
        </w:rPr>
        <w:t xml:space="preserve">х </w:t>
      </w:r>
      <w:r w:rsidRPr="00213A5D">
        <w:rPr>
          <w:b/>
          <w:sz w:val="24"/>
          <w:szCs w:val="24"/>
        </w:rPr>
        <w:t xml:space="preserve">в федеральный бюджет, </w:t>
      </w:r>
      <w:r w:rsidRPr="00213A5D">
        <w:rPr>
          <w:sz w:val="24"/>
          <w:szCs w:val="24"/>
        </w:rPr>
        <w:t>составило 344,4 %</w:t>
      </w:r>
      <w:r w:rsidR="00CC2810" w:rsidRPr="00213A5D">
        <w:rPr>
          <w:sz w:val="24"/>
          <w:szCs w:val="24"/>
        </w:rPr>
        <w:t xml:space="preserve"> показателя,</w:t>
      </w:r>
      <w:r w:rsidRPr="00213A5D">
        <w:rPr>
          <w:sz w:val="24"/>
          <w:szCs w:val="24"/>
        </w:rPr>
        <w:t xml:space="preserve"> установленного прогнозом поступлений</w:t>
      </w:r>
      <w:r w:rsidR="006F3681" w:rsidRPr="00213A5D">
        <w:rPr>
          <w:sz w:val="24"/>
          <w:szCs w:val="24"/>
        </w:rPr>
        <w:t>,</w:t>
      </w:r>
      <w:r w:rsidRPr="00213A5D">
        <w:rPr>
          <w:sz w:val="24"/>
          <w:szCs w:val="24"/>
        </w:rPr>
        <w:t xml:space="preserve"> и </w:t>
      </w:r>
      <w:r w:rsidRPr="00213A5D">
        <w:rPr>
          <w:b/>
          <w:sz w:val="24"/>
          <w:szCs w:val="24"/>
        </w:rPr>
        <w:t>увеличилось</w:t>
      </w:r>
      <w:r w:rsidRPr="00213A5D">
        <w:rPr>
          <w:sz w:val="24"/>
          <w:szCs w:val="24"/>
        </w:rPr>
        <w:t xml:space="preserve"> по сравнению с январем – сентябрем 2021 года в 5,7 раза, что обусловлено увеличением объемов размещени</w:t>
      </w:r>
      <w:r w:rsidR="006F3681" w:rsidRPr="00213A5D">
        <w:rPr>
          <w:sz w:val="24"/>
          <w:szCs w:val="24"/>
        </w:rPr>
        <w:t>я</w:t>
      </w:r>
      <w:r w:rsidRPr="00213A5D">
        <w:rPr>
          <w:sz w:val="24"/>
          <w:szCs w:val="24"/>
        </w:rPr>
        <w:t xml:space="preserve"> и более высоким уровнем рыночных процентных ставок в 2022 году.</w:t>
      </w:r>
    </w:p>
    <w:p w14:paraId="3A824219" w14:textId="77777777" w:rsidR="001178BA" w:rsidRPr="00213A5D" w:rsidRDefault="001178BA" w:rsidP="00AF1852">
      <w:pPr>
        <w:widowControl w:val="0"/>
        <w:ind w:left="0" w:right="0"/>
        <w:rPr>
          <w:sz w:val="24"/>
          <w:szCs w:val="24"/>
        </w:rPr>
      </w:pPr>
      <w:r w:rsidRPr="00213A5D">
        <w:rPr>
          <w:sz w:val="24"/>
          <w:szCs w:val="24"/>
        </w:rPr>
        <w:t xml:space="preserve">Поступление </w:t>
      </w:r>
      <w:r w:rsidRPr="00213A5D">
        <w:rPr>
          <w:b/>
          <w:sz w:val="24"/>
          <w:szCs w:val="24"/>
        </w:rPr>
        <w:t>доходов от управления средствами Фонда национального благосостояния</w:t>
      </w:r>
      <w:r w:rsidRPr="00213A5D">
        <w:rPr>
          <w:sz w:val="24"/>
          <w:szCs w:val="24"/>
        </w:rPr>
        <w:t xml:space="preserve"> составило 9,9 % </w:t>
      </w:r>
      <w:r w:rsidR="006F3681" w:rsidRPr="00213A5D">
        <w:rPr>
          <w:sz w:val="24"/>
          <w:szCs w:val="24"/>
        </w:rPr>
        <w:t xml:space="preserve">показателя, </w:t>
      </w:r>
      <w:r w:rsidRPr="00213A5D">
        <w:rPr>
          <w:sz w:val="24"/>
          <w:szCs w:val="24"/>
        </w:rPr>
        <w:t>установленного прогнозом поступлений</w:t>
      </w:r>
      <w:r w:rsidR="006F3681" w:rsidRPr="00213A5D">
        <w:rPr>
          <w:sz w:val="24"/>
          <w:szCs w:val="24"/>
        </w:rPr>
        <w:t>,</w:t>
      </w:r>
      <w:r w:rsidRPr="00213A5D">
        <w:rPr>
          <w:sz w:val="24"/>
          <w:szCs w:val="24"/>
        </w:rPr>
        <w:t xml:space="preserve"> и </w:t>
      </w:r>
      <w:r w:rsidRPr="00213A5D">
        <w:rPr>
          <w:b/>
          <w:sz w:val="24"/>
          <w:szCs w:val="24"/>
        </w:rPr>
        <w:t>уменьшилось</w:t>
      </w:r>
      <w:r w:rsidRPr="00213A5D">
        <w:rPr>
          <w:sz w:val="24"/>
          <w:szCs w:val="24"/>
        </w:rPr>
        <w:t xml:space="preserve"> по сравнению с январем – сентябрем 2021 года в 7,2 раза, что связано </w:t>
      </w:r>
      <w:r w:rsidR="006F3681" w:rsidRPr="00213A5D">
        <w:rPr>
          <w:sz w:val="24"/>
          <w:szCs w:val="24"/>
        </w:rPr>
        <w:br/>
      </w:r>
      <w:r w:rsidR="00DA49E0" w:rsidRPr="00213A5D">
        <w:rPr>
          <w:sz w:val="24"/>
          <w:szCs w:val="24"/>
        </w:rPr>
        <w:t>с невыплатой согласно решению о</w:t>
      </w:r>
      <w:r w:rsidRPr="00213A5D">
        <w:rPr>
          <w:sz w:val="24"/>
          <w:szCs w:val="24"/>
        </w:rPr>
        <w:t>бщего собрания акционеров ПАО «Сбербанк России» дивидендов по обыкновенным акциям за 2021 год.</w:t>
      </w:r>
    </w:p>
    <w:p w14:paraId="322E79E5" w14:textId="77777777" w:rsidR="001178BA" w:rsidRPr="00213A5D" w:rsidRDefault="001178BA" w:rsidP="00AF1852">
      <w:pPr>
        <w:widowControl w:val="0"/>
        <w:ind w:left="0" w:right="0"/>
        <w:rPr>
          <w:sz w:val="24"/>
          <w:szCs w:val="24"/>
        </w:rPr>
      </w:pPr>
      <w:r w:rsidRPr="00213A5D">
        <w:rPr>
          <w:b/>
          <w:bCs/>
          <w:sz w:val="24"/>
          <w:szCs w:val="24"/>
        </w:rPr>
        <w:t>3.3.2.3. </w:t>
      </w:r>
      <w:r w:rsidRPr="00213A5D">
        <w:rPr>
          <w:sz w:val="24"/>
          <w:szCs w:val="24"/>
        </w:rPr>
        <w:t xml:space="preserve">Поступление </w:t>
      </w:r>
      <w:r w:rsidRPr="00213A5D">
        <w:rPr>
          <w:b/>
          <w:sz w:val="24"/>
          <w:szCs w:val="24"/>
        </w:rPr>
        <w:t xml:space="preserve">платежей при пользовании природными ресурсами </w:t>
      </w:r>
      <w:r w:rsidRPr="00213A5D">
        <w:rPr>
          <w:sz w:val="24"/>
          <w:szCs w:val="24"/>
        </w:rPr>
        <w:t xml:space="preserve">составило 40,8 % </w:t>
      </w:r>
      <w:r w:rsidR="00DA49E0" w:rsidRPr="00213A5D">
        <w:rPr>
          <w:sz w:val="24"/>
          <w:szCs w:val="24"/>
        </w:rPr>
        <w:t xml:space="preserve">показателя, </w:t>
      </w:r>
      <w:r w:rsidRPr="00213A5D">
        <w:rPr>
          <w:sz w:val="24"/>
          <w:szCs w:val="24"/>
        </w:rPr>
        <w:t>установленного прогнозом поступлений</w:t>
      </w:r>
      <w:r w:rsidR="00DA49E0" w:rsidRPr="00213A5D">
        <w:rPr>
          <w:sz w:val="24"/>
          <w:szCs w:val="24"/>
        </w:rPr>
        <w:t>,</w:t>
      </w:r>
      <w:r w:rsidRPr="00213A5D">
        <w:rPr>
          <w:sz w:val="24"/>
          <w:szCs w:val="24"/>
        </w:rPr>
        <w:t xml:space="preserve"> и </w:t>
      </w:r>
      <w:r w:rsidRPr="00213A5D">
        <w:rPr>
          <w:b/>
          <w:sz w:val="24"/>
          <w:szCs w:val="24"/>
        </w:rPr>
        <w:t>уменьшилось</w:t>
      </w:r>
      <w:r w:rsidRPr="00213A5D">
        <w:rPr>
          <w:sz w:val="24"/>
          <w:szCs w:val="24"/>
        </w:rPr>
        <w:t xml:space="preserve"> по сравнению </w:t>
      </w:r>
      <w:r w:rsidR="00DA49E0" w:rsidRPr="00213A5D">
        <w:rPr>
          <w:sz w:val="24"/>
          <w:szCs w:val="24"/>
        </w:rPr>
        <w:br/>
      </w:r>
      <w:r w:rsidRPr="00213A5D">
        <w:rPr>
          <w:sz w:val="24"/>
          <w:szCs w:val="24"/>
        </w:rPr>
        <w:t>с январем – сентябрем 2021 года на 44,2 %.</w:t>
      </w:r>
    </w:p>
    <w:p w14:paraId="3C07249A" w14:textId="77777777" w:rsidR="001178BA" w:rsidRPr="00213A5D" w:rsidRDefault="001178BA" w:rsidP="00AF1852">
      <w:pPr>
        <w:widowControl w:val="0"/>
        <w:ind w:left="0" w:right="0"/>
        <w:rPr>
          <w:sz w:val="24"/>
          <w:szCs w:val="24"/>
        </w:rPr>
      </w:pPr>
      <w:r w:rsidRPr="00213A5D">
        <w:rPr>
          <w:sz w:val="24"/>
          <w:szCs w:val="24"/>
        </w:rPr>
        <w:t>Основной объем поступлений (более 89 %) приходится на утилизационный сбор (62,2 % общего объема поступлений данной подгруппы), разовые платежи за пользование недрами при наступлении определенных событий, оговоренных в лицензии, при пользовании недрами на территории Российской Федерации (за исключением участков недр, содержащих месторождения природных алмазов, и участков недр местного значения) (14,2 %) и плату за использование лесов, расположенных на землях лесного фонда, в части минимального размера арендной платы (13 %).</w:t>
      </w:r>
    </w:p>
    <w:p w14:paraId="7913FCB0" w14:textId="77777777" w:rsidR="001178BA" w:rsidRPr="00213A5D" w:rsidRDefault="001178BA" w:rsidP="00AF1852">
      <w:pPr>
        <w:widowControl w:val="0"/>
        <w:ind w:left="0" w:right="0"/>
        <w:rPr>
          <w:bCs/>
          <w:sz w:val="24"/>
          <w:szCs w:val="24"/>
        </w:rPr>
      </w:pPr>
      <w:r w:rsidRPr="00213A5D">
        <w:rPr>
          <w:sz w:val="24"/>
          <w:szCs w:val="24"/>
        </w:rPr>
        <w:t xml:space="preserve">Поступление </w:t>
      </w:r>
      <w:r w:rsidRPr="00213A5D">
        <w:rPr>
          <w:b/>
          <w:sz w:val="24"/>
          <w:szCs w:val="24"/>
        </w:rPr>
        <w:t>утилизационного сбора</w:t>
      </w:r>
      <w:r w:rsidRPr="00213A5D">
        <w:rPr>
          <w:sz w:val="24"/>
          <w:szCs w:val="24"/>
        </w:rPr>
        <w:t xml:space="preserve"> </w:t>
      </w:r>
      <w:r w:rsidRPr="00213A5D">
        <w:rPr>
          <w:bCs/>
          <w:sz w:val="24"/>
          <w:szCs w:val="24"/>
        </w:rPr>
        <w:t>составило 30,4 %</w:t>
      </w:r>
      <w:r w:rsidR="00DA49E0" w:rsidRPr="00213A5D">
        <w:rPr>
          <w:sz w:val="24"/>
          <w:szCs w:val="24"/>
        </w:rPr>
        <w:t xml:space="preserve"> показателя, </w:t>
      </w:r>
      <w:r w:rsidRPr="00213A5D">
        <w:rPr>
          <w:bCs/>
          <w:sz w:val="24"/>
          <w:szCs w:val="24"/>
        </w:rPr>
        <w:t>установленного прогнозом поступлений.</w:t>
      </w:r>
    </w:p>
    <w:p w14:paraId="0ED1D67D" w14:textId="77777777" w:rsidR="001178BA" w:rsidRPr="00213A5D" w:rsidRDefault="001178BA" w:rsidP="00FC646B">
      <w:pPr>
        <w:widowControl w:val="0"/>
        <w:spacing w:line="348" w:lineRule="auto"/>
        <w:ind w:left="0" w:right="0"/>
        <w:rPr>
          <w:sz w:val="24"/>
          <w:szCs w:val="24"/>
        </w:rPr>
      </w:pPr>
      <w:r w:rsidRPr="00213A5D">
        <w:rPr>
          <w:sz w:val="24"/>
          <w:szCs w:val="24"/>
        </w:rPr>
        <w:t xml:space="preserve">Доходы, администрируемые ФНС России, составили 77 094,6 млн. рублей, или 19,7 % </w:t>
      </w:r>
      <w:r w:rsidR="00DA49E0" w:rsidRPr="00213A5D">
        <w:rPr>
          <w:sz w:val="24"/>
          <w:szCs w:val="24"/>
        </w:rPr>
        <w:lastRenderedPageBreak/>
        <w:t xml:space="preserve">показателя, </w:t>
      </w:r>
      <w:r w:rsidRPr="00213A5D">
        <w:rPr>
          <w:sz w:val="24"/>
          <w:szCs w:val="24"/>
        </w:rPr>
        <w:t>установленного прогнозом поступлений, что обусловлено в первую очередь переносом сроков уплаты утилизационного сбора на декабрь 2022 года. Кроме того, в бюджетные параметры был заложен рост объемов производства колесных транспортных средств относительно соответствующего показателя предыдущего года, однако сложившиеся объемы производства колесных транспортных средств в первом полугодии 2022 года снизились на 440 922 шт., или на 64,2 %</w:t>
      </w:r>
      <w:r w:rsidR="00DA49E0" w:rsidRPr="00213A5D">
        <w:rPr>
          <w:sz w:val="24"/>
          <w:szCs w:val="24"/>
        </w:rPr>
        <w:t>,</w:t>
      </w:r>
      <w:r w:rsidRPr="00213A5D">
        <w:rPr>
          <w:sz w:val="24"/>
          <w:szCs w:val="24"/>
        </w:rPr>
        <w:t xml:space="preserve"> по сравнению с аналогичным периодом прошлого года в связи с приостановкой деятельности ряда крупнейших автопроизводителей. По сравнению с январем – сентябрем 2021 года доходы снизились на 192 519,1 млн. рублей, или в 3,5 раза, что обусловлено переносом сроков уплаты утилизационного сбора за IV квартал 2021 года и I, II, III кварталы 2022 года на декабрь 2022 года в соответствии с положениями постановлений Правительства Российской Федерации</w:t>
      </w:r>
      <w:r w:rsidR="00DA49E0" w:rsidRPr="00213A5D">
        <w:rPr>
          <w:sz w:val="24"/>
          <w:szCs w:val="24"/>
        </w:rPr>
        <w:t>:</w:t>
      </w:r>
      <w:r w:rsidRPr="00213A5D">
        <w:rPr>
          <w:sz w:val="24"/>
          <w:szCs w:val="24"/>
        </w:rPr>
        <w:t xml:space="preserve"> от 31 марта 2022 г. № 521 – в отношении всех крупнейших производителей самоходных машин и прицепов к ним и от 13 мая 2022 г. № 871 – в отношении 28 крупнейших производителей колесных транспортных средств, имеющих заключенный с Минпромторгом России специальный инвестиционный контракт в сфере производства автотранспортных средств, а также снижением объемов производства транспортных средств, ввоза колесных транспортных средств и перераспределением структуры импорта.</w:t>
      </w:r>
    </w:p>
    <w:p w14:paraId="231E3847" w14:textId="77777777" w:rsidR="001178BA" w:rsidRPr="00213A5D" w:rsidRDefault="001178BA" w:rsidP="00FC646B">
      <w:pPr>
        <w:widowControl w:val="0"/>
        <w:spacing w:line="348" w:lineRule="auto"/>
        <w:ind w:left="0" w:right="0"/>
        <w:rPr>
          <w:sz w:val="24"/>
          <w:szCs w:val="24"/>
        </w:rPr>
      </w:pPr>
      <w:r w:rsidRPr="00213A5D">
        <w:rPr>
          <w:sz w:val="24"/>
          <w:szCs w:val="24"/>
        </w:rPr>
        <w:t xml:space="preserve">Доходы, администрируемые ФТС России, зачислены в сумме 84 456,8 млн. рублей, или 60,1 % </w:t>
      </w:r>
      <w:r w:rsidR="00DA49E0" w:rsidRPr="00213A5D">
        <w:rPr>
          <w:sz w:val="24"/>
          <w:szCs w:val="24"/>
        </w:rPr>
        <w:t xml:space="preserve">показателя, </w:t>
      </w:r>
      <w:r w:rsidRPr="00213A5D">
        <w:rPr>
          <w:sz w:val="24"/>
          <w:szCs w:val="24"/>
        </w:rPr>
        <w:t>установленного прогнозом поступлений, и уменьшились по сравнению с январем – сентябрем 2021 года на 16 036,6 млн. рублей, или на 16 %, что обусловлено ростом доли транспортных средств, ввозимых физическими лицами для личного использования, а также перераспределением структуры импорта легковых автомобилей в пользу автомобилей с меньшим средним платежом на одно транспортное средство.</w:t>
      </w:r>
    </w:p>
    <w:p w14:paraId="5961BE7A" w14:textId="77777777" w:rsidR="001178BA" w:rsidRPr="00213A5D" w:rsidRDefault="001178BA" w:rsidP="00AF1852">
      <w:pPr>
        <w:widowControl w:val="0"/>
        <w:ind w:left="0" w:right="0"/>
        <w:rPr>
          <w:sz w:val="24"/>
          <w:szCs w:val="24"/>
        </w:rPr>
      </w:pPr>
      <w:r w:rsidRPr="00213A5D">
        <w:rPr>
          <w:b/>
          <w:bCs/>
          <w:sz w:val="24"/>
          <w:szCs w:val="24"/>
        </w:rPr>
        <w:t>3.3.2.4. </w:t>
      </w:r>
      <w:r w:rsidRPr="00213A5D">
        <w:rPr>
          <w:sz w:val="24"/>
          <w:szCs w:val="24"/>
        </w:rPr>
        <w:t xml:space="preserve">Поступление </w:t>
      </w:r>
      <w:r w:rsidRPr="00213A5D">
        <w:rPr>
          <w:b/>
          <w:sz w:val="24"/>
          <w:szCs w:val="24"/>
        </w:rPr>
        <w:t>штрафов, санкций, возмещения ущерба</w:t>
      </w:r>
      <w:r w:rsidRPr="00213A5D">
        <w:rPr>
          <w:sz w:val="24"/>
          <w:szCs w:val="24"/>
        </w:rPr>
        <w:t xml:space="preserve"> составило 118,6 % </w:t>
      </w:r>
      <w:r w:rsidR="00DA49E0" w:rsidRPr="00213A5D">
        <w:rPr>
          <w:sz w:val="24"/>
          <w:szCs w:val="24"/>
        </w:rPr>
        <w:t xml:space="preserve">показателя, </w:t>
      </w:r>
      <w:r w:rsidRPr="00213A5D">
        <w:rPr>
          <w:sz w:val="24"/>
          <w:szCs w:val="24"/>
        </w:rPr>
        <w:t xml:space="preserve">установленного прогнозом поступлений. </w:t>
      </w:r>
    </w:p>
    <w:p w14:paraId="15D5417D" w14:textId="77777777" w:rsidR="001178BA" w:rsidRPr="00213A5D" w:rsidRDefault="001178BA" w:rsidP="00AF1852">
      <w:pPr>
        <w:widowControl w:val="0"/>
        <w:ind w:left="0" w:right="0"/>
        <w:rPr>
          <w:sz w:val="24"/>
          <w:szCs w:val="24"/>
        </w:rPr>
      </w:pPr>
      <w:r w:rsidRPr="00213A5D">
        <w:rPr>
          <w:sz w:val="24"/>
          <w:szCs w:val="24"/>
        </w:rPr>
        <w:t>Более 60 % доходов обеспечено поступлением сумм по платежам, уплачиваемым в</w:t>
      </w:r>
      <w:r w:rsidRPr="00213A5D">
        <w:rPr>
          <w:color w:val="FF0000"/>
          <w:sz w:val="24"/>
          <w:szCs w:val="24"/>
        </w:rPr>
        <w:t xml:space="preserve"> </w:t>
      </w:r>
      <w:r w:rsidRPr="00213A5D">
        <w:rPr>
          <w:sz w:val="24"/>
          <w:szCs w:val="24"/>
        </w:rPr>
        <w:t>целях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(29,2 % общей суммы поступлений по указанной подгруппе), денежным средствам, изымаемым в собственность Российской Федерации в соответствии с решениями судов (за исключением обвинительных приговоров судов), подлежащим зачислению в федеральный бюджет (19,8 %),</w:t>
      </w:r>
      <w:r w:rsidRPr="00213A5D">
        <w:rPr>
          <w:color w:val="FF0000"/>
          <w:sz w:val="24"/>
          <w:szCs w:val="24"/>
        </w:rPr>
        <w:t xml:space="preserve"> </w:t>
      </w:r>
      <w:r w:rsidRPr="00213A5D">
        <w:rPr>
          <w:sz w:val="24"/>
          <w:szCs w:val="24"/>
        </w:rPr>
        <w:t>административным штрафам, у</w:t>
      </w:r>
      <w:r w:rsidR="00DA49E0" w:rsidRPr="00213A5D">
        <w:rPr>
          <w:sz w:val="24"/>
          <w:szCs w:val="24"/>
        </w:rPr>
        <w:t>становленным г</w:t>
      </w:r>
      <w:r w:rsidRPr="00213A5D">
        <w:rPr>
          <w:sz w:val="24"/>
          <w:szCs w:val="24"/>
        </w:rPr>
        <w:t xml:space="preserve">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судьями федеральных судов, </w:t>
      </w:r>
      <w:r w:rsidRPr="00213A5D">
        <w:rPr>
          <w:sz w:val="24"/>
          <w:szCs w:val="24"/>
        </w:rPr>
        <w:lastRenderedPageBreak/>
        <w:t>должностными лицами федеральных государственных органов, учреждений, Центрального банка Российской Федерации (5,6 %)</w:t>
      </w:r>
      <w:r w:rsidR="00AB7DAE" w:rsidRPr="00213A5D">
        <w:rPr>
          <w:sz w:val="24"/>
          <w:szCs w:val="24"/>
        </w:rPr>
        <w:t>,</w:t>
      </w:r>
      <w:r w:rsidRPr="00213A5D">
        <w:rPr>
          <w:sz w:val="24"/>
          <w:szCs w:val="24"/>
        </w:rPr>
        <w:t xml:space="preserve"> и иным штрафам, неустойкам, пеням, уплаченным в соответствии с законом или договором в случае неисполнения или ненадлежащего исполнения обязательств перед федеральным государственным органом, федеральным казенным учреждением, Центральным банком Российской Федерации, государственной корпорацией (5,6 %).</w:t>
      </w:r>
    </w:p>
    <w:p w14:paraId="313E12DB" w14:textId="77777777" w:rsidR="001178BA" w:rsidRPr="00213A5D" w:rsidRDefault="001178BA" w:rsidP="00AF1852">
      <w:pPr>
        <w:widowControl w:val="0"/>
        <w:ind w:left="0" w:right="0"/>
        <w:rPr>
          <w:sz w:val="24"/>
          <w:szCs w:val="24"/>
        </w:rPr>
      </w:pPr>
      <w:r w:rsidRPr="00213A5D">
        <w:rPr>
          <w:b/>
          <w:sz w:val="24"/>
          <w:szCs w:val="24"/>
        </w:rPr>
        <w:t>По сравнению с январем – сентябрем 2021 года</w:t>
      </w:r>
      <w:r w:rsidRPr="00213A5D">
        <w:rPr>
          <w:sz w:val="24"/>
          <w:szCs w:val="24"/>
        </w:rPr>
        <w:t xml:space="preserve"> поступления </w:t>
      </w:r>
      <w:r w:rsidRPr="00213A5D">
        <w:rPr>
          <w:b/>
          <w:sz w:val="24"/>
          <w:szCs w:val="24"/>
        </w:rPr>
        <w:t xml:space="preserve">уменьшились </w:t>
      </w:r>
      <w:r w:rsidRPr="00213A5D">
        <w:rPr>
          <w:sz w:val="24"/>
          <w:szCs w:val="24"/>
        </w:rPr>
        <w:t>в 2,4 раза, что в основном обусловлено разовым поступлением в 2021 году платежа в возмещение вреда, причиненного водным объектам, от АО «Норильско-Таймырская энергетическая компания» (АО «НТЭК») в размере 145 492,6 млн. рублей.</w:t>
      </w:r>
    </w:p>
    <w:p w14:paraId="3566291C" w14:textId="77777777" w:rsidR="001178BA" w:rsidRPr="00213A5D" w:rsidRDefault="001178BA" w:rsidP="00AF1852">
      <w:pPr>
        <w:widowControl w:val="0"/>
        <w:ind w:left="0" w:right="0"/>
        <w:rPr>
          <w:sz w:val="24"/>
          <w:szCs w:val="24"/>
        </w:rPr>
      </w:pPr>
      <w:r w:rsidRPr="00213A5D">
        <w:rPr>
          <w:b/>
          <w:bCs/>
          <w:sz w:val="24"/>
          <w:szCs w:val="24"/>
        </w:rPr>
        <w:t>3.3.3. Безвозмездные поступления</w:t>
      </w:r>
      <w:r w:rsidRPr="00213A5D">
        <w:rPr>
          <w:sz w:val="24"/>
          <w:szCs w:val="24"/>
        </w:rPr>
        <w:t xml:space="preserve"> составили 64 492,7 млн. рублей, что в 2,4 раза больше общей суммы, учтенной в прогнозе поступлений на год, и на 224 791,8 млн. рублей, или в 4,5 раза, меньше поступлений января – сентября 2021 года, что обусловлено разовым перечислением в федеральный бюджет в марте 2021 года части дохода, полученного Центральным </w:t>
      </w:r>
      <w:r w:rsidR="00AB7DAE" w:rsidRPr="00213A5D">
        <w:rPr>
          <w:sz w:val="24"/>
          <w:szCs w:val="24"/>
        </w:rPr>
        <w:t>б</w:t>
      </w:r>
      <w:r w:rsidRPr="00213A5D">
        <w:rPr>
          <w:sz w:val="24"/>
          <w:szCs w:val="24"/>
        </w:rPr>
        <w:t xml:space="preserve">анком Российской Федерации от продажи обыкновенных акций ПАО «Сбербанк России» в сумме 200 000 млн. рублей. </w:t>
      </w:r>
    </w:p>
    <w:p w14:paraId="2B43F0F0" w14:textId="77777777" w:rsidR="001178BA" w:rsidRPr="00213A5D" w:rsidRDefault="001178BA" w:rsidP="00AF1852">
      <w:pPr>
        <w:widowControl w:val="0"/>
        <w:ind w:left="0" w:right="0"/>
        <w:rPr>
          <w:sz w:val="24"/>
          <w:szCs w:val="24"/>
        </w:rPr>
      </w:pPr>
      <w:r w:rsidRPr="00213A5D">
        <w:rPr>
          <w:b/>
          <w:sz w:val="24"/>
          <w:szCs w:val="24"/>
        </w:rPr>
        <w:t>3.4.</w:t>
      </w:r>
      <w:r w:rsidRPr="00213A5D">
        <w:rPr>
          <w:bCs/>
          <w:sz w:val="24"/>
          <w:szCs w:val="24"/>
        </w:rPr>
        <w:t> П</w:t>
      </w:r>
      <w:r w:rsidRPr="00213A5D">
        <w:rPr>
          <w:sz w:val="24"/>
          <w:szCs w:val="24"/>
        </w:rPr>
        <w:t>оступления</w:t>
      </w:r>
      <w:r w:rsidRPr="00213A5D">
        <w:rPr>
          <w:b/>
          <w:sz w:val="24"/>
          <w:szCs w:val="24"/>
        </w:rPr>
        <w:t xml:space="preserve"> доходов федерального бюджета в разрезе администраторов доходов </w:t>
      </w:r>
      <w:r w:rsidRPr="00213A5D">
        <w:rPr>
          <w:sz w:val="24"/>
          <w:szCs w:val="24"/>
        </w:rPr>
        <w:t>за январь – сентябрь 2022 года</w:t>
      </w:r>
      <w:r w:rsidRPr="00213A5D">
        <w:rPr>
          <w:b/>
          <w:sz w:val="24"/>
          <w:szCs w:val="24"/>
        </w:rPr>
        <w:t xml:space="preserve"> </w:t>
      </w:r>
      <w:r w:rsidRPr="00213A5D">
        <w:rPr>
          <w:sz w:val="24"/>
          <w:szCs w:val="24"/>
        </w:rPr>
        <w:t>приведены в следующей таблице.</w:t>
      </w:r>
    </w:p>
    <w:tbl>
      <w:tblPr>
        <w:tblW w:w="9656" w:type="dxa"/>
        <w:jc w:val="center"/>
        <w:tblLook w:val="04A0" w:firstRow="1" w:lastRow="0" w:firstColumn="1" w:lastColumn="0" w:noHBand="0" w:noVBand="1"/>
      </w:tblPr>
      <w:tblGrid>
        <w:gridCol w:w="1260"/>
        <w:gridCol w:w="1335"/>
        <w:gridCol w:w="932"/>
        <w:gridCol w:w="863"/>
        <w:gridCol w:w="932"/>
        <w:gridCol w:w="924"/>
        <w:gridCol w:w="930"/>
        <w:gridCol w:w="661"/>
        <w:gridCol w:w="926"/>
        <w:gridCol w:w="893"/>
      </w:tblGrid>
      <w:tr w:rsidR="001178BA" w:rsidRPr="00213A5D" w14:paraId="38C24163" w14:textId="77777777" w:rsidTr="009B114B">
        <w:trPr>
          <w:trHeight w:val="53"/>
          <w:tblHeader/>
          <w:jc w:val="center"/>
        </w:trPr>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7EF1E4"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Наименование администратора доходов федерального бюджета</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29556" w14:textId="77777777" w:rsidR="001178BA" w:rsidRPr="00213A5D" w:rsidRDefault="001178BA" w:rsidP="00AF1852">
            <w:pPr>
              <w:widowControl w:val="0"/>
              <w:overflowPunct/>
              <w:autoSpaceDE/>
              <w:autoSpaceDN/>
              <w:adjustRightInd/>
              <w:spacing w:line="240" w:lineRule="auto"/>
              <w:ind w:left="-82" w:right="-75" w:firstLine="0"/>
              <w:jc w:val="center"/>
              <w:textAlignment w:val="auto"/>
              <w:rPr>
                <w:rFonts w:eastAsia="Times New Roman"/>
                <w:b/>
                <w:bCs/>
                <w:sz w:val="14"/>
                <w:szCs w:val="14"/>
              </w:rPr>
            </w:pPr>
            <w:r w:rsidRPr="00213A5D">
              <w:rPr>
                <w:rFonts w:eastAsia="Times New Roman"/>
                <w:b/>
                <w:bCs/>
                <w:sz w:val="14"/>
                <w:szCs w:val="14"/>
              </w:rPr>
              <w:t>Прогноз доходов федерального бюджета на 2022 год в соответствии с Федеральным законом № 390-ФЗ</w:t>
            </w:r>
          </w:p>
        </w:tc>
        <w:tc>
          <w:tcPr>
            <w:tcW w:w="3651" w:type="dxa"/>
            <w:gridSpan w:val="4"/>
            <w:tcBorders>
              <w:top w:val="single" w:sz="4" w:space="0" w:color="auto"/>
              <w:left w:val="nil"/>
              <w:bottom w:val="single" w:sz="4" w:space="0" w:color="auto"/>
              <w:right w:val="single" w:sz="4" w:space="0" w:color="auto"/>
            </w:tcBorders>
            <w:shd w:val="clear" w:color="auto" w:fill="auto"/>
            <w:vAlign w:val="center"/>
            <w:hideMark/>
          </w:tcPr>
          <w:p w14:paraId="08F7F876" w14:textId="77777777" w:rsidR="001178BA" w:rsidRPr="00213A5D" w:rsidRDefault="00437C73"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Исполнение</w:t>
            </w:r>
            <w:r w:rsidRPr="00213A5D">
              <w:rPr>
                <w:rFonts w:eastAsia="Times New Roman"/>
                <w:b/>
                <w:bCs/>
                <w:sz w:val="14"/>
                <w:szCs w:val="14"/>
              </w:rPr>
              <w:br/>
              <w:t xml:space="preserve">за январь – </w:t>
            </w:r>
            <w:r w:rsidR="001178BA" w:rsidRPr="00213A5D">
              <w:rPr>
                <w:rFonts w:eastAsia="Times New Roman"/>
                <w:b/>
                <w:bCs/>
                <w:sz w:val="14"/>
                <w:szCs w:val="14"/>
              </w:rPr>
              <w:t>сентябрь:</w:t>
            </w:r>
          </w:p>
        </w:tc>
        <w:tc>
          <w:tcPr>
            <w:tcW w:w="3410" w:type="dxa"/>
            <w:gridSpan w:val="4"/>
            <w:tcBorders>
              <w:top w:val="single" w:sz="4" w:space="0" w:color="auto"/>
              <w:left w:val="nil"/>
              <w:bottom w:val="single" w:sz="4" w:space="0" w:color="auto"/>
              <w:right w:val="single" w:sz="4" w:space="0" w:color="auto"/>
            </w:tcBorders>
            <w:shd w:val="clear" w:color="000000" w:fill="FFFFFF"/>
            <w:vAlign w:val="center"/>
            <w:hideMark/>
          </w:tcPr>
          <w:p w14:paraId="2C036FC8"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Отклонение исполнения</w:t>
            </w:r>
          </w:p>
          <w:p w14:paraId="1AE405E1" w14:textId="77777777" w:rsidR="001178BA" w:rsidRPr="00213A5D" w:rsidRDefault="00437C73"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 xml:space="preserve">января – </w:t>
            </w:r>
            <w:r w:rsidR="001178BA" w:rsidRPr="00213A5D">
              <w:rPr>
                <w:rFonts w:eastAsia="Times New Roman"/>
                <w:b/>
                <w:bCs/>
                <w:sz w:val="14"/>
                <w:szCs w:val="14"/>
              </w:rPr>
              <w:t>сентября 2022 года от:</w:t>
            </w:r>
          </w:p>
        </w:tc>
      </w:tr>
      <w:tr w:rsidR="001178BA" w:rsidRPr="00213A5D" w14:paraId="182DB2C4" w14:textId="77777777" w:rsidTr="009B114B">
        <w:trPr>
          <w:trHeight w:val="255"/>
          <w:tblHeade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0F5332BB"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05CDF984"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795" w:type="dxa"/>
            <w:gridSpan w:val="2"/>
            <w:tcBorders>
              <w:top w:val="single" w:sz="4" w:space="0" w:color="auto"/>
              <w:left w:val="nil"/>
              <w:bottom w:val="single" w:sz="4" w:space="0" w:color="auto"/>
              <w:right w:val="single" w:sz="4" w:space="0" w:color="auto"/>
            </w:tcBorders>
            <w:shd w:val="clear" w:color="auto" w:fill="auto"/>
            <w:vAlign w:val="center"/>
            <w:hideMark/>
          </w:tcPr>
          <w:p w14:paraId="49E9FEAA"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2021 года</w:t>
            </w:r>
          </w:p>
        </w:tc>
        <w:tc>
          <w:tcPr>
            <w:tcW w:w="1856" w:type="dxa"/>
            <w:gridSpan w:val="2"/>
            <w:tcBorders>
              <w:top w:val="single" w:sz="4" w:space="0" w:color="auto"/>
              <w:left w:val="nil"/>
              <w:bottom w:val="single" w:sz="4" w:space="0" w:color="auto"/>
              <w:right w:val="single" w:sz="4" w:space="0" w:color="000000"/>
            </w:tcBorders>
            <w:shd w:val="clear" w:color="auto" w:fill="auto"/>
            <w:vAlign w:val="center"/>
            <w:hideMark/>
          </w:tcPr>
          <w:p w14:paraId="30DBA510"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2022 года</w:t>
            </w:r>
          </w:p>
        </w:tc>
        <w:tc>
          <w:tcPr>
            <w:tcW w:w="159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5582077"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Федерального закона № 390-ФЗ</w:t>
            </w:r>
          </w:p>
        </w:tc>
        <w:tc>
          <w:tcPr>
            <w:tcW w:w="181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E26446"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исполнения за январь</w:t>
            </w:r>
            <w:r w:rsidR="00437C73" w:rsidRPr="00213A5D">
              <w:rPr>
                <w:rFonts w:eastAsia="Times New Roman"/>
                <w:b/>
                <w:bCs/>
                <w:sz w:val="14"/>
                <w:szCs w:val="14"/>
              </w:rPr>
              <w:t xml:space="preserve"> – </w:t>
            </w:r>
            <w:r w:rsidRPr="00213A5D">
              <w:rPr>
                <w:rFonts w:eastAsia="Times New Roman"/>
                <w:b/>
                <w:bCs/>
                <w:sz w:val="14"/>
                <w:szCs w:val="14"/>
              </w:rPr>
              <w:t>сентябрь 2021 года</w:t>
            </w:r>
          </w:p>
        </w:tc>
      </w:tr>
      <w:tr w:rsidR="001178BA" w:rsidRPr="00213A5D" w14:paraId="36F536CD" w14:textId="77777777" w:rsidTr="009B114B">
        <w:trPr>
          <w:trHeight w:val="322"/>
          <w:tblHeade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2C2FBACF"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3E1E541E"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932" w:type="dxa"/>
            <w:vMerge w:val="restart"/>
            <w:tcBorders>
              <w:top w:val="nil"/>
              <w:left w:val="single" w:sz="4" w:space="0" w:color="auto"/>
              <w:bottom w:val="single" w:sz="4" w:space="0" w:color="auto"/>
              <w:right w:val="single" w:sz="4" w:space="0" w:color="auto"/>
            </w:tcBorders>
            <w:shd w:val="clear" w:color="auto" w:fill="auto"/>
            <w:vAlign w:val="center"/>
            <w:hideMark/>
          </w:tcPr>
          <w:p w14:paraId="2C8DD03A"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863" w:type="dxa"/>
            <w:vMerge w:val="restart"/>
            <w:tcBorders>
              <w:top w:val="nil"/>
              <w:left w:val="single" w:sz="4" w:space="0" w:color="auto"/>
              <w:bottom w:val="single" w:sz="4" w:space="0" w:color="auto"/>
              <w:right w:val="single" w:sz="4" w:space="0" w:color="auto"/>
            </w:tcBorders>
            <w:shd w:val="clear" w:color="auto" w:fill="auto"/>
            <w:vAlign w:val="center"/>
            <w:hideMark/>
          </w:tcPr>
          <w:p w14:paraId="577A05EE"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в % структура</w:t>
            </w:r>
          </w:p>
        </w:tc>
        <w:tc>
          <w:tcPr>
            <w:tcW w:w="932" w:type="dxa"/>
            <w:vMerge w:val="restart"/>
            <w:tcBorders>
              <w:top w:val="nil"/>
              <w:left w:val="single" w:sz="4" w:space="0" w:color="auto"/>
              <w:bottom w:val="single" w:sz="4" w:space="0" w:color="auto"/>
              <w:right w:val="single" w:sz="4" w:space="0" w:color="auto"/>
            </w:tcBorders>
            <w:shd w:val="clear" w:color="auto" w:fill="auto"/>
            <w:vAlign w:val="center"/>
            <w:hideMark/>
          </w:tcPr>
          <w:p w14:paraId="7F425286"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924" w:type="dxa"/>
            <w:vMerge w:val="restart"/>
            <w:tcBorders>
              <w:top w:val="nil"/>
              <w:left w:val="single" w:sz="4" w:space="0" w:color="auto"/>
              <w:bottom w:val="single" w:sz="4" w:space="0" w:color="000000"/>
              <w:right w:val="single" w:sz="4" w:space="0" w:color="auto"/>
            </w:tcBorders>
            <w:shd w:val="clear" w:color="auto" w:fill="auto"/>
            <w:vAlign w:val="center"/>
            <w:hideMark/>
          </w:tcPr>
          <w:p w14:paraId="2E64E16E"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в % структура</w:t>
            </w:r>
          </w:p>
        </w:tc>
        <w:tc>
          <w:tcPr>
            <w:tcW w:w="1591" w:type="dxa"/>
            <w:gridSpan w:val="2"/>
            <w:vMerge/>
            <w:tcBorders>
              <w:top w:val="nil"/>
              <w:left w:val="single" w:sz="4" w:space="0" w:color="auto"/>
              <w:bottom w:val="single" w:sz="4" w:space="0" w:color="000000"/>
              <w:right w:val="single" w:sz="4" w:space="0" w:color="auto"/>
            </w:tcBorders>
            <w:vAlign w:val="center"/>
            <w:hideMark/>
          </w:tcPr>
          <w:p w14:paraId="6F291173"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819" w:type="dxa"/>
            <w:gridSpan w:val="2"/>
            <w:vMerge/>
            <w:tcBorders>
              <w:top w:val="nil"/>
              <w:left w:val="single" w:sz="4" w:space="0" w:color="auto"/>
              <w:bottom w:val="single" w:sz="4" w:space="0" w:color="000000"/>
              <w:right w:val="single" w:sz="4" w:space="0" w:color="auto"/>
            </w:tcBorders>
            <w:vAlign w:val="center"/>
            <w:hideMark/>
          </w:tcPr>
          <w:p w14:paraId="158F567A"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r>
      <w:tr w:rsidR="001178BA" w:rsidRPr="00213A5D" w14:paraId="5E2FC2F1" w14:textId="77777777" w:rsidTr="009B114B">
        <w:trPr>
          <w:trHeight w:val="53"/>
          <w:tblHeader/>
          <w:jc w:val="center"/>
        </w:trPr>
        <w:tc>
          <w:tcPr>
            <w:tcW w:w="1260" w:type="dxa"/>
            <w:vMerge/>
            <w:tcBorders>
              <w:top w:val="single" w:sz="4" w:space="0" w:color="auto"/>
              <w:left w:val="single" w:sz="4" w:space="0" w:color="auto"/>
              <w:bottom w:val="single" w:sz="4" w:space="0" w:color="auto"/>
              <w:right w:val="single" w:sz="4" w:space="0" w:color="auto"/>
            </w:tcBorders>
            <w:vAlign w:val="center"/>
            <w:hideMark/>
          </w:tcPr>
          <w:p w14:paraId="78441DF3"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683DFE6B"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932" w:type="dxa"/>
            <w:vMerge/>
            <w:tcBorders>
              <w:top w:val="nil"/>
              <w:left w:val="single" w:sz="4" w:space="0" w:color="auto"/>
              <w:bottom w:val="single" w:sz="4" w:space="0" w:color="auto"/>
              <w:right w:val="single" w:sz="4" w:space="0" w:color="auto"/>
            </w:tcBorders>
            <w:vAlign w:val="center"/>
            <w:hideMark/>
          </w:tcPr>
          <w:p w14:paraId="2D56348D"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863" w:type="dxa"/>
            <w:vMerge/>
            <w:tcBorders>
              <w:top w:val="nil"/>
              <w:left w:val="single" w:sz="4" w:space="0" w:color="auto"/>
              <w:bottom w:val="single" w:sz="4" w:space="0" w:color="auto"/>
              <w:right w:val="single" w:sz="4" w:space="0" w:color="auto"/>
            </w:tcBorders>
            <w:vAlign w:val="center"/>
            <w:hideMark/>
          </w:tcPr>
          <w:p w14:paraId="5F2ACB5B"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932" w:type="dxa"/>
            <w:vMerge/>
            <w:tcBorders>
              <w:top w:val="nil"/>
              <w:left w:val="single" w:sz="4" w:space="0" w:color="auto"/>
              <w:bottom w:val="single" w:sz="4" w:space="0" w:color="auto"/>
              <w:right w:val="single" w:sz="4" w:space="0" w:color="auto"/>
            </w:tcBorders>
            <w:vAlign w:val="center"/>
            <w:hideMark/>
          </w:tcPr>
          <w:p w14:paraId="07C83C80"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924" w:type="dxa"/>
            <w:vMerge/>
            <w:tcBorders>
              <w:top w:val="nil"/>
              <w:left w:val="single" w:sz="4" w:space="0" w:color="auto"/>
              <w:bottom w:val="single" w:sz="4" w:space="0" w:color="000000"/>
              <w:right w:val="single" w:sz="4" w:space="0" w:color="auto"/>
            </w:tcBorders>
            <w:vAlign w:val="center"/>
            <w:hideMark/>
          </w:tcPr>
          <w:p w14:paraId="27C5B732"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p>
        </w:tc>
        <w:tc>
          <w:tcPr>
            <w:tcW w:w="930" w:type="dxa"/>
            <w:tcBorders>
              <w:top w:val="nil"/>
              <w:left w:val="nil"/>
              <w:bottom w:val="single" w:sz="4" w:space="0" w:color="auto"/>
              <w:right w:val="single" w:sz="4" w:space="0" w:color="auto"/>
            </w:tcBorders>
            <w:shd w:val="clear" w:color="auto" w:fill="auto"/>
            <w:vAlign w:val="center"/>
            <w:hideMark/>
          </w:tcPr>
          <w:p w14:paraId="6711B195"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661" w:type="dxa"/>
            <w:tcBorders>
              <w:top w:val="nil"/>
              <w:left w:val="nil"/>
              <w:bottom w:val="single" w:sz="4" w:space="0" w:color="auto"/>
              <w:right w:val="single" w:sz="4" w:space="0" w:color="auto"/>
            </w:tcBorders>
            <w:shd w:val="clear" w:color="auto" w:fill="auto"/>
            <w:vAlign w:val="center"/>
            <w:hideMark/>
          </w:tcPr>
          <w:p w14:paraId="2CD698B7"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w:t>
            </w:r>
          </w:p>
        </w:tc>
        <w:tc>
          <w:tcPr>
            <w:tcW w:w="926" w:type="dxa"/>
            <w:tcBorders>
              <w:top w:val="nil"/>
              <w:left w:val="nil"/>
              <w:bottom w:val="single" w:sz="4" w:space="0" w:color="auto"/>
              <w:right w:val="single" w:sz="4" w:space="0" w:color="auto"/>
            </w:tcBorders>
            <w:shd w:val="clear" w:color="auto" w:fill="auto"/>
            <w:vAlign w:val="center"/>
            <w:hideMark/>
          </w:tcPr>
          <w:p w14:paraId="3FAD7A6C"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млн. рублей</w:t>
            </w:r>
          </w:p>
        </w:tc>
        <w:tc>
          <w:tcPr>
            <w:tcW w:w="893" w:type="dxa"/>
            <w:tcBorders>
              <w:top w:val="nil"/>
              <w:left w:val="nil"/>
              <w:bottom w:val="single" w:sz="4" w:space="0" w:color="auto"/>
              <w:right w:val="single" w:sz="4" w:space="0" w:color="auto"/>
            </w:tcBorders>
            <w:shd w:val="clear" w:color="auto" w:fill="auto"/>
            <w:vAlign w:val="center"/>
            <w:hideMark/>
          </w:tcPr>
          <w:p w14:paraId="7D3E682F"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b/>
                <w:bCs/>
                <w:sz w:val="14"/>
                <w:szCs w:val="14"/>
              </w:rPr>
            </w:pPr>
            <w:r w:rsidRPr="00213A5D">
              <w:rPr>
                <w:rFonts w:eastAsia="Times New Roman"/>
                <w:b/>
                <w:bCs/>
                <w:sz w:val="14"/>
                <w:szCs w:val="14"/>
              </w:rPr>
              <w:t>%</w:t>
            </w:r>
          </w:p>
        </w:tc>
      </w:tr>
      <w:tr w:rsidR="001178BA" w:rsidRPr="00213A5D" w14:paraId="6FC1CB74" w14:textId="77777777" w:rsidTr="009B114B">
        <w:trPr>
          <w:trHeight w:val="53"/>
          <w:jc w:val="center"/>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95678BB"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1</w:t>
            </w:r>
          </w:p>
        </w:tc>
        <w:tc>
          <w:tcPr>
            <w:tcW w:w="1335" w:type="dxa"/>
            <w:tcBorders>
              <w:top w:val="nil"/>
              <w:left w:val="nil"/>
              <w:bottom w:val="single" w:sz="4" w:space="0" w:color="auto"/>
              <w:right w:val="single" w:sz="4" w:space="0" w:color="auto"/>
            </w:tcBorders>
            <w:shd w:val="clear" w:color="auto" w:fill="auto"/>
            <w:vAlign w:val="center"/>
            <w:hideMark/>
          </w:tcPr>
          <w:p w14:paraId="35628E54"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2</w:t>
            </w:r>
          </w:p>
        </w:tc>
        <w:tc>
          <w:tcPr>
            <w:tcW w:w="932" w:type="dxa"/>
            <w:tcBorders>
              <w:top w:val="nil"/>
              <w:left w:val="nil"/>
              <w:bottom w:val="single" w:sz="4" w:space="0" w:color="auto"/>
              <w:right w:val="single" w:sz="4" w:space="0" w:color="auto"/>
            </w:tcBorders>
            <w:shd w:val="clear" w:color="auto" w:fill="auto"/>
            <w:noWrap/>
            <w:vAlign w:val="center"/>
            <w:hideMark/>
          </w:tcPr>
          <w:p w14:paraId="20FAF1AD"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3</w:t>
            </w:r>
          </w:p>
        </w:tc>
        <w:tc>
          <w:tcPr>
            <w:tcW w:w="863" w:type="dxa"/>
            <w:tcBorders>
              <w:top w:val="nil"/>
              <w:left w:val="nil"/>
              <w:bottom w:val="single" w:sz="4" w:space="0" w:color="auto"/>
              <w:right w:val="single" w:sz="4" w:space="0" w:color="auto"/>
            </w:tcBorders>
            <w:shd w:val="clear" w:color="auto" w:fill="auto"/>
            <w:noWrap/>
            <w:vAlign w:val="center"/>
            <w:hideMark/>
          </w:tcPr>
          <w:p w14:paraId="5616466C"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4</w:t>
            </w:r>
          </w:p>
        </w:tc>
        <w:tc>
          <w:tcPr>
            <w:tcW w:w="932" w:type="dxa"/>
            <w:tcBorders>
              <w:top w:val="nil"/>
              <w:left w:val="nil"/>
              <w:bottom w:val="single" w:sz="4" w:space="0" w:color="auto"/>
              <w:right w:val="single" w:sz="4" w:space="0" w:color="auto"/>
            </w:tcBorders>
            <w:shd w:val="clear" w:color="auto" w:fill="auto"/>
            <w:noWrap/>
            <w:vAlign w:val="center"/>
            <w:hideMark/>
          </w:tcPr>
          <w:p w14:paraId="2F988F80"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5</w:t>
            </w:r>
          </w:p>
        </w:tc>
        <w:tc>
          <w:tcPr>
            <w:tcW w:w="924" w:type="dxa"/>
            <w:tcBorders>
              <w:top w:val="nil"/>
              <w:left w:val="nil"/>
              <w:bottom w:val="single" w:sz="4" w:space="0" w:color="auto"/>
              <w:right w:val="single" w:sz="4" w:space="0" w:color="auto"/>
            </w:tcBorders>
            <w:shd w:val="clear" w:color="auto" w:fill="auto"/>
            <w:noWrap/>
            <w:vAlign w:val="center"/>
            <w:hideMark/>
          </w:tcPr>
          <w:p w14:paraId="0AC5FB6B"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6</w:t>
            </w:r>
          </w:p>
        </w:tc>
        <w:tc>
          <w:tcPr>
            <w:tcW w:w="930" w:type="dxa"/>
            <w:tcBorders>
              <w:top w:val="nil"/>
              <w:left w:val="nil"/>
              <w:bottom w:val="single" w:sz="4" w:space="0" w:color="auto"/>
              <w:right w:val="single" w:sz="4" w:space="0" w:color="auto"/>
            </w:tcBorders>
            <w:shd w:val="clear" w:color="auto" w:fill="auto"/>
            <w:noWrap/>
            <w:vAlign w:val="center"/>
            <w:hideMark/>
          </w:tcPr>
          <w:p w14:paraId="684AEA25"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7</w:t>
            </w:r>
          </w:p>
        </w:tc>
        <w:tc>
          <w:tcPr>
            <w:tcW w:w="661" w:type="dxa"/>
            <w:tcBorders>
              <w:top w:val="nil"/>
              <w:left w:val="nil"/>
              <w:bottom w:val="single" w:sz="4" w:space="0" w:color="auto"/>
              <w:right w:val="single" w:sz="4" w:space="0" w:color="auto"/>
            </w:tcBorders>
            <w:shd w:val="clear" w:color="auto" w:fill="auto"/>
            <w:noWrap/>
            <w:vAlign w:val="center"/>
            <w:hideMark/>
          </w:tcPr>
          <w:p w14:paraId="1D058913"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8</w:t>
            </w:r>
          </w:p>
        </w:tc>
        <w:tc>
          <w:tcPr>
            <w:tcW w:w="926" w:type="dxa"/>
            <w:tcBorders>
              <w:top w:val="nil"/>
              <w:left w:val="nil"/>
              <w:bottom w:val="single" w:sz="4" w:space="0" w:color="auto"/>
              <w:right w:val="single" w:sz="4" w:space="0" w:color="auto"/>
            </w:tcBorders>
            <w:shd w:val="clear" w:color="auto" w:fill="auto"/>
            <w:noWrap/>
            <w:vAlign w:val="center"/>
            <w:hideMark/>
          </w:tcPr>
          <w:p w14:paraId="78686C80"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9</w:t>
            </w:r>
          </w:p>
        </w:tc>
        <w:tc>
          <w:tcPr>
            <w:tcW w:w="893" w:type="dxa"/>
            <w:tcBorders>
              <w:top w:val="nil"/>
              <w:left w:val="nil"/>
              <w:bottom w:val="single" w:sz="4" w:space="0" w:color="auto"/>
              <w:right w:val="single" w:sz="4" w:space="0" w:color="auto"/>
            </w:tcBorders>
            <w:shd w:val="clear" w:color="auto" w:fill="auto"/>
            <w:noWrap/>
            <w:vAlign w:val="center"/>
            <w:hideMark/>
          </w:tcPr>
          <w:p w14:paraId="59175918" w14:textId="77777777" w:rsidR="001178BA" w:rsidRPr="00213A5D" w:rsidRDefault="001178BA" w:rsidP="00AF1852">
            <w:pPr>
              <w:widowControl w:val="0"/>
              <w:overflowPunct/>
              <w:autoSpaceDE/>
              <w:autoSpaceDN/>
              <w:adjustRightInd/>
              <w:spacing w:line="240" w:lineRule="auto"/>
              <w:ind w:left="0" w:right="0" w:firstLine="0"/>
              <w:jc w:val="center"/>
              <w:textAlignment w:val="auto"/>
              <w:rPr>
                <w:rFonts w:eastAsia="Times New Roman"/>
                <w:sz w:val="14"/>
                <w:szCs w:val="14"/>
              </w:rPr>
            </w:pPr>
            <w:r w:rsidRPr="00213A5D">
              <w:rPr>
                <w:rFonts w:eastAsia="Times New Roman"/>
                <w:sz w:val="14"/>
                <w:szCs w:val="14"/>
              </w:rPr>
              <w:t>10</w:t>
            </w:r>
          </w:p>
        </w:tc>
      </w:tr>
      <w:tr w:rsidR="001178BA" w:rsidRPr="00213A5D" w14:paraId="64575B43" w14:textId="77777777" w:rsidTr="009B114B">
        <w:trPr>
          <w:trHeight w:val="53"/>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8A703E5" w14:textId="77777777" w:rsidR="001178BA" w:rsidRPr="00213A5D" w:rsidRDefault="001178BA" w:rsidP="00AF1852">
            <w:pPr>
              <w:widowControl w:val="0"/>
              <w:overflowPunct/>
              <w:autoSpaceDE/>
              <w:autoSpaceDN/>
              <w:adjustRightInd/>
              <w:spacing w:line="240" w:lineRule="auto"/>
              <w:ind w:left="0" w:right="0" w:firstLine="0"/>
              <w:jc w:val="left"/>
              <w:textAlignment w:val="auto"/>
              <w:rPr>
                <w:rFonts w:eastAsia="Times New Roman"/>
                <w:b/>
                <w:bCs/>
                <w:sz w:val="14"/>
                <w:szCs w:val="14"/>
              </w:rPr>
            </w:pPr>
            <w:r w:rsidRPr="00213A5D">
              <w:rPr>
                <w:rFonts w:eastAsia="Times New Roman"/>
                <w:b/>
                <w:bCs/>
                <w:sz w:val="14"/>
                <w:szCs w:val="14"/>
              </w:rPr>
              <w:t>Всего</w:t>
            </w:r>
          </w:p>
        </w:tc>
        <w:tc>
          <w:tcPr>
            <w:tcW w:w="1335" w:type="dxa"/>
            <w:tcBorders>
              <w:top w:val="nil"/>
              <w:left w:val="nil"/>
              <w:bottom w:val="single" w:sz="4" w:space="0" w:color="auto"/>
              <w:right w:val="single" w:sz="4" w:space="0" w:color="auto"/>
            </w:tcBorders>
            <w:shd w:val="clear" w:color="auto" w:fill="auto"/>
            <w:noWrap/>
            <w:vAlign w:val="center"/>
            <w:hideMark/>
          </w:tcPr>
          <w:p w14:paraId="3A4D519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b/>
                <w:bCs/>
                <w:sz w:val="14"/>
                <w:szCs w:val="14"/>
              </w:rPr>
            </w:pPr>
            <w:r w:rsidRPr="00213A5D">
              <w:rPr>
                <w:rFonts w:eastAsia="Times New Roman"/>
                <w:b/>
                <w:bCs/>
                <w:sz w:val="14"/>
                <w:szCs w:val="14"/>
              </w:rPr>
              <w:t>25 021 905,1</w:t>
            </w:r>
          </w:p>
        </w:tc>
        <w:tc>
          <w:tcPr>
            <w:tcW w:w="932" w:type="dxa"/>
            <w:tcBorders>
              <w:top w:val="nil"/>
              <w:left w:val="nil"/>
              <w:bottom w:val="single" w:sz="4" w:space="0" w:color="auto"/>
              <w:right w:val="single" w:sz="4" w:space="0" w:color="auto"/>
            </w:tcBorders>
            <w:shd w:val="clear" w:color="auto" w:fill="auto"/>
            <w:noWrap/>
            <w:vAlign w:val="center"/>
            <w:hideMark/>
          </w:tcPr>
          <w:p w14:paraId="4340E3C1" w14:textId="77777777" w:rsidR="001178BA" w:rsidRPr="00213A5D" w:rsidRDefault="001178BA" w:rsidP="00AF1852">
            <w:pPr>
              <w:widowControl w:val="0"/>
              <w:overflowPunct/>
              <w:autoSpaceDE/>
              <w:autoSpaceDN/>
              <w:adjustRightInd/>
              <w:spacing w:line="240" w:lineRule="auto"/>
              <w:ind w:left="-61" w:right="0" w:firstLine="0"/>
              <w:jc w:val="right"/>
              <w:textAlignment w:val="auto"/>
              <w:rPr>
                <w:rFonts w:eastAsia="Times New Roman"/>
                <w:b/>
                <w:bCs/>
                <w:sz w:val="14"/>
                <w:szCs w:val="14"/>
              </w:rPr>
            </w:pPr>
            <w:r w:rsidRPr="00213A5D">
              <w:rPr>
                <w:rFonts w:eastAsia="Times New Roman"/>
                <w:b/>
                <w:bCs/>
                <w:sz w:val="14"/>
                <w:szCs w:val="14"/>
              </w:rPr>
              <w:t>17 923 871,6</w:t>
            </w:r>
          </w:p>
        </w:tc>
        <w:tc>
          <w:tcPr>
            <w:tcW w:w="863" w:type="dxa"/>
            <w:tcBorders>
              <w:top w:val="nil"/>
              <w:left w:val="nil"/>
              <w:bottom w:val="single" w:sz="4" w:space="0" w:color="auto"/>
              <w:right w:val="single" w:sz="4" w:space="0" w:color="auto"/>
            </w:tcBorders>
            <w:shd w:val="clear" w:color="auto" w:fill="auto"/>
            <w:noWrap/>
            <w:vAlign w:val="center"/>
            <w:hideMark/>
          </w:tcPr>
          <w:p w14:paraId="2B6E3649" w14:textId="77777777" w:rsidR="001178BA" w:rsidRPr="00213A5D" w:rsidRDefault="001178BA" w:rsidP="00CE5728">
            <w:pPr>
              <w:widowControl w:val="0"/>
              <w:overflowPunct/>
              <w:autoSpaceDE/>
              <w:autoSpaceDN/>
              <w:adjustRightInd/>
              <w:spacing w:line="240" w:lineRule="auto"/>
              <w:ind w:left="0" w:right="0" w:firstLine="0"/>
              <w:jc w:val="right"/>
              <w:textAlignment w:val="auto"/>
              <w:rPr>
                <w:rFonts w:eastAsia="Times New Roman"/>
                <w:b/>
                <w:bCs/>
                <w:sz w:val="14"/>
                <w:szCs w:val="14"/>
              </w:rPr>
            </w:pPr>
            <w:r w:rsidRPr="00213A5D">
              <w:rPr>
                <w:rFonts w:eastAsia="Times New Roman"/>
                <w:b/>
                <w:bCs/>
                <w:sz w:val="14"/>
                <w:szCs w:val="14"/>
              </w:rPr>
              <w:t>100</w:t>
            </w:r>
          </w:p>
        </w:tc>
        <w:tc>
          <w:tcPr>
            <w:tcW w:w="932" w:type="dxa"/>
            <w:tcBorders>
              <w:top w:val="nil"/>
              <w:left w:val="nil"/>
              <w:bottom w:val="single" w:sz="4" w:space="0" w:color="auto"/>
              <w:right w:val="single" w:sz="4" w:space="0" w:color="auto"/>
            </w:tcBorders>
            <w:shd w:val="clear" w:color="auto" w:fill="auto"/>
            <w:noWrap/>
            <w:vAlign w:val="center"/>
            <w:hideMark/>
          </w:tcPr>
          <w:p w14:paraId="3E2559D3" w14:textId="77777777" w:rsidR="001178BA" w:rsidRPr="00213A5D" w:rsidRDefault="001178BA" w:rsidP="00AF1852">
            <w:pPr>
              <w:widowControl w:val="0"/>
              <w:overflowPunct/>
              <w:autoSpaceDE/>
              <w:autoSpaceDN/>
              <w:adjustRightInd/>
              <w:spacing w:line="240" w:lineRule="auto"/>
              <w:ind w:left="-61" w:right="0" w:firstLine="0"/>
              <w:jc w:val="right"/>
              <w:textAlignment w:val="auto"/>
              <w:rPr>
                <w:rFonts w:eastAsia="Times New Roman"/>
                <w:b/>
                <w:bCs/>
                <w:sz w:val="14"/>
                <w:szCs w:val="14"/>
              </w:rPr>
            </w:pPr>
            <w:r w:rsidRPr="00213A5D">
              <w:rPr>
                <w:rFonts w:eastAsia="Times New Roman"/>
                <w:b/>
                <w:bCs/>
                <w:sz w:val="14"/>
                <w:szCs w:val="14"/>
              </w:rPr>
              <w:t>19 739 645,7</w:t>
            </w:r>
          </w:p>
        </w:tc>
        <w:tc>
          <w:tcPr>
            <w:tcW w:w="924" w:type="dxa"/>
            <w:tcBorders>
              <w:top w:val="nil"/>
              <w:left w:val="nil"/>
              <w:bottom w:val="single" w:sz="4" w:space="0" w:color="auto"/>
              <w:right w:val="single" w:sz="4" w:space="0" w:color="auto"/>
            </w:tcBorders>
            <w:shd w:val="clear" w:color="auto" w:fill="auto"/>
            <w:noWrap/>
            <w:vAlign w:val="center"/>
            <w:hideMark/>
          </w:tcPr>
          <w:p w14:paraId="39F3BC2F" w14:textId="77777777" w:rsidR="001178BA" w:rsidRPr="00213A5D" w:rsidRDefault="001178BA" w:rsidP="00CE5728">
            <w:pPr>
              <w:widowControl w:val="0"/>
              <w:overflowPunct/>
              <w:autoSpaceDE/>
              <w:autoSpaceDN/>
              <w:adjustRightInd/>
              <w:spacing w:line="240" w:lineRule="auto"/>
              <w:ind w:left="0" w:right="0" w:firstLine="0"/>
              <w:jc w:val="right"/>
              <w:textAlignment w:val="auto"/>
              <w:rPr>
                <w:rFonts w:eastAsia="Times New Roman"/>
                <w:b/>
                <w:bCs/>
                <w:sz w:val="14"/>
                <w:szCs w:val="14"/>
              </w:rPr>
            </w:pPr>
            <w:r w:rsidRPr="00213A5D">
              <w:rPr>
                <w:rFonts w:eastAsia="Times New Roman"/>
                <w:b/>
                <w:bCs/>
                <w:sz w:val="14"/>
                <w:szCs w:val="14"/>
              </w:rPr>
              <w:t>100</w:t>
            </w:r>
          </w:p>
        </w:tc>
        <w:tc>
          <w:tcPr>
            <w:tcW w:w="930" w:type="dxa"/>
            <w:tcBorders>
              <w:top w:val="nil"/>
              <w:left w:val="nil"/>
              <w:bottom w:val="single" w:sz="4" w:space="0" w:color="auto"/>
              <w:right w:val="single" w:sz="4" w:space="0" w:color="auto"/>
            </w:tcBorders>
            <w:shd w:val="clear" w:color="auto" w:fill="auto"/>
            <w:noWrap/>
            <w:vAlign w:val="center"/>
            <w:hideMark/>
          </w:tcPr>
          <w:p w14:paraId="56872A52"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b/>
                <w:bCs/>
                <w:sz w:val="14"/>
                <w:szCs w:val="14"/>
              </w:rPr>
            </w:pPr>
            <w:r w:rsidRPr="00213A5D">
              <w:rPr>
                <w:rFonts w:eastAsia="Times New Roman"/>
                <w:b/>
                <w:bCs/>
                <w:sz w:val="14"/>
                <w:szCs w:val="14"/>
              </w:rPr>
              <w:t>-5 282 259,4</w:t>
            </w:r>
          </w:p>
        </w:tc>
        <w:tc>
          <w:tcPr>
            <w:tcW w:w="661" w:type="dxa"/>
            <w:tcBorders>
              <w:top w:val="nil"/>
              <w:left w:val="nil"/>
              <w:bottom w:val="single" w:sz="4" w:space="0" w:color="auto"/>
              <w:right w:val="single" w:sz="4" w:space="0" w:color="auto"/>
            </w:tcBorders>
            <w:shd w:val="clear" w:color="auto" w:fill="auto"/>
            <w:noWrap/>
            <w:vAlign w:val="center"/>
            <w:hideMark/>
          </w:tcPr>
          <w:p w14:paraId="1A6F5E1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b/>
                <w:bCs/>
                <w:sz w:val="14"/>
                <w:szCs w:val="14"/>
              </w:rPr>
            </w:pPr>
            <w:r w:rsidRPr="00213A5D">
              <w:rPr>
                <w:rFonts w:eastAsia="Times New Roman"/>
                <w:b/>
                <w:bCs/>
                <w:sz w:val="14"/>
                <w:szCs w:val="14"/>
              </w:rPr>
              <w:t>78,9</w:t>
            </w:r>
          </w:p>
        </w:tc>
        <w:tc>
          <w:tcPr>
            <w:tcW w:w="926" w:type="dxa"/>
            <w:tcBorders>
              <w:top w:val="nil"/>
              <w:left w:val="nil"/>
              <w:bottom w:val="single" w:sz="4" w:space="0" w:color="auto"/>
              <w:right w:val="single" w:sz="4" w:space="0" w:color="auto"/>
            </w:tcBorders>
            <w:shd w:val="clear" w:color="auto" w:fill="auto"/>
            <w:noWrap/>
            <w:vAlign w:val="center"/>
            <w:hideMark/>
          </w:tcPr>
          <w:p w14:paraId="3D78503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b/>
                <w:bCs/>
                <w:sz w:val="14"/>
                <w:szCs w:val="14"/>
              </w:rPr>
            </w:pPr>
            <w:r w:rsidRPr="00213A5D">
              <w:rPr>
                <w:rFonts w:eastAsia="Times New Roman"/>
                <w:b/>
                <w:bCs/>
                <w:sz w:val="14"/>
                <w:szCs w:val="14"/>
              </w:rPr>
              <w:t>1 815 774,2</w:t>
            </w:r>
          </w:p>
        </w:tc>
        <w:tc>
          <w:tcPr>
            <w:tcW w:w="893" w:type="dxa"/>
            <w:tcBorders>
              <w:top w:val="nil"/>
              <w:left w:val="nil"/>
              <w:bottom w:val="single" w:sz="4" w:space="0" w:color="auto"/>
              <w:right w:val="single" w:sz="4" w:space="0" w:color="auto"/>
            </w:tcBorders>
            <w:shd w:val="clear" w:color="auto" w:fill="auto"/>
            <w:noWrap/>
            <w:vAlign w:val="center"/>
            <w:hideMark/>
          </w:tcPr>
          <w:p w14:paraId="4BAA6E5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b/>
                <w:bCs/>
                <w:sz w:val="14"/>
                <w:szCs w:val="14"/>
              </w:rPr>
            </w:pPr>
            <w:r w:rsidRPr="00213A5D">
              <w:rPr>
                <w:rFonts w:eastAsia="Times New Roman"/>
                <w:b/>
                <w:bCs/>
                <w:sz w:val="14"/>
                <w:szCs w:val="14"/>
              </w:rPr>
              <w:t>110,1</w:t>
            </w:r>
          </w:p>
        </w:tc>
      </w:tr>
      <w:tr w:rsidR="001178BA" w:rsidRPr="00213A5D" w14:paraId="437DAC8C" w14:textId="77777777" w:rsidTr="009B114B">
        <w:trPr>
          <w:trHeight w:val="50"/>
          <w:jc w:val="center"/>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065515E0" w14:textId="77777777" w:rsidR="001178BA" w:rsidRPr="00213A5D" w:rsidRDefault="001178BA" w:rsidP="00AF1852">
            <w:pPr>
              <w:widowControl w:val="0"/>
              <w:overflowPunct/>
              <w:autoSpaceDE/>
              <w:autoSpaceDN/>
              <w:adjustRightInd/>
              <w:spacing w:line="240" w:lineRule="auto"/>
              <w:ind w:left="0" w:right="0" w:firstLine="0"/>
              <w:textAlignment w:val="auto"/>
              <w:rPr>
                <w:rFonts w:eastAsia="Times New Roman"/>
                <w:b/>
                <w:bCs/>
                <w:sz w:val="14"/>
                <w:szCs w:val="14"/>
              </w:rPr>
            </w:pPr>
            <w:r w:rsidRPr="00213A5D">
              <w:rPr>
                <w:rFonts w:eastAsia="Times New Roman"/>
                <w:b/>
                <w:bCs/>
                <w:sz w:val="14"/>
                <w:szCs w:val="14"/>
              </w:rPr>
              <w:t>ФТС России*</w:t>
            </w:r>
          </w:p>
        </w:tc>
        <w:tc>
          <w:tcPr>
            <w:tcW w:w="1335" w:type="dxa"/>
            <w:tcBorders>
              <w:top w:val="nil"/>
              <w:left w:val="nil"/>
              <w:bottom w:val="single" w:sz="4" w:space="0" w:color="auto"/>
              <w:right w:val="single" w:sz="4" w:space="0" w:color="auto"/>
            </w:tcBorders>
            <w:shd w:val="clear" w:color="auto" w:fill="auto"/>
            <w:noWrap/>
            <w:vAlign w:val="center"/>
            <w:hideMark/>
          </w:tcPr>
          <w:p w14:paraId="0934E182"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6 225 745,0</w:t>
            </w:r>
          </w:p>
        </w:tc>
        <w:tc>
          <w:tcPr>
            <w:tcW w:w="932" w:type="dxa"/>
            <w:tcBorders>
              <w:top w:val="nil"/>
              <w:left w:val="nil"/>
              <w:bottom w:val="single" w:sz="4" w:space="0" w:color="auto"/>
              <w:right w:val="single" w:sz="4" w:space="0" w:color="auto"/>
            </w:tcBorders>
            <w:shd w:val="clear" w:color="000000" w:fill="FFFFFF"/>
            <w:noWrap/>
            <w:vAlign w:val="center"/>
            <w:hideMark/>
          </w:tcPr>
          <w:p w14:paraId="4CBBF55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4 809 876,6</w:t>
            </w:r>
          </w:p>
        </w:tc>
        <w:tc>
          <w:tcPr>
            <w:tcW w:w="863" w:type="dxa"/>
            <w:tcBorders>
              <w:top w:val="nil"/>
              <w:left w:val="nil"/>
              <w:bottom w:val="single" w:sz="4" w:space="0" w:color="auto"/>
              <w:right w:val="single" w:sz="4" w:space="0" w:color="auto"/>
            </w:tcBorders>
            <w:shd w:val="clear" w:color="000000" w:fill="FFFFFF"/>
            <w:noWrap/>
            <w:vAlign w:val="center"/>
            <w:hideMark/>
          </w:tcPr>
          <w:p w14:paraId="61C0F96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26,8</w:t>
            </w:r>
          </w:p>
        </w:tc>
        <w:tc>
          <w:tcPr>
            <w:tcW w:w="932" w:type="dxa"/>
            <w:tcBorders>
              <w:top w:val="nil"/>
              <w:left w:val="nil"/>
              <w:bottom w:val="single" w:sz="4" w:space="0" w:color="auto"/>
              <w:right w:val="single" w:sz="4" w:space="0" w:color="auto"/>
            </w:tcBorders>
            <w:shd w:val="clear" w:color="000000" w:fill="FFFFFF"/>
            <w:noWrap/>
            <w:vAlign w:val="center"/>
            <w:hideMark/>
          </w:tcPr>
          <w:p w14:paraId="432BDD19"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4 796 693,9</w:t>
            </w:r>
          </w:p>
        </w:tc>
        <w:tc>
          <w:tcPr>
            <w:tcW w:w="924" w:type="dxa"/>
            <w:tcBorders>
              <w:top w:val="nil"/>
              <w:left w:val="nil"/>
              <w:bottom w:val="single" w:sz="4" w:space="0" w:color="auto"/>
              <w:right w:val="single" w:sz="4" w:space="0" w:color="auto"/>
            </w:tcBorders>
            <w:shd w:val="clear" w:color="000000" w:fill="FFFFFF"/>
            <w:noWrap/>
            <w:vAlign w:val="center"/>
            <w:hideMark/>
          </w:tcPr>
          <w:p w14:paraId="04CDE04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24,3</w:t>
            </w:r>
          </w:p>
        </w:tc>
        <w:tc>
          <w:tcPr>
            <w:tcW w:w="930" w:type="dxa"/>
            <w:tcBorders>
              <w:top w:val="nil"/>
              <w:left w:val="nil"/>
              <w:bottom w:val="single" w:sz="4" w:space="0" w:color="auto"/>
              <w:right w:val="single" w:sz="4" w:space="0" w:color="auto"/>
            </w:tcBorders>
            <w:shd w:val="clear" w:color="auto" w:fill="auto"/>
            <w:noWrap/>
            <w:vAlign w:val="center"/>
            <w:hideMark/>
          </w:tcPr>
          <w:p w14:paraId="6921AF4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-1 429 051,1</w:t>
            </w:r>
          </w:p>
        </w:tc>
        <w:tc>
          <w:tcPr>
            <w:tcW w:w="661" w:type="dxa"/>
            <w:tcBorders>
              <w:top w:val="nil"/>
              <w:left w:val="nil"/>
              <w:bottom w:val="single" w:sz="4" w:space="0" w:color="auto"/>
              <w:right w:val="single" w:sz="4" w:space="0" w:color="auto"/>
            </w:tcBorders>
            <w:shd w:val="clear" w:color="auto" w:fill="auto"/>
            <w:noWrap/>
            <w:vAlign w:val="center"/>
            <w:hideMark/>
          </w:tcPr>
          <w:p w14:paraId="4C4D1193" w14:textId="77777777" w:rsidR="001178BA" w:rsidRPr="00213A5D" w:rsidRDefault="001178BA" w:rsidP="00CE5728">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77</w:t>
            </w:r>
          </w:p>
        </w:tc>
        <w:tc>
          <w:tcPr>
            <w:tcW w:w="926" w:type="dxa"/>
            <w:tcBorders>
              <w:top w:val="nil"/>
              <w:left w:val="nil"/>
              <w:bottom w:val="single" w:sz="4" w:space="0" w:color="auto"/>
              <w:right w:val="single" w:sz="4" w:space="0" w:color="auto"/>
            </w:tcBorders>
            <w:shd w:val="clear" w:color="auto" w:fill="auto"/>
            <w:noWrap/>
            <w:vAlign w:val="center"/>
            <w:hideMark/>
          </w:tcPr>
          <w:p w14:paraId="43A820C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-13 182,7</w:t>
            </w:r>
          </w:p>
        </w:tc>
        <w:tc>
          <w:tcPr>
            <w:tcW w:w="893" w:type="dxa"/>
            <w:tcBorders>
              <w:top w:val="nil"/>
              <w:left w:val="nil"/>
              <w:bottom w:val="single" w:sz="4" w:space="0" w:color="auto"/>
              <w:right w:val="single" w:sz="4" w:space="0" w:color="auto"/>
            </w:tcBorders>
            <w:shd w:val="clear" w:color="auto" w:fill="auto"/>
            <w:noWrap/>
            <w:vAlign w:val="center"/>
            <w:hideMark/>
          </w:tcPr>
          <w:p w14:paraId="23FD324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99,7</w:t>
            </w:r>
          </w:p>
        </w:tc>
      </w:tr>
      <w:tr w:rsidR="001178BA" w:rsidRPr="00213A5D" w14:paraId="3F1AC5C0" w14:textId="77777777" w:rsidTr="009B114B">
        <w:trPr>
          <w:trHeight w:val="50"/>
          <w:jc w:val="center"/>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75154E5" w14:textId="77777777" w:rsidR="001178BA" w:rsidRPr="00213A5D" w:rsidRDefault="001178BA" w:rsidP="00AF1852">
            <w:pPr>
              <w:widowControl w:val="0"/>
              <w:overflowPunct/>
              <w:autoSpaceDE/>
              <w:autoSpaceDN/>
              <w:adjustRightInd/>
              <w:spacing w:line="240" w:lineRule="auto"/>
              <w:ind w:left="0" w:right="0" w:firstLine="0"/>
              <w:textAlignment w:val="auto"/>
              <w:rPr>
                <w:rFonts w:eastAsia="Times New Roman"/>
                <w:b/>
                <w:bCs/>
                <w:sz w:val="14"/>
                <w:szCs w:val="14"/>
              </w:rPr>
            </w:pPr>
            <w:r w:rsidRPr="00213A5D">
              <w:rPr>
                <w:rFonts w:eastAsia="Times New Roman"/>
                <w:b/>
                <w:bCs/>
                <w:sz w:val="14"/>
                <w:szCs w:val="14"/>
              </w:rPr>
              <w:t xml:space="preserve">ФНС России </w:t>
            </w:r>
          </w:p>
        </w:tc>
        <w:tc>
          <w:tcPr>
            <w:tcW w:w="1335" w:type="dxa"/>
            <w:tcBorders>
              <w:top w:val="nil"/>
              <w:left w:val="nil"/>
              <w:bottom w:val="single" w:sz="4" w:space="0" w:color="auto"/>
              <w:right w:val="single" w:sz="4" w:space="0" w:color="auto"/>
            </w:tcBorders>
            <w:shd w:val="clear" w:color="auto" w:fill="auto"/>
            <w:noWrap/>
            <w:vAlign w:val="center"/>
            <w:hideMark/>
          </w:tcPr>
          <w:p w14:paraId="1632AD76"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16 785 396,0</w:t>
            </w:r>
          </w:p>
        </w:tc>
        <w:tc>
          <w:tcPr>
            <w:tcW w:w="932" w:type="dxa"/>
            <w:tcBorders>
              <w:top w:val="nil"/>
              <w:left w:val="nil"/>
              <w:bottom w:val="single" w:sz="4" w:space="0" w:color="auto"/>
              <w:right w:val="single" w:sz="4" w:space="0" w:color="auto"/>
            </w:tcBorders>
            <w:shd w:val="clear" w:color="000000" w:fill="FFFFFF"/>
            <w:noWrap/>
            <w:vAlign w:val="center"/>
            <w:hideMark/>
          </w:tcPr>
          <w:p w14:paraId="31353A4C" w14:textId="77777777" w:rsidR="001178BA" w:rsidRPr="00213A5D" w:rsidRDefault="001178BA" w:rsidP="00AF1852">
            <w:pPr>
              <w:widowControl w:val="0"/>
              <w:overflowPunct/>
              <w:autoSpaceDE/>
              <w:autoSpaceDN/>
              <w:adjustRightInd/>
              <w:spacing w:line="240" w:lineRule="auto"/>
              <w:ind w:left="-61" w:right="0" w:firstLine="0"/>
              <w:jc w:val="right"/>
              <w:textAlignment w:val="auto"/>
              <w:rPr>
                <w:rFonts w:eastAsia="Times New Roman"/>
                <w:sz w:val="14"/>
                <w:szCs w:val="14"/>
              </w:rPr>
            </w:pPr>
            <w:r w:rsidRPr="00213A5D">
              <w:rPr>
                <w:rFonts w:eastAsia="Times New Roman"/>
                <w:sz w:val="14"/>
                <w:szCs w:val="14"/>
              </w:rPr>
              <w:t>11 363 985,8</w:t>
            </w:r>
          </w:p>
        </w:tc>
        <w:tc>
          <w:tcPr>
            <w:tcW w:w="863" w:type="dxa"/>
            <w:tcBorders>
              <w:top w:val="nil"/>
              <w:left w:val="nil"/>
              <w:bottom w:val="single" w:sz="4" w:space="0" w:color="auto"/>
              <w:right w:val="single" w:sz="4" w:space="0" w:color="auto"/>
            </w:tcBorders>
            <w:shd w:val="clear" w:color="000000" w:fill="FFFFFF"/>
            <w:noWrap/>
            <w:vAlign w:val="center"/>
            <w:hideMark/>
          </w:tcPr>
          <w:p w14:paraId="620A3273"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63,4</w:t>
            </w:r>
          </w:p>
        </w:tc>
        <w:tc>
          <w:tcPr>
            <w:tcW w:w="932" w:type="dxa"/>
            <w:tcBorders>
              <w:top w:val="nil"/>
              <w:left w:val="nil"/>
              <w:bottom w:val="single" w:sz="4" w:space="0" w:color="auto"/>
              <w:right w:val="single" w:sz="4" w:space="0" w:color="auto"/>
            </w:tcBorders>
            <w:shd w:val="clear" w:color="000000" w:fill="FFFFFF"/>
            <w:noWrap/>
            <w:vAlign w:val="center"/>
            <w:hideMark/>
          </w:tcPr>
          <w:p w14:paraId="3C3E5280" w14:textId="77777777" w:rsidR="001178BA" w:rsidRPr="00213A5D" w:rsidRDefault="001178BA" w:rsidP="00AF1852">
            <w:pPr>
              <w:widowControl w:val="0"/>
              <w:overflowPunct/>
              <w:autoSpaceDE/>
              <w:autoSpaceDN/>
              <w:adjustRightInd/>
              <w:spacing w:line="240" w:lineRule="auto"/>
              <w:ind w:left="-61" w:right="0" w:firstLine="0"/>
              <w:jc w:val="right"/>
              <w:textAlignment w:val="auto"/>
              <w:rPr>
                <w:rFonts w:eastAsia="Times New Roman"/>
                <w:sz w:val="14"/>
                <w:szCs w:val="14"/>
              </w:rPr>
            </w:pPr>
            <w:r w:rsidRPr="00213A5D">
              <w:rPr>
                <w:rFonts w:eastAsia="Times New Roman"/>
                <w:sz w:val="14"/>
                <w:szCs w:val="14"/>
              </w:rPr>
              <w:t>13 770 041,1</w:t>
            </w:r>
          </w:p>
        </w:tc>
        <w:tc>
          <w:tcPr>
            <w:tcW w:w="924" w:type="dxa"/>
            <w:tcBorders>
              <w:top w:val="nil"/>
              <w:left w:val="nil"/>
              <w:bottom w:val="single" w:sz="4" w:space="0" w:color="auto"/>
              <w:right w:val="single" w:sz="4" w:space="0" w:color="auto"/>
            </w:tcBorders>
            <w:shd w:val="clear" w:color="000000" w:fill="FFFFFF"/>
            <w:noWrap/>
            <w:vAlign w:val="center"/>
            <w:hideMark/>
          </w:tcPr>
          <w:p w14:paraId="3DEFC17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69,8</w:t>
            </w:r>
          </w:p>
        </w:tc>
        <w:tc>
          <w:tcPr>
            <w:tcW w:w="930" w:type="dxa"/>
            <w:tcBorders>
              <w:top w:val="nil"/>
              <w:left w:val="nil"/>
              <w:bottom w:val="single" w:sz="4" w:space="0" w:color="auto"/>
              <w:right w:val="single" w:sz="4" w:space="0" w:color="auto"/>
            </w:tcBorders>
            <w:shd w:val="clear" w:color="auto" w:fill="auto"/>
            <w:noWrap/>
            <w:vAlign w:val="center"/>
            <w:hideMark/>
          </w:tcPr>
          <w:p w14:paraId="31DE626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-3 015 354,9</w:t>
            </w:r>
          </w:p>
        </w:tc>
        <w:tc>
          <w:tcPr>
            <w:tcW w:w="661" w:type="dxa"/>
            <w:tcBorders>
              <w:top w:val="nil"/>
              <w:left w:val="nil"/>
              <w:bottom w:val="single" w:sz="4" w:space="0" w:color="auto"/>
              <w:right w:val="single" w:sz="4" w:space="0" w:color="auto"/>
            </w:tcBorders>
            <w:shd w:val="clear" w:color="auto" w:fill="auto"/>
            <w:noWrap/>
            <w:vAlign w:val="center"/>
            <w:hideMark/>
          </w:tcPr>
          <w:p w14:paraId="3B70DCC9" w14:textId="77777777" w:rsidR="001178BA" w:rsidRPr="00213A5D" w:rsidRDefault="001178BA" w:rsidP="00CE5728">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82</w:t>
            </w:r>
          </w:p>
        </w:tc>
        <w:tc>
          <w:tcPr>
            <w:tcW w:w="926" w:type="dxa"/>
            <w:tcBorders>
              <w:top w:val="nil"/>
              <w:left w:val="nil"/>
              <w:bottom w:val="single" w:sz="4" w:space="0" w:color="auto"/>
              <w:right w:val="single" w:sz="4" w:space="0" w:color="auto"/>
            </w:tcBorders>
            <w:shd w:val="clear" w:color="auto" w:fill="auto"/>
            <w:noWrap/>
            <w:vAlign w:val="center"/>
            <w:hideMark/>
          </w:tcPr>
          <w:p w14:paraId="73D2D1AD"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2 406 055,3</w:t>
            </w:r>
          </w:p>
        </w:tc>
        <w:tc>
          <w:tcPr>
            <w:tcW w:w="893" w:type="dxa"/>
            <w:tcBorders>
              <w:top w:val="nil"/>
              <w:left w:val="nil"/>
              <w:bottom w:val="single" w:sz="4" w:space="0" w:color="auto"/>
              <w:right w:val="single" w:sz="4" w:space="0" w:color="auto"/>
            </w:tcBorders>
            <w:shd w:val="clear" w:color="auto" w:fill="auto"/>
            <w:noWrap/>
            <w:vAlign w:val="center"/>
            <w:hideMark/>
          </w:tcPr>
          <w:p w14:paraId="79C2BEB3"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121,2</w:t>
            </w:r>
          </w:p>
        </w:tc>
      </w:tr>
      <w:tr w:rsidR="001178BA" w:rsidRPr="00213A5D" w14:paraId="3FAC36A2" w14:textId="77777777" w:rsidTr="009B114B">
        <w:trPr>
          <w:trHeight w:val="50"/>
          <w:jc w:val="center"/>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01211FCF" w14:textId="77777777" w:rsidR="001178BA" w:rsidRPr="00213A5D" w:rsidRDefault="001178BA" w:rsidP="00AF1852">
            <w:pPr>
              <w:widowControl w:val="0"/>
              <w:overflowPunct/>
              <w:autoSpaceDE/>
              <w:autoSpaceDN/>
              <w:adjustRightInd/>
              <w:spacing w:line="240" w:lineRule="auto"/>
              <w:ind w:left="0" w:right="0" w:firstLine="0"/>
              <w:textAlignment w:val="auto"/>
              <w:rPr>
                <w:rFonts w:eastAsia="Times New Roman"/>
                <w:b/>
                <w:bCs/>
                <w:sz w:val="14"/>
                <w:szCs w:val="14"/>
              </w:rPr>
            </w:pPr>
            <w:r w:rsidRPr="00213A5D">
              <w:rPr>
                <w:rFonts w:eastAsia="Times New Roman"/>
                <w:b/>
                <w:bCs/>
                <w:sz w:val="14"/>
                <w:szCs w:val="14"/>
              </w:rPr>
              <w:t xml:space="preserve">Минфин России </w:t>
            </w:r>
          </w:p>
        </w:tc>
        <w:tc>
          <w:tcPr>
            <w:tcW w:w="1335" w:type="dxa"/>
            <w:tcBorders>
              <w:top w:val="nil"/>
              <w:left w:val="nil"/>
              <w:bottom w:val="single" w:sz="4" w:space="0" w:color="auto"/>
              <w:right w:val="single" w:sz="4" w:space="0" w:color="auto"/>
            </w:tcBorders>
            <w:shd w:val="clear" w:color="000000" w:fill="FFFFFF"/>
            <w:noWrap/>
            <w:vAlign w:val="center"/>
            <w:hideMark/>
          </w:tcPr>
          <w:p w14:paraId="6ECDFF7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425 087,9</w:t>
            </w:r>
          </w:p>
        </w:tc>
        <w:tc>
          <w:tcPr>
            <w:tcW w:w="932" w:type="dxa"/>
            <w:tcBorders>
              <w:top w:val="nil"/>
              <w:left w:val="nil"/>
              <w:bottom w:val="single" w:sz="4" w:space="0" w:color="auto"/>
              <w:right w:val="single" w:sz="4" w:space="0" w:color="auto"/>
            </w:tcBorders>
            <w:shd w:val="clear" w:color="000000" w:fill="FFFFFF"/>
            <w:noWrap/>
            <w:vAlign w:val="center"/>
            <w:hideMark/>
          </w:tcPr>
          <w:p w14:paraId="6FCF86E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509 877,0</w:t>
            </w:r>
          </w:p>
        </w:tc>
        <w:tc>
          <w:tcPr>
            <w:tcW w:w="863" w:type="dxa"/>
            <w:tcBorders>
              <w:top w:val="nil"/>
              <w:left w:val="nil"/>
              <w:bottom w:val="single" w:sz="4" w:space="0" w:color="auto"/>
              <w:right w:val="single" w:sz="4" w:space="0" w:color="auto"/>
            </w:tcBorders>
            <w:shd w:val="clear" w:color="000000" w:fill="FFFFFF"/>
            <w:noWrap/>
            <w:vAlign w:val="center"/>
            <w:hideMark/>
          </w:tcPr>
          <w:p w14:paraId="077804BF"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2,8</w:t>
            </w:r>
          </w:p>
        </w:tc>
        <w:tc>
          <w:tcPr>
            <w:tcW w:w="932" w:type="dxa"/>
            <w:tcBorders>
              <w:top w:val="nil"/>
              <w:left w:val="nil"/>
              <w:bottom w:val="single" w:sz="4" w:space="0" w:color="auto"/>
              <w:right w:val="single" w:sz="4" w:space="0" w:color="auto"/>
            </w:tcBorders>
            <w:shd w:val="clear" w:color="000000" w:fill="FFFFFF"/>
            <w:noWrap/>
            <w:vAlign w:val="center"/>
            <w:hideMark/>
          </w:tcPr>
          <w:p w14:paraId="225AD45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57 520,4</w:t>
            </w:r>
          </w:p>
        </w:tc>
        <w:tc>
          <w:tcPr>
            <w:tcW w:w="924" w:type="dxa"/>
            <w:tcBorders>
              <w:top w:val="nil"/>
              <w:left w:val="nil"/>
              <w:bottom w:val="single" w:sz="4" w:space="0" w:color="auto"/>
              <w:right w:val="single" w:sz="4" w:space="0" w:color="auto"/>
            </w:tcBorders>
            <w:shd w:val="clear" w:color="000000" w:fill="FFFFFF"/>
            <w:noWrap/>
            <w:vAlign w:val="center"/>
            <w:hideMark/>
          </w:tcPr>
          <w:p w14:paraId="119146A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0,3</w:t>
            </w:r>
          </w:p>
        </w:tc>
        <w:tc>
          <w:tcPr>
            <w:tcW w:w="930" w:type="dxa"/>
            <w:tcBorders>
              <w:top w:val="nil"/>
              <w:left w:val="nil"/>
              <w:bottom w:val="single" w:sz="4" w:space="0" w:color="auto"/>
              <w:right w:val="single" w:sz="4" w:space="0" w:color="auto"/>
            </w:tcBorders>
            <w:shd w:val="clear" w:color="auto" w:fill="auto"/>
            <w:noWrap/>
            <w:vAlign w:val="center"/>
            <w:hideMark/>
          </w:tcPr>
          <w:p w14:paraId="0D514DB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-367 567,5</w:t>
            </w:r>
          </w:p>
        </w:tc>
        <w:tc>
          <w:tcPr>
            <w:tcW w:w="661" w:type="dxa"/>
            <w:tcBorders>
              <w:top w:val="nil"/>
              <w:left w:val="nil"/>
              <w:bottom w:val="single" w:sz="4" w:space="0" w:color="auto"/>
              <w:right w:val="single" w:sz="4" w:space="0" w:color="auto"/>
            </w:tcBorders>
            <w:shd w:val="clear" w:color="auto" w:fill="auto"/>
            <w:noWrap/>
            <w:vAlign w:val="center"/>
            <w:hideMark/>
          </w:tcPr>
          <w:p w14:paraId="031F2A6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13,5</w:t>
            </w:r>
          </w:p>
        </w:tc>
        <w:tc>
          <w:tcPr>
            <w:tcW w:w="926" w:type="dxa"/>
            <w:tcBorders>
              <w:top w:val="nil"/>
              <w:left w:val="nil"/>
              <w:bottom w:val="single" w:sz="4" w:space="0" w:color="auto"/>
              <w:right w:val="single" w:sz="4" w:space="0" w:color="auto"/>
            </w:tcBorders>
            <w:shd w:val="clear" w:color="auto" w:fill="auto"/>
            <w:noWrap/>
            <w:vAlign w:val="center"/>
            <w:hideMark/>
          </w:tcPr>
          <w:p w14:paraId="5DAB028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-452 356,6</w:t>
            </w:r>
          </w:p>
        </w:tc>
        <w:tc>
          <w:tcPr>
            <w:tcW w:w="893" w:type="dxa"/>
            <w:tcBorders>
              <w:top w:val="nil"/>
              <w:left w:val="nil"/>
              <w:bottom w:val="single" w:sz="4" w:space="0" w:color="auto"/>
              <w:right w:val="single" w:sz="4" w:space="0" w:color="auto"/>
            </w:tcBorders>
            <w:shd w:val="clear" w:color="auto" w:fill="auto"/>
            <w:noWrap/>
            <w:vAlign w:val="center"/>
            <w:hideMark/>
          </w:tcPr>
          <w:p w14:paraId="048D66C5"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11,3</w:t>
            </w:r>
          </w:p>
        </w:tc>
      </w:tr>
      <w:tr w:rsidR="001178BA" w:rsidRPr="00213A5D" w14:paraId="1B929733" w14:textId="77777777" w:rsidTr="009B114B">
        <w:trPr>
          <w:trHeight w:val="50"/>
          <w:jc w:val="center"/>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4CB8BEFD" w14:textId="77777777" w:rsidR="001178BA" w:rsidRPr="00213A5D" w:rsidRDefault="001178BA" w:rsidP="00AF1852">
            <w:pPr>
              <w:widowControl w:val="0"/>
              <w:overflowPunct/>
              <w:autoSpaceDE/>
              <w:autoSpaceDN/>
              <w:adjustRightInd/>
              <w:spacing w:line="240" w:lineRule="auto"/>
              <w:ind w:left="0" w:right="0" w:firstLine="0"/>
              <w:textAlignment w:val="auto"/>
              <w:rPr>
                <w:rFonts w:eastAsia="Times New Roman"/>
                <w:b/>
                <w:bCs/>
                <w:sz w:val="14"/>
                <w:szCs w:val="14"/>
              </w:rPr>
            </w:pPr>
            <w:r w:rsidRPr="00213A5D">
              <w:rPr>
                <w:rFonts w:eastAsia="Times New Roman"/>
                <w:b/>
                <w:bCs/>
                <w:sz w:val="14"/>
                <w:szCs w:val="14"/>
              </w:rPr>
              <w:t>Росимущество</w:t>
            </w:r>
          </w:p>
        </w:tc>
        <w:tc>
          <w:tcPr>
            <w:tcW w:w="1335" w:type="dxa"/>
            <w:tcBorders>
              <w:top w:val="nil"/>
              <w:left w:val="nil"/>
              <w:bottom w:val="single" w:sz="4" w:space="0" w:color="auto"/>
              <w:right w:val="single" w:sz="4" w:space="0" w:color="auto"/>
            </w:tcBorders>
            <w:shd w:val="clear" w:color="auto" w:fill="auto"/>
            <w:noWrap/>
            <w:vAlign w:val="center"/>
            <w:hideMark/>
          </w:tcPr>
          <w:p w14:paraId="6683DD7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709 234,4</w:t>
            </w:r>
          </w:p>
        </w:tc>
        <w:tc>
          <w:tcPr>
            <w:tcW w:w="932" w:type="dxa"/>
            <w:tcBorders>
              <w:top w:val="nil"/>
              <w:left w:val="nil"/>
              <w:bottom w:val="single" w:sz="4" w:space="0" w:color="auto"/>
              <w:right w:val="single" w:sz="4" w:space="0" w:color="auto"/>
            </w:tcBorders>
            <w:shd w:val="clear" w:color="000000" w:fill="FFFFFF"/>
            <w:noWrap/>
            <w:vAlign w:val="center"/>
            <w:hideMark/>
          </w:tcPr>
          <w:p w14:paraId="6BD39A6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294 820,8</w:t>
            </w:r>
          </w:p>
        </w:tc>
        <w:tc>
          <w:tcPr>
            <w:tcW w:w="863" w:type="dxa"/>
            <w:tcBorders>
              <w:top w:val="nil"/>
              <w:left w:val="nil"/>
              <w:bottom w:val="single" w:sz="4" w:space="0" w:color="auto"/>
              <w:right w:val="single" w:sz="4" w:space="0" w:color="auto"/>
            </w:tcBorders>
            <w:shd w:val="clear" w:color="000000" w:fill="FFFFFF"/>
            <w:noWrap/>
            <w:vAlign w:val="center"/>
            <w:hideMark/>
          </w:tcPr>
          <w:p w14:paraId="2FD77DDF"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1,7</w:t>
            </w:r>
          </w:p>
        </w:tc>
        <w:tc>
          <w:tcPr>
            <w:tcW w:w="932" w:type="dxa"/>
            <w:tcBorders>
              <w:top w:val="nil"/>
              <w:left w:val="nil"/>
              <w:bottom w:val="single" w:sz="4" w:space="0" w:color="auto"/>
              <w:right w:val="single" w:sz="4" w:space="0" w:color="auto"/>
            </w:tcBorders>
            <w:shd w:val="clear" w:color="000000" w:fill="FFFFFF"/>
            <w:noWrap/>
            <w:vAlign w:val="center"/>
            <w:hideMark/>
          </w:tcPr>
          <w:p w14:paraId="790491AD"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193 350,0</w:t>
            </w:r>
          </w:p>
        </w:tc>
        <w:tc>
          <w:tcPr>
            <w:tcW w:w="924" w:type="dxa"/>
            <w:tcBorders>
              <w:top w:val="nil"/>
              <w:left w:val="nil"/>
              <w:bottom w:val="single" w:sz="4" w:space="0" w:color="auto"/>
              <w:right w:val="single" w:sz="4" w:space="0" w:color="auto"/>
            </w:tcBorders>
            <w:shd w:val="clear" w:color="000000" w:fill="FFFFFF"/>
            <w:noWrap/>
            <w:vAlign w:val="center"/>
            <w:hideMark/>
          </w:tcPr>
          <w:p w14:paraId="3F55867E"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1,0</w:t>
            </w:r>
          </w:p>
        </w:tc>
        <w:tc>
          <w:tcPr>
            <w:tcW w:w="930" w:type="dxa"/>
            <w:tcBorders>
              <w:top w:val="nil"/>
              <w:left w:val="nil"/>
              <w:bottom w:val="single" w:sz="4" w:space="0" w:color="auto"/>
              <w:right w:val="single" w:sz="4" w:space="0" w:color="auto"/>
            </w:tcBorders>
            <w:shd w:val="clear" w:color="auto" w:fill="auto"/>
            <w:noWrap/>
            <w:vAlign w:val="center"/>
            <w:hideMark/>
          </w:tcPr>
          <w:p w14:paraId="4F15784C"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-515 884,4</w:t>
            </w:r>
          </w:p>
        </w:tc>
        <w:tc>
          <w:tcPr>
            <w:tcW w:w="661" w:type="dxa"/>
            <w:tcBorders>
              <w:top w:val="nil"/>
              <w:left w:val="nil"/>
              <w:bottom w:val="single" w:sz="4" w:space="0" w:color="auto"/>
              <w:right w:val="single" w:sz="4" w:space="0" w:color="auto"/>
            </w:tcBorders>
            <w:shd w:val="clear" w:color="auto" w:fill="auto"/>
            <w:noWrap/>
            <w:vAlign w:val="center"/>
            <w:hideMark/>
          </w:tcPr>
          <w:p w14:paraId="05B4E45D"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27,3</w:t>
            </w:r>
          </w:p>
        </w:tc>
        <w:tc>
          <w:tcPr>
            <w:tcW w:w="926" w:type="dxa"/>
            <w:tcBorders>
              <w:top w:val="nil"/>
              <w:left w:val="nil"/>
              <w:bottom w:val="single" w:sz="4" w:space="0" w:color="auto"/>
              <w:right w:val="single" w:sz="4" w:space="0" w:color="auto"/>
            </w:tcBorders>
            <w:shd w:val="clear" w:color="auto" w:fill="auto"/>
            <w:noWrap/>
            <w:vAlign w:val="center"/>
            <w:hideMark/>
          </w:tcPr>
          <w:p w14:paraId="07A974B8"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-101 470,8</w:t>
            </w:r>
          </w:p>
        </w:tc>
        <w:tc>
          <w:tcPr>
            <w:tcW w:w="893" w:type="dxa"/>
            <w:tcBorders>
              <w:top w:val="nil"/>
              <w:left w:val="nil"/>
              <w:bottom w:val="single" w:sz="4" w:space="0" w:color="auto"/>
              <w:right w:val="single" w:sz="4" w:space="0" w:color="auto"/>
            </w:tcBorders>
            <w:shd w:val="clear" w:color="auto" w:fill="auto"/>
            <w:noWrap/>
            <w:vAlign w:val="center"/>
            <w:hideMark/>
          </w:tcPr>
          <w:p w14:paraId="0AEF5B6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65,6</w:t>
            </w:r>
          </w:p>
        </w:tc>
      </w:tr>
      <w:tr w:rsidR="001178BA" w:rsidRPr="00213A5D" w14:paraId="22FA0507" w14:textId="77777777" w:rsidTr="009B114B">
        <w:trPr>
          <w:trHeight w:val="50"/>
          <w:jc w:val="center"/>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61BF4103" w14:textId="77777777" w:rsidR="001178BA" w:rsidRPr="00213A5D" w:rsidRDefault="001178BA" w:rsidP="00AF1852">
            <w:pPr>
              <w:widowControl w:val="0"/>
              <w:overflowPunct/>
              <w:autoSpaceDE/>
              <w:autoSpaceDN/>
              <w:adjustRightInd/>
              <w:spacing w:line="240" w:lineRule="auto"/>
              <w:ind w:left="-93" w:right="-96" w:firstLine="0"/>
              <w:textAlignment w:val="auto"/>
              <w:rPr>
                <w:rFonts w:eastAsia="Times New Roman"/>
                <w:sz w:val="14"/>
                <w:szCs w:val="14"/>
              </w:rPr>
            </w:pPr>
            <w:r w:rsidRPr="00213A5D">
              <w:rPr>
                <w:rFonts w:eastAsia="Times New Roman"/>
                <w:sz w:val="14"/>
                <w:szCs w:val="14"/>
              </w:rPr>
              <w:t>Доходы федерального бюджета, администрируемые другими федеральными органами</w:t>
            </w:r>
          </w:p>
        </w:tc>
        <w:tc>
          <w:tcPr>
            <w:tcW w:w="1335" w:type="dxa"/>
            <w:tcBorders>
              <w:top w:val="nil"/>
              <w:left w:val="nil"/>
              <w:bottom w:val="single" w:sz="4" w:space="0" w:color="auto"/>
              <w:right w:val="single" w:sz="4" w:space="0" w:color="auto"/>
            </w:tcBorders>
            <w:shd w:val="clear" w:color="auto" w:fill="auto"/>
            <w:noWrap/>
            <w:vAlign w:val="center"/>
            <w:hideMark/>
          </w:tcPr>
          <w:p w14:paraId="012E06D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876 441,7</w:t>
            </w:r>
          </w:p>
        </w:tc>
        <w:tc>
          <w:tcPr>
            <w:tcW w:w="932" w:type="dxa"/>
            <w:tcBorders>
              <w:top w:val="nil"/>
              <w:left w:val="nil"/>
              <w:bottom w:val="single" w:sz="4" w:space="0" w:color="auto"/>
              <w:right w:val="single" w:sz="4" w:space="0" w:color="auto"/>
            </w:tcBorders>
            <w:shd w:val="clear" w:color="auto" w:fill="auto"/>
            <w:noWrap/>
            <w:vAlign w:val="center"/>
            <w:hideMark/>
          </w:tcPr>
          <w:p w14:paraId="5DC9AF36"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945 311,4</w:t>
            </w:r>
          </w:p>
        </w:tc>
        <w:tc>
          <w:tcPr>
            <w:tcW w:w="863" w:type="dxa"/>
            <w:tcBorders>
              <w:top w:val="nil"/>
              <w:left w:val="nil"/>
              <w:bottom w:val="single" w:sz="4" w:space="0" w:color="auto"/>
              <w:right w:val="single" w:sz="4" w:space="0" w:color="auto"/>
            </w:tcBorders>
            <w:shd w:val="clear" w:color="000000" w:fill="FFFFFF"/>
            <w:noWrap/>
            <w:vAlign w:val="center"/>
            <w:hideMark/>
          </w:tcPr>
          <w:p w14:paraId="1D53988A"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5,3</w:t>
            </w:r>
          </w:p>
        </w:tc>
        <w:tc>
          <w:tcPr>
            <w:tcW w:w="932" w:type="dxa"/>
            <w:tcBorders>
              <w:top w:val="nil"/>
              <w:left w:val="nil"/>
              <w:bottom w:val="single" w:sz="4" w:space="0" w:color="auto"/>
              <w:right w:val="single" w:sz="4" w:space="0" w:color="auto"/>
            </w:tcBorders>
            <w:shd w:val="clear" w:color="auto" w:fill="auto"/>
            <w:noWrap/>
            <w:vAlign w:val="center"/>
            <w:hideMark/>
          </w:tcPr>
          <w:p w14:paraId="2B0FB6FB"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922 040,3</w:t>
            </w:r>
          </w:p>
        </w:tc>
        <w:tc>
          <w:tcPr>
            <w:tcW w:w="924" w:type="dxa"/>
            <w:tcBorders>
              <w:top w:val="nil"/>
              <w:left w:val="nil"/>
              <w:bottom w:val="single" w:sz="4" w:space="0" w:color="auto"/>
              <w:right w:val="single" w:sz="4" w:space="0" w:color="auto"/>
            </w:tcBorders>
            <w:shd w:val="clear" w:color="000000" w:fill="FFFFFF"/>
            <w:noWrap/>
            <w:vAlign w:val="center"/>
            <w:hideMark/>
          </w:tcPr>
          <w:p w14:paraId="14EB94A7"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4,6</w:t>
            </w:r>
          </w:p>
        </w:tc>
        <w:tc>
          <w:tcPr>
            <w:tcW w:w="930" w:type="dxa"/>
            <w:tcBorders>
              <w:top w:val="nil"/>
              <w:left w:val="nil"/>
              <w:bottom w:val="single" w:sz="4" w:space="0" w:color="auto"/>
              <w:right w:val="single" w:sz="4" w:space="0" w:color="auto"/>
            </w:tcBorders>
            <w:shd w:val="clear" w:color="auto" w:fill="auto"/>
            <w:noWrap/>
            <w:vAlign w:val="center"/>
            <w:hideMark/>
          </w:tcPr>
          <w:p w14:paraId="2CB27980"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45 598,6</w:t>
            </w:r>
          </w:p>
        </w:tc>
        <w:tc>
          <w:tcPr>
            <w:tcW w:w="661" w:type="dxa"/>
            <w:tcBorders>
              <w:top w:val="nil"/>
              <w:left w:val="nil"/>
              <w:bottom w:val="single" w:sz="4" w:space="0" w:color="auto"/>
              <w:right w:val="single" w:sz="4" w:space="0" w:color="auto"/>
            </w:tcBorders>
            <w:shd w:val="clear" w:color="auto" w:fill="auto"/>
            <w:noWrap/>
            <w:vAlign w:val="center"/>
            <w:hideMark/>
          </w:tcPr>
          <w:p w14:paraId="55EBEB2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105,2</w:t>
            </w:r>
          </w:p>
        </w:tc>
        <w:tc>
          <w:tcPr>
            <w:tcW w:w="926" w:type="dxa"/>
            <w:tcBorders>
              <w:top w:val="nil"/>
              <w:left w:val="nil"/>
              <w:bottom w:val="single" w:sz="4" w:space="0" w:color="auto"/>
              <w:right w:val="single" w:sz="4" w:space="0" w:color="auto"/>
            </w:tcBorders>
            <w:shd w:val="clear" w:color="auto" w:fill="auto"/>
            <w:noWrap/>
            <w:vAlign w:val="center"/>
            <w:hideMark/>
          </w:tcPr>
          <w:p w14:paraId="56A843B4"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-23 271,1</w:t>
            </w:r>
          </w:p>
        </w:tc>
        <w:tc>
          <w:tcPr>
            <w:tcW w:w="893" w:type="dxa"/>
            <w:tcBorders>
              <w:top w:val="nil"/>
              <w:left w:val="nil"/>
              <w:bottom w:val="single" w:sz="4" w:space="0" w:color="auto"/>
              <w:right w:val="single" w:sz="4" w:space="0" w:color="auto"/>
            </w:tcBorders>
            <w:shd w:val="clear" w:color="auto" w:fill="auto"/>
            <w:noWrap/>
            <w:vAlign w:val="center"/>
            <w:hideMark/>
          </w:tcPr>
          <w:p w14:paraId="103A2DC1" w14:textId="77777777" w:rsidR="001178BA" w:rsidRPr="00213A5D" w:rsidRDefault="001178BA" w:rsidP="00AF1852">
            <w:pPr>
              <w:widowControl w:val="0"/>
              <w:overflowPunct/>
              <w:autoSpaceDE/>
              <w:autoSpaceDN/>
              <w:adjustRightInd/>
              <w:spacing w:line="240" w:lineRule="auto"/>
              <w:ind w:left="0" w:right="0" w:firstLine="0"/>
              <w:jc w:val="right"/>
              <w:textAlignment w:val="auto"/>
              <w:rPr>
                <w:rFonts w:eastAsia="Times New Roman"/>
                <w:sz w:val="14"/>
                <w:szCs w:val="14"/>
              </w:rPr>
            </w:pPr>
            <w:r w:rsidRPr="00213A5D">
              <w:rPr>
                <w:rFonts w:eastAsia="Times New Roman"/>
                <w:sz w:val="14"/>
                <w:szCs w:val="14"/>
              </w:rPr>
              <w:t>97,5</w:t>
            </w:r>
          </w:p>
        </w:tc>
      </w:tr>
    </w:tbl>
    <w:p w14:paraId="6C9FB50F" w14:textId="77777777" w:rsidR="001178BA" w:rsidRPr="00213A5D" w:rsidRDefault="001178BA" w:rsidP="00AF1852">
      <w:pPr>
        <w:widowControl w:val="0"/>
        <w:spacing w:line="240" w:lineRule="auto"/>
        <w:ind w:left="0" w:right="0"/>
        <w:rPr>
          <w:sz w:val="16"/>
          <w:szCs w:val="16"/>
        </w:rPr>
      </w:pPr>
      <w:r w:rsidRPr="00213A5D">
        <w:rPr>
          <w:sz w:val="16"/>
          <w:szCs w:val="16"/>
        </w:rPr>
        <w:t>* Без учета кассовых операций в части ввозных таможенных пошлин, уплаченных в соответствии с Соглашением об установлении и применении в Таможенном союзе порядка зачисления и распределения ввозных таможенных пошлин, а также специальных, антидемпинговых и компенсационных пошлин, уплаченных в соответствии с Соглашением о применении специальных защитных, антидемпинговых и компенсационных мер по отношению к третьим странам.</w:t>
      </w:r>
    </w:p>
    <w:p w14:paraId="45F1E048" w14:textId="77777777" w:rsidR="001178BA" w:rsidRPr="00213A5D" w:rsidRDefault="001178BA" w:rsidP="00AF1852">
      <w:pPr>
        <w:widowControl w:val="0"/>
        <w:spacing w:line="324" w:lineRule="auto"/>
        <w:ind w:left="0" w:right="0"/>
        <w:rPr>
          <w:sz w:val="10"/>
          <w:szCs w:val="10"/>
        </w:rPr>
      </w:pPr>
    </w:p>
    <w:p w14:paraId="6B361048" w14:textId="77777777" w:rsidR="001178BA" w:rsidRPr="00213A5D" w:rsidRDefault="001178BA" w:rsidP="00AF1852">
      <w:pPr>
        <w:widowControl w:val="0"/>
        <w:spacing w:line="324" w:lineRule="auto"/>
        <w:ind w:left="0" w:right="0"/>
        <w:rPr>
          <w:sz w:val="24"/>
          <w:szCs w:val="24"/>
        </w:rPr>
      </w:pPr>
      <w:r w:rsidRPr="00213A5D">
        <w:rPr>
          <w:sz w:val="24"/>
          <w:szCs w:val="24"/>
        </w:rPr>
        <w:t>Анализ данных, приведенных в таблице, свидетельствует о том, что в январе –</w:t>
      </w:r>
      <w:r w:rsidR="002954BE" w:rsidRPr="00213A5D">
        <w:rPr>
          <w:sz w:val="24"/>
          <w:szCs w:val="24"/>
        </w:rPr>
        <w:t xml:space="preserve"> </w:t>
      </w:r>
      <w:r w:rsidRPr="00213A5D">
        <w:rPr>
          <w:sz w:val="24"/>
          <w:szCs w:val="24"/>
        </w:rPr>
        <w:t xml:space="preserve">сентябре 2022 года, как и в аналогичном периоде 2021 года, наибольший удельный вес в доходах федерального бюджета занимают доходы, администрируемые ФНС России и </w:t>
      </w:r>
      <w:r w:rsidR="0088573C" w:rsidRPr="00213A5D">
        <w:rPr>
          <w:sz w:val="24"/>
          <w:szCs w:val="24"/>
        </w:rPr>
        <w:br/>
      </w:r>
      <w:r w:rsidRPr="00213A5D">
        <w:rPr>
          <w:sz w:val="24"/>
          <w:szCs w:val="24"/>
        </w:rPr>
        <w:t>ФТС России (94,1 % общего объема доходов федерального бюджета). На долю остальных главных администраторов доходов федерального бюджета приходится 5,9 % доходов (в январе –</w:t>
      </w:r>
      <w:r w:rsidR="002954BE" w:rsidRPr="00213A5D">
        <w:rPr>
          <w:sz w:val="24"/>
          <w:szCs w:val="24"/>
        </w:rPr>
        <w:t xml:space="preserve"> </w:t>
      </w:r>
      <w:r w:rsidRPr="00213A5D">
        <w:rPr>
          <w:sz w:val="24"/>
          <w:szCs w:val="24"/>
        </w:rPr>
        <w:t>сентябре 2021 года – 9,8 %).</w:t>
      </w:r>
    </w:p>
    <w:p w14:paraId="141B8A1A" w14:textId="77777777" w:rsidR="00074003" w:rsidRPr="00213A5D" w:rsidRDefault="00074003" w:rsidP="00AF1852">
      <w:pPr>
        <w:pStyle w:val="aff6"/>
        <w:widowControl w:val="0"/>
        <w:spacing w:line="240" w:lineRule="auto"/>
        <w:ind w:left="0" w:right="0"/>
        <w:jc w:val="center"/>
        <w:rPr>
          <w:b/>
          <w:sz w:val="16"/>
          <w:szCs w:val="16"/>
          <w:u w:val="single"/>
        </w:rPr>
      </w:pPr>
    </w:p>
    <w:p w14:paraId="7F8DC94E" w14:textId="77777777" w:rsidR="003D48F4" w:rsidRPr="00213A5D" w:rsidRDefault="00531970" w:rsidP="00AF1852">
      <w:pPr>
        <w:pStyle w:val="aff6"/>
        <w:widowControl w:val="0"/>
        <w:spacing w:line="240" w:lineRule="auto"/>
        <w:ind w:left="0" w:right="0"/>
        <w:jc w:val="center"/>
        <w:rPr>
          <w:b/>
          <w:sz w:val="24"/>
          <w:szCs w:val="24"/>
          <w:u w:val="single"/>
        </w:rPr>
      </w:pPr>
      <w:r w:rsidRPr="00213A5D">
        <w:rPr>
          <w:b/>
          <w:sz w:val="24"/>
          <w:szCs w:val="24"/>
          <w:u w:val="single"/>
        </w:rPr>
        <w:t xml:space="preserve">4. </w:t>
      </w:r>
      <w:r w:rsidR="004E7706" w:rsidRPr="00213A5D">
        <w:rPr>
          <w:b/>
          <w:sz w:val="24"/>
          <w:szCs w:val="24"/>
          <w:u w:val="single"/>
        </w:rPr>
        <w:t>Анализ исполнения расходов</w:t>
      </w:r>
      <w:r w:rsidR="003D48F4" w:rsidRPr="00213A5D">
        <w:rPr>
          <w:b/>
          <w:sz w:val="24"/>
          <w:szCs w:val="24"/>
          <w:u w:val="single"/>
        </w:rPr>
        <w:t xml:space="preserve"> федерального бюджета</w:t>
      </w:r>
    </w:p>
    <w:p w14:paraId="7D70A892" w14:textId="77777777" w:rsidR="000B1AB1" w:rsidRPr="00213A5D" w:rsidRDefault="000B1AB1" w:rsidP="00AF1852">
      <w:pPr>
        <w:pStyle w:val="aff6"/>
        <w:widowControl w:val="0"/>
        <w:ind w:left="0" w:right="0"/>
        <w:jc w:val="center"/>
        <w:rPr>
          <w:sz w:val="16"/>
          <w:szCs w:val="16"/>
          <w:u w:val="single"/>
        </w:rPr>
      </w:pPr>
    </w:p>
    <w:p w14:paraId="65FFF753" w14:textId="77777777" w:rsidR="00CC21F2" w:rsidRPr="00213A5D" w:rsidRDefault="00A8210D" w:rsidP="00AF1852">
      <w:pPr>
        <w:widowControl w:val="0"/>
        <w:overflowPunct/>
        <w:ind w:left="0" w:right="0"/>
        <w:textAlignment w:val="auto"/>
        <w:rPr>
          <w:rFonts w:eastAsia="Times New Roman"/>
          <w:sz w:val="24"/>
          <w:szCs w:val="24"/>
        </w:rPr>
      </w:pPr>
      <w:r w:rsidRPr="00213A5D">
        <w:rPr>
          <w:rFonts w:eastAsia="Times New Roman"/>
          <w:b/>
          <w:sz w:val="24"/>
          <w:szCs w:val="24"/>
        </w:rPr>
        <w:t>4.1. </w:t>
      </w:r>
      <w:r w:rsidR="00CC21F2" w:rsidRPr="00213A5D">
        <w:rPr>
          <w:rFonts w:eastAsia="Times New Roman"/>
          <w:sz w:val="24"/>
          <w:szCs w:val="24"/>
        </w:rPr>
        <w:t>Исполнение расходов федерального бюджета регулировалось следующими нормативными правовыми актами и документами:</w:t>
      </w:r>
    </w:p>
    <w:p w14:paraId="27C028F5" w14:textId="77777777" w:rsidR="00CC21F2" w:rsidRPr="00213A5D" w:rsidRDefault="00CC21F2" w:rsidP="00F5033F">
      <w:pPr>
        <w:widowControl w:val="0"/>
        <w:numPr>
          <w:ilvl w:val="0"/>
          <w:numId w:val="6"/>
        </w:numPr>
        <w:tabs>
          <w:tab w:val="left" w:pos="993"/>
        </w:tabs>
        <w:overflowPunct/>
        <w:spacing w:line="355" w:lineRule="auto"/>
        <w:ind w:left="0" w:right="0" w:firstLine="777"/>
        <w:textAlignment w:val="auto"/>
        <w:rPr>
          <w:rFonts w:eastAsia="Times New Roman"/>
          <w:sz w:val="24"/>
          <w:szCs w:val="24"/>
        </w:rPr>
      </w:pPr>
      <w:r w:rsidRPr="00213A5D">
        <w:rPr>
          <w:rFonts w:eastAsia="Times New Roman"/>
          <w:sz w:val="24"/>
          <w:szCs w:val="24"/>
        </w:rPr>
        <w:t>Федеральный закон № 390-ФЗ;</w:t>
      </w:r>
    </w:p>
    <w:p w14:paraId="11F017DF" w14:textId="77777777" w:rsidR="00CC21F2" w:rsidRPr="00213A5D" w:rsidRDefault="00CC21F2" w:rsidP="00F5033F">
      <w:pPr>
        <w:widowControl w:val="0"/>
        <w:numPr>
          <w:ilvl w:val="0"/>
          <w:numId w:val="6"/>
        </w:numPr>
        <w:tabs>
          <w:tab w:val="left" w:pos="993"/>
        </w:tabs>
        <w:overflowPunct/>
        <w:spacing w:line="355" w:lineRule="auto"/>
        <w:ind w:left="0" w:right="0" w:firstLine="777"/>
        <w:textAlignment w:val="auto"/>
        <w:rPr>
          <w:rFonts w:eastAsia="Times New Roman"/>
          <w:sz w:val="24"/>
          <w:szCs w:val="24"/>
        </w:rPr>
      </w:pPr>
      <w:r w:rsidRPr="00213A5D">
        <w:rPr>
          <w:rFonts w:eastAsia="Times New Roman"/>
          <w:sz w:val="24"/>
          <w:szCs w:val="24"/>
        </w:rPr>
        <w:t xml:space="preserve">Положение о мерах по обеспечению исполнения федерального бюджета, утвержденное постановлением Правительства Российской Федерации от 9 декабря 2017 г. </w:t>
      </w:r>
      <w:r w:rsidR="00F5033F" w:rsidRPr="00213A5D">
        <w:rPr>
          <w:rFonts w:eastAsia="Times New Roman"/>
          <w:sz w:val="24"/>
          <w:szCs w:val="24"/>
        </w:rPr>
        <w:br/>
      </w:r>
      <w:r w:rsidRPr="00213A5D">
        <w:rPr>
          <w:rFonts w:eastAsia="Times New Roman"/>
          <w:sz w:val="24"/>
          <w:szCs w:val="24"/>
        </w:rPr>
        <w:t>№ 1496 (с изменениями) (далее – Положение о мерах по обеспечению исполнения федерального бюджета);</w:t>
      </w:r>
    </w:p>
    <w:p w14:paraId="42D089D2" w14:textId="77777777" w:rsidR="00CC21F2" w:rsidRPr="00213A5D" w:rsidRDefault="00CC21F2" w:rsidP="00F5033F">
      <w:pPr>
        <w:widowControl w:val="0"/>
        <w:numPr>
          <w:ilvl w:val="0"/>
          <w:numId w:val="6"/>
        </w:numPr>
        <w:tabs>
          <w:tab w:val="left" w:pos="993"/>
        </w:tabs>
        <w:overflowPunct/>
        <w:spacing w:line="355" w:lineRule="auto"/>
        <w:ind w:left="0" w:right="0" w:firstLine="777"/>
        <w:textAlignment w:val="auto"/>
        <w:rPr>
          <w:rFonts w:eastAsia="Times New Roman"/>
          <w:sz w:val="24"/>
          <w:szCs w:val="24"/>
        </w:rPr>
      </w:pPr>
      <w:r w:rsidRPr="00213A5D">
        <w:rPr>
          <w:rFonts w:eastAsia="Times New Roman"/>
          <w:sz w:val="24"/>
          <w:szCs w:val="24"/>
        </w:rPr>
        <w:t>постановление Правительства Российской Федерации от 24 декабря 2021 г. № 2460 «Об особенностях реализации Федерального закона «О федеральном бюджете на 2022 год и на плановый период 2023 и 2024 годов» (с изменениями и дополнениями) (далее – постановление Правительства Российской Федерации «Об особенностях реализации Федерального закона «О федеральном бюджете на 2022 год и на плановый период 2023 и 2024 годов»);</w:t>
      </w:r>
    </w:p>
    <w:p w14:paraId="554425E3" w14:textId="77777777" w:rsidR="00CC21F2" w:rsidRPr="00213A5D" w:rsidRDefault="00CC21F2" w:rsidP="00F5033F">
      <w:pPr>
        <w:widowControl w:val="0"/>
        <w:numPr>
          <w:ilvl w:val="0"/>
          <w:numId w:val="6"/>
        </w:numPr>
        <w:tabs>
          <w:tab w:val="left" w:pos="993"/>
        </w:tabs>
        <w:overflowPunct/>
        <w:spacing w:line="355" w:lineRule="auto"/>
        <w:ind w:left="0" w:right="0" w:firstLine="777"/>
        <w:textAlignment w:val="auto"/>
        <w:rPr>
          <w:rFonts w:eastAsia="Times New Roman"/>
          <w:sz w:val="24"/>
          <w:szCs w:val="24"/>
        </w:rPr>
      </w:pPr>
      <w:r w:rsidRPr="00213A5D">
        <w:rPr>
          <w:rFonts w:eastAsia="Times New Roman"/>
          <w:sz w:val="24"/>
          <w:szCs w:val="24"/>
        </w:rPr>
        <w:t>сводная бюджетная роспись федерального бюджета на 2022 год и на плановый период 2023 и 2024 годов (с изменениями);</w:t>
      </w:r>
    </w:p>
    <w:p w14:paraId="326E652F" w14:textId="77777777" w:rsidR="00CC21F2" w:rsidRPr="00213A5D" w:rsidRDefault="00CC21F2" w:rsidP="00F5033F">
      <w:pPr>
        <w:widowControl w:val="0"/>
        <w:numPr>
          <w:ilvl w:val="0"/>
          <w:numId w:val="6"/>
        </w:numPr>
        <w:tabs>
          <w:tab w:val="left" w:pos="993"/>
        </w:tabs>
        <w:overflowPunct/>
        <w:spacing w:line="355" w:lineRule="auto"/>
        <w:ind w:left="0" w:right="0" w:firstLine="777"/>
        <w:textAlignment w:val="auto"/>
        <w:rPr>
          <w:rFonts w:eastAsia="Times New Roman"/>
          <w:sz w:val="24"/>
          <w:szCs w:val="24"/>
        </w:rPr>
      </w:pPr>
      <w:r w:rsidRPr="00213A5D">
        <w:rPr>
          <w:rFonts w:eastAsia="Times New Roman"/>
          <w:sz w:val="24"/>
          <w:szCs w:val="24"/>
        </w:rPr>
        <w:t xml:space="preserve">Правила внесения изменений в 2022 году в сводную бюджетную роспись федерального бюджета в случае перераспределения (увеличения) бюджетных ассигнований, зарезервированных в соответствии с частью 1 статьи 21 Федерального закона «О федеральном бюджете на 2022 год и на плановый период 2023 и 2024 годов», бюджетных ассигнований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а также бюджетных ассигнований на иные цели, определенные Правительством Российской Федерации, и о внесении изменений в некоторые акты Правительства Российской Федерации, утвержденные постановлением Правительства Российской Федерации от 17 марта 2022 г. № 391 (далее – постановление Правительства Российской Федерации </w:t>
      </w:r>
      <w:r w:rsidRPr="00213A5D">
        <w:rPr>
          <w:sz w:val="24"/>
          <w:lang w:eastAsia="en-US"/>
        </w:rPr>
        <w:t>от 17 марта 2022 г.</w:t>
      </w:r>
      <w:r w:rsidRPr="00213A5D">
        <w:rPr>
          <w:rFonts w:eastAsia="Times New Roman"/>
          <w:sz w:val="24"/>
          <w:szCs w:val="24"/>
        </w:rPr>
        <w:t xml:space="preserve"> № 391);</w:t>
      </w:r>
    </w:p>
    <w:p w14:paraId="502C8F3E" w14:textId="77777777" w:rsidR="00CC21F2" w:rsidRPr="00213A5D" w:rsidRDefault="00CC21F2" w:rsidP="00F5033F">
      <w:pPr>
        <w:widowControl w:val="0"/>
        <w:numPr>
          <w:ilvl w:val="0"/>
          <w:numId w:val="6"/>
        </w:numPr>
        <w:tabs>
          <w:tab w:val="left" w:pos="993"/>
        </w:tabs>
        <w:overflowPunct/>
        <w:spacing w:line="355" w:lineRule="auto"/>
        <w:ind w:left="0" w:right="0" w:firstLine="777"/>
        <w:textAlignment w:val="auto"/>
        <w:rPr>
          <w:rFonts w:eastAsia="Times New Roman"/>
          <w:sz w:val="24"/>
          <w:szCs w:val="24"/>
        </w:rPr>
      </w:pPr>
      <w:r w:rsidRPr="00213A5D">
        <w:rPr>
          <w:rFonts w:eastAsia="Times New Roman"/>
          <w:sz w:val="24"/>
          <w:szCs w:val="24"/>
        </w:rPr>
        <w:t xml:space="preserve">Порядок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 дефицита федерального бюджета), </w:t>
      </w:r>
      <w:r w:rsidR="00F5033F" w:rsidRPr="00213A5D">
        <w:rPr>
          <w:rFonts w:eastAsia="Times New Roman"/>
          <w:sz w:val="24"/>
          <w:szCs w:val="24"/>
        </w:rPr>
        <w:br/>
      </w:r>
      <w:r w:rsidRPr="00213A5D">
        <w:rPr>
          <w:rFonts w:eastAsia="Times New Roman"/>
          <w:sz w:val="24"/>
          <w:szCs w:val="24"/>
        </w:rPr>
        <w:t>а также утверждения (изменения) лимитов бюджетных обязательств, утвержденны</w:t>
      </w:r>
      <w:r w:rsidR="009210F3" w:rsidRPr="00213A5D">
        <w:rPr>
          <w:rFonts w:eastAsia="Times New Roman"/>
          <w:sz w:val="24"/>
          <w:szCs w:val="24"/>
        </w:rPr>
        <w:t>й</w:t>
      </w:r>
      <w:r w:rsidRPr="00213A5D">
        <w:rPr>
          <w:rFonts w:eastAsia="Times New Roman"/>
          <w:sz w:val="24"/>
          <w:szCs w:val="24"/>
        </w:rPr>
        <w:t xml:space="preserve"> приказом Минфина России от 27 августа 2018 г. № 184н (с изменениями)</w:t>
      </w:r>
      <w:r w:rsidR="009210F3" w:rsidRPr="00213A5D">
        <w:rPr>
          <w:rFonts w:eastAsia="Times New Roman"/>
          <w:sz w:val="24"/>
          <w:szCs w:val="24"/>
        </w:rPr>
        <w:t>,</w:t>
      </w:r>
      <w:r w:rsidRPr="00213A5D">
        <w:rPr>
          <w:rFonts w:eastAsia="Times New Roman"/>
          <w:sz w:val="24"/>
          <w:szCs w:val="24"/>
        </w:rPr>
        <w:t xml:space="preserve"> и иные нормативные правовые акты, направленные на реализацию Федерального закона № 390-ФЗ.</w:t>
      </w:r>
    </w:p>
    <w:p w14:paraId="58802F30" w14:textId="77777777" w:rsidR="00EE188C" w:rsidRPr="00213A5D" w:rsidRDefault="00A8210D" w:rsidP="00D05FD2">
      <w:pPr>
        <w:widowControl w:val="0"/>
        <w:overflowPunct/>
        <w:spacing w:line="372" w:lineRule="auto"/>
        <w:ind w:left="0" w:right="0"/>
        <w:textAlignment w:val="auto"/>
        <w:rPr>
          <w:rFonts w:eastAsia="Times New Roman"/>
          <w:sz w:val="24"/>
          <w:szCs w:val="24"/>
        </w:rPr>
      </w:pPr>
      <w:r w:rsidRPr="00213A5D">
        <w:rPr>
          <w:rFonts w:eastAsia="Times New Roman"/>
          <w:b/>
          <w:sz w:val="24"/>
          <w:szCs w:val="24"/>
        </w:rPr>
        <w:t>4.2. </w:t>
      </w:r>
      <w:r w:rsidR="00EE188C" w:rsidRPr="00213A5D">
        <w:rPr>
          <w:rFonts w:eastAsia="Times New Roman"/>
          <w:sz w:val="24"/>
          <w:szCs w:val="24"/>
        </w:rPr>
        <w:t xml:space="preserve">Статьей 1 Федерального закона № 390-ФЗ общий объем расходов федерального бюджета на 2022 год утвержден в сумме </w:t>
      </w:r>
      <w:r w:rsidR="00EE188C" w:rsidRPr="00213A5D">
        <w:rPr>
          <w:rFonts w:eastAsia="Times New Roman"/>
          <w:b/>
          <w:sz w:val="24"/>
          <w:szCs w:val="24"/>
        </w:rPr>
        <w:t>23 694 227,5 млн. рублей.</w:t>
      </w:r>
      <w:r w:rsidR="00EE188C" w:rsidRPr="00213A5D">
        <w:rPr>
          <w:rFonts w:eastAsia="Times New Roman"/>
          <w:sz w:val="24"/>
          <w:szCs w:val="24"/>
        </w:rPr>
        <w:t xml:space="preserve"> Сводная </w:t>
      </w:r>
      <w:r w:rsidR="00EE188C" w:rsidRPr="00213A5D">
        <w:rPr>
          <w:rFonts w:eastAsia="Times New Roman"/>
          <w:sz w:val="24"/>
          <w:szCs w:val="24"/>
        </w:rPr>
        <w:br/>
      </w:r>
      <w:r w:rsidR="00EE188C" w:rsidRPr="00213A5D">
        <w:rPr>
          <w:rFonts w:eastAsia="Times New Roman"/>
          <w:sz w:val="24"/>
          <w:szCs w:val="24"/>
        </w:rPr>
        <w:lastRenderedPageBreak/>
        <w:t xml:space="preserve">бюджетная роспись по расходам федерального бюджета на 2022 год утверждена </w:t>
      </w:r>
      <w:r w:rsidR="00EE188C" w:rsidRPr="00213A5D">
        <w:rPr>
          <w:rFonts w:eastAsia="Times New Roman"/>
          <w:sz w:val="24"/>
          <w:szCs w:val="24"/>
        </w:rPr>
        <w:br/>
        <w:t>в сумме 23 694 227,5 млн. рублей, что соответствует законодательно утвержденным бюджетным ассигнованиям.</w:t>
      </w:r>
    </w:p>
    <w:p w14:paraId="489F3355" w14:textId="77777777" w:rsidR="00EE188C" w:rsidRPr="00213A5D" w:rsidRDefault="00EE188C" w:rsidP="00D05FD2">
      <w:pPr>
        <w:widowControl w:val="0"/>
        <w:spacing w:line="372" w:lineRule="auto"/>
        <w:ind w:left="0" w:right="0"/>
        <w:rPr>
          <w:rFonts w:eastAsia="Times New Roman"/>
          <w:sz w:val="24"/>
          <w:szCs w:val="24"/>
        </w:rPr>
      </w:pPr>
      <w:r w:rsidRPr="00213A5D">
        <w:rPr>
          <w:rFonts w:eastAsia="Times New Roman"/>
          <w:sz w:val="24"/>
          <w:szCs w:val="24"/>
        </w:rPr>
        <w:t xml:space="preserve">По состоянию </w:t>
      </w:r>
      <w:r w:rsidRPr="00213A5D">
        <w:rPr>
          <w:rFonts w:eastAsia="Times New Roman"/>
          <w:b/>
          <w:sz w:val="24"/>
          <w:szCs w:val="24"/>
        </w:rPr>
        <w:t>на 1 октября 2022 года</w:t>
      </w:r>
      <w:r w:rsidRPr="00213A5D">
        <w:rPr>
          <w:rFonts w:eastAsia="Times New Roman"/>
          <w:sz w:val="24"/>
          <w:szCs w:val="24"/>
        </w:rPr>
        <w:t xml:space="preserve"> общий объем бюджетных ассигнований </w:t>
      </w:r>
      <w:r w:rsidRPr="00213A5D">
        <w:rPr>
          <w:rFonts w:eastAsia="Times New Roman"/>
          <w:b/>
          <w:sz w:val="24"/>
          <w:szCs w:val="24"/>
        </w:rPr>
        <w:t>сводной бюджетной росписи</w:t>
      </w:r>
      <w:r w:rsidRPr="00213A5D">
        <w:rPr>
          <w:rFonts w:eastAsia="Times New Roman"/>
          <w:sz w:val="24"/>
          <w:szCs w:val="24"/>
        </w:rPr>
        <w:t xml:space="preserve"> на 2022 год (далее – сводная роспись с изменениями) </w:t>
      </w:r>
      <w:r w:rsidRPr="00213A5D">
        <w:rPr>
          <w:rFonts w:eastAsia="Times New Roman"/>
          <w:sz w:val="24"/>
          <w:szCs w:val="24"/>
        </w:rPr>
        <w:br/>
        <w:t>составил</w:t>
      </w:r>
      <w:r w:rsidRPr="00213A5D">
        <w:rPr>
          <w:rFonts w:eastAsia="Times New Roman"/>
          <w:color w:val="FF0000"/>
          <w:sz w:val="24"/>
          <w:szCs w:val="24"/>
        </w:rPr>
        <w:t xml:space="preserve"> </w:t>
      </w:r>
      <w:r w:rsidRPr="00213A5D">
        <w:rPr>
          <w:rFonts w:eastAsia="Times New Roman"/>
          <w:b/>
          <w:sz w:val="24"/>
          <w:szCs w:val="24"/>
        </w:rPr>
        <w:t>28 047 169,1 млн. рублей</w:t>
      </w:r>
      <w:r w:rsidRPr="00213A5D">
        <w:rPr>
          <w:rFonts w:eastAsia="Times New Roman"/>
          <w:sz w:val="24"/>
          <w:szCs w:val="24"/>
        </w:rPr>
        <w:t xml:space="preserve">, что на </w:t>
      </w:r>
      <w:r w:rsidRPr="00213A5D">
        <w:rPr>
          <w:rFonts w:eastAsia="Times New Roman"/>
          <w:b/>
          <w:sz w:val="24"/>
          <w:szCs w:val="24"/>
        </w:rPr>
        <w:t>4 352 941,6 млн. рублей</w:t>
      </w:r>
      <w:r w:rsidRPr="00213A5D">
        <w:rPr>
          <w:rFonts w:eastAsia="Times New Roman"/>
          <w:sz w:val="24"/>
          <w:szCs w:val="24"/>
        </w:rPr>
        <w:t xml:space="preserve">, или на 18,4 %, </w:t>
      </w:r>
      <w:r w:rsidRPr="00213A5D">
        <w:rPr>
          <w:rFonts w:eastAsia="Times New Roman"/>
          <w:sz w:val="24"/>
          <w:szCs w:val="24"/>
        </w:rPr>
        <w:br/>
        <w:t xml:space="preserve">больше объема бюджетных ассигнований на 2022 год, утвержденного Федеральным законом № 390-ФЗ, и на 2 440 718,1 млн. рублей  (в 2,3 раза) больше аналогичного показателя 2021 года (1 912 223,5 млн. рублей). </w:t>
      </w:r>
      <w:r w:rsidRPr="00213A5D">
        <w:rPr>
          <w:rFonts w:eastAsia="Times New Roman"/>
          <w:bCs/>
          <w:sz w:val="24"/>
          <w:szCs w:val="24"/>
        </w:rPr>
        <w:t xml:space="preserve">Указанное увеличение сложилось в основном </w:t>
      </w:r>
      <w:r w:rsidRPr="00213A5D">
        <w:rPr>
          <w:rFonts w:eastAsia="Times New Roman"/>
          <w:b/>
          <w:bCs/>
          <w:sz w:val="24"/>
          <w:szCs w:val="24"/>
        </w:rPr>
        <w:t>за счет остатков</w:t>
      </w:r>
      <w:r w:rsidRPr="00213A5D">
        <w:rPr>
          <w:rFonts w:eastAsia="Times New Roman"/>
          <w:bCs/>
          <w:sz w:val="24"/>
          <w:szCs w:val="24"/>
        </w:rPr>
        <w:t xml:space="preserve"> не использованных в 2021 году средств федерального бюджета в объеме</w:t>
      </w:r>
      <w:r w:rsidRPr="00213A5D">
        <w:rPr>
          <w:rFonts w:eastAsia="Times New Roman"/>
          <w:bCs/>
          <w:color w:val="FF0000"/>
          <w:sz w:val="24"/>
          <w:szCs w:val="24"/>
        </w:rPr>
        <w:t xml:space="preserve"> </w:t>
      </w:r>
      <w:r w:rsidRPr="00213A5D">
        <w:rPr>
          <w:rFonts w:eastAsia="Times New Roman"/>
          <w:b/>
          <w:sz w:val="24"/>
          <w:szCs w:val="24"/>
        </w:rPr>
        <w:t>687,4 млрд. рублей</w:t>
      </w:r>
      <w:r w:rsidRPr="00213A5D">
        <w:rPr>
          <w:rFonts w:eastAsia="Times New Roman"/>
          <w:bCs/>
          <w:sz w:val="24"/>
          <w:szCs w:val="24"/>
        </w:rPr>
        <w:t>,</w:t>
      </w:r>
      <w:r w:rsidRPr="00213A5D">
        <w:rPr>
          <w:rFonts w:eastAsia="Times New Roman"/>
          <w:bCs/>
          <w:color w:val="FF0000"/>
          <w:sz w:val="24"/>
          <w:szCs w:val="24"/>
        </w:rPr>
        <w:t xml:space="preserve"> </w:t>
      </w:r>
      <w:r w:rsidRPr="00213A5D">
        <w:rPr>
          <w:rFonts w:eastAsia="Times New Roman"/>
          <w:bCs/>
          <w:sz w:val="24"/>
          <w:szCs w:val="24"/>
        </w:rPr>
        <w:t xml:space="preserve">подлежащих использованию в 2021 году на те же цели или направлению в резервный фонд Правительства Российской Федерации (общий объем неиспользованных средств федерального бюджета на 1 января 2022 года составил 688,0 млрд. рублей), </w:t>
      </w:r>
      <w:r w:rsidRPr="00213A5D">
        <w:rPr>
          <w:sz w:val="24"/>
          <w:szCs w:val="24"/>
          <w:lang w:bidi="en-US"/>
        </w:rPr>
        <w:t>и</w:t>
      </w:r>
      <w:r w:rsidRPr="00213A5D">
        <w:rPr>
          <w:bCs/>
          <w:iCs/>
          <w:sz w:val="24"/>
          <w:szCs w:val="24"/>
          <w:lang w:bidi="en-US"/>
        </w:rPr>
        <w:t xml:space="preserve"> бюджетных ассигнований в объеме</w:t>
      </w:r>
      <w:r w:rsidRPr="00213A5D">
        <w:rPr>
          <w:bCs/>
          <w:iCs/>
          <w:color w:val="FF0000"/>
          <w:sz w:val="24"/>
          <w:szCs w:val="24"/>
          <w:lang w:bidi="en-US"/>
        </w:rPr>
        <w:t xml:space="preserve"> </w:t>
      </w:r>
      <w:r w:rsidRPr="00213A5D">
        <w:rPr>
          <w:b/>
          <w:sz w:val="24"/>
          <w:szCs w:val="24"/>
        </w:rPr>
        <w:t>3 660 154,1</w:t>
      </w:r>
      <w:r w:rsidRPr="00213A5D">
        <w:rPr>
          <w:sz w:val="20"/>
          <w:szCs w:val="20"/>
        </w:rPr>
        <w:t xml:space="preserve"> </w:t>
      </w:r>
      <w:r w:rsidRPr="00213A5D">
        <w:rPr>
          <w:b/>
          <w:bCs/>
          <w:iCs/>
          <w:sz w:val="24"/>
          <w:szCs w:val="24"/>
          <w:lang w:bidi="en-US"/>
        </w:rPr>
        <w:t>млн. рублей</w:t>
      </w:r>
      <w:r w:rsidRPr="00213A5D">
        <w:rPr>
          <w:bCs/>
          <w:iCs/>
          <w:sz w:val="24"/>
          <w:szCs w:val="24"/>
          <w:lang w:bidi="en-US"/>
        </w:rPr>
        <w:t>,</w:t>
      </w:r>
      <w:r w:rsidRPr="00213A5D">
        <w:rPr>
          <w:bCs/>
          <w:iCs/>
          <w:color w:val="FF0000"/>
          <w:sz w:val="24"/>
          <w:szCs w:val="24"/>
          <w:lang w:bidi="en-US"/>
        </w:rPr>
        <w:t xml:space="preserve"> </w:t>
      </w:r>
      <w:r w:rsidRPr="00213A5D">
        <w:rPr>
          <w:bCs/>
          <w:iCs/>
          <w:sz w:val="24"/>
          <w:szCs w:val="24"/>
          <w:lang w:bidi="en-US"/>
        </w:rPr>
        <w:t xml:space="preserve">направленных </w:t>
      </w:r>
      <w:r w:rsidRPr="00213A5D">
        <w:rPr>
          <w:b/>
          <w:bCs/>
          <w:iCs/>
          <w:sz w:val="24"/>
          <w:szCs w:val="24"/>
          <w:lang w:bidi="en-US"/>
        </w:rPr>
        <w:t>в резервный фонд Правительства Российской Федерации</w:t>
      </w:r>
      <w:r w:rsidRPr="00213A5D">
        <w:rPr>
          <w:bCs/>
          <w:iCs/>
          <w:color w:val="FF0000"/>
          <w:sz w:val="24"/>
          <w:szCs w:val="24"/>
          <w:lang w:bidi="en-US"/>
        </w:rPr>
        <w:t xml:space="preserve"> </w:t>
      </w:r>
      <w:r w:rsidRPr="00213A5D">
        <w:rPr>
          <w:bCs/>
          <w:iCs/>
          <w:sz w:val="24"/>
          <w:szCs w:val="24"/>
          <w:lang w:bidi="en-US"/>
        </w:rPr>
        <w:t xml:space="preserve">(3 643 679,4 млн. рублей – поступившие в федеральный бюджет дополнительные нефтегазовые доходы; 1 897,5 млн. рублей – </w:t>
      </w:r>
      <w:r w:rsidR="00544718" w:rsidRPr="00213A5D">
        <w:rPr>
          <w:bCs/>
          <w:iCs/>
          <w:sz w:val="24"/>
          <w:szCs w:val="24"/>
          <w:lang w:bidi="en-US"/>
        </w:rPr>
        <w:br/>
      </w:r>
      <w:r w:rsidRPr="00213A5D">
        <w:rPr>
          <w:bCs/>
          <w:iCs/>
          <w:sz w:val="24"/>
          <w:szCs w:val="24"/>
          <w:lang w:bidi="en-US"/>
        </w:rPr>
        <w:t xml:space="preserve">не использованные по состоянию на 1 января 2022 года субсидии и иные межбюджетные трансферты, возвращенные в федеральный бюджет; 14 577,1 млн. рублей – </w:t>
      </w:r>
      <w:r w:rsidRPr="00213A5D">
        <w:rPr>
          <w:rFonts w:eastAsia="Times New Roman"/>
          <w:sz w:val="24"/>
          <w:szCs w:val="24"/>
        </w:rPr>
        <w:t xml:space="preserve">поступления </w:t>
      </w:r>
      <w:r w:rsidR="00544718" w:rsidRPr="00213A5D">
        <w:rPr>
          <w:rFonts w:eastAsia="Times New Roman"/>
          <w:sz w:val="24"/>
          <w:szCs w:val="24"/>
        </w:rPr>
        <w:br/>
      </w:r>
      <w:r w:rsidRPr="00213A5D">
        <w:rPr>
          <w:rFonts w:eastAsia="Times New Roman"/>
          <w:sz w:val="24"/>
          <w:szCs w:val="24"/>
        </w:rPr>
        <w:t>от отдельных видов ненефтегазовых доходов сверх объемов, учтенных при утверждении общего объема доходов федерального бюджета</w:t>
      </w:r>
      <w:r w:rsidRPr="00213A5D">
        <w:rPr>
          <w:bCs/>
          <w:iCs/>
          <w:sz w:val="24"/>
          <w:szCs w:val="24"/>
          <w:lang w:bidi="en-US"/>
        </w:rPr>
        <w:t>).</w:t>
      </w:r>
    </w:p>
    <w:p w14:paraId="1E811720" w14:textId="77777777" w:rsidR="00EE188C" w:rsidRPr="00213A5D" w:rsidRDefault="00EE188C" w:rsidP="00D05FD2">
      <w:pPr>
        <w:widowControl w:val="0"/>
        <w:spacing w:line="372" w:lineRule="auto"/>
        <w:ind w:left="0" w:right="0"/>
        <w:rPr>
          <w:sz w:val="24"/>
          <w:szCs w:val="24"/>
        </w:rPr>
      </w:pPr>
      <w:r w:rsidRPr="00213A5D">
        <w:rPr>
          <w:sz w:val="24"/>
          <w:szCs w:val="24"/>
        </w:rPr>
        <w:t xml:space="preserve">Перечень положений статей Бюджетного кодекса Российской Федерации, </w:t>
      </w:r>
      <w:r w:rsidR="00544718" w:rsidRPr="00213A5D">
        <w:rPr>
          <w:sz w:val="24"/>
          <w:szCs w:val="24"/>
        </w:rPr>
        <w:br/>
      </w:r>
      <w:r w:rsidRPr="00213A5D">
        <w:rPr>
          <w:sz w:val="24"/>
          <w:szCs w:val="24"/>
        </w:rPr>
        <w:t>на основании которых произведено увеличение бюджетных ассигнований сводной росписи на 2022 год</w:t>
      </w:r>
      <w:r w:rsidR="00D05FD2" w:rsidRPr="00213A5D">
        <w:rPr>
          <w:sz w:val="24"/>
          <w:szCs w:val="24"/>
        </w:rPr>
        <w:t>,</w:t>
      </w:r>
      <w:r w:rsidRPr="00213A5D">
        <w:rPr>
          <w:sz w:val="24"/>
          <w:szCs w:val="24"/>
        </w:rPr>
        <w:t xml:space="preserve"> представлен в следующей таблице.</w:t>
      </w:r>
    </w:p>
    <w:p w14:paraId="5960F8E5" w14:textId="77777777" w:rsidR="006A74AB" w:rsidRPr="00213A5D" w:rsidRDefault="00EE188C" w:rsidP="00D552C6">
      <w:pPr>
        <w:widowControl w:val="0"/>
        <w:overflowPunct/>
        <w:spacing w:before="80" w:line="240" w:lineRule="auto"/>
        <w:ind w:left="0" w:right="0"/>
        <w:jc w:val="right"/>
        <w:textAlignment w:val="auto"/>
        <w:rPr>
          <w:sz w:val="20"/>
          <w:szCs w:val="20"/>
        </w:rPr>
      </w:pPr>
      <w:r w:rsidRPr="00213A5D">
        <w:rPr>
          <w:sz w:val="20"/>
          <w:szCs w:val="20"/>
        </w:rPr>
        <w:t xml:space="preserve"> </w:t>
      </w:r>
      <w:r w:rsidR="006A74AB" w:rsidRPr="00213A5D">
        <w:rPr>
          <w:sz w:val="20"/>
          <w:szCs w:val="20"/>
        </w:rPr>
        <w:t>(мл</w:t>
      </w:r>
      <w:r w:rsidR="00A8210D" w:rsidRPr="00213A5D">
        <w:rPr>
          <w:sz w:val="20"/>
          <w:szCs w:val="20"/>
        </w:rPr>
        <w:t>рд</w:t>
      </w:r>
      <w:r w:rsidR="006A74AB" w:rsidRPr="00213A5D">
        <w:rPr>
          <w:sz w:val="20"/>
          <w:szCs w:val="20"/>
        </w:rPr>
        <w:t>. рублей)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111"/>
        <w:gridCol w:w="1134"/>
        <w:gridCol w:w="1276"/>
        <w:gridCol w:w="1134"/>
      </w:tblGrid>
      <w:tr w:rsidR="00694CD3" w:rsidRPr="00213A5D" w14:paraId="4DC9A55D" w14:textId="77777777" w:rsidTr="00035EFB">
        <w:trPr>
          <w:tblHeader/>
        </w:trPr>
        <w:tc>
          <w:tcPr>
            <w:tcW w:w="2268" w:type="dxa"/>
            <w:tcBorders>
              <w:top w:val="single" w:sz="4" w:space="0" w:color="auto"/>
              <w:left w:val="single" w:sz="4" w:space="0" w:color="auto"/>
              <w:bottom w:val="single" w:sz="4" w:space="0" w:color="auto"/>
              <w:right w:val="single" w:sz="4" w:space="0" w:color="auto"/>
            </w:tcBorders>
            <w:vAlign w:val="center"/>
            <w:hideMark/>
          </w:tcPr>
          <w:p w14:paraId="783953F6" w14:textId="77777777" w:rsidR="00D05FD2" w:rsidRPr="00213A5D" w:rsidRDefault="00694CD3" w:rsidP="00AF1852">
            <w:pPr>
              <w:widowControl w:val="0"/>
              <w:spacing w:line="240" w:lineRule="auto"/>
              <w:ind w:left="-108" w:right="-108" w:firstLine="0"/>
              <w:jc w:val="center"/>
              <w:rPr>
                <w:b/>
                <w:sz w:val="18"/>
                <w:szCs w:val="18"/>
              </w:rPr>
            </w:pPr>
            <w:r w:rsidRPr="00213A5D">
              <w:rPr>
                <w:b/>
                <w:sz w:val="18"/>
                <w:szCs w:val="18"/>
              </w:rPr>
              <w:t xml:space="preserve">Нормативный </w:t>
            </w:r>
          </w:p>
          <w:p w14:paraId="4A56FE5A" w14:textId="77777777" w:rsidR="00D05FD2" w:rsidRPr="00213A5D" w:rsidRDefault="00694CD3" w:rsidP="00AF1852">
            <w:pPr>
              <w:widowControl w:val="0"/>
              <w:spacing w:line="240" w:lineRule="auto"/>
              <w:ind w:left="-108" w:right="-108" w:firstLine="0"/>
              <w:jc w:val="center"/>
              <w:rPr>
                <w:b/>
                <w:sz w:val="18"/>
                <w:szCs w:val="18"/>
              </w:rPr>
            </w:pPr>
            <w:r w:rsidRPr="00213A5D">
              <w:rPr>
                <w:b/>
                <w:sz w:val="18"/>
                <w:szCs w:val="18"/>
              </w:rPr>
              <w:t xml:space="preserve">правовой акт </w:t>
            </w:r>
          </w:p>
          <w:p w14:paraId="06689173"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Российской Федерации</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4A09894"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 xml:space="preserve">Увеличение бюджетных ассигнований </w:t>
            </w:r>
          </w:p>
          <w:p w14:paraId="500A619F"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сводной росписи на 2022 год</w:t>
            </w:r>
          </w:p>
        </w:tc>
        <w:tc>
          <w:tcPr>
            <w:tcW w:w="1134" w:type="dxa"/>
            <w:tcBorders>
              <w:top w:val="single" w:sz="4" w:space="0" w:color="auto"/>
              <w:left w:val="single" w:sz="4" w:space="0" w:color="auto"/>
              <w:bottom w:val="single" w:sz="4" w:space="0" w:color="auto"/>
              <w:right w:val="single" w:sz="4" w:space="0" w:color="auto"/>
            </w:tcBorders>
            <w:vAlign w:val="center"/>
          </w:tcPr>
          <w:p w14:paraId="394FF458"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 xml:space="preserve">Объем остатков по состоянию </w:t>
            </w:r>
          </w:p>
          <w:p w14:paraId="4B5D96CE"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на 1 января 2022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6F3793"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 xml:space="preserve">Объемы увеличения бюджетных ассигнований сводной </w:t>
            </w:r>
          </w:p>
          <w:p w14:paraId="25B3DAF8"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 xml:space="preserve">росписи </w:t>
            </w:r>
          </w:p>
          <w:p w14:paraId="7FE42A64"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на 2022 год</w:t>
            </w:r>
          </w:p>
        </w:tc>
        <w:tc>
          <w:tcPr>
            <w:tcW w:w="1134" w:type="dxa"/>
            <w:tcBorders>
              <w:top w:val="single" w:sz="4" w:space="0" w:color="auto"/>
              <w:left w:val="single" w:sz="4" w:space="0" w:color="auto"/>
              <w:bottom w:val="single" w:sz="4" w:space="0" w:color="auto"/>
              <w:right w:val="single" w:sz="4" w:space="0" w:color="auto"/>
            </w:tcBorders>
            <w:vAlign w:val="center"/>
          </w:tcPr>
          <w:p w14:paraId="6F3B3769" w14:textId="77777777" w:rsidR="00694CD3" w:rsidRPr="00213A5D" w:rsidRDefault="00694CD3" w:rsidP="00AF1852">
            <w:pPr>
              <w:widowControl w:val="0"/>
              <w:spacing w:line="240" w:lineRule="auto"/>
              <w:ind w:left="-108" w:right="-108" w:firstLine="0"/>
              <w:jc w:val="center"/>
              <w:rPr>
                <w:b/>
                <w:sz w:val="18"/>
                <w:szCs w:val="18"/>
              </w:rPr>
            </w:pPr>
            <w:r w:rsidRPr="00213A5D">
              <w:rPr>
                <w:b/>
                <w:sz w:val="18"/>
                <w:szCs w:val="18"/>
              </w:rPr>
              <w:t>Отклонение</w:t>
            </w:r>
          </w:p>
        </w:tc>
      </w:tr>
      <w:tr w:rsidR="00694CD3" w:rsidRPr="00213A5D" w14:paraId="7BF8D0DC" w14:textId="77777777" w:rsidTr="00035EFB">
        <w:tc>
          <w:tcPr>
            <w:tcW w:w="9923" w:type="dxa"/>
            <w:gridSpan w:val="5"/>
            <w:tcBorders>
              <w:top w:val="single" w:sz="4" w:space="0" w:color="auto"/>
              <w:left w:val="single" w:sz="4" w:space="0" w:color="auto"/>
              <w:bottom w:val="single" w:sz="4" w:space="0" w:color="auto"/>
              <w:right w:val="single" w:sz="4" w:space="0" w:color="auto"/>
            </w:tcBorders>
            <w:vAlign w:val="center"/>
          </w:tcPr>
          <w:p w14:paraId="4BD9C21E" w14:textId="77777777" w:rsidR="00694CD3" w:rsidRPr="00213A5D" w:rsidRDefault="00694CD3" w:rsidP="003D6E8D">
            <w:pPr>
              <w:widowControl w:val="0"/>
              <w:spacing w:line="240" w:lineRule="auto"/>
              <w:ind w:left="0" w:right="0" w:firstLine="0"/>
              <w:jc w:val="center"/>
              <w:rPr>
                <w:sz w:val="18"/>
                <w:szCs w:val="18"/>
              </w:rPr>
            </w:pPr>
            <w:r w:rsidRPr="00213A5D">
              <w:rPr>
                <w:b/>
                <w:sz w:val="18"/>
                <w:szCs w:val="18"/>
              </w:rPr>
              <w:t xml:space="preserve">За счет </w:t>
            </w:r>
            <w:r w:rsidR="003D6E8D" w:rsidRPr="00213A5D">
              <w:rPr>
                <w:b/>
                <w:sz w:val="18"/>
                <w:szCs w:val="18"/>
              </w:rPr>
              <w:t>остатков,</w:t>
            </w:r>
            <w:r w:rsidRPr="00213A5D">
              <w:rPr>
                <w:b/>
                <w:sz w:val="18"/>
                <w:szCs w:val="18"/>
              </w:rPr>
              <w:t xml:space="preserve"> не</w:t>
            </w:r>
            <w:r w:rsidR="004543F7" w:rsidRPr="00213A5D">
              <w:rPr>
                <w:b/>
                <w:sz w:val="18"/>
                <w:szCs w:val="18"/>
              </w:rPr>
              <w:t xml:space="preserve"> </w:t>
            </w:r>
            <w:r w:rsidRPr="00213A5D">
              <w:rPr>
                <w:b/>
                <w:sz w:val="18"/>
                <w:szCs w:val="18"/>
              </w:rPr>
              <w:t xml:space="preserve">использованных </w:t>
            </w:r>
            <w:r w:rsidR="004543F7" w:rsidRPr="00213A5D">
              <w:rPr>
                <w:b/>
                <w:sz w:val="18"/>
                <w:szCs w:val="18"/>
              </w:rPr>
              <w:t xml:space="preserve">в 2021 году </w:t>
            </w:r>
            <w:r w:rsidRPr="00213A5D">
              <w:rPr>
                <w:b/>
                <w:sz w:val="18"/>
                <w:szCs w:val="18"/>
              </w:rPr>
              <w:t xml:space="preserve">средств федерального бюджета </w:t>
            </w:r>
          </w:p>
        </w:tc>
      </w:tr>
      <w:tr w:rsidR="00694CD3" w:rsidRPr="00213A5D" w14:paraId="0C244037" w14:textId="77777777" w:rsidTr="00035EFB">
        <w:tc>
          <w:tcPr>
            <w:tcW w:w="2268" w:type="dxa"/>
            <w:tcBorders>
              <w:top w:val="single" w:sz="4" w:space="0" w:color="auto"/>
              <w:left w:val="single" w:sz="4" w:space="0" w:color="auto"/>
              <w:bottom w:val="single" w:sz="4" w:space="0" w:color="auto"/>
              <w:right w:val="single" w:sz="4" w:space="0" w:color="auto"/>
            </w:tcBorders>
          </w:tcPr>
          <w:p w14:paraId="13719191" w14:textId="77777777" w:rsidR="00694CD3" w:rsidRPr="00213A5D" w:rsidRDefault="00694CD3" w:rsidP="00AF1852">
            <w:pPr>
              <w:widowControl w:val="0"/>
              <w:spacing w:line="240" w:lineRule="auto"/>
              <w:ind w:left="0" w:right="0" w:firstLine="0"/>
              <w:rPr>
                <w:bCs/>
                <w:sz w:val="18"/>
                <w:szCs w:val="18"/>
              </w:rPr>
            </w:pPr>
            <w:r w:rsidRPr="00213A5D">
              <w:rPr>
                <w:bCs/>
                <w:sz w:val="18"/>
                <w:szCs w:val="18"/>
              </w:rPr>
              <w:t xml:space="preserve">Пункт 4 статьи 94 и </w:t>
            </w:r>
            <w:hyperlink r:id="rId19" w:history="1">
              <w:r w:rsidRPr="00213A5D">
                <w:rPr>
                  <w:bCs/>
                  <w:sz w:val="18"/>
                  <w:szCs w:val="18"/>
                </w:rPr>
                <w:t>пункт 7 статьи 217</w:t>
              </w:r>
            </w:hyperlink>
            <w:r w:rsidRPr="00213A5D">
              <w:rPr>
                <w:bCs/>
                <w:sz w:val="18"/>
                <w:szCs w:val="18"/>
              </w:rPr>
              <w:t xml:space="preserve"> Бюджетного кодекса Российской Федерации</w:t>
            </w:r>
          </w:p>
        </w:tc>
        <w:tc>
          <w:tcPr>
            <w:tcW w:w="4111" w:type="dxa"/>
            <w:tcBorders>
              <w:top w:val="single" w:sz="4" w:space="0" w:color="auto"/>
              <w:left w:val="single" w:sz="4" w:space="0" w:color="auto"/>
              <w:bottom w:val="single" w:sz="4" w:space="0" w:color="auto"/>
              <w:right w:val="single" w:sz="4" w:space="0" w:color="auto"/>
            </w:tcBorders>
          </w:tcPr>
          <w:p w14:paraId="06EA3515" w14:textId="77777777" w:rsidR="00694CD3" w:rsidRPr="00213A5D" w:rsidRDefault="00694CD3" w:rsidP="00AF1852">
            <w:pPr>
              <w:widowControl w:val="0"/>
              <w:overflowPunct/>
              <w:spacing w:line="240" w:lineRule="auto"/>
              <w:ind w:left="0" w:right="0" w:firstLine="0"/>
              <w:textAlignment w:val="auto"/>
              <w:rPr>
                <w:sz w:val="18"/>
                <w:szCs w:val="18"/>
              </w:rPr>
            </w:pPr>
            <w:r w:rsidRPr="00213A5D">
              <w:rPr>
                <w:b/>
                <w:bCs/>
                <w:sz w:val="18"/>
                <w:szCs w:val="18"/>
              </w:rPr>
              <w:t>у</w:t>
            </w:r>
            <w:r w:rsidRPr="00213A5D">
              <w:rPr>
                <w:b/>
                <w:sz w:val="18"/>
                <w:szCs w:val="18"/>
              </w:rPr>
              <w:t>величение</w:t>
            </w:r>
            <w:r w:rsidRPr="00213A5D">
              <w:rPr>
                <w:sz w:val="18"/>
                <w:szCs w:val="18"/>
              </w:rPr>
              <w:t xml:space="preserve"> бюджетных ассигнований </w:t>
            </w:r>
            <w:r w:rsidRPr="00213A5D">
              <w:rPr>
                <w:b/>
                <w:sz w:val="18"/>
                <w:szCs w:val="18"/>
              </w:rPr>
              <w:t>резервного фонда Правительства</w:t>
            </w:r>
            <w:r w:rsidRPr="00213A5D">
              <w:rPr>
                <w:sz w:val="18"/>
                <w:szCs w:val="18"/>
              </w:rPr>
              <w:t xml:space="preserve">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center"/>
          </w:tcPr>
          <w:p w14:paraId="62030C17"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199,0</w:t>
            </w:r>
          </w:p>
        </w:tc>
        <w:tc>
          <w:tcPr>
            <w:tcW w:w="1276" w:type="dxa"/>
            <w:tcBorders>
              <w:top w:val="single" w:sz="4" w:space="0" w:color="auto"/>
              <w:left w:val="single" w:sz="4" w:space="0" w:color="auto"/>
              <w:bottom w:val="single" w:sz="4" w:space="0" w:color="auto"/>
              <w:right w:val="single" w:sz="4" w:space="0" w:color="auto"/>
            </w:tcBorders>
            <w:vAlign w:val="center"/>
          </w:tcPr>
          <w:p w14:paraId="29F3C7AB"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254,9**)</w:t>
            </w:r>
          </w:p>
        </w:tc>
        <w:tc>
          <w:tcPr>
            <w:tcW w:w="1134" w:type="dxa"/>
            <w:tcBorders>
              <w:top w:val="single" w:sz="4" w:space="0" w:color="auto"/>
              <w:left w:val="single" w:sz="4" w:space="0" w:color="auto"/>
              <w:bottom w:val="single" w:sz="4" w:space="0" w:color="auto"/>
              <w:right w:val="single" w:sz="4" w:space="0" w:color="auto"/>
            </w:tcBorders>
            <w:vAlign w:val="center"/>
          </w:tcPr>
          <w:p w14:paraId="083FA186"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 55,9</w:t>
            </w:r>
          </w:p>
        </w:tc>
      </w:tr>
      <w:tr w:rsidR="00694CD3" w:rsidRPr="00213A5D" w14:paraId="1A7D06A8" w14:textId="77777777" w:rsidTr="00035EFB">
        <w:tc>
          <w:tcPr>
            <w:tcW w:w="2268" w:type="dxa"/>
            <w:tcBorders>
              <w:top w:val="single" w:sz="4" w:space="0" w:color="auto"/>
              <w:left w:val="single" w:sz="4" w:space="0" w:color="auto"/>
              <w:bottom w:val="single" w:sz="4" w:space="0" w:color="auto"/>
              <w:right w:val="single" w:sz="4" w:space="0" w:color="auto"/>
            </w:tcBorders>
          </w:tcPr>
          <w:p w14:paraId="65C029BD" w14:textId="77777777" w:rsidR="00694CD3" w:rsidRPr="00213A5D" w:rsidRDefault="00694CD3" w:rsidP="00AF1852">
            <w:pPr>
              <w:widowControl w:val="0"/>
              <w:spacing w:line="240" w:lineRule="auto"/>
              <w:ind w:left="0" w:right="0" w:firstLine="0"/>
              <w:rPr>
                <w:bCs/>
                <w:sz w:val="18"/>
                <w:szCs w:val="18"/>
              </w:rPr>
            </w:pPr>
            <w:r w:rsidRPr="00213A5D">
              <w:rPr>
                <w:bCs/>
                <w:sz w:val="18"/>
                <w:szCs w:val="18"/>
              </w:rPr>
              <w:t>Пункт 4 статьи 94,</w:t>
            </w:r>
          </w:p>
          <w:p w14:paraId="180E1480" w14:textId="77777777" w:rsidR="00694CD3" w:rsidRPr="00213A5D" w:rsidRDefault="00694CD3" w:rsidP="00AF1852">
            <w:pPr>
              <w:widowControl w:val="0"/>
              <w:spacing w:line="240" w:lineRule="auto"/>
              <w:ind w:left="0" w:right="0" w:firstLine="0"/>
              <w:rPr>
                <w:bCs/>
                <w:sz w:val="18"/>
                <w:szCs w:val="18"/>
              </w:rPr>
            </w:pPr>
            <w:r w:rsidRPr="00213A5D">
              <w:rPr>
                <w:bCs/>
                <w:sz w:val="18"/>
                <w:szCs w:val="18"/>
              </w:rPr>
              <w:t>пункты 3, 7 статьи 217 Бюджетного кодекса Российской Федерации</w:t>
            </w:r>
          </w:p>
        </w:tc>
        <w:tc>
          <w:tcPr>
            <w:tcW w:w="4111" w:type="dxa"/>
            <w:tcBorders>
              <w:top w:val="single" w:sz="4" w:space="0" w:color="auto"/>
              <w:left w:val="single" w:sz="4" w:space="0" w:color="auto"/>
              <w:bottom w:val="single" w:sz="4" w:space="0" w:color="auto"/>
              <w:right w:val="single" w:sz="4" w:space="0" w:color="auto"/>
            </w:tcBorders>
          </w:tcPr>
          <w:p w14:paraId="6F3527FF" w14:textId="77777777" w:rsidR="00694CD3" w:rsidRPr="00213A5D" w:rsidRDefault="00694CD3" w:rsidP="00AF1852">
            <w:pPr>
              <w:widowControl w:val="0"/>
              <w:overflowPunct/>
              <w:spacing w:line="240" w:lineRule="auto"/>
              <w:ind w:left="0" w:right="0" w:firstLine="0"/>
              <w:textAlignment w:val="auto"/>
              <w:rPr>
                <w:sz w:val="18"/>
                <w:szCs w:val="18"/>
              </w:rPr>
            </w:pPr>
            <w:r w:rsidRPr="00213A5D">
              <w:rPr>
                <w:b/>
                <w:sz w:val="18"/>
                <w:szCs w:val="18"/>
              </w:rPr>
              <w:t>увеличение иных бюджетных ассигнований</w:t>
            </w:r>
            <w:r w:rsidRPr="00213A5D">
              <w:rPr>
                <w:bCs/>
                <w:sz w:val="18"/>
                <w:szCs w:val="18"/>
              </w:rPr>
              <w:t xml:space="preserve"> за счет неиспользованных остатков бюджетных ассигнований за 2021 год, подлежащих использованию в 2022 году на те же цели</w:t>
            </w:r>
          </w:p>
        </w:tc>
        <w:tc>
          <w:tcPr>
            <w:tcW w:w="1134" w:type="dxa"/>
            <w:tcBorders>
              <w:top w:val="single" w:sz="4" w:space="0" w:color="auto"/>
              <w:left w:val="single" w:sz="4" w:space="0" w:color="auto"/>
              <w:right w:val="single" w:sz="4" w:space="0" w:color="auto"/>
            </w:tcBorders>
            <w:vAlign w:val="center"/>
          </w:tcPr>
          <w:p w14:paraId="654C5600"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489,0</w:t>
            </w:r>
          </w:p>
        </w:tc>
        <w:tc>
          <w:tcPr>
            <w:tcW w:w="1276" w:type="dxa"/>
            <w:tcBorders>
              <w:top w:val="single" w:sz="4" w:space="0" w:color="auto"/>
              <w:left w:val="single" w:sz="4" w:space="0" w:color="auto"/>
              <w:right w:val="single" w:sz="4" w:space="0" w:color="auto"/>
            </w:tcBorders>
            <w:vAlign w:val="center"/>
          </w:tcPr>
          <w:p w14:paraId="3C8C1B49"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432,5</w:t>
            </w:r>
          </w:p>
        </w:tc>
        <w:tc>
          <w:tcPr>
            <w:tcW w:w="1134" w:type="dxa"/>
            <w:tcBorders>
              <w:top w:val="single" w:sz="4" w:space="0" w:color="auto"/>
              <w:left w:val="single" w:sz="4" w:space="0" w:color="auto"/>
              <w:right w:val="single" w:sz="4" w:space="0" w:color="auto"/>
            </w:tcBorders>
            <w:vAlign w:val="center"/>
          </w:tcPr>
          <w:p w14:paraId="65FF9ED4"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 56,5</w:t>
            </w:r>
          </w:p>
        </w:tc>
      </w:tr>
      <w:tr w:rsidR="00694CD3" w:rsidRPr="00213A5D" w14:paraId="69B37556" w14:textId="77777777" w:rsidTr="00035EFB">
        <w:tc>
          <w:tcPr>
            <w:tcW w:w="2268" w:type="dxa"/>
            <w:tcBorders>
              <w:top w:val="single" w:sz="4" w:space="0" w:color="auto"/>
              <w:left w:val="single" w:sz="4" w:space="0" w:color="auto"/>
              <w:bottom w:val="single" w:sz="4" w:space="0" w:color="auto"/>
              <w:right w:val="single" w:sz="4" w:space="0" w:color="auto"/>
            </w:tcBorders>
          </w:tcPr>
          <w:p w14:paraId="49751420" w14:textId="77777777" w:rsidR="00694CD3" w:rsidRPr="00213A5D" w:rsidRDefault="00694CD3" w:rsidP="00AF1852">
            <w:pPr>
              <w:widowControl w:val="0"/>
              <w:spacing w:line="240" w:lineRule="auto"/>
              <w:ind w:left="17" w:hanging="17"/>
              <w:rPr>
                <w:sz w:val="18"/>
                <w:szCs w:val="18"/>
              </w:rPr>
            </w:pPr>
          </w:p>
        </w:tc>
        <w:tc>
          <w:tcPr>
            <w:tcW w:w="4111" w:type="dxa"/>
            <w:tcBorders>
              <w:top w:val="single" w:sz="4" w:space="0" w:color="auto"/>
              <w:left w:val="single" w:sz="4" w:space="0" w:color="auto"/>
              <w:bottom w:val="single" w:sz="4" w:space="0" w:color="auto"/>
              <w:right w:val="single" w:sz="4" w:space="0" w:color="auto"/>
            </w:tcBorders>
          </w:tcPr>
          <w:p w14:paraId="2B91F933" w14:textId="77777777" w:rsidR="00694CD3" w:rsidRPr="00213A5D" w:rsidRDefault="00694CD3" w:rsidP="00AF1852">
            <w:pPr>
              <w:widowControl w:val="0"/>
              <w:spacing w:line="240" w:lineRule="auto"/>
              <w:ind w:firstLine="0"/>
              <w:rPr>
                <w:sz w:val="18"/>
                <w:szCs w:val="18"/>
              </w:rPr>
            </w:pPr>
            <w:r w:rsidRPr="00213A5D">
              <w:rPr>
                <w:sz w:val="18"/>
                <w:szCs w:val="18"/>
              </w:rPr>
              <w:t>в том числе:</w:t>
            </w:r>
          </w:p>
        </w:tc>
        <w:tc>
          <w:tcPr>
            <w:tcW w:w="1134" w:type="dxa"/>
            <w:tcBorders>
              <w:top w:val="single" w:sz="4" w:space="0" w:color="auto"/>
              <w:left w:val="single" w:sz="4" w:space="0" w:color="auto"/>
              <w:bottom w:val="single" w:sz="4" w:space="0" w:color="auto"/>
              <w:right w:val="single" w:sz="4" w:space="0" w:color="auto"/>
            </w:tcBorders>
            <w:vAlign w:val="center"/>
          </w:tcPr>
          <w:p w14:paraId="1A11F0BF" w14:textId="77777777" w:rsidR="00694CD3" w:rsidRPr="00213A5D" w:rsidRDefault="00694CD3" w:rsidP="00AF1852">
            <w:pPr>
              <w:widowControl w:val="0"/>
              <w:spacing w:line="240" w:lineRule="auto"/>
              <w:ind w:left="0" w:right="0" w:firstLine="0"/>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D4D9359" w14:textId="77777777" w:rsidR="00694CD3" w:rsidRPr="00213A5D" w:rsidRDefault="00694CD3" w:rsidP="00AF1852">
            <w:pPr>
              <w:widowControl w:val="0"/>
              <w:spacing w:line="240" w:lineRule="auto"/>
              <w:ind w:left="0" w:right="0" w:firstLine="0"/>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41A8D81" w14:textId="77777777" w:rsidR="00694CD3" w:rsidRPr="00213A5D" w:rsidRDefault="00694CD3" w:rsidP="00AF1852">
            <w:pPr>
              <w:widowControl w:val="0"/>
              <w:spacing w:line="240" w:lineRule="auto"/>
              <w:ind w:left="0" w:right="0" w:firstLine="0"/>
              <w:jc w:val="center"/>
              <w:rPr>
                <w:sz w:val="18"/>
                <w:szCs w:val="18"/>
              </w:rPr>
            </w:pPr>
          </w:p>
        </w:tc>
      </w:tr>
      <w:tr w:rsidR="00694CD3" w:rsidRPr="00213A5D" w14:paraId="13DF04F0" w14:textId="77777777" w:rsidTr="00035EFB">
        <w:tc>
          <w:tcPr>
            <w:tcW w:w="2268" w:type="dxa"/>
            <w:tcBorders>
              <w:top w:val="single" w:sz="4" w:space="0" w:color="auto"/>
              <w:left w:val="single" w:sz="4" w:space="0" w:color="auto"/>
              <w:bottom w:val="single" w:sz="4" w:space="0" w:color="auto"/>
              <w:right w:val="single" w:sz="4" w:space="0" w:color="auto"/>
            </w:tcBorders>
          </w:tcPr>
          <w:p w14:paraId="24A95E87" w14:textId="77777777" w:rsidR="00694CD3" w:rsidRPr="00213A5D" w:rsidRDefault="00CD0E98" w:rsidP="00AF1852">
            <w:pPr>
              <w:widowControl w:val="0"/>
              <w:spacing w:line="240" w:lineRule="auto"/>
              <w:ind w:left="0" w:right="0" w:firstLine="0"/>
              <w:rPr>
                <w:sz w:val="18"/>
                <w:szCs w:val="18"/>
              </w:rPr>
            </w:pPr>
            <w:hyperlink r:id="rId20" w:history="1">
              <w:r w:rsidR="00694CD3" w:rsidRPr="00213A5D">
                <w:rPr>
                  <w:bCs/>
                  <w:sz w:val="18"/>
                  <w:szCs w:val="18"/>
                </w:rPr>
                <w:t xml:space="preserve">Пункт 3 статьи </w:t>
              </w:r>
            </w:hyperlink>
            <w:r w:rsidR="00694CD3" w:rsidRPr="00213A5D">
              <w:rPr>
                <w:bCs/>
                <w:sz w:val="18"/>
                <w:szCs w:val="18"/>
              </w:rPr>
              <w:t xml:space="preserve">217 Бюджетного кодекса Российской Федерации </w:t>
            </w:r>
          </w:p>
        </w:tc>
        <w:tc>
          <w:tcPr>
            <w:tcW w:w="4111" w:type="dxa"/>
            <w:tcBorders>
              <w:top w:val="single" w:sz="4" w:space="0" w:color="auto"/>
              <w:left w:val="single" w:sz="4" w:space="0" w:color="auto"/>
              <w:bottom w:val="single" w:sz="4" w:space="0" w:color="auto"/>
              <w:right w:val="single" w:sz="4" w:space="0" w:color="auto"/>
            </w:tcBorders>
          </w:tcPr>
          <w:p w14:paraId="109C254E" w14:textId="77777777" w:rsidR="00694CD3" w:rsidRPr="00213A5D" w:rsidRDefault="00694CD3" w:rsidP="00AF1852">
            <w:pPr>
              <w:widowControl w:val="0"/>
              <w:spacing w:line="252" w:lineRule="auto"/>
              <w:ind w:left="0" w:right="0" w:firstLine="0"/>
              <w:rPr>
                <w:sz w:val="18"/>
                <w:szCs w:val="18"/>
              </w:rPr>
            </w:pPr>
            <w:r w:rsidRPr="00213A5D">
              <w:rPr>
                <w:b/>
                <w:sz w:val="18"/>
                <w:szCs w:val="18"/>
              </w:rPr>
              <w:t>увеличение</w:t>
            </w:r>
            <w:r w:rsidRPr="00213A5D">
              <w:rPr>
                <w:sz w:val="18"/>
                <w:szCs w:val="18"/>
              </w:rPr>
              <w:t xml:space="preserve"> бюджетных ассигнований 2022 года </w:t>
            </w:r>
            <w:r w:rsidRPr="00213A5D">
              <w:rPr>
                <w:b/>
                <w:sz w:val="18"/>
                <w:szCs w:val="18"/>
              </w:rPr>
              <w:t>на оплату заключенных государственных</w:t>
            </w:r>
            <w:r w:rsidRPr="00213A5D">
              <w:rPr>
                <w:sz w:val="18"/>
                <w:szCs w:val="18"/>
              </w:rPr>
              <w:t xml:space="preserve"> </w:t>
            </w:r>
            <w:r w:rsidRPr="00213A5D">
              <w:rPr>
                <w:b/>
                <w:sz w:val="18"/>
                <w:szCs w:val="18"/>
              </w:rPr>
              <w:t>контрактов</w:t>
            </w:r>
            <w:r w:rsidRPr="00213A5D">
              <w:rPr>
                <w:sz w:val="18"/>
                <w:szCs w:val="18"/>
              </w:rPr>
              <w:t xml:space="preserve"> на поставку товаров, выполнение </w:t>
            </w:r>
            <w:r w:rsidRPr="00213A5D">
              <w:rPr>
                <w:sz w:val="18"/>
                <w:szCs w:val="18"/>
              </w:rPr>
              <w:lastRenderedPageBreak/>
              <w:t>работ, оказание услуг, подлежавших в соответствии с условиями этих государственных контрактов оплате в 2021 году, в объеме, не превышающем остатка не использованных на начало 2022 года бюджетных ассигнований на исполнение указанных государственных контрактов</w:t>
            </w:r>
          </w:p>
        </w:tc>
        <w:tc>
          <w:tcPr>
            <w:tcW w:w="1134" w:type="dxa"/>
            <w:vMerge w:val="restart"/>
            <w:tcBorders>
              <w:top w:val="single" w:sz="4" w:space="0" w:color="auto"/>
              <w:left w:val="single" w:sz="4" w:space="0" w:color="auto"/>
              <w:right w:val="single" w:sz="4" w:space="0" w:color="auto"/>
            </w:tcBorders>
            <w:vAlign w:val="center"/>
          </w:tcPr>
          <w:p w14:paraId="514FE705"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lastRenderedPageBreak/>
              <w:t>219,1</w:t>
            </w:r>
          </w:p>
        </w:tc>
        <w:tc>
          <w:tcPr>
            <w:tcW w:w="1276" w:type="dxa"/>
            <w:vMerge w:val="restart"/>
            <w:tcBorders>
              <w:top w:val="single" w:sz="4" w:space="0" w:color="auto"/>
              <w:left w:val="single" w:sz="4" w:space="0" w:color="auto"/>
              <w:right w:val="single" w:sz="4" w:space="0" w:color="auto"/>
            </w:tcBorders>
            <w:vAlign w:val="center"/>
          </w:tcPr>
          <w:p w14:paraId="015E81D0"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199,3</w:t>
            </w:r>
          </w:p>
        </w:tc>
        <w:tc>
          <w:tcPr>
            <w:tcW w:w="1134" w:type="dxa"/>
            <w:vMerge w:val="restart"/>
            <w:tcBorders>
              <w:top w:val="single" w:sz="4" w:space="0" w:color="auto"/>
              <w:left w:val="single" w:sz="4" w:space="0" w:color="auto"/>
              <w:right w:val="single" w:sz="4" w:space="0" w:color="auto"/>
            </w:tcBorders>
            <w:vAlign w:val="center"/>
          </w:tcPr>
          <w:p w14:paraId="21A6B79F"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 19,8</w:t>
            </w:r>
          </w:p>
        </w:tc>
      </w:tr>
      <w:tr w:rsidR="00694CD3" w:rsidRPr="00213A5D" w14:paraId="7F91D618" w14:textId="77777777" w:rsidTr="00035EFB">
        <w:tc>
          <w:tcPr>
            <w:tcW w:w="2268" w:type="dxa"/>
            <w:tcBorders>
              <w:top w:val="single" w:sz="4" w:space="0" w:color="auto"/>
              <w:left w:val="single" w:sz="4" w:space="0" w:color="auto"/>
              <w:bottom w:val="single" w:sz="4" w:space="0" w:color="auto"/>
              <w:right w:val="single" w:sz="4" w:space="0" w:color="auto"/>
            </w:tcBorders>
          </w:tcPr>
          <w:p w14:paraId="6DCD36AD" w14:textId="77777777" w:rsidR="00694CD3" w:rsidRPr="00213A5D" w:rsidRDefault="00CD0E98" w:rsidP="00AF1852">
            <w:pPr>
              <w:widowControl w:val="0"/>
              <w:spacing w:line="240" w:lineRule="auto"/>
              <w:ind w:left="0" w:right="0" w:firstLine="0"/>
              <w:rPr>
                <w:bCs/>
                <w:sz w:val="18"/>
                <w:szCs w:val="18"/>
              </w:rPr>
            </w:pPr>
            <w:hyperlink r:id="rId21" w:history="1">
              <w:r w:rsidR="00694CD3" w:rsidRPr="00213A5D">
                <w:rPr>
                  <w:bCs/>
                  <w:sz w:val="18"/>
                  <w:szCs w:val="18"/>
                </w:rPr>
                <w:t xml:space="preserve">Пункт 3 статьи </w:t>
              </w:r>
            </w:hyperlink>
            <w:r w:rsidR="00694CD3" w:rsidRPr="00213A5D">
              <w:rPr>
                <w:bCs/>
                <w:sz w:val="18"/>
                <w:szCs w:val="18"/>
              </w:rPr>
              <w:t>217 Бюджетного кодекса Российской Федерации</w:t>
            </w:r>
          </w:p>
        </w:tc>
        <w:tc>
          <w:tcPr>
            <w:tcW w:w="4111" w:type="dxa"/>
            <w:tcBorders>
              <w:top w:val="single" w:sz="4" w:space="0" w:color="auto"/>
              <w:left w:val="single" w:sz="4" w:space="0" w:color="auto"/>
              <w:bottom w:val="single" w:sz="4" w:space="0" w:color="auto"/>
              <w:right w:val="single" w:sz="4" w:space="0" w:color="auto"/>
            </w:tcBorders>
          </w:tcPr>
          <w:p w14:paraId="74B777FA" w14:textId="77777777" w:rsidR="00694CD3" w:rsidRPr="00213A5D" w:rsidRDefault="00694CD3" w:rsidP="00AF1852">
            <w:pPr>
              <w:widowControl w:val="0"/>
              <w:spacing w:line="252" w:lineRule="auto"/>
              <w:ind w:left="0" w:right="0" w:firstLine="0"/>
              <w:rPr>
                <w:sz w:val="18"/>
                <w:szCs w:val="18"/>
              </w:rPr>
            </w:pPr>
            <w:r w:rsidRPr="00213A5D">
              <w:rPr>
                <w:b/>
                <w:sz w:val="18"/>
                <w:szCs w:val="18"/>
              </w:rPr>
              <w:t>увеличения</w:t>
            </w:r>
            <w:r w:rsidRPr="00213A5D">
              <w:rPr>
                <w:sz w:val="18"/>
                <w:szCs w:val="18"/>
              </w:rPr>
              <w:t xml:space="preserve"> бюджетных ассигнований 2022 года </w:t>
            </w:r>
            <w:r w:rsidRPr="00213A5D">
              <w:rPr>
                <w:b/>
                <w:sz w:val="18"/>
                <w:szCs w:val="18"/>
              </w:rPr>
              <w:t>на оплату заключенных государственных контракто</w:t>
            </w:r>
            <w:r w:rsidRPr="00213A5D">
              <w:rPr>
                <w:sz w:val="18"/>
                <w:szCs w:val="18"/>
              </w:rPr>
              <w:t xml:space="preserve">в на поставку товаров, выполнение работ, оказание услуг, подлежавших в соответствии с условиями этих государственных контрактов оплате в 2021 году, </w:t>
            </w:r>
            <w:r w:rsidRPr="00213A5D">
              <w:rPr>
                <w:b/>
                <w:sz w:val="18"/>
                <w:szCs w:val="18"/>
              </w:rPr>
              <w:t>на сумму неисполненного казначейского обеспечения обязательств</w:t>
            </w:r>
            <w:r w:rsidRPr="00213A5D">
              <w:rPr>
                <w:sz w:val="18"/>
                <w:szCs w:val="18"/>
              </w:rPr>
              <w:t>, выданного в соответствии со статьей 242</w:t>
            </w:r>
            <w:r w:rsidRPr="00213A5D">
              <w:rPr>
                <w:sz w:val="18"/>
                <w:szCs w:val="18"/>
                <w:vertAlign w:val="superscript"/>
              </w:rPr>
              <w:t>22</w:t>
            </w:r>
            <w:r w:rsidRPr="00213A5D">
              <w:rPr>
                <w:sz w:val="18"/>
                <w:szCs w:val="18"/>
              </w:rPr>
              <w:t xml:space="preserve"> Бюджетного кодекса Российской Федерации, в объеме, не превышающем остатка не использованных на начало 2022 года бюджетных ассигнований на исполнение указанных государственных контрактов</w:t>
            </w:r>
          </w:p>
        </w:tc>
        <w:tc>
          <w:tcPr>
            <w:tcW w:w="1134" w:type="dxa"/>
            <w:vMerge/>
            <w:tcBorders>
              <w:left w:val="single" w:sz="4" w:space="0" w:color="auto"/>
              <w:right w:val="single" w:sz="4" w:space="0" w:color="auto"/>
            </w:tcBorders>
            <w:vAlign w:val="center"/>
          </w:tcPr>
          <w:p w14:paraId="3D82B46C" w14:textId="77777777" w:rsidR="00694CD3" w:rsidRPr="00213A5D" w:rsidRDefault="00694CD3" w:rsidP="00AF1852">
            <w:pPr>
              <w:widowControl w:val="0"/>
              <w:spacing w:line="240" w:lineRule="auto"/>
              <w:ind w:left="0" w:right="0" w:firstLine="0"/>
              <w:jc w:val="center"/>
              <w:rPr>
                <w:sz w:val="18"/>
                <w:szCs w:val="18"/>
              </w:rPr>
            </w:pPr>
          </w:p>
        </w:tc>
        <w:tc>
          <w:tcPr>
            <w:tcW w:w="1276" w:type="dxa"/>
            <w:vMerge/>
            <w:tcBorders>
              <w:left w:val="single" w:sz="4" w:space="0" w:color="auto"/>
              <w:right w:val="single" w:sz="4" w:space="0" w:color="auto"/>
            </w:tcBorders>
            <w:vAlign w:val="center"/>
          </w:tcPr>
          <w:p w14:paraId="5A505DC9" w14:textId="77777777" w:rsidR="00694CD3" w:rsidRPr="00213A5D" w:rsidRDefault="00694CD3" w:rsidP="00AF1852">
            <w:pPr>
              <w:widowControl w:val="0"/>
              <w:spacing w:line="240" w:lineRule="auto"/>
              <w:ind w:left="0" w:right="0" w:firstLine="0"/>
              <w:jc w:val="center"/>
              <w:rPr>
                <w:sz w:val="18"/>
                <w:szCs w:val="18"/>
              </w:rPr>
            </w:pPr>
          </w:p>
        </w:tc>
        <w:tc>
          <w:tcPr>
            <w:tcW w:w="1134" w:type="dxa"/>
            <w:vMerge/>
            <w:tcBorders>
              <w:left w:val="single" w:sz="4" w:space="0" w:color="auto"/>
              <w:right w:val="single" w:sz="4" w:space="0" w:color="auto"/>
            </w:tcBorders>
            <w:vAlign w:val="center"/>
          </w:tcPr>
          <w:p w14:paraId="582ADDF5" w14:textId="77777777" w:rsidR="00694CD3" w:rsidRPr="00213A5D" w:rsidRDefault="00694CD3" w:rsidP="00AF1852">
            <w:pPr>
              <w:widowControl w:val="0"/>
              <w:spacing w:line="240" w:lineRule="auto"/>
              <w:ind w:left="0" w:right="0" w:firstLine="0"/>
              <w:jc w:val="center"/>
              <w:rPr>
                <w:sz w:val="18"/>
                <w:szCs w:val="18"/>
              </w:rPr>
            </w:pPr>
          </w:p>
        </w:tc>
      </w:tr>
      <w:tr w:rsidR="00694CD3" w:rsidRPr="00213A5D" w14:paraId="2E10EDF9" w14:textId="77777777" w:rsidTr="00035EFB">
        <w:tc>
          <w:tcPr>
            <w:tcW w:w="2268" w:type="dxa"/>
            <w:tcBorders>
              <w:top w:val="single" w:sz="4" w:space="0" w:color="auto"/>
              <w:left w:val="single" w:sz="4" w:space="0" w:color="auto"/>
              <w:bottom w:val="single" w:sz="4" w:space="0" w:color="auto"/>
              <w:right w:val="single" w:sz="4" w:space="0" w:color="auto"/>
            </w:tcBorders>
          </w:tcPr>
          <w:p w14:paraId="18CF4B9C" w14:textId="77777777" w:rsidR="00694CD3" w:rsidRPr="00213A5D" w:rsidRDefault="00CD0E98" w:rsidP="00AF1852">
            <w:pPr>
              <w:widowControl w:val="0"/>
              <w:spacing w:line="240" w:lineRule="auto"/>
              <w:ind w:left="0" w:right="0" w:firstLine="0"/>
              <w:rPr>
                <w:bCs/>
                <w:sz w:val="18"/>
                <w:szCs w:val="18"/>
              </w:rPr>
            </w:pPr>
            <w:hyperlink r:id="rId22" w:history="1">
              <w:r w:rsidR="00694CD3" w:rsidRPr="00213A5D">
                <w:rPr>
                  <w:bCs/>
                  <w:sz w:val="18"/>
                  <w:szCs w:val="18"/>
                </w:rPr>
                <w:t xml:space="preserve">Пункт 7 статьи </w:t>
              </w:r>
            </w:hyperlink>
            <w:r w:rsidR="00694CD3" w:rsidRPr="00213A5D">
              <w:rPr>
                <w:bCs/>
                <w:sz w:val="18"/>
                <w:szCs w:val="18"/>
              </w:rPr>
              <w:t>217 Бюджетного кодекса Российской Федерации</w:t>
            </w:r>
          </w:p>
          <w:p w14:paraId="639460EF" w14:textId="77777777" w:rsidR="00694CD3" w:rsidRPr="00213A5D" w:rsidRDefault="00694CD3" w:rsidP="00AF1852">
            <w:pPr>
              <w:widowControl w:val="0"/>
              <w:spacing w:line="240" w:lineRule="auto"/>
              <w:ind w:left="0" w:right="0" w:firstLine="0"/>
              <w:rPr>
                <w:bCs/>
                <w:sz w:val="18"/>
                <w:szCs w:val="18"/>
              </w:rPr>
            </w:pPr>
          </w:p>
        </w:tc>
        <w:tc>
          <w:tcPr>
            <w:tcW w:w="4111" w:type="dxa"/>
            <w:tcBorders>
              <w:top w:val="single" w:sz="4" w:space="0" w:color="auto"/>
              <w:left w:val="single" w:sz="4" w:space="0" w:color="auto"/>
              <w:bottom w:val="single" w:sz="4" w:space="0" w:color="auto"/>
              <w:right w:val="single" w:sz="4" w:space="0" w:color="auto"/>
            </w:tcBorders>
          </w:tcPr>
          <w:p w14:paraId="4E5792AE" w14:textId="77777777" w:rsidR="00694CD3" w:rsidRPr="00213A5D" w:rsidRDefault="00694CD3" w:rsidP="00AF1852">
            <w:pPr>
              <w:widowControl w:val="0"/>
              <w:spacing w:line="252" w:lineRule="auto"/>
              <w:ind w:left="0" w:right="0" w:firstLine="0"/>
              <w:rPr>
                <w:sz w:val="18"/>
                <w:szCs w:val="18"/>
              </w:rPr>
            </w:pPr>
            <w:r w:rsidRPr="00213A5D">
              <w:rPr>
                <w:b/>
                <w:sz w:val="18"/>
                <w:szCs w:val="18"/>
              </w:rPr>
              <w:t>увеличение</w:t>
            </w:r>
            <w:r w:rsidRPr="00213A5D">
              <w:rPr>
                <w:sz w:val="18"/>
                <w:szCs w:val="18"/>
              </w:rPr>
              <w:t xml:space="preserve"> бюджетных ассигнований 2022 года на предоставление </w:t>
            </w:r>
            <w:r w:rsidRPr="00213A5D">
              <w:rPr>
                <w:b/>
                <w:sz w:val="18"/>
                <w:szCs w:val="18"/>
              </w:rPr>
              <w:t>субсидий юридическим лицам</w:t>
            </w:r>
            <w:r w:rsidRPr="00213A5D">
              <w:rPr>
                <w:sz w:val="18"/>
                <w:szCs w:val="18"/>
              </w:rPr>
              <w:t>, предоставление которых в 2021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2022 года бюджетных ассигнований на предоставление субсидий в соответствии с требованиями, установленными Бюджетным кодексом Российской Федерации</w:t>
            </w:r>
          </w:p>
        </w:tc>
        <w:tc>
          <w:tcPr>
            <w:tcW w:w="1134" w:type="dxa"/>
            <w:tcBorders>
              <w:top w:val="single" w:sz="4" w:space="0" w:color="auto"/>
              <w:left w:val="single" w:sz="4" w:space="0" w:color="auto"/>
              <w:right w:val="single" w:sz="4" w:space="0" w:color="auto"/>
            </w:tcBorders>
            <w:vAlign w:val="center"/>
          </w:tcPr>
          <w:p w14:paraId="10A2FF98"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102,5</w:t>
            </w:r>
          </w:p>
        </w:tc>
        <w:tc>
          <w:tcPr>
            <w:tcW w:w="1276" w:type="dxa"/>
            <w:tcBorders>
              <w:top w:val="single" w:sz="4" w:space="0" w:color="auto"/>
              <w:left w:val="single" w:sz="4" w:space="0" w:color="auto"/>
              <w:right w:val="single" w:sz="4" w:space="0" w:color="auto"/>
            </w:tcBorders>
            <w:vAlign w:val="center"/>
          </w:tcPr>
          <w:p w14:paraId="583430A6"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97,6</w:t>
            </w:r>
          </w:p>
        </w:tc>
        <w:tc>
          <w:tcPr>
            <w:tcW w:w="1134" w:type="dxa"/>
            <w:tcBorders>
              <w:top w:val="single" w:sz="4" w:space="0" w:color="auto"/>
              <w:left w:val="single" w:sz="4" w:space="0" w:color="auto"/>
              <w:right w:val="single" w:sz="4" w:space="0" w:color="auto"/>
            </w:tcBorders>
            <w:vAlign w:val="center"/>
          </w:tcPr>
          <w:p w14:paraId="653B469D"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 4,9</w:t>
            </w:r>
          </w:p>
        </w:tc>
      </w:tr>
      <w:tr w:rsidR="00694CD3" w:rsidRPr="00213A5D" w14:paraId="5490BC38" w14:textId="77777777" w:rsidTr="00035EFB">
        <w:tc>
          <w:tcPr>
            <w:tcW w:w="2268" w:type="dxa"/>
            <w:tcBorders>
              <w:top w:val="single" w:sz="4" w:space="0" w:color="auto"/>
              <w:left w:val="single" w:sz="4" w:space="0" w:color="auto"/>
              <w:bottom w:val="single" w:sz="4" w:space="0" w:color="auto"/>
              <w:right w:val="single" w:sz="4" w:space="0" w:color="auto"/>
            </w:tcBorders>
          </w:tcPr>
          <w:p w14:paraId="5A862360" w14:textId="77777777" w:rsidR="00694CD3" w:rsidRPr="00213A5D" w:rsidRDefault="00694CD3" w:rsidP="00AF1852">
            <w:pPr>
              <w:widowControl w:val="0"/>
              <w:spacing w:line="240" w:lineRule="auto"/>
              <w:ind w:left="0" w:right="0" w:firstLine="0"/>
              <w:rPr>
                <w:bCs/>
                <w:sz w:val="18"/>
                <w:szCs w:val="18"/>
              </w:rPr>
            </w:pPr>
            <w:r w:rsidRPr="00213A5D">
              <w:rPr>
                <w:bCs/>
                <w:sz w:val="18"/>
                <w:szCs w:val="18"/>
              </w:rPr>
              <w:t>Пункт 7 статьи 217 Бюджетного кодекса Российской Федерации</w:t>
            </w:r>
          </w:p>
        </w:tc>
        <w:tc>
          <w:tcPr>
            <w:tcW w:w="4111" w:type="dxa"/>
            <w:tcBorders>
              <w:top w:val="single" w:sz="4" w:space="0" w:color="auto"/>
              <w:left w:val="single" w:sz="4" w:space="0" w:color="auto"/>
              <w:bottom w:val="single" w:sz="4" w:space="0" w:color="auto"/>
              <w:right w:val="single" w:sz="4" w:space="0" w:color="auto"/>
            </w:tcBorders>
            <w:vAlign w:val="center"/>
          </w:tcPr>
          <w:p w14:paraId="6708035F" w14:textId="77777777" w:rsidR="00694CD3" w:rsidRPr="00213A5D" w:rsidRDefault="00694CD3" w:rsidP="00AF1852">
            <w:pPr>
              <w:widowControl w:val="0"/>
              <w:spacing w:line="252" w:lineRule="auto"/>
              <w:ind w:left="0" w:right="0" w:firstLine="0"/>
              <w:rPr>
                <w:sz w:val="18"/>
                <w:szCs w:val="18"/>
              </w:rPr>
            </w:pPr>
            <w:r w:rsidRPr="00213A5D">
              <w:rPr>
                <w:b/>
                <w:sz w:val="18"/>
                <w:szCs w:val="18"/>
              </w:rPr>
              <w:t>увеличение</w:t>
            </w:r>
            <w:r w:rsidRPr="00213A5D">
              <w:rPr>
                <w:sz w:val="18"/>
                <w:szCs w:val="18"/>
              </w:rPr>
              <w:t xml:space="preserve"> бюджетных ассигнований на предоставление из федерального бюджета </w:t>
            </w:r>
            <w:r w:rsidRPr="00213A5D">
              <w:rPr>
                <w:b/>
                <w:sz w:val="18"/>
                <w:szCs w:val="18"/>
              </w:rPr>
              <w:t>межбюджетных трансфертов, имеющих целевое назначение,</w:t>
            </w:r>
            <w:r w:rsidRPr="00213A5D">
              <w:rPr>
                <w:sz w:val="18"/>
                <w:szCs w:val="18"/>
              </w:rPr>
              <w:t xml:space="preserve"> предоставление которых в 2021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являлись указанные межбюджетные трансферты, в объеме, не превышающем с учетом уровня софинансирования остатка не использованных на начало 2022 года бюджетных ассигнований субъекта Российской Федерации </w:t>
            </w:r>
            <w:r w:rsidRPr="00213A5D">
              <w:rPr>
                <w:b/>
                <w:sz w:val="18"/>
                <w:szCs w:val="18"/>
              </w:rPr>
              <w:t>на оплату государственных (муниципальных) контрактов, заключенных от имени субъекта Российской Федерации (муниципальных образований)</w:t>
            </w:r>
            <w:r w:rsidRPr="00213A5D">
              <w:rPr>
                <w:sz w:val="18"/>
                <w:szCs w:val="18"/>
              </w:rPr>
              <w:t xml:space="preserve"> на поставку товаров, выполнение работ, оказание услуг, подлежавших в соответствии с условиями этих государственных (муниципальных) контрактов оплате в 2021 году</w:t>
            </w:r>
          </w:p>
        </w:tc>
        <w:tc>
          <w:tcPr>
            <w:tcW w:w="1134" w:type="dxa"/>
            <w:tcBorders>
              <w:top w:val="single" w:sz="4" w:space="0" w:color="auto"/>
              <w:left w:val="single" w:sz="4" w:space="0" w:color="auto"/>
              <w:right w:val="single" w:sz="4" w:space="0" w:color="auto"/>
            </w:tcBorders>
            <w:vAlign w:val="center"/>
          </w:tcPr>
          <w:p w14:paraId="39764A20"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88,7</w:t>
            </w:r>
          </w:p>
        </w:tc>
        <w:tc>
          <w:tcPr>
            <w:tcW w:w="1276" w:type="dxa"/>
            <w:tcBorders>
              <w:top w:val="single" w:sz="4" w:space="0" w:color="auto"/>
              <w:left w:val="single" w:sz="4" w:space="0" w:color="auto"/>
              <w:right w:val="single" w:sz="4" w:space="0" w:color="auto"/>
            </w:tcBorders>
            <w:vAlign w:val="center"/>
          </w:tcPr>
          <w:p w14:paraId="0A0675B6"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50,9</w:t>
            </w:r>
          </w:p>
        </w:tc>
        <w:tc>
          <w:tcPr>
            <w:tcW w:w="1134" w:type="dxa"/>
            <w:tcBorders>
              <w:top w:val="single" w:sz="4" w:space="0" w:color="auto"/>
              <w:left w:val="single" w:sz="4" w:space="0" w:color="auto"/>
              <w:right w:val="single" w:sz="4" w:space="0" w:color="auto"/>
            </w:tcBorders>
            <w:vAlign w:val="center"/>
          </w:tcPr>
          <w:p w14:paraId="34DE708E"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 37,8</w:t>
            </w:r>
          </w:p>
        </w:tc>
      </w:tr>
      <w:tr w:rsidR="00694CD3" w:rsidRPr="00213A5D" w14:paraId="31D0A02E" w14:textId="77777777" w:rsidTr="00035EFB">
        <w:tc>
          <w:tcPr>
            <w:tcW w:w="2268" w:type="dxa"/>
            <w:tcBorders>
              <w:top w:val="single" w:sz="4" w:space="0" w:color="auto"/>
              <w:left w:val="single" w:sz="4" w:space="0" w:color="auto"/>
              <w:bottom w:val="single" w:sz="4" w:space="0" w:color="auto"/>
              <w:right w:val="single" w:sz="4" w:space="0" w:color="auto"/>
            </w:tcBorders>
          </w:tcPr>
          <w:p w14:paraId="4F9198DE" w14:textId="77777777" w:rsidR="00694CD3" w:rsidRPr="00213A5D" w:rsidRDefault="00694CD3" w:rsidP="00AF1852">
            <w:pPr>
              <w:widowControl w:val="0"/>
              <w:spacing w:line="240" w:lineRule="auto"/>
              <w:ind w:left="0" w:right="0" w:firstLine="0"/>
              <w:rPr>
                <w:bCs/>
                <w:sz w:val="18"/>
                <w:szCs w:val="18"/>
              </w:rPr>
            </w:pPr>
            <w:r w:rsidRPr="00213A5D">
              <w:rPr>
                <w:bCs/>
                <w:sz w:val="18"/>
                <w:szCs w:val="18"/>
              </w:rPr>
              <w:t xml:space="preserve">Пункт 4 статьи 94 и </w:t>
            </w:r>
            <w:hyperlink r:id="rId23" w:history="1">
              <w:r w:rsidRPr="00213A5D">
                <w:rPr>
                  <w:bCs/>
                  <w:sz w:val="18"/>
                  <w:szCs w:val="18"/>
                </w:rPr>
                <w:t>пункт 7 статьи 217</w:t>
              </w:r>
            </w:hyperlink>
            <w:r w:rsidRPr="00213A5D">
              <w:rPr>
                <w:bCs/>
                <w:sz w:val="18"/>
                <w:szCs w:val="18"/>
              </w:rPr>
              <w:t xml:space="preserve"> Бюджетного кодекса Российской Федерации</w:t>
            </w:r>
          </w:p>
        </w:tc>
        <w:tc>
          <w:tcPr>
            <w:tcW w:w="4111" w:type="dxa"/>
            <w:tcBorders>
              <w:top w:val="single" w:sz="4" w:space="0" w:color="auto"/>
              <w:left w:val="single" w:sz="4" w:space="0" w:color="auto"/>
              <w:bottom w:val="single" w:sz="4" w:space="0" w:color="auto"/>
              <w:right w:val="single" w:sz="4" w:space="0" w:color="auto"/>
            </w:tcBorders>
          </w:tcPr>
          <w:p w14:paraId="1FA26567" w14:textId="77777777" w:rsidR="00694CD3" w:rsidRPr="00213A5D" w:rsidRDefault="00694CD3" w:rsidP="00AF1852">
            <w:pPr>
              <w:widowControl w:val="0"/>
              <w:spacing w:line="252" w:lineRule="auto"/>
              <w:ind w:left="0" w:right="-57" w:firstLine="0"/>
              <w:rPr>
                <w:b/>
                <w:sz w:val="18"/>
                <w:szCs w:val="18"/>
              </w:rPr>
            </w:pPr>
            <w:r w:rsidRPr="00213A5D">
              <w:rPr>
                <w:b/>
                <w:bCs/>
                <w:sz w:val="18"/>
                <w:szCs w:val="18"/>
              </w:rPr>
              <w:t>увеличение</w:t>
            </w:r>
            <w:r w:rsidRPr="00213A5D">
              <w:rPr>
                <w:sz w:val="18"/>
                <w:szCs w:val="18"/>
              </w:rPr>
              <w:t xml:space="preserve"> бюджетных ассигнований </w:t>
            </w:r>
            <w:r w:rsidRPr="00213A5D">
              <w:rPr>
                <w:b/>
                <w:sz w:val="18"/>
                <w:szCs w:val="18"/>
              </w:rPr>
              <w:t>Федерального дорожного фонда</w:t>
            </w:r>
            <w:r w:rsidRPr="00213A5D">
              <w:rPr>
                <w:sz w:val="18"/>
                <w:szCs w:val="18"/>
              </w:rPr>
              <w:t>, иных бюджетных ассигнований</w:t>
            </w:r>
          </w:p>
        </w:tc>
        <w:tc>
          <w:tcPr>
            <w:tcW w:w="1134" w:type="dxa"/>
            <w:tcBorders>
              <w:left w:val="single" w:sz="4" w:space="0" w:color="auto"/>
              <w:right w:val="single" w:sz="4" w:space="0" w:color="auto"/>
            </w:tcBorders>
            <w:vAlign w:val="center"/>
          </w:tcPr>
          <w:p w14:paraId="3418D159"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72,3</w:t>
            </w:r>
          </w:p>
        </w:tc>
        <w:tc>
          <w:tcPr>
            <w:tcW w:w="1276" w:type="dxa"/>
            <w:tcBorders>
              <w:left w:val="single" w:sz="4" w:space="0" w:color="auto"/>
              <w:right w:val="single" w:sz="4" w:space="0" w:color="auto"/>
            </w:tcBorders>
            <w:vAlign w:val="center"/>
          </w:tcPr>
          <w:p w14:paraId="37240E43"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78,3</w:t>
            </w:r>
          </w:p>
        </w:tc>
        <w:tc>
          <w:tcPr>
            <w:tcW w:w="1134" w:type="dxa"/>
            <w:tcBorders>
              <w:left w:val="single" w:sz="4" w:space="0" w:color="auto"/>
              <w:right w:val="single" w:sz="4" w:space="0" w:color="auto"/>
            </w:tcBorders>
            <w:vAlign w:val="center"/>
          </w:tcPr>
          <w:p w14:paraId="7D43EC63"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 6,0</w:t>
            </w:r>
          </w:p>
        </w:tc>
      </w:tr>
      <w:tr w:rsidR="00694CD3" w:rsidRPr="00213A5D" w14:paraId="2D402138" w14:textId="77777777" w:rsidTr="00035EFB">
        <w:tc>
          <w:tcPr>
            <w:tcW w:w="2268" w:type="dxa"/>
            <w:tcBorders>
              <w:top w:val="single" w:sz="4" w:space="0" w:color="auto"/>
              <w:left w:val="single" w:sz="4" w:space="0" w:color="auto"/>
              <w:bottom w:val="single" w:sz="4" w:space="0" w:color="auto"/>
              <w:right w:val="single" w:sz="4" w:space="0" w:color="auto"/>
            </w:tcBorders>
          </w:tcPr>
          <w:p w14:paraId="2B9DD543" w14:textId="77777777" w:rsidR="00694CD3" w:rsidRPr="00213A5D" w:rsidRDefault="00694CD3" w:rsidP="00AF1852">
            <w:pPr>
              <w:widowControl w:val="0"/>
              <w:spacing w:line="240" w:lineRule="auto"/>
              <w:ind w:left="0" w:right="0" w:firstLine="0"/>
              <w:rPr>
                <w:bCs/>
                <w:sz w:val="18"/>
                <w:szCs w:val="18"/>
              </w:rPr>
            </w:pPr>
            <w:r w:rsidRPr="00213A5D">
              <w:rPr>
                <w:bCs/>
                <w:sz w:val="18"/>
                <w:szCs w:val="18"/>
              </w:rPr>
              <w:t>Пункт 4 статьи 94 Бюджетного кодекса Российской Федерации</w:t>
            </w:r>
          </w:p>
        </w:tc>
        <w:tc>
          <w:tcPr>
            <w:tcW w:w="4111" w:type="dxa"/>
            <w:tcBorders>
              <w:top w:val="single" w:sz="4" w:space="0" w:color="auto"/>
              <w:left w:val="single" w:sz="4" w:space="0" w:color="auto"/>
              <w:bottom w:val="single" w:sz="4" w:space="0" w:color="auto"/>
              <w:right w:val="single" w:sz="4" w:space="0" w:color="auto"/>
            </w:tcBorders>
          </w:tcPr>
          <w:p w14:paraId="610B28EE" w14:textId="77777777" w:rsidR="00694CD3" w:rsidRPr="00213A5D" w:rsidRDefault="00694CD3" w:rsidP="00AF1852">
            <w:pPr>
              <w:widowControl w:val="0"/>
              <w:spacing w:line="252" w:lineRule="auto"/>
              <w:ind w:left="0" w:right="-57" w:firstLine="0"/>
              <w:rPr>
                <w:bCs/>
                <w:sz w:val="18"/>
                <w:szCs w:val="18"/>
              </w:rPr>
            </w:pPr>
            <w:r w:rsidRPr="00213A5D">
              <w:rPr>
                <w:bCs/>
                <w:sz w:val="18"/>
                <w:szCs w:val="18"/>
              </w:rPr>
              <w:t xml:space="preserve">увеличение бюджетных ассигнований </w:t>
            </w:r>
            <w:r w:rsidRPr="00213A5D">
              <w:rPr>
                <w:b/>
                <w:bCs/>
                <w:sz w:val="18"/>
                <w:szCs w:val="18"/>
              </w:rPr>
              <w:t>резервного фонда Президента Российской Федерации</w:t>
            </w:r>
          </w:p>
        </w:tc>
        <w:tc>
          <w:tcPr>
            <w:tcW w:w="1134" w:type="dxa"/>
            <w:tcBorders>
              <w:left w:val="single" w:sz="4" w:space="0" w:color="auto"/>
              <w:right w:val="single" w:sz="4" w:space="0" w:color="auto"/>
            </w:tcBorders>
            <w:vAlign w:val="center"/>
          </w:tcPr>
          <w:p w14:paraId="042E1825"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6,4</w:t>
            </w:r>
          </w:p>
        </w:tc>
        <w:tc>
          <w:tcPr>
            <w:tcW w:w="1276" w:type="dxa"/>
            <w:tcBorders>
              <w:left w:val="single" w:sz="4" w:space="0" w:color="auto"/>
              <w:right w:val="single" w:sz="4" w:space="0" w:color="auto"/>
            </w:tcBorders>
            <w:vAlign w:val="center"/>
          </w:tcPr>
          <w:p w14:paraId="7760E335"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6,4</w:t>
            </w:r>
          </w:p>
        </w:tc>
        <w:tc>
          <w:tcPr>
            <w:tcW w:w="1134" w:type="dxa"/>
            <w:tcBorders>
              <w:left w:val="single" w:sz="4" w:space="0" w:color="auto"/>
              <w:right w:val="single" w:sz="4" w:space="0" w:color="auto"/>
            </w:tcBorders>
            <w:vAlign w:val="center"/>
          </w:tcPr>
          <w:p w14:paraId="5AF9690E" w14:textId="77777777" w:rsidR="00694CD3" w:rsidRPr="00213A5D" w:rsidRDefault="00694CD3" w:rsidP="00AF1852">
            <w:pPr>
              <w:widowControl w:val="0"/>
              <w:spacing w:line="240" w:lineRule="auto"/>
              <w:ind w:left="0" w:right="0" w:firstLine="0"/>
              <w:jc w:val="center"/>
              <w:rPr>
                <w:sz w:val="18"/>
                <w:szCs w:val="18"/>
              </w:rPr>
            </w:pPr>
            <w:r w:rsidRPr="00213A5D">
              <w:rPr>
                <w:sz w:val="18"/>
                <w:szCs w:val="18"/>
              </w:rPr>
              <w:t>0,0</w:t>
            </w:r>
          </w:p>
        </w:tc>
      </w:tr>
      <w:tr w:rsidR="00694CD3" w:rsidRPr="00213A5D" w14:paraId="12B4018C" w14:textId="77777777" w:rsidTr="00035EFB">
        <w:tc>
          <w:tcPr>
            <w:tcW w:w="2268" w:type="dxa"/>
            <w:tcBorders>
              <w:top w:val="single" w:sz="4" w:space="0" w:color="auto"/>
              <w:left w:val="single" w:sz="4" w:space="0" w:color="auto"/>
              <w:bottom w:val="single" w:sz="4" w:space="0" w:color="auto"/>
              <w:right w:val="single" w:sz="4" w:space="0" w:color="auto"/>
            </w:tcBorders>
          </w:tcPr>
          <w:p w14:paraId="104720BC" w14:textId="77777777" w:rsidR="00694CD3" w:rsidRPr="00213A5D" w:rsidRDefault="00694CD3" w:rsidP="00AF1852">
            <w:pPr>
              <w:widowControl w:val="0"/>
              <w:spacing w:line="240" w:lineRule="auto"/>
              <w:ind w:left="0" w:right="0" w:firstLine="0"/>
              <w:rPr>
                <w:sz w:val="18"/>
                <w:szCs w:val="18"/>
              </w:rPr>
            </w:pPr>
            <w:r w:rsidRPr="00213A5D">
              <w:rPr>
                <w:b/>
                <w:sz w:val="18"/>
                <w:szCs w:val="18"/>
              </w:rPr>
              <w:lastRenderedPageBreak/>
              <w:t>Итого</w:t>
            </w:r>
          </w:p>
        </w:tc>
        <w:tc>
          <w:tcPr>
            <w:tcW w:w="4111" w:type="dxa"/>
            <w:tcBorders>
              <w:top w:val="single" w:sz="4" w:space="0" w:color="auto"/>
              <w:left w:val="single" w:sz="4" w:space="0" w:color="auto"/>
              <w:bottom w:val="single" w:sz="4" w:space="0" w:color="auto"/>
              <w:right w:val="single" w:sz="4" w:space="0" w:color="auto"/>
            </w:tcBorders>
          </w:tcPr>
          <w:p w14:paraId="13BF9967" w14:textId="77777777" w:rsidR="00694CD3" w:rsidRPr="00213A5D" w:rsidRDefault="00694CD3" w:rsidP="00AF1852">
            <w:pPr>
              <w:widowControl w:val="0"/>
              <w:overflowPunct/>
              <w:spacing w:line="240" w:lineRule="auto"/>
              <w:ind w:left="0" w:right="0" w:firstLine="0"/>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86CB45F" w14:textId="77777777" w:rsidR="00694CD3" w:rsidRPr="00213A5D" w:rsidRDefault="00694CD3" w:rsidP="00AF1852">
            <w:pPr>
              <w:widowControl w:val="0"/>
              <w:spacing w:line="240" w:lineRule="auto"/>
              <w:ind w:left="0" w:right="0" w:firstLine="0"/>
              <w:jc w:val="center"/>
              <w:rPr>
                <w:b/>
                <w:sz w:val="18"/>
                <w:szCs w:val="18"/>
              </w:rPr>
            </w:pPr>
            <w:r w:rsidRPr="00213A5D">
              <w:rPr>
                <w:b/>
                <w:sz w:val="18"/>
                <w:szCs w:val="18"/>
              </w:rPr>
              <w:t>688,0*)</w:t>
            </w:r>
          </w:p>
        </w:tc>
        <w:tc>
          <w:tcPr>
            <w:tcW w:w="1276" w:type="dxa"/>
            <w:tcBorders>
              <w:top w:val="single" w:sz="4" w:space="0" w:color="auto"/>
              <w:left w:val="single" w:sz="4" w:space="0" w:color="auto"/>
              <w:bottom w:val="single" w:sz="4" w:space="0" w:color="auto"/>
              <w:right w:val="single" w:sz="4" w:space="0" w:color="auto"/>
            </w:tcBorders>
            <w:vAlign w:val="center"/>
          </w:tcPr>
          <w:p w14:paraId="3D5083F1" w14:textId="77777777" w:rsidR="00694CD3" w:rsidRPr="00213A5D" w:rsidRDefault="00694CD3" w:rsidP="00AF1852">
            <w:pPr>
              <w:widowControl w:val="0"/>
              <w:spacing w:line="240" w:lineRule="auto"/>
              <w:ind w:left="0" w:right="0" w:firstLine="0"/>
              <w:jc w:val="center"/>
              <w:rPr>
                <w:b/>
                <w:sz w:val="18"/>
                <w:szCs w:val="18"/>
              </w:rPr>
            </w:pPr>
            <w:r w:rsidRPr="00213A5D">
              <w:rPr>
                <w:b/>
                <w:sz w:val="18"/>
                <w:szCs w:val="18"/>
              </w:rPr>
              <w:t>687,4</w:t>
            </w:r>
          </w:p>
        </w:tc>
        <w:tc>
          <w:tcPr>
            <w:tcW w:w="1134" w:type="dxa"/>
            <w:tcBorders>
              <w:top w:val="single" w:sz="4" w:space="0" w:color="auto"/>
              <w:left w:val="single" w:sz="4" w:space="0" w:color="auto"/>
              <w:bottom w:val="single" w:sz="4" w:space="0" w:color="auto"/>
              <w:right w:val="single" w:sz="4" w:space="0" w:color="auto"/>
            </w:tcBorders>
            <w:vAlign w:val="center"/>
          </w:tcPr>
          <w:p w14:paraId="54E28FD0" w14:textId="77777777" w:rsidR="00694CD3" w:rsidRPr="00213A5D" w:rsidRDefault="00694CD3" w:rsidP="00AF1852">
            <w:pPr>
              <w:widowControl w:val="0"/>
              <w:spacing w:line="240" w:lineRule="auto"/>
              <w:ind w:left="0" w:right="0" w:firstLine="0"/>
              <w:jc w:val="center"/>
              <w:rPr>
                <w:b/>
                <w:sz w:val="18"/>
                <w:szCs w:val="18"/>
              </w:rPr>
            </w:pPr>
            <w:r w:rsidRPr="00213A5D">
              <w:rPr>
                <w:b/>
                <w:sz w:val="18"/>
                <w:szCs w:val="18"/>
              </w:rPr>
              <w:t>(-) 0,6</w:t>
            </w:r>
          </w:p>
        </w:tc>
      </w:tr>
      <w:tr w:rsidR="00694CD3" w:rsidRPr="00213A5D" w14:paraId="48EE1768" w14:textId="77777777" w:rsidTr="00035EFB">
        <w:tc>
          <w:tcPr>
            <w:tcW w:w="9923" w:type="dxa"/>
            <w:gridSpan w:val="5"/>
            <w:tcBorders>
              <w:top w:val="single" w:sz="4" w:space="0" w:color="auto"/>
              <w:left w:val="single" w:sz="4" w:space="0" w:color="auto"/>
              <w:bottom w:val="single" w:sz="4" w:space="0" w:color="auto"/>
              <w:right w:val="single" w:sz="4" w:space="0" w:color="auto"/>
            </w:tcBorders>
          </w:tcPr>
          <w:p w14:paraId="1EAC0950" w14:textId="77777777" w:rsidR="00694CD3" w:rsidRPr="00213A5D" w:rsidRDefault="00694CD3" w:rsidP="00AF1852">
            <w:pPr>
              <w:widowControl w:val="0"/>
              <w:spacing w:line="240" w:lineRule="auto"/>
              <w:ind w:left="0" w:right="0" w:firstLine="0"/>
              <w:jc w:val="center"/>
              <w:rPr>
                <w:b/>
                <w:sz w:val="18"/>
                <w:szCs w:val="18"/>
              </w:rPr>
            </w:pPr>
            <w:r w:rsidRPr="00213A5D">
              <w:rPr>
                <w:b/>
                <w:sz w:val="18"/>
                <w:szCs w:val="18"/>
              </w:rPr>
              <w:t>За счет других источников</w:t>
            </w:r>
          </w:p>
        </w:tc>
      </w:tr>
      <w:tr w:rsidR="00694CD3" w:rsidRPr="00213A5D" w14:paraId="7F31B8BD" w14:textId="77777777" w:rsidTr="00035EFB">
        <w:tc>
          <w:tcPr>
            <w:tcW w:w="2268" w:type="dxa"/>
            <w:tcBorders>
              <w:top w:val="single" w:sz="4" w:space="0" w:color="auto"/>
              <w:left w:val="single" w:sz="4" w:space="0" w:color="auto"/>
              <w:bottom w:val="single" w:sz="4" w:space="0" w:color="auto"/>
              <w:right w:val="single" w:sz="4" w:space="0" w:color="auto"/>
            </w:tcBorders>
          </w:tcPr>
          <w:p w14:paraId="7104C659" w14:textId="77777777" w:rsidR="00694CD3" w:rsidRPr="00213A5D" w:rsidRDefault="00694CD3" w:rsidP="00AF1852">
            <w:pPr>
              <w:widowControl w:val="0"/>
              <w:spacing w:line="240" w:lineRule="auto"/>
              <w:ind w:left="0" w:right="0" w:firstLine="0"/>
              <w:rPr>
                <w:sz w:val="18"/>
                <w:szCs w:val="18"/>
              </w:rPr>
            </w:pPr>
            <w:r w:rsidRPr="00213A5D">
              <w:rPr>
                <w:sz w:val="18"/>
                <w:szCs w:val="18"/>
              </w:rPr>
              <w:t>Пункт 4 статьи 97, пункт 7 статьи 217 Бюджетного кодекса Российской Федерации</w:t>
            </w:r>
          </w:p>
        </w:tc>
        <w:tc>
          <w:tcPr>
            <w:tcW w:w="4111" w:type="dxa"/>
            <w:tcBorders>
              <w:top w:val="single" w:sz="4" w:space="0" w:color="auto"/>
              <w:left w:val="single" w:sz="4" w:space="0" w:color="auto"/>
              <w:bottom w:val="single" w:sz="4" w:space="0" w:color="auto"/>
              <w:right w:val="single" w:sz="4" w:space="0" w:color="auto"/>
            </w:tcBorders>
          </w:tcPr>
          <w:p w14:paraId="5F3A2ECE" w14:textId="77777777" w:rsidR="00694CD3" w:rsidRPr="00213A5D" w:rsidRDefault="00694CD3" w:rsidP="00AF1852">
            <w:pPr>
              <w:widowControl w:val="0"/>
              <w:overflowPunct/>
              <w:spacing w:line="240" w:lineRule="auto"/>
              <w:ind w:left="0" w:right="0" w:firstLine="0"/>
              <w:textAlignment w:val="auto"/>
              <w:rPr>
                <w:sz w:val="18"/>
                <w:szCs w:val="18"/>
              </w:rPr>
            </w:pPr>
            <w:r w:rsidRPr="00213A5D">
              <w:rPr>
                <w:b/>
                <w:bCs/>
                <w:sz w:val="18"/>
                <w:szCs w:val="18"/>
              </w:rPr>
              <w:t>у</w:t>
            </w:r>
            <w:r w:rsidRPr="00213A5D">
              <w:rPr>
                <w:b/>
                <w:sz w:val="18"/>
                <w:szCs w:val="18"/>
              </w:rPr>
              <w:t>величение</w:t>
            </w:r>
            <w:r w:rsidRPr="00213A5D">
              <w:rPr>
                <w:sz w:val="18"/>
                <w:szCs w:val="18"/>
              </w:rPr>
              <w:t xml:space="preserve"> бюджетных ассигнований </w:t>
            </w:r>
            <w:r w:rsidRPr="00213A5D">
              <w:rPr>
                <w:b/>
                <w:sz w:val="18"/>
                <w:szCs w:val="18"/>
              </w:rPr>
              <w:t>резервного фонда Правительства</w:t>
            </w:r>
            <w:r w:rsidRPr="00213A5D">
              <w:rPr>
                <w:sz w:val="18"/>
                <w:szCs w:val="18"/>
              </w:rPr>
              <w:t xml:space="preserve">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center"/>
          </w:tcPr>
          <w:p w14:paraId="56227305" w14:textId="77777777" w:rsidR="00694CD3" w:rsidRPr="00213A5D" w:rsidRDefault="00694CD3" w:rsidP="00AF1852">
            <w:pPr>
              <w:widowControl w:val="0"/>
              <w:spacing w:line="240" w:lineRule="auto"/>
              <w:ind w:firstLine="0"/>
              <w:jc w:val="left"/>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2A36D06" w14:textId="77777777" w:rsidR="00694CD3" w:rsidRPr="00213A5D" w:rsidRDefault="00694CD3" w:rsidP="00AF1852">
            <w:pPr>
              <w:widowControl w:val="0"/>
              <w:spacing w:line="240" w:lineRule="auto"/>
              <w:ind w:left="-120" w:right="0" w:firstLine="0"/>
              <w:jc w:val="center"/>
              <w:rPr>
                <w:sz w:val="18"/>
                <w:szCs w:val="18"/>
              </w:rPr>
            </w:pPr>
            <w:r w:rsidRPr="00213A5D">
              <w:rPr>
                <w:sz w:val="18"/>
                <w:szCs w:val="18"/>
              </w:rPr>
              <w:t>3 660,2***)</w:t>
            </w:r>
          </w:p>
        </w:tc>
        <w:tc>
          <w:tcPr>
            <w:tcW w:w="1134" w:type="dxa"/>
            <w:tcBorders>
              <w:top w:val="single" w:sz="4" w:space="0" w:color="auto"/>
              <w:left w:val="single" w:sz="4" w:space="0" w:color="auto"/>
              <w:bottom w:val="single" w:sz="4" w:space="0" w:color="auto"/>
              <w:right w:val="single" w:sz="4" w:space="0" w:color="auto"/>
            </w:tcBorders>
            <w:vAlign w:val="center"/>
          </w:tcPr>
          <w:p w14:paraId="529A295D" w14:textId="77777777" w:rsidR="00694CD3" w:rsidRPr="00213A5D" w:rsidRDefault="00694CD3" w:rsidP="00AF1852">
            <w:pPr>
              <w:widowControl w:val="0"/>
              <w:spacing w:line="240" w:lineRule="auto"/>
              <w:ind w:left="-120" w:right="0" w:firstLine="0"/>
              <w:jc w:val="center"/>
              <w:rPr>
                <w:sz w:val="18"/>
                <w:szCs w:val="18"/>
              </w:rPr>
            </w:pPr>
            <w:r w:rsidRPr="00213A5D">
              <w:rPr>
                <w:sz w:val="18"/>
                <w:szCs w:val="18"/>
              </w:rPr>
              <w:t>(+) 3 660,2</w:t>
            </w:r>
          </w:p>
        </w:tc>
      </w:tr>
      <w:tr w:rsidR="00694CD3" w:rsidRPr="00213A5D" w14:paraId="45CF7AC8" w14:textId="77777777" w:rsidTr="00035EFB">
        <w:tc>
          <w:tcPr>
            <w:tcW w:w="2268" w:type="dxa"/>
            <w:tcBorders>
              <w:top w:val="single" w:sz="4" w:space="0" w:color="auto"/>
              <w:left w:val="single" w:sz="4" w:space="0" w:color="auto"/>
              <w:bottom w:val="single" w:sz="4" w:space="0" w:color="auto"/>
              <w:right w:val="single" w:sz="4" w:space="0" w:color="auto"/>
            </w:tcBorders>
          </w:tcPr>
          <w:p w14:paraId="31892758" w14:textId="77777777" w:rsidR="00694CD3" w:rsidRPr="00213A5D" w:rsidRDefault="00694CD3" w:rsidP="00AF1852">
            <w:pPr>
              <w:widowControl w:val="0"/>
              <w:spacing w:line="240" w:lineRule="auto"/>
              <w:ind w:left="0" w:right="0" w:firstLine="0"/>
              <w:rPr>
                <w:sz w:val="18"/>
                <w:szCs w:val="18"/>
              </w:rPr>
            </w:pPr>
            <w:r w:rsidRPr="00213A5D">
              <w:rPr>
                <w:sz w:val="18"/>
                <w:szCs w:val="18"/>
              </w:rPr>
              <w:t>Пункт 3 статьи 217 Бюджетного кодекса Российской Федерации</w:t>
            </w:r>
          </w:p>
        </w:tc>
        <w:tc>
          <w:tcPr>
            <w:tcW w:w="4111" w:type="dxa"/>
            <w:tcBorders>
              <w:top w:val="single" w:sz="4" w:space="0" w:color="auto"/>
              <w:left w:val="single" w:sz="4" w:space="0" w:color="auto"/>
              <w:bottom w:val="single" w:sz="4" w:space="0" w:color="auto"/>
              <w:right w:val="single" w:sz="4" w:space="0" w:color="auto"/>
            </w:tcBorders>
          </w:tcPr>
          <w:p w14:paraId="75B71808" w14:textId="77777777" w:rsidR="00694CD3" w:rsidRPr="00213A5D" w:rsidRDefault="00694CD3" w:rsidP="00AF1852">
            <w:pPr>
              <w:widowControl w:val="0"/>
              <w:overflowPunct/>
              <w:spacing w:line="252" w:lineRule="auto"/>
              <w:ind w:left="0" w:right="0" w:firstLine="0"/>
              <w:textAlignment w:val="auto"/>
              <w:rPr>
                <w:sz w:val="18"/>
                <w:szCs w:val="18"/>
              </w:rPr>
            </w:pPr>
            <w:r w:rsidRPr="00213A5D">
              <w:rPr>
                <w:sz w:val="18"/>
                <w:szCs w:val="18"/>
              </w:rPr>
              <w:t xml:space="preserve">в случае получения уведомления о </w:t>
            </w:r>
            <w:r w:rsidRPr="00213A5D">
              <w:rPr>
                <w:b/>
                <w:bCs/>
                <w:sz w:val="18"/>
                <w:szCs w:val="18"/>
              </w:rPr>
              <w:t>предоставлении субсидий, субвенций, иных межбюджетных трансфертов, имеющих целевое назначение, и получения имеющих целевое назначение безвозмездных поступлений от физических и юридических лиц</w:t>
            </w:r>
            <w:r w:rsidRPr="00213A5D">
              <w:rPr>
                <w:sz w:val="18"/>
                <w:szCs w:val="18"/>
              </w:rPr>
              <w:t xml:space="preserve"> сверх объемов, утвержденных законом (решением) о бюджете, а также в случае сокращения (возврата при отсутствии потребности) указанных средств</w:t>
            </w:r>
          </w:p>
        </w:tc>
        <w:tc>
          <w:tcPr>
            <w:tcW w:w="1134" w:type="dxa"/>
            <w:tcBorders>
              <w:top w:val="single" w:sz="4" w:space="0" w:color="auto"/>
              <w:left w:val="single" w:sz="4" w:space="0" w:color="auto"/>
              <w:bottom w:val="single" w:sz="4" w:space="0" w:color="auto"/>
              <w:right w:val="single" w:sz="4" w:space="0" w:color="auto"/>
            </w:tcBorders>
            <w:vAlign w:val="center"/>
          </w:tcPr>
          <w:p w14:paraId="0C21EC89" w14:textId="77777777" w:rsidR="00694CD3" w:rsidRPr="00213A5D" w:rsidRDefault="00694CD3" w:rsidP="00AF1852">
            <w:pPr>
              <w:widowControl w:val="0"/>
              <w:spacing w:line="240" w:lineRule="auto"/>
              <w:ind w:firstLine="0"/>
              <w:jc w:val="left"/>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C7C008A" w14:textId="77777777" w:rsidR="00694CD3" w:rsidRPr="00213A5D" w:rsidRDefault="00694CD3" w:rsidP="00AF1852">
            <w:pPr>
              <w:widowControl w:val="0"/>
              <w:spacing w:line="240" w:lineRule="auto"/>
              <w:ind w:left="-120" w:right="0" w:firstLine="0"/>
              <w:jc w:val="center"/>
              <w:rPr>
                <w:sz w:val="18"/>
                <w:szCs w:val="18"/>
              </w:rPr>
            </w:pPr>
            <w:r w:rsidRPr="00213A5D">
              <w:rPr>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tcPr>
          <w:p w14:paraId="0C2D6D87" w14:textId="77777777" w:rsidR="00694CD3" w:rsidRPr="00213A5D" w:rsidRDefault="00694CD3" w:rsidP="00AF1852">
            <w:pPr>
              <w:widowControl w:val="0"/>
              <w:spacing w:line="240" w:lineRule="auto"/>
              <w:ind w:left="-120" w:right="0" w:firstLine="0"/>
              <w:jc w:val="center"/>
              <w:rPr>
                <w:sz w:val="18"/>
                <w:szCs w:val="18"/>
              </w:rPr>
            </w:pPr>
            <w:r w:rsidRPr="00213A5D">
              <w:rPr>
                <w:sz w:val="18"/>
                <w:szCs w:val="18"/>
              </w:rPr>
              <w:t>(+) 5,3</w:t>
            </w:r>
          </w:p>
        </w:tc>
      </w:tr>
      <w:tr w:rsidR="00694CD3" w:rsidRPr="00213A5D" w14:paraId="4384B9FA" w14:textId="77777777" w:rsidTr="00035EFB">
        <w:tc>
          <w:tcPr>
            <w:tcW w:w="2268" w:type="dxa"/>
            <w:tcBorders>
              <w:top w:val="single" w:sz="4" w:space="0" w:color="auto"/>
              <w:left w:val="single" w:sz="4" w:space="0" w:color="auto"/>
              <w:bottom w:val="single" w:sz="4" w:space="0" w:color="auto"/>
              <w:right w:val="single" w:sz="4" w:space="0" w:color="auto"/>
            </w:tcBorders>
          </w:tcPr>
          <w:p w14:paraId="43A620F9" w14:textId="77777777" w:rsidR="00694CD3" w:rsidRPr="00213A5D" w:rsidRDefault="00694CD3" w:rsidP="00AF1852">
            <w:pPr>
              <w:widowControl w:val="0"/>
              <w:spacing w:line="240" w:lineRule="auto"/>
              <w:ind w:left="0" w:firstLine="0"/>
              <w:rPr>
                <w:b/>
                <w:sz w:val="18"/>
                <w:szCs w:val="18"/>
              </w:rPr>
            </w:pPr>
            <w:r w:rsidRPr="00213A5D">
              <w:rPr>
                <w:b/>
                <w:sz w:val="18"/>
                <w:szCs w:val="18"/>
              </w:rPr>
              <w:t>Итого</w:t>
            </w:r>
          </w:p>
        </w:tc>
        <w:tc>
          <w:tcPr>
            <w:tcW w:w="4111" w:type="dxa"/>
            <w:tcBorders>
              <w:top w:val="single" w:sz="4" w:space="0" w:color="auto"/>
              <w:left w:val="single" w:sz="4" w:space="0" w:color="auto"/>
              <w:bottom w:val="single" w:sz="4" w:space="0" w:color="auto"/>
              <w:right w:val="single" w:sz="4" w:space="0" w:color="auto"/>
            </w:tcBorders>
          </w:tcPr>
          <w:p w14:paraId="574BD3E3" w14:textId="77777777" w:rsidR="00694CD3" w:rsidRPr="00213A5D" w:rsidRDefault="00694CD3" w:rsidP="00AF1852">
            <w:pPr>
              <w:widowControl w:val="0"/>
              <w:overflowPunct/>
              <w:spacing w:line="240" w:lineRule="auto"/>
              <w:ind w:left="0" w:right="0" w:firstLine="0"/>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30C86BB" w14:textId="77777777" w:rsidR="00694CD3" w:rsidRPr="00213A5D" w:rsidRDefault="00694CD3" w:rsidP="00AF1852">
            <w:pPr>
              <w:widowControl w:val="0"/>
              <w:spacing w:line="240" w:lineRule="auto"/>
              <w:ind w:left="0" w:right="0" w:firstLine="0"/>
              <w:jc w:val="center"/>
              <w:rPr>
                <w:b/>
                <w:sz w:val="18"/>
                <w:szCs w:val="18"/>
              </w:rPr>
            </w:pPr>
            <w:r w:rsidRPr="00213A5D">
              <w:rPr>
                <w:b/>
                <w:sz w:val="18"/>
                <w:szCs w:val="18"/>
              </w:rPr>
              <w:t>688,0</w:t>
            </w:r>
          </w:p>
        </w:tc>
        <w:tc>
          <w:tcPr>
            <w:tcW w:w="1276" w:type="dxa"/>
            <w:tcBorders>
              <w:top w:val="single" w:sz="4" w:space="0" w:color="auto"/>
              <w:left w:val="single" w:sz="4" w:space="0" w:color="auto"/>
              <w:bottom w:val="single" w:sz="4" w:space="0" w:color="auto"/>
              <w:right w:val="single" w:sz="4" w:space="0" w:color="auto"/>
            </w:tcBorders>
            <w:vAlign w:val="center"/>
          </w:tcPr>
          <w:p w14:paraId="6299708C" w14:textId="77777777" w:rsidR="00694CD3" w:rsidRPr="00213A5D" w:rsidRDefault="00694CD3" w:rsidP="00AF1852">
            <w:pPr>
              <w:widowControl w:val="0"/>
              <w:spacing w:line="240" w:lineRule="auto"/>
              <w:ind w:left="0" w:right="0" w:firstLine="0"/>
              <w:jc w:val="center"/>
              <w:rPr>
                <w:b/>
                <w:sz w:val="18"/>
                <w:szCs w:val="18"/>
              </w:rPr>
            </w:pPr>
            <w:r w:rsidRPr="00213A5D">
              <w:rPr>
                <w:b/>
                <w:sz w:val="18"/>
                <w:szCs w:val="18"/>
              </w:rPr>
              <w:t>3 665,5</w:t>
            </w:r>
          </w:p>
        </w:tc>
        <w:tc>
          <w:tcPr>
            <w:tcW w:w="1134" w:type="dxa"/>
            <w:tcBorders>
              <w:top w:val="single" w:sz="4" w:space="0" w:color="auto"/>
              <w:left w:val="single" w:sz="4" w:space="0" w:color="auto"/>
              <w:bottom w:val="single" w:sz="4" w:space="0" w:color="auto"/>
              <w:right w:val="single" w:sz="4" w:space="0" w:color="auto"/>
            </w:tcBorders>
            <w:vAlign w:val="center"/>
          </w:tcPr>
          <w:p w14:paraId="337FA90A" w14:textId="77777777" w:rsidR="00694CD3" w:rsidRPr="00213A5D" w:rsidRDefault="00694CD3" w:rsidP="00AF1852">
            <w:pPr>
              <w:widowControl w:val="0"/>
              <w:spacing w:line="240" w:lineRule="auto"/>
              <w:ind w:left="0" w:right="0" w:firstLine="0"/>
              <w:jc w:val="center"/>
              <w:rPr>
                <w:b/>
                <w:sz w:val="18"/>
                <w:szCs w:val="18"/>
              </w:rPr>
            </w:pPr>
          </w:p>
        </w:tc>
      </w:tr>
      <w:tr w:rsidR="00694CD3" w:rsidRPr="00213A5D" w14:paraId="268BE8F2" w14:textId="77777777" w:rsidTr="00035EFB">
        <w:tc>
          <w:tcPr>
            <w:tcW w:w="2268" w:type="dxa"/>
            <w:tcBorders>
              <w:top w:val="single" w:sz="4" w:space="0" w:color="auto"/>
              <w:left w:val="single" w:sz="4" w:space="0" w:color="auto"/>
              <w:bottom w:val="single" w:sz="4" w:space="0" w:color="auto"/>
              <w:right w:val="single" w:sz="4" w:space="0" w:color="auto"/>
            </w:tcBorders>
          </w:tcPr>
          <w:p w14:paraId="55DF8163" w14:textId="77777777" w:rsidR="00694CD3" w:rsidRPr="00213A5D" w:rsidRDefault="00694CD3" w:rsidP="00AF1852">
            <w:pPr>
              <w:widowControl w:val="0"/>
              <w:spacing w:line="240" w:lineRule="auto"/>
              <w:ind w:left="0" w:right="0" w:firstLine="0"/>
              <w:rPr>
                <w:b/>
                <w:sz w:val="18"/>
                <w:szCs w:val="18"/>
              </w:rPr>
            </w:pPr>
            <w:r w:rsidRPr="00213A5D">
              <w:rPr>
                <w:b/>
                <w:sz w:val="18"/>
                <w:szCs w:val="18"/>
              </w:rPr>
              <w:t xml:space="preserve">ВСЕГО </w:t>
            </w:r>
          </w:p>
        </w:tc>
        <w:tc>
          <w:tcPr>
            <w:tcW w:w="4111" w:type="dxa"/>
            <w:tcBorders>
              <w:top w:val="single" w:sz="4" w:space="0" w:color="auto"/>
              <w:left w:val="single" w:sz="4" w:space="0" w:color="auto"/>
              <w:bottom w:val="single" w:sz="4" w:space="0" w:color="auto"/>
              <w:right w:val="single" w:sz="4" w:space="0" w:color="auto"/>
            </w:tcBorders>
          </w:tcPr>
          <w:p w14:paraId="7A739D6F" w14:textId="77777777" w:rsidR="00694CD3" w:rsidRPr="00213A5D" w:rsidRDefault="00694CD3" w:rsidP="00AF1852">
            <w:pPr>
              <w:widowControl w:val="0"/>
              <w:overflowPunct/>
              <w:spacing w:line="240" w:lineRule="auto"/>
              <w:ind w:left="0" w:right="0" w:firstLine="0"/>
              <w:textAlignment w:val="auto"/>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06BAFCC" w14:textId="77777777" w:rsidR="00694CD3" w:rsidRPr="00213A5D" w:rsidRDefault="00694CD3" w:rsidP="00AF1852">
            <w:pPr>
              <w:widowControl w:val="0"/>
              <w:spacing w:line="240" w:lineRule="auto"/>
              <w:ind w:left="0" w:right="0" w:firstLine="0"/>
              <w:jc w:val="center"/>
              <w:rPr>
                <w:b/>
                <w:sz w:val="18"/>
                <w:szCs w:val="18"/>
              </w:rPr>
            </w:pPr>
            <w:r w:rsidRPr="00213A5D">
              <w:rPr>
                <w:b/>
                <w:sz w:val="18"/>
                <w:szCs w:val="18"/>
              </w:rPr>
              <w:t>688,0</w:t>
            </w:r>
          </w:p>
        </w:tc>
        <w:tc>
          <w:tcPr>
            <w:tcW w:w="1276" w:type="dxa"/>
            <w:tcBorders>
              <w:top w:val="single" w:sz="4" w:space="0" w:color="auto"/>
              <w:left w:val="single" w:sz="4" w:space="0" w:color="auto"/>
              <w:bottom w:val="single" w:sz="4" w:space="0" w:color="auto"/>
              <w:right w:val="single" w:sz="4" w:space="0" w:color="auto"/>
            </w:tcBorders>
            <w:vAlign w:val="center"/>
          </w:tcPr>
          <w:p w14:paraId="7E440457" w14:textId="77777777" w:rsidR="00694CD3" w:rsidRPr="00213A5D" w:rsidRDefault="00694CD3" w:rsidP="00AF1852">
            <w:pPr>
              <w:widowControl w:val="0"/>
              <w:spacing w:line="240" w:lineRule="auto"/>
              <w:ind w:left="0" w:right="0" w:firstLine="0"/>
              <w:jc w:val="center"/>
              <w:rPr>
                <w:b/>
                <w:sz w:val="18"/>
                <w:szCs w:val="18"/>
              </w:rPr>
            </w:pPr>
            <w:r w:rsidRPr="00213A5D">
              <w:rPr>
                <w:b/>
                <w:sz w:val="18"/>
                <w:szCs w:val="18"/>
              </w:rPr>
              <w:t>4 352,9</w:t>
            </w:r>
          </w:p>
        </w:tc>
        <w:tc>
          <w:tcPr>
            <w:tcW w:w="1134" w:type="dxa"/>
            <w:tcBorders>
              <w:top w:val="single" w:sz="4" w:space="0" w:color="auto"/>
              <w:left w:val="single" w:sz="4" w:space="0" w:color="auto"/>
              <w:bottom w:val="single" w:sz="4" w:space="0" w:color="auto"/>
              <w:right w:val="single" w:sz="4" w:space="0" w:color="auto"/>
            </w:tcBorders>
            <w:vAlign w:val="center"/>
          </w:tcPr>
          <w:p w14:paraId="126778A4" w14:textId="77777777" w:rsidR="00694CD3" w:rsidRPr="00213A5D" w:rsidRDefault="00694CD3" w:rsidP="00AF1852">
            <w:pPr>
              <w:widowControl w:val="0"/>
              <w:spacing w:line="240" w:lineRule="auto"/>
              <w:ind w:left="0" w:right="0" w:firstLine="0"/>
              <w:jc w:val="center"/>
              <w:rPr>
                <w:b/>
                <w:sz w:val="18"/>
                <w:szCs w:val="18"/>
              </w:rPr>
            </w:pPr>
          </w:p>
        </w:tc>
      </w:tr>
    </w:tbl>
    <w:p w14:paraId="60745CAF" w14:textId="77777777" w:rsidR="00A8210D" w:rsidRPr="00213A5D" w:rsidRDefault="00A8210D" w:rsidP="00AF1852">
      <w:pPr>
        <w:widowControl w:val="0"/>
        <w:spacing w:line="240" w:lineRule="auto"/>
        <w:ind w:left="0" w:right="0"/>
        <w:jc w:val="right"/>
        <w:rPr>
          <w:sz w:val="16"/>
          <w:szCs w:val="16"/>
        </w:rPr>
      </w:pPr>
    </w:p>
    <w:p w14:paraId="6B149E6E" w14:textId="77777777" w:rsidR="00694CD3" w:rsidRPr="00213A5D" w:rsidRDefault="00694CD3" w:rsidP="00AF1852">
      <w:pPr>
        <w:pStyle w:val="afd"/>
        <w:widowControl w:val="0"/>
        <w:ind w:firstLine="567"/>
        <w:jc w:val="both"/>
      </w:pPr>
      <w:r w:rsidRPr="00213A5D">
        <w:t>*) </w:t>
      </w:r>
      <w:r w:rsidR="003D6E8D" w:rsidRPr="00213A5D">
        <w:t>Д</w:t>
      </w:r>
      <w:r w:rsidRPr="00213A5D">
        <w:t xml:space="preserve">анные приведены в соответствии с информацией Минфина России об остатках средств на счетах </w:t>
      </w:r>
      <w:r w:rsidR="00270542" w:rsidRPr="00213A5D">
        <w:br/>
      </w:r>
      <w:r w:rsidRPr="00213A5D">
        <w:t>по учету средств федерального бюджета в 2021 году (письмо от 11 марта 2022 г. № 16-04-16/17908).</w:t>
      </w:r>
    </w:p>
    <w:p w14:paraId="110EE1A4" w14:textId="77777777" w:rsidR="00694CD3" w:rsidRPr="00213A5D" w:rsidRDefault="00694CD3" w:rsidP="00AF1852">
      <w:pPr>
        <w:widowControl w:val="0"/>
        <w:spacing w:line="240" w:lineRule="auto"/>
        <w:ind w:left="0" w:right="0" w:firstLine="567"/>
        <w:rPr>
          <w:sz w:val="20"/>
          <w:szCs w:val="20"/>
        </w:rPr>
      </w:pPr>
      <w:r w:rsidRPr="00213A5D">
        <w:rPr>
          <w:rFonts w:eastAsia="Times New Roman"/>
          <w:sz w:val="20"/>
          <w:szCs w:val="20"/>
        </w:rPr>
        <w:t xml:space="preserve">**) </w:t>
      </w:r>
      <w:r w:rsidR="003D6E8D" w:rsidRPr="00213A5D">
        <w:rPr>
          <w:rFonts w:eastAsia="Times New Roman"/>
          <w:sz w:val="20"/>
          <w:szCs w:val="20"/>
        </w:rPr>
        <w:t>Р</w:t>
      </w:r>
      <w:r w:rsidRPr="00213A5D">
        <w:rPr>
          <w:sz w:val="20"/>
          <w:szCs w:val="20"/>
        </w:rPr>
        <w:t>езервный фонд Правительства Российской Федерации увеличен за счет не использованных в 2021 году остатков средств федерального бюджета, образовавшихся на 1 января 2022 года, на общую сумму</w:t>
      </w:r>
      <w:r w:rsidRPr="00213A5D">
        <w:rPr>
          <w:b/>
          <w:bCs/>
          <w:sz w:val="20"/>
          <w:szCs w:val="20"/>
        </w:rPr>
        <w:t xml:space="preserve"> 254 929,4 млн. рублей,</w:t>
      </w:r>
      <w:r w:rsidRPr="00213A5D">
        <w:rPr>
          <w:sz w:val="20"/>
          <w:szCs w:val="20"/>
        </w:rPr>
        <w:t xml:space="preserve"> в том числе:</w:t>
      </w:r>
    </w:p>
    <w:p w14:paraId="02F317D7" w14:textId="77777777" w:rsidR="00694CD3" w:rsidRPr="00213A5D" w:rsidRDefault="00694CD3" w:rsidP="00AF1852">
      <w:pPr>
        <w:widowControl w:val="0"/>
        <w:spacing w:line="240" w:lineRule="auto"/>
        <w:ind w:left="0" w:right="0" w:firstLine="567"/>
        <w:rPr>
          <w:sz w:val="20"/>
          <w:szCs w:val="20"/>
        </w:rPr>
      </w:pPr>
      <w:r w:rsidRPr="00213A5D">
        <w:rPr>
          <w:rFonts w:eastAsia="Times New Roman"/>
          <w:sz w:val="20"/>
          <w:szCs w:val="20"/>
        </w:rPr>
        <w:t xml:space="preserve">139 360,6 млн. рублей и </w:t>
      </w:r>
      <w:r w:rsidRPr="00213A5D">
        <w:rPr>
          <w:sz w:val="20"/>
          <w:szCs w:val="20"/>
        </w:rPr>
        <w:t xml:space="preserve">1 634,4 млн. рублей </w:t>
      </w:r>
      <w:r w:rsidRPr="00213A5D">
        <w:rPr>
          <w:rFonts w:eastAsia="Times New Roman"/>
          <w:sz w:val="20"/>
          <w:szCs w:val="20"/>
        </w:rPr>
        <w:t xml:space="preserve">– в соответствии с </w:t>
      </w:r>
      <w:r w:rsidRPr="00213A5D">
        <w:rPr>
          <w:sz w:val="20"/>
          <w:szCs w:val="20"/>
        </w:rPr>
        <w:t xml:space="preserve">распоряжениями Правительства Российской Федерации от 21 января 2022 г. № 49-р и от 22 июня 2022 г. № 1637-р соответственно </w:t>
      </w:r>
      <w:r w:rsidRPr="00213A5D">
        <w:rPr>
          <w:b/>
          <w:sz w:val="20"/>
          <w:szCs w:val="20"/>
        </w:rPr>
        <w:t>за счет не использованных в 2021 году остатков</w:t>
      </w:r>
      <w:r w:rsidRPr="00213A5D">
        <w:rPr>
          <w:sz w:val="20"/>
          <w:szCs w:val="20"/>
        </w:rPr>
        <w:t xml:space="preserve"> средств федерального бюджета, образовавшихся на 1 января 2022 года;</w:t>
      </w:r>
    </w:p>
    <w:p w14:paraId="42E63C9E" w14:textId="77777777" w:rsidR="00694CD3" w:rsidRPr="00213A5D" w:rsidRDefault="00694CD3" w:rsidP="00AF1852">
      <w:pPr>
        <w:widowControl w:val="0"/>
        <w:spacing w:line="240" w:lineRule="auto"/>
        <w:ind w:left="0" w:right="0" w:firstLine="567"/>
        <w:rPr>
          <w:sz w:val="20"/>
          <w:szCs w:val="20"/>
        </w:rPr>
      </w:pPr>
      <w:r w:rsidRPr="00213A5D">
        <w:rPr>
          <w:sz w:val="20"/>
          <w:szCs w:val="20"/>
        </w:rPr>
        <w:t xml:space="preserve">113 934,4 млн. рублей – в соответствии с распоряжением Правительства Российской Федерации </w:t>
      </w:r>
      <w:r w:rsidR="00270542" w:rsidRPr="00213A5D">
        <w:rPr>
          <w:sz w:val="20"/>
          <w:szCs w:val="20"/>
        </w:rPr>
        <w:br/>
      </w:r>
      <w:r w:rsidRPr="00213A5D">
        <w:rPr>
          <w:sz w:val="20"/>
          <w:szCs w:val="20"/>
        </w:rPr>
        <w:t xml:space="preserve">от 26 апреля 2022 г. № 1010-р </w:t>
      </w:r>
      <w:r w:rsidRPr="00213A5D">
        <w:rPr>
          <w:b/>
          <w:sz w:val="20"/>
          <w:szCs w:val="20"/>
        </w:rPr>
        <w:t>за счет не использованных в 2021 году остатков</w:t>
      </w:r>
      <w:r w:rsidRPr="00213A5D">
        <w:rPr>
          <w:sz w:val="20"/>
          <w:szCs w:val="20"/>
        </w:rPr>
        <w:t xml:space="preserve"> средств </w:t>
      </w:r>
      <w:r w:rsidR="003D6E8D" w:rsidRPr="00213A5D">
        <w:rPr>
          <w:sz w:val="20"/>
          <w:szCs w:val="20"/>
        </w:rPr>
        <w:br/>
      </w:r>
      <w:r w:rsidRPr="00213A5D">
        <w:rPr>
          <w:sz w:val="20"/>
          <w:szCs w:val="20"/>
        </w:rPr>
        <w:t>федерального бюджета, образовавшихся на 1 января 2022 года, включая не использованные в 2021 году 38 782,1 млн. рублей</w:t>
      </w:r>
      <w:r w:rsidR="003D6E8D" w:rsidRPr="00213A5D">
        <w:rPr>
          <w:sz w:val="20"/>
          <w:szCs w:val="20"/>
        </w:rPr>
        <w:t xml:space="preserve"> – </w:t>
      </w:r>
      <w:r w:rsidRPr="00213A5D">
        <w:rPr>
          <w:sz w:val="20"/>
          <w:szCs w:val="20"/>
        </w:rPr>
        <w:t>остатки средств федерального бюджета, предусмотренных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w:t>
      </w:r>
    </w:p>
    <w:p w14:paraId="15B04502" w14:textId="77777777" w:rsidR="00694CD3" w:rsidRPr="00213A5D" w:rsidRDefault="00694CD3" w:rsidP="00AF1852">
      <w:pPr>
        <w:widowControl w:val="0"/>
        <w:spacing w:line="240" w:lineRule="auto"/>
        <w:ind w:left="0" w:right="0" w:firstLine="567"/>
        <w:rPr>
          <w:sz w:val="20"/>
          <w:szCs w:val="20"/>
        </w:rPr>
      </w:pPr>
      <w:r w:rsidRPr="00213A5D">
        <w:rPr>
          <w:sz w:val="20"/>
          <w:szCs w:val="20"/>
        </w:rPr>
        <w:t xml:space="preserve">***) </w:t>
      </w:r>
      <w:r w:rsidR="003D6E8D" w:rsidRPr="00213A5D">
        <w:rPr>
          <w:sz w:val="20"/>
          <w:szCs w:val="20"/>
        </w:rPr>
        <w:t>У</w:t>
      </w:r>
      <w:r w:rsidRPr="00213A5D">
        <w:rPr>
          <w:sz w:val="20"/>
          <w:szCs w:val="20"/>
        </w:rPr>
        <w:t xml:space="preserve">величение бюджетных ассигнований резервного фонда Правительства Российской Федерации </w:t>
      </w:r>
      <w:r w:rsidR="00270542" w:rsidRPr="00213A5D">
        <w:rPr>
          <w:sz w:val="20"/>
          <w:szCs w:val="20"/>
        </w:rPr>
        <w:br/>
      </w:r>
      <w:r w:rsidRPr="00213A5D">
        <w:rPr>
          <w:sz w:val="20"/>
          <w:szCs w:val="20"/>
        </w:rPr>
        <w:t>за счет других источников в объеме 3 660 154,1 млн. рублей, из них:</w:t>
      </w:r>
    </w:p>
    <w:p w14:paraId="26540C69" w14:textId="77777777" w:rsidR="00694CD3" w:rsidRPr="00213A5D" w:rsidRDefault="00EC1DD4" w:rsidP="00AF1852">
      <w:pPr>
        <w:widowControl w:val="0"/>
        <w:spacing w:line="240" w:lineRule="auto"/>
        <w:ind w:left="0" w:right="0" w:firstLine="567"/>
        <w:rPr>
          <w:sz w:val="20"/>
          <w:szCs w:val="20"/>
        </w:rPr>
      </w:pPr>
      <w:r w:rsidRPr="00213A5D">
        <w:rPr>
          <w:sz w:val="20"/>
          <w:szCs w:val="20"/>
        </w:rPr>
        <w:t>3 643 679,4 млн. рублей (</w:t>
      </w:r>
      <w:r w:rsidR="00694CD3" w:rsidRPr="00213A5D">
        <w:rPr>
          <w:sz w:val="20"/>
          <w:szCs w:val="20"/>
        </w:rPr>
        <w:t>271 564,6 млн. рублей, 791 552,8 млн. рублей, 551 449,4 млн. рублей, 810 514,2 млн. рублей, 561 250,2 млн. рублей, 225 140,5 млн. рублей, 432 207,8 млн. рублей</w:t>
      </w:r>
      <w:r w:rsidRPr="00213A5D">
        <w:rPr>
          <w:sz w:val="20"/>
          <w:szCs w:val="20"/>
        </w:rPr>
        <w:t>)</w:t>
      </w:r>
      <w:r w:rsidR="00694CD3" w:rsidRPr="00213A5D">
        <w:rPr>
          <w:sz w:val="20"/>
          <w:szCs w:val="20"/>
        </w:rPr>
        <w:t xml:space="preserve"> – увеличение объема резервного фонда Правительства Российской Федерации за счет поступивших в федеральный бюджет дополнительных нефтегазовых доходов, сформированных в 2022 году, сверх объема дополнительных нефтегазовых доходов федерального бюджета, сформированных в 2022 году, на сумму которых была произведена покупка иностранной валюты и золота в обезличенной форме в соответствии с </w:t>
      </w:r>
      <w:hyperlink r:id="rId24" w:history="1">
        <w:r w:rsidR="00694CD3" w:rsidRPr="00213A5D">
          <w:rPr>
            <w:sz w:val="20"/>
            <w:szCs w:val="20"/>
          </w:rPr>
          <w:t>постановлением</w:t>
        </w:r>
      </w:hyperlink>
      <w:r w:rsidR="00694CD3" w:rsidRPr="00213A5D">
        <w:rPr>
          <w:sz w:val="20"/>
          <w:szCs w:val="20"/>
        </w:rPr>
        <w:t xml:space="preserve"> Правительства Российской Федерации от 14 августа 2013 г. № 699 «О проведении расчетов и перечислении средств в связи с формированием и использованием дополнительных нефтегазовых доходов федерального бюджета, средств Фонда национального благосостояния, а также о признании утратившими силу отдельных актов Правительства Российской Федерации»;</w:t>
      </w:r>
    </w:p>
    <w:p w14:paraId="016CD1D8" w14:textId="77777777" w:rsidR="00694CD3" w:rsidRPr="00213A5D" w:rsidRDefault="00694CD3" w:rsidP="00AF1852">
      <w:pPr>
        <w:widowControl w:val="0"/>
        <w:spacing w:line="240" w:lineRule="auto"/>
        <w:ind w:left="0" w:right="0" w:firstLine="567"/>
        <w:rPr>
          <w:sz w:val="20"/>
          <w:szCs w:val="20"/>
        </w:rPr>
      </w:pPr>
      <w:r w:rsidRPr="00213A5D">
        <w:rPr>
          <w:sz w:val="20"/>
          <w:szCs w:val="20"/>
        </w:rPr>
        <w:t>1 897,5 млн. рублей – не использованные по состоянию на 1 января 2022 года субсидии и иные межбюджетные трансферты, возвращенные в федеральный бюджет;</w:t>
      </w:r>
    </w:p>
    <w:p w14:paraId="46BAF9B3" w14:textId="77777777" w:rsidR="00694CD3" w:rsidRPr="00213A5D" w:rsidRDefault="00694CD3" w:rsidP="00AF1852">
      <w:pPr>
        <w:widowControl w:val="0"/>
        <w:spacing w:line="240" w:lineRule="auto"/>
        <w:ind w:left="0" w:right="0" w:firstLine="567"/>
        <w:rPr>
          <w:sz w:val="20"/>
          <w:szCs w:val="20"/>
        </w:rPr>
      </w:pPr>
      <w:r w:rsidRPr="00213A5D">
        <w:rPr>
          <w:sz w:val="20"/>
          <w:szCs w:val="20"/>
        </w:rPr>
        <w:t>14 577,1 млн. рублей  (8 818,8 млн. рублей, 5 758,3 млн. рублей) </w:t>
      </w:r>
      <w:r w:rsidRPr="00213A5D">
        <w:rPr>
          <w:bCs/>
          <w:iCs/>
          <w:sz w:val="20"/>
          <w:szCs w:val="20"/>
          <w:lang w:bidi="en-US"/>
        </w:rPr>
        <w:t xml:space="preserve">– </w:t>
      </w:r>
      <w:r w:rsidRPr="00213A5D">
        <w:rPr>
          <w:sz w:val="20"/>
          <w:szCs w:val="20"/>
        </w:rPr>
        <w:t>увеличение объема резервного фонда Правительства Российской Федерации в случае и в пределах поступлений от отдельных видов ненефтегазовых доходов сверх объемов, учтенных при утверждении общего объема доходов федерального бюджета.</w:t>
      </w:r>
    </w:p>
    <w:p w14:paraId="0E0A24A5" w14:textId="77777777" w:rsidR="006A74AB" w:rsidRPr="00213A5D" w:rsidRDefault="006A74AB" w:rsidP="00AF1852">
      <w:pPr>
        <w:widowControl w:val="0"/>
        <w:spacing w:line="240" w:lineRule="auto"/>
        <w:ind w:left="0" w:right="0"/>
        <w:jc w:val="right"/>
        <w:rPr>
          <w:sz w:val="12"/>
          <w:szCs w:val="12"/>
        </w:rPr>
      </w:pPr>
    </w:p>
    <w:p w14:paraId="362C7A00" w14:textId="77777777" w:rsidR="009816DB" w:rsidRPr="00213A5D" w:rsidRDefault="009816DB" w:rsidP="00270542">
      <w:pPr>
        <w:widowControl w:val="0"/>
        <w:spacing w:line="348" w:lineRule="auto"/>
        <w:ind w:left="0" w:right="0" w:firstLine="567"/>
        <w:rPr>
          <w:rFonts w:eastAsia="Times New Roman"/>
          <w:sz w:val="24"/>
          <w:szCs w:val="24"/>
        </w:rPr>
      </w:pPr>
      <w:r w:rsidRPr="00213A5D">
        <w:rPr>
          <w:rFonts w:eastAsia="Times New Roman"/>
          <w:sz w:val="24"/>
          <w:szCs w:val="24"/>
        </w:rPr>
        <w:t>За январь – сентябрь 2022 года увеличение бюджетных ассигнований сводной росписи за счет остатков не</w:t>
      </w:r>
      <w:r w:rsidR="003A5D37" w:rsidRPr="00213A5D">
        <w:rPr>
          <w:rFonts w:eastAsia="Times New Roman"/>
          <w:sz w:val="24"/>
          <w:szCs w:val="24"/>
        </w:rPr>
        <w:t xml:space="preserve"> </w:t>
      </w:r>
      <w:r w:rsidRPr="00213A5D">
        <w:rPr>
          <w:rFonts w:eastAsia="Times New Roman"/>
          <w:sz w:val="24"/>
          <w:szCs w:val="24"/>
        </w:rPr>
        <w:t xml:space="preserve">использованных в 2021 году средств федерального бюджета, подлежащих использованию в 2022 году на те же цели, составило 432 502,2 млн. рублей, </w:t>
      </w:r>
      <w:r w:rsidRPr="00213A5D">
        <w:rPr>
          <w:rFonts w:eastAsia="Times New Roman"/>
          <w:sz w:val="24"/>
          <w:szCs w:val="24"/>
        </w:rPr>
        <w:br/>
        <w:t xml:space="preserve">что на 30 019,9 млн. рублей, или на 7,5 %, больше соответствующего показателя </w:t>
      </w:r>
      <w:r w:rsidRPr="00213A5D">
        <w:rPr>
          <w:rFonts w:eastAsia="Times New Roman"/>
          <w:sz w:val="24"/>
          <w:szCs w:val="24"/>
        </w:rPr>
        <w:br/>
      </w:r>
      <w:r w:rsidRPr="00213A5D">
        <w:rPr>
          <w:rFonts w:eastAsia="Times New Roman"/>
          <w:sz w:val="24"/>
          <w:szCs w:val="24"/>
        </w:rPr>
        <w:lastRenderedPageBreak/>
        <w:t>за январь – сентябрь 2021 года (402 482,3 млн. рублей).</w:t>
      </w:r>
    </w:p>
    <w:p w14:paraId="63512458" w14:textId="77777777" w:rsidR="009816DB" w:rsidRPr="00213A5D" w:rsidRDefault="006A74AB" w:rsidP="00270542">
      <w:pPr>
        <w:widowControl w:val="0"/>
        <w:spacing w:line="348" w:lineRule="auto"/>
        <w:ind w:left="0" w:right="0"/>
        <w:rPr>
          <w:sz w:val="24"/>
          <w:szCs w:val="24"/>
        </w:rPr>
      </w:pPr>
      <w:r w:rsidRPr="00213A5D">
        <w:rPr>
          <w:b/>
          <w:sz w:val="24"/>
          <w:szCs w:val="24"/>
        </w:rPr>
        <w:t>4.</w:t>
      </w:r>
      <w:r w:rsidR="0084186F" w:rsidRPr="00213A5D">
        <w:rPr>
          <w:b/>
          <w:sz w:val="24"/>
          <w:szCs w:val="24"/>
        </w:rPr>
        <w:t>3</w:t>
      </w:r>
      <w:r w:rsidRPr="00213A5D">
        <w:rPr>
          <w:b/>
          <w:sz w:val="24"/>
          <w:szCs w:val="24"/>
        </w:rPr>
        <w:t>. </w:t>
      </w:r>
      <w:r w:rsidR="009816DB" w:rsidRPr="00213A5D">
        <w:rPr>
          <w:sz w:val="24"/>
          <w:szCs w:val="24"/>
        </w:rPr>
        <w:t>За январь </w:t>
      </w:r>
      <w:r w:rsidR="009816DB" w:rsidRPr="00213A5D">
        <w:rPr>
          <w:rFonts w:eastAsia="Times New Roman"/>
          <w:sz w:val="24"/>
          <w:szCs w:val="24"/>
        </w:rPr>
        <w:t>–</w:t>
      </w:r>
      <w:r w:rsidR="009816DB" w:rsidRPr="00213A5D">
        <w:rPr>
          <w:sz w:val="24"/>
          <w:szCs w:val="24"/>
        </w:rPr>
        <w:t> сентябрь 2022 года</w:t>
      </w:r>
      <w:r w:rsidR="009816DB" w:rsidRPr="00213A5D">
        <w:rPr>
          <w:b/>
          <w:sz w:val="24"/>
          <w:szCs w:val="24"/>
        </w:rPr>
        <w:t xml:space="preserve"> общий объем положительных изменений </w:t>
      </w:r>
      <w:r w:rsidR="009816DB" w:rsidRPr="00213A5D">
        <w:rPr>
          <w:sz w:val="24"/>
          <w:szCs w:val="24"/>
        </w:rPr>
        <w:t>сводной росписи</w:t>
      </w:r>
      <w:r w:rsidR="009816DB" w:rsidRPr="00213A5D">
        <w:rPr>
          <w:b/>
          <w:sz w:val="24"/>
          <w:szCs w:val="24"/>
        </w:rPr>
        <w:t xml:space="preserve"> </w:t>
      </w:r>
      <w:r w:rsidR="009816DB" w:rsidRPr="00213A5D">
        <w:rPr>
          <w:sz w:val="24"/>
          <w:szCs w:val="24"/>
        </w:rPr>
        <w:t>с изменениями</w:t>
      </w:r>
      <w:r w:rsidR="009816DB" w:rsidRPr="00213A5D">
        <w:rPr>
          <w:b/>
          <w:sz w:val="24"/>
          <w:szCs w:val="24"/>
        </w:rPr>
        <w:t xml:space="preserve"> составил </w:t>
      </w:r>
      <w:r w:rsidR="009816DB" w:rsidRPr="00213A5D">
        <w:rPr>
          <w:rFonts w:eastAsia="Times New Roman"/>
          <w:b/>
          <w:bCs/>
          <w:sz w:val="24"/>
          <w:szCs w:val="24"/>
        </w:rPr>
        <w:t>10 549 923,8</w:t>
      </w:r>
      <w:r w:rsidR="009816DB" w:rsidRPr="00213A5D">
        <w:rPr>
          <w:rFonts w:eastAsia="Times New Roman"/>
          <w:b/>
          <w:bCs/>
          <w:sz w:val="16"/>
          <w:szCs w:val="16"/>
        </w:rPr>
        <w:t xml:space="preserve"> </w:t>
      </w:r>
      <w:r w:rsidR="009816DB" w:rsidRPr="00213A5D">
        <w:rPr>
          <w:b/>
          <w:bCs/>
          <w:sz w:val="24"/>
          <w:szCs w:val="24"/>
        </w:rPr>
        <w:t>м</w:t>
      </w:r>
      <w:r w:rsidR="009816DB" w:rsidRPr="00213A5D">
        <w:rPr>
          <w:b/>
          <w:sz w:val="24"/>
          <w:szCs w:val="24"/>
        </w:rPr>
        <w:t>лн. рублей</w:t>
      </w:r>
      <w:r w:rsidR="009816DB" w:rsidRPr="00213A5D">
        <w:rPr>
          <w:sz w:val="24"/>
          <w:szCs w:val="24"/>
        </w:rPr>
        <w:t xml:space="preserve">, или 44,5 % </w:t>
      </w:r>
      <w:r w:rsidR="009816DB" w:rsidRPr="00213A5D">
        <w:rPr>
          <w:bCs/>
          <w:sz w:val="24"/>
          <w:szCs w:val="24"/>
          <w:lang w:bidi="en-US"/>
        </w:rPr>
        <w:t>бюджетных ассигнований, утвержденных Федеральным законом № 390-ФЗ (</w:t>
      </w:r>
      <w:r w:rsidR="009816DB" w:rsidRPr="00213A5D">
        <w:rPr>
          <w:rFonts w:eastAsia="Times New Roman"/>
          <w:sz w:val="24"/>
          <w:szCs w:val="24"/>
        </w:rPr>
        <w:t>23 694 227,5 млн. рублей</w:t>
      </w:r>
      <w:r w:rsidR="009816DB" w:rsidRPr="00213A5D">
        <w:rPr>
          <w:bCs/>
          <w:sz w:val="24"/>
          <w:szCs w:val="24"/>
          <w:lang w:bidi="en-US"/>
        </w:rPr>
        <w:t>)</w:t>
      </w:r>
      <w:r w:rsidR="009816DB" w:rsidRPr="00213A5D">
        <w:rPr>
          <w:sz w:val="24"/>
          <w:szCs w:val="24"/>
        </w:rPr>
        <w:t>,</w:t>
      </w:r>
      <w:r w:rsidR="009816DB" w:rsidRPr="00213A5D">
        <w:rPr>
          <w:b/>
          <w:sz w:val="24"/>
          <w:szCs w:val="24"/>
        </w:rPr>
        <w:t xml:space="preserve"> </w:t>
      </w:r>
      <w:r w:rsidR="009816DB" w:rsidRPr="00213A5D">
        <w:rPr>
          <w:sz w:val="24"/>
          <w:szCs w:val="24"/>
        </w:rPr>
        <w:t>что на 4 898 506,4 млн. рублей, или в 1,9 раза</w:t>
      </w:r>
      <w:r w:rsidR="003A5D37" w:rsidRPr="00213A5D">
        <w:rPr>
          <w:sz w:val="24"/>
          <w:szCs w:val="24"/>
        </w:rPr>
        <w:t>,</w:t>
      </w:r>
      <w:r w:rsidR="009816DB" w:rsidRPr="00213A5D">
        <w:rPr>
          <w:sz w:val="24"/>
          <w:szCs w:val="24"/>
        </w:rPr>
        <w:t xml:space="preserve"> больше, чем за январь </w:t>
      </w:r>
      <w:r w:rsidR="009816DB" w:rsidRPr="00213A5D">
        <w:rPr>
          <w:rFonts w:eastAsia="Times New Roman"/>
          <w:sz w:val="24"/>
          <w:szCs w:val="24"/>
        </w:rPr>
        <w:t>–</w:t>
      </w:r>
      <w:r w:rsidR="009816DB" w:rsidRPr="00213A5D">
        <w:rPr>
          <w:sz w:val="24"/>
          <w:szCs w:val="24"/>
        </w:rPr>
        <w:t> сентябрь 2021 года (</w:t>
      </w:r>
      <w:r w:rsidR="009816DB" w:rsidRPr="00213A5D">
        <w:rPr>
          <w:rFonts w:eastAsia="Times New Roman"/>
          <w:bCs/>
          <w:sz w:val="24"/>
          <w:szCs w:val="24"/>
        </w:rPr>
        <w:t>5 651 417,4</w:t>
      </w:r>
      <w:r w:rsidR="009816DB" w:rsidRPr="00213A5D">
        <w:rPr>
          <w:sz w:val="24"/>
          <w:szCs w:val="24"/>
        </w:rPr>
        <w:t xml:space="preserve"> млн. рублей).</w:t>
      </w:r>
    </w:p>
    <w:p w14:paraId="3AEC35B6" w14:textId="77777777" w:rsidR="009816DB" w:rsidRPr="00213A5D" w:rsidRDefault="009816DB" w:rsidP="00270542">
      <w:pPr>
        <w:widowControl w:val="0"/>
        <w:spacing w:line="348" w:lineRule="auto"/>
        <w:ind w:left="0" w:right="-2"/>
        <w:rPr>
          <w:sz w:val="24"/>
          <w:szCs w:val="24"/>
        </w:rPr>
      </w:pPr>
      <w:r w:rsidRPr="00213A5D">
        <w:rPr>
          <w:b/>
          <w:sz w:val="24"/>
          <w:szCs w:val="24"/>
        </w:rPr>
        <w:t>Наибольшую долю положительных изменений</w:t>
      </w:r>
      <w:r w:rsidRPr="00213A5D">
        <w:rPr>
          <w:sz w:val="24"/>
          <w:szCs w:val="24"/>
        </w:rPr>
        <w:t xml:space="preserve"> </w:t>
      </w:r>
      <w:r w:rsidRPr="00213A5D">
        <w:rPr>
          <w:b/>
          <w:sz w:val="24"/>
          <w:szCs w:val="24"/>
        </w:rPr>
        <w:t>сводной росписи</w:t>
      </w:r>
      <w:r w:rsidRPr="00213A5D">
        <w:rPr>
          <w:sz w:val="24"/>
          <w:szCs w:val="24"/>
        </w:rPr>
        <w:t xml:space="preserve"> </w:t>
      </w:r>
      <w:r w:rsidRPr="00213A5D">
        <w:rPr>
          <w:sz w:val="24"/>
          <w:szCs w:val="24"/>
        </w:rPr>
        <w:br/>
        <w:t>за январь </w:t>
      </w:r>
      <w:r w:rsidRPr="00213A5D">
        <w:rPr>
          <w:rFonts w:eastAsia="Times New Roman"/>
          <w:sz w:val="24"/>
          <w:szCs w:val="24"/>
        </w:rPr>
        <w:t>–</w:t>
      </w:r>
      <w:r w:rsidRPr="00213A5D">
        <w:rPr>
          <w:sz w:val="24"/>
          <w:szCs w:val="24"/>
        </w:rPr>
        <w:t xml:space="preserve"> сентябрь 2022 года составляют </w:t>
      </w:r>
      <w:r w:rsidRPr="00213A5D">
        <w:rPr>
          <w:rFonts w:eastAsia="Times New Roman"/>
          <w:sz w:val="24"/>
          <w:szCs w:val="24"/>
        </w:rPr>
        <w:t xml:space="preserve">изменения, </w:t>
      </w:r>
      <w:r w:rsidRPr="00213A5D">
        <w:rPr>
          <w:sz w:val="24"/>
          <w:szCs w:val="24"/>
        </w:rPr>
        <w:t>вносимые в случае использования (перераспределения) средств резервного фонда Правительства Российской Федерации (40,8 %) и увеличения бюджетных ассигнований резервного фонда Правительства Российской Федерации (38,3 %).</w:t>
      </w:r>
    </w:p>
    <w:p w14:paraId="12D5569F" w14:textId="77777777" w:rsidR="009816DB" w:rsidRPr="00213A5D" w:rsidRDefault="009816DB" w:rsidP="00270542">
      <w:pPr>
        <w:widowControl w:val="0"/>
        <w:spacing w:line="348" w:lineRule="auto"/>
        <w:ind w:left="0" w:right="-2"/>
        <w:rPr>
          <w:sz w:val="24"/>
          <w:szCs w:val="24"/>
        </w:rPr>
      </w:pPr>
      <w:r w:rsidRPr="00213A5D">
        <w:rPr>
          <w:sz w:val="24"/>
          <w:szCs w:val="24"/>
        </w:rPr>
        <w:t>Пофакторные положительные изменения сводной росписи на 2021 и 2022 годы представлены в следующей таблице.</w:t>
      </w:r>
    </w:p>
    <w:p w14:paraId="1D68BA86" w14:textId="77777777" w:rsidR="00294CFE" w:rsidRPr="00213A5D" w:rsidRDefault="00294CFE" w:rsidP="00270542">
      <w:pPr>
        <w:widowControl w:val="0"/>
        <w:spacing w:line="240" w:lineRule="auto"/>
        <w:ind w:left="0" w:right="0"/>
        <w:jc w:val="right"/>
        <w:rPr>
          <w:sz w:val="20"/>
          <w:szCs w:val="20"/>
        </w:rPr>
      </w:pPr>
      <w:r w:rsidRPr="00213A5D">
        <w:rPr>
          <w:sz w:val="20"/>
          <w:szCs w:val="20"/>
        </w:rPr>
        <w:t>(млн. рублей)</w:t>
      </w:r>
    </w:p>
    <w:tbl>
      <w:tblPr>
        <w:tblW w:w="11058" w:type="dxa"/>
        <w:tblInd w:w="-885" w:type="dxa"/>
        <w:tblLayout w:type="fixed"/>
        <w:tblLook w:val="04A0" w:firstRow="1" w:lastRow="0" w:firstColumn="1" w:lastColumn="0" w:noHBand="0" w:noVBand="1"/>
      </w:tblPr>
      <w:tblGrid>
        <w:gridCol w:w="567"/>
        <w:gridCol w:w="3403"/>
        <w:gridCol w:w="1276"/>
        <w:gridCol w:w="567"/>
        <w:gridCol w:w="1275"/>
        <w:gridCol w:w="567"/>
        <w:gridCol w:w="994"/>
        <w:gridCol w:w="1276"/>
        <w:gridCol w:w="1133"/>
      </w:tblGrid>
      <w:tr w:rsidR="00357FBC" w:rsidRPr="00213A5D" w14:paraId="0E249669" w14:textId="77777777" w:rsidTr="00270542">
        <w:trPr>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87953" w14:textId="77777777" w:rsidR="00270542" w:rsidRPr="00213A5D" w:rsidRDefault="00357FBC" w:rsidP="00270542">
            <w:pPr>
              <w:widowControl w:val="0"/>
              <w:overflowPunct/>
              <w:autoSpaceDE/>
              <w:autoSpaceDN/>
              <w:adjustRightInd/>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 xml:space="preserve">Код </w:t>
            </w:r>
          </w:p>
          <w:p w14:paraId="06E34C68" w14:textId="77777777" w:rsidR="00357FBC" w:rsidRPr="00213A5D" w:rsidRDefault="00357FBC" w:rsidP="00270542">
            <w:pPr>
              <w:widowControl w:val="0"/>
              <w:overflowPunct/>
              <w:autoSpaceDE/>
              <w:autoSpaceDN/>
              <w:adjustRightInd/>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вида изме- нений</w:t>
            </w:r>
          </w:p>
        </w:tc>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F6F0CB"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Содержание основания изменения сводной росписи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8092B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Январь – сентябрь 2021 года</w:t>
            </w:r>
          </w:p>
        </w:tc>
        <w:tc>
          <w:tcPr>
            <w:tcW w:w="52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389FADC" w14:textId="77777777" w:rsidR="00270542"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 xml:space="preserve">Январь – сентябрь </w:t>
            </w:r>
          </w:p>
          <w:p w14:paraId="7F69851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2022 года</w:t>
            </w:r>
          </w:p>
        </w:tc>
      </w:tr>
      <w:tr w:rsidR="00357FBC" w:rsidRPr="00213A5D" w14:paraId="6576115E" w14:textId="77777777" w:rsidTr="00270542">
        <w:trPr>
          <w:tblHeader/>
        </w:trPr>
        <w:tc>
          <w:tcPr>
            <w:tcW w:w="567" w:type="dxa"/>
            <w:vMerge/>
            <w:tcBorders>
              <w:top w:val="single" w:sz="4" w:space="0" w:color="auto"/>
              <w:left w:val="single" w:sz="4" w:space="0" w:color="auto"/>
              <w:bottom w:val="single" w:sz="4" w:space="0" w:color="auto"/>
              <w:right w:val="single" w:sz="4" w:space="0" w:color="auto"/>
            </w:tcBorders>
            <w:vAlign w:val="center"/>
          </w:tcPr>
          <w:p w14:paraId="2CAAEAC6" w14:textId="77777777" w:rsidR="00357FBC" w:rsidRPr="00213A5D" w:rsidRDefault="00357FBC" w:rsidP="00AF1852">
            <w:pPr>
              <w:widowControl w:val="0"/>
              <w:overflowPunct/>
              <w:autoSpaceDE/>
              <w:autoSpaceDN/>
              <w:adjustRightInd/>
              <w:spacing w:line="240" w:lineRule="auto"/>
              <w:ind w:left="0" w:right="0" w:firstLine="0"/>
              <w:jc w:val="left"/>
              <w:textAlignment w:val="auto"/>
              <w:rPr>
                <w:rFonts w:eastAsia="Times New Roman"/>
                <w:b/>
                <w:bCs/>
                <w:sz w:val="16"/>
                <w:szCs w:val="16"/>
              </w:rPr>
            </w:pPr>
          </w:p>
        </w:tc>
        <w:tc>
          <w:tcPr>
            <w:tcW w:w="3403" w:type="dxa"/>
            <w:vMerge/>
            <w:tcBorders>
              <w:top w:val="single" w:sz="4" w:space="0" w:color="auto"/>
              <w:left w:val="single" w:sz="4" w:space="0" w:color="auto"/>
              <w:bottom w:val="single" w:sz="4" w:space="0" w:color="auto"/>
              <w:right w:val="single" w:sz="4" w:space="0" w:color="auto"/>
            </w:tcBorders>
            <w:vAlign w:val="center"/>
          </w:tcPr>
          <w:p w14:paraId="33FD8359" w14:textId="77777777" w:rsidR="00357FBC" w:rsidRPr="00213A5D" w:rsidRDefault="00357FBC" w:rsidP="00AF1852">
            <w:pPr>
              <w:widowControl w:val="0"/>
              <w:overflowPunct/>
              <w:autoSpaceDE/>
              <w:autoSpaceDN/>
              <w:adjustRightInd/>
              <w:spacing w:line="240" w:lineRule="auto"/>
              <w:ind w:left="0" w:right="0" w:firstLine="0"/>
              <w:jc w:val="left"/>
              <w:textAlignment w:val="auto"/>
              <w:rPr>
                <w:rFonts w:eastAsia="Times New Roman"/>
                <w:b/>
                <w:bCs/>
                <w:sz w:val="16"/>
                <w:szCs w:val="16"/>
              </w:rPr>
            </w:pPr>
          </w:p>
        </w:tc>
        <w:tc>
          <w:tcPr>
            <w:tcW w:w="1276" w:type="dxa"/>
            <w:vMerge w:val="restart"/>
            <w:tcBorders>
              <w:top w:val="single" w:sz="4" w:space="0" w:color="auto"/>
              <w:left w:val="single" w:sz="4" w:space="0" w:color="auto"/>
              <w:right w:val="single" w:sz="4" w:space="0" w:color="auto"/>
            </w:tcBorders>
            <w:shd w:val="clear" w:color="auto" w:fill="auto"/>
            <w:vAlign w:val="center"/>
          </w:tcPr>
          <w:p w14:paraId="1FA4C9DF" w14:textId="77777777" w:rsidR="00357FBC" w:rsidRPr="00213A5D" w:rsidRDefault="00357FBC" w:rsidP="00AF1852">
            <w:pPr>
              <w:widowControl w:val="0"/>
              <w:spacing w:line="240" w:lineRule="auto"/>
              <w:ind w:left="-108" w:right="-109" w:firstLine="0"/>
              <w:jc w:val="center"/>
              <w:rPr>
                <w:rFonts w:eastAsia="Times New Roman"/>
                <w:b/>
                <w:bCs/>
                <w:sz w:val="16"/>
                <w:szCs w:val="16"/>
              </w:rPr>
            </w:pPr>
            <w:r w:rsidRPr="00213A5D">
              <w:rPr>
                <w:rFonts w:eastAsia="Times New Roman"/>
                <w:b/>
                <w:bCs/>
                <w:sz w:val="16"/>
                <w:szCs w:val="16"/>
              </w:rPr>
              <w:t>сумма положительных изменений</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0FE13001" w14:textId="77777777" w:rsidR="00357FBC" w:rsidRPr="00213A5D" w:rsidRDefault="00357FBC" w:rsidP="00AF1852">
            <w:pPr>
              <w:widowControl w:val="0"/>
              <w:spacing w:line="240" w:lineRule="auto"/>
              <w:ind w:left="-108" w:right="-109"/>
              <w:jc w:val="center"/>
              <w:rPr>
                <w:rFonts w:eastAsia="Times New Roman"/>
                <w:b/>
                <w:bCs/>
                <w:sz w:val="16"/>
                <w:szCs w:val="16"/>
              </w:rPr>
            </w:pPr>
            <w:r w:rsidRPr="00213A5D">
              <w:rPr>
                <w:rFonts w:eastAsia="Times New Roman"/>
                <w:b/>
                <w:bCs/>
                <w:sz w:val="16"/>
                <w:szCs w:val="16"/>
              </w:rPr>
              <w:t>Сструк-тура,</w:t>
            </w:r>
            <w:r w:rsidRPr="00213A5D">
              <w:rPr>
                <w:rFonts w:eastAsia="Times New Roman"/>
                <w:b/>
                <w:bCs/>
                <w:sz w:val="16"/>
                <w:szCs w:val="16"/>
              </w:rPr>
              <w:br/>
              <w:t>в %</w:t>
            </w:r>
          </w:p>
        </w:tc>
        <w:tc>
          <w:tcPr>
            <w:tcW w:w="1275" w:type="dxa"/>
            <w:vMerge w:val="restart"/>
            <w:tcBorders>
              <w:top w:val="single" w:sz="4" w:space="0" w:color="auto"/>
              <w:left w:val="single" w:sz="4" w:space="0" w:color="auto"/>
              <w:right w:val="single" w:sz="4" w:space="0" w:color="auto"/>
            </w:tcBorders>
            <w:shd w:val="clear" w:color="auto" w:fill="auto"/>
            <w:vAlign w:val="center"/>
          </w:tcPr>
          <w:p w14:paraId="4CFB4E7C" w14:textId="77777777" w:rsidR="00357FBC" w:rsidRPr="00213A5D" w:rsidRDefault="00357FBC" w:rsidP="00AF1852">
            <w:pPr>
              <w:widowControl w:val="0"/>
              <w:spacing w:line="240" w:lineRule="auto"/>
              <w:ind w:left="-108" w:right="-109" w:firstLine="0"/>
              <w:jc w:val="center"/>
              <w:rPr>
                <w:rFonts w:eastAsia="Times New Roman"/>
                <w:b/>
                <w:bCs/>
                <w:sz w:val="16"/>
                <w:szCs w:val="16"/>
              </w:rPr>
            </w:pPr>
            <w:r w:rsidRPr="00213A5D">
              <w:rPr>
                <w:rFonts w:eastAsia="Times New Roman"/>
                <w:b/>
                <w:bCs/>
                <w:sz w:val="16"/>
                <w:szCs w:val="16"/>
              </w:rPr>
              <w:t>сумма  положительных изменений</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5FFEC6C2" w14:textId="77777777" w:rsidR="00357FBC" w:rsidRPr="00213A5D" w:rsidRDefault="00357FBC" w:rsidP="00AF1852">
            <w:pPr>
              <w:widowControl w:val="0"/>
              <w:spacing w:line="240" w:lineRule="auto"/>
              <w:ind w:left="-108" w:right="-109"/>
              <w:jc w:val="center"/>
              <w:rPr>
                <w:rFonts w:eastAsia="Times New Roman"/>
                <w:b/>
                <w:bCs/>
                <w:sz w:val="16"/>
                <w:szCs w:val="16"/>
              </w:rPr>
            </w:pPr>
            <w:r w:rsidRPr="00213A5D">
              <w:rPr>
                <w:rFonts w:eastAsia="Times New Roman"/>
                <w:b/>
                <w:bCs/>
                <w:sz w:val="16"/>
                <w:szCs w:val="16"/>
              </w:rPr>
              <w:t>с</w:t>
            </w:r>
            <w:r w:rsidRPr="00213A5D">
              <w:rPr>
                <w:rFonts w:eastAsia="Times New Roman"/>
                <w:b/>
                <w:bCs/>
                <w:sz w:val="16"/>
                <w:szCs w:val="16"/>
                <w:lang w:val="en-US"/>
              </w:rPr>
              <w:t>c</w:t>
            </w:r>
            <w:r w:rsidRPr="00213A5D">
              <w:rPr>
                <w:rFonts w:eastAsia="Times New Roman"/>
                <w:b/>
                <w:bCs/>
                <w:sz w:val="16"/>
                <w:szCs w:val="16"/>
              </w:rPr>
              <w:t>трук-тура,</w:t>
            </w:r>
            <w:r w:rsidRPr="00213A5D">
              <w:rPr>
                <w:rFonts w:eastAsia="Times New Roman"/>
                <w:b/>
                <w:bCs/>
                <w:sz w:val="16"/>
                <w:szCs w:val="16"/>
              </w:rPr>
              <w:br/>
              <w:t>в %</w:t>
            </w:r>
          </w:p>
        </w:tc>
        <w:tc>
          <w:tcPr>
            <w:tcW w:w="3403" w:type="dxa"/>
            <w:gridSpan w:val="3"/>
            <w:tcBorders>
              <w:top w:val="single" w:sz="4" w:space="0" w:color="auto"/>
              <w:left w:val="single" w:sz="4" w:space="0" w:color="auto"/>
              <w:bottom w:val="single" w:sz="4" w:space="0" w:color="auto"/>
              <w:right w:val="single" w:sz="4" w:space="0" w:color="auto"/>
            </w:tcBorders>
          </w:tcPr>
          <w:p w14:paraId="4C1BE6E7"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bCs/>
                <w:sz w:val="16"/>
                <w:szCs w:val="16"/>
              </w:rPr>
            </w:pPr>
            <w:r w:rsidRPr="00213A5D">
              <w:rPr>
                <w:rFonts w:eastAsia="Times New Roman"/>
                <w:b/>
                <w:bCs/>
                <w:sz w:val="16"/>
                <w:szCs w:val="16"/>
              </w:rPr>
              <w:t>в том числе</w:t>
            </w:r>
          </w:p>
        </w:tc>
      </w:tr>
      <w:tr w:rsidR="00357FBC" w:rsidRPr="00213A5D" w14:paraId="56E6A805" w14:textId="77777777" w:rsidTr="00270542">
        <w:trPr>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D854119" w14:textId="77777777" w:rsidR="00357FBC" w:rsidRPr="00213A5D" w:rsidRDefault="00357FBC" w:rsidP="00AF1852">
            <w:pPr>
              <w:widowControl w:val="0"/>
              <w:overflowPunct/>
              <w:autoSpaceDE/>
              <w:autoSpaceDN/>
              <w:adjustRightInd/>
              <w:spacing w:line="240" w:lineRule="auto"/>
              <w:ind w:left="0" w:right="0" w:firstLine="0"/>
              <w:jc w:val="left"/>
              <w:textAlignment w:val="auto"/>
              <w:rPr>
                <w:rFonts w:eastAsia="Times New Roman"/>
                <w:b/>
                <w:bCs/>
                <w:sz w:val="16"/>
                <w:szCs w:val="16"/>
              </w:rPr>
            </w:pPr>
          </w:p>
        </w:tc>
        <w:tc>
          <w:tcPr>
            <w:tcW w:w="3403" w:type="dxa"/>
            <w:vMerge/>
            <w:tcBorders>
              <w:top w:val="single" w:sz="4" w:space="0" w:color="auto"/>
              <w:left w:val="single" w:sz="4" w:space="0" w:color="auto"/>
              <w:bottom w:val="single" w:sz="4" w:space="0" w:color="auto"/>
              <w:right w:val="single" w:sz="4" w:space="0" w:color="auto"/>
            </w:tcBorders>
            <w:vAlign w:val="center"/>
            <w:hideMark/>
          </w:tcPr>
          <w:p w14:paraId="7C1F693E" w14:textId="77777777" w:rsidR="00357FBC" w:rsidRPr="00213A5D" w:rsidRDefault="00357FBC" w:rsidP="00AF1852">
            <w:pPr>
              <w:widowControl w:val="0"/>
              <w:overflowPunct/>
              <w:autoSpaceDE/>
              <w:autoSpaceDN/>
              <w:adjustRightInd/>
              <w:spacing w:line="240" w:lineRule="auto"/>
              <w:ind w:left="0" w:right="0" w:firstLine="0"/>
              <w:jc w:val="left"/>
              <w:textAlignment w:val="auto"/>
              <w:rPr>
                <w:rFonts w:eastAsia="Times New Roman"/>
                <w:b/>
                <w:bCs/>
                <w:sz w:val="16"/>
                <w:szCs w:val="16"/>
              </w:rPr>
            </w:pPr>
          </w:p>
        </w:tc>
        <w:tc>
          <w:tcPr>
            <w:tcW w:w="1276" w:type="dxa"/>
            <w:vMerge/>
            <w:tcBorders>
              <w:left w:val="single" w:sz="4" w:space="0" w:color="auto"/>
              <w:right w:val="single" w:sz="4" w:space="0" w:color="auto"/>
            </w:tcBorders>
            <w:shd w:val="clear" w:color="auto" w:fill="auto"/>
            <w:vAlign w:val="center"/>
            <w:hideMark/>
          </w:tcPr>
          <w:p w14:paraId="5C1577D1"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bCs/>
                <w:sz w:val="16"/>
                <w:szCs w:val="16"/>
              </w:rPr>
            </w:pPr>
          </w:p>
        </w:tc>
        <w:tc>
          <w:tcPr>
            <w:tcW w:w="567" w:type="dxa"/>
            <w:vMerge/>
            <w:tcBorders>
              <w:left w:val="single" w:sz="4" w:space="0" w:color="auto"/>
              <w:right w:val="single" w:sz="4" w:space="0" w:color="auto"/>
            </w:tcBorders>
            <w:shd w:val="clear" w:color="auto" w:fill="auto"/>
            <w:vAlign w:val="center"/>
            <w:hideMark/>
          </w:tcPr>
          <w:p w14:paraId="3EA2765A"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bCs/>
                <w:sz w:val="16"/>
                <w:szCs w:val="16"/>
              </w:rPr>
            </w:pPr>
          </w:p>
        </w:tc>
        <w:tc>
          <w:tcPr>
            <w:tcW w:w="1275" w:type="dxa"/>
            <w:vMerge/>
            <w:tcBorders>
              <w:left w:val="single" w:sz="4" w:space="0" w:color="auto"/>
              <w:right w:val="single" w:sz="4" w:space="0" w:color="auto"/>
            </w:tcBorders>
            <w:shd w:val="clear" w:color="auto" w:fill="auto"/>
            <w:vAlign w:val="center"/>
            <w:hideMark/>
          </w:tcPr>
          <w:p w14:paraId="79A323F9"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bCs/>
                <w:sz w:val="16"/>
                <w:szCs w:val="16"/>
              </w:rPr>
            </w:pPr>
          </w:p>
        </w:tc>
        <w:tc>
          <w:tcPr>
            <w:tcW w:w="567" w:type="dxa"/>
            <w:vMerge/>
            <w:tcBorders>
              <w:left w:val="single" w:sz="4" w:space="0" w:color="auto"/>
              <w:right w:val="single" w:sz="4" w:space="0" w:color="auto"/>
            </w:tcBorders>
            <w:shd w:val="clear" w:color="auto" w:fill="auto"/>
            <w:vAlign w:val="center"/>
            <w:hideMark/>
          </w:tcPr>
          <w:p w14:paraId="02A7FA07"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bCs/>
                <w:sz w:val="16"/>
                <w:szCs w:val="16"/>
              </w:rPr>
            </w:pPr>
          </w:p>
        </w:tc>
        <w:tc>
          <w:tcPr>
            <w:tcW w:w="994" w:type="dxa"/>
            <w:vMerge w:val="restart"/>
            <w:tcBorders>
              <w:top w:val="single" w:sz="4" w:space="0" w:color="auto"/>
              <w:left w:val="single" w:sz="4" w:space="0" w:color="auto"/>
              <w:bottom w:val="single" w:sz="4" w:space="0" w:color="auto"/>
              <w:right w:val="single" w:sz="4" w:space="0" w:color="auto"/>
            </w:tcBorders>
          </w:tcPr>
          <w:p w14:paraId="012F87AF"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bCs/>
                <w:sz w:val="16"/>
                <w:szCs w:val="16"/>
              </w:rPr>
            </w:pPr>
            <w:r w:rsidRPr="00213A5D">
              <w:rPr>
                <w:rFonts w:eastAsia="Times New Roman"/>
                <w:b/>
                <w:bCs/>
                <w:sz w:val="16"/>
                <w:szCs w:val="16"/>
              </w:rPr>
              <w:t xml:space="preserve">увеличение СБР по сравнению с Федеральным законом </w:t>
            </w:r>
          </w:p>
          <w:p w14:paraId="1774ED57"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bCs/>
                <w:sz w:val="16"/>
                <w:szCs w:val="16"/>
              </w:rPr>
            </w:pPr>
            <w:r w:rsidRPr="00213A5D">
              <w:rPr>
                <w:rFonts w:eastAsia="Times New Roman"/>
                <w:b/>
                <w:bCs/>
                <w:sz w:val="16"/>
                <w:szCs w:val="16"/>
              </w:rPr>
              <w:t>№</w:t>
            </w:r>
            <w:r w:rsidR="003E1DE8" w:rsidRPr="00213A5D">
              <w:rPr>
                <w:rFonts w:eastAsia="Times New Roman"/>
                <w:b/>
                <w:bCs/>
                <w:sz w:val="16"/>
                <w:szCs w:val="16"/>
              </w:rPr>
              <w:t xml:space="preserve"> </w:t>
            </w:r>
            <w:r w:rsidRPr="00213A5D">
              <w:rPr>
                <w:rFonts w:eastAsia="Times New Roman"/>
                <w:b/>
                <w:bCs/>
                <w:sz w:val="16"/>
                <w:szCs w:val="16"/>
              </w:rPr>
              <w:t>390-ФЗ</w:t>
            </w:r>
          </w:p>
        </w:tc>
        <w:tc>
          <w:tcPr>
            <w:tcW w:w="2409" w:type="dxa"/>
            <w:gridSpan w:val="2"/>
            <w:tcBorders>
              <w:top w:val="single" w:sz="4" w:space="0" w:color="auto"/>
              <w:left w:val="single" w:sz="4" w:space="0" w:color="auto"/>
              <w:bottom w:val="single" w:sz="4" w:space="0" w:color="auto"/>
              <w:right w:val="single" w:sz="4" w:space="0" w:color="auto"/>
            </w:tcBorders>
          </w:tcPr>
          <w:p w14:paraId="7BC1E5E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 xml:space="preserve">изменения СБР, </w:t>
            </w:r>
          </w:p>
          <w:p w14:paraId="589D008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 xml:space="preserve">не приводящие к увеличению (уменьшению) СБР </w:t>
            </w:r>
          </w:p>
          <w:p w14:paraId="1A29F69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по сравнению с Федеральным законом № 390-ФЗ</w:t>
            </w:r>
          </w:p>
        </w:tc>
      </w:tr>
      <w:tr w:rsidR="00357FBC" w:rsidRPr="00213A5D" w14:paraId="494929D7" w14:textId="77777777" w:rsidTr="00270542">
        <w:trPr>
          <w:tblHead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C8B07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34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27A219"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276" w:type="dxa"/>
            <w:vMerge/>
            <w:tcBorders>
              <w:left w:val="single" w:sz="4" w:space="0" w:color="auto"/>
              <w:bottom w:val="single" w:sz="4" w:space="0" w:color="auto"/>
              <w:right w:val="single" w:sz="4" w:space="0" w:color="auto"/>
            </w:tcBorders>
            <w:shd w:val="clear" w:color="auto" w:fill="auto"/>
            <w:vAlign w:val="center"/>
          </w:tcPr>
          <w:p w14:paraId="32826822"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sz w:val="16"/>
                <w:szCs w:val="16"/>
              </w:rPr>
            </w:pPr>
          </w:p>
        </w:tc>
        <w:tc>
          <w:tcPr>
            <w:tcW w:w="567" w:type="dxa"/>
            <w:vMerge/>
            <w:tcBorders>
              <w:left w:val="single" w:sz="4" w:space="0" w:color="auto"/>
              <w:bottom w:val="single" w:sz="4" w:space="0" w:color="auto"/>
              <w:right w:val="single" w:sz="4" w:space="0" w:color="auto"/>
            </w:tcBorders>
            <w:shd w:val="clear" w:color="auto" w:fill="auto"/>
            <w:vAlign w:val="center"/>
          </w:tcPr>
          <w:p w14:paraId="4FE1AC07"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sz w:val="16"/>
                <w:szCs w:val="16"/>
              </w:rPr>
            </w:pPr>
          </w:p>
        </w:tc>
        <w:tc>
          <w:tcPr>
            <w:tcW w:w="1275" w:type="dxa"/>
            <w:vMerge/>
            <w:tcBorders>
              <w:left w:val="single" w:sz="4" w:space="0" w:color="auto"/>
              <w:bottom w:val="single" w:sz="4" w:space="0" w:color="auto"/>
              <w:right w:val="single" w:sz="4" w:space="0" w:color="auto"/>
            </w:tcBorders>
            <w:shd w:val="clear" w:color="auto" w:fill="auto"/>
            <w:noWrap/>
            <w:vAlign w:val="center"/>
          </w:tcPr>
          <w:p w14:paraId="1F9173EB"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sz w:val="16"/>
                <w:szCs w:val="16"/>
              </w:rPr>
            </w:pPr>
          </w:p>
        </w:tc>
        <w:tc>
          <w:tcPr>
            <w:tcW w:w="567" w:type="dxa"/>
            <w:vMerge/>
            <w:tcBorders>
              <w:left w:val="single" w:sz="4" w:space="0" w:color="auto"/>
              <w:bottom w:val="single" w:sz="4" w:space="0" w:color="auto"/>
              <w:right w:val="single" w:sz="4" w:space="0" w:color="auto"/>
            </w:tcBorders>
            <w:shd w:val="clear" w:color="auto" w:fill="auto"/>
            <w:noWrap/>
            <w:vAlign w:val="center"/>
          </w:tcPr>
          <w:p w14:paraId="2A18BD03"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sz w:val="16"/>
                <w:szCs w:val="16"/>
              </w:rPr>
            </w:pPr>
          </w:p>
        </w:tc>
        <w:tc>
          <w:tcPr>
            <w:tcW w:w="994" w:type="dxa"/>
            <w:vMerge/>
            <w:tcBorders>
              <w:top w:val="single" w:sz="4" w:space="0" w:color="auto"/>
              <w:left w:val="single" w:sz="4" w:space="0" w:color="auto"/>
              <w:bottom w:val="single" w:sz="4" w:space="0" w:color="auto"/>
              <w:right w:val="single" w:sz="4" w:space="0" w:color="auto"/>
            </w:tcBorders>
            <w:vAlign w:val="center"/>
          </w:tcPr>
          <w:p w14:paraId="1217F03D"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3B6806F6"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sz w:val="16"/>
                <w:szCs w:val="16"/>
              </w:rPr>
            </w:pPr>
            <w:r w:rsidRPr="00213A5D">
              <w:rPr>
                <w:rFonts w:eastAsia="Times New Roman"/>
                <w:b/>
                <w:sz w:val="16"/>
                <w:szCs w:val="16"/>
              </w:rPr>
              <w:t>положительные изменения</w:t>
            </w:r>
          </w:p>
        </w:tc>
        <w:tc>
          <w:tcPr>
            <w:tcW w:w="1133" w:type="dxa"/>
            <w:tcBorders>
              <w:top w:val="single" w:sz="4" w:space="0" w:color="auto"/>
              <w:left w:val="single" w:sz="4" w:space="0" w:color="auto"/>
              <w:bottom w:val="single" w:sz="4" w:space="0" w:color="auto"/>
              <w:right w:val="single" w:sz="4" w:space="0" w:color="auto"/>
            </w:tcBorders>
            <w:vAlign w:val="center"/>
          </w:tcPr>
          <w:p w14:paraId="20DFEB0E" w14:textId="77777777" w:rsidR="00357FBC" w:rsidRPr="00213A5D" w:rsidRDefault="00357FBC" w:rsidP="00AF1852">
            <w:pPr>
              <w:widowControl w:val="0"/>
              <w:overflowPunct/>
              <w:autoSpaceDE/>
              <w:autoSpaceDN/>
              <w:adjustRightInd/>
              <w:spacing w:line="240" w:lineRule="auto"/>
              <w:ind w:left="-108" w:right="-109" w:firstLine="0"/>
              <w:jc w:val="center"/>
              <w:textAlignment w:val="auto"/>
              <w:rPr>
                <w:rFonts w:eastAsia="Times New Roman"/>
                <w:b/>
                <w:sz w:val="16"/>
                <w:szCs w:val="16"/>
              </w:rPr>
            </w:pPr>
            <w:r w:rsidRPr="00213A5D">
              <w:rPr>
                <w:rFonts w:eastAsia="Times New Roman"/>
                <w:b/>
                <w:sz w:val="16"/>
                <w:szCs w:val="16"/>
              </w:rPr>
              <w:t>отрицательные изменения</w:t>
            </w:r>
          </w:p>
        </w:tc>
      </w:tr>
      <w:tr w:rsidR="00357FBC" w:rsidRPr="00213A5D" w14:paraId="27E2D9C2" w14:textId="77777777" w:rsidTr="00270542">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D6E7F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w:t>
            </w:r>
          </w:p>
        </w:tc>
        <w:tc>
          <w:tcPr>
            <w:tcW w:w="3403" w:type="dxa"/>
            <w:tcBorders>
              <w:top w:val="single" w:sz="4" w:space="0" w:color="auto"/>
              <w:left w:val="nil"/>
              <w:bottom w:val="single" w:sz="4" w:space="0" w:color="auto"/>
              <w:right w:val="single" w:sz="4" w:space="0" w:color="auto"/>
            </w:tcBorders>
            <w:shd w:val="clear" w:color="auto" w:fill="auto"/>
            <w:vAlign w:val="center"/>
          </w:tcPr>
          <w:p w14:paraId="4D8D8D73"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4A7860C0"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3</w:t>
            </w:r>
          </w:p>
        </w:tc>
        <w:tc>
          <w:tcPr>
            <w:tcW w:w="567" w:type="dxa"/>
            <w:tcBorders>
              <w:top w:val="single" w:sz="4" w:space="0" w:color="auto"/>
              <w:left w:val="nil"/>
              <w:bottom w:val="single" w:sz="4" w:space="0" w:color="auto"/>
              <w:right w:val="single" w:sz="4" w:space="0" w:color="auto"/>
            </w:tcBorders>
            <w:shd w:val="clear" w:color="auto" w:fill="auto"/>
            <w:vAlign w:val="center"/>
          </w:tcPr>
          <w:p w14:paraId="072475C7"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CC70679"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5005C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6</w:t>
            </w:r>
          </w:p>
        </w:tc>
        <w:tc>
          <w:tcPr>
            <w:tcW w:w="994" w:type="dxa"/>
            <w:tcBorders>
              <w:top w:val="single" w:sz="4" w:space="0" w:color="auto"/>
              <w:left w:val="nil"/>
              <w:bottom w:val="single" w:sz="4" w:space="0" w:color="auto"/>
              <w:right w:val="single" w:sz="4" w:space="0" w:color="auto"/>
            </w:tcBorders>
            <w:vAlign w:val="center"/>
          </w:tcPr>
          <w:p w14:paraId="0AF9A6F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7</w:t>
            </w:r>
          </w:p>
        </w:tc>
        <w:tc>
          <w:tcPr>
            <w:tcW w:w="1276" w:type="dxa"/>
            <w:tcBorders>
              <w:top w:val="single" w:sz="4" w:space="0" w:color="auto"/>
              <w:left w:val="nil"/>
              <w:bottom w:val="single" w:sz="4" w:space="0" w:color="auto"/>
              <w:right w:val="single" w:sz="4" w:space="0" w:color="auto"/>
            </w:tcBorders>
            <w:vAlign w:val="center"/>
          </w:tcPr>
          <w:p w14:paraId="268804A3"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8=5-7</w:t>
            </w:r>
          </w:p>
        </w:tc>
        <w:tc>
          <w:tcPr>
            <w:tcW w:w="1133" w:type="dxa"/>
            <w:tcBorders>
              <w:top w:val="single" w:sz="4" w:space="0" w:color="auto"/>
              <w:left w:val="nil"/>
              <w:bottom w:val="single" w:sz="4" w:space="0" w:color="auto"/>
              <w:right w:val="single" w:sz="4" w:space="0" w:color="auto"/>
            </w:tcBorders>
            <w:vAlign w:val="center"/>
          </w:tcPr>
          <w:p w14:paraId="4B26BB0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9= -8</w:t>
            </w:r>
          </w:p>
        </w:tc>
      </w:tr>
      <w:tr w:rsidR="00357FBC" w:rsidRPr="00213A5D" w14:paraId="7401065F" w14:textId="77777777" w:rsidTr="00270542">
        <w:tc>
          <w:tcPr>
            <w:tcW w:w="567" w:type="dxa"/>
            <w:tcBorders>
              <w:top w:val="nil"/>
              <w:left w:val="single" w:sz="4" w:space="0" w:color="auto"/>
              <w:bottom w:val="single" w:sz="4" w:space="0" w:color="auto"/>
              <w:right w:val="single" w:sz="4" w:space="0" w:color="auto"/>
            </w:tcBorders>
            <w:shd w:val="clear" w:color="auto" w:fill="auto"/>
            <w:vAlign w:val="center"/>
            <w:hideMark/>
          </w:tcPr>
          <w:p w14:paraId="44C8C0D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122</w:t>
            </w:r>
          </w:p>
        </w:tc>
        <w:tc>
          <w:tcPr>
            <w:tcW w:w="3403" w:type="dxa"/>
            <w:tcBorders>
              <w:top w:val="nil"/>
              <w:left w:val="nil"/>
              <w:bottom w:val="single" w:sz="4" w:space="0" w:color="auto"/>
              <w:right w:val="single" w:sz="4" w:space="0" w:color="auto"/>
            </w:tcBorders>
            <w:shd w:val="clear" w:color="auto" w:fill="auto"/>
            <w:vAlign w:val="center"/>
            <w:hideMark/>
          </w:tcPr>
          <w:p w14:paraId="649BD2DF"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вносимые в случае использования (перераспределения) средств резервного фонда Правительства Российской Федерации</w:t>
            </w:r>
          </w:p>
        </w:tc>
        <w:tc>
          <w:tcPr>
            <w:tcW w:w="1276" w:type="dxa"/>
            <w:tcBorders>
              <w:top w:val="nil"/>
              <w:left w:val="nil"/>
              <w:bottom w:val="single" w:sz="4" w:space="0" w:color="auto"/>
              <w:right w:val="single" w:sz="4" w:space="0" w:color="auto"/>
            </w:tcBorders>
            <w:shd w:val="clear" w:color="auto" w:fill="auto"/>
            <w:vAlign w:val="center"/>
          </w:tcPr>
          <w:p w14:paraId="48F5A72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2 038 815,4</w:t>
            </w:r>
          </w:p>
        </w:tc>
        <w:tc>
          <w:tcPr>
            <w:tcW w:w="567" w:type="dxa"/>
            <w:tcBorders>
              <w:top w:val="nil"/>
              <w:left w:val="nil"/>
              <w:bottom w:val="single" w:sz="4" w:space="0" w:color="auto"/>
              <w:right w:val="single" w:sz="4" w:space="0" w:color="auto"/>
            </w:tcBorders>
            <w:shd w:val="clear" w:color="auto" w:fill="auto"/>
            <w:vAlign w:val="center"/>
          </w:tcPr>
          <w:p w14:paraId="131968F8"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36,1</w:t>
            </w:r>
          </w:p>
        </w:tc>
        <w:tc>
          <w:tcPr>
            <w:tcW w:w="1275" w:type="dxa"/>
            <w:tcBorders>
              <w:top w:val="nil"/>
              <w:left w:val="nil"/>
              <w:bottom w:val="single" w:sz="4" w:space="0" w:color="auto"/>
              <w:right w:val="single" w:sz="4" w:space="0" w:color="auto"/>
            </w:tcBorders>
            <w:shd w:val="clear" w:color="auto" w:fill="auto"/>
            <w:noWrap/>
            <w:vAlign w:val="center"/>
          </w:tcPr>
          <w:p w14:paraId="50DCAC9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4 301 729,5</w:t>
            </w:r>
          </w:p>
        </w:tc>
        <w:tc>
          <w:tcPr>
            <w:tcW w:w="567" w:type="dxa"/>
            <w:tcBorders>
              <w:top w:val="nil"/>
              <w:left w:val="nil"/>
              <w:bottom w:val="single" w:sz="4" w:space="0" w:color="auto"/>
              <w:right w:val="single" w:sz="4" w:space="0" w:color="auto"/>
            </w:tcBorders>
            <w:shd w:val="clear" w:color="auto" w:fill="auto"/>
            <w:noWrap/>
            <w:vAlign w:val="center"/>
          </w:tcPr>
          <w:p w14:paraId="3CD6D78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40,8</w:t>
            </w:r>
          </w:p>
        </w:tc>
        <w:tc>
          <w:tcPr>
            <w:tcW w:w="994" w:type="dxa"/>
            <w:tcBorders>
              <w:top w:val="nil"/>
              <w:left w:val="nil"/>
              <w:bottom w:val="single" w:sz="4" w:space="0" w:color="auto"/>
              <w:right w:val="single" w:sz="4" w:space="0" w:color="auto"/>
            </w:tcBorders>
            <w:vAlign w:val="center"/>
          </w:tcPr>
          <w:p w14:paraId="1918383B"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276" w:type="dxa"/>
            <w:tcBorders>
              <w:top w:val="nil"/>
              <w:left w:val="nil"/>
              <w:bottom w:val="single" w:sz="4" w:space="0" w:color="auto"/>
              <w:right w:val="single" w:sz="4" w:space="0" w:color="auto"/>
            </w:tcBorders>
            <w:vAlign w:val="center"/>
          </w:tcPr>
          <w:p w14:paraId="5131FA83"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4 301 729,5</w:t>
            </w:r>
          </w:p>
        </w:tc>
        <w:tc>
          <w:tcPr>
            <w:tcW w:w="1133" w:type="dxa"/>
            <w:tcBorders>
              <w:top w:val="nil"/>
              <w:left w:val="nil"/>
              <w:bottom w:val="single" w:sz="4" w:space="0" w:color="auto"/>
              <w:right w:val="single" w:sz="4" w:space="0" w:color="auto"/>
            </w:tcBorders>
            <w:vAlign w:val="center"/>
          </w:tcPr>
          <w:p w14:paraId="05644D9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-4 301 729,5</w:t>
            </w:r>
          </w:p>
        </w:tc>
      </w:tr>
      <w:tr w:rsidR="00357FBC" w:rsidRPr="00213A5D" w14:paraId="707656AE" w14:textId="77777777" w:rsidTr="00270542">
        <w:tc>
          <w:tcPr>
            <w:tcW w:w="567" w:type="dxa"/>
            <w:tcBorders>
              <w:top w:val="nil"/>
              <w:left w:val="single" w:sz="4" w:space="0" w:color="auto"/>
              <w:bottom w:val="single" w:sz="4" w:space="0" w:color="auto"/>
              <w:right w:val="single" w:sz="4" w:space="0" w:color="auto"/>
            </w:tcBorders>
            <w:shd w:val="clear" w:color="auto" w:fill="auto"/>
            <w:vAlign w:val="center"/>
            <w:hideMark/>
          </w:tcPr>
          <w:p w14:paraId="665E620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121</w:t>
            </w:r>
          </w:p>
        </w:tc>
        <w:tc>
          <w:tcPr>
            <w:tcW w:w="3403" w:type="dxa"/>
            <w:tcBorders>
              <w:top w:val="nil"/>
              <w:left w:val="nil"/>
              <w:bottom w:val="single" w:sz="4" w:space="0" w:color="auto"/>
              <w:right w:val="single" w:sz="4" w:space="0" w:color="auto"/>
            </w:tcBorders>
            <w:shd w:val="clear" w:color="auto" w:fill="auto"/>
            <w:vAlign w:val="center"/>
            <w:hideMark/>
          </w:tcPr>
          <w:p w14:paraId="4DE34F3A"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вносимые в случае увеличения бюджетных ассигнований резервного фонда Правительства Российской Федерации</w:t>
            </w:r>
          </w:p>
        </w:tc>
        <w:tc>
          <w:tcPr>
            <w:tcW w:w="1276" w:type="dxa"/>
            <w:tcBorders>
              <w:top w:val="nil"/>
              <w:left w:val="nil"/>
              <w:bottom w:val="single" w:sz="4" w:space="0" w:color="auto"/>
              <w:right w:val="single" w:sz="4" w:space="0" w:color="auto"/>
            </w:tcBorders>
            <w:shd w:val="clear" w:color="auto" w:fill="auto"/>
            <w:vAlign w:val="center"/>
          </w:tcPr>
          <w:p w14:paraId="2463561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1 942 697,1</w:t>
            </w:r>
          </w:p>
        </w:tc>
        <w:tc>
          <w:tcPr>
            <w:tcW w:w="567" w:type="dxa"/>
            <w:tcBorders>
              <w:top w:val="nil"/>
              <w:left w:val="nil"/>
              <w:bottom w:val="single" w:sz="4" w:space="0" w:color="auto"/>
              <w:right w:val="single" w:sz="4" w:space="0" w:color="auto"/>
            </w:tcBorders>
            <w:shd w:val="clear" w:color="auto" w:fill="auto"/>
            <w:vAlign w:val="center"/>
          </w:tcPr>
          <w:p w14:paraId="11EB5B8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34,4</w:t>
            </w:r>
          </w:p>
        </w:tc>
        <w:tc>
          <w:tcPr>
            <w:tcW w:w="1275" w:type="dxa"/>
            <w:tcBorders>
              <w:top w:val="nil"/>
              <w:left w:val="nil"/>
              <w:bottom w:val="single" w:sz="4" w:space="0" w:color="auto"/>
              <w:right w:val="single" w:sz="4" w:space="0" w:color="auto"/>
            </w:tcBorders>
            <w:shd w:val="clear" w:color="auto" w:fill="auto"/>
            <w:noWrap/>
            <w:vAlign w:val="center"/>
          </w:tcPr>
          <w:p w14:paraId="0D23C88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4 044 000,8</w:t>
            </w:r>
          </w:p>
        </w:tc>
        <w:tc>
          <w:tcPr>
            <w:tcW w:w="567" w:type="dxa"/>
            <w:tcBorders>
              <w:top w:val="nil"/>
              <w:left w:val="nil"/>
              <w:bottom w:val="single" w:sz="4" w:space="0" w:color="auto"/>
              <w:right w:val="single" w:sz="4" w:space="0" w:color="auto"/>
            </w:tcBorders>
            <w:shd w:val="clear" w:color="auto" w:fill="auto"/>
            <w:noWrap/>
            <w:vAlign w:val="center"/>
          </w:tcPr>
          <w:p w14:paraId="30CFAAA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38,3</w:t>
            </w:r>
          </w:p>
        </w:tc>
        <w:tc>
          <w:tcPr>
            <w:tcW w:w="994" w:type="dxa"/>
            <w:tcBorders>
              <w:top w:val="nil"/>
              <w:left w:val="nil"/>
              <w:bottom w:val="single" w:sz="4" w:space="0" w:color="auto"/>
              <w:right w:val="single" w:sz="4" w:space="0" w:color="auto"/>
            </w:tcBorders>
            <w:vAlign w:val="center"/>
          </w:tcPr>
          <w:p w14:paraId="29D2551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3 915 083,3</w:t>
            </w:r>
          </w:p>
        </w:tc>
        <w:tc>
          <w:tcPr>
            <w:tcW w:w="1276" w:type="dxa"/>
            <w:tcBorders>
              <w:top w:val="nil"/>
              <w:left w:val="nil"/>
              <w:bottom w:val="single" w:sz="4" w:space="0" w:color="auto"/>
              <w:right w:val="single" w:sz="4" w:space="0" w:color="auto"/>
            </w:tcBorders>
            <w:vAlign w:val="center"/>
          </w:tcPr>
          <w:p w14:paraId="0517CC7F"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128 917,5</w:t>
            </w:r>
          </w:p>
        </w:tc>
        <w:tc>
          <w:tcPr>
            <w:tcW w:w="1133" w:type="dxa"/>
            <w:tcBorders>
              <w:top w:val="nil"/>
              <w:left w:val="nil"/>
              <w:bottom w:val="single" w:sz="4" w:space="0" w:color="auto"/>
              <w:right w:val="single" w:sz="4" w:space="0" w:color="auto"/>
            </w:tcBorders>
            <w:vAlign w:val="center"/>
          </w:tcPr>
          <w:p w14:paraId="7D0CD5E3"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-128 917,5</w:t>
            </w:r>
          </w:p>
        </w:tc>
      </w:tr>
      <w:tr w:rsidR="00357FBC" w:rsidRPr="00213A5D" w14:paraId="19A987F7" w14:textId="77777777" w:rsidTr="00270542">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83CB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125</w:t>
            </w:r>
          </w:p>
        </w:tc>
        <w:tc>
          <w:tcPr>
            <w:tcW w:w="3403" w:type="dxa"/>
            <w:tcBorders>
              <w:top w:val="single" w:sz="4" w:space="0" w:color="auto"/>
              <w:left w:val="nil"/>
              <w:bottom w:val="single" w:sz="4" w:space="0" w:color="auto"/>
              <w:right w:val="single" w:sz="4" w:space="0" w:color="auto"/>
            </w:tcBorders>
            <w:shd w:val="clear" w:color="auto" w:fill="auto"/>
            <w:vAlign w:val="center"/>
            <w:hideMark/>
          </w:tcPr>
          <w:p w14:paraId="166EC4F4"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вносимые в случае использования (перераспределения) средств, иным образом зарезервированных в составе утвержденных федеральным законом о федеральном бюджете бюджетных ассигнований</w:t>
            </w:r>
          </w:p>
        </w:tc>
        <w:tc>
          <w:tcPr>
            <w:tcW w:w="1276" w:type="dxa"/>
            <w:tcBorders>
              <w:top w:val="single" w:sz="4" w:space="0" w:color="auto"/>
              <w:left w:val="nil"/>
              <w:bottom w:val="single" w:sz="4" w:space="0" w:color="auto"/>
              <w:right w:val="single" w:sz="4" w:space="0" w:color="auto"/>
            </w:tcBorders>
            <w:shd w:val="clear" w:color="auto" w:fill="auto"/>
            <w:vAlign w:val="center"/>
          </w:tcPr>
          <w:p w14:paraId="3286712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735 059,2</w:t>
            </w:r>
          </w:p>
        </w:tc>
        <w:tc>
          <w:tcPr>
            <w:tcW w:w="567" w:type="dxa"/>
            <w:tcBorders>
              <w:top w:val="single" w:sz="4" w:space="0" w:color="auto"/>
              <w:left w:val="nil"/>
              <w:bottom w:val="single" w:sz="4" w:space="0" w:color="auto"/>
              <w:right w:val="single" w:sz="4" w:space="0" w:color="auto"/>
            </w:tcBorders>
            <w:shd w:val="clear" w:color="auto" w:fill="auto"/>
            <w:vAlign w:val="center"/>
          </w:tcPr>
          <w:p w14:paraId="6AAF9498" w14:textId="77777777" w:rsidR="00357FBC" w:rsidRPr="00213A5D" w:rsidRDefault="00357FBC" w:rsidP="003E1DE8">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CE48A98"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804 521,7</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6A5E15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7,6</w:t>
            </w:r>
          </w:p>
        </w:tc>
        <w:tc>
          <w:tcPr>
            <w:tcW w:w="994" w:type="dxa"/>
            <w:tcBorders>
              <w:top w:val="single" w:sz="4" w:space="0" w:color="auto"/>
              <w:left w:val="nil"/>
              <w:bottom w:val="single" w:sz="4" w:space="0" w:color="auto"/>
              <w:right w:val="single" w:sz="4" w:space="0" w:color="auto"/>
            </w:tcBorders>
            <w:vAlign w:val="center"/>
          </w:tcPr>
          <w:p w14:paraId="74C233F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276" w:type="dxa"/>
            <w:tcBorders>
              <w:top w:val="single" w:sz="4" w:space="0" w:color="auto"/>
              <w:left w:val="nil"/>
              <w:bottom w:val="single" w:sz="4" w:space="0" w:color="auto"/>
              <w:right w:val="single" w:sz="4" w:space="0" w:color="auto"/>
            </w:tcBorders>
            <w:vAlign w:val="center"/>
          </w:tcPr>
          <w:p w14:paraId="594FC259"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804 521,7</w:t>
            </w:r>
          </w:p>
        </w:tc>
        <w:tc>
          <w:tcPr>
            <w:tcW w:w="1133" w:type="dxa"/>
            <w:tcBorders>
              <w:top w:val="single" w:sz="4" w:space="0" w:color="auto"/>
              <w:left w:val="nil"/>
              <w:bottom w:val="single" w:sz="4" w:space="0" w:color="auto"/>
              <w:right w:val="single" w:sz="4" w:space="0" w:color="auto"/>
            </w:tcBorders>
            <w:vAlign w:val="center"/>
          </w:tcPr>
          <w:p w14:paraId="63DFBED9"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-804 521,7</w:t>
            </w:r>
          </w:p>
        </w:tc>
      </w:tr>
      <w:tr w:rsidR="00357FBC" w:rsidRPr="00213A5D" w14:paraId="0DE672A6" w14:textId="77777777" w:rsidTr="00270542">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D1CF3F"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412</w:t>
            </w:r>
          </w:p>
        </w:tc>
        <w:tc>
          <w:tcPr>
            <w:tcW w:w="3403" w:type="dxa"/>
            <w:tcBorders>
              <w:top w:val="single" w:sz="4" w:space="0" w:color="auto"/>
              <w:left w:val="nil"/>
              <w:bottom w:val="single" w:sz="4" w:space="0" w:color="auto"/>
              <w:right w:val="single" w:sz="4" w:space="0" w:color="auto"/>
            </w:tcBorders>
            <w:shd w:val="clear" w:color="auto" w:fill="auto"/>
            <w:vAlign w:val="center"/>
          </w:tcPr>
          <w:p w14:paraId="6708666C"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 xml:space="preserve">Изменения, вносимые в случае перераспределения бюджетных ассигнований на иные цели, определенные Правительством Российской Федерации, а также перераспределения (увеличения) бюджетных ассигнований, зарезервированных в соответствии с </w:t>
            </w:r>
            <w:hyperlink r:id="rId25" w:history="1">
              <w:r w:rsidRPr="00213A5D">
                <w:rPr>
                  <w:rFonts w:eastAsia="Times New Roman"/>
                  <w:sz w:val="16"/>
                  <w:szCs w:val="16"/>
                </w:rPr>
                <w:t>частью 1 статьи 21</w:t>
              </w:r>
            </w:hyperlink>
            <w:r w:rsidRPr="00213A5D">
              <w:rPr>
                <w:rFonts w:eastAsia="Times New Roman"/>
                <w:sz w:val="16"/>
                <w:szCs w:val="16"/>
              </w:rPr>
              <w:t xml:space="preserve"> Федерального закона «О федеральном бюджете на 2022 год и на плановый период 2023 и 2024 годов»</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4E227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788CF1EA"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229912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452 585,0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B325D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4,3</w:t>
            </w:r>
          </w:p>
        </w:tc>
        <w:tc>
          <w:tcPr>
            <w:tcW w:w="994" w:type="dxa"/>
            <w:tcBorders>
              <w:top w:val="single" w:sz="4" w:space="0" w:color="auto"/>
              <w:left w:val="nil"/>
              <w:bottom w:val="single" w:sz="4" w:space="0" w:color="auto"/>
              <w:right w:val="single" w:sz="4" w:space="0" w:color="auto"/>
            </w:tcBorders>
            <w:vAlign w:val="center"/>
          </w:tcPr>
          <w:p w14:paraId="36C08A2B"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276" w:type="dxa"/>
            <w:tcBorders>
              <w:top w:val="single" w:sz="4" w:space="0" w:color="auto"/>
              <w:left w:val="nil"/>
              <w:bottom w:val="single" w:sz="4" w:space="0" w:color="auto"/>
              <w:right w:val="single" w:sz="4" w:space="0" w:color="auto"/>
            </w:tcBorders>
            <w:vAlign w:val="center"/>
          </w:tcPr>
          <w:p w14:paraId="13816944"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452 585,0</w:t>
            </w:r>
          </w:p>
        </w:tc>
        <w:tc>
          <w:tcPr>
            <w:tcW w:w="1133" w:type="dxa"/>
            <w:tcBorders>
              <w:top w:val="single" w:sz="4" w:space="0" w:color="auto"/>
              <w:left w:val="nil"/>
              <w:bottom w:val="single" w:sz="4" w:space="0" w:color="auto"/>
              <w:right w:val="single" w:sz="4" w:space="0" w:color="auto"/>
            </w:tcBorders>
            <w:vAlign w:val="center"/>
          </w:tcPr>
          <w:p w14:paraId="66B020C7"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-452 585,0</w:t>
            </w:r>
          </w:p>
        </w:tc>
      </w:tr>
      <w:tr w:rsidR="00357FBC" w:rsidRPr="00213A5D" w14:paraId="2A0BC2EC" w14:textId="77777777" w:rsidTr="00270542">
        <w:tc>
          <w:tcPr>
            <w:tcW w:w="567" w:type="dxa"/>
            <w:tcBorders>
              <w:top w:val="nil"/>
              <w:left w:val="single" w:sz="4" w:space="0" w:color="auto"/>
              <w:bottom w:val="single" w:sz="4" w:space="0" w:color="auto"/>
              <w:right w:val="single" w:sz="4" w:space="0" w:color="auto"/>
            </w:tcBorders>
            <w:shd w:val="clear" w:color="auto" w:fill="auto"/>
            <w:vAlign w:val="center"/>
          </w:tcPr>
          <w:p w14:paraId="5CC9038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262</w:t>
            </w:r>
          </w:p>
        </w:tc>
        <w:tc>
          <w:tcPr>
            <w:tcW w:w="3403" w:type="dxa"/>
            <w:tcBorders>
              <w:top w:val="nil"/>
              <w:left w:val="nil"/>
              <w:bottom w:val="single" w:sz="4" w:space="0" w:color="auto"/>
              <w:right w:val="single" w:sz="4" w:space="0" w:color="auto"/>
            </w:tcBorders>
            <w:shd w:val="clear" w:color="auto" w:fill="auto"/>
            <w:vAlign w:val="center"/>
          </w:tcPr>
          <w:p w14:paraId="269A095F"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связанные с перераспределением бюджетных ассигнований на обеспечение сбалансированности бюджетов государственных внебюджетных фондов Российской Федерации, на обязательное пенсионное страхование и на компенсацию выпадающих доходов бюджетов государственных внебюджетных фондов Российской Федерации в связи со снижением тарифов страховых взносов, в соответствии с федеральными законами, решениями Президента Российской Федерации, Правительства Российской Федерации</w:t>
            </w:r>
          </w:p>
        </w:tc>
        <w:tc>
          <w:tcPr>
            <w:tcW w:w="1276" w:type="dxa"/>
            <w:tcBorders>
              <w:top w:val="nil"/>
              <w:left w:val="nil"/>
              <w:bottom w:val="single" w:sz="4" w:space="0" w:color="auto"/>
              <w:right w:val="single" w:sz="4" w:space="0" w:color="auto"/>
            </w:tcBorders>
            <w:shd w:val="clear" w:color="auto" w:fill="auto"/>
            <w:vAlign w:val="center"/>
          </w:tcPr>
          <w:p w14:paraId="7E66507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0,0</w:t>
            </w:r>
          </w:p>
        </w:tc>
        <w:tc>
          <w:tcPr>
            <w:tcW w:w="567" w:type="dxa"/>
            <w:tcBorders>
              <w:top w:val="nil"/>
              <w:left w:val="nil"/>
              <w:bottom w:val="single" w:sz="4" w:space="0" w:color="auto"/>
              <w:right w:val="single" w:sz="4" w:space="0" w:color="auto"/>
            </w:tcBorders>
            <w:shd w:val="clear" w:color="auto" w:fill="auto"/>
            <w:vAlign w:val="center"/>
          </w:tcPr>
          <w:p w14:paraId="362A901F"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center"/>
          </w:tcPr>
          <w:p w14:paraId="19E7BE78"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200 000,0</w:t>
            </w:r>
          </w:p>
        </w:tc>
        <w:tc>
          <w:tcPr>
            <w:tcW w:w="567" w:type="dxa"/>
            <w:tcBorders>
              <w:top w:val="nil"/>
              <w:left w:val="nil"/>
              <w:bottom w:val="single" w:sz="4" w:space="0" w:color="auto"/>
              <w:right w:val="single" w:sz="4" w:space="0" w:color="auto"/>
            </w:tcBorders>
            <w:shd w:val="clear" w:color="auto" w:fill="auto"/>
            <w:noWrap/>
            <w:vAlign w:val="center"/>
          </w:tcPr>
          <w:p w14:paraId="6A82C6D3"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1,9</w:t>
            </w:r>
          </w:p>
        </w:tc>
        <w:tc>
          <w:tcPr>
            <w:tcW w:w="994" w:type="dxa"/>
            <w:tcBorders>
              <w:top w:val="nil"/>
              <w:left w:val="nil"/>
              <w:bottom w:val="single" w:sz="4" w:space="0" w:color="auto"/>
              <w:right w:val="single" w:sz="4" w:space="0" w:color="auto"/>
            </w:tcBorders>
            <w:vAlign w:val="center"/>
          </w:tcPr>
          <w:p w14:paraId="36128690"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276" w:type="dxa"/>
            <w:tcBorders>
              <w:top w:val="nil"/>
              <w:left w:val="nil"/>
              <w:bottom w:val="single" w:sz="4" w:space="0" w:color="auto"/>
              <w:right w:val="single" w:sz="4" w:space="0" w:color="auto"/>
            </w:tcBorders>
            <w:vAlign w:val="center"/>
          </w:tcPr>
          <w:p w14:paraId="7FC10A17"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200 000,0</w:t>
            </w:r>
          </w:p>
        </w:tc>
        <w:tc>
          <w:tcPr>
            <w:tcW w:w="1133" w:type="dxa"/>
            <w:tcBorders>
              <w:top w:val="nil"/>
              <w:left w:val="nil"/>
              <w:bottom w:val="single" w:sz="4" w:space="0" w:color="auto"/>
              <w:right w:val="single" w:sz="4" w:space="0" w:color="auto"/>
            </w:tcBorders>
            <w:vAlign w:val="center"/>
          </w:tcPr>
          <w:p w14:paraId="2BAD150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-200 000,0</w:t>
            </w:r>
          </w:p>
        </w:tc>
      </w:tr>
      <w:tr w:rsidR="00357FBC" w:rsidRPr="00213A5D" w14:paraId="708F39ED" w14:textId="77777777" w:rsidTr="00270542">
        <w:tc>
          <w:tcPr>
            <w:tcW w:w="567" w:type="dxa"/>
            <w:tcBorders>
              <w:top w:val="nil"/>
              <w:left w:val="single" w:sz="4" w:space="0" w:color="auto"/>
              <w:bottom w:val="single" w:sz="4" w:space="0" w:color="auto"/>
              <w:right w:val="single" w:sz="4" w:space="0" w:color="auto"/>
            </w:tcBorders>
            <w:shd w:val="clear" w:color="auto" w:fill="auto"/>
            <w:vAlign w:val="center"/>
            <w:hideMark/>
          </w:tcPr>
          <w:p w14:paraId="20419F5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221</w:t>
            </w:r>
          </w:p>
        </w:tc>
        <w:tc>
          <w:tcPr>
            <w:tcW w:w="3403" w:type="dxa"/>
            <w:tcBorders>
              <w:top w:val="nil"/>
              <w:left w:val="nil"/>
              <w:bottom w:val="single" w:sz="4" w:space="0" w:color="auto"/>
              <w:right w:val="single" w:sz="4" w:space="0" w:color="auto"/>
            </w:tcBorders>
            <w:shd w:val="clear" w:color="auto" w:fill="auto"/>
            <w:vAlign w:val="center"/>
            <w:hideMark/>
          </w:tcPr>
          <w:p w14:paraId="108BA581"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 xml:space="preserve">Изменения, вносимые в случае увеличения бюджетных ассигнований текущего </w:t>
            </w:r>
            <w:r w:rsidRPr="00213A5D">
              <w:rPr>
                <w:rFonts w:eastAsia="Times New Roman"/>
                <w:sz w:val="16"/>
                <w:szCs w:val="16"/>
              </w:rPr>
              <w:lastRenderedPageBreak/>
              <w:t>финансового года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контрактов</w:t>
            </w:r>
          </w:p>
        </w:tc>
        <w:tc>
          <w:tcPr>
            <w:tcW w:w="1276" w:type="dxa"/>
            <w:tcBorders>
              <w:top w:val="nil"/>
              <w:left w:val="nil"/>
              <w:bottom w:val="single" w:sz="4" w:space="0" w:color="auto"/>
              <w:right w:val="single" w:sz="4" w:space="0" w:color="auto"/>
            </w:tcBorders>
            <w:shd w:val="clear" w:color="auto" w:fill="auto"/>
            <w:vAlign w:val="center"/>
          </w:tcPr>
          <w:p w14:paraId="5858FCD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lastRenderedPageBreak/>
              <w:t>163 848,9</w:t>
            </w:r>
          </w:p>
        </w:tc>
        <w:tc>
          <w:tcPr>
            <w:tcW w:w="567" w:type="dxa"/>
            <w:tcBorders>
              <w:top w:val="nil"/>
              <w:left w:val="nil"/>
              <w:bottom w:val="single" w:sz="4" w:space="0" w:color="auto"/>
              <w:right w:val="single" w:sz="4" w:space="0" w:color="auto"/>
            </w:tcBorders>
            <w:shd w:val="clear" w:color="auto" w:fill="auto"/>
            <w:vAlign w:val="center"/>
          </w:tcPr>
          <w:p w14:paraId="68E96A3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2,9</w:t>
            </w:r>
          </w:p>
        </w:tc>
        <w:tc>
          <w:tcPr>
            <w:tcW w:w="1275" w:type="dxa"/>
            <w:tcBorders>
              <w:top w:val="nil"/>
              <w:left w:val="nil"/>
              <w:bottom w:val="single" w:sz="4" w:space="0" w:color="auto"/>
              <w:right w:val="single" w:sz="4" w:space="0" w:color="auto"/>
            </w:tcBorders>
            <w:shd w:val="clear" w:color="auto" w:fill="auto"/>
            <w:noWrap/>
            <w:vAlign w:val="center"/>
          </w:tcPr>
          <w:p w14:paraId="5D9BFE0B"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176 073,5</w:t>
            </w:r>
          </w:p>
        </w:tc>
        <w:tc>
          <w:tcPr>
            <w:tcW w:w="567" w:type="dxa"/>
            <w:tcBorders>
              <w:top w:val="nil"/>
              <w:left w:val="nil"/>
              <w:bottom w:val="single" w:sz="4" w:space="0" w:color="auto"/>
              <w:right w:val="single" w:sz="4" w:space="0" w:color="auto"/>
            </w:tcBorders>
            <w:shd w:val="clear" w:color="auto" w:fill="auto"/>
            <w:noWrap/>
            <w:vAlign w:val="center"/>
          </w:tcPr>
          <w:p w14:paraId="446DCBD4"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1,7</w:t>
            </w:r>
          </w:p>
        </w:tc>
        <w:tc>
          <w:tcPr>
            <w:tcW w:w="994" w:type="dxa"/>
            <w:tcBorders>
              <w:top w:val="nil"/>
              <w:left w:val="nil"/>
              <w:bottom w:val="single" w:sz="4" w:space="0" w:color="auto"/>
              <w:right w:val="single" w:sz="4" w:space="0" w:color="auto"/>
            </w:tcBorders>
            <w:vAlign w:val="center"/>
          </w:tcPr>
          <w:p w14:paraId="43316A1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176 073,5</w:t>
            </w:r>
          </w:p>
        </w:tc>
        <w:tc>
          <w:tcPr>
            <w:tcW w:w="1276" w:type="dxa"/>
            <w:tcBorders>
              <w:top w:val="nil"/>
              <w:left w:val="nil"/>
              <w:bottom w:val="single" w:sz="4" w:space="0" w:color="auto"/>
              <w:right w:val="single" w:sz="4" w:space="0" w:color="auto"/>
            </w:tcBorders>
            <w:vAlign w:val="center"/>
          </w:tcPr>
          <w:p w14:paraId="59BEF72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133" w:type="dxa"/>
            <w:tcBorders>
              <w:top w:val="nil"/>
              <w:left w:val="nil"/>
              <w:bottom w:val="single" w:sz="4" w:space="0" w:color="auto"/>
              <w:right w:val="single" w:sz="4" w:space="0" w:color="auto"/>
            </w:tcBorders>
            <w:vAlign w:val="center"/>
          </w:tcPr>
          <w:p w14:paraId="0E1C590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r>
      <w:tr w:rsidR="00357FBC" w:rsidRPr="00213A5D" w14:paraId="144B196F" w14:textId="77777777" w:rsidTr="00270542">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AE2CA3"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411</w:t>
            </w:r>
          </w:p>
        </w:tc>
        <w:tc>
          <w:tcPr>
            <w:tcW w:w="3403" w:type="dxa"/>
            <w:tcBorders>
              <w:top w:val="single" w:sz="4" w:space="0" w:color="auto"/>
              <w:left w:val="nil"/>
              <w:bottom w:val="single" w:sz="4" w:space="0" w:color="auto"/>
              <w:right w:val="single" w:sz="4" w:space="0" w:color="auto"/>
            </w:tcBorders>
            <w:shd w:val="clear" w:color="auto" w:fill="auto"/>
            <w:vAlign w:val="center"/>
          </w:tcPr>
          <w:p w14:paraId="51F346A6"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вносимые в случае перераспределения бюджетных ассигнований на финансовое обеспечение мероприятий, связанных предотвращением влияния ухудшения геополитической и экономической ситуации на развитие отраслей экономики</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EA3B8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w:t>
            </w:r>
          </w:p>
        </w:tc>
        <w:tc>
          <w:tcPr>
            <w:tcW w:w="567" w:type="dxa"/>
            <w:tcBorders>
              <w:top w:val="single" w:sz="4" w:space="0" w:color="auto"/>
              <w:left w:val="nil"/>
              <w:bottom w:val="single" w:sz="4" w:space="0" w:color="auto"/>
              <w:right w:val="single" w:sz="4" w:space="0" w:color="auto"/>
            </w:tcBorders>
            <w:shd w:val="clear" w:color="auto" w:fill="auto"/>
            <w:vAlign w:val="center"/>
          </w:tcPr>
          <w:p w14:paraId="40FB639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72984AF"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135 618,6</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ED3F0B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1,3</w:t>
            </w:r>
          </w:p>
        </w:tc>
        <w:tc>
          <w:tcPr>
            <w:tcW w:w="994" w:type="dxa"/>
            <w:tcBorders>
              <w:top w:val="single" w:sz="4" w:space="0" w:color="auto"/>
              <w:left w:val="nil"/>
              <w:bottom w:val="single" w:sz="4" w:space="0" w:color="auto"/>
              <w:right w:val="single" w:sz="4" w:space="0" w:color="auto"/>
            </w:tcBorders>
            <w:vAlign w:val="center"/>
          </w:tcPr>
          <w:p w14:paraId="03C6465F"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276" w:type="dxa"/>
            <w:tcBorders>
              <w:top w:val="single" w:sz="4" w:space="0" w:color="auto"/>
              <w:left w:val="nil"/>
              <w:bottom w:val="single" w:sz="4" w:space="0" w:color="auto"/>
              <w:right w:val="single" w:sz="4" w:space="0" w:color="auto"/>
            </w:tcBorders>
            <w:vAlign w:val="center"/>
          </w:tcPr>
          <w:p w14:paraId="68864C3A"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135 618,6</w:t>
            </w:r>
          </w:p>
        </w:tc>
        <w:tc>
          <w:tcPr>
            <w:tcW w:w="1133" w:type="dxa"/>
            <w:tcBorders>
              <w:top w:val="single" w:sz="4" w:space="0" w:color="auto"/>
              <w:left w:val="nil"/>
              <w:bottom w:val="single" w:sz="4" w:space="0" w:color="auto"/>
              <w:right w:val="single" w:sz="4" w:space="0" w:color="auto"/>
            </w:tcBorders>
            <w:vAlign w:val="center"/>
          </w:tcPr>
          <w:p w14:paraId="0327433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-135 618,6</w:t>
            </w:r>
          </w:p>
        </w:tc>
      </w:tr>
      <w:tr w:rsidR="00357FBC" w:rsidRPr="00213A5D" w14:paraId="242D33C3" w14:textId="77777777" w:rsidTr="00270542">
        <w:tc>
          <w:tcPr>
            <w:tcW w:w="567" w:type="dxa"/>
            <w:tcBorders>
              <w:top w:val="nil"/>
              <w:left w:val="single" w:sz="4" w:space="0" w:color="auto"/>
              <w:bottom w:val="single" w:sz="4" w:space="0" w:color="auto"/>
              <w:right w:val="single" w:sz="4" w:space="0" w:color="auto"/>
            </w:tcBorders>
            <w:shd w:val="clear" w:color="auto" w:fill="auto"/>
            <w:vAlign w:val="center"/>
            <w:hideMark/>
          </w:tcPr>
          <w:p w14:paraId="201B797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222</w:t>
            </w:r>
          </w:p>
        </w:tc>
        <w:tc>
          <w:tcPr>
            <w:tcW w:w="3403" w:type="dxa"/>
            <w:tcBorders>
              <w:top w:val="nil"/>
              <w:left w:val="nil"/>
              <w:bottom w:val="single" w:sz="4" w:space="0" w:color="auto"/>
              <w:right w:val="single" w:sz="4" w:space="0" w:color="auto"/>
            </w:tcBorders>
            <w:shd w:val="clear" w:color="auto" w:fill="auto"/>
            <w:vAlign w:val="center"/>
            <w:hideMark/>
          </w:tcPr>
          <w:p w14:paraId="591089CC"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связанные с увеличением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Бюджетным кодексом</w:t>
            </w:r>
          </w:p>
        </w:tc>
        <w:tc>
          <w:tcPr>
            <w:tcW w:w="1276" w:type="dxa"/>
            <w:tcBorders>
              <w:top w:val="nil"/>
              <w:left w:val="nil"/>
              <w:bottom w:val="single" w:sz="4" w:space="0" w:color="auto"/>
              <w:right w:val="single" w:sz="4" w:space="0" w:color="auto"/>
            </w:tcBorders>
            <w:shd w:val="clear" w:color="auto" w:fill="auto"/>
            <w:vAlign w:val="center"/>
          </w:tcPr>
          <w:p w14:paraId="6A834BB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96 419,5</w:t>
            </w:r>
          </w:p>
        </w:tc>
        <w:tc>
          <w:tcPr>
            <w:tcW w:w="567" w:type="dxa"/>
            <w:tcBorders>
              <w:top w:val="nil"/>
              <w:left w:val="nil"/>
              <w:bottom w:val="single" w:sz="4" w:space="0" w:color="auto"/>
              <w:right w:val="single" w:sz="4" w:space="0" w:color="auto"/>
            </w:tcBorders>
            <w:shd w:val="clear" w:color="auto" w:fill="auto"/>
            <w:vAlign w:val="center"/>
          </w:tcPr>
          <w:p w14:paraId="49FBDDC8"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1,7</w:t>
            </w:r>
          </w:p>
        </w:tc>
        <w:tc>
          <w:tcPr>
            <w:tcW w:w="1275" w:type="dxa"/>
            <w:tcBorders>
              <w:top w:val="nil"/>
              <w:left w:val="nil"/>
              <w:bottom w:val="single" w:sz="4" w:space="0" w:color="auto"/>
              <w:right w:val="single" w:sz="4" w:space="0" w:color="auto"/>
            </w:tcBorders>
            <w:shd w:val="clear" w:color="auto" w:fill="auto"/>
            <w:noWrap/>
            <w:vAlign w:val="center"/>
          </w:tcPr>
          <w:p w14:paraId="5E780DA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97 591,1</w:t>
            </w:r>
          </w:p>
        </w:tc>
        <w:tc>
          <w:tcPr>
            <w:tcW w:w="567" w:type="dxa"/>
            <w:tcBorders>
              <w:top w:val="nil"/>
              <w:left w:val="nil"/>
              <w:bottom w:val="single" w:sz="4" w:space="0" w:color="auto"/>
              <w:right w:val="single" w:sz="4" w:space="0" w:color="auto"/>
            </w:tcBorders>
            <w:shd w:val="clear" w:color="auto" w:fill="auto"/>
            <w:noWrap/>
            <w:vAlign w:val="center"/>
          </w:tcPr>
          <w:p w14:paraId="3EAFE0B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0,9</w:t>
            </w:r>
          </w:p>
        </w:tc>
        <w:tc>
          <w:tcPr>
            <w:tcW w:w="994" w:type="dxa"/>
            <w:tcBorders>
              <w:top w:val="nil"/>
              <w:left w:val="nil"/>
              <w:bottom w:val="single" w:sz="4" w:space="0" w:color="auto"/>
              <w:right w:val="single" w:sz="4" w:space="0" w:color="auto"/>
            </w:tcBorders>
            <w:vAlign w:val="center"/>
          </w:tcPr>
          <w:p w14:paraId="7C4D60D0"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97 591,1</w:t>
            </w:r>
          </w:p>
        </w:tc>
        <w:tc>
          <w:tcPr>
            <w:tcW w:w="1276" w:type="dxa"/>
            <w:tcBorders>
              <w:top w:val="nil"/>
              <w:left w:val="nil"/>
              <w:bottom w:val="single" w:sz="4" w:space="0" w:color="auto"/>
              <w:right w:val="single" w:sz="4" w:space="0" w:color="auto"/>
            </w:tcBorders>
            <w:vAlign w:val="center"/>
          </w:tcPr>
          <w:p w14:paraId="3F88079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133" w:type="dxa"/>
            <w:tcBorders>
              <w:top w:val="nil"/>
              <w:left w:val="nil"/>
              <w:bottom w:val="single" w:sz="4" w:space="0" w:color="auto"/>
              <w:right w:val="single" w:sz="4" w:space="0" w:color="auto"/>
            </w:tcBorders>
            <w:vAlign w:val="center"/>
          </w:tcPr>
          <w:p w14:paraId="6097373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r>
      <w:tr w:rsidR="00357FBC" w:rsidRPr="00213A5D" w14:paraId="4C3EB793" w14:textId="77777777" w:rsidTr="00270542">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2774F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226</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05BEF942"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связанные с увеличением бюджетных ассигнований на предоставление из федерального бюджета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являлись указанные межбюджетные трансферты, в объеме, не превышающем с учетом уровня софинансирования остатка не использованных на начало текущего финансового года бюджетных ассигнований субъекта Российской Федерации на оплату государственных (муниципальных) контрактов, заключенных от имени субъекта Российской Федерации (муниципальных образований)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на основании решений Правительства Российской Федерации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6CFE1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39 842,8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5BA8A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18CF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50 855,5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8F2E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0,5</w:t>
            </w:r>
          </w:p>
        </w:tc>
        <w:tc>
          <w:tcPr>
            <w:tcW w:w="994" w:type="dxa"/>
            <w:tcBorders>
              <w:top w:val="single" w:sz="4" w:space="0" w:color="auto"/>
              <w:left w:val="single" w:sz="4" w:space="0" w:color="auto"/>
              <w:bottom w:val="single" w:sz="4" w:space="0" w:color="auto"/>
              <w:right w:val="single" w:sz="4" w:space="0" w:color="auto"/>
            </w:tcBorders>
            <w:vAlign w:val="center"/>
          </w:tcPr>
          <w:p w14:paraId="333C9E8E"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50 855,5</w:t>
            </w:r>
          </w:p>
        </w:tc>
        <w:tc>
          <w:tcPr>
            <w:tcW w:w="1276" w:type="dxa"/>
            <w:tcBorders>
              <w:top w:val="single" w:sz="4" w:space="0" w:color="auto"/>
              <w:left w:val="single" w:sz="4" w:space="0" w:color="auto"/>
              <w:bottom w:val="single" w:sz="4" w:space="0" w:color="auto"/>
              <w:right w:val="single" w:sz="4" w:space="0" w:color="auto"/>
            </w:tcBorders>
            <w:vAlign w:val="center"/>
          </w:tcPr>
          <w:p w14:paraId="379B7E6F"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34E41C9"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r>
      <w:tr w:rsidR="00357FBC" w:rsidRPr="00213A5D" w14:paraId="0DFDDE9F" w14:textId="77777777" w:rsidTr="00270542">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15706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228</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5A85C568"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 xml:space="preserve">Изменения, вносимые в случае увеличения бюджетных ассигнований текущего финансового года на оплату заключенных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на сумму неисполненного казначейского обеспечения </w:t>
            </w:r>
            <w:r w:rsidRPr="00213A5D">
              <w:rPr>
                <w:rFonts w:eastAsia="Times New Roman"/>
                <w:sz w:val="16"/>
                <w:szCs w:val="16"/>
              </w:rPr>
              <w:lastRenderedPageBreak/>
              <w:t>обязательств, выданного в соответствии со статьей 242</w:t>
            </w:r>
            <w:r w:rsidRPr="00213A5D">
              <w:rPr>
                <w:rFonts w:eastAsia="Times New Roman"/>
                <w:sz w:val="16"/>
                <w:szCs w:val="16"/>
                <w:vertAlign w:val="superscript"/>
              </w:rPr>
              <w:t>22</w:t>
            </w:r>
            <w:r w:rsidRPr="00213A5D">
              <w:rPr>
                <w:rFonts w:eastAsia="Times New Roman"/>
                <w:sz w:val="16"/>
                <w:szCs w:val="16"/>
              </w:rPr>
              <w:t xml:space="preserve"> Бюджетного кодекса Российской Федерации,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контрактов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F30424"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lastRenderedPageBreak/>
              <w:t>41 820,5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F2BF5A"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3DD93"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23 223,2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8303B"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0,2</w:t>
            </w:r>
          </w:p>
        </w:tc>
        <w:tc>
          <w:tcPr>
            <w:tcW w:w="994" w:type="dxa"/>
            <w:tcBorders>
              <w:top w:val="single" w:sz="4" w:space="0" w:color="auto"/>
              <w:left w:val="single" w:sz="4" w:space="0" w:color="auto"/>
              <w:bottom w:val="single" w:sz="4" w:space="0" w:color="auto"/>
              <w:right w:val="single" w:sz="4" w:space="0" w:color="auto"/>
            </w:tcBorders>
            <w:vAlign w:val="center"/>
          </w:tcPr>
          <w:p w14:paraId="06DF53DA"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23 223,2</w:t>
            </w:r>
          </w:p>
        </w:tc>
        <w:tc>
          <w:tcPr>
            <w:tcW w:w="1276" w:type="dxa"/>
            <w:tcBorders>
              <w:top w:val="single" w:sz="4" w:space="0" w:color="auto"/>
              <w:left w:val="single" w:sz="4" w:space="0" w:color="auto"/>
              <w:bottom w:val="single" w:sz="4" w:space="0" w:color="auto"/>
              <w:right w:val="single" w:sz="4" w:space="0" w:color="auto"/>
            </w:tcBorders>
            <w:vAlign w:val="center"/>
          </w:tcPr>
          <w:p w14:paraId="40A094F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B7F4EC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r>
      <w:tr w:rsidR="00357FBC" w:rsidRPr="00213A5D" w14:paraId="34B0C8A4" w14:textId="77777777" w:rsidTr="00270542">
        <w:tc>
          <w:tcPr>
            <w:tcW w:w="567" w:type="dxa"/>
            <w:tcBorders>
              <w:top w:val="nil"/>
              <w:left w:val="single" w:sz="4" w:space="0" w:color="auto"/>
              <w:bottom w:val="single" w:sz="4" w:space="0" w:color="auto"/>
              <w:right w:val="single" w:sz="4" w:space="0" w:color="auto"/>
            </w:tcBorders>
            <w:shd w:val="clear" w:color="auto" w:fill="auto"/>
            <w:vAlign w:val="center"/>
          </w:tcPr>
          <w:p w14:paraId="5F52216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254</w:t>
            </w:r>
          </w:p>
        </w:tc>
        <w:tc>
          <w:tcPr>
            <w:tcW w:w="3403" w:type="dxa"/>
            <w:tcBorders>
              <w:top w:val="nil"/>
              <w:left w:val="nil"/>
              <w:bottom w:val="single" w:sz="4" w:space="0" w:color="auto"/>
              <w:right w:val="single" w:sz="4" w:space="0" w:color="auto"/>
            </w:tcBorders>
            <w:shd w:val="clear" w:color="auto" w:fill="auto"/>
          </w:tcPr>
          <w:p w14:paraId="6CD82343"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вносимые в случае перераспределения бюджетных ассигнований, предусмотренных главному распорядителю средств федерального бюджета (за исключением 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w:t>
            </w:r>
          </w:p>
        </w:tc>
        <w:tc>
          <w:tcPr>
            <w:tcW w:w="1276" w:type="dxa"/>
            <w:tcBorders>
              <w:top w:val="nil"/>
              <w:left w:val="nil"/>
              <w:bottom w:val="single" w:sz="4" w:space="0" w:color="auto"/>
              <w:right w:val="single" w:sz="4" w:space="0" w:color="auto"/>
            </w:tcBorders>
            <w:shd w:val="clear" w:color="auto" w:fill="auto"/>
            <w:vAlign w:val="center"/>
          </w:tcPr>
          <w:p w14:paraId="3ACDC00B"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12 756,4</w:t>
            </w:r>
          </w:p>
        </w:tc>
        <w:tc>
          <w:tcPr>
            <w:tcW w:w="567" w:type="dxa"/>
            <w:tcBorders>
              <w:top w:val="nil"/>
              <w:left w:val="nil"/>
              <w:bottom w:val="single" w:sz="4" w:space="0" w:color="auto"/>
              <w:right w:val="single" w:sz="4" w:space="0" w:color="auto"/>
            </w:tcBorders>
            <w:shd w:val="clear" w:color="auto" w:fill="auto"/>
            <w:vAlign w:val="center"/>
          </w:tcPr>
          <w:p w14:paraId="024D45D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0,2</w:t>
            </w:r>
          </w:p>
        </w:tc>
        <w:tc>
          <w:tcPr>
            <w:tcW w:w="1275" w:type="dxa"/>
            <w:tcBorders>
              <w:top w:val="nil"/>
              <w:left w:val="nil"/>
              <w:bottom w:val="single" w:sz="4" w:space="0" w:color="auto"/>
              <w:right w:val="single" w:sz="4" w:space="0" w:color="auto"/>
            </w:tcBorders>
            <w:shd w:val="clear" w:color="auto" w:fill="auto"/>
            <w:noWrap/>
            <w:vAlign w:val="center"/>
          </w:tcPr>
          <w:p w14:paraId="697CBC1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15 920,6</w:t>
            </w:r>
          </w:p>
        </w:tc>
        <w:tc>
          <w:tcPr>
            <w:tcW w:w="567" w:type="dxa"/>
            <w:tcBorders>
              <w:top w:val="nil"/>
              <w:left w:val="nil"/>
              <w:bottom w:val="single" w:sz="4" w:space="0" w:color="auto"/>
              <w:right w:val="single" w:sz="4" w:space="0" w:color="auto"/>
            </w:tcBorders>
            <w:shd w:val="clear" w:color="auto" w:fill="auto"/>
            <w:noWrap/>
            <w:vAlign w:val="center"/>
          </w:tcPr>
          <w:p w14:paraId="7147C12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0,2</w:t>
            </w:r>
          </w:p>
        </w:tc>
        <w:tc>
          <w:tcPr>
            <w:tcW w:w="994" w:type="dxa"/>
            <w:tcBorders>
              <w:top w:val="nil"/>
              <w:left w:val="nil"/>
              <w:bottom w:val="single" w:sz="4" w:space="0" w:color="auto"/>
              <w:right w:val="single" w:sz="4" w:space="0" w:color="auto"/>
            </w:tcBorders>
            <w:vAlign w:val="center"/>
          </w:tcPr>
          <w:p w14:paraId="68C9D20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276" w:type="dxa"/>
            <w:tcBorders>
              <w:top w:val="nil"/>
              <w:left w:val="nil"/>
              <w:bottom w:val="single" w:sz="4" w:space="0" w:color="auto"/>
              <w:right w:val="single" w:sz="4" w:space="0" w:color="auto"/>
            </w:tcBorders>
            <w:vAlign w:val="center"/>
          </w:tcPr>
          <w:p w14:paraId="218A4C4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15 920,6</w:t>
            </w:r>
          </w:p>
        </w:tc>
        <w:tc>
          <w:tcPr>
            <w:tcW w:w="1133" w:type="dxa"/>
            <w:tcBorders>
              <w:top w:val="nil"/>
              <w:left w:val="nil"/>
              <w:bottom w:val="single" w:sz="4" w:space="0" w:color="auto"/>
              <w:right w:val="single" w:sz="4" w:space="0" w:color="auto"/>
            </w:tcBorders>
            <w:vAlign w:val="center"/>
          </w:tcPr>
          <w:p w14:paraId="519DFAF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-15 920,6</w:t>
            </w:r>
          </w:p>
        </w:tc>
      </w:tr>
      <w:tr w:rsidR="00357FBC" w:rsidRPr="00213A5D" w14:paraId="09046D9C" w14:textId="77777777" w:rsidTr="00270542">
        <w:tc>
          <w:tcPr>
            <w:tcW w:w="567" w:type="dxa"/>
            <w:tcBorders>
              <w:top w:val="nil"/>
              <w:left w:val="single" w:sz="4" w:space="0" w:color="auto"/>
              <w:bottom w:val="single" w:sz="4" w:space="0" w:color="auto"/>
              <w:right w:val="single" w:sz="4" w:space="0" w:color="auto"/>
            </w:tcBorders>
            <w:shd w:val="clear" w:color="auto" w:fill="auto"/>
            <w:vAlign w:val="center"/>
          </w:tcPr>
          <w:p w14:paraId="7D0E144A"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281</w:t>
            </w:r>
          </w:p>
        </w:tc>
        <w:tc>
          <w:tcPr>
            <w:tcW w:w="3403" w:type="dxa"/>
            <w:tcBorders>
              <w:top w:val="nil"/>
              <w:left w:val="nil"/>
              <w:bottom w:val="single" w:sz="4" w:space="0" w:color="auto"/>
              <w:right w:val="single" w:sz="4" w:space="0" w:color="auto"/>
            </w:tcBorders>
            <w:shd w:val="clear" w:color="auto" w:fill="auto"/>
            <w:vAlign w:val="center"/>
          </w:tcPr>
          <w:p w14:paraId="202D5D7C" w14:textId="77777777" w:rsidR="00357FBC" w:rsidRPr="00213A5D" w:rsidRDefault="00357FBC" w:rsidP="00AF1852">
            <w:pPr>
              <w:widowControl w:val="0"/>
              <w:overflowPunct/>
              <w:autoSpaceDE/>
              <w:autoSpaceDN/>
              <w:adjustRightInd/>
              <w:spacing w:line="247" w:lineRule="auto"/>
              <w:ind w:left="0" w:right="0" w:firstLine="0"/>
              <w:textAlignment w:val="auto"/>
              <w:rPr>
                <w:rFonts w:eastAsia="Times New Roman"/>
                <w:sz w:val="16"/>
                <w:szCs w:val="16"/>
              </w:rPr>
            </w:pPr>
            <w:r w:rsidRPr="00213A5D">
              <w:rPr>
                <w:rFonts w:eastAsia="Times New Roman"/>
                <w:sz w:val="16"/>
                <w:szCs w:val="16"/>
              </w:rPr>
              <w:t>Изменения, вносимые в случае перераспределения бюджетных ассигнований в рамках результатов реализации федеральных проектов, в том числе с перераспределением соответствующих бюджетных ассигнований между текущим финансовым годом и плановым периодом в пределах общего объема расходов федерального бюджета на соответствующий финансовый год</w:t>
            </w:r>
          </w:p>
        </w:tc>
        <w:tc>
          <w:tcPr>
            <w:tcW w:w="1276" w:type="dxa"/>
            <w:tcBorders>
              <w:top w:val="nil"/>
              <w:left w:val="nil"/>
              <w:bottom w:val="single" w:sz="4" w:space="0" w:color="auto"/>
              <w:right w:val="single" w:sz="4" w:space="0" w:color="auto"/>
            </w:tcBorders>
            <w:shd w:val="clear" w:color="auto" w:fill="auto"/>
            <w:vAlign w:val="center"/>
          </w:tcPr>
          <w:p w14:paraId="0768289B"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21 916,5</w:t>
            </w:r>
          </w:p>
        </w:tc>
        <w:tc>
          <w:tcPr>
            <w:tcW w:w="567" w:type="dxa"/>
            <w:tcBorders>
              <w:top w:val="nil"/>
              <w:left w:val="nil"/>
              <w:bottom w:val="single" w:sz="4" w:space="0" w:color="auto"/>
              <w:right w:val="single" w:sz="4" w:space="0" w:color="auto"/>
            </w:tcBorders>
            <w:shd w:val="clear" w:color="auto" w:fill="auto"/>
            <w:vAlign w:val="center"/>
          </w:tcPr>
          <w:p w14:paraId="41EA6B8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0,4</w:t>
            </w:r>
          </w:p>
        </w:tc>
        <w:tc>
          <w:tcPr>
            <w:tcW w:w="1275" w:type="dxa"/>
            <w:tcBorders>
              <w:top w:val="nil"/>
              <w:left w:val="nil"/>
              <w:bottom w:val="single" w:sz="4" w:space="0" w:color="auto"/>
              <w:right w:val="single" w:sz="4" w:space="0" w:color="auto"/>
            </w:tcBorders>
            <w:shd w:val="clear" w:color="auto" w:fill="auto"/>
            <w:noWrap/>
            <w:vAlign w:val="center"/>
          </w:tcPr>
          <w:p w14:paraId="592BA368"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11 170,8</w:t>
            </w:r>
          </w:p>
        </w:tc>
        <w:tc>
          <w:tcPr>
            <w:tcW w:w="567" w:type="dxa"/>
            <w:tcBorders>
              <w:top w:val="nil"/>
              <w:left w:val="nil"/>
              <w:bottom w:val="single" w:sz="4" w:space="0" w:color="auto"/>
              <w:right w:val="single" w:sz="4" w:space="0" w:color="auto"/>
            </w:tcBorders>
            <w:shd w:val="clear" w:color="auto" w:fill="auto"/>
            <w:noWrap/>
            <w:vAlign w:val="center"/>
          </w:tcPr>
          <w:p w14:paraId="7A28C1AB"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0,1</w:t>
            </w:r>
          </w:p>
        </w:tc>
        <w:tc>
          <w:tcPr>
            <w:tcW w:w="994" w:type="dxa"/>
            <w:tcBorders>
              <w:top w:val="nil"/>
              <w:left w:val="nil"/>
              <w:bottom w:val="single" w:sz="4" w:space="0" w:color="auto"/>
              <w:right w:val="single" w:sz="4" w:space="0" w:color="auto"/>
            </w:tcBorders>
            <w:vAlign w:val="center"/>
          </w:tcPr>
          <w:p w14:paraId="089AA4C0"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1276" w:type="dxa"/>
            <w:tcBorders>
              <w:top w:val="nil"/>
              <w:left w:val="nil"/>
              <w:bottom w:val="single" w:sz="4" w:space="0" w:color="auto"/>
              <w:right w:val="single" w:sz="4" w:space="0" w:color="auto"/>
            </w:tcBorders>
            <w:vAlign w:val="center"/>
          </w:tcPr>
          <w:p w14:paraId="2FAF155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11 170,8</w:t>
            </w:r>
          </w:p>
        </w:tc>
        <w:tc>
          <w:tcPr>
            <w:tcW w:w="1133" w:type="dxa"/>
            <w:tcBorders>
              <w:top w:val="nil"/>
              <w:left w:val="nil"/>
              <w:bottom w:val="single" w:sz="4" w:space="0" w:color="auto"/>
              <w:right w:val="single" w:sz="4" w:space="0" w:color="auto"/>
            </w:tcBorders>
            <w:vAlign w:val="center"/>
          </w:tcPr>
          <w:p w14:paraId="6AD1ADC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-11 170,8</w:t>
            </w:r>
          </w:p>
        </w:tc>
      </w:tr>
      <w:tr w:rsidR="00357FBC" w:rsidRPr="00213A5D" w14:paraId="3E056C5B" w14:textId="77777777" w:rsidTr="00270542">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EDA3B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Cs/>
                <w:sz w:val="16"/>
                <w:szCs w:val="16"/>
              </w:rPr>
            </w:pP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7CAE2CC5" w14:textId="77777777" w:rsidR="00357FBC" w:rsidRPr="00213A5D" w:rsidRDefault="00357FBC" w:rsidP="00AF1852">
            <w:pPr>
              <w:widowControl w:val="0"/>
              <w:overflowPunct/>
              <w:spacing w:line="240" w:lineRule="auto"/>
              <w:ind w:left="0" w:right="0" w:firstLine="0"/>
              <w:textAlignment w:val="auto"/>
              <w:rPr>
                <w:rFonts w:eastAsia="Times New Roman"/>
                <w:sz w:val="16"/>
                <w:szCs w:val="16"/>
              </w:rPr>
            </w:pPr>
            <w:r w:rsidRPr="00213A5D">
              <w:rPr>
                <w:rFonts w:eastAsia="Times New Roman"/>
                <w:bCs/>
                <w:sz w:val="16"/>
                <w:szCs w:val="16"/>
              </w:rPr>
              <w:t>Прочие</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86F7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558 241,1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D9D3DF"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9,9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1D419"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236 633,5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2A4DD"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2,2</w:t>
            </w:r>
          </w:p>
        </w:tc>
        <w:tc>
          <w:tcPr>
            <w:tcW w:w="994" w:type="dxa"/>
            <w:tcBorders>
              <w:top w:val="single" w:sz="4" w:space="0" w:color="auto"/>
              <w:left w:val="single" w:sz="4" w:space="0" w:color="auto"/>
              <w:bottom w:val="single" w:sz="4" w:space="0" w:color="auto"/>
              <w:right w:val="single" w:sz="4" w:space="0" w:color="auto"/>
            </w:tcBorders>
            <w:vAlign w:val="center"/>
          </w:tcPr>
          <w:p w14:paraId="6C8B8DB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90 115,0</w:t>
            </w:r>
          </w:p>
        </w:tc>
        <w:tc>
          <w:tcPr>
            <w:tcW w:w="1276" w:type="dxa"/>
            <w:tcBorders>
              <w:top w:val="single" w:sz="4" w:space="0" w:color="auto"/>
              <w:left w:val="single" w:sz="4" w:space="0" w:color="auto"/>
              <w:bottom w:val="single" w:sz="4" w:space="0" w:color="auto"/>
              <w:right w:val="single" w:sz="4" w:space="0" w:color="auto"/>
            </w:tcBorders>
            <w:vAlign w:val="center"/>
          </w:tcPr>
          <w:p w14:paraId="40C7D695"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146 518,5</w:t>
            </w:r>
          </w:p>
        </w:tc>
        <w:tc>
          <w:tcPr>
            <w:tcW w:w="1133" w:type="dxa"/>
            <w:tcBorders>
              <w:top w:val="single" w:sz="4" w:space="0" w:color="auto"/>
              <w:left w:val="single" w:sz="4" w:space="0" w:color="auto"/>
              <w:bottom w:val="single" w:sz="4" w:space="0" w:color="auto"/>
              <w:right w:val="single" w:sz="4" w:space="0" w:color="auto"/>
            </w:tcBorders>
            <w:vAlign w:val="center"/>
          </w:tcPr>
          <w:p w14:paraId="4D7FE1C7"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-146 518,5</w:t>
            </w:r>
          </w:p>
        </w:tc>
      </w:tr>
      <w:tr w:rsidR="00357FBC" w:rsidRPr="00213A5D" w14:paraId="7DA38640" w14:textId="77777777" w:rsidTr="00270542">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1AA97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26E3FBDF" w14:textId="77777777" w:rsidR="00357FBC" w:rsidRPr="00213A5D" w:rsidRDefault="00357FBC" w:rsidP="00AF1852">
            <w:pPr>
              <w:widowControl w:val="0"/>
              <w:overflowPunct/>
              <w:spacing w:line="240" w:lineRule="auto"/>
              <w:ind w:left="0" w:right="0" w:firstLine="0"/>
              <w:textAlignment w:val="auto"/>
              <w:rPr>
                <w:rFonts w:eastAsia="Times New Roman"/>
                <w:sz w:val="16"/>
                <w:szCs w:val="16"/>
              </w:rPr>
            </w:pPr>
            <w:r w:rsidRPr="00213A5D">
              <w:rPr>
                <w:rFonts w:eastAsia="Times New Roman"/>
                <w:b/>
                <w:bCs/>
                <w:sz w:val="16"/>
                <w:szCs w:val="16"/>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4251FC"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5 651 417,4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4FFE52"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1DC7E76"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10 549 923,8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C3349"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100</w:t>
            </w:r>
          </w:p>
        </w:tc>
        <w:tc>
          <w:tcPr>
            <w:tcW w:w="994" w:type="dxa"/>
            <w:tcBorders>
              <w:top w:val="single" w:sz="4" w:space="0" w:color="auto"/>
              <w:left w:val="single" w:sz="4" w:space="0" w:color="auto"/>
              <w:bottom w:val="single" w:sz="4" w:space="0" w:color="auto"/>
              <w:right w:val="single" w:sz="4" w:space="0" w:color="auto"/>
            </w:tcBorders>
            <w:vAlign w:val="center"/>
          </w:tcPr>
          <w:p w14:paraId="3A7836C3"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4 352 941,6</w:t>
            </w:r>
          </w:p>
        </w:tc>
        <w:tc>
          <w:tcPr>
            <w:tcW w:w="1276" w:type="dxa"/>
            <w:tcBorders>
              <w:top w:val="single" w:sz="4" w:space="0" w:color="auto"/>
              <w:left w:val="single" w:sz="4" w:space="0" w:color="auto"/>
              <w:bottom w:val="single" w:sz="4" w:space="0" w:color="auto"/>
              <w:right w:val="single" w:sz="4" w:space="0" w:color="auto"/>
            </w:tcBorders>
            <w:vAlign w:val="center"/>
          </w:tcPr>
          <w:p w14:paraId="30D9AD01"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6 196 982,2</w:t>
            </w:r>
          </w:p>
        </w:tc>
        <w:tc>
          <w:tcPr>
            <w:tcW w:w="1133" w:type="dxa"/>
            <w:tcBorders>
              <w:top w:val="single" w:sz="4" w:space="0" w:color="auto"/>
              <w:left w:val="single" w:sz="4" w:space="0" w:color="auto"/>
              <w:bottom w:val="single" w:sz="4" w:space="0" w:color="auto"/>
              <w:right w:val="single" w:sz="4" w:space="0" w:color="auto"/>
            </w:tcBorders>
            <w:vAlign w:val="center"/>
          </w:tcPr>
          <w:p w14:paraId="29CECD37" w14:textId="77777777" w:rsidR="00357FBC" w:rsidRPr="00213A5D" w:rsidRDefault="00357FBC"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6 196 982,2</w:t>
            </w:r>
          </w:p>
        </w:tc>
      </w:tr>
    </w:tbl>
    <w:p w14:paraId="05624C33" w14:textId="77777777" w:rsidR="00B452E2" w:rsidRPr="00213A5D" w:rsidRDefault="00B452E2" w:rsidP="00AF1852">
      <w:pPr>
        <w:widowControl w:val="0"/>
        <w:spacing w:line="240" w:lineRule="auto"/>
        <w:ind w:left="0" w:right="0"/>
        <w:rPr>
          <w:rFonts w:eastAsia="Times New Roman"/>
          <w:sz w:val="12"/>
          <w:szCs w:val="12"/>
        </w:rPr>
      </w:pPr>
    </w:p>
    <w:p w14:paraId="2711F940" w14:textId="77777777" w:rsidR="00357FBC" w:rsidRPr="00213A5D" w:rsidRDefault="00357FBC" w:rsidP="00EA0F9E">
      <w:pPr>
        <w:widowControl w:val="0"/>
        <w:spacing w:line="336" w:lineRule="auto"/>
        <w:ind w:left="0" w:right="0"/>
        <w:rPr>
          <w:sz w:val="24"/>
          <w:szCs w:val="24"/>
        </w:rPr>
      </w:pPr>
      <w:r w:rsidRPr="00213A5D">
        <w:rPr>
          <w:bCs/>
          <w:sz w:val="24"/>
          <w:szCs w:val="24"/>
        </w:rPr>
        <w:t>Анализ перераспределения бюджетных ассигнований сводной росписи</w:t>
      </w:r>
      <w:r w:rsidRPr="00213A5D">
        <w:rPr>
          <w:rStyle w:val="aff2"/>
          <w:bCs/>
          <w:sz w:val="24"/>
          <w:szCs w:val="24"/>
        </w:rPr>
        <w:footnoteReference w:id="11"/>
      </w:r>
      <w:r w:rsidRPr="00213A5D">
        <w:rPr>
          <w:bCs/>
          <w:sz w:val="24"/>
          <w:szCs w:val="24"/>
        </w:rPr>
        <w:t xml:space="preserve"> по главным распорядителям средств федерального бюджета </w:t>
      </w:r>
      <w:r w:rsidRPr="00213A5D">
        <w:rPr>
          <w:sz w:val="24"/>
          <w:szCs w:val="24"/>
        </w:rPr>
        <w:t>(далее – главные распорядители) (открытая часть) представлен на следующей диаграмме.</w:t>
      </w:r>
    </w:p>
    <w:p w14:paraId="7793D2FB" w14:textId="77777777" w:rsidR="008F5F3D" w:rsidRPr="00213A5D" w:rsidRDefault="00CD0E98" w:rsidP="00EA0F9E">
      <w:pPr>
        <w:widowControl w:val="0"/>
        <w:spacing w:line="240" w:lineRule="auto"/>
        <w:ind w:left="0" w:right="0" w:firstLine="0"/>
        <w:jc w:val="center"/>
        <w:rPr>
          <w:sz w:val="16"/>
          <w:szCs w:val="16"/>
        </w:rPr>
      </w:pPr>
      <w:r>
        <w:rPr>
          <w:noProof/>
        </w:rPr>
        <w:pict w14:anchorId="16A4D491">
          <v:shape id="Диаграмма 1" o:spid="_x0000_i1071" type="#_x0000_t75" alt="" style="width:368.15pt;height:150.1pt;visibility:visible;mso-width-percent:0;mso-height-percent:0;mso-width-percent:0;mso-height-percent:0">
            <v:imagedata r:id="rId26" o:title="" croptop="9403f" cropbottom="3761f"/>
            <o:lock v:ext="edit" aspectratio="f"/>
          </v:shape>
        </w:pict>
      </w:r>
    </w:p>
    <w:p w14:paraId="7D11D301" w14:textId="77777777" w:rsidR="006A5400" w:rsidRPr="00213A5D" w:rsidRDefault="006A5400" w:rsidP="00EA0F9E">
      <w:pPr>
        <w:widowControl w:val="0"/>
        <w:spacing w:line="336" w:lineRule="auto"/>
        <w:ind w:left="0" w:right="0"/>
        <w:rPr>
          <w:sz w:val="24"/>
          <w:szCs w:val="24"/>
        </w:rPr>
      </w:pPr>
      <w:r w:rsidRPr="00213A5D">
        <w:rPr>
          <w:sz w:val="24"/>
          <w:szCs w:val="24"/>
        </w:rPr>
        <w:t xml:space="preserve">Наибольшие объемы </w:t>
      </w:r>
      <w:r w:rsidRPr="00213A5D">
        <w:rPr>
          <w:bCs/>
          <w:sz w:val="24"/>
          <w:szCs w:val="24"/>
        </w:rPr>
        <w:t>перераспределений</w:t>
      </w:r>
      <w:r w:rsidRPr="00213A5D">
        <w:rPr>
          <w:sz w:val="24"/>
          <w:szCs w:val="24"/>
        </w:rPr>
        <w:t xml:space="preserve"> бюджетных ассигнований сводной росписи сложились по следующим главным распорядителям:</w:t>
      </w:r>
    </w:p>
    <w:p w14:paraId="2FD8B5E4" w14:textId="77777777" w:rsidR="006A5400" w:rsidRPr="00213A5D" w:rsidRDefault="006A5400" w:rsidP="00EA0F9E">
      <w:pPr>
        <w:widowControl w:val="0"/>
        <w:spacing w:line="336" w:lineRule="auto"/>
        <w:ind w:left="709" w:right="0" w:firstLine="0"/>
        <w:rPr>
          <w:sz w:val="24"/>
          <w:szCs w:val="24"/>
        </w:rPr>
      </w:pPr>
      <w:r w:rsidRPr="00213A5D">
        <w:rPr>
          <w:sz w:val="24"/>
          <w:szCs w:val="24"/>
        </w:rPr>
        <w:t>Минфин России – 2 104 709,2 млн. рублей (27,8 %);</w:t>
      </w:r>
    </w:p>
    <w:p w14:paraId="27C6AE4B" w14:textId="77777777" w:rsidR="006A5400" w:rsidRPr="00213A5D" w:rsidRDefault="006A5400" w:rsidP="003A5D37">
      <w:pPr>
        <w:widowControl w:val="0"/>
        <w:spacing w:line="367" w:lineRule="auto"/>
        <w:ind w:left="709" w:right="0" w:firstLine="0"/>
        <w:rPr>
          <w:sz w:val="24"/>
          <w:szCs w:val="24"/>
        </w:rPr>
      </w:pPr>
      <w:r w:rsidRPr="00213A5D">
        <w:rPr>
          <w:sz w:val="24"/>
          <w:szCs w:val="24"/>
        </w:rPr>
        <w:t>Минпромторг России – 509 932,8 млн. рублей (70,2 %);</w:t>
      </w:r>
    </w:p>
    <w:p w14:paraId="0C192B25" w14:textId="77777777" w:rsidR="006A5400" w:rsidRPr="00213A5D" w:rsidRDefault="006A5400" w:rsidP="00F66680">
      <w:pPr>
        <w:widowControl w:val="0"/>
        <w:spacing w:line="348" w:lineRule="auto"/>
        <w:ind w:left="709" w:right="0" w:firstLine="0"/>
        <w:rPr>
          <w:sz w:val="24"/>
          <w:szCs w:val="24"/>
        </w:rPr>
      </w:pPr>
      <w:r w:rsidRPr="00213A5D">
        <w:rPr>
          <w:sz w:val="24"/>
          <w:szCs w:val="24"/>
        </w:rPr>
        <w:lastRenderedPageBreak/>
        <w:t>Минтранс России – 244 007,8 млн. рублей (74,3 %);</w:t>
      </w:r>
    </w:p>
    <w:p w14:paraId="3C98F140" w14:textId="77777777" w:rsidR="007F410A" w:rsidRPr="00213A5D" w:rsidRDefault="007F410A" w:rsidP="00F66680">
      <w:pPr>
        <w:widowControl w:val="0"/>
        <w:spacing w:line="348" w:lineRule="auto"/>
        <w:ind w:left="709" w:right="0" w:firstLine="0"/>
        <w:rPr>
          <w:sz w:val="24"/>
          <w:szCs w:val="24"/>
        </w:rPr>
      </w:pPr>
      <w:r w:rsidRPr="00213A5D">
        <w:rPr>
          <w:sz w:val="24"/>
          <w:szCs w:val="24"/>
        </w:rPr>
        <w:t>Минсельхоз России – 191 594,1 млн. рублей (52,6 %);</w:t>
      </w:r>
    </w:p>
    <w:p w14:paraId="526BF0AD" w14:textId="77777777" w:rsidR="006A5400" w:rsidRPr="00213A5D" w:rsidRDefault="006A5400" w:rsidP="00F66680">
      <w:pPr>
        <w:widowControl w:val="0"/>
        <w:spacing w:line="348" w:lineRule="auto"/>
        <w:ind w:left="709" w:right="0" w:firstLine="0"/>
        <w:rPr>
          <w:sz w:val="24"/>
          <w:szCs w:val="24"/>
        </w:rPr>
      </w:pPr>
      <w:r w:rsidRPr="00213A5D">
        <w:rPr>
          <w:sz w:val="24"/>
          <w:szCs w:val="24"/>
        </w:rPr>
        <w:t>Росавтодор – 185 984,5 млн. рублей (24,6 %);</w:t>
      </w:r>
    </w:p>
    <w:p w14:paraId="11FD012E" w14:textId="77777777" w:rsidR="006A5400" w:rsidRPr="00213A5D" w:rsidRDefault="006A5400" w:rsidP="00F66680">
      <w:pPr>
        <w:widowControl w:val="0"/>
        <w:spacing w:line="348" w:lineRule="auto"/>
        <w:ind w:left="709" w:right="0" w:firstLine="0"/>
        <w:rPr>
          <w:sz w:val="24"/>
          <w:szCs w:val="24"/>
        </w:rPr>
      </w:pPr>
      <w:r w:rsidRPr="00213A5D">
        <w:rPr>
          <w:sz w:val="24"/>
          <w:szCs w:val="24"/>
        </w:rPr>
        <w:t>Минздрав России – 149 228,0 млн. рублей (24,9 %).</w:t>
      </w:r>
    </w:p>
    <w:p w14:paraId="3222FD81" w14:textId="77777777" w:rsidR="006A5400" w:rsidRPr="00213A5D" w:rsidRDefault="006A5400" w:rsidP="00F66680">
      <w:pPr>
        <w:widowControl w:val="0"/>
        <w:spacing w:line="348" w:lineRule="auto"/>
        <w:ind w:left="0" w:right="0"/>
        <w:rPr>
          <w:sz w:val="24"/>
          <w:szCs w:val="24"/>
        </w:rPr>
      </w:pPr>
      <w:r w:rsidRPr="00213A5D">
        <w:rPr>
          <w:bCs/>
          <w:sz w:val="24"/>
          <w:szCs w:val="24"/>
        </w:rPr>
        <w:t>Анализ перераспределения бюджетных ассигнований сводной росписи</w:t>
      </w:r>
      <w:r w:rsidRPr="00213A5D">
        <w:rPr>
          <w:rStyle w:val="aff2"/>
          <w:bCs/>
          <w:sz w:val="24"/>
          <w:szCs w:val="24"/>
        </w:rPr>
        <w:footnoteReference w:id="12"/>
      </w:r>
      <w:r w:rsidRPr="00213A5D">
        <w:rPr>
          <w:bCs/>
          <w:sz w:val="24"/>
          <w:szCs w:val="24"/>
        </w:rPr>
        <w:t xml:space="preserve"> по госпрограммам (открытая часть) </w:t>
      </w:r>
      <w:r w:rsidRPr="00213A5D">
        <w:rPr>
          <w:sz w:val="24"/>
          <w:szCs w:val="24"/>
        </w:rPr>
        <w:t>представлена на следующей диаграмме.</w:t>
      </w:r>
    </w:p>
    <w:p w14:paraId="036415C2" w14:textId="77777777" w:rsidR="00A532ED" w:rsidRPr="00213A5D" w:rsidRDefault="00CD0E98" w:rsidP="006D2079">
      <w:pPr>
        <w:widowControl w:val="0"/>
        <w:spacing w:line="240" w:lineRule="auto"/>
        <w:ind w:left="0" w:right="0" w:firstLine="0"/>
        <w:jc w:val="center"/>
        <w:rPr>
          <w:sz w:val="24"/>
          <w:szCs w:val="24"/>
        </w:rPr>
      </w:pPr>
      <w:r>
        <w:rPr>
          <w:noProof/>
        </w:rPr>
        <w:pict w14:anchorId="36613925">
          <v:shape id="_x0000_i1070" type="#_x0000_t75" alt="" style="width:371.55pt;height:173.2pt;visibility:visible;mso-width-percent:0;mso-height-percent:0;mso-width-percent:0;mso-height-percent:0">
            <v:imagedata r:id="rId27" o:title="" croptop="8984f" cropbottom="-3751f"/>
            <o:lock v:ext="edit" aspectratio="f"/>
          </v:shape>
        </w:pict>
      </w:r>
    </w:p>
    <w:p w14:paraId="31A3696D" w14:textId="77777777" w:rsidR="006A5400" w:rsidRPr="00213A5D" w:rsidRDefault="006A5400" w:rsidP="00F66680">
      <w:pPr>
        <w:widowControl w:val="0"/>
        <w:spacing w:line="343" w:lineRule="auto"/>
        <w:ind w:left="0" w:right="0"/>
        <w:rPr>
          <w:sz w:val="24"/>
          <w:szCs w:val="24"/>
        </w:rPr>
      </w:pPr>
      <w:r w:rsidRPr="00213A5D">
        <w:rPr>
          <w:sz w:val="24"/>
          <w:szCs w:val="24"/>
        </w:rPr>
        <w:t xml:space="preserve">Наибольшие объемы </w:t>
      </w:r>
      <w:r w:rsidRPr="00213A5D">
        <w:rPr>
          <w:bCs/>
          <w:sz w:val="24"/>
          <w:szCs w:val="24"/>
        </w:rPr>
        <w:t>перераспределений</w:t>
      </w:r>
      <w:r w:rsidRPr="00213A5D">
        <w:rPr>
          <w:sz w:val="24"/>
          <w:szCs w:val="24"/>
        </w:rPr>
        <w:t xml:space="preserve"> сводной росписи</w:t>
      </w:r>
      <w:r w:rsidRPr="00213A5D">
        <w:rPr>
          <w:rFonts w:ascii="TimesNewRomanPSMT" w:eastAsia="Times New Roman" w:hAnsi="TimesNewRomanPSMT" w:cs="TimesNewRomanPSMT"/>
        </w:rPr>
        <w:t xml:space="preserve"> </w:t>
      </w:r>
      <w:r w:rsidRPr="00213A5D">
        <w:rPr>
          <w:sz w:val="24"/>
          <w:szCs w:val="24"/>
        </w:rPr>
        <w:t>сложились по следующим госпрограммам:</w:t>
      </w:r>
    </w:p>
    <w:p w14:paraId="65104C0B" w14:textId="77777777" w:rsidR="006A5400" w:rsidRPr="00213A5D" w:rsidRDefault="006A5400" w:rsidP="00F66680">
      <w:pPr>
        <w:widowControl w:val="0"/>
        <w:spacing w:line="343" w:lineRule="auto"/>
        <w:ind w:left="709" w:right="0" w:firstLine="0"/>
        <w:rPr>
          <w:sz w:val="24"/>
          <w:szCs w:val="24"/>
        </w:rPr>
      </w:pPr>
      <w:r w:rsidRPr="00213A5D">
        <w:rPr>
          <w:sz w:val="24"/>
          <w:szCs w:val="24"/>
        </w:rPr>
        <w:t>«Социальная поддержка граждан» – 665 537,0 млн. рублей (30 %);</w:t>
      </w:r>
    </w:p>
    <w:p w14:paraId="3D422CD8" w14:textId="77777777" w:rsidR="006A5400" w:rsidRPr="00213A5D" w:rsidRDefault="006A5400" w:rsidP="00F66680">
      <w:pPr>
        <w:widowControl w:val="0"/>
        <w:spacing w:line="343" w:lineRule="auto"/>
        <w:ind w:left="709" w:right="0" w:firstLine="0"/>
        <w:rPr>
          <w:sz w:val="24"/>
          <w:szCs w:val="24"/>
        </w:rPr>
      </w:pPr>
      <w:r w:rsidRPr="00213A5D">
        <w:rPr>
          <w:sz w:val="24"/>
          <w:szCs w:val="24"/>
        </w:rPr>
        <w:t>«Развитие транспортной системы» – 554 359,8 млн. рублей (42,7 %);</w:t>
      </w:r>
    </w:p>
    <w:p w14:paraId="2EBF350F" w14:textId="77777777" w:rsidR="006A5400" w:rsidRPr="00213A5D" w:rsidRDefault="006A5400" w:rsidP="00F66680">
      <w:pPr>
        <w:widowControl w:val="0"/>
        <w:spacing w:line="343" w:lineRule="auto"/>
        <w:ind w:left="709" w:right="0" w:firstLine="0"/>
        <w:rPr>
          <w:sz w:val="24"/>
          <w:szCs w:val="24"/>
        </w:rPr>
      </w:pPr>
      <w:r w:rsidRPr="00213A5D">
        <w:rPr>
          <w:sz w:val="24"/>
          <w:szCs w:val="24"/>
        </w:rPr>
        <w:t>«Развитие промышленности и повышение ее конкурентоспособности» – 449 592,1 млн. рублей (80 %);</w:t>
      </w:r>
    </w:p>
    <w:p w14:paraId="78634B13" w14:textId="77777777" w:rsidR="006A5400" w:rsidRPr="00213A5D" w:rsidRDefault="006A5400" w:rsidP="00F66680">
      <w:pPr>
        <w:widowControl w:val="0"/>
        <w:spacing w:line="343" w:lineRule="auto"/>
        <w:ind w:left="709" w:right="0" w:firstLine="0"/>
        <w:rPr>
          <w:sz w:val="24"/>
          <w:szCs w:val="24"/>
        </w:rPr>
      </w:pPr>
      <w:r w:rsidRPr="00213A5D">
        <w:rPr>
          <w:sz w:val="24"/>
          <w:szCs w:val="24"/>
        </w:rPr>
        <w:t>«Развитие здравоохранения» – 259 575,7 млн. рублей (25,6 %);</w:t>
      </w:r>
    </w:p>
    <w:p w14:paraId="144414D0" w14:textId="77777777" w:rsidR="006A5400" w:rsidRPr="00213A5D" w:rsidRDefault="006A5400" w:rsidP="00F66680">
      <w:pPr>
        <w:widowControl w:val="0"/>
        <w:spacing w:line="343" w:lineRule="auto"/>
        <w:ind w:left="709" w:right="0" w:firstLine="0"/>
        <w:rPr>
          <w:sz w:val="24"/>
          <w:szCs w:val="24"/>
        </w:rPr>
      </w:pPr>
      <w:r w:rsidRPr="00213A5D">
        <w:rPr>
          <w:sz w:val="24"/>
          <w:szCs w:val="24"/>
        </w:rPr>
        <w:t>«Развитие образования» – 206 787,7 млн. рублей (43,1 %).</w:t>
      </w:r>
    </w:p>
    <w:p w14:paraId="12DF1B40" w14:textId="77777777" w:rsidR="00CA013E" w:rsidRPr="00213A5D" w:rsidRDefault="006A74AB" w:rsidP="00F66680">
      <w:pPr>
        <w:widowControl w:val="0"/>
        <w:spacing w:line="343" w:lineRule="auto"/>
        <w:ind w:left="0" w:right="0"/>
        <w:rPr>
          <w:rFonts w:eastAsia="Times New Roman"/>
          <w:sz w:val="24"/>
          <w:szCs w:val="24"/>
        </w:rPr>
      </w:pPr>
      <w:r w:rsidRPr="00213A5D">
        <w:rPr>
          <w:b/>
          <w:sz w:val="24"/>
          <w:szCs w:val="24"/>
        </w:rPr>
        <w:t>4.</w:t>
      </w:r>
      <w:r w:rsidR="002943F7" w:rsidRPr="00213A5D">
        <w:rPr>
          <w:b/>
          <w:sz w:val="24"/>
          <w:szCs w:val="24"/>
        </w:rPr>
        <w:t>4</w:t>
      </w:r>
      <w:r w:rsidRPr="00213A5D">
        <w:rPr>
          <w:b/>
          <w:sz w:val="24"/>
          <w:szCs w:val="24"/>
        </w:rPr>
        <w:t>. </w:t>
      </w:r>
      <w:r w:rsidR="00CA013E" w:rsidRPr="00213A5D">
        <w:rPr>
          <w:rFonts w:eastAsia="Times New Roman"/>
          <w:sz w:val="24"/>
          <w:szCs w:val="24"/>
        </w:rPr>
        <w:t xml:space="preserve">Частью 22 статьи 10 Федерального закона № 384-ФЗ предусмотрено, что в ходе исполнения федерального бюджета </w:t>
      </w:r>
      <w:r w:rsidR="00CA013E" w:rsidRPr="00213A5D">
        <w:rPr>
          <w:rFonts w:eastAsia="Times New Roman"/>
          <w:b/>
          <w:sz w:val="24"/>
          <w:szCs w:val="24"/>
        </w:rPr>
        <w:t>в 2022 году дополнительно к основаниям</w:t>
      </w:r>
      <w:r w:rsidR="00CA013E" w:rsidRPr="00213A5D">
        <w:rPr>
          <w:rFonts w:eastAsia="Times New Roman"/>
          <w:sz w:val="24"/>
          <w:szCs w:val="24"/>
        </w:rPr>
        <w:t xml:space="preserve"> </w:t>
      </w:r>
      <w:r w:rsidR="00CA013E" w:rsidRPr="00213A5D">
        <w:rPr>
          <w:rFonts w:eastAsia="Times New Roman"/>
          <w:b/>
          <w:sz w:val="24"/>
          <w:szCs w:val="24"/>
        </w:rPr>
        <w:t>для внесения изменений в сводную роспись</w:t>
      </w:r>
      <w:r w:rsidR="00CA013E" w:rsidRPr="00213A5D">
        <w:rPr>
          <w:rFonts w:eastAsia="Times New Roman"/>
          <w:sz w:val="24"/>
          <w:szCs w:val="24"/>
        </w:rPr>
        <w:t xml:space="preserve">, установленным бюджетным законодательством Российской Федерации, в порядке, установленном Правительством Российской Федерации, в сводную роспись </w:t>
      </w:r>
      <w:r w:rsidR="00CA013E" w:rsidRPr="00213A5D">
        <w:rPr>
          <w:rFonts w:eastAsia="Times New Roman"/>
          <w:b/>
          <w:sz w:val="24"/>
          <w:szCs w:val="24"/>
        </w:rPr>
        <w:t>без внесения изменений в Федеральный закон</w:t>
      </w:r>
      <w:r w:rsidR="00CA013E" w:rsidRPr="00213A5D">
        <w:rPr>
          <w:rFonts w:eastAsia="Times New Roman"/>
          <w:sz w:val="24"/>
          <w:szCs w:val="24"/>
        </w:rPr>
        <w:t xml:space="preserve"> </w:t>
      </w:r>
      <w:r w:rsidR="00CA013E" w:rsidRPr="00213A5D">
        <w:rPr>
          <w:rFonts w:eastAsia="Times New Roman"/>
          <w:b/>
          <w:sz w:val="24"/>
          <w:szCs w:val="24"/>
        </w:rPr>
        <w:t xml:space="preserve">№ 390-ФЗ </w:t>
      </w:r>
      <w:r w:rsidR="00CA013E" w:rsidRPr="00213A5D">
        <w:rPr>
          <w:rFonts w:eastAsia="Times New Roman"/>
          <w:sz w:val="24"/>
          <w:szCs w:val="24"/>
        </w:rPr>
        <w:t xml:space="preserve">могут быть </w:t>
      </w:r>
      <w:r w:rsidR="00CA013E" w:rsidRPr="00213A5D">
        <w:rPr>
          <w:rFonts w:eastAsia="Times New Roman"/>
          <w:b/>
          <w:sz w:val="24"/>
          <w:szCs w:val="24"/>
        </w:rPr>
        <w:t>внесены изменения</w:t>
      </w:r>
      <w:r w:rsidR="00CA013E" w:rsidRPr="00213A5D">
        <w:rPr>
          <w:rFonts w:eastAsia="Times New Roman"/>
          <w:sz w:val="24"/>
          <w:szCs w:val="24"/>
        </w:rPr>
        <w:t xml:space="preserve"> в случае перераспределения (увеличения) бюджетных ассигнований, зарезервированных в соответствии с </w:t>
      </w:r>
      <w:hyperlink r:id="rId28" w:history="1">
        <w:r w:rsidR="00CA013E" w:rsidRPr="00213A5D">
          <w:rPr>
            <w:rFonts w:eastAsia="Times New Roman"/>
            <w:sz w:val="24"/>
            <w:szCs w:val="24"/>
          </w:rPr>
          <w:t>частью 1 статьи 21</w:t>
        </w:r>
      </w:hyperlink>
      <w:r w:rsidR="00CA013E" w:rsidRPr="00213A5D">
        <w:rPr>
          <w:rFonts w:eastAsia="Times New Roman"/>
          <w:sz w:val="24"/>
          <w:szCs w:val="24"/>
        </w:rPr>
        <w:t xml:space="preserve"> Федерального закона № 390-ФЗ, бюджетных ассигнований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а также бюджетных ассигнований на иные цели, определенные Правительством Российской Федерации.</w:t>
      </w:r>
    </w:p>
    <w:p w14:paraId="142515C2" w14:textId="77777777" w:rsidR="00CA013E" w:rsidRPr="00213A5D" w:rsidRDefault="00CA013E" w:rsidP="00F66680">
      <w:pPr>
        <w:widowControl w:val="0"/>
        <w:tabs>
          <w:tab w:val="left" w:pos="2340"/>
        </w:tabs>
        <w:spacing w:line="343" w:lineRule="auto"/>
        <w:ind w:left="0" w:right="0"/>
        <w:rPr>
          <w:rFonts w:eastAsia="Times New Roman"/>
          <w:bCs/>
          <w:sz w:val="24"/>
          <w:szCs w:val="24"/>
        </w:rPr>
      </w:pPr>
      <w:r w:rsidRPr="00213A5D">
        <w:rPr>
          <w:rFonts w:eastAsia="Times New Roman"/>
          <w:sz w:val="24"/>
          <w:szCs w:val="24"/>
        </w:rPr>
        <w:lastRenderedPageBreak/>
        <w:t xml:space="preserve">Постановлением Правительства Российской Федерации от 17 марта 2022 г. № 391 утверждены </w:t>
      </w:r>
      <w:r w:rsidRPr="00213A5D">
        <w:rPr>
          <w:rFonts w:eastAsia="Times New Roman"/>
          <w:b/>
          <w:sz w:val="24"/>
          <w:szCs w:val="24"/>
        </w:rPr>
        <w:t>Правила</w:t>
      </w:r>
      <w:r w:rsidRPr="00213A5D">
        <w:rPr>
          <w:rFonts w:eastAsia="Times New Roman"/>
          <w:sz w:val="24"/>
          <w:szCs w:val="24"/>
        </w:rPr>
        <w:t xml:space="preserve"> внесения изменений </w:t>
      </w:r>
      <w:r w:rsidRPr="00213A5D">
        <w:rPr>
          <w:rFonts w:eastAsia="Times New Roman"/>
          <w:b/>
          <w:sz w:val="24"/>
          <w:szCs w:val="24"/>
        </w:rPr>
        <w:t>в 2022 году</w:t>
      </w:r>
      <w:r w:rsidRPr="00213A5D">
        <w:rPr>
          <w:rFonts w:eastAsia="Times New Roman"/>
          <w:sz w:val="24"/>
          <w:szCs w:val="24"/>
        </w:rPr>
        <w:t xml:space="preserve"> в сводную бюджетную роспись федерального бюджета в случае </w:t>
      </w:r>
      <w:r w:rsidRPr="00213A5D">
        <w:rPr>
          <w:rFonts w:eastAsia="Times New Roman"/>
          <w:b/>
          <w:sz w:val="24"/>
          <w:szCs w:val="24"/>
        </w:rPr>
        <w:t>перераспределения</w:t>
      </w:r>
      <w:r w:rsidRPr="00213A5D">
        <w:rPr>
          <w:rFonts w:eastAsia="Times New Roman"/>
          <w:sz w:val="24"/>
          <w:szCs w:val="24"/>
        </w:rPr>
        <w:t xml:space="preserve"> (увеличения) бюджетных ассигнований, зарезервированных в соответствии с частью 1 статьи 21 Федерального закона «О федеральном бюджете на 2022 год и на плановый период 2023 и 2024 годов», бюджетных ассигнований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а также бюджетных ассигнований на иные цели, определенные Правительством Российской Федерации (</w:t>
      </w:r>
      <w:r w:rsidRPr="00213A5D">
        <w:rPr>
          <w:rFonts w:eastAsia="Times New Roman"/>
          <w:bCs/>
          <w:sz w:val="24"/>
          <w:szCs w:val="24"/>
        </w:rPr>
        <w:t>в соответствии с перечнем видов изменений, вносимых в сводную роспись и лимиты бюджетных обязательств,</w:t>
      </w:r>
      <w:r w:rsidRPr="00213A5D">
        <w:rPr>
          <w:rFonts w:eastAsia="Times New Roman"/>
          <w:sz w:val="24"/>
          <w:szCs w:val="24"/>
        </w:rPr>
        <w:t xml:space="preserve"> </w:t>
      </w:r>
      <w:r w:rsidRPr="00213A5D">
        <w:rPr>
          <w:rFonts w:eastAsia="Times New Roman"/>
          <w:bCs/>
          <w:sz w:val="24"/>
          <w:szCs w:val="24"/>
        </w:rPr>
        <w:t>указанным основаниям соответствуют коды видов изменений</w:t>
      </w:r>
      <w:r w:rsidRPr="00213A5D">
        <w:rPr>
          <w:rFonts w:eastAsia="Times New Roman"/>
          <w:b/>
          <w:bCs/>
          <w:sz w:val="24"/>
          <w:szCs w:val="24"/>
        </w:rPr>
        <w:t xml:space="preserve"> 411 </w:t>
      </w:r>
      <w:r w:rsidRPr="00213A5D">
        <w:rPr>
          <w:rFonts w:eastAsia="Times New Roman"/>
          <w:bCs/>
          <w:sz w:val="24"/>
          <w:szCs w:val="24"/>
        </w:rPr>
        <w:t>и</w:t>
      </w:r>
      <w:r w:rsidRPr="00213A5D">
        <w:rPr>
          <w:rFonts w:eastAsia="Times New Roman"/>
          <w:b/>
          <w:bCs/>
          <w:sz w:val="24"/>
          <w:szCs w:val="24"/>
        </w:rPr>
        <w:t xml:space="preserve"> 412</w:t>
      </w:r>
      <w:r w:rsidRPr="00213A5D">
        <w:rPr>
          <w:rFonts w:eastAsia="Times New Roman"/>
          <w:bCs/>
          <w:sz w:val="24"/>
          <w:szCs w:val="24"/>
        </w:rPr>
        <w:t>).</w:t>
      </w:r>
    </w:p>
    <w:p w14:paraId="6DC06D18" w14:textId="77777777" w:rsidR="00CA013E" w:rsidRPr="00213A5D" w:rsidRDefault="00CA013E" w:rsidP="00F66680">
      <w:pPr>
        <w:widowControl w:val="0"/>
        <w:tabs>
          <w:tab w:val="left" w:pos="2340"/>
        </w:tabs>
        <w:spacing w:line="355" w:lineRule="auto"/>
        <w:ind w:left="0" w:right="0"/>
        <w:rPr>
          <w:rFonts w:eastAsia="Times New Roman"/>
          <w:sz w:val="24"/>
          <w:szCs w:val="24"/>
        </w:rPr>
      </w:pPr>
      <w:r w:rsidRPr="00213A5D">
        <w:rPr>
          <w:rFonts w:eastAsia="Times New Roman"/>
          <w:sz w:val="24"/>
          <w:szCs w:val="24"/>
        </w:rPr>
        <w:t>Частью 22</w:t>
      </w:r>
      <w:r w:rsidRPr="00213A5D">
        <w:rPr>
          <w:rFonts w:eastAsia="Times New Roman"/>
          <w:sz w:val="24"/>
          <w:szCs w:val="24"/>
          <w:vertAlign w:val="superscript"/>
        </w:rPr>
        <w:t>1</w:t>
      </w:r>
      <w:r w:rsidRPr="00213A5D">
        <w:rPr>
          <w:rFonts w:eastAsia="Times New Roman"/>
          <w:sz w:val="24"/>
          <w:szCs w:val="24"/>
        </w:rPr>
        <w:t xml:space="preserve"> статьи 10 Федерального закона № 384-ФЗ установлены дополнительные </w:t>
      </w:r>
      <w:r w:rsidRPr="00213A5D">
        <w:rPr>
          <w:rFonts w:eastAsia="Times New Roman"/>
          <w:b/>
          <w:sz w:val="24"/>
          <w:szCs w:val="24"/>
        </w:rPr>
        <w:t>основания для внесения изменений в 2022 году в сводную бюджетную роспись</w:t>
      </w:r>
      <w:r w:rsidRPr="00213A5D">
        <w:rPr>
          <w:rFonts w:eastAsia="Times New Roman"/>
          <w:sz w:val="24"/>
          <w:szCs w:val="24"/>
        </w:rPr>
        <w:t xml:space="preserve"> федерального бюджета </w:t>
      </w:r>
      <w:r w:rsidRPr="00213A5D">
        <w:rPr>
          <w:rFonts w:eastAsia="Times New Roman"/>
          <w:b/>
          <w:sz w:val="24"/>
          <w:szCs w:val="24"/>
        </w:rPr>
        <w:t xml:space="preserve">без внесения изменений в Федеральный </w:t>
      </w:r>
      <w:hyperlink r:id="rId29" w:history="1">
        <w:r w:rsidRPr="00213A5D">
          <w:rPr>
            <w:rFonts w:eastAsia="Times New Roman"/>
            <w:b/>
            <w:sz w:val="24"/>
            <w:szCs w:val="24"/>
          </w:rPr>
          <w:t>закон</w:t>
        </w:r>
      </w:hyperlink>
      <w:r w:rsidRPr="00213A5D">
        <w:rPr>
          <w:rFonts w:eastAsia="Times New Roman"/>
          <w:b/>
          <w:sz w:val="24"/>
          <w:szCs w:val="24"/>
        </w:rPr>
        <w:t xml:space="preserve"> № 390-ФЗ</w:t>
      </w:r>
      <w:r w:rsidRPr="00213A5D">
        <w:rPr>
          <w:rFonts w:eastAsia="Times New Roman"/>
          <w:sz w:val="24"/>
          <w:szCs w:val="24"/>
        </w:rPr>
        <w:t xml:space="preserve"> в связи </w:t>
      </w:r>
      <w:r w:rsidR="00E13214" w:rsidRPr="00213A5D">
        <w:rPr>
          <w:rFonts w:eastAsia="Times New Roman"/>
          <w:sz w:val="24"/>
          <w:szCs w:val="24"/>
        </w:rPr>
        <w:br/>
      </w:r>
      <w:r w:rsidRPr="00213A5D">
        <w:rPr>
          <w:rFonts w:eastAsia="Times New Roman"/>
          <w:sz w:val="24"/>
          <w:szCs w:val="24"/>
        </w:rPr>
        <w:t xml:space="preserve">с </w:t>
      </w:r>
      <w:r w:rsidRPr="00213A5D">
        <w:rPr>
          <w:rFonts w:eastAsia="Times New Roman"/>
          <w:b/>
          <w:sz w:val="24"/>
          <w:szCs w:val="24"/>
        </w:rPr>
        <w:t>предоставлением бюджетных кредитов</w:t>
      </w:r>
      <w:r w:rsidRPr="00213A5D">
        <w:rPr>
          <w:rFonts w:eastAsia="Times New Roman"/>
          <w:sz w:val="24"/>
          <w:szCs w:val="24"/>
        </w:rPr>
        <w:t xml:space="preserve"> из федерального бюджета бюджетам субъектов Российской Федерации в объеме до 420 млрд. рублей </w:t>
      </w:r>
      <w:r w:rsidRPr="00213A5D">
        <w:rPr>
          <w:rFonts w:eastAsia="Times New Roman"/>
          <w:b/>
          <w:sz w:val="24"/>
          <w:szCs w:val="24"/>
        </w:rPr>
        <w:t xml:space="preserve">для погашения долговых обязательств </w:t>
      </w:r>
      <w:r w:rsidRPr="00213A5D">
        <w:rPr>
          <w:rFonts w:eastAsia="Times New Roman"/>
          <w:sz w:val="24"/>
          <w:szCs w:val="24"/>
        </w:rPr>
        <w:t>субъектов Российской Федерации (муниципальных образований) в виде обязательств по государственным (муниципальным) ценным бумагам субъектов Российской Федерации (муниципальных образований) и кредитам, полученным субъектами Российской Федерации (муниципальными образованиями) от кредитных организаций, иностранных банков и международных финансовых организаций, сложившихся на 1 января 2022 года и подлежащих погашению субъектами Российской Федерации (муниципальными образованиями) в марте – декабре 2022 года (</w:t>
      </w:r>
      <w:r w:rsidRPr="00213A5D">
        <w:rPr>
          <w:rFonts w:eastAsia="Times New Roman"/>
          <w:bCs/>
          <w:sz w:val="24"/>
          <w:szCs w:val="24"/>
        </w:rPr>
        <w:t>код вида изменений</w:t>
      </w:r>
      <w:r w:rsidRPr="00213A5D">
        <w:rPr>
          <w:rFonts w:eastAsia="Times New Roman"/>
          <w:b/>
          <w:bCs/>
          <w:sz w:val="24"/>
          <w:szCs w:val="24"/>
        </w:rPr>
        <w:t xml:space="preserve"> 295</w:t>
      </w:r>
      <w:r w:rsidRPr="00213A5D">
        <w:rPr>
          <w:rFonts w:eastAsia="Times New Roman"/>
          <w:bCs/>
          <w:sz w:val="24"/>
          <w:szCs w:val="24"/>
        </w:rPr>
        <w:t>)</w:t>
      </w:r>
      <w:r w:rsidRPr="00213A5D">
        <w:rPr>
          <w:rFonts w:eastAsia="Times New Roman"/>
          <w:sz w:val="24"/>
          <w:szCs w:val="24"/>
        </w:rPr>
        <w:t xml:space="preserve">, а также в связи </w:t>
      </w:r>
      <w:r w:rsidR="00E13214" w:rsidRPr="00213A5D">
        <w:rPr>
          <w:rFonts w:eastAsia="Times New Roman"/>
          <w:sz w:val="24"/>
          <w:szCs w:val="24"/>
        </w:rPr>
        <w:br/>
      </w:r>
      <w:r w:rsidRPr="00213A5D">
        <w:rPr>
          <w:rFonts w:eastAsia="Times New Roman"/>
          <w:sz w:val="24"/>
          <w:szCs w:val="24"/>
        </w:rPr>
        <w:t xml:space="preserve">с предоставлением </w:t>
      </w:r>
      <w:r w:rsidRPr="00213A5D">
        <w:rPr>
          <w:rFonts w:eastAsia="Times New Roman"/>
          <w:b/>
          <w:sz w:val="24"/>
          <w:szCs w:val="24"/>
        </w:rPr>
        <w:t>бюджетных кредитов бюджетам субъектов</w:t>
      </w:r>
      <w:r w:rsidRPr="00213A5D">
        <w:rPr>
          <w:rFonts w:eastAsia="Times New Roman"/>
          <w:sz w:val="24"/>
          <w:szCs w:val="24"/>
        </w:rPr>
        <w:t xml:space="preserve"> Российской Федерации из федерального бюджета на финансовое обеспечение </w:t>
      </w:r>
      <w:r w:rsidRPr="00213A5D">
        <w:rPr>
          <w:rFonts w:eastAsia="Times New Roman"/>
          <w:b/>
          <w:sz w:val="24"/>
          <w:szCs w:val="24"/>
        </w:rPr>
        <w:t xml:space="preserve">реализации инфраструктурных проектов </w:t>
      </w:r>
      <w:r w:rsidRPr="00213A5D">
        <w:rPr>
          <w:rFonts w:eastAsia="Times New Roman"/>
          <w:sz w:val="24"/>
          <w:szCs w:val="24"/>
        </w:rPr>
        <w:t>(</w:t>
      </w:r>
      <w:r w:rsidRPr="00213A5D">
        <w:rPr>
          <w:rFonts w:eastAsia="Times New Roman"/>
          <w:bCs/>
          <w:sz w:val="24"/>
          <w:szCs w:val="24"/>
        </w:rPr>
        <w:t>код вида изменений</w:t>
      </w:r>
      <w:r w:rsidRPr="00213A5D">
        <w:rPr>
          <w:rFonts w:eastAsia="Times New Roman"/>
          <w:b/>
          <w:bCs/>
          <w:sz w:val="24"/>
          <w:szCs w:val="24"/>
        </w:rPr>
        <w:t xml:space="preserve"> 239</w:t>
      </w:r>
      <w:r w:rsidRPr="00213A5D">
        <w:rPr>
          <w:rFonts w:eastAsia="Times New Roman"/>
          <w:bCs/>
          <w:sz w:val="24"/>
          <w:szCs w:val="24"/>
        </w:rPr>
        <w:t>)</w:t>
      </w:r>
      <w:r w:rsidRPr="00213A5D">
        <w:rPr>
          <w:rFonts w:eastAsia="Times New Roman"/>
          <w:sz w:val="24"/>
          <w:szCs w:val="24"/>
        </w:rPr>
        <w:t>.</w:t>
      </w:r>
    </w:p>
    <w:p w14:paraId="0A2625B6" w14:textId="77777777" w:rsidR="00CA013E" w:rsidRPr="00213A5D" w:rsidRDefault="00CA013E" w:rsidP="00F66680">
      <w:pPr>
        <w:widowControl w:val="0"/>
        <w:tabs>
          <w:tab w:val="left" w:pos="2340"/>
        </w:tabs>
        <w:ind w:left="0" w:right="0"/>
        <w:rPr>
          <w:rFonts w:eastAsia="Times New Roman"/>
          <w:sz w:val="24"/>
          <w:szCs w:val="24"/>
        </w:rPr>
      </w:pPr>
      <w:r w:rsidRPr="00213A5D">
        <w:rPr>
          <w:rFonts w:eastAsia="Times New Roman"/>
          <w:sz w:val="24"/>
          <w:szCs w:val="24"/>
        </w:rPr>
        <w:t>В соответствии с частями 22</w:t>
      </w:r>
      <w:r w:rsidRPr="00213A5D">
        <w:rPr>
          <w:rFonts w:eastAsia="Times New Roman"/>
          <w:sz w:val="24"/>
          <w:szCs w:val="24"/>
          <w:vertAlign w:val="superscript"/>
        </w:rPr>
        <w:t>2</w:t>
      </w:r>
      <w:r w:rsidRPr="00213A5D">
        <w:rPr>
          <w:rFonts w:eastAsia="Times New Roman"/>
          <w:sz w:val="24"/>
          <w:szCs w:val="24"/>
        </w:rPr>
        <w:t xml:space="preserve"> и 24 статьи 10 Федерального закона № 384-ФЗ Минфин России представляет предложения по внесению изменений в сводную роспись федерального бюджета без внесения изменений в Федеральный закон № 390-ФЗ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 Комиссия по перераспределению) в следующих случаях:</w:t>
      </w:r>
    </w:p>
    <w:p w14:paraId="7481717C" w14:textId="77777777" w:rsidR="00CA013E" w:rsidRPr="00213A5D" w:rsidRDefault="00CA013E" w:rsidP="00F66680">
      <w:pPr>
        <w:widowControl w:val="0"/>
        <w:numPr>
          <w:ilvl w:val="0"/>
          <w:numId w:val="7"/>
        </w:numPr>
        <w:tabs>
          <w:tab w:val="left" w:pos="993"/>
        </w:tabs>
        <w:ind w:left="0" w:right="0" w:firstLine="709"/>
        <w:rPr>
          <w:rFonts w:eastAsia="Times New Roman"/>
          <w:sz w:val="24"/>
          <w:szCs w:val="24"/>
        </w:rPr>
      </w:pPr>
      <w:r w:rsidRPr="00213A5D">
        <w:rPr>
          <w:rFonts w:eastAsia="Times New Roman"/>
          <w:sz w:val="24"/>
          <w:szCs w:val="24"/>
        </w:rPr>
        <w:t>перераспределения (увеличения) иным образом зарезерви</w:t>
      </w:r>
      <w:r w:rsidR="00041980" w:rsidRPr="00213A5D">
        <w:rPr>
          <w:rFonts w:eastAsia="Times New Roman"/>
          <w:sz w:val="24"/>
          <w:szCs w:val="24"/>
        </w:rPr>
        <w:t>рованных бюджетных ассигнований</w:t>
      </w:r>
      <w:r w:rsidRPr="00213A5D">
        <w:rPr>
          <w:rFonts w:eastAsia="Times New Roman"/>
          <w:sz w:val="24"/>
          <w:szCs w:val="24"/>
        </w:rPr>
        <w:t xml:space="preserve">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а также на иные цели, определенные Правительством Российской Федерации </w:t>
      </w:r>
      <w:r w:rsidRPr="00213A5D">
        <w:rPr>
          <w:rFonts w:eastAsia="Times New Roman"/>
          <w:sz w:val="24"/>
          <w:szCs w:val="24"/>
        </w:rPr>
        <w:lastRenderedPageBreak/>
        <w:t>(часть 22 статьи 10 Федерального закона № 384-ФЗ);</w:t>
      </w:r>
    </w:p>
    <w:p w14:paraId="24EB8EFF" w14:textId="77777777" w:rsidR="00CA013E" w:rsidRPr="00213A5D" w:rsidRDefault="00CA013E" w:rsidP="00E261B0">
      <w:pPr>
        <w:widowControl w:val="0"/>
        <w:numPr>
          <w:ilvl w:val="0"/>
          <w:numId w:val="7"/>
        </w:numPr>
        <w:tabs>
          <w:tab w:val="left" w:pos="993"/>
        </w:tabs>
        <w:spacing w:line="343" w:lineRule="auto"/>
        <w:ind w:left="0" w:right="0" w:firstLine="709"/>
        <w:rPr>
          <w:rFonts w:eastAsia="Times New Roman"/>
          <w:sz w:val="24"/>
          <w:szCs w:val="24"/>
        </w:rPr>
      </w:pPr>
      <w:r w:rsidRPr="00213A5D">
        <w:rPr>
          <w:rFonts w:eastAsia="Times New Roman"/>
          <w:sz w:val="24"/>
          <w:szCs w:val="24"/>
        </w:rPr>
        <w:t xml:space="preserve">предоставления в 2022 году бюджетных кредитов бюджетам субъектов Российской Федерации для погашения долговых обязательств регионов по государственным ценным бумагам </w:t>
      </w:r>
      <w:r w:rsidRPr="00213A5D">
        <w:rPr>
          <w:sz w:val="24"/>
          <w:szCs w:val="24"/>
        </w:rPr>
        <w:t>и на финансовое обеспечение реализации инфраструктурных проектов (части 22</w:t>
      </w:r>
      <w:r w:rsidRPr="00213A5D">
        <w:rPr>
          <w:sz w:val="24"/>
          <w:szCs w:val="24"/>
          <w:vertAlign w:val="superscript"/>
        </w:rPr>
        <w:t>1</w:t>
      </w:r>
      <w:r w:rsidRPr="00213A5D">
        <w:rPr>
          <w:sz w:val="24"/>
          <w:szCs w:val="24"/>
        </w:rPr>
        <w:t xml:space="preserve"> и 32 статьи 10 Федерального закона № 384-ФЗ);</w:t>
      </w:r>
    </w:p>
    <w:p w14:paraId="7BD9844E" w14:textId="77777777" w:rsidR="00CA013E" w:rsidRPr="00213A5D" w:rsidRDefault="00CA013E" w:rsidP="00E261B0">
      <w:pPr>
        <w:widowControl w:val="0"/>
        <w:numPr>
          <w:ilvl w:val="0"/>
          <w:numId w:val="7"/>
        </w:numPr>
        <w:tabs>
          <w:tab w:val="left" w:pos="993"/>
        </w:tabs>
        <w:spacing w:line="343" w:lineRule="auto"/>
        <w:ind w:left="0" w:right="0" w:firstLine="709"/>
        <w:rPr>
          <w:rFonts w:eastAsia="Times New Roman"/>
          <w:sz w:val="24"/>
          <w:szCs w:val="24"/>
        </w:rPr>
      </w:pPr>
      <w:r w:rsidRPr="00213A5D">
        <w:rPr>
          <w:rFonts w:eastAsia="Times New Roman"/>
          <w:sz w:val="24"/>
          <w:szCs w:val="24"/>
        </w:rPr>
        <w:t>в случае и в пределах поступлений от отдельных видов ненефтегазовых доходов сверх объемов, учтенных при утверждении общего объема доходов федерального бюджета (часть 23 статьи 10 Федерального закона № 384-ФЗ);</w:t>
      </w:r>
    </w:p>
    <w:p w14:paraId="62B5A2F7" w14:textId="77777777" w:rsidR="00CA013E" w:rsidRPr="00213A5D" w:rsidRDefault="00CA013E" w:rsidP="00E261B0">
      <w:pPr>
        <w:widowControl w:val="0"/>
        <w:numPr>
          <w:ilvl w:val="0"/>
          <w:numId w:val="7"/>
        </w:numPr>
        <w:tabs>
          <w:tab w:val="left" w:pos="993"/>
        </w:tabs>
        <w:spacing w:line="343" w:lineRule="auto"/>
        <w:ind w:left="0" w:right="0" w:firstLine="709"/>
        <w:rPr>
          <w:rFonts w:eastAsia="Times New Roman"/>
          <w:sz w:val="24"/>
          <w:szCs w:val="24"/>
        </w:rPr>
      </w:pPr>
      <w:r w:rsidRPr="00213A5D">
        <w:rPr>
          <w:rFonts w:eastAsia="Times New Roman"/>
          <w:sz w:val="24"/>
          <w:szCs w:val="24"/>
        </w:rPr>
        <w:t>проект</w:t>
      </w:r>
      <w:r w:rsidR="00041980" w:rsidRPr="00213A5D">
        <w:rPr>
          <w:rFonts w:eastAsia="Times New Roman"/>
          <w:sz w:val="24"/>
          <w:szCs w:val="24"/>
        </w:rPr>
        <w:t>ов</w:t>
      </w:r>
      <w:r w:rsidRPr="00213A5D">
        <w:rPr>
          <w:rFonts w:eastAsia="Times New Roman"/>
          <w:sz w:val="24"/>
          <w:szCs w:val="24"/>
        </w:rPr>
        <w:t xml:space="preserve"> решений о направлении дополнительных нефтегазовых доходов на замещение государственных заимствований, погашение государственного долга Российской Федерации, на исполнение публичных нормативных обязательств Российской Федерации в случае недостаточности предусмотренных на их исполнение бюджетных ассигнований, а также на иные цели, определенные Правительством Российской Федерации (пункт 3 части 5 статьи 10 Федерального закона № 384-ФЗ)</w:t>
      </w:r>
      <w:bookmarkStart w:id="0" w:name="_Ref118919293"/>
      <w:r w:rsidRPr="00213A5D">
        <w:rPr>
          <w:rStyle w:val="aff2"/>
          <w:rFonts w:eastAsia="Times New Roman"/>
          <w:sz w:val="24"/>
          <w:szCs w:val="24"/>
        </w:rPr>
        <w:footnoteReference w:id="13"/>
      </w:r>
      <w:bookmarkEnd w:id="0"/>
      <w:r w:rsidRPr="00213A5D">
        <w:rPr>
          <w:rFonts w:eastAsia="Times New Roman"/>
          <w:sz w:val="24"/>
          <w:szCs w:val="24"/>
        </w:rPr>
        <w:t>;</w:t>
      </w:r>
    </w:p>
    <w:p w14:paraId="6D39B6AB" w14:textId="77777777" w:rsidR="00CA013E" w:rsidRPr="00213A5D" w:rsidRDefault="00CA013E" w:rsidP="00E261B0">
      <w:pPr>
        <w:widowControl w:val="0"/>
        <w:numPr>
          <w:ilvl w:val="0"/>
          <w:numId w:val="7"/>
        </w:numPr>
        <w:tabs>
          <w:tab w:val="left" w:pos="993"/>
        </w:tabs>
        <w:spacing w:line="343" w:lineRule="auto"/>
        <w:ind w:left="0" w:right="0" w:firstLine="709"/>
        <w:rPr>
          <w:rFonts w:eastAsia="Times New Roman"/>
          <w:sz w:val="24"/>
          <w:szCs w:val="24"/>
        </w:rPr>
      </w:pPr>
      <w:r w:rsidRPr="00213A5D">
        <w:rPr>
          <w:rFonts w:eastAsia="Times New Roman"/>
          <w:sz w:val="24"/>
          <w:szCs w:val="24"/>
        </w:rPr>
        <w:t>проект</w:t>
      </w:r>
      <w:r w:rsidR="00041980" w:rsidRPr="00213A5D">
        <w:rPr>
          <w:rFonts w:eastAsia="Times New Roman"/>
          <w:sz w:val="24"/>
          <w:szCs w:val="24"/>
        </w:rPr>
        <w:t>ов</w:t>
      </w:r>
      <w:r w:rsidRPr="00213A5D">
        <w:rPr>
          <w:rFonts w:eastAsia="Times New Roman"/>
          <w:sz w:val="24"/>
          <w:szCs w:val="24"/>
        </w:rPr>
        <w:t xml:space="preserve"> решений о направлении средств Фонда национального благосостояния на обеспечение сбалансированности (покрытие дефицита) федерального бюджета, включая замещение государственных заимствований, погашение государственного долга Российской Федерации, предоставление бюджетных кредитов из федерального бюджета бюджетам субъектов Российской Федерации, на исполнение публичных нормативных обязательств Российской Федерации в случае недостаточности бюджетных ассигнований федерального бюджета, предусмотренных на исполнение публичных нормативных обязательств Российской Федерации, а также на иные цели, определенные Правительством Российской Федерации (пункт 4 части 5 статьи 10 Федерального закона</w:t>
      </w:r>
      <w:r w:rsidR="006D2079" w:rsidRPr="00213A5D">
        <w:rPr>
          <w:rFonts w:eastAsia="Times New Roman"/>
          <w:sz w:val="24"/>
          <w:szCs w:val="24"/>
        </w:rPr>
        <w:t xml:space="preserve"> </w:t>
      </w:r>
      <w:r w:rsidRPr="00213A5D">
        <w:rPr>
          <w:rFonts w:eastAsia="Times New Roman"/>
          <w:sz w:val="24"/>
          <w:szCs w:val="24"/>
        </w:rPr>
        <w:t>№ 384-ФЗ)</w:t>
      </w:r>
      <w:r w:rsidR="00380ABD" w:rsidRPr="00213A5D">
        <w:rPr>
          <w:rFonts w:eastAsia="Times New Roman"/>
          <w:sz w:val="24"/>
          <w:szCs w:val="24"/>
        </w:rPr>
        <w:fldChar w:fldCharType="begin"/>
      </w:r>
      <w:r w:rsidR="00380ABD" w:rsidRPr="00213A5D">
        <w:rPr>
          <w:rFonts w:eastAsia="Times New Roman"/>
          <w:sz w:val="24"/>
          <w:szCs w:val="24"/>
        </w:rPr>
        <w:instrText xml:space="preserve"> NOTEREF _Ref118919293 \f </w:instrText>
      </w:r>
      <w:r w:rsidR="00213A5D">
        <w:rPr>
          <w:rFonts w:eastAsia="Times New Roman"/>
          <w:sz w:val="24"/>
          <w:szCs w:val="24"/>
        </w:rPr>
        <w:instrText xml:space="preserve"> \* MERGEFORMAT </w:instrText>
      </w:r>
      <w:r w:rsidR="00380ABD" w:rsidRPr="00213A5D">
        <w:rPr>
          <w:rFonts w:eastAsia="Times New Roman"/>
          <w:sz w:val="24"/>
          <w:szCs w:val="24"/>
        </w:rPr>
        <w:fldChar w:fldCharType="separate"/>
      </w:r>
      <w:r w:rsidR="00CB0409" w:rsidRPr="00213A5D">
        <w:rPr>
          <w:rStyle w:val="aff2"/>
        </w:rPr>
        <w:t>13</w:t>
      </w:r>
      <w:r w:rsidR="00380ABD" w:rsidRPr="00213A5D">
        <w:rPr>
          <w:rFonts w:eastAsia="Times New Roman"/>
          <w:sz w:val="24"/>
          <w:szCs w:val="24"/>
        </w:rPr>
        <w:fldChar w:fldCharType="end"/>
      </w:r>
      <w:r w:rsidRPr="00213A5D">
        <w:rPr>
          <w:rFonts w:eastAsia="Times New Roman"/>
          <w:sz w:val="24"/>
          <w:szCs w:val="24"/>
        </w:rPr>
        <w:t>.</w:t>
      </w:r>
    </w:p>
    <w:p w14:paraId="5A21AF43" w14:textId="77777777" w:rsidR="00CA013E" w:rsidRPr="00213A5D" w:rsidRDefault="00CA013E" w:rsidP="00E261B0">
      <w:pPr>
        <w:widowControl w:val="0"/>
        <w:tabs>
          <w:tab w:val="left" w:pos="2340"/>
        </w:tabs>
        <w:spacing w:line="343" w:lineRule="auto"/>
        <w:ind w:left="0" w:right="0"/>
        <w:rPr>
          <w:rFonts w:eastAsia="Times New Roman"/>
          <w:sz w:val="24"/>
          <w:szCs w:val="24"/>
        </w:rPr>
      </w:pPr>
      <w:r w:rsidRPr="00213A5D">
        <w:rPr>
          <w:rFonts w:eastAsia="Times New Roman"/>
          <w:sz w:val="24"/>
          <w:szCs w:val="24"/>
        </w:rPr>
        <w:t>Указанные предложения и решения Комиссии по перераспределению направляются в Государственную Думу, Совет Федерации и Счетную палату.</w:t>
      </w:r>
    </w:p>
    <w:p w14:paraId="594D81F8" w14:textId="77777777" w:rsidR="00CA013E" w:rsidRPr="00213A5D" w:rsidRDefault="00CA013E" w:rsidP="00E261B0">
      <w:pPr>
        <w:widowControl w:val="0"/>
        <w:spacing w:line="343" w:lineRule="auto"/>
        <w:ind w:left="0" w:right="0"/>
        <w:rPr>
          <w:rFonts w:eastAsia="Times New Roman"/>
          <w:sz w:val="24"/>
          <w:szCs w:val="24"/>
        </w:rPr>
      </w:pPr>
      <w:r w:rsidRPr="00213A5D">
        <w:rPr>
          <w:rFonts w:eastAsia="Times New Roman"/>
          <w:sz w:val="24"/>
          <w:szCs w:val="24"/>
        </w:rPr>
        <w:t xml:space="preserve">В январе – сентябре 2022 года в Счетную палату поступили копии материалов, представленных Минфином России для рассмотрения Комиссией по перераспределению, а также копии протоколов заседаний Комиссии по перераспределению с принятыми решениями по предложениям главных распорядителей </w:t>
      </w:r>
      <w:r w:rsidR="00041980" w:rsidRPr="00213A5D">
        <w:rPr>
          <w:rFonts w:eastAsia="Times New Roman"/>
          <w:sz w:val="24"/>
          <w:szCs w:val="24"/>
        </w:rPr>
        <w:t>о</w:t>
      </w:r>
      <w:r w:rsidRPr="00213A5D">
        <w:rPr>
          <w:rFonts w:eastAsia="Times New Roman"/>
          <w:sz w:val="24"/>
          <w:szCs w:val="24"/>
        </w:rPr>
        <w:t xml:space="preserve"> внесени</w:t>
      </w:r>
      <w:r w:rsidR="00041980" w:rsidRPr="00213A5D">
        <w:rPr>
          <w:rFonts w:eastAsia="Times New Roman"/>
          <w:sz w:val="24"/>
          <w:szCs w:val="24"/>
        </w:rPr>
        <w:t>и</w:t>
      </w:r>
      <w:r w:rsidRPr="00213A5D">
        <w:rPr>
          <w:rFonts w:eastAsia="Times New Roman"/>
          <w:sz w:val="24"/>
          <w:szCs w:val="24"/>
        </w:rPr>
        <w:t xml:space="preserve"> изменений в сводную роспись на 2022 год.</w:t>
      </w:r>
    </w:p>
    <w:p w14:paraId="0D7FDEC3" w14:textId="77777777" w:rsidR="00CA013E" w:rsidRPr="00213A5D" w:rsidRDefault="00CA013E" w:rsidP="00F66680">
      <w:pPr>
        <w:widowControl w:val="0"/>
        <w:spacing w:line="341" w:lineRule="auto"/>
        <w:ind w:left="0" w:right="0"/>
        <w:rPr>
          <w:rFonts w:eastAsia="Times New Roman"/>
          <w:sz w:val="24"/>
          <w:szCs w:val="24"/>
        </w:rPr>
      </w:pPr>
      <w:r w:rsidRPr="00213A5D">
        <w:rPr>
          <w:rFonts w:eastAsia="Times New Roman"/>
          <w:sz w:val="24"/>
          <w:szCs w:val="24"/>
        </w:rPr>
        <w:t>По состоянию на 1 октября 2022 года в соответствии с решениями Комиссии по перераспределению в сводную роспись на 2022 год внесены изменения</w:t>
      </w:r>
      <w:r w:rsidRPr="00213A5D">
        <w:rPr>
          <w:rStyle w:val="aff2"/>
          <w:rFonts w:eastAsia="Times New Roman"/>
          <w:sz w:val="24"/>
          <w:szCs w:val="24"/>
        </w:rPr>
        <w:footnoteReference w:id="14"/>
      </w:r>
      <w:r w:rsidRPr="00213A5D">
        <w:rPr>
          <w:rFonts w:eastAsia="Times New Roman"/>
          <w:sz w:val="24"/>
          <w:szCs w:val="24"/>
        </w:rPr>
        <w:t xml:space="preserve">, </w:t>
      </w:r>
      <w:r w:rsidRPr="00213A5D">
        <w:rPr>
          <w:bCs/>
          <w:sz w:val="24"/>
          <w:szCs w:val="24"/>
        </w:rPr>
        <w:lastRenderedPageBreak/>
        <w:t xml:space="preserve">предусматривающие перераспределение бюджетных ассигнований на общую сумму </w:t>
      </w:r>
      <w:r w:rsidRPr="00213A5D">
        <w:rPr>
          <w:rFonts w:eastAsia="Times New Roman"/>
          <w:b/>
          <w:sz w:val="24"/>
          <w:szCs w:val="24"/>
        </w:rPr>
        <w:t>712 320,1</w:t>
      </w:r>
      <w:r w:rsidRPr="00213A5D">
        <w:rPr>
          <w:b/>
          <w:bCs/>
          <w:sz w:val="24"/>
          <w:szCs w:val="24"/>
        </w:rPr>
        <w:t xml:space="preserve"> млн. рублей</w:t>
      </w:r>
      <w:r w:rsidRPr="00213A5D">
        <w:rPr>
          <w:bCs/>
          <w:sz w:val="24"/>
          <w:szCs w:val="24"/>
        </w:rPr>
        <w:t>.</w:t>
      </w:r>
    </w:p>
    <w:p w14:paraId="7D91A63E" w14:textId="77777777" w:rsidR="00CA013E" w:rsidRPr="00213A5D" w:rsidRDefault="00CA013E" w:rsidP="00F66680">
      <w:pPr>
        <w:widowControl w:val="0"/>
        <w:spacing w:line="341" w:lineRule="auto"/>
        <w:ind w:left="0" w:right="0"/>
        <w:rPr>
          <w:rFonts w:eastAsia="Times New Roman"/>
          <w:bCs/>
          <w:sz w:val="24"/>
          <w:szCs w:val="24"/>
        </w:rPr>
      </w:pPr>
      <w:r w:rsidRPr="00213A5D">
        <w:rPr>
          <w:rFonts w:eastAsia="Times New Roman"/>
          <w:bCs/>
          <w:sz w:val="24"/>
          <w:szCs w:val="24"/>
        </w:rPr>
        <w:t>Перераспределение бюджетных ассигнований на 2022 год по указанным основаниям представлено в следующей таблице.</w:t>
      </w:r>
    </w:p>
    <w:p w14:paraId="57A39CB2" w14:textId="77777777" w:rsidR="00054FC5" w:rsidRPr="00213A5D" w:rsidRDefault="00054FC5" w:rsidP="00E13214">
      <w:pPr>
        <w:widowControl w:val="0"/>
        <w:spacing w:line="240" w:lineRule="auto"/>
        <w:ind w:left="0" w:right="0"/>
        <w:jc w:val="right"/>
        <w:rPr>
          <w:rFonts w:eastAsia="Times New Roman"/>
          <w:sz w:val="20"/>
          <w:szCs w:val="20"/>
        </w:rPr>
      </w:pPr>
      <w:r w:rsidRPr="00213A5D">
        <w:rPr>
          <w:rFonts w:eastAsia="Times New Roman"/>
          <w:sz w:val="20"/>
          <w:szCs w:val="20"/>
        </w:rPr>
        <w:t>(млн. рублей)</w:t>
      </w:r>
    </w:p>
    <w:tbl>
      <w:tblPr>
        <w:tblW w:w="9717" w:type="dxa"/>
        <w:tblInd w:w="172" w:type="dxa"/>
        <w:tblLayout w:type="fixed"/>
        <w:tblLook w:val="04A0" w:firstRow="1" w:lastRow="0" w:firstColumn="1" w:lastColumn="0" w:noHBand="0" w:noVBand="1"/>
      </w:tblPr>
      <w:tblGrid>
        <w:gridCol w:w="929"/>
        <w:gridCol w:w="7087"/>
        <w:gridCol w:w="1701"/>
      </w:tblGrid>
      <w:tr w:rsidR="00CA013E" w:rsidRPr="00213A5D" w14:paraId="2990CB3E" w14:textId="77777777" w:rsidTr="00B8698F">
        <w:trPr>
          <w:tblHeader/>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F4263" w14:textId="77777777" w:rsidR="00CA013E" w:rsidRPr="00213A5D" w:rsidRDefault="00CA013E" w:rsidP="00B8698F">
            <w:pPr>
              <w:widowControl w:val="0"/>
              <w:spacing w:line="240" w:lineRule="auto"/>
              <w:ind w:left="-172" w:right="-108" w:firstLine="3"/>
              <w:jc w:val="center"/>
              <w:rPr>
                <w:rFonts w:eastAsia="Times New Roman"/>
                <w:b/>
                <w:bCs/>
                <w:sz w:val="18"/>
                <w:szCs w:val="18"/>
              </w:rPr>
            </w:pPr>
            <w:r w:rsidRPr="00213A5D">
              <w:rPr>
                <w:rFonts w:eastAsia="Times New Roman"/>
                <w:b/>
                <w:bCs/>
                <w:sz w:val="18"/>
                <w:szCs w:val="18"/>
              </w:rPr>
              <w:t>Код вида изменений</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2B51E" w14:textId="77777777" w:rsidR="00CA013E" w:rsidRPr="00213A5D" w:rsidRDefault="00CA013E" w:rsidP="00AF1852">
            <w:pPr>
              <w:widowControl w:val="0"/>
              <w:spacing w:line="240" w:lineRule="auto"/>
              <w:ind w:left="-30" w:right="-108" w:firstLine="3"/>
              <w:jc w:val="center"/>
              <w:rPr>
                <w:rFonts w:eastAsia="Times New Roman"/>
                <w:b/>
                <w:bCs/>
                <w:sz w:val="18"/>
                <w:szCs w:val="18"/>
              </w:rPr>
            </w:pPr>
            <w:r w:rsidRPr="00213A5D">
              <w:rPr>
                <w:rFonts w:eastAsia="Times New Roman"/>
                <w:b/>
                <w:bCs/>
                <w:sz w:val="18"/>
                <w:szCs w:val="18"/>
              </w:rPr>
              <w:t>Наименование вида изменений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B21FB" w14:textId="77777777" w:rsidR="00CA013E" w:rsidRPr="00213A5D" w:rsidRDefault="00CA013E" w:rsidP="00AF1852">
            <w:pPr>
              <w:widowControl w:val="0"/>
              <w:spacing w:line="240" w:lineRule="auto"/>
              <w:ind w:left="-30" w:right="-108" w:firstLine="3"/>
              <w:jc w:val="center"/>
              <w:rPr>
                <w:rFonts w:eastAsia="Times New Roman"/>
                <w:b/>
                <w:bCs/>
                <w:sz w:val="18"/>
                <w:szCs w:val="18"/>
              </w:rPr>
            </w:pPr>
            <w:r w:rsidRPr="00213A5D">
              <w:rPr>
                <w:rFonts w:eastAsia="Times New Roman"/>
                <w:b/>
                <w:bCs/>
                <w:sz w:val="18"/>
                <w:szCs w:val="18"/>
              </w:rPr>
              <w:t xml:space="preserve">Сумма перераспределения бюджетных ассигнований </w:t>
            </w:r>
          </w:p>
          <w:p w14:paraId="42E36B1B" w14:textId="77777777" w:rsidR="00CA013E" w:rsidRPr="00213A5D" w:rsidRDefault="00CA013E" w:rsidP="00AF1852">
            <w:pPr>
              <w:widowControl w:val="0"/>
              <w:spacing w:line="240" w:lineRule="auto"/>
              <w:ind w:left="-30" w:right="-108" w:firstLine="3"/>
              <w:jc w:val="center"/>
              <w:rPr>
                <w:rFonts w:eastAsia="Times New Roman"/>
                <w:b/>
                <w:bCs/>
                <w:sz w:val="18"/>
                <w:szCs w:val="18"/>
              </w:rPr>
            </w:pPr>
            <w:r w:rsidRPr="00213A5D">
              <w:rPr>
                <w:rFonts w:eastAsia="Times New Roman"/>
                <w:b/>
                <w:bCs/>
                <w:sz w:val="18"/>
                <w:szCs w:val="18"/>
              </w:rPr>
              <w:t xml:space="preserve">на 2022 год </w:t>
            </w:r>
          </w:p>
        </w:tc>
      </w:tr>
      <w:tr w:rsidR="00CA013E" w:rsidRPr="00213A5D" w14:paraId="0DADACB2" w14:textId="77777777" w:rsidTr="00B8698F">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1DA99" w14:textId="77777777" w:rsidR="00CA013E" w:rsidRPr="00213A5D" w:rsidRDefault="00CA013E" w:rsidP="00AF1852">
            <w:pPr>
              <w:widowControl w:val="0"/>
              <w:spacing w:line="240" w:lineRule="auto"/>
              <w:ind w:left="0" w:right="-34" w:firstLine="3"/>
              <w:jc w:val="center"/>
              <w:rPr>
                <w:rFonts w:eastAsia="Times New Roman"/>
                <w:sz w:val="18"/>
                <w:szCs w:val="18"/>
              </w:rPr>
            </w:pPr>
            <w:r w:rsidRPr="00213A5D">
              <w:rPr>
                <w:rFonts w:eastAsia="Times New Roman"/>
                <w:sz w:val="18"/>
                <w:szCs w:val="18"/>
              </w:rPr>
              <w:t>121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BE797" w14:textId="77777777" w:rsidR="00CA013E" w:rsidRPr="00213A5D" w:rsidRDefault="00CA013E" w:rsidP="00AF1852">
            <w:pPr>
              <w:widowControl w:val="0"/>
              <w:spacing w:line="240" w:lineRule="auto"/>
              <w:ind w:left="-40" w:right="34" w:firstLine="3"/>
              <w:rPr>
                <w:rFonts w:eastAsia="Times New Roman"/>
                <w:sz w:val="18"/>
                <w:szCs w:val="18"/>
              </w:rPr>
            </w:pPr>
            <w:r w:rsidRPr="00213A5D">
              <w:rPr>
                <w:rFonts w:eastAsia="Times New Roman"/>
                <w:sz w:val="18"/>
                <w:szCs w:val="18"/>
              </w:rPr>
              <w:t>Изменения, вносимые в случае увеличения бюджетных ассигнований резервного фонда Правительства Российской Федерации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054B0" w14:textId="77777777" w:rsidR="00CA013E" w:rsidRPr="00213A5D" w:rsidRDefault="00CA013E" w:rsidP="00AF1852">
            <w:pPr>
              <w:widowControl w:val="0"/>
              <w:spacing w:line="240" w:lineRule="auto"/>
              <w:ind w:left="-108" w:right="29" w:firstLine="3"/>
              <w:jc w:val="center"/>
              <w:rPr>
                <w:rFonts w:eastAsia="Times New Roman"/>
                <w:sz w:val="18"/>
                <w:szCs w:val="18"/>
              </w:rPr>
            </w:pPr>
            <w:r w:rsidRPr="00213A5D">
              <w:rPr>
                <w:rFonts w:eastAsia="Times New Roman"/>
                <w:sz w:val="18"/>
                <w:szCs w:val="18"/>
              </w:rPr>
              <w:t>124 116,5</w:t>
            </w:r>
          </w:p>
        </w:tc>
      </w:tr>
      <w:tr w:rsidR="00CA013E" w:rsidRPr="00213A5D" w14:paraId="0FA77F09" w14:textId="77777777" w:rsidTr="00B8698F">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AC6EA73" w14:textId="77777777" w:rsidR="00CA013E" w:rsidRPr="00213A5D" w:rsidRDefault="00CA013E" w:rsidP="00AF1852">
            <w:pPr>
              <w:widowControl w:val="0"/>
              <w:spacing w:line="240" w:lineRule="auto"/>
              <w:ind w:left="0" w:right="-34" w:firstLine="3"/>
              <w:jc w:val="center"/>
              <w:rPr>
                <w:rFonts w:eastAsia="Times New Roman"/>
                <w:sz w:val="18"/>
                <w:szCs w:val="18"/>
              </w:rPr>
            </w:pPr>
            <w:r w:rsidRPr="00213A5D">
              <w:rPr>
                <w:rFonts w:eastAsia="Times New Roman"/>
                <w:sz w:val="18"/>
                <w:szCs w:val="18"/>
              </w:rPr>
              <w:t>232</w:t>
            </w:r>
          </w:p>
        </w:tc>
        <w:tc>
          <w:tcPr>
            <w:tcW w:w="7087" w:type="dxa"/>
            <w:tcBorders>
              <w:top w:val="single" w:sz="4" w:space="0" w:color="auto"/>
              <w:left w:val="nil"/>
              <w:bottom w:val="single" w:sz="4" w:space="0" w:color="auto"/>
              <w:right w:val="single" w:sz="4" w:space="0" w:color="auto"/>
            </w:tcBorders>
            <w:shd w:val="clear" w:color="auto" w:fill="auto"/>
            <w:vAlign w:val="center"/>
          </w:tcPr>
          <w:p w14:paraId="1C1D2A0D" w14:textId="77777777" w:rsidR="00CA013E" w:rsidRPr="00213A5D" w:rsidRDefault="00CA013E" w:rsidP="00AF1852">
            <w:pPr>
              <w:widowControl w:val="0"/>
              <w:overflowPunct/>
              <w:spacing w:line="240" w:lineRule="auto"/>
              <w:ind w:left="0" w:right="0" w:firstLine="0"/>
              <w:textAlignment w:val="auto"/>
              <w:rPr>
                <w:rFonts w:eastAsia="Times New Roman"/>
                <w:sz w:val="18"/>
                <w:szCs w:val="18"/>
              </w:rPr>
            </w:pPr>
            <w:r w:rsidRPr="00213A5D">
              <w:rPr>
                <w:rFonts w:eastAsia="Times New Roman"/>
                <w:bCs/>
                <w:sz w:val="18"/>
                <w:szCs w:val="18"/>
              </w:rPr>
              <w:t xml:space="preserve">Изменения, вносимые в случае фактического получения доходов при исполнении федерального бюджета сверх утвержденного </w:t>
            </w:r>
            <w:hyperlink r:id="rId30" w:history="1">
              <w:r w:rsidRPr="00213A5D">
                <w:rPr>
                  <w:rFonts w:eastAsia="Times New Roman"/>
                  <w:bCs/>
                  <w:sz w:val="18"/>
                  <w:szCs w:val="18"/>
                </w:rPr>
                <w:t>Законом</w:t>
              </w:r>
            </w:hyperlink>
            <w:r w:rsidRPr="00213A5D">
              <w:rPr>
                <w:rFonts w:eastAsia="Times New Roman"/>
                <w:bCs/>
                <w:sz w:val="18"/>
                <w:szCs w:val="18"/>
              </w:rPr>
              <w:t xml:space="preserve"> общего объема доходов, которые могут направляться на замещение государственных заимствований, погашение государственного долга Российской Федерации, а также на исполнение публичных нормативных обязательств Российской Федерации в случае недостаточности предусмотренных на их исполнение бюджетных ассигнований в размере, предусмотренном </w:t>
            </w:r>
            <w:hyperlink r:id="rId31" w:history="1">
              <w:r w:rsidRPr="00213A5D">
                <w:rPr>
                  <w:rFonts w:eastAsia="Times New Roman"/>
                  <w:bCs/>
                  <w:sz w:val="18"/>
                  <w:szCs w:val="18"/>
                </w:rPr>
                <w:t>пунктом 3 статьи 217</w:t>
              </w:r>
            </w:hyperlink>
            <w:r w:rsidRPr="00213A5D">
              <w:rPr>
                <w:rFonts w:eastAsia="Times New Roman"/>
                <w:bCs/>
                <w:sz w:val="18"/>
                <w:szCs w:val="18"/>
              </w:rPr>
              <w:t xml:space="preserve"> Бюджетного кодекса, а также в случае принятия решения Правительством Российской Федерации о направлении дополнительных нефтегазовых доходов на указанные цели, а также на иные цели, определенные Правительством Российской Федерации</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5E2FA42" w14:textId="77777777" w:rsidR="00CA013E" w:rsidRPr="00213A5D" w:rsidRDefault="00CA013E" w:rsidP="00AF1852">
            <w:pPr>
              <w:widowControl w:val="0"/>
              <w:spacing w:line="240" w:lineRule="auto"/>
              <w:ind w:left="-108" w:right="29" w:firstLine="3"/>
              <w:jc w:val="center"/>
              <w:rPr>
                <w:rFonts w:eastAsia="Times New Roman"/>
                <w:sz w:val="18"/>
                <w:szCs w:val="18"/>
              </w:rPr>
            </w:pPr>
            <w:r w:rsidRPr="00213A5D">
              <w:rPr>
                <w:rFonts w:eastAsia="Times New Roman"/>
                <w:sz w:val="18"/>
                <w:szCs w:val="18"/>
              </w:rPr>
              <w:t>0,0</w:t>
            </w:r>
          </w:p>
        </w:tc>
      </w:tr>
      <w:tr w:rsidR="00CA013E" w:rsidRPr="00213A5D" w14:paraId="00E15CAD" w14:textId="77777777" w:rsidTr="00B8698F">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7C13392" w14:textId="77777777" w:rsidR="00CA013E" w:rsidRPr="00213A5D" w:rsidRDefault="00CA013E" w:rsidP="00AF1852">
            <w:pPr>
              <w:widowControl w:val="0"/>
              <w:spacing w:line="240" w:lineRule="auto"/>
              <w:ind w:left="0" w:right="-34" w:firstLine="3"/>
              <w:jc w:val="center"/>
              <w:rPr>
                <w:rFonts w:eastAsia="Times New Roman"/>
                <w:sz w:val="18"/>
                <w:szCs w:val="18"/>
              </w:rPr>
            </w:pPr>
            <w:r w:rsidRPr="00213A5D">
              <w:rPr>
                <w:rFonts w:eastAsia="Times New Roman"/>
                <w:sz w:val="18"/>
                <w:szCs w:val="18"/>
              </w:rPr>
              <w:t>239</w:t>
            </w:r>
          </w:p>
        </w:tc>
        <w:tc>
          <w:tcPr>
            <w:tcW w:w="7087" w:type="dxa"/>
            <w:tcBorders>
              <w:top w:val="single" w:sz="4" w:space="0" w:color="auto"/>
              <w:left w:val="nil"/>
              <w:bottom w:val="single" w:sz="4" w:space="0" w:color="auto"/>
              <w:right w:val="single" w:sz="4" w:space="0" w:color="auto"/>
            </w:tcBorders>
            <w:shd w:val="clear" w:color="auto" w:fill="auto"/>
            <w:vAlign w:val="center"/>
          </w:tcPr>
          <w:p w14:paraId="39E41D77" w14:textId="77777777" w:rsidR="00CA013E" w:rsidRPr="00213A5D" w:rsidRDefault="00CA013E" w:rsidP="00AF1852">
            <w:pPr>
              <w:widowControl w:val="0"/>
              <w:overflowPunct/>
              <w:spacing w:line="240" w:lineRule="auto"/>
              <w:ind w:left="0" w:right="0" w:firstLine="0"/>
              <w:textAlignment w:val="auto"/>
              <w:rPr>
                <w:rFonts w:eastAsia="Times New Roman"/>
                <w:sz w:val="18"/>
                <w:szCs w:val="18"/>
              </w:rPr>
            </w:pPr>
            <w:r w:rsidRPr="00213A5D">
              <w:rPr>
                <w:rFonts w:eastAsia="Times New Roman"/>
                <w:sz w:val="18"/>
                <w:szCs w:val="18"/>
              </w:rPr>
              <w:t>Изменения, вносимые в случае предоставления из федерального бюджета бюджету субъекта Российской Федерации бюджетного кредита на финансовое обеспечение реализации инфраструктурных проектов</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F4B2542" w14:textId="77777777" w:rsidR="00CA013E" w:rsidRPr="00213A5D" w:rsidRDefault="00CA013E" w:rsidP="00AF1852">
            <w:pPr>
              <w:widowControl w:val="0"/>
              <w:spacing w:line="240" w:lineRule="auto"/>
              <w:ind w:left="-108" w:right="29" w:firstLine="3"/>
              <w:jc w:val="center"/>
              <w:rPr>
                <w:rFonts w:eastAsia="Times New Roman"/>
                <w:sz w:val="18"/>
                <w:szCs w:val="18"/>
              </w:rPr>
            </w:pPr>
            <w:r w:rsidRPr="00213A5D">
              <w:rPr>
                <w:rFonts w:eastAsia="Times New Roman"/>
                <w:sz w:val="18"/>
                <w:szCs w:val="18"/>
              </w:rPr>
              <w:t>0,0</w:t>
            </w:r>
          </w:p>
        </w:tc>
      </w:tr>
      <w:tr w:rsidR="00CA013E" w:rsidRPr="00213A5D" w14:paraId="2A289892" w14:textId="77777777" w:rsidTr="00B8698F">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0AD0A86" w14:textId="77777777" w:rsidR="00CA013E" w:rsidRPr="00213A5D" w:rsidRDefault="00CA013E" w:rsidP="00AF1852">
            <w:pPr>
              <w:widowControl w:val="0"/>
              <w:spacing w:line="240" w:lineRule="auto"/>
              <w:ind w:left="0" w:right="-34" w:firstLine="3"/>
              <w:jc w:val="center"/>
              <w:rPr>
                <w:rFonts w:eastAsia="Times New Roman"/>
                <w:sz w:val="18"/>
                <w:szCs w:val="18"/>
              </w:rPr>
            </w:pPr>
            <w:r w:rsidRPr="00213A5D">
              <w:rPr>
                <w:rFonts w:eastAsia="Times New Roman"/>
                <w:sz w:val="18"/>
                <w:szCs w:val="18"/>
              </w:rPr>
              <w:t>295</w:t>
            </w:r>
          </w:p>
        </w:tc>
        <w:tc>
          <w:tcPr>
            <w:tcW w:w="7087" w:type="dxa"/>
            <w:tcBorders>
              <w:top w:val="single" w:sz="4" w:space="0" w:color="auto"/>
              <w:left w:val="nil"/>
              <w:bottom w:val="single" w:sz="4" w:space="0" w:color="auto"/>
              <w:right w:val="single" w:sz="4" w:space="0" w:color="auto"/>
            </w:tcBorders>
            <w:shd w:val="clear" w:color="auto" w:fill="auto"/>
            <w:vAlign w:val="center"/>
          </w:tcPr>
          <w:p w14:paraId="6979A0ED" w14:textId="77777777" w:rsidR="00CA013E" w:rsidRPr="00213A5D" w:rsidRDefault="00CA013E" w:rsidP="00AF1852">
            <w:pPr>
              <w:widowControl w:val="0"/>
              <w:spacing w:line="240" w:lineRule="auto"/>
              <w:ind w:left="-40" w:right="34" w:firstLine="3"/>
              <w:rPr>
                <w:rFonts w:eastAsia="Times New Roman"/>
                <w:sz w:val="18"/>
                <w:szCs w:val="18"/>
              </w:rPr>
            </w:pPr>
            <w:r w:rsidRPr="00213A5D">
              <w:rPr>
                <w:rFonts w:eastAsia="Times New Roman"/>
                <w:sz w:val="18"/>
                <w:szCs w:val="18"/>
              </w:rPr>
              <w:t>Изменения, вносимые в случае предоставления в 2022 году бюджетных кредитов бюджетам субъектов Российской Федерации в объеме до 420,0 млрд. рублей для погашения долговых обязательств субъектов Российской Федерации в виде обязательств по государственным ценным бумагам субъектов Российской Федерации и кредитам, полученным субъектами Российской Федерации от кредитных организаций, иностранных банков и международных финансовых организаций, сложившихся на 1 января 2022 года и подлежащих погашению субъектами</w:t>
            </w:r>
            <w:r w:rsidR="009E1840" w:rsidRPr="00213A5D">
              <w:rPr>
                <w:rFonts w:eastAsia="Times New Roman"/>
                <w:sz w:val="18"/>
                <w:szCs w:val="18"/>
              </w:rPr>
              <w:t xml:space="preserve"> Российской Федерации в марте – </w:t>
            </w:r>
            <w:r w:rsidRPr="00213A5D">
              <w:rPr>
                <w:rFonts w:eastAsia="Times New Roman"/>
                <w:sz w:val="18"/>
                <w:szCs w:val="18"/>
              </w:rPr>
              <w:t>декабре 2022 года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A1F9F20" w14:textId="77777777" w:rsidR="00CA013E" w:rsidRPr="00213A5D" w:rsidRDefault="00CA013E" w:rsidP="00AF1852">
            <w:pPr>
              <w:widowControl w:val="0"/>
              <w:spacing w:line="240" w:lineRule="auto"/>
              <w:ind w:left="-108" w:right="29" w:firstLine="3"/>
              <w:jc w:val="center"/>
              <w:rPr>
                <w:rFonts w:eastAsia="Times New Roman"/>
                <w:sz w:val="18"/>
                <w:szCs w:val="18"/>
              </w:rPr>
            </w:pPr>
            <w:r w:rsidRPr="00213A5D">
              <w:rPr>
                <w:rFonts w:eastAsia="Times New Roman"/>
                <w:sz w:val="18"/>
                <w:szCs w:val="18"/>
              </w:rPr>
              <w:t>0,0</w:t>
            </w:r>
          </w:p>
        </w:tc>
      </w:tr>
      <w:tr w:rsidR="00CA013E" w:rsidRPr="00213A5D" w14:paraId="6261E3F2" w14:textId="77777777" w:rsidTr="00B8698F">
        <w:trPr>
          <w:trHeight w:val="797"/>
        </w:trPr>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271DBF3" w14:textId="77777777" w:rsidR="00CA013E" w:rsidRPr="00213A5D" w:rsidRDefault="00CA013E" w:rsidP="00AF1852">
            <w:pPr>
              <w:widowControl w:val="0"/>
              <w:spacing w:line="240" w:lineRule="auto"/>
              <w:ind w:left="0" w:right="-34" w:firstLine="3"/>
              <w:jc w:val="center"/>
              <w:rPr>
                <w:rFonts w:eastAsia="Times New Roman"/>
                <w:sz w:val="18"/>
                <w:szCs w:val="18"/>
              </w:rPr>
            </w:pPr>
            <w:r w:rsidRPr="00213A5D">
              <w:rPr>
                <w:rFonts w:eastAsia="Times New Roman"/>
                <w:sz w:val="18"/>
                <w:szCs w:val="18"/>
              </w:rPr>
              <w:t>296</w:t>
            </w:r>
          </w:p>
        </w:tc>
        <w:tc>
          <w:tcPr>
            <w:tcW w:w="7087" w:type="dxa"/>
            <w:tcBorders>
              <w:top w:val="single" w:sz="4" w:space="0" w:color="auto"/>
              <w:left w:val="nil"/>
              <w:bottom w:val="single" w:sz="4" w:space="0" w:color="auto"/>
              <w:right w:val="single" w:sz="4" w:space="0" w:color="auto"/>
            </w:tcBorders>
            <w:shd w:val="clear" w:color="auto" w:fill="auto"/>
            <w:vAlign w:val="center"/>
          </w:tcPr>
          <w:p w14:paraId="150FDAFD" w14:textId="77777777" w:rsidR="00CA013E" w:rsidRPr="00213A5D" w:rsidRDefault="00CA013E" w:rsidP="00AF1852">
            <w:pPr>
              <w:widowControl w:val="0"/>
              <w:spacing w:line="240" w:lineRule="auto"/>
              <w:ind w:left="-40" w:right="34" w:firstLine="3"/>
              <w:rPr>
                <w:rFonts w:eastAsia="Times New Roman"/>
                <w:sz w:val="18"/>
                <w:szCs w:val="18"/>
              </w:rPr>
            </w:pPr>
            <w:r w:rsidRPr="00213A5D">
              <w:rPr>
                <w:rFonts w:eastAsia="Times New Roman"/>
                <w:sz w:val="18"/>
                <w:szCs w:val="18"/>
              </w:rPr>
              <w:t>Изменения, вносимые в связи с направлением средств Фонда национального благосостояния на обеспечение сбалансированности (покрытие дефицита) федерального бюджета, включая замещение государственных заимствований, погашение государственного долга Российской Федерации, предоставление бюджетных кредитов из федерального бюджета бюджетам субъектов Российской Федерации, на исполнение публичных нормативных обязательств Российской Федерации в случае недостаточности бюджетных ассигнований федерального бюджета, предусмотренных на исполнение публичных нормативных обязательств Российской Федерации, а также на иные цели, определенные Правительством Российской Федерации</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50C9FE" w14:textId="77777777" w:rsidR="00CA013E" w:rsidRPr="00213A5D" w:rsidRDefault="00CA013E" w:rsidP="00AF1852">
            <w:pPr>
              <w:widowControl w:val="0"/>
              <w:spacing w:line="240" w:lineRule="auto"/>
              <w:ind w:left="-108" w:right="29" w:firstLine="3"/>
              <w:jc w:val="center"/>
              <w:rPr>
                <w:rFonts w:eastAsia="Times New Roman"/>
                <w:sz w:val="18"/>
                <w:szCs w:val="18"/>
              </w:rPr>
            </w:pPr>
            <w:r w:rsidRPr="00213A5D">
              <w:rPr>
                <w:rFonts w:eastAsia="Times New Roman"/>
                <w:sz w:val="18"/>
                <w:szCs w:val="18"/>
              </w:rPr>
              <w:t>0,0</w:t>
            </w:r>
          </w:p>
        </w:tc>
      </w:tr>
      <w:tr w:rsidR="00CA013E" w:rsidRPr="00213A5D" w14:paraId="27FFD665" w14:textId="77777777" w:rsidTr="00B8698F">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072B07A" w14:textId="77777777" w:rsidR="00CA013E" w:rsidRPr="00213A5D" w:rsidRDefault="00CA013E" w:rsidP="00AF1852">
            <w:pPr>
              <w:widowControl w:val="0"/>
              <w:spacing w:line="240" w:lineRule="auto"/>
              <w:ind w:left="0" w:right="-34" w:firstLine="3"/>
              <w:jc w:val="center"/>
              <w:rPr>
                <w:rFonts w:eastAsia="Times New Roman"/>
                <w:sz w:val="18"/>
                <w:szCs w:val="18"/>
              </w:rPr>
            </w:pPr>
            <w:r w:rsidRPr="00213A5D">
              <w:rPr>
                <w:rFonts w:eastAsia="Times New Roman"/>
                <w:sz w:val="18"/>
                <w:szCs w:val="18"/>
              </w:rPr>
              <w:t>411</w:t>
            </w:r>
          </w:p>
        </w:tc>
        <w:tc>
          <w:tcPr>
            <w:tcW w:w="7087" w:type="dxa"/>
            <w:tcBorders>
              <w:top w:val="single" w:sz="4" w:space="0" w:color="auto"/>
              <w:left w:val="nil"/>
              <w:bottom w:val="single" w:sz="4" w:space="0" w:color="auto"/>
              <w:right w:val="single" w:sz="4" w:space="0" w:color="auto"/>
            </w:tcBorders>
            <w:shd w:val="clear" w:color="auto" w:fill="auto"/>
            <w:vAlign w:val="center"/>
          </w:tcPr>
          <w:p w14:paraId="2AE911F0" w14:textId="77777777" w:rsidR="00CA013E" w:rsidRPr="00213A5D" w:rsidRDefault="00CA013E" w:rsidP="00AF1852">
            <w:pPr>
              <w:widowControl w:val="0"/>
              <w:spacing w:line="240" w:lineRule="auto"/>
              <w:ind w:left="-40" w:right="34" w:firstLine="3"/>
              <w:rPr>
                <w:rFonts w:eastAsia="Times New Roman"/>
                <w:sz w:val="18"/>
                <w:szCs w:val="18"/>
              </w:rPr>
            </w:pPr>
            <w:r w:rsidRPr="00213A5D">
              <w:rPr>
                <w:rFonts w:eastAsia="Times New Roman"/>
                <w:sz w:val="18"/>
                <w:szCs w:val="18"/>
              </w:rPr>
              <w:t>Изменения, вносимые в случае перераспределения бюджетных ассигнований на финансовое обеспечение мероприятий, связанных предотвращением влияния ухудшения геополитической и экономической ситуации на развитие отраслей экономики</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A61E0F4" w14:textId="77777777" w:rsidR="00CA013E" w:rsidRPr="00213A5D" w:rsidRDefault="00CA013E" w:rsidP="00AF1852">
            <w:pPr>
              <w:widowControl w:val="0"/>
              <w:spacing w:line="240" w:lineRule="auto"/>
              <w:ind w:left="-108" w:right="29" w:firstLine="3"/>
              <w:jc w:val="center"/>
              <w:rPr>
                <w:rFonts w:eastAsia="Times New Roman"/>
                <w:sz w:val="18"/>
                <w:szCs w:val="18"/>
              </w:rPr>
            </w:pPr>
            <w:r w:rsidRPr="00213A5D">
              <w:rPr>
                <w:rFonts w:eastAsia="Times New Roman"/>
                <w:sz w:val="18"/>
                <w:szCs w:val="18"/>
              </w:rPr>
              <w:t>135 618,6</w:t>
            </w:r>
          </w:p>
        </w:tc>
      </w:tr>
      <w:tr w:rsidR="00CA013E" w:rsidRPr="00213A5D" w14:paraId="6565DDC9" w14:textId="77777777" w:rsidTr="00B8698F">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CD0ADCC" w14:textId="77777777" w:rsidR="00CA013E" w:rsidRPr="00213A5D" w:rsidRDefault="00CA013E" w:rsidP="00AF1852">
            <w:pPr>
              <w:widowControl w:val="0"/>
              <w:spacing w:line="240" w:lineRule="auto"/>
              <w:ind w:left="0" w:right="-34" w:firstLine="3"/>
              <w:jc w:val="center"/>
              <w:rPr>
                <w:rFonts w:eastAsia="Times New Roman"/>
                <w:sz w:val="18"/>
                <w:szCs w:val="18"/>
              </w:rPr>
            </w:pPr>
            <w:r w:rsidRPr="00213A5D">
              <w:rPr>
                <w:rFonts w:eastAsia="Times New Roman"/>
                <w:sz w:val="18"/>
                <w:szCs w:val="18"/>
              </w:rPr>
              <w:t>412</w:t>
            </w:r>
          </w:p>
        </w:tc>
        <w:tc>
          <w:tcPr>
            <w:tcW w:w="7087" w:type="dxa"/>
            <w:tcBorders>
              <w:top w:val="single" w:sz="4" w:space="0" w:color="auto"/>
              <w:left w:val="nil"/>
              <w:bottom w:val="single" w:sz="4" w:space="0" w:color="auto"/>
              <w:right w:val="single" w:sz="4" w:space="0" w:color="auto"/>
            </w:tcBorders>
            <w:shd w:val="clear" w:color="auto" w:fill="auto"/>
            <w:vAlign w:val="center"/>
          </w:tcPr>
          <w:p w14:paraId="0CA81B11" w14:textId="77777777" w:rsidR="00CA013E" w:rsidRPr="00213A5D" w:rsidRDefault="00CA013E" w:rsidP="00AF1852">
            <w:pPr>
              <w:widowControl w:val="0"/>
              <w:spacing w:line="240" w:lineRule="auto"/>
              <w:ind w:left="-40" w:right="34" w:firstLine="3"/>
              <w:rPr>
                <w:rFonts w:eastAsia="Times New Roman"/>
                <w:sz w:val="18"/>
                <w:szCs w:val="18"/>
              </w:rPr>
            </w:pPr>
            <w:r w:rsidRPr="00213A5D">
              <w:rPr>
                <w:rFonts w:eastAsia="Times New Roman"/>
                <w:sz w:val="18"/>
                <w:szCs w:val="18"/>
              </w:rPr>
              <w:t xml:space="preserve">Изменения, вносимые в случае перераспределения бюджетных ассигнований на иные цели, определенные Правительством Российской Федерации, а также перераспределения (увеличения) бюджетных ассигнований, зарезервированных в соответствии с </w:t>
            </w:r>
            <w:hyperlink r:id="rId32" w:history="1">
              <w:r w:rsidRPr="00213A5D">
                <w:rPr>
                  <w:rFonts w:eastAsia="Times New Roman"/>
                  <w:sz w:val="18"/>
                  <w:szCs w:val="18"/>
                </w:rPr>
                <w:t>частью 1 статьи 21</w:t>
              </w:r>
            </w:hyperlink>
            <w:r w:rsidRPr="00213A5D">
              <w:rPr>
                <w:rFonts w:eastAsia="Times New Roman"/>
                <w:sz w:val="18"/>
                <w:szCs w:val="18"/>
              </w:rPr>
              <w:t xml:space="preserve"> Федерального закона «О федеральном бюджете на 2022 год и на плановый период 2023 и 2024 годов»</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823183E" w14:textId="77777777" w:rsidR="00CA013E" w:rsidRPr="00213A5D" w:rsidRDefault="00CA013E" w:rsidP="00AF1852">
            <w:pPr>
              <w:widowControl w:val="0"/>
              <w:spacing w:line="240" w:lineRule="auto"/>
              <w:ind w:left="-108" w:right="29" w:firstLine="3"/>
              <w:jc w:val="center"/>
              <w:rPr>
                <w:rFonts w:eastAsia="Times New Roman"/>
                <w:sz w:val="18"/>
                <w:szCs w:val="18"/>
              </w:rPr>
            </w:pPr>
            <w:r w:rsidRPr="00213A5D">
              <w:rPr>
                <w:rFonts w:eastAsia="Times New Roman"/>
                <w:sz w:val="18"/>
                <w:szCs w:val="18"/>
              </w:rPr>
              <w:t>452 585,0</w:t>
            </w:r>
          </w:p>
        </w:tc>
      </w:tr>
      <w:tr w:rsidR="00CA013E" w:rsidRPr="00213A5D" w14:paraId="54369DA2" w14:textId="77777777" w:rsidTr="00B8698F">
        <w:tc>
          <w:tcPr>
            <w:tcW w:w="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A4B01" w14:textId="77777777" w:rsidR="00CA013E" w:rsidRPr="00213A5D" w:rsidRDefault="00CA013E" w:rsidP="00AF1852">
            <w:pPr>
              <w:widowControl w:val="0"/>
              <w:spacing w:line="276" w:lineRule="auto"/>
              <w:ind w:left="0" w:right="-34" w:firstLine="3"/>
              <w:jc w:val="center"/>
              <w:rPr>
                <w:rFonts w:eastAsia="Times New Roman"/>
                <w:b/>
                <w:sz w:val="18"/>
                <w:szCs w:val="18"/>
              </w:rPr>
            </w:pPr>
            <w:r w:rsidRPr="00213A5D">
              <w:rPr>
                <w:rFonts w:eastAsia="Times New Roman"/>
                <w:b/>
                <w:sz w:val="18"/>
                <w:szCs w:val="18"/>
              </w:rPr>
              <w:t>Всего</w:t>
            </w:r>
          </w:p>
        </w:tc>
        <w:tc>
          <w:tcPr>
            <w:tcW w:w="7087" w:type="dxa"/>
            <w:tcBorders>
              <w:top w:val="single" w:sz="4" w:space="0" w:color="auto"/>
              <w:left w:val="nil"/>
              <w:bottom w:val="single" w:sz="4" w:space="0" w:color="auto"/>
              <w:right w:val="single" w:sz="4" w:space="0" w:color="auto"/>
            </w:tcBorders>
            <w:shd w:val="clear" w:color="auto" w:fill="auto"/>
            <w:vAlign w:val="center"/>
            <w:hideMark/>
          </w:tcPr>
          <w:p w14:paraId="101C16D2" w14:textId="77777777" w:rsidR="00CA013E" w:rsidRPr="00213A5D" w:rsidRDefault="00CA013E" w:rsidP="00AF1852">
            <w:pPr>
              <w:widowControl w:val="0"/>
              <w:spacing w:line="276" w:lineRule="auto"/>
              <w:ind w:left="-40" w:right="34" w:firstLine="3"/>
              <w:jc w:val="center"/>
              <w:rPr>
                <w:rFonts w:eastAsia="Times New Roman"/>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0A42545" w14:textId="77777777" w:rsidR="00CA013E" w:rsidRPr="00213A5D" w:rsidRDefault="00CA013E" w:rsidP="00AF1852">
            <w:pPr>
              <w:widowControl w:val="0"/>
              <w:spacing w:line="240" w:lineRule="auto"/>
              <w:ind w:left="-108" w:right="29" w:firstLine="3"/>
              <w:jc w:val="center"/>
              <w:rPr>
                <w:rFonts w:eastAsia="Times New Roman"/>
                <w:b/>
                <w:sz w:val="18"/>
                <w:szCs w:val="18"/>
              </w:rPr>
            </w:pPr>
            <w:r w:rsidRPr="00213A5D">
              <w:rPr>
                <w:rFonts w:eastAsia="Times New Roman"/>
                <w:b/>
                <w:sz w:val="18"/>
                <w:szCs w:val="18"/>
              </w:rPr>
              <w:t>712 320,1</w:t>
            </w:r>
          </w:p>
        </w:tc>
      </w:tr>
    </w:tbl>
    <w:p w14:paraId="4E4A3A53" w14:textId="77777777" w:rsidR="006A74AB" w:rsidRPr="00213A5D" w:rsidRDefault="006A74AB" w:rsidP="00AF1852">
      <w:pPr>
        <w:widowControl w:val="0"/>
        <w:spacing w:line="240" w:lineRule="auto"/>
        <w:ind w:left="0" w:right="0"/>
        <w:rPr>
          <w:rFonts w:eastAsia="Times New Roman"/>
          <w:bCs/>
          <w:sz w:val="12"/>
          <w:szCs w:val="12"/>
        </w:rPr>
      </w:pPr>
    </w:p>
    <w:p w14:paraId="10AC6044" w14:textId="77777777" w:rsidR="00CA013E" w:rsidRPr="00213A5D" w:rsidRDefault="00CA013E" w:rsidP="00AF190E">
      <w:pPr>
        <w:widowControl w:val="0"/>
        <w:ind w:left="0" w:right="-2"/>
        <w:rPr>
          <w:rFonts w:eastAsia="Times New Roman"/>
          <w:sz w:val="24"/>
          <w:szCs w:val="24"/>
        </w:rPr>
      </w:pPr>
      <w:r w:rsidRPr="00213A5D">
        <w:rPr>
          <w:rFonts w:eastAsia="Times New Roman"/>
          <w:sz w:val="24"/>
          <w:szCs w:val="24"/>
        </w:rPr>
        <w:t xml:space="preserve">Основной объем перераспределения составляют увеличения бюджетных </w:t>
      </w:r>
      <w:r w:rsidRPr="00213A5D">
        <w:rPr>
          <w:rFonts w:eastAsia="Times New Roman"/>
          <w:sz w:val="24"/>
          <w:szCs w:val="24"/>
        </w:rPr>
        <w:lastRenderedPageBreak/>
        <w:t xml:space="preserve">ассигнований на иные цели, определенные Правительством Российской Федерации, </w:t>
      </w:r>
      <w:r w:rsidR="009E1840" w:rsidRPr="00213A5D">
        <w:rPr>
          <w:rFonts w:eastAsia="Times New Roman"/>
          <w:sz w:val="24"/>
          <w:szCs w:val="24"/>
        </w:rPr>
        <w:br/>
      </w:r>
      <w:r w:rsidRPr="00213A5D">
        <w:rPr>
          <w:rFonts w:eastAsia="Times New Roman"/>
          <w:sz w:val="24"/>
          <w:szCs w:val="24"/>
        </w:rPr>
        <w:t xml:space="preserve">на </w:t>
      </w:r>
      <w:r w:rsidRPr="00213A5D">
        <w:rPr>
          <w:rFonts w:eastAsia="Times New Roman"/>
          <w:b/>
          <w:sz w:val="24"/>
          <w:szCs w:val="24"/>
        </w:rPr>
        <w:t>452 585,0 млн. рублей</w:t>
      </w:r>
      <w:r w:rsidRPr="00213A5D">
        <w:rPr>
          <w:rFonts w:eastAsia="Times New Roman"/>
          <w:sz w:val="24"/>
          <w:szCs w:val="24"/>
        </w:rPr>
        <w:t xml:space="preserve"> (63,5 % общего объема перераспределения бюджетных ассигнований на 2022 год), в том числе наибольшие объемы перераспределения осуществлены по Минфину России (134 619,3 млн. рублей), Минтрансу России </w:t>
      </w:r>
      <w:r w:rsidR="009E1840" w:rsidRPr="00213A5D">
        <w:rPr>
          <w:rFonts w:eastAsia="Times New Roman"/>
          <w:sz w:val="24"/>
          <w:szCs w:val="24"/>
        </w:rPr>
        <w:br/>
      </w:r>
      <w:r w:rsidRPr="00213A5D">
        <w:rPr>
          <w:rFonts w:eastAsia="Times New Roman"/>
          <w:sz w:val="24"/>
          <w:szCs w:val="24"/>
        </w:rPr>
        <w:t xml:space="preserve">(44 509,0 млн. рублей), Госкорпорации «Росатом» (21 956,2 млн. рублей), Минвостокразвитию России (19 878,4 млн. рублей), Минсельхозу России (16 305,0 млн. рублей), Минцифры России (13 707,4 млн. рублей), а также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w:t>
      </w:r>
      <w:r w:rsidRPr="00213A5D">
        <w:rPr>
          <w:rFonts w:eastAsia="Times New Roman"/>
          <w:b/>
          <w:sz w:val="24"/>
          <w:szCs w:val="24"/>
        </w:rPr>
        <w:t>135 618,6 млн. рублей</w:t>
      </w:r>
      <w:r w:rsidRPr="00213A5D">
        <w:rPr>
          <w:rFonts w:eastAsia="Times New Roman"/>
          <w:sz w:val="24"/>
          <w:szCs w:val="24"/>
        </w:rPr>
        <w:t xml:space="preserve"> (19 %), </w:t>
      </w:r>
      <w:r w:rsidR="009E1840" w:rsidRPr="00213A5D">
        <w:rPr>
          <w:rFonts w:eastAsia="Times New Roman"/>
          <w:sz w:val="24"/>
          <w:szCs w:val="24"/>
        </w:rPr>
        <w:br/>
      </w:r>
      <w:r w:rsidRPr="00213A5D">
        <w:rPr>
          <w:rFonts w:eastAsia="Times New Roman"/>
          <w:sz w:val="24"/>
          <w:szCs w:val="24"/>
        </w:rPr>
        <w:t xml:space="preserve">в том числе наибольшие объемы перераспределения осуществлены по Минпромтору России (48 193,5 млн. рублей), Минсельхозу России (36 014,7 млн. рублей), Минвостокразвитию России (21 042,9 млн. рублей), Минприроды России (12 083,8 млн. рублей), </w:t>
      </w:r>
      <w:r w:rsidR="009E1840" w:rsidRPr="00213A5D">
        <w:rPr>
          <w:rFonts w:eastAsia="Times New Roman"/>
          <w:sz w:val="24"/>
          <w:szCs w:val="24"/>
        </w:rPr>
        <w:br/>
      </w:r>
      <w:r w:rsidRPr="00213A5D">
        <w:rPr>
          <w:rFonts w:eastAsia="Times New Roman"/>
          <w:sz w:val="24"/>
          <w:szCs w:val="24"/>
        </w:rPr>
        <w:t>Ростуризму (8 185,0 млн. рублей), Минспорту России (3 984,4 млн. рублей).</w:t>
      </w:r>
    </w:p>
    <w:p w14:paraId="3FF5C993" w14:textId="77777777" w:rsidR="00CA013E" w:rsidRPr="00213A5D" w:rsidRDefault="006A74AB" w:rsidP="00AF190E">
      <w:pPr>
        <w:widowControl w:val="0"/>
        <w:ind w:left="0" w:right="0"/>
        <w:rPr>
          <w:sz w:val="24"/>
          <w:szCs w:val="24"/>
        </w:rPr>
      </w:pPr>
      <w:r w:rsidRPr="00213A5D">
        <w:rPr>
          <w:b/>
          <w:sz w:val="24"/>
          <w:szCs w:val="24"/>
        </w:rPr>
        <w:t>4.</w:t>
      </w:r>
      <w:r w:rsidR="00054FC5" w:rsidRPr="00213A5D">
        <w:rPr>
          <w:b/>
          <w:sz w:val="24"/>
          <w:szCs w:val="24"/>
        </w:rPr>
        <w:t>5</w:t>
      </w:r>
      <w:r w:rsidRPr="00213A5D">
        <w:rPr>
          <w:b/>
          <w:sz w:val="24"/>
          <w:szCs w:val="24"/>
        </w:rPr>
        <w:t>. </w:t>
      </w:r>
      <w:r w:rsidR="00CA013E" w:rsidRPr="00213A5D">
        <w:rPr>
          <w:sz w:val="24"/>
          <w:szCs w:val="24"/>
        </w:rPr>
        <w:t xml:space="preserve">По состоянию </w:t>
      </w:r>
      <w:r w:rsidR="00CA013E" w:rsidRPr="00213A5D">
        <w:rPr>
          <w:b/>
          <w:sz w:val="24"/>
          <w:szCs w:val="24"/>
        </w:rPr>
        <w:t>на 1 октября 2022 года</w:t>
      </w:r>
      <w:r w:rsidR="00CA013E" w:rsidRPr="00213A5D">
        <w:rPr>
          <w:sz w:val="24"/>
          <w:szCs w:val="24"/>
        </w:rPr>
        <w:t xml:space="preserve"> объем лимитов бюджетных обязательств (ЛБО) на 2022 год составляет </w:t>
      </w:r>
      <w:r w:rsidR="00CA013E" w:rsidRPr="00213A5D">
        <w:rPr>
          <w:b/>
          <w:sz w:val="24"/>
          <w:szCs w:val="24"/>
        </w:rPr>
        <w:t>26 424 291,3 млн. рублей</w:t>
      </w:r>
      <w:r w:rsidR="00CA013E" w:rsidRPr="00213A5D">
        <w:rPr>
          <w:sz w:val="24"/>
          <w:szCs w:val="24"/>
        </w:rPr>
        <w:t>, что на 4 098 524,0 млн. рублей, или 18,4 %,  больше объема ЛБО за аналогичный период 2021 года (22 325 767,3 млн. рублей) и на</w:t>
      </w:r>
      <w:r w:rsidR="00CA013E" w:rsidRPr="00213A5D">
        <w:rPr>
          <w:b/>
          <w:sz w:val="24"/>
          <w:szCs w:val="24"/>
        </w:rPr>
        <w:t xml:space="preserve"> 1 622 877,8</w:t>
      </w:r>
      <w:r w:rsidR="00CA013E" w:rsidRPr="00213A5D">
        <w:rPr>
          <w:sz w:val="24"/>
          <w:szCs w:val="24"/>
        </w:rPr>
        <w:t> </w:t>
      </w:r>
      <w:r w:rsidR="00CA013E" w:rsidRPr="00213A5D">
        <w:rPr>
          <w:b/>
          <w:sz w:val="24"/>
          <w:szCs w:val="24"/>
        </w:rPr>
        <w:t>млн. рублей</w:t>
      </w:r>
      <w:r w:rsidR="00CA013E" w:rsidRPr="00213A5D">
        <w:rPr>
          <w:sz w:val="24"/>
          <w:szCs w:val="24"/>
        </w:rPr>
        <w:t>, или на 5,8 %, меньше объема бюджетных ассигнований сводной росписи на 2022 год.</w:t>
      </w:r>
    </w:p>
    <w:p w14:paraId="5342E112" w14:textId="77777777" w:rsidR="00CA013E" w:rsidRPr="00213A5D" w:rsidRDefault="00CA013E" w:rsidP="006B0AB1">
      <w:pPr>
        <w:widowControl w:val="0"/>
        <w:spacing w:line="326" w:lineRule="auto"/>
        <w:ind w:left="0" w:right="0"/>
        <w:rPr>
          <w:sz w:val="24"/>
          <w:szCs w:val="24"/>
        </w:rPr>
      </w:pPr>
      <w:r w:rsidRPr="00213A5D">
        <w:rPr>
          <w:sz w:val="24"/>
          <w:szCs w:val="24"/>
        </w:rPr>
        <w:t>Информация об объемах сводной бюджетной росписи, утвержденных и заблокированных ЛБО</w:t>
      </w:r>
      <w:r w:rsidR="00E7506A" w:rsidRPr="00213A5D">
        <w:rPr>
          <w:sz w:val="24"/>
          <w:szCs w:val="24"/>
        </w:rPr>
        <w:t>,</w:t>
      </w:r>
      <w:r w:rsidRPr="00213A5D">
        <w:rPr>
          <w:sz w:val="24"/>
          <w:szCs w:val="24"/>
        </w:rPr>
        <w:t xml:space="preserve"> представлена на следующей диаграмме.</w:t>
      </w:r>
    </w:p>
    <w:p w14:paraId="47C1531E" w14:textId="77777777" w:rsidR="00CA013E" w:rsidRPr="00213A5D" w:rsidRDefault="00CD0E98" w:rsidP="003E52F5">
      <w:pPr>
        <w:widowControl w:val="0"/>
        <w:spacing w:line="329" w:lineRule="auto"/>
        <w:ind w:left="0" w:right="0" w:firstLine="0"/>
        <w:jc w:val="center"/>
        <w:rPr>
          <w:sz w:val="24"/>
          <w:szCs w:val="24"/>
        </w:rPr>
      </w:pPr>
      <w:r w:rsidRPr="00CD0E98">
        <w:rPr>
          <w:noProof/>
          <w:sz w:val="24"/>
          <w:szCs w:val="24"/>
        </w:rPr>
        <w:pict w14:anchorId="28B1160D">
          <v:shape id="_x0000_i1069" type="#_x0000_t75" alt="" style="width:366.8pt;height:200.4pt;mso-width-percent:0;mso-height-percent:0;mso-position-horizontal-relative:char;mso-position-vertical-relative:line;mso-width-percent:0;mso-height-percent:0">
            <v:imagedata r:id="rId33" o:title=""/>
          </v:shape>
        </w:pict>
      </w:r>
    </w:p>
    <w:p w14:paraId="5E9E8F19" w14:textId="77777777" w:rsidR="00174AC5" w:rsidRPr="00213A5D" w:rsidRDefault="00174AC5" w:rsidP="00AF1852">
      <w:pPr>
        <w:widowControl w:val="0"/>
        <w:spacing w:line="350" w:lineRule="auto"/>
        <w:ind w:left="0" w:right="0"/>
        <w:rPr>
          <w:rFonts w:eastAsia="Times New Roman"/>
          <w:sz w:val="24"/>
          <w:szCs w:val="24"/>
        </w:rPr>
      </w:pPr>
      <w:r w:rsidRPr="00213A5D">
        <w:rPr>
          <w:rFonts w:eastAsia="Times New Roman"/>
          <w:sz w:val="24"/>
          <w:szCs w:val="24"/>
        </w:rPr>
        <w:t xml:space="preserve">Объем </w:t>
      </w:r>
      <w:r w:rsidR="00C6624B" w:rsidRPr="00213A5D">
        <w:rPr>
          <w:rFonts w:eastAsia="Times New Roman"/>
          <w:sz w:val="24"/>
          <w:szCs w:val="24"/>
        </w:rPr>
        <w:t xml:space="preserve">ЛБО, </w:t>
      </w:r>
      <w:r w:rsidRPr="00213A5D">
        <w:rPr>
          <w:rFonts w:eastAsia="Times New Roman"/>
          <w:sz w:val="24"/>
          <w:szCs w:val="24"/>
        </w:rPr>
        <w:t>заблокированных в соответствии с пунктом 7.3 приказа Минфина России № 184н</w:t>
      </w:r>
      <w:r w:rsidR="00C6624B" w:rsidRPr="00213A5D">
        <w:rPr>
          <w:rFonts w:eastAsia="Times New Roman"/>
          <w:sz w:val="24"/>
          <w:szCs w:val="24"/>
        </w:rPr>
        <w:t>,</w:t>
      </w:r>
      <w:r w:rsidRPr="00213A5D">
        <w:rPr>
          <w:rFonts w:eastAsia="Times New Roman"/>
          <w:sz w:val="24"/>
          <w:szCs w:val="24"/>
        </w:rPr>
        <w:t xml:space="preserve"> по состоянию на 1 октября 2022 года составляет 544 154,1 млн. рублей, что </w:t>
      </w:r>
      <w:r w:rsidR="00D468DA" w:rsidRPr="00213A5D">
        <w:rPr>
          <w:rFonts w:eastAsia="Times New Roman"/>
          <w:sz w:val="24"/>
          <w:szCs w:val="24"/>
        </w:rPr>
        <w:br/>
      </w:r>
      <w:r w:rsidRPr="00213A5D">
        <w:rPr>
          <w:rFonts w:eastAsia="Times New Roman"/>
          <w:sz w:val="24"/>
          <w:szCs w:val="24"/>
        </w:rPr>
        <w:t>на 314 766,9 млн. рублей, или в 2,4 раза, больше аналогичного значения в 2021 году (229 387,2 млн. рублей).</w:t>
      </w:r>
    </w:p>
    <w:p w14:paraId="03E48CD3" w14:textId="77777777" w:rsidR="00174AC5" w:rsidRPr="00213A5D" w:rsidRDefault="00174AC5" w:rsidP="00AF1852">
      <w:pPr>
        <w:widowControl w:val="0"/>
        <w:spacing w:line="348" w:lineRule="auto"/>
        <w:ind w:left="0" w:right="0"/>
        <w:rPr>
          <w:sz w:val="24"/>
          <w:szCs w:val="24"/>
        </w:rPr>
      </w:pPr>
      <w:r w:rsidRPr="00213A5D">
        <w:rPr>
          <w:sz w:val="24"/>
          <w:szCs w:val="24"/>
        </w:rPr>
        <w:t xml:space="preserve">Доведение ЛБО до </w:t>
      </w:r>
      <w:r w:rsidRPr="00213A5D">
        <w:rPr>
          <w:rFonts w:eastAsia="Times New Roman"/>
          <w:sz w:val="24"/>
          <w:szCs w:val="24"/>
        </w:rPr>
        <w:t xml:space="preserve">главных распорядителей и распределение ЛБО по </w:t>
      </w:r>
      <w:r w:rsidRPr="00213A5D">
        <w:rPr>
          <w:rFonts w:eastAsia="Times New Roman"/>
          <w:sz w:val="24"/>
          <w:szCs w:val="24"/>
        </w:rPr>
        <w:lastRenderedPageBreak/>
        <w:t xml:space="preserve">подведомственным </w:t>
      </w:r>
      <w:r w:rsidRPr="00213A5D">
        <w:rPr>
          <w:sz w:val="24"/>
          <w:szCs w:val="24"/>
        </w:rPr>
        <w:t>распорядителям (получателям) средств федерального бюджета представлено на следующей диаграмме.</w:t>
      </w:r>
    </w:p>
    <w:p w14:paraId="71FB2CDA" w14:textId="77777777" w:rsidR="00174AC5" w:rsidRPr="00213A5D" w:rsidRDefault="00CD0E98" w:rsidP="00AF1852">
      <w:pPr>
        <w:widowControl w:val="0"/>
        <w:spacing w:line="348" w:lineRule="auto"/>
        <w:ind w:left="0" w:right="0" w:firstLine="0"/>
        <w:jc w:val="center"/>
        <w:rPr>
          <w:sz w:val="24"/>
          <w:szCs w:val="24"/>
        </w:rPr>
      </w:pPr>
      <w:r>
        <w:rPr>
          <w:noProof/>
        </w:rPr>
        <w:pict w14:anchorId="389A8FF2">
          <v:shape id="_x0000_i1068" type="#_x0000_t75" alt="" style="width:343.7pt;height:175.25pt;visibility:visible;mso-width-percent:0;mso-height-percent:0;mso-width-percent:0;mso-height-percent:0">
            <v:imagedata r:id="rId34" o:title="" croptop="11705f" cropbottom="7453f" cropleft="6165f" cropright="-40f"/>
            <o:lock v:ext="edit" aspectratio="f"/>
          </v:shape>
        </w:pict>
      </w:r>
    </w:p>
    <w:p w14:paraId="4BF49BDC" w14:textId="77777777" w:rsidR="00174AC5" w:rsidRPr="00213A5D" w:rsidRDefault="00174AC5" w:rsidP="00AF1852">
      <w:pPr>
        <w:widowControl w:val="0"/>
        <w:spacing w:line="355" w:lineRule="auto"/>
        <w:ind w:left="0" w:right="0"/>
        <w:rPr>
          <w:sz w:val="24"/>
          <w:szCs w:val="24"/>
        </w:rPr>
      </w:pPr>
      <w:r w:rsidRPr="00213A5D">
        <w:rPr>
          <w:sz w:val="24"/>
          <w:szCs w:val="24"/>
        </w:rPr>
        <w:t>Так, на уровне менее 90 % распределены ЛБО по следующим главным распорядителям</w:t>
      </w:r>
      <w:r w:rsidRPr="00213A5D">
        <w:rPr>
          <w:rStyle w:val="aff2"/>
          <w:sz w:val="24"/>
          <w:szCs w:val="24"/>
        </w:rPr>
        <w:footnoteReference w:id="15"/>
      </w:r>
      <w:r w:rsidRPr="00213A5D">
        <w:rPr>
          <w:sz w:val="24"/>
          <w:szCs w:val="24"/>
        </w:rPr>
        <w:t>:</w:t>
      </w:r>
    </w:p>
    <w:p w14:paraId="020C19B9" w14:textId="77777777" w:rsidR="00174AC5" w:rsidRPr="00213A5D" w:rsidRDefault="00174AC5" w:rsidP="00AF1852">
      <w:pPr>
        <w:widowControl w:val="0"/>
        <w:spacing w:line="355" w:lineRule="auto"/>
        <w:ind w:left="0" w:right="0"/>
        <w:rPr>
          <w:sz w:val="24"/>
          <w:szCs w:val="24"/>
        </w:rPr>
      </w:pPr>
      <w:r w:rsidRPr="00213A5D">
        <w:rPr>
          <w:sz w:val="24"/>
          <w:szCs w:val="24"/>
        </w:rPr>
        <w:t>Росгвардия (89,2 %);</w:t>
      </w:r>
    </w:p>
    <w:p w14:paraId="254376AC" w14:textId="77777777" w:rsidR="00174AC5" w:rsidRPr="00213A5D" w:rsidRDefault="00174AC5" w:rsidP="00AF1852">
      <w:pPr>
        <w:widowControl w:val="0"/>
        <w:spacing w:line="355" w:lineRule="auto"/>
        <w:ind w:left="0" w:right="0"/>
        <w:rPr>
          <w:sz w:val="24"/>
          <w:szCs w:val="24"/>
        </w:rPr>
      </w:pPr>
      <w:r w:rsidRPr="00213A5D">
        <w:rPr>
          <w:sz w:val="24"/>
          <w:szCs w:val="24"/>
        </w:rPr>
        <w:t>Роструд (88,1 %);</w:t>
      </w:r>
    </w:p>
    <w:p w14:paraId="282C5B43" w14:textId="77777777" w:rsidR="00174AC5" w:rsidRPr="00213A5D" w:rsidRDefault="00174AC5" w:rsidP="00AF1852">
      <w:pPr>
        <w:widowControl w:val="0"/>
        <w:spacing w:line="355" w:lineRule="auto"/>
        <w:ind w:left="0" w:right="0"/>
        <w:rPr>
          <w:sz w:val="24"/>
          <w:szCs w:val="24"/>
        </w:rPr>
      </w:pPr>
      <w:r w:rsidRPr="00213A5D">
        <w:rPr>
          <w:sz w:val="24"/>
          <w:szCs w:val="24"/>
        </w:rPr>
        <w:t>Росморречфлот (86,1 %);</w:t>
      </w:r>
    </w:p>
    <w:p w14:paraId="48B5DB5A" w14:textId="77777777" w:rsidR="00174AC5" w:rsidRPr="00213A5D" w:rsidRDefault="00174AC5" w:rsidP="00AF1852">
      <w:pPr>
        <w:widowControl w:val="0"/>
        <w:spacing w:line="355" w:lineRule="auto"/>
        <w:ind w:left="0" w:right="0"/>
        <w:rPr>
          <w:sz w:val="24"/>
          <w:szCs w:val="24"/>
        </w:rPr>
      </w:pPr>
      <w:r w:rsidRPr="00213A5D">
        <w:rPr>
          <w:sz w:val="24"/>
          <w:szCs w:val="24"/>
        </w:rPr>
        <w:t>ФГБУ «Национальный исследовательский центр «Курчатовский институт» (81 %);</w:t>
      </w:r>
    </w:p>
    <w:p w14:paraId="03ACE683" w14:textId="77777777" w:rsidR="00174AC5" w:rsidRPr="00213A5D" w:rsidRDefault="00174AC5" w:rsidP="00AF1852">
      <w:pPr>
        <w:widowControl w:val="0"/>
        <w:spacing w:line="355" w:lineRule="auto"/>
        <w:ind w:left="709" w:right="0" w:firstLine="0"/>
        <w:rPr>
          <w:sz w:val="24"/>
          <w:szCs w:val="24"/>
        </w:rPr>
      </w:pPr>
      <w:r w:rsidRPr="00213A5D">
        <w:rPr>
          <w:sz w:val="24"/>
          <w:szCs w:val="24"/>
        </w:rPr>
        <w:t>ППК «Единый заказчик в сфере строительства» (80,5 %).</w:t>
      </w:r>
    </w:p>
    <w:p w14:paraId="1B13E8C3" w14:textId="77777777" w:rsidR="00E6345C" w:rsidRPr="00213A5D" w:rsidRDefault="006A74AB" w:rsidP="00AF1852">
      <w:pPr>
        <w:widowControl w:val="0"/>
        <w:tabs>
          <w:tab w:val="left" w:pos="2340"/>
        </w:tabs>
        <w:spacing w:line="355" w:lineRule="auto"/>
        <w:ind w:left="0" w:right="0"/>
        <w:rPr>
          <w:bCs/>
          <w:sz w:val="24"/>
          <w:szCs w:val="24"/>
        </w:rPr>
      </w:pPr>
      <w:r w:rsidRPr="00213A5D">
        <w:rPr>
          <w:b/>
          <w:sz w:val="24"/>
          <w:szCs w:val="24"/>
          <w:lang w:eastAsia="en-US"/>
        </w:rPr>
        <w:t>4.</w:t>
      </w:r>
      <w:r w:rsidR="00054FC5" w:rsidRPr="00213A5D">
        <w:rPr>
          <w:b/>
          <w:sz w:val="24"/>
          <w:szCs w:val="24"/>
          <w:lang w:eastAsia="en-US"/>
        </w:rPr>
        <w:t>6</w:t>
      </w:r>
      <w:r w:rsidRPr="00213A5D">
        <w:rPr>
          <w:b/>
          <w:sz w:val="24"/>
          <w:szCs w:val="24"/>
          <w:lang w:eastAsia="en-US"/>
        </w:rPr>
        <w:t>.</w:t>
      </w:r>
      <w:r w:rsidRPr="00213A5D">
        <w:rPr>
          <w:sz w:val="24"/>
          <w:szCs w:val="24"/>
          <w:lang w:eastAsia="en-US"/>
        </w:rPr>
        <w:t> </w:t>
      </w:r>
      <w:r w:rsidR="00E6345C" w:rsidRPr="00213A5D">
        <w:rPr>
          <w:bCs/>
          <w:sz w:val="24"/>
          <w:szCs w:val="24"/>
        </w:rPr>
        <w:t>В соответствии с пунктами 4 и 4</w:t>
      </w:r>
      <w:r w:rsidR="00E6345C" w:rsidRPr="00213A5D">
        <w:rPr>
          <w:bCs/>
          <w:sz w:val="24"/>
          <w:szCs w:val="24"/>
          <w:vertAlign w:val="superscript"/>
        </w:rPr>
        <w:t>1</w:t>
      </w:r>
      <w:r w:rsidR="00E6345C" w:rsidRPr="00213A5D">
        <w:rPr>
          <w:bCs/>
          <w:sz w:val="24"/>
          <w:szCs w:val="24"/>
        </w:rPr>
        <w:t xml:space="preserve"> Положения о мерах по обеспечению исполнения федерального бюджета Минфин России на основании предложений главных распорядителей, сформированных </w:t>
      </w:r>
      <w:r w:rsidR="00E6345C" w:rsidRPr="00213A5D">
        <w:rPr>
          <w:b/>
          <w:bCs/>
          <w:sz w:val="24"/>
          <w:szCs w:val="24"/>
        </w:rPr>
        <w:t>не позднее 1 марта 2022 года</w:t>
      </w:r>
      <w:r w:rsidR="00E6345C" w:rsidRPr="00213A5D">
        <w:rPr>
          <w:bCs/>
          <w:sz w:val="24"/>
          <w:szCs w:val="24"/>
        </w:rPr>
        <w:t xml:space="preserve"> или последнего рабочего дня до указанной даты (не позднее 20 января 2022 года</w:t>
      </w:r>
      <w:r w:rsidR="00E6345C" w:rsidRPr="00213A5D">
        <w:rPr>
          <w:b/>
          <w:bCs/>
          <w:sz w:val="24"/>
          <w:szCs w:val="24"/>
        </w:rPr>
        <w:t xml:space="preserve"> </w:t>
      </w:r>
      <w:r w:rsidR="00E6345C" w:rsidRPr="00213A5D">
        <w:rPr>
          <w:bCs/>
          <w:sz w:val="24"/>
          <w:szCs w:val="24"/>
        </w:rPr>
        <w:t>по государственным контрактам, заключенным в целях осуществления капитальных вложений в объекты государственной собственности Российской Федерации), вносит в установленном порядке изменения в сводную роспись в целях увеличения бюджетных ассигнований:</w:t>
      </w:r>
      <w:bookmarkStart w:id="1" w:name="sub_142"/>
      <w:r w:rsidR="00E6345C" w:rsidRPr="00213A5D">
        <w:rPr>
          <w:bCs/>
          <w:sz w:val="24"/>
          <w:szCs w:val="24"/>
        </w:rPr>
        <w:t xml:space="preserve"> на исполнение заключенных государственных контрактов, подлежавших оплате в отчетном финансовом году</w:t>
      </w:r>
      <w:r w:rsidR="00E6345C" w:rsidRPr="00213A5D">
        <w:rPr>
          <w:rStyle w:val="aff2"/>
          <w:bCs/>
          <w:sz w:val="24"/>
          <w:szCs w:val="24"/>
        </w:rPr>
        <w:footnoteReference w:id="16"/>
      </w:r>
      <w:r w:rsidR="00E6345C" w:rsidRPr="00213A5D">
        <w:rPr>
          <w:bCs/>
          <w:sz w:val="24"/>
          <w:szCs w:val="24"/>
        </w:rPr>
        <w:t xml:space="preserve"> (код вида изменений </w:t>
      </w:r>
      <w:r w:rsidR="00E6345C" w:rsidRPr="00213A5D">
        <w:rPr>
          <w:b/>
          <w:bCs/>
          <w:sz w:val="24"/>
          <w:szCs w:val="24"/>
        </w:rPr>
        <w:t>221</w:t>
      </w:r>
      <w:r w:rsidR="00E6345C" w:rsidRPr="00213A5D">
        <w:rPr>
          <w:bCs/>
          <w:sz w:val="24"/>
          <w:szCs w:val="24"/>
        </w:rPr>
        <w:t xml:space="preserve">); </w:t>
      </w:r>
      <w:r w:rsidR="00E6345C" w:rsidRPr="00213A5D">
        <w:rPr>
          <w:bCs/>
          <w:sz w:val="24"/>
          <w:szCs w:val="24"/>
        </w:rPr>
        <w:br/>
        <w:t xml:space="preserve">на исполнение государственных контрактов, расчеты по которым в отчетном финансовом году осуществлялись с применением казначейского обеспечения обязательств </w:t>
      </w:r>
      <w:r w:rsidR="00E6345C" w:rsidRPr="00213A5D">
        <w:rPr>
          <w:bCs/>
          <w:sz w:val="24"/>
          <w:szCs w:val="24"/>
        </w:rPr>
        <w:br/>
        <w:t xml:space="preserve">(код вида изменений </w:t>
      </w:r>
      <w:r w:rsidR="00E6345C" w:rsidRPr="00213A5D">
        <w:rPr>
          <w:b/>
          <w:bCs/>
          <w:sz w:val="24"/>
          <w:szCs w:val="24"/>
        </w:rPr>
        <w:t>228</w:t>
      </w:r>
      <w:r w:rsidR="00E6345C" w:rsidRPr="00213A5D">
        <w:rPr>
          <w:bCs/>
          <w:sz w:val="24"/>
          <w:szCs w:val="24"/>
        </w:rPr>
        <w:t xml:space="preserve">); </w:t>
      </w:r>
      <w:bookmarkStart w:id="3" w:name="sub_143"/>
      <w:bookmarkEnd w:id="1"/>
      <w:r w:rsidR="00E6345C" w:rsidRPr="00213A5D">
        <w:rPr>
          <w:bCs/>
          <w:sz w:val="24"/>
          <w:szCs w:val="24"/>
        </w:rPr>
        <w:t xml:space="preserve">на предоставление субсидий юридическим лицам </w:t>
      </w:r>
      <w:r w:rsidR="00E6345C" w:rsidRPr="00213A5D">
        <w:rPr>
          <w:bCs/>
          <w:sz w:val="24"/>
          <w:szCs w:val="24"/>
        </w:rPr>
        <w:br/>
      </w:r>
      <w:r w:rsidR="00E6345C" w:rsidRPr="00213A5D">
        <w:rPr>
          <w:bCs/>
          <w:sz w:val="24"/>
          <w:szCs w:val="24"/>
        </w:rPr>
        <w:lastRenderedPageBreak/>
        <w:t xml:space="preserve">«под потребность» (код вида изменений </w:t>
      </w:r>
      <w:r w:rsidR="00E6345C" w:rsidRPr="00213A5D">
        <w:rPr>
          <w:b/>
          <w:bCs/>
          <w:sz w:val="24"/>
          <w:szCs w:val="24"/>
        </w:rPr>
        <w:t>222</w:t>
      </w:r>
      <w:r w:rsidR="00E6345C" w:rsidRPr="00213A5D">
        <w:rPr>
          <w:bCs/>
          <w:sz w:val="24"/>
          <w:szCs w:val="24"/>
        </w:rPr>
        <w:t xml:space="preserve">); </w:t>
      </w:r>
      <w:bookmarkStart w:id="4" w:name="sub_144"/>
      <w:bookmarkEnd w:id="3"/>
      <w:r w:rsidR="00E6345C" w:rsidRPr="00213A5D">
        <w:rPr>
          <w:bCs/>
          <w:sz w:val="24"/>
          <w:szCs w:val="24"/>
        </w:rPr>
        <w:t xml:space="preserve">на предоставление межбюджетных трансфертов «под потребность» </w:t>
      </w:r>
      <w:bookmarkStart w:id="5" w:name="sub_145"/>
      <w:bookmarkEnd w:id="4"/>
      <w:r w:rsidR="00E6345C" w:rsidRPr="00213A5D">
        <w:rPr>
          <w:bCs/>
          <w:sz w:val="24"/>
          <w:szCs w:val="24"/>
        </w:rPr>
        <w:t xml:space="preserve">(код вида изменений </w:t>
      </w:r>
      <w:r w:rsidR="00E6345C" w:rsidRPr="00213A5D">
        <w:rPr>
          <w:b/>
          <w:bCs/>
          <w:sz w:val="24"/>
          <w:szCs w:val="24"/>
        </w:rPr>
        <w:t>226</w:t>
      </w:r>
      <w:r w:rsidR="00E6345C" w:rsidRPr="00213A5D">
        <w:rPr>
          <w:bCs/>
          <w:sz w:val="24"/>
          <w:szCs w:val="24"/>
        </w:rPr>
        <w:t xml:space="preserve">); </w:t>
      </w:r>
      <w:bookmarkEnd w:id="5"/>
      <w:r w:rsidR="00E6345C" w:rsidRPr="00213A5D">
        <w:rPr>
          <w:bCs/>
          <w:sz w:val="24"/>
          <w:szCs w:val="24"/>
        </w:rPr>
        <w:t xml:space="preserve">на оплату отдельных видов товаров, работ, услуг, приобретаемых с использованием электронного сертификата (код вида изменений </w:t>
      </w:r>
      <w:r w:rsidR="00E6345C" w:rsidRPr="00213A5D">
        <w:rPr>
          <w:b/>
          <w:bCs/>
          <w:sz w:val="24"/>
          <w:szCs w:val="24"/>
        </w:rPr>
        <w:t>22А</w:t>
      </w:r>
      <w:r w:rsidR="00E6345C" w:rsidRPr="00213A5D">
        <w:rPr>
          <w:bCs/>
          <w:sz w:val="24"/>
          <w:szCs w:val="24"/>
        </w:rPr>
        <w:t>), в объеме, не превышающем остатка не использованных на начало текущего финансового года бюджетных ассигнований на указанные цели.</w:t>
      </w:r>
    </w:p>
    <w:p w14:paraId="65D54B04" w14:textId="77777777" w:rsidR="00E6345C" w:rsidRPr="00213A5D" w:rsidRDefault="00E6345C" w:rsidP="00AF1852">
      <w:pPr>
        <w:widowControl w:val="0"/>
        <w:overflowPunct/>
        <w:spacing w:line="355" w:lineRule="auto"/>
        <w:ind w:left="0" w:right="0"/>
        <w:textAlignment w:val="auto"/>
        <w:rPr>
          <w:bCs/>
          <w:sz w:val="24"/>
          <w:szCs w:val="24"/>
        </w:rPr>
      </w:pPr>
      <w:r w:rsidRPr="00213A5D">
        <w:rPr>
          <w:rFonts w:eastAsia="Times New Roman"/>
          <w:sz w:val="24"/>
          <w:szCs w:val="24"/>
        </w:rPr>
        <w:t>Следует отметить, что пунктом</w:t>
      </w:r>
      <w:hyperlink w:anchor="sub_10041" w:history="1">
        <w:r w:rsidRPr="00213A5D">
          <w:rPr>
            <w:rFonts w:eastAsia="Times New Roman"/>
            <w:sz w:val="24"/>
            <w:szCs w:val="24"/>
          </w:rPr>
          <w:t xml:space="preserve"> 4</w:t>
        </w:r>
      </w:hyperlink>
      <w:hyperlink w:anchor="sub_10041" w:history="1">
        <w:r w:rsidRPr="00213A5D">
          <w:rPr>
            <w:rFonts w:eastAsia="Times New Roman"/>
            <w:sz w:val="24"/>
            <w:szCs w:val="24"/>
            <w:vertAlign w:val="superscript"/>
          </w:rPr>
          <w:t>1</w:t>
        </w:r>
      </w:hyperlink>
      <w:r w:rsidRPr="00213A5D">
        <w:rPr>
          <w:bCs/>
          <w:sz w:val="24"/>
          <w:szCs w:val="24"/>
        </w:rPr>
        <w:t xml:space="preserve"> постановления Правительства Российской Федерации «Об особенностях реализации Федерального закона «О федеральном бюджете на 2022 год и на плановый период 2023 и 2024 годов» предусмотрена возможность внесения </w:t>
      </w:r>
      <w:r w:rsidRPr="00213A5D">
        <w:rPr>
          <w:b/>
          <w:bCs/>
          <w:sz w:val="24"/>
          <w:szCs w:val="24"/>
        </w:rPr>
        <w:t xml:space="preserve">изменений </w:t>
      </w:r>
      <w:r w:rsidRPr="00213A5D">
        <w:rPr>
          <w:bCs/>
          <w:sz w:val="24"/>
          <w:szCs w:val="24"/>
        </w:rPr>
        <w:t xml:space="preserve">в сводную роспись в целях увеличения бюджетных ассигнований </w:t>
      </w:r>
      <w:r w:rsidRPr="00213A5D">
        <w:rPr>
          <w:b/>
          <w:bCs/>
          <w:sz w:val="24"/>
          <w:szCs w:val="24"/>
        </w:rPr>
        <w:t xml:space="preserve">на исполнение государственных контрактов </w:t>
      </w:r>
      <w:r w:rsidRPr="00213A5D">
        <w:rPr>
          <w:bCs/>
          <w:sz w:val="24"/>
          <w:szCs w:val="24"/>
        </w:rPr>
        <w:t>на выполнение работ</w:t>
      </w:r>
      <w:r w:rsidRPr="00213A5D">
        <w:rPr>
          <w:b/>
          <w:bCs/>
          <w:sz w:val="24"/>
          <w:szCs w:val="24"/>
        </w:rPr>
        <w:t xml:space="preserve"> в целях капитального ремонта</w:t>
      </w:r>
      <w:r w:rsidRPr="00213A5D">
        <w:rPr>
          <w:bCs/>
          <w:sz w:val="24"/>
          <w:szCs w:val="24"/>
        </w:rPr>
        <w:t xml:space="preserve"> и (или) работ по сохранению объектов культурного наследия (памятников истории и культуры) народов Российской Федерации, подлежавших в соответствии с условиями этих государственных контрактов оплате в 2021 году, </w:t>
      </w:r>
      <w:r w:rsidRPr="00213A5D">
        <w:rPr>
          <w:b/>
          <w:bCs/>
          <w:sz w:val="24"/>
          <w:szCs w:val="24"/>
        </w:rPr>
        <w:t>не позднее 1 июня 2022 года.</w:t>
      </w:r>
    </w:p>
    <w:p w14:paraId="42ABD1E9" w14:textId="77777777" w:rsidR="00E6345C" w:rsidRPr="00213A5D" w:rsidRDefault="00E6345C" w:rsidP="00AF1852">
      <w:pPr>
        <w:widowControl w:val="0"/>
        <w:spacing w:line="355" w:lineRule="auto"/>
        <w:ind w:left="0" w:right="0"/>
        <w:rPr>
          <w:rFonts w:eastAsia="Times New Roman"/>
          <w:sz w:val="24"/>
          <w:szCs w:val="24"/>
        </w:rPr>
      </w:pPr>
      <w:r w:rsidRPr="00213A5D">
        <w:rPr>
          <w:rFonts w:eastAsia="Times New Roman"/>
          <w:bCs/>
          <w:sz w:val="24"/>
          <w:szCs w:val="24"/>
        </w:rPr>
        <w:t>Во исполнение</w:t>
      </w:r>
      <w:r w:rsidRPr="00213A5D">
        <w:rPr>
          <w:rFonts w:eastAsia="Times New Roman"/>
          <w:smallCaps/>
          <w:sz w:val="24"/>
          <w:szCs w:val="24"/>
        </w:rPr>
        <w:t xml:space="preserve"> </w:t>
      </w:r>
      <w:r w:rsidRPr="00213A5D">
        <w:rPr>
          <w:rFonts w:eastAsia="Times New Roman"/>
          <w:bCs/>
          <w:sz w:val="24"/>
          <w:szCs w:val="24"/>
        </w:rPr>
        <w:t>пункта 4 Положения о мерах по обеспечению исполнения федерального бюджета Минфином России</w:t>
      </w:r>
      <w:r w:rsidRPr="00213A5D">
        <w:rPr>
          <w:rFonts w:eastAsia="Times New Roman"/>
          <w:b/>
          <w:smallCaps/>
          <w:sz w:val="24"/>
          <w:szCs w:val="24"/>
        </w:rPr>
        <w:t xml:space="preserve"> </w:t>
      </w:r>
      <w:r w:rsidRPr="00213A5D">
        <w:rPr>
          <w:rFonts w:eastAsia="Times New Roman"/>
          <w:bCs/>
          <w:sz w:val="24"/>
          <w:szCs w:val="24"/>
        </w:rPr>
        <w:t>на основании предложений главных распорядителей</w:t>
      </w:r>
      <w:r w:rsidRPr="00213A5D">
        <w:rPr>
          <w:rFonts w:eastAsia="Times New Roman"/>
          <w:b/>
          <w:bCs/>
          <w:sz w:val="24"/>
          <w:szCs w:val="24"/>
        </w:rPr>
        <w:t xml:space="preserve"> </w:t>
      </w:r>
      <w:r w:rsidRPr="00213A5D">
        <w:rPr>
          <w:rFonts w:eastAsia="Times New Roman"/>
          <w:bCs/>
          <w:sz w:val="24"/>
          <w:szCs w:val="24"/>
        </w:rPr>
        <w:t>в</w:t>
      </w:r>
      <w:r w:rsidRPr="00213A5D">
        <w:rPr>
          <w:rFonts w:eastAsia="Times New Roman"/>
          <w:smallCaps/>
          <w:sz w:val="24"/>
          <w:szCs w:val="24"/>
        </w:rPr>
        <w:t xml:space="preserve"> </w:t>
      </w:r>
      <w:r w:rsidRPr="00213A5D">
        <w:rPr>
          <w:rFonts w:eastAsia="Times New Roman"/>
          <w:sz w:val="24"/>
          <w:szCs w:val="24"/>
        </w:rPr>
        <w:t xml:space="preserve">сводную роспись на 2022 год и на плановый период 2023 и 2024 годов внесены </w:t>
      </w:r>
      <w:r w:rsidRPr="00213A5D">
        <w:rPr>
          <w:rFonts w:eastAsia="Times New Roman"/>
          <w:bCs/>
          <w:sz w:val="24"/>
          <w:szCs w:val="24"/>
        </w:rPr>
        <w:t>изменения</w:t>
      </w:r>
      <w:r w:rsidRPr="00213A5D">
        <w:rPr>
          <w:rFonts w:eastAsia="Times New Roman"/>
          <w:sz w:val="24"/>
          <w:szCs w:val="24"/>
        </w:rPr>
        <w:t xml:space="preserve">, предусматривающие </w:t>
      </w:r>
      <w:r w:rsidRPr="00213A5D">
        <w:rPr>
          <w:rFonts w:eastAsia="Times New Roman"/>
          <w:b/>
          <w:sz w:val="24"/>
          <w:szCs w:val="24"/>
        </w:rPr>
        <w:t>увеличение</w:t>
      </w:r>
      <w:r w:rsidRPr="00213A5D">
        <w:rPr>
          <w:rFonts w:eastAsia="Times New Roman"/>
          <w:sz w:val="24"/>
          <w:szCs w:val="24"/>
        </w:rPr>
        <w:t xml:space="preserve"> бюджетных ассигнований на 2022 год:</w:t>
      </w:r>
    </w:p>
    <w:p w14:paraId="54A0C257" w14:textId="77777777" w:rsidR="00E6345C" w:rsidRPr="00213A5D" w:rsidRDefault="00E6345C" w:rsidP="00AF1852">
      <w:pPr>
        <w:widowControl w:val="0"/>
        <w:spacing w:line="355" w:lineRule="auto"/>
        <w:ind w:left="0" w:right="0"/>
        <w:rPr>
          <w:rFonts w:eastAsia="Times New Roman"/>
          <w:sz w:val="24"/>
          <w:szCs w:val="24"/>
        </w:rPr>
      </w:pPr>
      <w:r w:rsidRPr="00213A5D">
        <w:rPr>
          <w:rFonts w:eastAsia="Times New Roman"/>
          <w:b/>
          <w:sz w:val="24"/>
          <w:szCs w:val="24"/>
        </w:rPr>
        <w:t xml:space="preserve">на 176,1 млрд. рублей </w:t>
      </w:r>
      <w:r w:rsidRPr="00213A5D">
        <w:rPr>
          <w:rFonts w:eastAsia="Times New Roman"/>
          <w:b/>
          <w:sz w:val="24"/>
          <w:szCs w:val="24"/>
        </w:rPr>
        <w:noBreakHyphen/>
        <w:t xml:space="preserve"> на исполнение заключенных государственных контрактов, </w:t>
      </w:r>
      <w:r w:rsidRPr="00213A5D">
        <w:rPr>
          <w:rFonts w:eastAsia="Times New Roman"/>
          <w:sz w:val="24"/>
          <w:szCs w:val="24"/>
        </w:rPr>
        <w:t>подлежавших оплате в 2021 году;</w:t>
      </w:r>
    </w:p>
    <w:p w14:paraId="364C769F" w14:textId="77777777" w:rsidR="00E6345C" w:rsidRPr="00213A5D" w:rsidRDefault="00E6345C" w:rsidP="00AF1852">
      <w:pPr>
        <w:widowControl w:val="0"/>
        <w:spacing w:line="355" w:lineRule="auto"/>
        <w:ind w:left="0" w:right="0"/>
        <w:rPr>
          <w:rFonts w:eastAsia="Times New Roman"/>
          <w:b/>
          <w:sz w:val="24"/>
          <w:szCs w:val="24"/>
        </w:rPr>
      </w:pPr>
      <w:r w:rsidRPr="00213A5D">
        <w:rPr>
          <w:rFonts w:eastAsia="Times New Roman"/>
          <w:b/>
          <w:sz w:val="24"/>
          <w:szCs w:val="24"/>
        </w:rPr>
        <w:t>на 23,2 млрд. рублей</w:t>
      </w:r>
      <w:r w:rsidRPr="00213A5D">
        <w:rPr>
          <w:rFonts w:eastAsia="Times New Roman"/>
          <w:sz w:val="24"/>
          <w:szCs w:val="24"/>
        </w:rPr>
        <w:t xml:space="preserve"> – </w:t>
      </w:r>
      <w:r w:rsidRPr="00213A5D">
        <w:rPr>
          <w:bCs/>
          <w:sz w:val="24"/>
          <w:szCs w:val="24"/>
        </w:rPr>
        <w:t>на исполнение</w:t>
      </w:r>
      <w:r w:rsidRPr="00213A5D">
        <w:rPr>
          <w:b/>
          <w:bCs/>
          <w:sz w:val="24"/>
          <w:szCs w:val="24"/>
        </w:rPr>
        <w:t xml:space="preserve"> </w:t>
      </w:r>
      <w:r w:rsidRPr="00213A5D">
        <w:rPr>
          <w:bCs/>
          <w:sz w:val="24"/>
          <w:szCs w:val="24"/>
        </w:rPr>
        <w:t>государственных контрактов,</w:t>
      </w:r>
      <w:r w:rsidRPr="00213A5D">
        <w:rPr>
          <w:rFonts w:eastAsia="Times New Roman"/>
          <w:b/>
          <w:sz w:val="24"/>
          <w:szCs w:val="24"/>
        </w:rPr>
        <w:t xml:space="preserve"> </w:t>
      </w:r>
      <w:r w:rsidRPr="00213A5D">
        <w:rPr>
          <w:rFonts w:eastAsia="Times New Roman"/>
          <w:sz w:val="24"/>
          <w:szCs w:val="24"/>
        </w:rPr>
        <w:t>расчеты по которым в 2021 году</w:t>
      </w:r>
      <w:r w:rsidRPr="00213A5D">
        <w:rPr>
          <w:rFonts w:eastAsia="Times New Roman"/>
          <w:b/>
          <w:sz w:val="24"/>
          <w:szCs w:val="24"/>
        </w:rPr>
        <w:t xml:space="preserve"> </w:t>
      </w:r>
      <w:r w:rsidRPr="00213A5D">
        <w:rPr>
          <w:rFonts w:eastAsia="Times New Roman"/>
          <w:sz w:val="24"/>
          <w:szCs w:val="24"/>
        </w:rPr>
        <w:t>осуществлялись с применением</w:t>
      </w:r>
      <w:r w:rsidRPr="00213A5D">
        <w:rPr>
          <w:rFonts w:eastAsia="Times New Roman"/>
          <w:b/>
          <w:sz w:val="24"/>
          <w:szCs w:val="24"/>
        </w:rPr>
        <w:t xml:space="preserve"> казначейского обеспечения обязательств;</w:t>
      </w:r>
    </w:p>
    <w:p w14:paraId="2E6F84A2" w14:textId="77777777" w:rsidR="00E6345C" w:rsidRPr="00213A5D" w:rsidRDefault="00E6345C" w:rsidP="00AF1852">
      <w:pPr>
        <w:widowControl w:val="0"/>
        <w:spacing w:line="355" w:lineRule="auto"/>
        <w:ind w:left="0" w:right="0"/>
        <w:rPr>
          <w:rFonts w:eastAsia="Times New Roman"/>
          <w:b/>
          <w:bCs/>
          <w:sz w:val="24"/>
          <w:szCs w:val="24"/>
        </w:rPr>
      </w:pPr>
      <w:r w:rsidRPr="00213A5D">
        <w:rPr>
          <w:rFonts w:eastAsia="Times New Roman"/>
          <w:b/>
          <w:bCs/>
          <w:sz w:val="24"/>
          <w:szCs w:val="24"/>
        </w:rPr>
        <w:t xml:space="preserve">на 97,6 млрд. рублей </w:t>
      </w:r>
      <w:r w:rsidRPr="00213A5D">
        <w:rPr>
          <w:rFonts w:eastAsia="Times New Roman"/>
          <w:sz w:val="24"/>
          <w:szCs w:val="24"/>
        </w:rPr>
        <w:t>–</w:t>
      </w:r>
      <w:r w:rsidRPr="00213A5D">
        <w:rPr>
          <w:rFonts w:eastAsia="Times New Roman"/>
          <w:bCs/>
          <w:sz w:val="24"/>
          <w:szCs w:val="24"/>
        </w:rPr>
        <w:t xml:space="preserve"> на предоставление</w:t>
      </w:r>
      <w:r w:rsidRPr="00213A5D">
        <w:rPr>
          <w:rFonts w:eastAsia="Times New Roman"/>
          <w:b/>
          <w:bCs/>
          <w:sz w:val="24"/>
          <w:szCs w:val="24"/>
        </w:rPr>
        <w:t xml:space="preserve"> субсидий юридическим лицам «под потребность»;</w:t>
      </w:r>
    </w:p>
    <w:p w14:paraId="074010A6" w14:textId="77777777" w:rsidR="00E6345C" w:rsidRPr="00213A5D" w:rsidRDefault="00E6345C" w:rsidP="00AF1852">
      <w:pPr>
        <w:widowControl w:val="0"/>
        <w:spacing w:line="355" w:lineRule="auto"/>
        <w:ind w:left="0" w:right="0"/>
        <w:rPr>
          <w:sz w:val="24"/>
          <w:szCs w:val="24"/>
        </w:rPr>
      </w:pPr>
      <w:r w:rsidRPr="00213A5D">
        <w:rPr>
          <w:rFonts w:eastAsia="Times New Roman"/>
          <w:b/>
          <w:bCs/>
          <w:sz w:val="24"/>
          <w:szCs w:val="24"/>
        </w:rPr>
        <w:t xml:space="preserve">на 50,9 млрд. рублей </w:t>
      </w:r>
      <w:r w:rsidRPr="00213A5D">
        <w:rPr>
          <w:rFonts w:eastAsia="Times New Roman"/>
          <w:bCs/>
          <w:sz w:val="24"/>
          <w:szCs w:val="24"/>
        </w:rPr>
        <w:t>–</w:t>
      </w:r>
      <w:r w:rsidRPr="00213A5D">
        <w:rPr>
          <w:rFonts w:eastAsia="Times New Roman"/>
          <w:b/>
          <w:bCs/>
          <w:sz w:val="24"/>
          <w:szCs w:val="24"/>
        </w:rPr>
        <w:t xml:space="preserve"> </w:t>
      </w:r>
      <w:r w:rsidRPr="00213A5D">
        <w:rPr>
          <w:sz w:val="24"/>
          <w:szCs w:val="24"/>
        </w:rPr>
        <w:t>на предоставление бюджетам субъектов Российской Федерации</w:t>
      </w:r>
      <w:r w:rsidRPr="00213A5D">
        <w:rPr>
          <w:b/>
          <w:sz w:val="24"/>
          <w:szCs w:val="24"/>
        </w:rPr>
        <w:t xml:space="preserve"> субсидий, субвенций и иных межбюджетных трансфертов</w:t>
      </w:r>
      <w:r w:rsidRPr="00213A5D">
        <w:rPr>
          <w:sz w:val="24"/>
          <w:szCs w:val="24"/>
        </w:rPr>
        <w:t>,</w:t>
      </w:r>
      <w:r w:rsidRPr="00213A5D">
        <w:rPr>
          <w:b/>
          <w:sz w:val="24"/>
          <w:szCs w:val="24"/>
        </w:rPr>
        <w:t xml:space="preserve"> </w:t>
      </w:r>
      <w:r w:rsidRPr="00213A5D">
        <w:rPr>
          <w:sz w:val="24"/>
          <w:szCs w:val="24"/>
        </w:rPr>
        <w:t>имеющих целевое назначение, предоставление которых в 2021 году осуществлялось в пределах суммы, необходимой для оплаты денежных обязательств получателей средств бюджета субъекта Российской Федерации, источником финансового обеспечения которых являлись указанные межбюджетные трансферты.</w:t>
      </w:r>
    </w:p>
    <w:p w14:paraId="3FCB62F5" w14:textId="77777777" w:rsidR="00E6345C" w:rsidRPr="00213A5D" w:rsidRDefault="00E6345C" w:rsidP="00AF1852">
      <w:pPr>
        <w:widowControl w:val="0"/>
        <w:spacing w:line="355" w:lineRule="auto"/>
        <w:ind w:left="0" w:right="0"/>
        <w:rPr>
          <w:sz w:val="24"/>
          <w:szCs w:val="24"/>
        </w:rPr>
      </w:pPr>
      <w:r w:rsidRPr="00213A5D">
        <w:rPr>
          <w:sz w:val="24"/>
          <w:szCs w:val="24"/>
        </w:rPr>
        <w:t xml:space="preserve">Изменения, предусмотренные в случае увеличения бюджетных ассигнований 2022 года </w:t>
      </w:r>
      <w:r w:rsidRPr="00213A5D">
        <w:rPr>
          <w:rFonts w:eastAsia="Times New Roman"/>
          <w:sz w:val="24"/>
          <w:szCs w:val="24"/>
        </w:rPr>
        <w:t xml:space="preserve">на оплату отдельных видов товаров, работ, услуг, приобретаемых с использованием электронного сертификата </w:t>
      </w:r>
      <w:r w:rsidRPr="00213A5D">
        <w:rPr>
          <w:sz w:val="24"/>
          <w:szCs w:val="24"/>
        </w:rPr>
        <w:t>по состоянию на 1 октября 2022 года не вносились.</w:t>
      </w:r>
    </w:p>
    <w:p w14:paraId="78A022BF" w14:textId="77777777" w:rsidR="00E6345C" w:rsidRPr="00213A5D" w:rsidRDefault="00E6345C" w:rsidP="00AF1852">
      <w:pPr>
        <w:widowControl w:val="0"/>
        <w:spacing w:line="355" w:lineRule="auto"/>
        <w:ind w:left="0" w:right="0"/>
        <w:rPr>
          <w:bCs/>
          <w:sz w:val="24"/>
          <w:szCs w:val="24"/>
        </w:rPr>
      </w:pPr>
      <w:r w:rsidRPr="00213A5D">
        <w:rPr>
          <w:bCs/>
          <w:sz w:val="24"/>
          <w:szCs w:val="24"/>
        </w:rPr>
        <w:t>Увеличение бюджетных ассигнований сводной росписи по указанным показателям за последние несколько лет представлено в следующей таблице.</w:t>
      </w:r>
    </w:p>
    <w:p w14:paraId="3262001C" w14:textId="77777777" w:rsidR="006A74AB" w:rsidRPr="00213A5D" w:rsidRDefault="006A74AB" w:rsidP="00086506">
      <w:pPr>
        <w:widowControl w:val="0"/>
        <w:tabs>
          <w:tab w:val="left" w:pos="2340"/>
        </w:tabs>
        <w:spacing w:line="240" w:lineRule="auto"/>
        <w:ind w:left="0" w:right="0"/>
        <w:jc w:val="right"/>
        <w:rPr>
          <w:sz w:val="20"/>
          <w:szCs w:val="20"/>
        </w:rPr>
      </w:pPr>
      <w:r w:rsidRPr="00213A5D">
        <w:rPr>
          <w:sz w:val="20"/>
          <w:szCs w:val="20"/>
        </w:rPr>
        <w:lastRenderedPageBreak/>
        <w:t>(млрд. рублей)</w:t>
      </w:r>
    </w:p>
    <w:tbl>
      <w:tblPr>
        <w:tblW w:w="9639" w:type="dxa"/>
        <w:tblInd w:w="108" w:type="dxa"/>
        <w:tblLayout w:type="fixed"/>
        <w:tblLook w:val="04A0" w:firstRow="1" w:lastRow="0" w:firstColumn="1" w:lastColumn="0" w:noHBand="0" w:noVBand="1"/>
      </w:tblPr>
      <w:tblGrid>
        <w:gridCol w:w="3686"/>
        <w:gridCol w:w="992"/>
        <w:gridCol w:w="992"/>
        <w:gridCol w:w="992"/>
        <w:gridCol w:w="993"/>
        <w:gridCol w:w="992"/>
        <w:gridCol w:w="992"/>
      </w:tblGrid>
      <w:tr w:rsidR="00E6345C" w:rsidRPr="00213A5D" w14:paraId="24062920" w14:textId="77777777" w:rsidTr="00086506">
        <w:trPr>
          <w:trHeight w:val="56"/>
          <w:tblHeader/>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AFC6C"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Наименование показателя</w:t>
            </w:r>
          </w:p>
        </w:tc>
        <w:tc>
          <w:tcPr>
            <w:tcW w:w="5953" w:type="dxa"/>
            <w:gridSpan w:val="6"/>
            <w:tcBorders>
              <w:top w:val="single" w:sz="4" w:space="0" w:color="auto"/>
              <w:left w:val="nil"/>
              <w:bottom w:val="single" w:sz="4" w:space="0" w:color="auto"/>
              <w:right w:val="single" w:sz="4" w:space="0" w:color="auto"/>
            </w:tcBorders>
            <w:shd w:val="clear" w:color="auto" w:fill="auto"/>
            <w:vAlign w:val="center"/>
            <w:hideMark/>
          </w:tcPr>
          <w:p w14:paraId="5EA2BBA9"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Увеличение бюджетных ассигнований сводной росписи на</w:t>
            </w:r>
          </w:p>
        </w:tc>
      </w:tr>
      <w:tr w:rsidR="00E6345C" w:rsidRPr="00213A5D" w14:paraId="30FB8B63" w14:textId="77777777" w:rsidTr="00086506">
        <w:trPr>
          <w:trHeight w:val="56"/>
          <w:tblHeader/>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1B64653A" w14:textId="77777777" w:rsidR="00E6345C" w:rsidRPr="00213A5D" w:rsidRDefault="00E6345C" w:rsidP="00AF1852">
            <w:pPr>
              <w:widowControl w:val="0"/>
              <w:overflowPunct/>
              <w:autoSpaceDE/>
              <w:autoSpaceDN/>
              <w:adjustRightInd/>
              <w:spacing w:line="240" w:lineRule="auto"/>
              <w:ind w:left="0" w:right="0" w:firstLine="0"/>
              <w:jc w:val="left"/>
              <w:textAlignment w:val="auto"/>
              <w:rPr>
                <w:rFonts w:eastAsia="Times New Roman"/>
                <w:b/>
                <w:bCs/>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58C292D"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2017 год</w:t>
            </w:r>
          </w:p>
        </w:tc>
        <w:tc>
          <w:tcPr>
            <w:tcW w:w="992" w:type="dxa"/>
            <w:tcBorders>
              <w:top w:val="nil"/>
              <w:left w:val="nil"/>
              <w:bottom w:val="single" w:sz="4" w:space="0" w:color="auto"/>
              <w:right w:val="single" w:sz="4" w:space="0" w:color="auto"/>
            </w:tcBorders>
            <w:shd w:val="clear" w:color="auto" w:fill="auto"/>
            <w:noWrap/>
            <w:vAlign w:val="center"/>
            <w:hideMark/>
          </w:tcPr>
          <w:p w14:paraId="1D148BA6"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2018 год</w:t>
            </w:r>
          </w:p>
        </w:tc>
        <w:tc>
          <w:tcPr>
            <w:tcW w:w="992" w:type="dxa"/>
            <w:tcBorders>
              <w:top w:val="nil"/>
              <w:left w:val="nil"/>
              <w:bottom w:val="single" w:sz="4" w:space="0" w:color="auto"/>
              <w:right w:val="single" w:sz="4" w:space="0" w:color="auto"/>
            </w:tcBorders>
            <w:shd w:val="clear" w:color="auto" w:fill="auto"/>
            <w:noWrap/>
            <w:vAlign w:val="center"/>
            <w:hideMark/>
          </w:tcPr>
          <w:p w14:paraId="383E3326"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2019 год</w:t>
            </w:r>
          </w:p>
        </w:tc>
        <w:tc>
          <w:tcPr>
            <w:tcW w:w="993" w:type="dxa"/>
            <w:tcBorders>
              <w:top w:val="nil"/>
              <w:left w:val="nil"/>
              <w:bottom w:val="single" w:sz="4" w:space="0" w:color="auto"/>
              <w:right w:val="single" w:sz="4" w:space="0" w:color="auto"/>
            </w:tcBorders>
            <w:shd w:val="clear" w:color="auto" w:fill="auto"/>
            <w:noWrap/>
            <w:vAlign w:val="center"/>
            <w:hideMark/>
          </w:tcPr>
          <w:p w14:paraId="453D1C76"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2020 год</w:t>
            </w:r>
          </w:p>
        </w:tc>
        <w:tc>
          <w:tcPr>
            <w:tcW w:w="992" w:type="dxa"/>
            <w:tcBorders>
              <w:top w:val="nil"/>
              <w:left w:val="nil"/>
              <w:bottom w:val="single" w:sz="4" w:space="0" w:color="auto"/>
              <w:right w:val="single" w:sz="4" w:space="0" w:color="auto"/>
            </w:tcBorders>
            <w:vAlign w:val="center"/>
          </w:tcPr>
          <w:p w14:paraId="5479A4AC"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2021 год</w:t>
            </w:r>
          </w:p>
        </w:tc>
        <w:tc>
          <w:tcPr>
            <w:tcW w:w="992" w:type="dxa"/>
            <w:tcBorders>
              <w:top w:val="nil"/>
              <w:left w:val="nil"/>
              <w:bottom w:val="single" w:sz="4" w:space="0" w:color="auto"/>
              <w:right w:val="single" w:sz="4" w:space="0" w:color="auto"/>
            </w:tcBorders>
            <w:vAlign w:val="center"/>
          </w:tcPr>
          <w:p w14:paraId="59AF311A"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2022 год</w:t>
            </w:r>
          </w:p>
        </w:tc>
      </w:tr>
      <w:tr w:rsidR="00E6345C" w:rsidRPr="00213A5D" w14:paraId="72A4B0A1" w14:textId="77777777" w:rsidTr="00035EFB">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F1FBE" w14:textId="77777777" w:rsidR="00E6345C" w:rsidRPr="00213A5D" w:rsidRDefault="00E6345C" w:rsidP="00AF1852">
            <w:pPr>
              <w:widowControl w:val="0"/>
              <w:overflowPunct/>
              <w:autoSpaceDE/>
              <w:autoSpaceDN/>
              <w:adjustRightInd/>
              <w:spacing w:line="247" w:lineRule="auto"/>
              <w:ind w:left="0" w:right="0" w:firstLine="0"/>
              <w:textAlignment w:val="auto"/>
              <w:rPr>
                <w:rFonts w:eastAsia="Times New Roman"/>
                <w:sz w:val="20"/>
                <w:szCs w:val="20"/>
              </w:rPr>
            </w:pPr>
            <w:r w:rsidRPr="00213A5D">
              <w:rPr>
                <w:rFonts w:eastAsia="Times New Roman"/>
                <w:sz w:val="20"/>
                <w:szCs w:val="20"/>
              </w:rPr>
              <w:t>На исполнение заключенных государственных контрактов, подлежавших оплате в отчетном финансовом году</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1A080"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71,2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73E98"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264,1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91CDF"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311,2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4DB5"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288,7</w:t>
            </w:r>
          </w:p>
        </w:tc>
        <w:tc>
          <w:tcPr>
            <w:tcW w:w="992" w:type="dxa"/>
            <w:tcBorders>
              <w:top w:val="single" w:sz="4" w:space="0" w:color="auto"/>
              <w:left w:val="single" w:sz="4" w:space="0" w:color="auto"/>
              <w:bottom w:val="single" w:sz="4" w:space="0" w:color="auto"/>
              <w:right w:val="single" w:sz="4" w:space="0" w:color="auto"/>
            </w:tcBorders>
            <w:vAlign w:val="center"/>
          </w:tcPr>
          <w:p w14:paraId="1F530986"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163,8</w:t>
            </w:r>
          </w:p>
        </w:tc>
        <w:tc>
          <w:tcPr>
            <w:tcW w:w="992" w:type="dxa"/>
            <w:tcBorders>
              <w:top w:val="single" w:sz="4" w:space="0" w:color="auto"/>
              <w:left w:val="single" w:sz="4" w:space="0" w:color="auto"/>
              <w:bottom w:val="single" w:sz="4" w:space="0" w:color="auto"/>
              <w:right w:val="single" w:sz="4" w:space="0" w:color="auto"/>
            </w:tcBorders>
            <w:vAlign w:val="center"/>
          </w:tcPr>
          <w:p w14:paraId="4FA11B64"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176,1</w:t>
            </w:r>
          </w:p>
        </w:tc>
      </w:tr>
      <w:tr w:rsidR="00E6345C" w:rsidRPr="00213A5D" w14:paraId="1E8003B1" w14:textId="77777777" w:rsidTr="00035EFB">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90082" w14:textId="77777777" w:rsidR="00E6345C" w:rsidRPr="00213A5D" w:rsidRDefault="00E6345C" w:rsidP="00AF1852">
            <w:pPr>
              <w:widowControl w:val="0"/>
              <w:overflowPunct/>
              <w:autoSpaceDE/>
              <w:autoSpaceDN/>
              <w:adjustRightInd/>
              <w:spacing w:line="247" w:lineRule="auto"/>
              <w:ind w:left="0" w:right="0" w:firstLine="0"/>
              <w:textAlignment w:val="auto"/>
              <w:rPr>
                <w:rFonts w:eastAsia="Times New Roman"/>
                <w:sz w:val="20"/>
                <w:szCs w:val="20"/>
              </w:rPr>
            </w:pPr>
            <w:r w:rsidRPr="00213A5D">
              <w:rPr>
                <w:rFonts w:eastAsia="Times New Roman"/>
                <w:sz w:val="20"/>
                <w:szCs w:val="20"/>
              </w:rPr>
              <w:t>На исполнение государственных контрактов, расчеты по которым в отчетном финансовом году осуществлялись с применением казначейского обеспечения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543FB"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DC55"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11,1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A9527"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45,9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8BEB3"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59,9</w:t>
            </w:r>
          </w:p>
        </w:tc>
        <w:tc>
          <w:tcPr>
            <w:tcW w:w="992" w:type="dxa"/>
            <w:tcBorders>
              <w:top w:val="single" w:sz="4" w:space="0" w:color="auto"/>
              <w:left w:val="single" w:sz="4" w:space="0" w:color="auto"/>
              <w:bottom w:val="single" w:sz="4" w:space="0" w:color="auto"/>
              <w:right w:val="single" w:sz="4" w:space="0" w:color="auto"/>
            </w:tcBorders>
            <w:vAlign w:val="center"/>
          </w:tcPr>
          <w:p w14:paraId="4D78C872"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41,8</w:t>
            </w:r>
          </w:p>
        </w:tc>
        <w:tc>
          <w:tcPr>
            <w:tcW w:w="992" w:type="dxa"/>
            <w:tcBorders>
              <w:top w:val="single" w:sz="4" w:space="0" w:color="auto"/>
              <w:left w:val="single" w:sz="4" w:space="0" w:color="auto"/>
              <w:bottom w:val="single" w:sz="4" w:space="0" w:color="auto"/>
              <w:right w:val="single" w:sz="4" w:space="0" w:color="auto"/>
            </w:tcBorders>
            <w:vAlign w:val="center"/>
          </w:tcPr>
          <w:p w14:paraId="2DAE9B13"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23,2</w:t>
            </w:r>
          </w:p>
        </w:tc>
      </w:tr>
      <w:tr w:rsidR="00E6345C" w:rsidRPr="00213A5D" w14:paraId="41C33266" w14:textId="77777777" w:rsidTr="00035EFB">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A6456" w14:textId="77777777" w:rsidR="00E6345C" w:rsidRPr="00213A5D" w:rsidRDefault="00E6345C" w:rsidP="00AF1852">
            <w:pPr>
              <w:widowControl w:val="0"/>
              <w:overflowPunct/>
              <w:autoSpaceDE/>
              <w:autoSpaceDN/>
              <w:adjustRightInd/>
              <w:spacing w:line="247" w:lineRule="auto"/>
              <w:ind w:left="0" w:right="0" w:firstLine="0"/>
              <w:textAlignment w:val="auto"/>
              <w:rPr>
                <w:rFonts w:eastAsia="Times New Roman"/>
                <w:sz w:val="20"/>
                <w:szCs w:val="20"/>
              </w:rPr>
            </w:pPr>
            <w:r w:rsidRPr="00213A5D">
              <w:rPr>
                <w:rFonts w:eastAsia="Times New Roman"/>
                <w:sz w:val="20"/>
                <w:szCs w:val="20"/>
              </w:rPr>
              <w:t>На предоставление субсидий юридическим лицам «под потребность»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7F235"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3D996"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15,9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F0C90"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26,7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1A536"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63,5</w:t>
            </w:r>
          </w:p>
        </w:tc>
        <w:tc>
          <w:tcPr>
            <w:tcW w:w="992" w:type="dxa"/>
            <w:tcBorders>
              <w:top w:val="single" w:sz="4" w:space="0" w:color="auto"/>
              <w:left w:val="single" w:sz="4" w:space="0" w:color="auto"/>
              <w:bottom w:val="single" w:sz="4" w:space="0" w:color="auto"/>
              <w:right w:val="single" w:sz="4" w:space="0" w:color="auto"/>
            </w:tcBorders>
            <w:vAlign w:val="center"/>
          </w:tcPr>
          <w:p w14:paraId="541BEB99"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96,4</w:t>
            </w:r>
          </w:p>
        </w:tc>
        <w:tc>
          <w:tcPr>
            <w:tcW w:w="992" w:type="dxa"/>
            <w:tcBorders>
              <w:top w:val="single" w:sz="4" w:space="0" w:color="auto"/>
              <w:left w:val="single" w:sz="4" w:space="0" w:color="auto"/>
              <w:bottom w:val="single" w:sz="4" w:space="0" w:color="auto"/>
              <w:right w:val="single" w:sz="4" w:space="0" w:color="auto"/>
            </w:tcBorders>
            <w:vAlign w:val="center"/>
          </w:tcPr>
          <w:p w14:paraId="4E2A2466"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97,6</w:t>
            </w:r>
          </w:p>
        </w:tc>
      </w:tr>
      <w:tr w:rsidR="00E6345C" w:rsidRPr="00213A5D" w14:paraId="635EE97B" w14:textId="77777777" w:rsidTr="00035EFB">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1489F" w14:textId="77777777" w:rsidR="00E6345C" w:rsidRPr="00213A5D" w:rsidRDefault="00E6345C" w:rsidP="00AF1852">
            <w:pPr>
              <w:widowControl w:val="0"/>
              <w:overflowPunct/>
              <w:autoSpaceDE/>
              <w:autoSpaceDN/>
              <w:adjustRightInd/>
              <w:spacing w:line="247" w:lineRule="auto"/>
              <w:ind w:left="0" w:right="0" w:firstLine="0"/>
              <w:textAlignment w:val="auto"/>
              <w:rPr>
                <w:rFonts w:eastAsia="Times New Roman"/>
                <w:sz w:val="20"/>
                <w:szCs w:val="20"/>
              </w:rPr>
            </w:pPr>
            <w:r w:rsidRPr="00213A5D">
              <w:rPr>
                <w:rFonts w:eastAsia="Times New Roman"/>
                <w:sz w:val="20"/>
                <w:szCs w:val="20"/>
              </w:rPr>
              <w:t>На предоставление межбюджетных трансфертов «под потребность»</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BE63C"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C69FB"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AA864"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15,4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AAE84"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13,3</w:t>
            </w:r>
          </w:p>
        </w:tc>
        <w:tc>
          <w:tcPr>
            <w:tcW w:w="992" w:type="dxa"/>
            <w:tcBorders>
              <w:top w:val="single" w:sz="4" w:space="0" w:color="auto"/>
              <w:left w:val="single" w:sz="4" w:space="0" w:color="auto"/>
              <w:bottom w:val="single" w:sz="4" w:space="0" w:color="auto"/>
              <w:right w:val="single" w:sz="4" w:space="0" w:color="auto"/>
            </w:tcBorders>
            <w:vAlign w:val="center"/>
          </w:tcPr>
          <w:p w14:paraId="5FE5BB8B"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39,8</w:t>
            </w:r>
          </w:p>
        </w:tc>
        <w:tc>
          <w:tcPr>
            <w:tcW w:w="992" w:type="dxa"/>
            <w:tcBorders>
              <w:top w:val="single" w:sz="4" w:space="0" w:color="auto"/>
              <w:left w:val="single" w:sz="4" w:space="0" w:color="auto"/>
              <w:bottom w:val="single" w:sz="4" w:space="0" w:color="auto"/>
              <w:right w:val="single" w:sz="4" w:space="0" w:color="auto"/>
            </w:tcBorders>
            <w:vAlign w:val="center"/>
          </w:tcPr>
          <w:p w14:paraId="0B58A92D"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sz w:val="20"/>
                <w:szCs w:val="20"/>
              </w:rPr>
            </w:pPr>
            <w:r w:rsidRPr="00213A5D">
              <w:rPr>
                <w:rFonts w:eastAsia="Times New Roman"/>
                <w:sz w:val="20"/>
                <w:szCs w:val="20"/>
              </w:rPr>
              <w:t>50,9</w:t>
            </w:r>
          </w:p>
        </w:tc>
      </w:tr>
      <w:tr w:rsidR="00E6345C" w:rsidRPr="00213A5D" w14:paraId="60A86AC8" w14:textId="77777777" w:rsidTr="00035EFB">
        <w:trPr>
          <w:trHeight w:val="425"/>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FEE1F" w14:textId="77777777" w:rsidR="00E6345C" w:rsidRPr="00213A5D" w:rsidRDefault="00E6345C" w:rsidP="00AF1852">
            <w:pPr>
              <w:widowControl w:val="0"/>
              <w:overflowPunct/>
              <w:autoSpaceDE/>
              <w:autoSpaceDN/>
              <w:adjustRightInd/>
              <w:spacing w:line="240" w:lineRule="auto"/>
              <w:ind w:left="0" w:right="0" w:firstLine="0"/>
              <w:jc w:val="left"/>
              <w:textAlignment w:val="auto"/>
              <w:rPr>
                <w:rFonts w:eastAsia="Times New Roman"/>
                <w:b/>
                <w:sz w:val="20"/>
                <w:szCs w:val="20"/>
              </w:rPr>
            </w:pPr>
            <w:r w:rsidRPr="00213A5D">
              <w:rPr>
                <w:rFonts w:eastAsia="Times New Roman"/>
                <w:b/>
                <w:sz w:val="20"/>
                <w:szCs w:val="20"/>
              </w:rPr>
              <w:t>Всего</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8CEFE52"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sz w:val="20"/>
                <w:szCs w:val="20"/>
              </w:rPr>
            </w:pPr>
            <w:r w:rsidRPr="00213A5D">
              <w:rPr>
                <w:rFonts w:eastAsia="Times New Roman"/>
                <w:b/>
                <w:sz w:val="20"/>
                <w:szCs w:val="20"/>
              </w:rPr>
              <w:t>80,4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7FF4837"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sz w:val="20"/>
                <w:szCs w:val="20"/>
              </w:rPr>
            </w:pPr>
            <w:r w:rsidRPr="00213A5D">
              <w:rPr>
                <w:rFonts w:eastAsia="Times New Roman"/>
                <w:b/>
                <w:sz w:val="20"/>
                <w:szCs w:val="20"/>
              </w:rPr>
              <w:t>291,1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8210D6"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sz w:val="20"/>
                <w:szCs w:val="20"/>
              </w:rPr>
            </w:pPr>
            <w:r w:rsidRPr="00213A5D">
              <w:rPr>
                <w:rFonts w:eastAsia="Times New Roman"/>
                <w:b/>
                <w:sz w:val="20"/>
                <w:szCs w:val="20"/>
              </w:rPr>
              <w:t>399,2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3CCDE0D"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sz w:val="20"/>
                <w:szCs w:val="20"/>
              </w:rPr>
            </w:pPr>
            <w:r w:rsidRPr="00213A5D">
              <w:rPr>
                <w:rFonts w:eastAsia="Times New Roman"/>
                <w:b/>
                <w:sz w:val="20"/>
                <w:szCs w:val="20"/>
              </w:rPr>
              <w:t>425,4</w:t>
            </w:r>
          </w:p>
        </w:tc>
        <w:tc>
          <w:tcPr>
            <w:tcW w:w="992" w:type="dxa"/>
            <w:tcBorders>
              <w:top w:val="single" w:sz="4" w:space="0" w:color="auto"/>
              <w:left w:val="nil"/>
              <w:bottom w:val="single" w:sz="4" w:space="0" w:color="auto"/>
              <w:right w:val="single" w:sz="4" w:space="0" w:color="auto"/>
            </w:tcBorders>
            <w:vAlign w:val="center"/>
          </w:tcPr>
          <w:p w14:paraId="656F594F"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sz w:val="20"/>
                <w:szCs w:val="20"/>
              </w:rPr>
            </w:pPr>
            <w:r w:rsidRPr="00213A5D">
              <w:rPr>
                <w:rFonts w:eastAsia="Times New Roman"/>
                <w:b/>
                <w:sz w:val="20"/>
                <w:szCs w:val="20"/>
              </w:rPr>
              <w:t>341,8</w:t>
            </w:r>
          </w:p>
        </w:tc>
        <w:tc>
          <w:tcPr>
            <w:tcW w:w="992" w:type="dxa"/>
            <w:tcBorders>
              <w:top w:val="single" w:sz="4" w:space="0" w:color="auto"/>
              <w:left w:val="nil"/>
              <w:bottom w:val="single" w:sz="4" w:space="0" w:color="auto"/>
              <w:right w:val="single" w:sz="4" w:space="0" w:color="auto"/>
            </w:tcBorders>
            <w:vAlign w:val="center"/>
          </w:tcPr>
          <w:p w14:paraId="7BC21B90" w14:textId="77777777" w:rsidR="00E6345C" w:rsidRPr="00213A5D" w:rsidRDefault="00E6345C" w:rsidP="00AF1852">
            <w:pPr>
              <w:widowControl w:val="0"/>
              <w:overflowPunct/>
              <w:autoSpaceDE/>
              <w:autoSpaceDN/>
              <w:adjustRightInd/>
              <w:spacing w:line="240" w:lineRule="auto"/>
              <w:ind w:left="0" w:right="0" w:firstLine="0"/>
              <w:jc w:val="center"/>
              <w:textAlignment w:val="auto"/>
              <w:rPr>
                <w:rFonts w:eastAsia="Times New Roman"/>
                <w:b/>
                <w:sz w:val="20"/>
                <w:szCs w:val="20"/>
              </w:rPr>
            </w:pPr>
            <w:r w:rsidRPr="00213A5D">
              <w:rPr>
                <w:rFonts w:eastAsia="Times New Roman"/>
                <w:b/>
                <w:sz w:val="20"/>
                <w:szCs w:val="20"/>
              </w:rPr>
              <w:t>347,8</w:t>
            </w:r>
          </w:p>
        </w:tc>
      </w:tr>
    </w:tbl>
    <w:p w14:paraId="38156415" w14:textId="77777777" w:rsidR="006A74AB" w:rsidRPr="00213A5D" w:rsidRDefault="006A74AB" w:rsidP="00AF1852">
      <w:pPr>
        <w:widowControl w:val="0"/>
        <w:spacing w:line="240" w:lineRule="auto"/>
        <w:ind w:left="0" w:right="0"/>
        <w:rPr>
          <w:rFonts w:eastAsia="Times New Roman"/>
          <w:sz w:val="16"/>
          <w:szCs w:val="16"/>
        </w:rPr>
      </w:pPr>
    </w:p>
    <w:p w14:paraId="27AD42E9" w14:textId="77777777" w:rsidR="00E6345C" w:rsidRPr="00213A5D" w:rsidRDefault="00E6345C" w:rsidP="00AE7B1D">
      <w:pPr>
        <w:widowControl w:val="0"/>
        <w:ind w:left="0" w:right="0"/>
        <w:rPr>
          <w:bCs/>
          <w:sz w:val="24"/>
          <w:szCs w:val="24"/>
        </w:rPr>
      </w:pPr>
      <w:r w:rsidRPr="00213A5D">
        <w:rPr>
          <w:bCs/>
          <w:sz w:val="24"/>
          <w:szCs w:val="24"/>
        </w:rPr>
        <w:t>По сравнению</w:t>
      </w:r>
      <w:r w:rsidRPr="00213A5D">
        <w:rPr>
          <w:b/>
          <w:bCs/>
          <w:sz w:val="24"/>
          <w:szCs w:val="24"/>
        </w:rPr>
        <w:t xml:space="preserve"> с 2021 годом</w:t>
      </w:r>
      <w:r w:rsidRPr="00213A5D">
        <w:rPr>
          <w:bCs/>
          <w:sz w:val="24"/>
          <w:szCs w:val="24"/>
        </w:rPr>
        <w:t xml:space="preserve"> объем изменений, внесенных </w:t>
      </w:r>
      <w:r w:rsidRPr="00213A5D">
        <w:rPr>
          <w:b/>
          <w:bCs/>
          <w:sz w:val="24"/>
          <w:szCs w:val="24"/>
        </w:rPr>
        <w:t xml:space="preserve">в сводную роспись </w:t>
      </w:r>
      <w:r w:rsidRPr="00213A5D">
        <w:rPr>
          <w:b/>
          <w:bCs/>
          <w:sz w:val="24"/>
          <w:szCs w:val="24"/>
        </w:rPr>
        <w:br/>
        <w:t>на 2022 год</w:t>
      </w:r>
      <w:r w:rsidRPr="00213A5D">
        <w:rPr>
          <w:bCs/>
          <w:sz w:val="24"/>
          <w:szCs w:val="24"/>
        </w:rPr>
        <w:t xml:space="preserve">, предусматривающих увеличение бюджетных ассигнований на исполнение заключенных государственных контрактов, подлежавших оплате в отчетном  финансовом году, </w:t>
      </w:r>
      <w:r w:rsidRPr="00213A5D">
        <w:rPr>
          <w:b/>
          <w:bCs/>
          <w:sz w:val="24"/>
          <w:szCs w:val="24"/>
        </w:rPr>
        <w:t>увеличился</w:t>
      </w:r>
      <w:r w:rsidRPr="00213A5D">
        <w:rPr>
          <w:bCs/>
          <w:sz w:val="24"/>
          <w:szCs w:val="24"/>
        </w:rPr>
        <w:t xml:space="preserve"> на 12,3 млрд. рублей, или на 7,5 %, на предоставление субсидий юридическим лицам «под потребность» </w:t>
      </w:r>
      <w:r w:rsidRPr="00213A5D">
        <w:rPr>
          <w:rFonts w:eastAsia="Times New Roman"/>
          <w:sz w:val="24"/>
          <w:szCs w:val="24"/>
        </w:rPr>
        <w:t xml:space="preserve">– на 1,2 </w:t>
      </w:r>
      <w:r w:rsidRPr="00213A5D">
        <w:rPr>
          <w:bCs/>
          <w:sz w:val="24"/>
          <w:szCs w:val="24"/>
        </w:rPr>
        <w:t xml:space="preserve">млрд. рублей, или на 1,2 %, </w:t>
      </w:r>
      <w:r w:rsidR="00086506" w:rsidRPr="00213A5D">
        <w:rPr>
          <w:bCs/>
          <w:sz w:val="24"/>
          <w:szCs w:val="24"/>
        </w:rPr>
        <w:br/>
      </w:r>
      <w:r w:rsidRPr="00213A5D">
        <w:rPr>
          <w:bCs/>
          <w:sz w:val="24"/>
          <w:szCs w:val="24"/>
        </w:rPr>
        <w:t>на предоставление межбюджетных трансфертов «под потребность» – на 11,1 млрд. рублей, или на 27,9 %; на исполнение</w:t>
      </w:r>
      <w:r w:rsidRPr="00213A5D">
        <w:rPr>
          <w:b/>
          <w:bCs/>
          <w:sz w:val="24"/>
          <w:szCs w:val="24"/>
        </w:rPr>
        <w:t xml:space="preserve"> </w:t>
      </w:r>
      <w:r w:rsidRPr="00213A5D">
        <w:rPr>
          <w:bCs/>
          <w:sz w:val="24"/>
          <w:szCs w:val="24"/>
        </w:rPr>
        <w:t xml:space="preserve">государственных контрактов, расчеты по которым в отчетном финансовом году осуществлялись с применением казначейского обеспечения обязательств, </w:t>
      </w:r>
      <w:r w:rsidRPr="00213A5D">
        <w:rPr>
          <w:b/>
          <w:bCs/>
          <w:sz w:val="24"/>
          <w:szCs w:val="24"/>
        </w:rPr>
        <w:t xml:space="preserve">уменьшился </w:t>
      </w:r>
      <w:r w:rsidRPr="00213A5D">
        <w:rPr>
          <w:bCs/>
          <w:sz w:val="24"/>
          <w:szCs w:val="24"/>
        </w:rPr>
        <w:t>на 18,6 млрд. рублей, или на 44,5 %.</w:t>
      </w:r>
    </w:p>
    <w:p w14:paraId="3CECB0D9" w14:textId="77777777" w:rsidR="00E6345C" w:rsidRPr="00213A5D" w:rsidRDefault="00E6345C" w:rsidP="00AE7B1D">
      <w:pPr>
        <w:widowControl w:val="0"/>
        <w:ind w:left="0" w:right="-2"/>
        <w:rPr>
          <w:bCs/>
          <w:sz w:val="24"/>
          <w:szCs w:val="24"/>
        </w:rPr>
      </w:pPr>
      <w:r w:rsidRPr="00213A5D">
        <w:rPr>
          <w:bCs/>
          <w:sz w:val="24"/>
          <w:szCs w:val="24"/>
        </w:rPr>
        <w:t xml:space="preserve">При этом Счетная палата обращает внимание </w:t>
      </w:r>
      <w:r w:rsidRPr="00213A5D">
        <w:rPr>
          <w:b/>
          <w:bCs/>
          <w:sz w:val="24"/>
          <w:szCs w:val="24"/>
        </w:rPr>
        <w:t>на незначительное увеличение</w:t>
      </w:r>
      <w:r w:rsidRPr="00213A5D">
        <w:rPr>
          <w:bCs/>
          <w:sz w:val="24"/>
          <w:szCs w:val="24"/>
        </w:rPr>
        <w:t xml:space="preserve"> </w:t>
      </w:r>
      <w:r w:rsidRPr="00213A5D">
        <w:rPr>
          <w:b/>
          <w:bCs/>
          <w:sz w:val="24"/>
          <w:szCs w:val="24"/>
        </w:rPr>
        <w:t>общего объема</w:t>
      </w:r>
      <w:r w:rsidRPr="00213A5D">
        <w:rPr>
          <w:bCs/>
          <w:sz w:val="24"/>
          <w:szCs w:val="24"/>
        </w:rPr>
        <w:t xml:space="preserve"> изменений, внесенных в сводную роспись, предусматривающих </w:t>
      </w:r>
      <w:r w:rsidRPr="00213A5D">
        <w:rPr>
          <w:b/>
          <w:bCs/>
          <w:sz w:val="24"/>
          <w:szCs w:val="24"/>
        </w:rPr>
        <w:t>увеличение бюджетных ассигнований текущего финансового года</w:t>
      </w:r>
      <w:r w:rsidRPr="00213A5D">
        <w:rPr>
          <w:bCs/>
          <w:sz w:val="24"/>
          <w:szCs w:val="24"/>
        </w:rPr>
        <w:t xml:space="preserve"> на исполнение заключенных государственных контрактов, подлежавших оплате в отчетном финансовом году, на предоставление субсидий юридическим лицам и межбюджетных трансфертов «под потребность» </w:t>
      </w:r>
      <w:r w:rsidRPr="00213A5D">
        <w:rPr>
          <w:b/>
          <w:bCs/>
          <w:sz w:val="24"/>
          <w:szCs w:val="24"/>
        </w:rPr>
        <w:t>в размере, не превышающем остатка не использованных</w:t>
      </w:r>
      <w:r w:rsidRPr="00213A5D">
        <w:rPr>
          <w:bCs/>
          <w:sz w:val="24"/>
          <w:szCs w:val="24"/>
        </w:rPr>
        <w:t xml:space="preserve"> на начало текущего финансового года </w:t>
      </w:r>
      <w:r w:rsidRPr="00213A5D">
        <w:rPr>
          <w:b/>
          <w:bCs/>
          <w:sz w:val="24"/>
          <w:szCs w:val="24"/>
        </w:rPr>
        <w:t xml:space="preserve">бюджетных ассигнований </w:t>
      </w:r>
      <w:r w:rsidRPr="00213A5D">
        <w:rPr>
          <w:bCs/>
          <w:sz w:val="24"/>
          <w:szCs w:val="24"/>
        </w:rPr>
        <w:t>на указанные цели.</w:t>
      </w:r>
    </w:p>
    <w:p w14:paraId="5F494441" w14:textId="77777777" w:rsidR="00E6345C" w:rsidRPr="00213A5D" w:rsidRDefault="00E6345C" w:rsidP="00AE7B1D">
      <w:pPr>
        <w:widowControl w:val="0"/>
        <w:ind w:left="0" w:right="0"/>
        <w:rPr>
          <w:bCs/>
          <w:sz w:val="24"/>
          <w:szCs w:val="24"/>
        </w:rPr>
      </w:pPr>
      <w:r w:rsidRPr="00213A5D">
        <w:rPr>
          <w:b/>
          <w:bCs/>
          <w:sz w:val="24"/>
          <w:szCs w:val="24"/>
        </w:rPr>
        <w:t>4.7.</w:t>
      </w:r>
      <w:r w:rsidRPr="00213A5D">
        <w:rPr>
          <w:bCs/>
          <w:sz w:val="24"/>
          <w:szCs w:val="24"/>
        </w:rPr>
        <w:t xml:space="preserve"> В соответствии с пунктами 6 и 7 Положения о мерах по обеспечению исполнения федерального бюджета </w:t>
      </w:r>
      <w:r w:rsidRPr="00213A5D">
        <w:rPr>
          <w:rFonts w:eastAsia="Times New Roman"/>
          <w:bCs/>
          <w:iCs/>
          <w:sz w:val="24"/>
          <w:szCs w:val="24"/>
        </w:rPr>
        <w:t xml:space="preserve">(постановление Правительства Российской Федерации от 9 декабря </w:t>
      </w:r>
      <w:r w:rsidRPr="00213A5D">
        <w:rPr>
          <w:bCs/>
          <w:sz w:val="24"/>
          <w:szCs w:val="24"/>
        </w:rPr>
        <w:t xml:space="preserve">2017 г. № 1496 (с изменениями) получатели средств федерального бюджета </w:t>
      </w:r>
      <w:r w:rsidRPr="00213A5D">
        <w:rPr>
          <w:b/>
          <w:bCs/>
          <w:sz w:val="24"/>
          <w:szCs w:val="24"/>
        </w:rPr>
        <w:t>не позднее 1 октября 2022 года обеспечивают завершение расчетов по государственным контрактам, подлежавшим в соответствии с условиями этих государственных контрактов оплате в 2021 году</w:t>
      </w:r>
      <w:r w:rsidRPr="00213A5D">
        <w:rPr>
          <w:bCs/>
          <w:sz w:val="24"/>
          <w:szCs w:val="24"/>
        </w:rPr>
        <w:t xml:space="preserve"> за счет доведенных до них в установленном порядке ЛБО на указанные цели в объеме бюджетных ассигнований, увеличенных в соответствии с абзацем вторым пункта 4 указанного Положения, за исключением государственных контрактов, </w:t>
      </w:r>
      <w:r w:rsidRPr="00213A5D">
        <w:rPr>
          <w:bCs/>
          <w:sz w:val="24"/>
          <w:szCs w:val="24"/>
        </w:rPr>
        <w:lastRenderedPageBreak/>
        <w:t xml:space="preserve">заключенных в 2022 году в связи с расторжением ранее заключенных государственных контрактов на поставку товаров, выполнение работ, оказание услуг по соглашению сторон, решению суда или из-за одностороннего отказа стороны такого государственного контракта от его исполнения в соответствии с </w:t>
      </w:r>
      <w:hyperlink r:id="rId35" w:history="1">
        <w:r w:rsidRPr="00213A5D">
          <w:rPr>
            <w:bCs/>
            <w:sz w:val="24"/>
            <w:szCs w:val="24"/>
          </w:rPr>
          <w:t>гражданским законодательством</w:t>
        </w:r>
      </w:hyperlink>
      <w:r w:rsidRPr="00213A5D">
        <w:rPr>
          <w:bCs/>
          <w:sz w:val="24"/>
          <w:szCs w:val="24"/>
        </w:rPr>
        <w:t xml:space="preserve"> Российской Федерации, в том числе в связи с введением процедур, применяемых в деле о несостоятельности (банкротстве) поставщика (подрядчика, исполнителя).</w:t>
      </w:r>
    </w:p>
    <w:p w14:paraId="18CC6023" w14:textId="77777777" w:rsidR="00E6345C" w:rsidRPr="00213A5D" w:rsidRDefault="00E6345C" w:rsidP="00AE7B1D">
      <w:pPr>
        <w:widowControl w:val="0"/>
        <w:ind w:left="0" w:right="0"/>
        <w:rPr>
          <w:bCs/>
          <w:iCs/>
          <w:sz w:val="24"/>
          <w:szCs w:val="24"/>
        </w:rPr>
      </w:pPr>
      <w:r w:rsidRPr="00213A5D">
        <w:rPr>
          <w:bCs/>
          <w:iCs/>
          <w:sz w:val="24"/>
          <w:szCs w:val="24"/>
        </w:rPr>
        <w:t xml:space="preserve">Отдельные главные распорядители </w:t>
      </w:r>
      <w:r w:rsidRPr="00213A5D">
        <w:rPr>
          <w:b/>
          <w:bCs/>
          <w:iCs/>
          <w:sz w:val="24"/>
          <w:szCs w:val="24"/>
        </w:rPr>
        <w:t>не обеспечили завершение расчетов</w:t>
      </w:r>
      <w:r w:rsidRPr="00213A5D">
        <w:rPr>
          <w:bCs/>
          <w:iCs/>
          <w:sz w:val="24"/>
          <w:szCs w:val="24"/>
        </w:rPr>
        <w:t xml:space="preserve"> </w:t>
      </w:r>
      <w:r w:rsidR="00086506" w:rsidRPr="00213A5D">
        <w:rPr>
          <w:bCs/>
          <w:iCs/>
          <w:sz w:val="24"/>
          <w:szCs w:val="24"/>
        </w:rPr>
        <w:br/>
      </w:r>
      <w:r w:rsidRPr="00213A5D">
        <w:rPr>
          <w:bCs/>
          <w:iCs/>
          <w:sz w:val="24"/>
          <w:szCs w:val="24"/>
        </w:rPr>
        <w:t xml:space="preserve">по государственным контрактам на поставку товаров, выполнение работ, оказание </w:t>
      </w:r>
      <w:r w:rsidR="00974C02" w:rsidRPr="00213A5D">
        <w:rPr>
          <w:bCs/>
          <w:iCs/>
          <w:sz w:val="24"/>
          <w:szCs w:val="24"/>
        </w:rPr>
        <w:br/>
      </w:r>
      <w:r w:rsidRPr="00213A5D">
        <w:rPr>
          <w:bCs/>
          <w:iCs/>
          <w:sz w:val="24"/>
          <w:szCs w:val="24"/>
        </w:rPr>
        <w:t xml:space="preserve">услуг, подлежавших оплате в 2021 году, </w:t>
      </w:r>
      <w:r w:rsidRPr="00213A5D">
        <w:rPr>
          <w:b/>
          <w:bCs/>
          <w:iCs/>
          <w:sz w:val="24"/>
          <w:szCs w:val="24"/>
        </w:rPr>
        <w:t xml:space="preserve">в установленный срок </w:t>
      </w:r>
      <w:r w:rsidRPr="00213A5D">
        <w:rPr>
          <w:bCs/>
          <w:iCs/>
          <w:sz w:val="24"/>
          <w:szCs w:val="24"/>
        </w:rPr>
        <w:t xml:space="preserve">(не позднее 1 октября </w:t>
      </w:r>
      <w:r w:rsidR="00974C02" w:rsidRPr="00213A5D">
        <w:rPr>
          <w:bCs/>
          <w:iCs/>
          <w:sz w:val="24"/>
          <w:szCs w:val="24"/>
        </w:rPr>
        <w:br/>
      </w:r>
      <w:r w:rsidRPr="00213A5D">
        <w:rPr>
          <w:bCs/>
          <w:iCs/>
          <w:sz w:val="24"/>
          <w:szCs w:val="24"/>
        </w:rPr>
        <w:t>2022 года).</w:t>
      </w:r>
    </w:p>
    <w:p w14:paraId="7390CF1E" w14:textId="77777777" w:rsidR="00E6345C" w:rsidRPr="00213A5D" w:rsidRDefault="00E6345C" w:rsidP="00AE7B1D">
      <w:pPr>
        <w:widowControl w:val="0"/>
        <w:ind w:left="0" w:right="0"/>
        <w:rPr>
          <w:rFonts w:eastAsia="Times New Roman"/>
          <w:color w:val="0C0E0D"/>
          <w:sz w:val="24"/>
          <w:szCs w:val="24"/>
        </w:rPr>
      </w:pPr>
      <w:r w:rsidRPr="00213A5D">
        <w:rPr>
          <w:bCs/>
          <w:iCs/>
          <w:sz w:val="24"/>
          <w:szCs w:val="24"/>
        </w:rPr>
        <w:t xml:space="preserve">Так, </w:t>
      </w:r>
      <w:r w:rsidRPr="00213A5D">
        <w:rPr>
          <w:rFonts w:eastAsia="Times New Roman"/>
          <w:bCs/>
          <w:sz w:val="24"/>
          <w:szCs w:val="24"/>
        </w:rPr>
        <w:t>Роспатент, Росстат, Минтранс России, Росархив, Минобрнауки России, Минспорт России,</w:t>
      </w:r>
      <w:r w:rsidRPr="00213A5D">
        <w:rPr>
          <w:bCs/>
          <w:iCs/>
          <w:sz w:val="24"/>
          <w:szCs w:val="24"/>
        </w:rPr>
        <w:t xml:space="preserve"> </w:t>
      </w:r>
      <w:r w:rsidRPr="00213A5D">
        <w:rPr>
          <w:rFonts w:eastAsia="Times New Roman"/>
          <w:sz w:val="24"/>
          <w:szCs w:val="24"/>
        </w:rPr>
        <w:t xml:space="preserve">Росавиация, Минпромторг России, Росрыболовство, Минсельхоз России </w:t>
      </w:r>
      <w:r w:rsidRPr="00213A5D">
        <w:rPr>
          <w:bCs/>
          <w:iCs/>
          <w:sz w:val="24"/>
          <w:szCs w:val="24"/>
        </w:rPr>
        <w:t xml:space="preserve">и другие главные распорядители </w:t>
      </w:r>
      <w:r w:rsidRPr="00213A5D">
        <w:rPr>
          <w:b/>
          <w:bCs/>
          <w:iCs/>
          <w:sz w:val="24"/>
          <w:szCs w:val="24"/>
        </w:rPr>
        <w:t>не обеспечили завершение расчетов</w:t>
      </w:r>
      <w:r w:rsidRPr="00213A5D">
        <w:rPr>
          <w:bCs/>
          <w:iCs/>
          <w:sz w:val="24"/>
          <w:szCs w:val="24"/>
        </w:rPr>
        <w:t xml:space="preserve"> по неисполненным обязательствам 2021 года </w:t>
      </w:r>
      <w:r w:rsidRPr="00213A5D">
        <w:rPr>
          <w:b/>
          <w:bCs/>
          <w:iCs/>
          <w:sz w:val="24"/>
          <w:szCs w:val="24"/>
        </w:rPr>
        <w:t>по отдельным государственным контрактам</w:t>
      </w:r>
      <w:r w:rsidRPr="00213A5D">
        <w:rPr>
          <w:bCs/>
          <w:iCs/>
          <w:sz w:val="24"/>
          <w:szCs w:val="24"/>
        </w:rPr>
        <w:t xml:space="preserve"> в установленный срок либо осуществили расчеты на крайне низком уровне (от 0,2 % до 29,5 %). </w:t>
      </w:r>
    </w:p>
    <w:p w14:paraId="156698C7" w14:textId="77777777" w:rsidR="00E6345C" w:rsidRPr="00213A5D" w:rsidRDefault="00E6345C" w:rsidP="00AE7B1D">
      <w:pPr>
        <w:widowControl w:val="0"/>
        <w:ind w:left="0" w:right="0"/>
        <w:rPr>
          <w:bCs/>
          <w:iCs/>
          <w:sz w:val="24"/>
          <w:szCs w:val="24"/>
        </w:rPr>
      </w:pPr>
      <w:r w:rsidRPr="00213A5D">
        <w:rPr>
          <w:bCs/>
          <w:sz w:val="24"/>
          <w:szCs w:val="24"/>
        </w:rPr>
        <w:t xml:space="preserve">Информация об исполнении в 2022 году расходов на завершение расчетов </w:t>
      </w:r>
      <w:r w:rsidR="00D8749A" w:rsidRPr="00213A5D">
        <w:rPr>
          <w:bCs/>
          <w:sz w:val="24"/>
          <w:szCs w:val="24"/>
        </w:rPr>
        <w:br/>
      </w:r>
      <w:r w:rsidRPr="00213A5D">
        <w:rPr>
          <w:bCs/>
          <w:sz w:val="24"/>
          <w:szCs w:val="24"/>
        </w:rPr>
        <w:t xml:space="preserve">по неисполненным обязательствам 2021 года по отдельным </w:t>
      </w:r>
      <w:r w:rsidRPr="00213A5D">
        <w:rPr>
          <w:bCs/>
          <w:iCs/>
          <w:sz w:val="24"/>
          <w:szCs w:val="24"/>
        </w:rPr>
        <w:t xml:space="preserve">государственным контрактам </w:t>
      </w:r>
      <w:r w:rsidR="00D8749A" w:rsidRPr="00213A5D">
        <w:rPr>
          <w:bCs/>
          <w:iCs/>
          <w:sz w:val="24"/>
          <w:szCs w:val="24"/>
        </w:rPr>
        <w:br/>
      </w:r>
      <w:r w:rsidRPr="00213A5D">
        <w:rPr>
          <w:bCs/>
          <w:iCs/>
          <w:sz w:val="24"/>
          <w:szCs w:val="24"/>
        </w:rPr>
        <w:t>по ряду главных распорядителей представлена в приложении № </w:t>
      </w:r>
      <w:r w:rsidR="00C314F3" w:rsidRPr="00213A5D">
        <w:rPr>
          <w:bCs/>
          <w:iCs/>
          <w:sz w:val="24"/>
          <w:szCs w:val="24"/>
        </w:rPr>
        <w:t>1</w:t>
      </w:r>
      <w:r w:rsidRPr="00213A5D">
        <w:rPr>
          <w:bCs/>
          <w:iCs/>
          <w:sz w:val="24"/>
          <w:szCs w:val="24"/>
        </w:rPr>
        <w:t xml:space="preserve"> к аналитической </w:t>
      </w:r>
      <w:r w:rsidR="00D8749A" w:rsidRPr="00213A5D">
        <w:rPr>
          <w:bCs/>
          <w:iCs/>
          <w:sz w:val="24"/>
          <w:szCs w:val="24"/>
        </w:rPr>
        <w:br/>
      </w:r>
      <w:r w:rsidRPr="00213A5D">
        <w:rPr>
          <w:bCs/>
          <w:iCs/>
          <w:sz w:val="24"/>
          <w:szCs w:val="24"/>
        </w:rPr>
        <w:t>записке.</w:t>
      </w:r>
    </w:p>
    <w:p w14:paraId="1BFFCCE8" w14:textId="77777777" w:rsidR="00E6345C" w:rsidRPr="00213A5D" w:rsidRDefault="00E6345C" w:rsidP="00AE7B1D">
      <w:pPr>
        <w:widowControl w:val="0"/>
        <w:ind w:left="0" w:right="0"/>
        <w:rPr>
          <w:rFonts w:eastAsia="Times New Roman"/>
          <w:bCs/>
          <w:iCs/>
          <w:sz w:val="24"/>
          <w:szCs w:val="24"/>
        </w:rPr>
      </w:pPr>
      <w:r w:rsidRPr="00213A5D">
        <w:rPr>
          <w:bCs/>
          <w:sz w:val="24"/>
          <w:szCs w:val="24"/>
        </w:rPr>
        <w:t xml:space="preserve">Пунктом 9 </w:t>
      </w:r>
      <w:r w:rsidRPr="00213A5D">
        <w:rPr>
          <w:rFonts w:eastAsia="Times New Roman"/>
          <w:bCs/>
          <w:iCs/>
          <w:sz w:val="24"/>
          <w:szCs w:val="24"/>
        </w:rPr>
        <w:t xml:space="preserve">Положения о мерах по обеспечению исполнения федерального бюджета установлено, что </w:t>
      </w:r>
      <w:r w:rsidRPr="00213A5D">
        <w:rPr>
          <w:rFonts w:eastAsia="Times New Roman"/>
          <w:b/>
          <w:bCs/>
          <w:iCs/>
          <w:sz w:val="24"/>
          <w:szCs w:val="24"/>
        </w:rPr>
        <w:t>Федеральное казначейство</w:t>
      </w:r>
      <w:r w:rsidRPr="00213A5D">
        <w:rPr>
          <w:rFonts w:eastAsia="Times New Roman"/>
          <w:bCs/>
          <w:iCs/>
          <w:sz w:val="24"/>
          <w:szCs w:val="24"/>
        </w:rPr>
        <w:t xml:space="preserve"> обеспечивает </w:t>
      </w:r>
      <w:r w:rsidRPr="00213A5D">
        <w:rPr>
          <w:rFonts w:eastAsia="Times New Roman"/>
          <w:b/>
          <w:bCs/>
          <w:iCs/>
          <w:sz w:val="24"/>
          <w:szCs w:val="24"/>
        </w:rPr>
        <w:t>не позднее 10 октября 2022 года отзыв на лицевые счета главного распорядителя</w:t>
      </w:r>
      <w:r w:rsidRPr="00213A5D">
        <w:rPr>
          <w:rFonts w:eastAsia="Times New Roman"/>
          <w:bCs/>
          <w:iCs/>
          <w:sz w:val="24"/>
          <w:szCs w:val="24"/>
        </w:rPr>
        <w:t xml:space="preserve"> (распорядителя) бюджетных средств </w:t>
      </w:r>
      <w:r w:rsidRPr="00213A5D">
        <w:rPr>
          <w:rFonts w:eastAsia="Times New Roman"/>
          <w:b/>
          <w:bCs/>
          <w:iCs/>
          <w:sz w:val="24"/>
          <w:szCs w:val="24"/>
        </w:rPr>
        <w:t>ЛБО</w:t>
      </w:r>
      <w:r w:rsidRPr="00213A5D">
        <w:rPr>
          <w:rFonts w:eastAsia="Times New Roman"/>
          <w:bCs/>
          <w:iCs/>
          <w:sz w:val="24"/>
          <w:szCs w:val="24"/>
        </w:rPr>
        <w:t xml:space="preserve">, осуществление операций по которым приостановлено в соответствии </w:t>
      </w:r>
      <w:r w:rsidR="00086506" w:rsidRPr="00213A5D">
        <w:rPr>
          <w:rFonts w:eastAsia="Times New Roman"/>
          <w:bCs/>
          <w:iCs/>
          <w:sz w:val="24"/>
          <w:szCs w:val="24"/>
        </w:rPr>
        <w:br/>
      </w:r>
      <w:r w:rsidRPr="00213A5D">
        <w:rPr>
          <w:rFonts w:eastAsia="Times New Roman"/>
          <w:bCs/>
          <w:iCs/>
          <w:sz w:val="24"/>
          <w:szCs w:val="24"/>
        </w:rPr>
        <w:t xml:space="preserve">с абзацем вторым указанного пункта (не позднее 2 октября 2022 года </w:t>
      </w:r>
      <w:r w:rsidR="00974C02" w:rsidRPr="00213A5D">
        <w:rPr>
          <w:rFonts w:eastAsia="Times New Roman"/>
          <w:bCs/>
          <w:iCs/>
          <w:sz w:val="24"/>
          <w:szCs w:val="24"/>
        </w:rPr>
        <w:br/>
      </w:r>
      <w:r w:rsidRPr="00213A5D">
        <w:rPr>
          <w:rFonts w:eastAsia="Times New Roman"/>
          <w:bCs/>
          <w:iCs/>
          <w:sz w:val="24"/>
          <w:szCs w:val="24"/>
        </w:rPr>
        <w:t xml:space="preserve">Федеральное казначейство обеспечивает приостановление осуществления операций по санкционированию оплаты денежных обязательств получателя бюджетных средств </w:t>
      </w:r>
      <w:r w:rsidR="00974C02" w:rsidRPr="00213A5D">
        <w:rPr>
          <w:rFonts w:eastAsia="Times New Roman"/>
          <w:bCs/>
          <w:iCs/>
          <w:sz w:val="24"/>
          <w:szCs w:val="24"/>
        </w:rPr>
        <w:br/>
      </w:r>
      <w:r w:rsidRPr="00213A5D">
        <w:rPr>
          <w:rFonts w:eastAsia="Times New Roman"/>
          <w:bCs/>
          <w:iCs/>
          <w:sz w:val="24"/>
          <w:szCs w:val="24"/>
        </w:rPr>
        <w:t xml:space="preserve">за счет ЛБО на завершение расчетов по государственным контрактам, подлежавшим оплате в 2021 году, а также осуществление операций по доведению (отзыву) главными распорядителями (распорядителями) средств федерального бюджета указанных ЛБО), </w:t>
      </w:r>
      <w:r w:rsidR="00974C02" w:rsidRPr="00213A5D">
        <w:rPr>
          <w:rFonts w:eastAsia="Times New Roman"/>
          <w:bCs/>
          <w:iCs/>
          <w:sz w:val="24"/>
          <w:szCs w:val="24"/>
        </w:rPr>
        <w:br/>
      </w:r>
      <w:r w:rsidRPr="00213A5D">
        <w:rPr>
          <w:rFonts w:eastAsia="Times New Roman"/>
          <w:bCs/>
          <w:iCs/>
          <w:sz w:val="24"/>
          <w:szCs w:val="24"/>
        </w:rPr>
        <w:t xml:space="preserve">за исключением ЛБО в отношении государственных контрактов, заключенных в 2022 году </w:t>
      </w:r>
      <w:r w:rsidR="00974C02" w:rsidRPr="00213A5D">
        <w:rPr>
          <w:rFonts w:eastAsia="Times New Roman"/>
          <w:bCs/>
          <w:iCs/>
          <w:sz w:val="24"/>
          <w:szCs w:val="24"/>
        </w:rPr>
        <w:br/>
      </w:r>
      <w:r w:rsidRPr="00213A5D">
        <w:rPr>
          <w:rFonts w:eastAsia="Times New Roman"/>
          <w:bCs/>
          <w:iCs/>
          <w:sz w:val="24"/>
          <w:szCs w:val="24"/>
        </w:rPr>
        <w:t>в связи с расторжением ранее заключенных государственных контрактов (пункт 7 Положения).</w:t>
      </w:r>
    </w:p>
    <w:p w14:paraId="3F64A61D" w14:textId="77777777" w:rsidR="00E6345C" w:rsidRPr="00213A5D" w:rsidRDefault="00E6345C" w:rsidP="00AE7B1D">
      <w:pPr>
        <w:widowControl w:val="0"/>
        <w:ind w:left="0" w:right="0"/>
        <w:rPr>
          <w:rFonts w:eastAsia="Times New Roman"/>
          <w:bCs/>
          <w:sz w:val="24"/>
          <w:szCs w:val="24"/>
        </w:rPr>
      </w:pPr>
      <w:r w:rsidRPr="00213A5D">
        <w:rPr>
          <w:rFonts w:eastAsia="Times New Roman"/>
          <w:bCs/>
          <w:sz w:val="24"/>
          <w:szCs w:val="24"/>
        </w:rPr>
        <w:t xml:space="preserve">Анализ информации об объеме отозванных дополнительных ЛБО для завершения расчетов по неисполненным обязательствам 2021 года по государственным контрактам </w:t>
      </w:r>
      <w:r w:rsidR="00086506" w:rsidRPr="00213A5D">
        <w:rPr>
          <w:rFonts w:eastAsia="Times New Roman"/>
          <w:bCs/>
          <w:sz w:val="24"/>
          <w:szCs w:val="24"/>
        </w:rPr>
        <w:br/>
      </w:r>
      <w:r w:rsidRPr="00213A5D">
        <w:rPr>
          <w:rFonts w:eastAsia="Times New Roman"/>
          <w:bCs/>
          <w:sz w:val="24"/>
          <w:szCs w:val="24"/>
        </w:rPr>
        <w:t xml:space="preserve">в соответствии с пунктом 9 Положения о мерах по обеспечению исполнения федерального </w:t>
      </w:r>
      <w:r w:rsidRPr="00213A5D">
        <w:rPr>
          <w:rFonts w:eastAsia="Times New Roman"/>
          <w:bCs/>
          <w:sz w:val="24"/>
          <w:szCs w:val="24"/>
        </w:rPr>
        <w:lastRenderedPageBreak/>
        <w:t xml:space="preserve">бюджета, полученной Счетной палатой по запросу о предоставлении информации </w:t>
      </w:r>
      <w:r w:rsidR="00086506" w:rsidRPr="00213A5D">
        <w:rPr>
          <w:rFonts w:eastAsia="Times New Roman"/>
          <w:bCs/>
          <w:sz w:val="24"/>
          <w:szCs w:val="24"/>
        </w:rPr>
        <w:br/>
      </w:r>
      <w:r w:rsidRPr="00213A5D">
        <w:rPr>
          <w:rFonts w:eastAsia="Times New Roman"/>
          <w:bCs/>
          <w:sz w:val="24"/>
          <w:szCs w:val="24"/>
        </w:rPr>
        <w:t>от Федерального казначейства, показал следующее.</w:t>
      </w:r>
    </w:p>
    <w:p w14:paraId="13458B77" w14:textId="77777777" w:rsidR="00E6345C" w:rsidRPr="00213A5D" w:rsidRDefault="00E6345C" w:rsidP="00AE7B1D">
      <w:pPr>
        <w:widowControl w:val="0"/>
        <w:ind w:left="0" w:right="0"/>
        <w:rPr>
          <w:rFonts w:eastAsia="Times New Roman"/>
          <w:bCs/>
          <w:sz w:val="24"/>
          <w:szCs w:val="24"/>
        </w:rPr>
      </w:pPr>
      <w:r w:rsidRPr="00213A5D">
        <w:rPr>
          <w:rFonts w:eastAsia="Times New Roman"/>
          <w:sz w:val="24"/>
          <w:szCs w:val="24"/>
        </w:rPr>
        <w:t xml:space="preserve">Общий </w:t>
      </w:r>
      <w:r w:rsidRPr="00213A5D">
        <w:rPr>
          <w:rFonts w:eastAsia="Times New Roman"/>
          <w:b/>
          <w:sz w:val="24"/>
          <w:szCs w:val="24"/>
        </w:rPr>
        <w:t xml:space="preserve">объем отозванных </w:t>
      </w:r>
      <w:r w:rsidRPr="00213A5D">
        <w:rPr>
          <w:rFonts w:eastAsia="Times New Roman"/>
          <w:b/>
          <w:bCs/>
          <w:sz w:val="24"/>
          <w:szCs w:val="24"/>
        </w:rPr>
        <w:t>дополнительных ЛБО составил 15,8 млрд. рублей</w:t>
      </w:r>
      <w:r w:rsidRPr="00213A5D">
        <w:rPr>
          <w:rFonts w:eastAsia="Times New Roman"/>
          <w:bCs/>
          <w:sz w:val="24"/>
          <w:szCs w:val="24"/>
        </w:rPr>
        <w:t xml:space="preserve">, или </w:t>
      </w:r>
      <w:r w:rsidRPr="00213A5D">
        <w:rPr>
          <w:rFonts w:eastAsia="Times New Roman"/>
          <w:b/>
          <w:bCs/>
          <w:sz w:val="24"/>
          <w:szCs w:val="24"/>
        </w:rPr>
        <w:t>19,4 % объема дополнительных ЛБО для завершения расчетов</w:t>
      </w:r>
      <w:r w:rsidRPr="00213A5D">
        <w:rPr>
          <w:rFonts w:eastAsia="Times New Roman"/>
          <w:bCs/>
          <w:sz w:val="24"/>
          <w:szCs w:val="24"/>
        </w:rPr>
        <w:t xml:space="preserve"> по неисполненным обязательствам 2021 года по государственным контрактам.</w:t>
      </w:r>
    </w:p>
    <w:p w14:paraId="6E042167" w14:textId="77777777" w:rsidR="00E6345C" w:rsidRPr="00213A5D" w:rsidRDefault="00E6345C" w:rsidP="00AE7B1D">
      <w:pPr>
        <w:widowControl w:val="0"/>
        <w:ind w:left="0" w:right="0"/>
        <w:rPr>
          <w:rFonts w:eastAsia="Times New Roman"/>
          <w:bCs/>
          <w:sz w:val="24"/>
          <w:szCs w:val="24"/>
        </w:rPr>
      </w:pPr>
      <w:r w:rsidRPr="00213A5D">
        <w:rPr>
          <w:sz w:val="24"/>
          <w:szCs w:val="24"/>
        </w:rPr>
        <w:t xml:space="preserve">По сравнению с 2021 годом объем </w:t>
      </w:r>
      <w:r w:rsidRPr="00213A5D">
        <w:rPr>
          <w:rFonts w:eastAsia="Times New Roman"/>
          <w:sz w:val="24"/>
          <w:szCs w:val="24"/>
        </w:rPr>
        <w:t xml:space="preserve">отозванных </w:t>
      </w:r>
      <w:r w:rsidRPr="00213A5D">
        <w:rPr>
          <w:rFonts w:eastAsia="Times New Roman"/>
          <w:bCs/>
          <w:sz w:val="24"/>
          <w:szCs w:val="24"/>
        </w:rPr>
        <w:t>дополнительных ЛБО</w:t>
      </w:r>
      <w:r w:rsidRPr="00213A5D">
        <w:rPr>
          <w:rFonts w:eastAsia="Times New Roman"/>
          <w:b/>
          <w:bCs/>
          <w:sz w:val="24"/>
          <w:szCs w:val="24"/>
        </w:rPr>
        <w:t xml:space="preserve"> </w:t>
      </w:r>
      <w:r w:rsidRPr="00213A5D">
        <w:rPr>
          <w:sz w:val="24"/>
          <w:szCs w:val="24"/>
        </w:rPr>
        <w:t xml:space="preserve">увеличился </w:t>
      </w:r>
      <w:r w:rsidRPr="00213A5D">
        <w:rPr>
          <w:sz w:val="24"/>
          <w:szCs w:val="24"/>
        </w:rPr>
        <w:br/>
        <w:t>на 6,5 млрд. рублей, или в 1,6 раза (в 2021 году – 9,3 млрд. рублей).</w:t>
      </w:r>
    </w:p>
    <w:p w14:paraId="2F827011" w14:textId="77777777" w:rsidR="00E6345C" w:rsidRPr="00213A5D" w:rsidRDefault="00E6345C" w:rsidP="00AE7B1D">
      <w:pPr>
        <w:widowControl w:val="0"/>
        <w:ind w:left="0" w:right="0"/>
        <w:rPr>
          <w:rFonts w:eastAsia="Times New Roman"/>
          <w:bCs/>
          <w:sz w:val="24"/>
          <w:szCs w:val="24"/>
        </w:rPr>
      </w:pPr>
      <w:r w:rsidRPr="00213A5D">
        <w:rPr>
          <w:rFonts w:eastAsia="Times New Roman"/>
          <w:sz w:val="24"/>
          <w:szCs w:val="24"/>
        </w:rPr>
        <w:t xml:space="preserve">Наибольшие объемы отозванных </w:t>
      </w:r>
      <w:r w:rsidRPr="00213A5D">
        <w:rPr>
          <w:rFonts w:eastAsia="Times New Roman"/>
          <w:bCs/>
          <w:sz w:val="24"/>
          <w:szCs w:val="24"/>
        </w:rPr>
        <w:t xml:space="preserve">дополнительных ЛБО (более 50 % объема дополнительных ЛБО, предусмотренных главному распорядителю для завершения </w:t>
      </w:r>
      <w:r w:rsidR="009C0C38" w:rsidRPr="00213A5D">
        <w:rPr>
          <w:rFonts w:eastAsia="Times New Roman"/>
          <w:bCs/>
          <w:sz w:val="24"/>
          <w:szCs w:val="24"/>
        </w:rPr>
        <w:br/>
      </w:r>
      <w:r w:rsidRPr="00213A5D">
        <w:rPr>
          <w:rFonts w:eastAsia="Times New Roman"/>
          <w:bCs/>
          <w:sz w:val="24"/>
          <w:szCs w:val="24"/>
        </w:rPr>
        <w:t xml:space="preserve">расчетов по неисполненным обязательствам 2021 года по государственным </w:t>
      </w:r>
      <w:r w:rsidR="009C0C38" w:rsidRPr="00213A5D">
        <w:rPr>
          <w:rFonts w:eastAsia="Times New Roman"/>
          <w:bCs/>
          <w:sz w:val="24"/>
          <w:szCs w:val="24"/>
        </w:rPr>
        <w:br/>
      </w:r>
      <w:r w:rsidRPr="00213A5D">
        <w:rPr>
          <w:rFonts w:eastAsia="Times New Roman"/>
          <w:bCs/>
          <w:sz w:val="24"/>
          <w:szCs w:val="24"/>
        </w:rPr>
        <w:t xml:space="preserve">контрактам) сложились по следующим главным распорядителям: Роспатент – 100 %, </w:t>
      </w:r>
      <w:r w:rsidR="000A66EC" w:rsidRPr="00213A5D">
        <w:rPr>
          <w:rFonts w:eastAsia="Times New Roman"/>
          <w:bCs/>
          <w:sz w:val="24"/>
          <w:szCs w:val="24"/>
        </w:rPr>
        <w:br/>
      </w:r>
      <w:r w:rsidRPr="00213A5D">
        <w:rPr>
          <w:rFonts w:eastAsia="Times New Roman"/>
          <w:bCs/>
          <w:sz w:val="24"/>
          <w:szCs w:val="24"/>
        </w:rPr>
        <w:t xml:space="preserve">Росстат – 99,2 %, Минтранс России – 93,3 %, Росархив – 63,9 %, </w:t>
      </w:r>
      <w:r w:rsidRPr="00213A5D">
        <w:rPr>
          <w:rFonts w:eastAsia="Times New Roman"/>
          <w:sz w:val="24"/>
          <w:szCs w:val="24"/>
        </w:rPr>
        <w:t xml:space="preserve">Минобрнауки России </w:t>
      </w:r>
      <w:r w:rsidRPr="00213A5D">
        <w:rPr>
          <w:rFonts w:eastAsia="Times New Roman"/>
          <w:bCs/>
          <w:sz w:val="24"/>
          <w:szCs w:val="24"/>
        </w:rPr>
        <w:t xml:space="preserve">– </w:t>
      </w:r>
      <w:r w:rsidR="000A66EC" w:rsidRPr="00213A5D">
        <w:rPr>
          <w:rFonts w:eastAsia="Times New Roman"/>
          <w:bCs/>
          <w:sz w:val="24"/>
          <w:szCs w:val="24"/>
        </w:rPr>
        <w:br/>
      </w:r>
      <w:r w:rsidRPr="00213A5D">
        <w:rPr>
          <w:rFonts w:eastAsia="Times New Roman"/>
          <w:bCs/>
          <w:sz w:val="24"/>
          <w:szCs w:val="24"/>
        </w:rPr>
        <w:t>60,4 % и другие.</w:t>
      </w:r>
    </w:p>
    <w:p w14:paraId="3A121B8F" w14:textId="77777777" w:rsidR="00E6345C" w:rsidRPr="00213A5D" w:rsidRDefault="00E6345C" w:rsidP="00AE7B1D">
      <w:pPr>
        <w:widowControl w:val="0"/>
        <w:overflowPunct/>
        <w:autoSpaceDE/>
        <w:autoSpaceDN/>
        <w:adjustRightInd/>
        <w:ind w:left="0" w:right="0"/>
        <w:textAlignment w:val="auto"/>
        <w:rPr>
          <w:rFonts w:eastAsia="Times New Roman"/>
          <w:bCs/>
          <w:sz w:val="24"/>
          <w:szCs w:val="24"/>
        </w:rPr>
      </w:pPr>
      <w:r w:rsidRPr="00213A5D">
        <w:rPr>
          <w:b/>
          <w:bCs/>
          <w:sz w:val="24"/>
          <w:szCs w:val="24"/>
        </w:rPr>
        <w:t>4.8.</w:t>
      </w:r>
      <w:r w:rsidRPr="00213A5D">
        <w:rPr>
          <w:bCs/>
          <w:sz w:val="24"/>
          <w:szCs w:val="24"/>
        </w:rPr>
        <w:t> </w:t>
      </w:r>
      <w:r w:rsidRPr="00213A5D">
        <w:rPr>
          <w:bCs/>
          <w:iCs/>
          <w:sz w:val="24"/>
          <w:szCs w:val="24"/>
        </w:rPr>
        <w:t>В соответствии с постановлением Правительства Российской Федерации</w:t>
      </w:r>
      <w:r w:rsidRPr="00213A5D">
        <w:rPr>
          <w:rFonts w:eastAsia="Times New Roman"/>
          <w:sz w:val="24"/>
          <w:szCs w:val="24"/>
        </w:rPr>
        <w:t xml:space="preserve"> </w:t>
      </w:r>
      <w:r w:rsidR="00086506" w:rsidRPr="00213A5D">
        <w:rPr>
          <w:rFonts w:eastAsia="Times New Roman"/>
          <w:sz w:val="24"/>
          <w:szCs w:val="24"/>
        </w:rPr>
        <w:br/>
      </w:r>
      <w:r w:rsidRPr="00213A5D">
        <w:rPr>
          <w:rFonts w:eastAsia="Times New Roman"/>
          <w:sz w:val="24"/>
          <w:szCs w:val="24"/>
        </w:rPr>
        <w:t xml:space="preserve">от 11 июля 2022 г. № 1235 «О внесении изменений в Положение о мерах </w:t>
      </w:r>
      <w:r w:rsidR="00974C02" w:rsidRPr="00213A5D">
        <w:rPr>
          <w:rFonts w:eastAsia="Times New Roman"/>
          <w:sz w:val="24"/>
          <w:szCs w:val="24"/>
        </w:rPr>
        <w:br/>
      </w:r>
      <w:r w:rsidRPr="00213A5D">
        <w:rPr>
          <w:rFonts w:eastAsia="Times New Roman"/>
          <w:sz w:val="24"/>
          <w:szCs w:val="24"/>
        </w:rPr>
        <w:t xml:space="preserve">по обеспечению исполнения федерального бюджета и признании утратившими </w:t>
      </w:r>
      <w:r w:rsidR="00974C02" w:rsidRPr="00213A5D">
        <w:rPr>
          <w:rFonts w:eastAsia="Times New Roman"/>
          <w:sz w:val="24"/>
          <w:szCs w:val="24"/>
        </w:rPr>
        <w:br/>
      </w:r>
      <w:r w:rsidRPr="00213A5D">
        <w:rPr>
          <w:rFonts w:eastAsia="Times New Roman"/>
          <w:sz w:val="24"/>
          <w:szCs w:val="24"/>
        </w:rPr>
        <w:t xml:space="preserve">силу постановления Правительства Российской Федерации от 30 сентября 2019 г. </w:t>
      </w:r>
      <w:r w:rsidR="00974C02" w:rsidRPr="00213A5D">
        <w:rPr>
          <w:rFonts w:eastAsia="Times New Roman"/>
          <w:sz w:val="24"/>
          <w:szCs w:val="24"/>
        </w:rPr>
        <w:br/>
      </w:r>
      <w:r w:rsidRPr="00213A5D">
        <w:rPr>
          <w:rFonts w:eastAsia="Times New Roman"/>
          <w:sz w:val="24"/>
          <w:szCs w:val="24"/>
        </w:rPr>
        <w:t xml:space="preserve">№ 1270, а также отдельных положений некоторых актов Правительства </w:t>
      </w:r>
      <w:r w:rsidR="00974C02" w:rsidRPr="00213A5D">
        <w:rPr>
          <w:rFonts w:eastAsia="Times New Roman"/>
          <w:sz w:val="24"/>
          <w:szCs w:val="24"/>
        </w:rPr>
        <w:br/>
      </w:r>
      <w:r w:rsidRPr="00213A5D">
        <w:rPr>
          <w:rFonts w:eastAsia="Times New Roman"/>
          <w:sz w:val="24"/>
          <w:szCs w:val="24"/>
        </w:rPr>
        <w:t>Российской Федерации»</w:t>
      </w:r>
      <w:r w:rsidRPr="00213A5D">
        <w:rPr>
          <w:bCs/>
          <w:iCs/>
          <w:sz w:val="24"/>
          <w:szCs w:val="24"/>
        </w:rPr>
        <w:t xml:space="preserve">: </w:t>
      </w:r>
    </w:p>
    <w:p w14:paraId="63B81F8E" w14:textId="77777777" w:rsidR="00E6345C" w:rsidRPr="00213A5D" w:rsidRDefault="00E6345C" w:rsidP="00AE7B1D">
      <w:pPr>
        <w:widowControl w:val="0"/>
        <w:overflowPunct/>
        <w:ind w:left="0" w:right="0" w:firstLine="720"/>
        <w:textAlignment w:val="auto"/>
        <w:rPr>
          <w:rFonts w:eastAsia="Times New Roman"/>
          <w:sz w:val="24"/>
          <w:szCs w:val="24"/>
        </w:rPr>
      </w:pPr>
      <w:r w:rsidRPr="00213A5D">
        <w:rPr>
          <w:rFonts w:eastAsia="Times New Roman"/>
          <w:sz w:val="24"/>
          <w:szCs w:val="24"/>
        </w:rPr>
        <w:t xml:space="preserve">получатели средств федерального бюджета принимают бюджетные обязательства, связанные с поставкой товаров (работ, услуг) не позднее 1 октября текущего </w:t>
      </w:r>
      <w:r w:rsidR="000A66EC" w:rsidRPr="00213A5D">
        <w:rPr>
          <w:rFonts w:eastAsia="Times New Roman"/>
          <w:sz w:val="24"/>
          <w:szCs w:val="24"/>
        </w:rPr>
        <w:br/>
      </w:r>
      <w:r w:rsidRPr="00213A5D">
        <w:rPr>
          <w:rFonts w:eastAsia="Times New Roman"/>
          <w:sz w:val="24"/>
          <w:szCs w:val="24"/>
        </w:rPr>
        <w:t xml:space="preserve">финансового года в соответствии с доведенными до них до указанной даты лимитами бюджетных обязательств </w:t>
      </w:r>
      <w:r w:rsidRPr="00213A5D">
        <w:rPr>
          <w:rFonts w:eastAsia="Times New Roman"/>
          <w:color w:val="000000"/>
          <w:sz w:val="24"/>
          <w:szCs w:val="24"/>
        </w:rPr>
        <w:t xml:space="preserve">(пункт 10 Положения о мерах по обеспечению исполнения федерального бюджета). </w:t>
      </w:r>
      <w:r w:rsidRPr="00213A5D">
        <w:rPr>
          <w:rFonts w:eastAsia="Times New Roman"/>
          <w:sz w:val="24"/>
          <w:szCs w:val="24"/>
        </w:rPr>
        <w:t xml:space="preserve">При этом данная норма не </w:t>
      </w:r>
      <w:r w:rsidR="00086506" w:rsidRPr="00213A5D">
        <w:rPr>
          <w:rFonts w:eastAsia="Times New Roman"/>
          <w:sz w:val="24"/>
          <w:szCs w:val="24"/>
        </w:rPr>
        <w:t>применяется,</w:t>
      </w:r>
      <w:r w:rsidRPr="00213A5D">
        <w:rPr>
          <w:rFonts w:eastAsia="Times New Roman"/>
          <w:sz w:val="24"/>
          <w:szCs w:val="24"/>
        </w:rPr>
        <w:t xml:space="preserve"> в том числе в случаях, если:</w:t>
      </w:r>
    </w:p>
    <w:p w14:paraId="299F65ED" w14:textId="77777777" w:rsidR="00E6345C" w:rsidRPr="00213A5D" w:rsidRDefault="00E6345C" w:rsidP="00AE7B1D">
      <w:pPr>
        <w:widowControl w:val="0"/>
        <w:overflowPunct/>
        <w:ind w:left="0" w:right="0" w:firstLine="720"/>
        <w:textAlignment w:val="auto"/>
        <w:rPr>
          <w:rFonts w:eastAsia="Times New Roman"/>
          <w:sz w:val="24"/>
          <w:szCs w:val="24"/>
        </w:rPr>
      </w:pPr>
      <w:r w:rsidRPr="00213A5D">
        <w:rPr>
          <w:rFonts w:eastAsia="Times New Roman"/>
          <w:sz w:val="24"/>
          <w:szCs w:val="24"/>
        </w:rPr>
        <w:t xml:space="preserve">до 1 октября текущего финансового года приняты решения Правительственной комиссии по вопросам оптимизации и повышения эффективности бюджетных </w:t>
      </w:r>
      <w:r w:rsidR="00974C02" w:rsidRPr="00213A5D">
        <w:rPr>
          <w:rFonts w:eastAsia="Times New Roman"/>
          <w:sz w:val="24"/>
          <w:szCs w:val="24"/>
        </w:rPr>
        <w:br/>
      </w:r>
      <w:r w:rsidRPr="00213A5D">
        <w:rPr>
          <w:rFonts w:eastAsia="Times New Roman"/>
          <w:sz w:val="24"/>
          <w:szCs w:val="24"/>
        </w:rPr>
        <w:t xml:space="preserve">расходов о возможности принятия таких обязательств до 1 декабря текущего </w:t>
      </w:r>
      <w:r w:rsidR="00974C02" w:rsidRPr="00213A5D">
        <w:rPr>
          <w:rFonts w:eastAsia="Times New Roman"/>
          <w:sz w:val="24"/>
          <w:szCs w:val="24"/>
        </w:rPr>
        <w:br/>
      </w:r>
      <w:r w:rsidRPr="00213A5D">
        <w:rPr>
          <w:rFonts w:eastAsia="Times New Roman"/>
          <w:sz w:val="24"/>
          <w:szCs w:val="24"/>
        </w:rPr>
        <w:t>финансового года;</w:t>
      </w:r>
    </w:p>
    <w:p w14:paraId="6315F8AE" w14:textId="77777777" w:rsidR="00E6345C" w:rsidRPr="00213A5D" w:rsidRDefault="00E6345C" w:rsidP="00AE7B1D">
      <w:pPr>
        <w:widowControl w:val="0"/>
        <w:overflowPunct/>
        <w:ind w:left="0" w:right="0" w:firstLine="720"/>
        <w:textAlignment w:val="auto"/>
        <w:rPr>
          <w:rFonts w:eastAsia="Times New Roman"/>
          <w:sz w:val="24"/>
          <w:szCs w:val="24"/>
        </w:rPr>
      </w:pPr>
      <w:r w:rsidRPr="00213A5D">
        <w:rPr>
          <w:rFonts w:eastAsia="Times New Roman"/>
          <w:sz w:val="24"/>
          <w:szCs w:val="24"/>
        </w:rPr>
        <w:t>источником финансового обеспечения бюджетных обязательств являются средства, выделенные из резервного фонда Президента Российской Федерации либо резервного фонда Правительства Российской Федерации;</w:t>
      </w:r>
    </w:p>
    <w:p w14:paraId="5CF22545" w14:textId="77777777" w:rsidR="00E6345C" w:rsidRPr="00213A5D" w:rsidRDefault="00E6345C" w:rsidP="00AE7B1D">
      <w:pPr>
        <w:widowControl w:val="0"/>
        <w:overflowPunct/>
        <w:ind w:left="0" w:right="0" w:firstLine="720"/>
        <w:textAlignment w:val="auto"/>
        <w:rPr>
          <w:rFonts w:eastAsia="Times New Roman"/>
          <w:sz w:val="24"/>
          <w:szCs w:val="24"/>
        </w:rPr>
      </w:pPr>
      <w:r w:rsidRPr="00213A5D">
        <w:rPr>
          <w:rFonts w:eastAsia="Times New Roman"/>
          <w:sz w:val="24"/>
          <w:szCs w:val="24"/>
        </w:rPr>
        <w:t>товары (работы, услуги) закупаются в целях обеспечения нужд обороны страны и безопасности государства.</w:t>
      </w:r>
    </w:p>
    <w:p w14:paraId="508C9DC9" w14:textId="77777777" w:rsidR="00D35C92" w:rsidRPr="00213A5D" w:rsidRDefault="00035170" w:rsidP="00D97A5C">
      <w:pPr>
        <w:widowControl w:val="0"/>
        <w:spacing w:line="365" w:lineRule="auto"/>
        <w:ind w:left="0" w:right="0"/>
        <w:rPr>
          <w:b/>
          <w:color w:val="000000"/>
          <w:sz w:val="24"/>
          <w:szCs w:val="24"/>
        </w:rPr>
      </w:pPr>
      <w:r w:rsidRPr="00213A5D">
        <w:rPr>
          <w:b/>
          <w:sz w:val="24"/>
          <w:szCs w:val="24"/>
          <w:lang w:eastAsia="en-US"/>
        </w:rPr>
        <w:t>4.</w:t>
      </w:r>
      <w:r w:rsidR="00E6345C" w:rsidRPr="00213A5D">
        <w:rPr>
          <w:b/>
          <w:sz w:val="24"/>
          <w:szCs w:val="24"/>
          <w:lang w:eastAsia="en-US"/>
        </w:rPr>
        <w:t>9</w:t>
      </w:r>
      <w:r w:rsidRPr="00213A5D">
        <w:rPr>
          <w:b/>
          <w:sz w:val="24"/>
          <w:szCs w:val="24"/>
          <w:lang w:eastAsia="en-US"/>
        </w:rPr>
        <w:t>. </w:t>
      </w:r>
      <w:r w:rsidR="00D35C92" w:rsidRPr="00213A5D">
        <w:rPr>
          <w:sz w:val="24"/>
          <w:szCs w:val="24"/>
        </w:rPr>
        <w:t xml:space="preserve">Исполнение </w:t>
      </w:r>
      <w:r w:rsidR="00D35C92" w:rsidRPr="00213A5D">
        <w:rPr>
          <w:b/>
          <w:sz w:val="24"/>
          <w:szCs w:val="24"/>
        </w:rPr>
        <w:t>расходов федерального бюджета</w:t>
      </w:r>
      <w:r w:rsidR="00D35C92" w:rsidRPr="00213A5D">
        <w:rPr>
          <w:bCs/>
          <w:sz w:val="24"/>
          <w:szCs w:val="24"/>
        </w:rPr>
        <w:t xml:space="preserve"> за январь – сентябрь 2022 года </w:t>
      </w:r>
      <w:r w:rsidR="00D35C92" w:rsidRPr="00213A5D">
        <w:rPr>
          <w:sz w:val="24"/>
          <w:szCs w:val="24"/>
        </w:rPr>
        <w:lastRenderedPageBreak/>
        <w:t>составило</w:t>
      </w:r>
      <w:r w:rsidR="00D35C92" w:rsidRPr="00213A5D">
        <w:rPr>
          <w:b/>
          <w:sz w:val="24"/>
          <w:szCs w:val="24"/>
        </w:rPr>
        <w:t xml:space="preserve"> </w:t>
      </w:r>
      <w:r w:rsidR="00D35C92" w:rsidRPr="00213A5D">
        <w:rPr>
          <w:b/>
          <w:bCs/>
          <w:sz w:val="24"/>
          <w:szCs w:val="24"/>
        </w:rPr>
        <w:t>19 653 960,4</w:t>
      </w:r>
      <w:r w:rsidR="00D35C92" w:rsidRPr="00213A5D">
        <w:rPr>
          <w:b/>
          <w:sz w:val="24"/>
          <w:szCs w:val="24"/>
        </w:rPr>
        <w:t> </w:t>
      </w:r>
      <w:r w:rsidR="00D35C92" w:rsidRPr="00213A5D">
        <w:rPr>
          <w:b/>
          <w:bCs/>
          <w:sz w:val="24"/>
          <w:szCs w:val="24"/>
        </w:rPr>
        <w:t>млн. рублей</w:t>
      </w:r>
      <w:r w:rsidR="00D35C92" w:rsidRPr="00213A5D">
        <w:rPr>
          <w:sz w:val="24"/>
          <w:szCs w:val="24"/>
        </w:rPr>
        <w:t>,</w:t>
      </w:r>
      <w:r w:rsidR="00D35C92" w:rsidRPr="00213A5D">
        <w:rPr>
          <w:b/>
          <w:sz w:val="24"/>
          <w:szCs w:val="24"/>
        </w:rPr>
        <w:t xml:space="preserve"> или 82,9 %</w:t>
      </w:r>
      <w:r w:rsidR="00D35C92" w:rsidRPr="00213A5D">
        <w:rPr>
          <w:sz w:val="24"/>
          <w:szCs w:val="24"/>
        </w:rPr>
        <w:t xml:space="preserve"> законодательно утвержденных бюджетных ассигнований и </w:t>
      </w:r>
      <w:r w:rsidR="00D35C92" w:rsidRPr="00213A5D">
        <w:rPr>
          <w:b/>
          <w:sz w:val="24"/>
          <w:szCs w:val="24"/>
        </w:rPr>
        <w:t>70,1 %</w:t>
      </w:r>
      <w:r w:rsidR="00D35C92" w:rsidRPr="00213A5D">
        <w:rPr>
          <w:sz w:val="24"/>
          <w:szCs w:val="24"/>
        </w:rPr>
        <w:t xml:space="preserve"> показателя сводной росписи с изменениями</w:t>
      </w:r>
      <w:r w:rsidR="00D35C92" w:rsidRPr="00213A5D">
        <w:rPr>
          <w:color w:val="000000"/>
          <w:sz w:val="24"/>
        </w:rPr>
        <w:t>.</w:t>
      </w:r>
    </w:p>
    <w:p w14:paraId="3D8DFA11" w14:textId="77777777" w:rsidR="00D35C92" w:rsidRPr="00213A5D" w:rsidRDefault="00D35C92" w:rsidP="00D97A5C">
      <w:pPr>
        <w:widowControl w:val="0"/>
        <w:spacing w:line="365" w:lineRule="auto"/>
        <w:ind w:left="0" w:right="0"/>
        <w:rPr>
          <w:sz w:val="24"/>
          <w:szCs w:val="24"/>
        </w:rPr>
      </w:pPr>
      <w:r w:rsidRPr="00213A5D">
        <w:rPr>
          <w:sz w:val="24"/>
          <w:szCs w:val="24"/>
        </w:rPr>
        <w:t xml:space="preserve">Анализ исполнения расходов федерального бюджета за январь – сентябрь </w:t>
      </w:r>
      <w:r w:rsidRPr="00213A5D">
        <w:rPr>
          <w:sz w:val="24"/>
          <w:szCs w:val="24"/>
        </w:rPr>
        <w:br/>
        <w:t>в 2010–2022 годах представлен на следующей диаграмме.</w:t>
      </w:r>
    </w:p>
    <w:p w14:paraId="0ABF340C" w14:textId="77777777" w:rsidR="00F35B63" w:rsidRPr="00213A5D" w:rsidRDefault="00CD0E98" w:rsidP="00974C02">
      <w:pPr>
        <w:widowControl w:val="0"/>
        <w:spacing w:line="480" w:lineRule="auto"/>
        <w:ind w:left="-284" w:right="0" w:firstLine="0"/>
        <w:rPr>
          <w:sz w:val="24"/>
          <w:szCs w:val="24"/>
        </w:rPr>
      </w:pPr>
      <w:r w:rsidRPr="00CD0E98">
        <w:rPr>
          <w:noProof/>
          <w:sz w:val="24"/>
          <w:szCs w:val="24"/>
        </w:rPr>
        <w:pict w14:anchorId="0547E1C3">
          <v:shape id="_x0000_i1067" type="#_x0000_t75" alt="" style="width:516.9pt;height:87.6pt;mso-width-percent:0;mso-height-percent:0;mso-position-horizontal-relative:char;mso-position-vertical-relative:line;mso-width-percent:0;mso-height-percent:0">
            <v:imagedata r:id="rId36" o:title=""/>
          </v:shape>
        </w:pict>
      </w:r>
    </w:p>
    <w:p w14:paraId="643C69FA" w14:textId="77777777" w:rsidR="00D35C92" w:rsidRPr="00213A5D" w:rsidRDefault="00D35C92" w:rsidP="00693319">
      <w:pPr>
        <w:widowControl w:val="0"/>
        <w:ind w:left="0" w:right="0"/>
        <w:rPr>
          <w:sz w:val="24"/>
          <w:szCs w:val="24"/>
        </w:rPr>
      </w:pPr>
      <w:r w:rsidRPr="00213A5D">
        <w:rPr>
          <w:sz w:val="24"/>
          <w:szCs w:val="24"/>
        </w:rPr>
        <w:t xml:space="preserve">Уровень исполнения расходов за январь – сентябрь 2022 года </w:t>
      </w:r>
      <w:r w:rsidR="00BB536D">
        <w:rPr>
          <w:sz w:val="24"/>
          <w:szCs w:val="24"/>
        </w:rPr>
        <w:t>практически соответствует уровню исполнения за аналогичный период 2021 года</w:t>
      </w:r>
      <w:r w:rsidRPr="00213A5D">
        <w:rPr>
          <w:sz w:val="24"/>
          <w:szCs w:val="24"/>
        </w:rPr>
        <w:t>.</w:t>
      </w:r>
    </w:p>
    <w:p w14:paraId="7CBA8FCE" w14:textId="77777777" w:rsidR="00D35C92" w:rsidRPr="00213A5D" w:rsidRDefault="00D35C92" w:rsidP="00693319">
      <w:pPr>
        <w:widowControl w:val="0"/>
        <w:ind w:left="0" w:right="0"/>
        <w:rPr>
          <w:sz w:val="24"/>
          <w:szCs w:val="24"/>
        </w:rPr>
      </w:pPr>
      <w:r w:rsidRPr="00213A5D">
        <w:rPr>
          <w:sz w:val="24"/>
          <w:szCs w:val="24"/>
        </w:rPr>
        <w:t xml:space="preserve">В абсолютном выражении исполнение бюджетных ассигнований в январе – сентябре 2022 года выше аналогичного показателя 2021 года на </w:t>
      </w:r>
      <w:r w:rsidR="00D64A17" w:rsidRPr="00213A5D">
        <w:rPr>
          <w:sz w:val="24"/>
          <w:szCs w:val="24"/>
        </w:rPr>
        <w:t>3 355 072,0 млн</w:t>
      </w:r>
      <w:r w:rsidRPr="00213A5D">
        <w:rPr>
          <w:sz w:val="24"/>
          <w:szCs w:val="24"/>
        </w:rPr>
        <w:t xml:space="preserve">. рублей (на 20,6 %) </w:t>
      </w:r>
      <w:r w:rsidRPr="00213A5D">
        <w:rPr>
          <w:sz w:val="24"/>
          <w:szCs w:val="24"/>
        </w:rPr>
        <w:br/>
        <w:t xml:space="preserve">и аналогичного показателя 2020 года – на </w:t>
      </w:r>
      <w:r w:rsidR="00C167A5" w:rsidRPr="00213A5D">
        <w:rPr>
          <w:sz w:val="24"/>
          <w:szCs w:val="24"/>
        </w:rPr>
        <w:t>4 780 433,9</w:t>
      </w:r>
      <w:r w:rsidRPr="00213A5D">
        <w:rPr>
          <w:sz w:val="24"/>
          <w:szCs w:val="24"/>
        </w:rPr>
        <w:t> м</w:t>
      </w:r>
      <w:r w:rsidR="00C167A5" w:rsidRPr="00213A5D">
        <w:rPr>
          <w:sz w:val="24"/>
          <w:szCs w:val="24"/>
        </w:rPr>
        <w:t>лн</w:t>
      </w:r>
      <w:r w:rsidRPr="00213A5D">
        <w:rPr>
          <w:sz w:val="24"/>
          <w:szCs w:val="24"/>
        </w:rPr>
        <w:t>. рублей (на 32,1 %).</w:t>
      </w:r>
    </w:p>
    <w:p w14:paraId="1C2BD8EF" w14:textId="77777777" w:rsidR="00D35C92" w:rsidRPr="00213A5D" w:rsidRDefault="00D35C92" w:rsidP="00693319">
      <w:pPr>
        <w:widowControl w:val="0"/>
        <w:shd w:val="clear" w:color="auto" w:fill="FFFFFF"/>
        <w:ind w:left="0" w:right="0"/>
        <w:rPr>
          <w:bCs/>
          <w:sz w:val="24"/>
          <w:szCs w:val="24"/>
        </w:rPr>
      </w:pPr>
      <w:r w:rsidRPr="00213A5D">
        <w:rPr>
          <w:bCs/>
          <w:sz w:val="24"/>
          <w:szCs w:val="24"/>
        </w:rPr>
        <w:t>Исходя из объема исполненных расходов на 1 октября 2022 года и</w:t>
      </w:r>
      <w:r w:rsidRPr="00213A5D">
        <w:rPr>
          <w:b/>
          <w:bCs/>
          <w:sz w:val="24"/>
          <w:szCs w:val="24"/>
        </w:rPr>
        <w:t xml:space="preserve"> </w:t>
      </w:r>
      <w:r w:rsidRPr="00213A5D">
        <w:rPr>
          <w:bCs/>
          <w:sz w:val="24"/>
          <w:szCs w:val="24"/>
        </w:rPr>
        <w:t xml:space="preserve">бюджетных ассигнований, предусмотренных сводной росписью с изменениями в объеме </w:t>
      </w:r>
      <w:r w:rsidR="00C167A5" w:rsidRPr="00213A5D">
        <w:rPr>
          <w:bCs/>
          <w:sz w:val="24"/>
          <w:szCs w:val="24"/>
        </w:rPr>
        <w:t>28 047 169,1</w:t>
      </w:r>
      <w:r w:rsidRPr="00213A5D">
        <w:rPr>
          <w:bCs/>
          <w:sz w:val="24"/>
          <w:szCs w:val="24"/>
        </w:rPr>
        <w:t> мл</w:t>
      </w:r>
      <w:r w:rsidR="00C167A5" w:rsidRPr="00213A5D">
        <w:rPr>
          <w:bCs/>
          <w:sz w:val="24"/>
          <w:szCs w:val="24"/>
        </w:rPr>
        <w:t>н</w:t>
      </w:r>
      <w:r w:rsidRPr="00213A5D">
        <w:rPr>
          <w:bCs/>
          <w:sz w:val="24"/>
          <w:szCs w:val="24"/>
        </w:rPr>
        <w:t xml:space="preserve">. рублей, </w:t>
      </w:r>
      <w:r w:rsidRPr="00213A5D">
        <w:rPr>
          <w:b/>
          <w:bCs/>
          <w:sz w:val="24"/>
          <w:szCs w:val="24"/>
        </w:rPr>
        <w:t xml:space="preserve">расходы в </w:t>
      </w:r>
      <w:r w:rsidRPr="00213A5D">
        <w:rPr>
          <w:b/>
          <w:bCs/>
          <w:sz w:val="24"/>
          <w:szCs w:val="24"/>
          <w:lang w:val="en-US"/>
        </w:rPr>
        <w:t>IV</w:t>
      </w:r>
      <w:r w:rsidRPr="00213A5D">
        <w:rPr>
          <w:b/>
          <w:bCs/>
          <w:sz w:val="24"/>
          <w:szCs w:val="24"/>
        </w:rPr>
        <w:t xml:space="preserve"> квартале 2022 года должны составить </w:t>
      </w:r>
      <w:r w:rsidR="0074010D" w:rsidRPr="00213A5D">
        <w:rPr>
          <w:b/>
          <w:bCs/>
          <w:sz w:val="24"/>
          <w:szCs w:val="24"/>
        </w:rPr>
        <w:t>8 393 208,7</w:t>
      </w:r>
      <w:r w:rsidRPr="00213A5D">
        <w:rPr>
          <w:b/>
          <w:bCs/>
          <w:sz w:val="24"/>
          <w:szCs w:val="24"/>
        </w:rPr>
        <w:t> мл</w:t>
      </w:r>
      <w:r w:rsidR="0074010D" w:rsidRPr="00213A5D">
        <w:rPr>
          <w:b/>
          <w:bCs/>
          <w:sz w:val="24"/>
          <w:szCs w:val="24"/>
        </w:rPr>
        <w:t>н</w:t>
      </w:r>
      <w:r w:rsidRPr="00213A5D">
        <w:rPr>
          <w:b/>
          <w:bCs/>
          <w:sz w:val="24"/>
          <w:szCs w:val="24"/>
        </w:rPr>
        <w:t xml:space="preserve">. рублей, что </w:t>
      </w:r>
      <w:r w:rsidRPr="00213A5D">
        <w:rPr>
          <w:bCs/>
          <w:sz w:val="24"/>
          <w:szCs w:val="24"/>
        </w:rPr>
        <w:t xml:space="preserve">практически соответствует объему исполнения расходов федерального бюджета в </w:t>
      </w:r>
      <w:r w:rsidRPr="00213A5D">
        <w:rPr>
          <w:bCs/>
          <w:sz w:val="24"/>
          <w:szCs w:val="24"/>
          <w:lang w:val="en-US"/>
        </w:rPr>
        <w:t>IV</w:t>
      </w:r>
      <w:r w:rsidRPr="00213A5D">
        <w:rPr>
          <w:bCs/>
          <w:sz w:val="24"/>
          <w:szCs w:val="24"/>
        </w:rPr>
        <w:t> квартале 2021 года (</w:t>
      </w:r>
      <w:r w:rsidR="0056522C" w:rsidRPr="00213A5D">
        <w:rPr>
          <w:bCs/>
          <w:sz w:val="24"/>
          <w:szCs w:val="24"/>
        </w:rPr>
        <w:t>8 463 212,0</w:t>
      </w:r>
      <w:r w:rsidRPr="00213A5D">
        <w:rPr>
          <w:bCs/>
          <w:sz w:val="24"/>
          <w:szCs w:val="24"/>
        </w:rPr>
        <w:t> мл</w:t>
      </w:r>
      <w:r w:rsidR="0056522C" w:rsidRPr="00213A5D">
        <w:rPr>
          <w:bCs/>
          <w:sz w:val="24"/>
          <w:szCs w:val="24"/>
        </w:rPr>
        <w:t>н</w:t>
      </w:r>
      <w:r w:rsidRPr="00213A5D">
        <w:rPr>
          <w:bCs/>
          <w:sz w:val="24"/>
          <w:szCs w:val="24"/>
        </w:rPr>
        <w:t>. рублей).</w:t>
      </w:r>
    </w:p>
    <w:p w14:paraId="592E0F7B" w14:textId="77777777" w:rsidR="00D35C92" w:rsidRPr="00213A5D" w:rsidRDefault="00D35C92" w:rsidP="00693319">
      <w:pPr>
        <w:widowControl w:val="0"/>
        <w:shd w:val="clear" w:color="auto" w:fill="FFFFFF"/>
        <w:ind w:left="0" w:right="0"/>
        <w:rPr>
          <w:bCs/>
          <w:sz w:val="24"/>
          <w:szCs w:val="24"/>
        </w:rPr>
      </w:pPr>
      <w:r w:rsidRPr="00213A5D">
        <w:rPr>
          <w:bCs/>
          <w:sz w:val="24"/>
          <w:szCs w:val="24"/>
        </w:rPr>
        <w:t>Исходя из объема исполненных расходов на 1 октября 2022 года и</w:t>
      </w:r>
      <w:r w:rsidRPr="00213A5D">
        <w:rPr>
          <w:b/>
          <w:bCs/>
          <w:sz w:val="24"/>
          <w:szCs w:val="24"/>
        </w:rPr>
        <w:t xml:space="preserve"> </w:t>
      </w:r>
      <w:r w:rsidR="000A66EC" w:rsidRPr="00213A5D">
        <w:rPr>
          <w:b/>
          <w:bCs/>
          <w:sz w:val="24"/>
          <w:szCs w:val="24"/>
        </w:rPr>
        <w:br/>
      </w:r>
      <w:r w:rsidRPr="00213A5D">
        <w:rPr>
          <w:bCs/>
          <w:sz w:val="24"/>
          <w:szCs w:val="24"/>
        </w:rPr>
        <w:t xml:space="preserve">ожидаемого исполнения, представленного в материалах к проекту федерального закона </w:t>
      </w:r>
      <w:r w:rsidR="000A66EC" w:rsidRPr="00213A5D">
        <w:rPr>
          <w:bCs/>
          <w:sz w:val="24"/>
          <w:szCs w:val="24"/>
        </w:rPr>
        <w:br/>
      </w:r>
      <w:r w:rsidRPr="00213A5D">
        <w:rPr>
          <w:bCs/>
          <w:sz w:val="24"/>
          <w:szCs w:val="24"/>
        </w:rPr>
        <w:t xml:space="preserve">«О федеральном бюджете на 2023 год и на плановый период 2024 и 2025 годов» </w:t>
      </w:r>
      <w:r w:rsidR="000A66EC" w:rsidRPr="00213A5D">
        <w:rPr>
          <w:bCs/>
          <w:sz w:val="24"/>
          <w:szCs w:val="24"/>
        </w:rPr>
        <w:br/>
      </w:r>
      <w:r w:rsidRPr="00213A5D">
        <w:rPr>
          <w:bCs/>
          <w:sz w:val="24"/>
          <w:szCs w:val="24"/>
        </w:rPr>
        <w:t xml:space="preserve">в объеме 29 006,0 млрд. рублей, расходы в </w:t>
      </w:r>
      <w:r w:rsidRPr="00213A5D">
        <w:rPr>
          <w:bCs/>
          <w:sz w:val="24"/>
          <w:szCs w:val="24"/>
          <w:lang w:val="en-US"/>
        </w:rPr>
        <w:t>IV</w:t>
      </w:r>
      <w:r w:rsidRPr="00213A5D">
        <w:rPr>
          <w:bCs/>
          <w:sz w:val="24"/>
          <w:szCs w:val="24"/>
        </w:rPr>
        <w:t xml:space="preserve"> квартале 2022 года должны </w:t>
      </w:r>
      <w:r w:rsidR="000A66EC" w:rsidRPr="00213A5D">
        <w:rPr>
          <w:bCs/>
          <w:sz w:val="24"/>
          <w:szCs w:val="24"/>
        </w:rPr>
        <w:br/>
      </w:r>
      <w:r w:rsidRPr="00213A5D">
        <w:rPr>
          <w:bCs/>
          <w:sz w:val="24"/>
          <w:szCs w:val="24"/>
        </w:rPr>
        <w:t xml:space="preserve">составить </w:t>
      </w:r>
      <w:r w:rsidRPr="00213A5D">
        <w:rPr>
          <w:b/>
          <w:bCs/>
          <w:sz w:val="24"/>
          <w:szCs w:val="24"/>
        </w:rPr>
        <w:t>9 352,0 млрд. рублей (32,2 %)</w:t>
      </w:r>
      <w:r w:rsidRPr="00213A5D">
        <w:rPr>
          <w:bCs/>
          <w:sz w:val="24"/>
          <w:szCs w:val="24"/>
        </w:rPr>
        <w:t>.</w:t>
      </w:r>
    </w:p>
    <w:p w14:paraId="5714C689" w14:textId="77777777" w:rsidR="00D35C92" w:rsidRPr="00213A5D" w:rsidRDefault="00D35C92" w:rsidP="00693319">
      <w:pPr>
        <w:widowControl w:val="0"/>
        <w:ind w:left="0" w:right="-2"/>
        <w:rPr>
          <w:sz w:val="24"/>
          <w:szCs w:val="24"/>
        </w:rPr>
      </w:pPr>
      <w:r w:rsidRPr="00213A5D">
        <w:rPr>
          <w:sz w:val="24"/>
          <w:szCs w:val="24"/>
        </w:rPr>
        <w:t xml:space="preserve">Анализ поквартального исполнения расходов федерального бюджета за ряд </w:t>
      </w:r>
      <w:r w:rsidR="00974C02" w:rsidRPr="00213A5D">
        <w:rPr>
          <w:sz w:val="24"/>
          <w:szCs w:val="24"/>
        </w:rPr>
        <w:br/>
      </w:r>
      <w:r w:rsidRPr="00213A5D">
        <w:rPr>
          <w:sz w:val="24"/>
          <w:szCs w:val="24"/>
        </w:rPr>
        <w:t xml:space="preserve">лет традиционно свидетельствует о неравномерности их исполнения в течение </w:t>
      </w:r>
      <w:r w:rsidR="00974C02" w:rsidRPr="00213A5D">
        <w:rPr>
          <w:sz w:val="24"/>
          <w:szCs w:val="24"/>
        </w:rPr>
        <w:br/>
      </w:r>
      <w:r w:rsidRPr="00213A5D">
        <w:rPr>
          <w:sz w:val="24"/>
          <w:szCs w:val="24"/>
        </w:rPr>
        <w:t>финансового года.</w:t>
      </w:r>
    </w:p>
    <w:p w14:paraId="53116257" w14:textId="77777777" w:rsidR="00D35C92" w:rsidRPr="00213A5D" w:rsidRDefault="00D35C92" w:rsidP="00693319">
      <w:pPr>
        <w:widowControl w:val="0"/>
        <w:ind w:left="0" w:right="-2"/>
        <w:rPr>
          <w:sz w:val="24"/>
          <w:szCs w:val="24"/>
          <w:lang w:eastAsia="en-US"/>
        </w:rPr>
      </w:pPr>
      <w:r w:rsidRPr="00213A5D">
        <w:rPr>
          <w:sz w:val="24"/>
          <w:szCs w:val="24"/>
        </w:rPr>
        <w:t xml:space="preserve">Так, в </w:t>
      </w:r>
      <w:r w:rsidRPr="00213A5D">
        <w:rPr>
          <w:sz w:val="24"/>
          <w:szCs w:val="24"/>
          <w:lang w:val="en-US"/>
        </w:rPr>
        <w:t>I</w:t>
      </w:r>
      <w:r w:rsidRPr="00213A5D">
        <w:rPr>
          <w:sz w:val="24"/>
          <w:szCs w:val="24"/>
        </w:rPr>
        <w:t xml:space="preserve"> квартале 2021 года уровень исполнения расходов составил 20,2 % объема исполненных расходов (</w:t>
      </w:r>
      <w:r w:rsidR="00EF1FE3" w:rsidRPr="00213A5D">
        <w:rPr>
          <w:sz w:val="24"/>
          <w:szCs w:val="24"/>
        </w:rPr>
        <w:t>5 013 274,1</w:t>
      </w:r>
      <w:r w:rsidRPr="00213A5D">
        <w:rPr>
          <w:sz w:val="24"/>
          <w:szCs w:val="24"/>
        </w:rPr>
        <w:t> мл</w:t>
      </w:r>
      <w:r w:rsidR="00EF1FE3" w:rsidRPr="00213A5D">
        <w:rPr>
          <w:sz w:val="24"/>
          <w:szCs w:val="24"/>
        </w:rPr>
        <w:t>н</w:t>
      </w:r>
      <w:r w:rsidRPr="00213A5D">
        <w:rPr>
          <w:sz w:val="24"/>
          <w:szCs w:val="24"/>
        </w:rPr>
        <w:t xml:space="preserve">. рублей), во </w:t>
      </w:r>
      <w:r w:rsidRPr="00213A5D">
        <w:rPr>
          <w:sz w:val="24"/>
          <w:szCs w:val="24"/>
          <w:lang w:val="en-US"/>
        </w:rPr>
        <w:t>II</w:t>
      </w:r>
      <w:r w:rsidRPr="00213A5D">
        <w:rPr>
          <w:sz w:val="24"/>
          <w:szCs w:val="24"/>
        </w:rPr>
        <w:t> квартале 2021 года – 22,1 % (</w:t>
      </w:r>
      <w:r w:rsidR="009F037A" w:rsidRPr="00213A5D">
        <w:rPr>
          <w:sz w:val="24"/>
          <w:szCs w:val="24"/>
        </w:rPr>
        <w:t>5 477 834,2</w:t>
      </w:r>
      <w:r w:rsidRPr="00213A5D">
        <w:rPr>
          <w:sz w:val="24"/>
          <w:szCs w:val="24"/>
        </w:rPr>
        <w:t> мл</w:t>
      </w:r>
      <w:r w:rsidR="009F037A" w:rsidRPr="00213A5D">
        <w:rPr>
          <w:sz w:val="24"/>
          <w:szCs w:val="24"/>
        </w:rPr>
        <w:t>н</w:t>
      </w:r>
      <w:r w:rsidRPr="00213A5D">
        <w:rPr>
          <w:sz w:val="24"/>
          <w:szCs w:val="24"/>
        </w:rPr>
        <w:t xml:space="preserve">. рублей), в </w:t>
      </w:r>
      <w:r w:rsidRPr="00213A5D">
        <w:rPr>
          <w:sz w:val="24"/>
          <w:szCs w:val="24"/>
          <w:lang w:val="en-US"/>
        </w:rPr>
        <w:t>III</w:t>
      </w:r>
      <w:r w:rsidRPr="00213A5D">
        <w:rPr>
          <w:sz w:val="24"/>
          <w:szCs w:val="24"/>
        </w:rPr>
        <w:t> квартале 2021 года – 23,4 % (</w:t>
      </w:r>
      <w:r w:rsidR="00160D05" w:rsidRPr="00213A5D">
        <w:rPr>
          <w:sz w:val="24"/>
          <w:szCs w:val="24"/>
        </w:rPr>
        <w:t>5 807 780,1</w:t>
      </w:r>
      <w:r w:rsidRPr="00213A5D">
        <w:rPr>
          <w:sz w:val="24"/>
          <w:szCs w:val="24"/>
        </w:rPr>
        <w:t> мл</w:t>
      </w:r>
      <w:r w:rsidR="00160D05" w:rsidRPr="00213A5D">
        <w:rPr>
          <w:sz w:val="24"/>
          <w:szCs w:val="24"/>
        </w:rPr>
        <w:t>н</w:t>
      </w:r>
      <w:r w:rsidRPr="00213A5D">
        <w:rPr>
          <w:sz w:val="24"/>
          <w:szCs w:val="24"/>
        </w:rPr>
        <w:t xml:space="preserve">. рублей), </w:t>
      </w:r>
      <w:r w:rsidR="00524972" w:rsidRPr="00213A5D">
        <w:rPr>
          <w:sz w:val="24"/>
          <w:szCs w:val="24"/>
        </w:rPr>
        <w:br/>
      </w:r>
      <w:r w:rsidRPr="00213A5D">
        <w:rPr>
          <w:sz w:val="24"/>
          <w:szCs w:val="24"/>
        </w:rPr>
        <w:t xml:space="preserve">в IV квартале 2021 года – </w:t>
      </w:r>
      <w:r w:rsidRPr="00213A5D">
        <w:rPr>
          <w:b/>
          <w:sz w:val="24"/>
          <w:szCs w:val="24"/>
        </w:rPr>
        <w:t>34,2 %</w:t>
      </w:r>
      <w:r w:rsidRPr="00213A5D">
        <w:rPr>
          <w:sz w:val="24"/>
          <w:szCs w:val="24"/>
        </w:rPr>
        <w:t xml:space="preserve"> (</w:t>
      </w:r>
      <w:r w:rsidR="00160D05" w:rsidRPr="00213A5D">
        <w:rPr>
          <w:sz w:val="24"/>
          <w:szCs w:val="24"/>
        </w:rPr>
        <w:t>8 463 212,0</w:t>
      </w:r>
      <w:r w:rsidRPr="00213A5D">
        <w:rPr>
          <w:sz w:val="24"/>
          <w:szCs w:val="24"/>
        </w:rPr>
        <w:t> мл</w:t>
      </w:r>
      <w:r w:rsidR="00160D05" w:rsidRPr="00213A5D">
        <w:rPr>
          <w:sz w:val="24"/>
          <w:szCs w:val="24"/>
        </w:rPr>
        <w:t>н</w:t>
      </w:r>
      <w:r w:rsidRPr="00213A5D">
        <w:rPr>
          <w:sz w:val="24"/>
          <w:szCs w:val="24"/>
        </w:rPr>
        <w:t>. рублей), из них в ноябре – декабре – 26,8 % (</w:t>
      </w:r>
      <w:r w:rsidR="0090681A" w:rsidRPr="00213A5D">
        <w:rPr>
          <w:sz w:val="24"/>
          <w:szCs w:val="24"/>
        </w:rPr>
        <w:t>6 627 440,5</w:t>
      </w:r>
      <w:r w:rsidRPr="00213A5D">
        <w:rPr>
          <w:sz w:val="24"/>
          <w:szCs w:val="24"/>
        </w:rPr>
        <w:t> мл</w:t>
      </w:r>
      <w:r w:rsidR="0090681A" w:rsidRPr="00213A5D">
        <w:rPr>
          <w:sz w:val="24"/>
          <w:szCs w:val="24"/>
        </w:rPr>
        <w:t>н</w:t>
      </w:r>
      <w:r w:rsidRPr="00213A5D">
        <w:rPr>
          <w:sz w:val="24"/>
          <w:szCs w:val="24"/>
        </w:rPr>
        <w:t>. рублей).</w:t>
      </w:r>
    </w:p>
    <w:p w14:paraId="5CF68503" w14:textId="77777777" w:rsidR="00D35C92" w:rsidRPr="00213A5D" w:rsidRDefault="00D35C92" w:rsidP="00693319">
      <w:pPr>
        <w:widowControl w:val="0"/>
        <w:ind w:left="0" w:right="-2"/>
        <w:rPr>
          <w:sz w:val="24"/>
          <w:szCs w:val="24"/>
        </w:rPr>
      </w:pPr>
      <w:r w:rsidRPr="00213A5D">
        <w:rPr>
          <w:sz w:val="24"/>
          <w:szCs w:val="24"/>
        </w:rPr>
        <w:t xml:space="preserve">В </w:t>
      </w:r>
      <w:r w:rsidRPr="00213A5D">
        <w:rPr>
          <w:sz w:val="24"/>
          <w:szCs w:val="24"/>
          <w:lang w:val="en-US"/>
        </w:rPr>
        <w:t>I</w:t>
      </w:r>
      <w:r w:rsidRPr="00213A5D">
        <w:rPr>
          <w:sz w:val="24"/>
          <w:szCs w:val="24"/>
        </w:rPr>
        <w:t xml:space="preserve"> квартале 2022 года уровень исполнения расходов составил 20,9 % показателя сводной росписи с изменениями (</w:t>
      </w:r>
      <w:r w:rsidR="00E8472A" w:rsidRPr="00213A5D">
        <w:rPr>
          <w:sz w:val="24"/>
          <w:szCs w:val="24"/>
        </w:rPr>
        <w:t>5 859 635,2</w:t>
      </w:r>
      <w:r w:rsidRPr="00213A5D">
        <w:rPr>
          <w:sz w:val="24"/>
          <w:szCs w:val="24"/>
        </w:rPr>
        <w:t> мл</w:t>
      </w:r>
      <w:r w:rsidR="00E8472A" w:rsidRPr="00213A5D">
        <w:rPr>
          <w:sz w:val="24"/>
          <w:szCs w:val="24"/>
        </w:rPr>
        <w:t>н</w:t>
      </w:r>
      <w:r w:rsidRPr="00213A5D">
        <w:rPr>
          <w:sz w:val="24"/>
          <w:szCs w:val="24"/>
        </w:rPr>
        <w:t xml:space="preserve">. рублей), во </w:t>
      </w:r>
      <w:r w:rsidRPr="00213A5D">
        <w:rPr>
          <w:sz w:val="24"/>
          <w:szCs w:val="24"/>
          <w:lang w:val="en-US"/>
        </w:rPr>
        <w:t>II</w:t>
      </w:r>
      <w:r w:rsidRPr="00213A5D">
        <w:rPr>
          <w:sz w:val="24"/>
          <w:szCs w:val="24"/>
        </w:rPr>
        <w:t> квартале 2022 года – 23,8 % (</w:t>
      </w:r>
      <w:r w:rsidR="00E8472A" w:rsidRPr="00213A5D">
        <w:rPr>
          <w:sz w:val="24"/>
          <w:szCs w:val="24"/>
        </w:rPr>
        <w:t>6 675 161,2</w:t>
      </w:r>
      <w:r w:rsidRPr="00213A5D">
        <w:rPr>
          <w:sz w:val="24"/>
          <w:szCs w:val="24"/>
        </w:rPr>
        <w:t> мл</w:t>
      </w:r>
      <w:r w:rsidR="00E8472A" w:rsidRPr="00213A5D">
        <w:rPr>
          <w:sz w:val="24"/>
          <w:szCs w:val="24"/>
        </w:rPr>
        <w:t>н</w:t>
      </w:r>
      <w:r w:rsidRPr="00213A5D">
        <w:rPr>
          <w:sz w:val="24"/>
          <w:szCs w:val="24"/>
        </w:rPr>
        <w:t xml:space="preserve">. рублей), в </w:t>
      </w:r>
      <w:r w:rsidRPr="00213A5D">
        <w:rPr>
          <w:sz w:val="24"/>
          <w:szCs w:val="24"/>
          <w:lang w:val="en-US"/>
        </w:rPr>
        <w:t>III</w:t>
      </w:r>
      <w:r w:rsidRPr="00213A5D">
        <w:rPr>
          <w:sz w:val="24"/>
          <w:szCs w:val="24"/>
        </w:rPr>
        <w:t> квартале 2022 года – 25,4 % (</w:t>
      </w:r>
      <w:r w:rsidR="00CA08DA" w:rsidRPr="00213A5D">
        <w:rPr>
          <w:sz w:val="24"/>
          <w:szCs w:val="24"/>
        </w:rPr>
        <w:t>7 119 164,0</w:t>
      </w:r>
      <w:r w:rsidRPr="00213A5D">
        <w:rPr>
          <w:sz w:val="24"/>
          <w:szCs w:val="24"/>
        </w:rPr>
        <w:t> мл</w:t>
      </w:r>
      <w:r w:rsidR="00CA08DA" w:rsidRPr="00213A5D">
        <w:rPr>
          <w:sz w:val="24"/>
          <w:szCs w:val="24"/>
        </w:rPr>
        <w:t>н</w:t>
      </w:r>
      <w:r w:rsidRPr="00213A5D">
        <w:rPr>
          <w:sz w:val="24"/>
          <w:szCs w:val="24"/>
        </w:rPr>
        <w:t>. рублей).</w:t>
      </w:r>
    </w:p>
    <w:p w14:paraId="7859A305" w14:textId="77777777" w:rsidR="00D35C92" w:rsidRPr="00213A5D" w:rsidRDefault="00D35C92" w:rsidP="00693319">
      <w:pPr>
        <w:widowControl w:val="0"/>
        <w:ind w:left="0" w:right="-2"/>
        <w:rPr>
          <w:sz w:val="24"/>
          <w:szCs w:val="24"/>
        </w:rPr>
      </w:pPr>
      <w:r w:rsidRPr="00213A5D">
        <w:rPr>
          <w:sz w:val="24"/>
          <w:szCs w:val="24"/>
        </w:rPr>
        <w:lastRenderedPageBreak/>
        <w:t xml:space="preserve">Следует отметить, что за последние 6 лет доля расходов в IV квартале к общему объему расходов увеличилась с 30,4 % в 2015 году до 34,2 % в 2021 году. </w:t>
      </w:r>
    </w:p>
    <w:p w14:paraId="21CFFC57" w14:textId="77777777" w:rsidR="00D35C92" w:rsidRPr="00213A5D" w:rsidRDefault="00D35C92" w:rsidP="00693319">
      <w:pPr>
        <w:widowControl w:val="0"/>
        <w:shd w:val="clear" w:color="auto" w:fill="FFFFFF"/>
        <w:ind w:left="0" w:right="0"/>
        <w:rPr>
          <w:rFonts w:eastAsia="Times New Roman"/>
          <w:bCs/>
          <w:sz w:val="24"/>
          <w:szCs w:val="24"/>
        </w:rPr>
      </w:pPr>
      <w:r w:rsidRPr="00213A5D">
        <w:rPr>
          <w:rFonts w:eastAsia="Times New Roman"/>
          <w:bCs/>
          <w:sz w:val="24"/>
          <w:szCs w:val="24"/>
        </w:rPr>
        <w:t xml:space="preserve">По состоянию на 1 октября 2022 года сумма </w:t>
      </w:r>
      <w:r w:rsidRPr="00213A5D">
        <w:rPr>
          <w:rFonts w:eastAsia="Times New Roman"/>
          <w:b/>
          <w:bCs/>
          <w:sz w:val="24"/>
          <w:szCs w:val="24"/>
        </w:rPr>
        <w:t>непринятых бюджетных обязательств</w:t>
      </w:r>
      <w:r w:rsidRPr="00213A5D">
        <w:rPr>
          <w:rFonts w:eastAsia="Times New Roman"/>
          <w:bCs/>
          <w:sz w:val="24"/>
          <w:szCs w:val="24"/>
        </w:rPr>
        <w:t xml:space="preserve"> составляет </w:t>
      </w:r>
      <w:r w:rsidRPr="00213A5D">
        <w:rPr>
          <w:rFonts w:eastAsia="Times New Roman"/>
          <w:b/>
          <w:bCs/>
          <w:sz w:val="24"/>
          <w:szCs w:val="24"/>
        </w:rPr>
        <w:t>4</w:t>
      </w:r>
      <w:r w:rsidR="00C37877" w:rsidRPr="00213A5D">
        <w:rPr>
          <w:rFonts w:eastAsia="Times New Roman"/>
          <w:b/>
          <w:bCs/>
          <w:sz w:val="24"/>
          <w:szCs w:val="24"/>
        </w:rPr>
        <w:t> </w:t>
      </w:r>
      <w:r w:rsidRPr="00213A5D">
        <w:rPr>
          <w:rFonts w:eastAsia="Times New Roman"/>
          <w:b/>
          <w:bCs/>
          <w:sz w:val="24"/>
          <w:szCs w:val="24"/>
        </w:rPr>
        <w:t>278</w:t>
      </w:r>
      <w:r w:rsidR="00C37877" w:rsidRPr="00213A5D">
        <w:rPr>
          <w:rFonts w:eastAsia="Times New Roman"/>
          <w:b/>
          <w:bCs/>
          <w:sz w:val="24"/>
          <w:szCs w:val="24"/>
        </w:rPr>
        <w:t> </w:t>
      </w:r>
      <w:r w:rsidRPr="00213A5D">
        <w:rPr>
          <w:rFonts w:eastAsia="Times New Roman"/>
          <w:b/>
          <w:bCs/>
          <w:sz w:val="24"/>
          <w:szCs w:val="24"/>
        </w:rPr>
        <w:t>1</w:t>
      </w:r>
      <w:r w:rsidR="00C37877" w:rsidRPr="00213A5D">
        <w:rPr>
          <w:rFonts w:eastAsia="Times New Roman"/>
          <w:b/>
          <w:bCs/>
          <w:sz w:val="24"/>
          <w:szCs w:val="24"/>
        </w:rPr>
        <w:t>33,2</w:t>
      </w:r>
      <w:r w:rsidRPr="00213A5D">
        <w:rPr>
          <w:rFonts w:eastAsia="Times New Roman"/>
          <w:b/>
          <w:bCs/>
          <w:sz w:val="24"/>
          <w:szCs w:val="24"/>
        </w:rPr>
        <w:t> мл</w:t>
      </w:r>
      <w:r w:rsidR="00C37877" w:rsidRPr="00213A5D">
        <w:rPr>
          <w:rFonts w:eastAsia="Times New Roman"/>
          <w:b/>
          <w:bCs/>
          <w:sz w:val="24"/>
          <w:szCs w:val="24"/>
        </w:rPr>
        <w:t>н</w:t>
      </w:r>
      <w:r w:rsidRPr="00213A5D">
        <w:rPr>
          <w:rFonts w:eastAsia="Times New Roman"/>
          <w:b/>
          <w:bCs/>
          <w:sz w:val="24"/>
          <w:szCs w:val="24"/>
        </w:rPr>
        <w:t>. рублей</w:t>
      </w:r>
      <w:r w:rsidRPr="00213A5D">
        <w:rPr>
          <w:rFonts w:eastAsia="Times New Roman"/>
          <w:bCs/>
          <w:sz w:val="24"/>
          <w:szCs w:val="24"/>
        </w:rPr>
        <w:t xml:space="preserve"> (15,3 % показателя сводной росписи с изменениями), </w:t>
      </w:r>
      <w:r w:rsidR="00524972" w:rsidRPr="00213A5D">
        <w:rPr>
          <w:rFonts w:eastAsia="Times New Roman"/>
          <w:bCs/>
          <w:sz w:val="24"/>
          <w:szCs w:val="24"/>
        </w:rPr>
        <w:br/>
      </w:r>
      <w:r w:rsidRPr="00213A5D">
        <w:rPr>
          <w:rFonts w:eastAsia="Times New Roman"/>
          <w:bCs/>
          <w:sz w:val="24"/>
          <w:szCs w:val="24"/>
        </w:rPr>
        <w:t>из них:</w:t>
      </w:r>
    </w:p>
    <w:p w14:paraId="43106375" w14:textId="77777777" w:rsidR="00D35C92" w:rsidRPr="00213A5D" w:rsidRDefault="00D35C92" w:rsidP="00693319">
      <w:pPr>
        <w:widowControl w:val="0"/>
        <w:shd w:val="clear" w:color="auto" w:fill="FFFFFF"/>
        <w:ind w:left="0" w:right="0"/>
        <w:rPr>
          <w:rFonts w:eastAsia="Times New Roman"/>
          <w:bCs/>
          <w:sz w:val="24"/>
          <w:szCs w:val="24"/>
        </w:rPr>
      </w:pPr>
      <w:r w:rsidRPr="00213A5D">
        <w:rPr>
          <w:rFonts w:eastAsia="Times New Roman"/>
          <w:bCs/>
          <w:sz w:val="24"/>
          <w:szCs w:val="24"/>
        </w:rPr>
        <w:t>по межбюджетным трансфертам бюджетам государственных внебюджетных фондов – 779</w:t>
      </w:r>
      <w:r w:rsidR="0028064A" w:rsidRPr="00213A5D">
        <w:rPr>
          <w:rFonts w:eastAsia="Times New Roman"/>
          <w:bCs/>
          <w:sz w:val="24"/>
          <w:szCs w:val="24"/>
        </w:rPr>
        <w:t> 170,4</w:t>
      </w:r>
      <w:r w:rsidRPr="00213A5D">
        <w:rPr>
          <w:rFonts w:eastAsia="Times New Roman"/>
          <w:bCs/>
          <w:sz w:val="24"/>
          <w:szCs w:val="24"/>
        </w:rPr>
        <w:t> мл</w:t>
      </w:r>
      <w:r w:rsidR="0028064A" w:rsidRPr="00213A5D">
        <w:rPr>
          <w:rFonts w:eastAsia="Times New Roman"/>
          <w:bCs/>
          <w:sz w:val="24"/>
          <w:szCs w:val="24"/>
        </w:rPr>
        <w:t>н</w:t>
      </w:r>
      <w:r w:rsidRPr="00213A5D">
        <w:rPr>
          <w:rFonts w:eastAsia="Times New Roman"/>
          <w:bCs/>
          <w:sz w:val="24"/>
          <w:szCs w:val="24"/>
        </w:rPr>
        <w:t>. рублей;</w:t>
      </w:r>
    </w:p>
    <w:p w14:paraId="66C44EC7" w14:textId="77777777" w:rsidR="00D35C92" w:rsidRPr="00213A5D" w:rsidRDefault="00D35C92" w:rsidP="00693319">
      <w:pPr>
        <w:widowControl w:val="0"/>
        <w:shd w:val="clear" w:color="auto" w:fill="FFFFFF"/>
        <w:ind w:left="0" w:right="0"/>
        <w:rPr>
          <w:rFonts w:eastAsia="Times New Roman"/>
          <w:bCs/>
          <w:sz w:val="24"/>
          <w:szCs w:val="24"/>
        </w:rPr>
      </w:pPr>
      <w:r w:rsidRPr="00213A5D">
        <w:rPr>
          <w:rFonts w:eastAsia="Times New Roman"/>
          <w:bCs/>
          <w:sz w:val="24"/>
          <w:szCs w:val="24"/>
        </w:rPr>
        <w:t xml:space="preserve">по выплатам персоналу – </w:t>
      </w:r>
      <w:r w:rsidR="0028064A" w:rsidRPr="00213A5D">
        <w:rPr>
          <w:rFonts w:eastAsia="Times New Roman"/>
          <w:bCs/>
          <w:sz w:val="24"/>
          <w:szCs w:val="24"/>
        </w:rPr>
        <w:t>758 556,8</w:t>
      </w:r>
      <w:r w:rsidRPr="00213A5D">
        <w:rPr>
          <w:rFonts w:eastAsia="Times New Roman"/>
          <w:bCs/>
          <w:sz w:val="24"/>
          <w:szCs w:val="24"/>
        </w:rPr>
        <w:t> мл</w:t>
      </w:r>
      <w:r w:rsidR="0028064A" w:rsidRPr="00213A5D">
        <w:rPr>
          <w:rFonts w:eastAsia="Times New Roman"/>
          <w:bCs/>
          <w:sz w:val="24"/>
          <w:szCs w:val="24"/>
        </w:rPr>
        <w:t>н</w:t>
      </w:r>
      <w:r w:rsidRPr="00213A5D">
        <w:rPr>
          <w:rFonts w:eastAsia="Times New Roman"/>
          <w:bCs/>
          <w:sz w:val="24"/>
          <w:szCs w:val="24"/>
        </w:rPr>
        <w:t>. рублей;</w:t>
      </w:r>
    </w:p>
    <w:p w14:paraId="140F08E1" w14:textId="77777777" w:rsidR="00D35C92" w:rsidRPr="00213A5D" w:rsidRDefault="00D35C92" w:rsidP="00693319">
      <w:pPr>
        <w:widowControl w:val="0"/>
        <w:shd w:val="clear" w:color="auto" w:fill="FFFFFF"/>
        <w:ind w:left="0" w:right="0"/>
        <w:rPr>
          <w:rFonts w:eastAsia="Times New Roman"/>
          <w:bCs/>
          <w:sz w:val="24"/>
          <w:szCs w:val="24"/>
        </w:rPr>
      </w:pPr>
      <w:r w:rsidRPr="00213A5D">
        <w:rPr>
          <w:rFonts w:eastAsia="Times New Roman"/>
          <w:bCs/>
          <w:sz w:val="24"/>
          <w:szCs w:val="24"/>
        </w:rPr>
        <w:t xml:space="preserve">по закупкам товаров, работ, услуг для государственных нужд – </w:t>
      </w:r>
      <w:r w:rsidR="00FB47AF" w:rsidRPr="00213A5D">
        <w:rPr>
          <w:rFonts w:eastAsia="Times New Roman"/>
          <w:bCs/>
          <w:sz w:val="24"/>
          <w:szCs w:val="24"/>
        </w:rPr>
        <w:t>507 295,9</w:t>
      </w:r>
      <w:r w:rsidRPr="00213A5D">
        <w:rPr>
          <w:rFonts w:eastAsia="Times New Roman"/>
          <w:bCs/>
          <w:sz w:val="24"/>
          <w:szCs w:val="24"/>
        </w:rPr>
        <w:t> мл</w:t>
      </w:r>
      <w:r w:rsidR="00FB47AF" w:rsidRPr="00213A5D">
        <w:rPr>
          <w:rFonts w:eastAsia="Times New Roman"/>
          <w:bCs/>
          <w:sz w:val="24"/>
          <w:szCs w:val="24"/>
        </w:rPr>
        <w:t>н</w:t>
      </w:r>
      <w:r w:rsidRPr="00213A5D">
        <w:rPr>
          <w:rFonts w:eastAsia="Times New Roman"/>
          <w:bCs/>
          <w:sz w:val="24"/>
          <w:szCs w:val="24"/>
        </w:rPr>
        <w:t>. рублей;</w:t>
      </w:r>
    </w:p>
    <w:p w14:paraId="1FD45863" w14:textId="77777777" w:rsidR="00D35C92" w:rsidRPr="00213A5D" w:rsidRDefault="00D35C92" w:rsidP="00693319">
      <w:pPr>
        <w:widowControl w:val="0"/>
        <w:shd w:val="clear" w:color="auto" w:fill="FFFFFF"/>
        <w:ind w:left="0" w:right="0"/>
        <w:rPr>
          <w:rFonts w:eastAsia="Times New Roman"/>
          <w:bCs/>
          <w:sz w:val="24"/>
          <w:szCs w:val="24"/>
        </w:rPr>
      </w:pPr>
      <w:r w:rsidRPr="00213A5D">
        <w:rPr>
          <w:rFonts w:eastAsia="Times New Roman"/>
          <w:bCs/>
          <w:sz w:val="24"/>
          <w:szCs w:val="24"/>
        </w:rPr>
        <w:t xml:space="preserve">по субсидиям юридическим лицам (кроме некоммерческих организаций), индивидуальным предпринимателям, физическим лицам – производителям товаров, работ, услуг – </w:t>
      </w:r>
      <w:r w:rsidR="00FB47AF" w:rsidRPr="00213A5D">
        <w:rPr>
          <w:rFonts w:eastAsia="Times New Roman"/>
          <w:bCs/>
          <w:sz w:val="24"/>
          <w:szCs w:val="24"/>
        </w:rPr>
        <w:t>316 </w:t>
      </w:r>
      <w:r w:rsidRPr="00213A5D">
        <w:rPr>
          <w:rFonts w:eastAsia="Times New Roman"/>
          <w:bCs/>
          <w:sz w:val="24"/>
          <w:szCs w:val="24"/>
        </w:rPr>
        <w:t>6</w:t>
      </w:r>
      <w:r w:rsidR="00FB47AF" w:rsidRPr="00213A5D">
        <w:rPr>
          <w:rFonts w:eastAsia="Times New Roman"/>
          <w:bCs/>
          <w:sz w:val="24"/>
          <w:szCs w:val="24"/>
        </w:rPr>
        <w:t>10,5</w:t>
      </w:r>
      <w:r w:rsidRPr="00213A5D">
        <w:rPr>
          <w:rFonts w:eastAsia="Times New Roman"/>
          <w:bCs/>
          <w:sz w:val="24"/>
          <w:szCs w:val="24"/>
        </w:rPr>
        <w:t> мл</w:t>
      </w:r>
      <w:r w:rsidR="00FB47AF" w:rsidRPr="00213A5D">
        <w:rPr>
          <w:rFonts w:eastAsia="Times New Roman"/>
          <w:bCs/>
          <w:sz w:val="24"/>
          <w:szCs w:val="24"/>
        </w:rPr>
        <w:t>н</w:t>
      </w:r>
      <w:r w:rsidRPr="00213A5D">
        <w:rPr>
          <w:rFonts w:eastAsia="Times New Roman"/>
          <w:bCs/>
          <w:sz w:val="24"/>
          <w:szCs w:val="24"/>
        </w:rPr>
        <w:t>. рублей.</w:t>
      </w:r>
    </w:p>
    <w:p w14:paraId="304F8DBB" w14:textId="77777777" w:rsidR="00D35C92" w:rsidRPr="00213A5D" w:rsidRDefault="00A64D16" w:rsidP="00693319">
      <w:pPr>
        <w:widowControl w:val="0"/>
        <w:ind w:left="0" w:right="0"/>
        <w:rPr>
          <w:bCs/>
          <w:color w:val="000000"/>
          <w:sz w:val="24"/>
        </w:rPr>
      </w:pPr>
      <w:r w:rsidRPr="00213A5D">
        <w:rPr>
          <w:b/>
          <w:color w:val="000000"/>
          <w:sz w:val="24"/>
        </w:rPr>
        <w:t>4.</w:t>
      </w:r>
      <w:r w:rsidR="00E6345C" w:rsidRPr="00213A5D">
        <w:rPr>
          <w:b/>
          <w:color w:val="000000"/>
          <w:sz w:val="24"/>
        </w:rPr>
        <w:t>10</w:t>
      </w:r>
      <w:r w:rsidRPr="00213A5D">
        <w:rPr>
          <w:b/>
          <w:color w:val="000000"/>
          <w:sz w:val="24"/>
        </w:rPr>
        <w:t>.</w:t>
      </w:r>
      <w:r w:rsidRPr="00213A5D">
        <w:rPr>
          <w:b/>
          <w:color w:val="000000"/>
          <w:sz w:val="24"/>
          <w:lang w:val="en-US"/>
        </w:rPr>
        <w:t> </w:t>
      </w:r>
      <w:r w:rsidR="00D35C92" w:rsidRPr="00213A5D">
        <w:rPr>
          <w:bCs/>
          <w:color w:val="000000"/>
          <w:sz w:val="24"/>
        </w:rPr>
        <w:t xml:space="preserve">Анализ </w:t>
      </w:r>
      <w:r w:rsidR="00D35C92" w:rsidRPr="00213A5D">
        <w:rPr>
          <w:b/>
          <w:bCs/>
          <w:color w:val="000000"/>
          <w:sz w:val="24"/>
        </w:rPr>
        <w:t>помесячного исполнения</w:t>
      </w:r>
      <w:r w:rsidR="00D35C92" w:rsidRPr="00213A5D">
        <w:rPr>
          <w:bCs/>
          <w:color w:val="000000"/>
          <w:sz w:val="24"/>
        </w:rPr>
        <w:t xml:space="preserve"> расходов федерального бюджета </w:t>
      </w:r>
      <w:r w:rsidR="00D35C92" w:rsidRPr="00213A5D">
        <w:rPr>
          <w:color w:val="000000"/>
          <w:sz w:val="24"/>
        </w:rPr>
        <w:t>в 2020−2022 годах представлен на следующей диаграмме</w:t>
      </w:r>
      <w:r w:rsidR="00D35C92" w:rsidRPr="00213A5D">
        <w:rPr>
          <w:bCs/>
          <w:color w:val="000000"/>
          <w:sz w:val="24"/>
        </w:rPr>
        <w:t>.</w:t>
      </w:r>
    </w:p>
    <w:p w14:paraId="76FD0883" w14:textId="77777777" w:rsidR="00F126C0" w:rsidRPr="00213A5D" w:rsidRDefault="00CD0E98" w:rsidP="00D8749A">
      <w:pPr>
        <w:widowControl w:val="0"/>
        <w:spacing w:line="480" w:lineRule="auto"/>
        <w:ind w:left="0" w:right="0" w:firstLine="0"/>
        <w:jc w:val="center"/>
        <w:rPr>
          <w:bCs/>
          <w:color w:val="000000"/>
          <w:sz w:val="16"/>
          <w:szCs w:val="16"/>
        </w:rPr>
      </w:pPr>
      <w:r w:rsidRPr="00CD0E98">
        <w:rPr>
          <w:bCs/>
          <w:noProof/>
          <w:color w:val="000000"/>
          <w:sz w:val="24"/>
        </w:rPr>
        <w:pict w14:anchorId="47E57A3A">
          <v:shape id="_x0000_i1066" type="#_x0000_t75" alt="" style="width:387.85pt;height:277.15pt;mso-width-percent:0;mso-height-percent:0;mso-position-horizontal-relative:char;mso-position-vertical-relative:line;mso-width-percent:0;mso-height-percent:0">
            <v:imagedata r:id="rId37" o:title=""/>
          </v:shape>
        </w:pict>
      </w:r>
    </w:p>
    <w:p w14:paraId="643C71AA" w14:textId="77777777" w:rsidR="00D35C92" w:rsidRPr="00213A5D" w:rsidRDefault="00D35C92" w:rsidP="00D97A5C">
      <w:pPr>
        <w:widowControl w:val="0"/>
        <w:spacing w:line="365" w:lineRule="auto"/>
        <w:ind w:left="0" w:right="0"/>
        <w:rPr>
          <w:color w:val="000000"/>
          <w:sz w:val="24"/>
        </w:rPr>
      </w:pPr>
      <w:r w:rsidRPr="00213A5D">
        <w:rPr>
          <w:color w:val="000000"/>
          <w:sz w:val="24"/>
        </w:rPr>
        <w:t xml:space="preserve">Исполнение бюджетных ассигнований в январе – сентябре 2022 года (19 653 960,4 млн. рублей) на 2 175,0 млн. рублей, или на 12,4 %, больше показателя, предусмотренного в кассовом плане исполнения федерального бюджета по состоянию </w:t>
      </w:r>
      <w:r w:rsidR="00524972" w:rsidRPr="00213A5D">
        <w:rPr>
          <w:color w:val="000000"/>
          <w:sz w:val="24"/>
        </w:rPr>
        <w:br/>
      </w:r>
      <w:r w:rsidRPr="00213A5D">
        <w:rPr>
          <w:color w:val="000000"/>
          <w:sz w:val="24"/>
        </w:rPr>
        <w:t xml:space="preserve">на 1 января 2022 года (17 478 923,5 млн. рублей), по состоянию на 1 июля 2022 года – </w:t>
      </w:r>
      <w:r w:rsidR="00524972" w:rsidRPr="00213A5D">
        <w:rPr>
          <w:color w:val="000000"/>
          <w:sz w:val="24"/>
        </w:rPr>
        <w:br/>
      </w:r>
      <w:r w:rsidRPr="00213A5D">
        <w:rPr>
          <w:color w:val="000000"/>
          <w:sz w:val="24"/>
        </w:rPr>
        <w:t>на 203 676,9 млн. рублей, или на 1 %.</w:t>
      </w:r>
    </w:p>
    <w:p w14:paraId="7DE16C22" w14:textId="77777777" w:rsidR="00D35C92" w:rsidRPr="00213A5D" w:rsidRDefault="00D35C92" w:rsidP="00D97A5C">
      <w:pPr>
        <w:widowControl w:val="0"/>
        <w:spacing w:line="365" w:lineRule="auto"/>
        <w:ind w:left="0" w:right="0"/>
        <w:rPr>
          <w:color w:val="000000"/>
          <w:sz w:val="24"/>
        </w:rPr>
      </w:pPr>
      <w:r w:rsidRPr="00213A5D">
        <w:rPr>
          <w:color w:val="000000"/>
          <w:sz w:val="24"/>
        </w:rPr>
        <w:t xml:space="preserve">Уровень исполнения расходов в марте, апреле, июле и сентябре 2022 года сложился </w:t>
      </w:r>
      <w:r w:rsidRPr="00213A5D">
        <w:rPr>
          <w:color w:val="000000"/>
          <w:sz w:val="24"/>
        </w:rPr>
        <w:br/>
        <w:t>выше уровня исполнения за аналогичные периоды 2020 и 2021 годов.</w:t>
      </w:r>
    </w:p>
    <w:p w14:paraId="4BFE4B56" w14:textId="77777777" w:rsidR="00D35C92" w:rsidRPr="00213A5D" w:rsidRDefault="0043416C" w:rsidP="00D97A5C">
      <w:pPr>
        <w:widowControl w:val="0"/>
        <w:spacing w:line="365" w:lineRule="auto"/>
        <w:ind w:left="0" w:right="0"/>
        <w:rPr>
          <w:sz w:val="24"/>
          <w:szCs w:val="24"/>
        </w:rPr>
      </w:pPr>
      <w:r w:rsidRPr="00213A5D">
        <w:rPr>
          <w:b/>
          <w:sz w:val="24"/>
          <w:szCs w:val="24"/>
        </w:rPr>
        <w:lastRenderedPageBreak/>
        <w:t>4.1</w:t>
      </w:r>
      <w:r w:rsidR="00E6345C" w:rsidRPr="00213A5D">
        <w:rPr>
          <w:b/>
          <w:sz w:val="24"/>
          <w:szCs w:val="24"/>
        </w:rPr>
        <w:t>1</w:t>
      </w:r>
      <w:r w:rsidR="00612580" w:rsidRPr="00213A5D">
        <w:rPr>
          <w:b/>
          <w:sz w:val="24"/>
          <w:szCs w:val="24"/>
        </w:rPr>
        <w:t>.</w:t>
      </w:r>
      <w:r w:rsidR="00BE605C" w:rsidRPr="00213A5D">
        <w:rPr>
          <w:sz w:val="24"/>
          <w:szCs w:val="24"/>
        </w:rPr>
        <w:t> </w:t>
      </w:r>
      <w:r w:rsidR="00D35C92" w:rsidRPr="00213A5D">
        <w:rPr>
          <w:sz w:val="24"/>
          <w:szCs w:val="24"/>
        </w:rPr>
        <w:t xml:space="preserve">Анализ исполнения расходов федерального бюджета в январе – сентябре </w:t>
      </w:r>
      <w:r w:rsidR="00D35C92" w:rsidRPr="00213A5D">
        <w:rPr>
          <w:sz w:val="24"/>
          <w:szCs w:val="24"/>
        </w:rPr>
        <w:br/>
        <w:t xml:space="preserve">2021 и 2022 годов </w:t>
      </w:r>
      <w:r w:rsidR="00D35C92" w:rsidRPr="00213A5D">
        <w:rPr>
          <w:b/>
          <w:sz w:val="24"/>
          <w:szCs w:val="24"/>
        </w:rPr>
        <w:t>по группам видов расходов</w:t>
      </w:r>
      <w:r w:rsidR="00D35C92" w:rsidRPr="00213A5D">
        <w:rPr>
          <w:sz w:val="24"/>
          <w:szCs w:val="24"/>
        </w:rPr>
        <w:t xml:space="preserve"> бюджетной классификации расходов представлен на следующей диаграмме.</w:t>
      </w:r>
    </w:p>
    <w:p w14:paraId="759D0D29" w14:textId="77777777" w:rsidR="00D35C92" w:rsidRPr="00213A5D" w:rsidRDefault="00CD0E98" w:rsidP="006C7093">
      <w:pPr>
        <w:widowControl w:val="0"/>
        <w:spacing w:line="480" w:lineRule="auto"/>
        <w:ind w:left="0" w:right="0" w:firstLine="0"/>
        <w:jc w:val="center"/>
        <w:rPr>
          <w:sz w:val="24"/>
          <w:szCs w:val="24"/>
        </w:rPr>
      </w:pPr>
      <w:r w:rsidRPr="00CD0E98">
        <w:rPr>
          <w:noProof/>
          <w:sz w:val="24"/>
          <w:szCs w:val="24"/>
        </w:rPr>
        <w:pict w14:anchorId="094A81FC">
          <v:shape id="_x0000_i1065" type="#_x0000_t75" alt="" style="width:328.1pt;height:336.25pt;mso-width-percent:0;mso-height-percent:0;mso-position-horizontal-relative:char;mso-position-vertical-relative:line;mso-width-percent:0;mso-height-percent:0">
            <v:imagedata r:id="rId38" o:title="" cropbottom="1103f" cropleft="5513f" cropright="1398f"/>
          </v:shape>
        </w:pict>
      </w:r>
    </w:p>
    <w:p w14:paraId="250EE5D1" w14:textId="77777777" w:rsidR="00D35C92" w:rsidRPr="00213A5D" w:rsidRDefault="00D35C92" w:rsidP="00693319">
      <w:pPr>
        <w:widowControl w:val="0"/>
        <w:ind w:left="0" w:right="0"/>
        <w:rPr>
          <w:bCs/>
          <w:sz w:val="24"/>
          <w:szCs w:val="24"/>
        </w:rPr>
      </w:pPr>
      <w:r w:rsidRPr="00213A5D">
        <w:rPr>
          <w:bCs/>
          <w:sz w:val="24"/>
          <w:szCs w:val="24"/>
        </w:rPr>
        <w:t xml:space="preserve">Уровень исполнения расходов существенно ниже чем в аналогичном периоде 2021 года отмечается по группе видов расходов «Иные бюджетные ассигнования» </w:t>
      </w:r>
      <w:r w:rsidR="00D8749A" w:rsidRPr="00213A5D">
        <w:rPr>
          <w:bCs/>
          <w:sz w:val="24"/>
          <w:szCs w:val="24"/>
        </w:rPr>
        <w:br/>
      </w:r>
      <w:r w:rsidRPr="00213A5D">
        <w:rPr>
          <w:bCs/>
          <w:sz w:val="24"/>
          <w:szCs w:val="24"/>
        </w:rPr>
        <w:t>(38,4 % показателя сводной росписи с изменениями в 2022 году и 67,1 % – в 2021 году).</w:t>
      </w:r>
    </w:p>
    <w:p w14:paraId="47934995" w14:textId="77777777" w:rsidR="00F50C85" w:rsidRPr="00213A5D" w:rsidRDefault="00F50C85" w:rsidP="00693319">
      <w:pPr>
        <w:widowControl w:val="0"/>
        <w:ind w:left="0" w:right="0"/>
        <w:rPr>
          <w:bCs/>
          <w:sz w:val="16"/>
          <w:szCs w:val="16"/>
        </w:rPr>
      </w:pPr>
    </w:p>
    <w:p w14:paraId="787ABDFB" w14:textId="77777777" w:rsidR="008F2B97" w:rsidRPr="00213A5D" w:rsidRDefault="008F2B97" w:rsidP="00AF1852">
      <w:pPr>
        <w:widowControl w:val="0"/>
        <w:spacing w:line="240" w:lineRule="auto"/>
        <w:ind w:left="0" w:right="0"/>
        <w:jc w:val="center"/>
        <w:rPr>
          <w:b/>
          <w:sz w:val="24"/>
          <w:szCs w:val="24"/>
          <w:u w:val="single"/>
        </w:rPr>
      </w:pPr>
      <w:r w:rsidRPr="00213A5D">
        <w:rPr>
          <w:b/>
          <w:sz w:val="24"/>
          <w:szCs w:val="24"/>
        </w:rPr>
        <w:t xml:space="preserve">5. </w:t>
      </w:r>
      <w:r w:rsidRPr="00213A5D">
        <w:rPr>
          <w:b/>
          <w:sz w:val="24"/>
          <w:szCs w:val="24"/>
          <w:u w:val="single"/>
        </w:rPr>
        <w:t xml:space="preserve">Анализ исполнения бюджетных ассигнований на реализацию </w:t>
      </w:r>
    </w:p>
    <w:p w14:paraId="17D732C2" w14:textId="77777777" w:rsidR="008F2B97" w:rsidRPr="00213A5D" w:rsidRDefault="008F2B97" w:rsidP="00AF1852">
      <w:pPr>
        <w:widowControl w:val="0"/>
        <w:spacing w:line="240" w:lineRule="auto"/>
        <w:ind w:left="0" w:right="0"/>
        <w:jc w:val="center"/>
        <w:rPr>
          <w:b/>
          <w:sz w:val="24"/>
          <w:szCs w:val="24"/>
          <w:u w:val="single"/>
        </w:rPr>
      </w:pPr>
      <w:r w:rsidRPr="00213A5D">
        <w:rPr>
          <w:b/>
          <w:sz w:val="24"/>
          <w:szCs w:val="24"/>
          <w:u w:val="single"/>
        </w:rPr>
        <w:t>государственных программ Российской Федерации</w:t>
      </w:r>
    </w:p>
    <w:p w14:paraId="35C2F799" w14:textId="77777777" w:rsidR="008F2B97" w:rsidRPr="00213A5D" w:rsidRDefault="008F2B97" w:rsidP="00AF1852">
      <w:pPr>
        <w:widowControl w:val="0"/>
        <w:spacing w:line="240" w:lineRule="auto"/>
        <w:ind w:left="0" w:right="0"/>
        <w:jc w:val="center"/>
        <w:rPr>
          <w:sz w:val="20"/>
          <w:szCs w:val="20"/>
        </w:rPr>
      </w:pPr>
    </w:p>
    <w:p w14:paraId="13A16820" w14:textId="77777777" w:rsidR="0086311A" w:rsidRPr="00213A5D" w:rsidRDefault="0086311A" w:rsidP="00BA4511">
      <w:pPr>
        <w:widowControl w:val="0"/>
        <w:spacing w:line="367" w:lineRule="auto"/>
        <w:ind w:left="0" w:right="0"/>
        <w:rPr>
          <w:sz w:val="24"/>
          <w:szCs w:val="24"/>
        </w:rPr>
      </w:pPr>
      <w:r w:rsidRPr="00213A5D">
        <w:rPr>
          <w:b/>
          <w:color w:val="000000"/>
          <w:sz w:val="24"/>
          <w:szCs w:val="24"/>
        </w:rPr>
        <w:t>5.1.</w:t>
      </w:r>
      <w:r w:rsidRPr="00213A5D">
        <w:rPr>
          <w:color w:val="000000"/>
          <w:sz w:val="24"/>
          <w:szCs w:val="24"/>
        </w:rPr>
        <w:t> </w:t>
      </w:r>
      <w:r w:rsidRPr="00213A5D">
        <w:rPr>
          <w:sz w:val="24"/>
          <w:szCs w:val="24"/>
        </w:rPr>
        <w:t xml:space="preserve">Федеральный закон № 390-ФЗ и сводная роспись с изменениями сформированы </w:t>
      </w:r>
      <w:r w:rsidRPr="00213A5D">
        <w:rPr>
          <w:sz w:val="24"/>
          <w:szCs w:val="24"/>
        </w:rPr>
        <w:br/>
      </w:r>
      <w:r w:rsidRPr="00213A5D">
        <w:rPr>
          <w:b/>
          <w:sz w:val="24"/>
          <w:szCs w:val="24"/>
        </w:rPr>
        <w:t>в программной структуре расходов на основе 48 государственных программ</w:t>
      </w:r>
      <w:r w:rsidRPr="00213A5D">
        <w:rPr>
          <w:sz w:val="24"/>
          <w:szCs w:val="24"/>
        </w:rPr>
        <w:t xml:space="preserve"> </w:t>
      </w:r>
      <w:r w:rsidRPr="00213A5D">
        <w:rPr>
          <w:sz w:val="24"/>
          <w:szCs w:val="24"/>
        </w:rPr>
        <w:br/>
        <w:t xml:space="preserve">Российской Федерации (далее – госпрограммы). По состоянию на 1 октября 2022 года бюджетные ассигнования на их реализацию составляют </w:t>
      </w:r>
      <w:r w:rsidRPr="00213A5D">
        <w:rPr>
          <w:b/>
          <w:sz w:val="24"/>
          <w:szCs w:val="24"/>
        </w:rPr>
        <w:t>18 373 791,1 млн. рублей</w:t>
      </w:r>
      <w:r w:rsidRPr="00213A5D">
        <w:rPr>
          <w:sz w:val="24"/>
          <w:szCs w:val="24"/>
        </w:rPr>
        <w:t xml:space="preserve"> </w:t>
      </w:r>
      <w:r w:rsidRPr="00213A5D">
        <w:rPr>
          <w:sz w:val="24"/>
          <w:szCs w:val="24"/>
        </w:rPr>
        <w:br/>
        <w:t xml:space="preserve">(открытая часть), что на 2 670 272,7 млн. рублей, или на 17 %, больше </w:t>
      </w:r>
      <w:r w:rsidRPr="00213A5D">
        <w:rPr>
          <w:sz w:val="24"/>
          <w:szCs w:val="24"/>
        </w:rPr>
        <w:br/>
        <w:t xml:space="preserve">бюджетных ассигнований, предусмотренных сводной росписью с изменениями </w:t>
      </w:r>
      <w:r w:rsidRPr="00213A5D">
        <w:rPr>
          <w:sz w:val="24"/>
          <w:szCs w:val="24"/>
        </w:rPr>
        <w:br/>
        <w:t>на реализацию 45 госпрограмм в аналогичном периоде 2021 года (15 703 518,4 млн. рублей (открытая часть).</w:t>
      </w:r>
    </w:p>
    <w:p w14:paraId="3224484D" w14:textId="77777777" w:rsidR="0086311A" w:rsidRPr="00213A5D" w:rsidRDefault="0086311A" w:rsidP="00BA4511">
      <w:pPr>
        <w:widowControl w:val="0"/>
        <w:spacing w:line="367" w:lineRule="auto"/>
        <w:ind w:left="0" w:right="0"/>
        <w:rPr>
          <w:sz w:val="24"/>
          <w:szCs w:val="24"/>
        </w:rPr>
      </w:pPr>
      <w:r w:rsidRPr="00213A5D">
        <w:rPr>
          <w:sz w:val="24"/>
          <w:szCs w:val="24"/>
        </w:rPr>
        <w:t xml:space="preserve">В соответствии с перечнем госпрограмм, утвержденным распоряжением </w:t>
      </w:r>
      <w:r w:rsidRPr="00213A5D">
        <w:rPr>
          <w:sz w:val="24"/>
          <w:szCs w:val="24"/>
        </w:rPr>
        <w:lastRenderedPageBreak/>
        <w:t xml:space="preserve">Правительства Российской Федерации от 11 ноября 2010 г. № 1950-р </w:t>
      </w:r>
      <w:r w:rsidR="00B215CD" w:rsidRPr="00213A5D">
        <w:rPr>
          <w:sz w:val="24"/>
          <w:szCs w:val="24"/>
        </w:rPr>
        <w:br/>
      </w:r>
      <w:r w:rsidRPr="00213A5D">
        <w:rPr>
          <w:sz w:val="24"/>
          <w:szCs w:val="24"/>
        </w:rPr>
        <w:t xml:space="preserve">(с изменениями), предусматривается реализация 49 госпрограмм, включая отраслевые </w:t>
      </w:r>
      <w:r w:rsidR="00B215CD" w:rsidRPr="00213A5D">
        <w:rPr>
          <w:sz w:val="24"/>
          <w:szCs w:val="24"/>
        </w:rPr>
        <w:br/>
      </w:r>
      <w:r w:rsidRPr="00213A5D">
        <w:rPr>
          <w:sz w:val="24"/>
          <w:szCs w:val="24"/>
        </w:rPr>
        <w:t xml:space="preserve">и комплексные госпрограммы, количество которых представлено на следующей </w:t>
      </w:r>
      <w:r w:rsidR="00B215CD" w:rsidRPr="00213A5D">
        <w:rPr>
          <w:sz w:val="24"/>
          <w:szCs w:val="24"/>
        </w:rPr>
        <w:br/>
      </w:r>
      <w:r w:rsidRPr="00213A5D">
        <w:rPr>
          <w:sz w:val="24"/>
          <w:szCs w:val="24"/>
        </w:rPr>
        <w:t>диаграмме.</w:t>
      </w:r>
    </w:p>
    <w:p w14:paraId="34F6800D" w14:textId="77777777" w:rsidR="00FD64FC" w:rsidRPr="00213A5D" w:rsidRDefault="0086311A" w:rsidP="00AF1852">
      <w:pPr>
        <w:widowControl w:val="0"/>
        <w:ind w:right="-2"/>
        <w:jc w:val="right"/>
        <w:rPr>
          <w:sz w:val="20"/>
          <w:szCs w:val="20"/>
        </w:rPr>
      </w:pPr>
      <w:r w:rsidRPr="00213A5D">
        <w:rPr>
          <w:sz w:val="20"/>
          <w:szCs w:val="20"/>
        </w:rPr>
        <w:t xml:space="preserve"> </w:t>
      </w:r>
      <w:r w:rsidR="00FD64FC" w:rsidRPr="00213A5D">
        <w:rPr>
          <w:sz w:val="20"/>
          <w:szCs w:val="20"/>
        </w:rPr>
        <w:t>(количество госпрограмм)</w:t>
      </w:r>
    </w:p>
    <w:p w14:paraId="6F9B3089" w14:textId="77777777" w:rsidR="0086311A" w:rsidRPr="00213A5D" w:rsidRDefault="00CD0E98" w:rsidP="00AF1852">
      <w:pPr>
        <w:widowControl w:val="0"/>
        <w:ind w:left="0" w:right="-2"/>
        <w:jc w:val="center"/>
        <w:rPr>
          <w:sz w:val="20"/>
          <w:szCs w:val="20"/>
        </w:rPr>
      </w:pPr>
      <w:r w:rsidRPr="00CD0E98">
        <w:rPr>
          <w:noProof/>
          <w:sz w:val="24"/>
          <w:szCs w:val="24"/>
        </w:rPr>
        <w:pict w14:anchorId="0433EE17">
          <v:shape id="Рисунок 20" o:spid="_x0000_i1064" type="#_x0000_t75" alt="" style="width:391.25pt;height:221.45pt;visibility:visible;mso-width-percent:0;mso-height-percent:0;mso-width-percent:0;mso-height-percent:0">
            <v:imagedata r:id="rId39" o:title=""/>
          </v:shape>
        </w:pict>
      </w:r>
    </w:p>
    <w:p w14:paraId="2FA1F25B" w14:textId="77777777" w:rsidR="0086311A" w:rsidRPr="00213A5D" w:rsidRDefault="0086311A" w:rsidP="00BA4511">
      <w:pPr>
        <w:widowControl w:val="0"/>
        <w:spacing w:line="365" w:lineRule="auto"/>
        <w:ind w:left="0" w:right="0"/>
        <w:rPr>
          <w:sz w:val="24"/>
          <w:szCs w:val="24"/>
        </w:rPr>
      </w:pPr>
      <w:r w:rsidRPr="00213A5D">
        <w:rPr>
          <w:sz w:val="24"/>
          <w:szCs w:val="24"/>
        </w:rPr>
        <w:t xml:space="preserve">В 2022 году </w:t>
      </w:r>
      <w:r w:rsidRPr="00213A5D">
        <w:rPr>
          <w:b/>
          <w:sz w:val="24"/>
          <w:szCs w:val="24"/>
        </w:rPr>
        <w:t>впервые</w:t>
      </w:r>
      <w:r w:rsidRPr="00213A5D">
        <w:rPr>
          <w:sz w:val="24"/>
          <w:szCs w:val="24"/>
        </w:rPr>
        <w:t xml:space="preserve"> началась реализация </w:t>
      </w:r>
      <w:r w:rsidRPr="00213A5D">
        <w:rPr>
          <w:b/>
          <w:sz w:val="24"/>
          <w:szCs w:val="24"/>
        </w:rPr>
        <w:t>5 госпрограмм</w:t>
      </w:r>
      <w:r w:rsidRPr="00213A5D">
        <w:rPr>
          <w:sz w:val="24"/>
          <w:szCs w:val="24"/>
        </w:rPr>
        <w:t xml:space="preserve"> (в том </w:t>
      </w:r>
      <w:r w:rsidRPr="00213A5D">
        <w:rPr>
          <w:sz w:val="24"/>
          <w:szCs w:val="24"/>
        </w:rPr>
        <w:br/>
        <w:t>числе 2 комплексных госпрограмм</w:t>
      </w:r>
      <w:r w:rsidR="003000AC" w:rsidRPr="00213A5D">
        <w:rPr>
          <w:sz w:val="24"/>
          <w:szCs w:val="24"/>
        </w:rPr>
        <w:t>ы</w:t>
      </w:r>
      <w:r w:rsidRPr="00213A5D">
        <w:rPr>
          <w:sz w:val="24"/>
          <w:szCs w:val="24"/>
        </w:rPr>
        <w:t>):</w:t>
      </w:r>
    </w:p>
    <w:p w14:paraId="72DB46D3" w14:textId="77777777" w:rsidR="0086311A" w:rsidRPr="00213A5D" w:rsidRDefault="0086311A" w:rsidP="00BA4511">
      <w:pPr>
        <w:widowControl w:val="0"/>
        <w:spacing w:line="365" w:lineRule="auto"/>
        <w:ind w:left="0" w:right="0"/>
        <w:rPr>
          <w:sz w:val="24"/>
          <w:szCs w:val="24"/>
        </w:rPr>
      </w:pPr>
      <w:r w:rsidRPr="00213A5D">
        <w:rPr>
          <w:sz w:val="24"/>
          <w:szCs w:val="24"/>
        </w:rPr>
        <w:t>1. «Развитие туризма»</w:t>
      </w:r>
      <w:r w:rsidR="00914B3C" w:rsidRPr="00213A5D">
        <w:rPr>
          <w:sz w:val="24"/>
          <w:szCs w:val="24"/>
        </w:rPr>
        <w:t>.</w:t>
      </w:r>
    </w:p>
    <w:p w14:paraId="61390E94" w14:textId="77777777" w:rsidR="0086311A" w:rsidRPr="00213A5D" w:rsidRDefault="0086311A" w:rsidP="00BA4511">
      <w:pPr>
        <w:widowControl w:val="0"/>
        <w:spacing w:line="365" w:lineRule="auto"/>
        <w:ind w:left="0" w:right="0"/>
        <w:rPr>
          <w:sz w:val="24"/>
          <w:szCs w:val="24"/>
        </w:rPr>
      </w:pPr>
      <w:r w:rsidRPr="00213A5D">
        <w:rPr>
          <w:sz w:val="24"/>
          <w:szCs w:val="24"/>
        </w:rPr>
        <w:t xml:space="preserve">2. Государственная программа эффективного вовлечения в оборот земель сельскохозяйственного назначения и развития мелиоративного комплекса </w:t>
      </w:r>
      <w:r w:rsidR="009326A9" w:rsidRPr="00213A5D">
        <w:rPr>
          <w:sz w:val="24"/>
          <w:szCs w:val="24"/>
        </w:rPr>
        <w:br/>
      </w:r>
      <w:r w:rsidRPr="00213A5D">
        <w:rPr>
          <w:sz w:val="24"/>
          <w:szCs w:val="24"/>
        </w:rPr>
        <w:t>Российской Федерации</w:t>
      </w:r>
      <w:r w:rsidR="00914B3C" w:rsidRPr="00213A5D">
        <w:rPr>
          <w:sz w:val="24"/>
          <w:szCs w:val="24"/>
        </w:rPr>
        <w:t>.</w:t>
      </w:r>
    </w:p>
    <w:p w14:paraId="64F11C67" w14:textId="77777777" w:rsidR="0086311A" w:rsidRPr="00213A5D" w:rsidRDefault="0086311A" w:rsidP="00BA4511">
      <w:pPr>
        <w:widowControl w:val="0"/>
        <w:spacing w:line="365" w:lineRule="auto"/>
        <w:ind w:left="0" w:right="0"/>
        <w:rPr>
          <w:sz w:val="24"/>
          <w:szCs w:val="24"/>
        </w:rPr>
      </w:pPr>
      <w:r w:rsidRPr="00213A5D">
        <w:rPr>
          <w:sz w:val="24"/>
          <w:szCs w:val="24"/>
        </w:rPr>
        <w:t>3. «Национальная система пространственных данных»</w:t>
      </w:r>
      <w:r w:rsidR="009F14EC" w:rsidRPr="00213A5D">
        <w:rPr>
          <w:sz w:val="24"/>
          <w:szCs w:val="24"/>
        </w:rPr>
        <w:t>.</w:t>
      </w:r>
    </w:p>
    <w:p w14:paraId="10DB970E" w14:textId="77777777" w:rsidR="0086311A" w:rsidRPr="00213A5D" w:rsidRDefault="0086311A" w:rsidP="00BA4511">
      <w:pPr>
        <w:widowControl w:val="0"/>
        <w:spacing w:line="365" w:lineRule="auto"/>
        <w:ind w:left="0" w:right="0"/>
        <w:rPr>
          <w:sz w:val="24"/>
          <w:szCs w:val="24"/>
        </w:rPr>
      </w:pPr>
      <w:r w:rsidRPr="00213A5D">
        <w:rPr>
          <w:sz w:val="24"/>
          <w:szCs w:val="24"/>
        </w:rPr>
        <w:t>4. «Содействие международному развитию»</w:t>
      </w:r>
      <w:r w:rsidR="009F14EC" w:rsidRPr="00213A5D">
        <w:rPr>
          <w:sz w:val="24"/>
          <w:szCs w:val="24"/>
        </w:rPr>
        <w:t>.</w:t>
      </w:r>
    </w:p>
    <w:p w14:paraId="533E9C52" w14:textId="77777777" w:rsidR="0086311A" w:rsidRPr="00213A5D" w:rsidRDefault="0086311A" w:rsidP="00BA4511">
      <w:pPr>
        <w:widowControl w:val="0"/>
        <w:spacing w:line="365" w:lineRule="auto"/>
        <w:ind w:left="0" w:right="0"/>
        <w:rPr>
          <w:sz w:val="24"/>
          <w:szCs w:val="24"/>
        </w:rPr>
      </w:pPr>
      <w:r w:rsidRPr="00213A5D">
        <w:rPr>
          <w:sz w:val="24"/>
          <w:szCs w:val="24"/>
        </w:rPr>
        <w:t xml:space="preserve">5. «Поддержка и продвижение русского языка за рубежом», по которой </w:t>
      </w:r>
      <w:r w:rsidRPr="00213A5D">
        <w:rPr>
          <w:b/>
          <w:sz w:val="24"/>
          <w:szCs w:val="24"/>
        </w:rPr>
        <w:t>бюджетные ассигнования</w:t>
      </w:r>
      <w:r w:rsidRPr="00213A5D">
        <w:rPr>
          <w:sz w:val="24"/>
          <w:szCs w:val="24"/>
        </w:rPr>
        <w:t xml:space="preserve"> на 2022 год Федеральным законом № 390-ФЗ и сводной росписью </w:t>
      </w:r>
      <w:r w:rsidR="009326A9" w:rsidRPr="00213A5D">
        <w:rPr>
          <w:sz w:val="24"/>
          <w:szCs w:val="24"/>
        </w:rPr>
        <w:br/>
      </w:r>
      <w:r w:rsidRPr="00213A5D">
        <w:rPr>
          <w:sz w:val="24"/>
          <w:szCs w:val="24"/>
        </w:rPr>
        <w:t xml:space="preserve">с изменениями </w:t>
      </w:r>
      <w:r w:rsidRPr="00213A5D">
        <w:rPr>
          <w:b/>
          <w:sz w:val="24"/>
          <w:szCs w:val="24"/>
        </w:rPr>
        <w:t>не предусмотрены</w:t>
      </w:r>
      <w:r w:rsidRPr="00213A5D">
        <w:rPr>
          <w:sz w:val="24"/>
          <w:szCs w:val="24"/>
        </w:rPr>
        <w:t>.</w:t>
      </w:r>
    </w:p>
    <w:p w14:paraId="23FFE463" w14:textId="77777777" w:rsidR="0086311A" w:rsidRPr="00213A5D" w:rsidRDefault="0086311A" w:rsidP="00BA4511">
      <w:pPr>
        <w:widowControl w:val="0"/>
        <w:spacing w:line="365" w:lineRule="auto"/>
        <w:ind w:left="0" w:right="0"/>
        <w:rPr>
          <w:sz w:val="24"/>
          <w:szCs w:val="24"/>
        </w:rPr>
      </w:pPr>
      <w:r w:rsidRPr="00213A5D">
        <w:rPr>
          <w:sz w:val="24"/>
          <w:szCs w:val="24"/>
        </w:rPr>
        <w:t xml:space="preserve">С 2022 года перечень госпрограмм содержит </w:t>
      </w:r>
      <w:r w:rsidRPr="00213A5D">
        <w:rPr>
          <w:b/>
          <w:sz w:val="24"/>
          <w:szCs w:val="24"/>
        </w:rPr>
        <w:t>8 новых направлений</w:t>
      </w:r>
      <w:r w:rsidRPr="00213A5D">
        <w:rPr>
          <w:sz w:val="24"/>
          <w:szCs w:val="24"/>
        </w:rPr>
        <w:t xml:space="preserve"> (разделов) реализации госпрограмм («Сохранение населения, здоровье и благополучие людей»; «Возможности для самореализации и развития талантов»; «Комфортная и безопасная среда для жизни»; «Достойный, эффективный труд и успешное предпринимательство»; </w:t>
      </w:r>
      <w:r w:rsidRPr="00213A5D">
        <w:rPr>
          <w:sz w:val="24"/>
          <w:szCs w:val="24"/>
        </w:rPr>
        <w:br/>
        <w:t xml:space="preserve">«Развитие науки, промышленности и технологий»; «Цифровая трансформация»; «Сбалансированное региональное развитие»; «Обеспечение национальной безопасности и международного сотрудничества»), который </w:t>
      </w:r>
      <w:r w:rsidRPr="00213A5D">
        <w:rPr>
          <w:b/>
          <w:sz w:val="24"/>
          <w:szCs w:val="24"/>
        </w:rPr>
        <w:t>существенно отличается</w:t>
      </w:r>
      <w:r w:rsidRPr="00213A5D">
        <w:rPr>
          <w:sz w:val="24"/>
          <w:szCs w:val="24"/>
        </w:rPr>
        <w:t xml:space="preserve"> от утвержденной ранее аналитической группировки госпрограмм по 5 направлениям (разделам) </w:t>
      </w:r>
      <w:r w:rsidR="009326A9" w:rsidRPr="00213A5D">
        <w:rPr>
          <w:sz w:val="24"/>
          <w:szCs w:val="24"/>
        </w:rPr>
        <w:br/>
      </w:r>
      <w:r w:rsidRPr="00213A5D">
        <w:rPr>
          <w:sz w:val="24"/>
          <w:szCs w:val="24"/>
        </w:rPr>
        <w:lastRenderedPageBreak/>
        <w:t>(«Новое качество жизни», «Инновационное развитие и модернизация экономики», «Обеспечение национальной безопасности», «Сбалансированное региональное развитие», «Эффективное государство»).</w:t>
      </w:r>
    </w:p>
    <w:p w14:paraId="2AE96157" w14:textId="77777777" w:rsidR="0086311A" w:rsidRPr="00213A5D" w:rsidRDefault="0086311A" w:rsidP="00BA4511">
      <w:pPr>
        <w:widowControl w:val="0"/>
        <w:spacing w:line="365" w:lineRule="auto"/>
        <w:ind w:left="0" w:right="0"/>
        <w:rPr>
          <w:sz w:val="24"/>
          <w:szCs w:val="24"/>
        </w:rPr>
      </w:pPr>
      <w:r w:rsidRPr="00213A5D">
        <w:rPr>
          <w:sz w:val="24"/>
          <w:szCs w:val="24"/>
        </w:rPr>
        <w:t>Анализ изменений по составу госпрограмм, сгруппированных по направлениям (разделам), представлен на следующей диаграмме.</w:t>
      </w:r>
    </w:p>
    <w:p w14:paraId="564802FF" w14:textId="77777777" w:rsidR="0086311A" w:rsidRPr="00213A5D" w:rsidRDefault="00CD0E98" w:rsidP="006C7093">
      <w:pPr>
        <w:widowControl w:val="0"/>
        <w:spacing w:line="480" w:lineRule="auto"/>
        <w:ind w:left="-142" w:right="-2" w:firstLine="0"/>
        <w:jc w:val="center"/>
        <w:rPr>
          <w:sz w:val="24"/>
          <w:szCs w:val="24"/>
        </w:rPr>
      </w:pPr>
      <w:r>
        <w:rPr>
          <w:noProof/>
        </w:rPr>
        <w:pict w14:anchorId="0BCA6321">
          <v:shape id="Рисунок 19" o:spid="_x0000_i1063" type="#_x0000_t75" alt="" style="width:502.65pt;height:342.35pt;visibility:visible;mso-width-percent:0;mso-height-percent:0;mso-width-percent:0;mso-height-percent:0">
            <v:imagedata r:id="rId40" o:title=""/>
          </v:shape>
        </w:pict>
      </w:r>
    </w:p>
    <w:p w14:paraId="23A7D9EA" w14:textId="77777777" w:rsidR="0086311A" w:rsidRPr="00213A5D" w:rsidRDefault="0086311A" w:rsidP="00BA4511">
      <w:pPr>
        <w:widowControl w:val="0"/>
        <w:spacing w:line="367" w:lineRule="auto"/>
        <w:ind w:left="0" w:right="0"/>
        <w:rPr>
          <w:rFonts w:eastAsia="Times New Roman"/>
          <w:sz w:val="24"/>
          <w:szCs w:val="24"/>
        </w:rPr>
      </w:pPr>
      <w:r w:rsidRPr="00213A5D">
        <w:rPr>
          <w:b/>
          <w:bCs/>
          <w:sz w:val="24"/>
          <w:szCs w:val="24"/>
        </w:rPr>
        <w:t>5.2. </w:t>
      </w:r>
      <w:bookmarkStart w:id="6" w:name="_MON_1606230018"/>
      <w:bookmarkStart w:id="7" w:name="_MON_1606295454"/>
      <w:bookmarkEnd w:id="6"/>
      <w:bookmarkEnd w:id="7"/>
      <w:r w:rsidRPr="00213A5D">
        <w:rPr>
          <w:rFonts w:eastAsia="Times New Roman"/>
          <w:sz w:val="24"/>
          <w:szCs w:val="24"/>
        </w:rPr>
        <w:t xml:space="preserve">В соответствии с </w:t>
      </w:r>
      <w:r w:rsidR="001D233D" w:rsidRPr="00213A5D">
        <w:rPr>
          <w:rFonts w:eastAsia="Times New Roman"/>
          <w:sz w:val="24"/>
          <w:szCs w:val="24"/>
        </w:rPr>
        <w:t>П</w:t>
      </w:r>
      <w:r w:rsidRPr="00213A5D">
        <w:rPr>
          <w:rFonts w:eastAsia="Times New Roman"/>
          <w:sz w:val="24"/>
          <w:szCs w:val="24"/>
        </w:rPr>
        <w:t xml:space="preserve">оложением о системе управления государственными программами Российской Федерации, утвержденным постановлением Правительства Российской Федерации от 26 мая 2021 г. № 786 «О системе управления </w:t>
      </w:r>
      <w:r w:rsidR="009326A9" w:rsidRPr="00213A5D">
        <w:rPr>
          <w:rFonts w:eastAsia="Times New Roman"/>
          <w:sz w:val="24"/>
          <w:szCs w:val="24"/>
        </w:rPr>
        <w:br/>
      </w:r>
      <w:r w:rsidRPr="00213A5D">
        <w:rPr>
          <w:rFonts w:eastAsia="Times New Roman"/>
          <w:sz w:val="24"/>
          <w:szCs w:val="24"/>
        </w:rPr>
        <w:t xml:space="preserve">государственными программами Российской Федерации» (далее – Положение о госпрограммах) с 2022 года осуществлена трансформация института госпрограмм и переход </w:t>
      </w:r>
      <w:r w:rsidR="009326A9" w:rsidRPr="00213A5D">
        <w:rPr>
          <w:rFonts w:eastAsia="Times New Roman"/>
          <w:sz w:val="24"/>
          <w:szCs w:val="24"/>
        </w:rPr>
        <w:br/>
      </w:r>
      <w:r w:rsidRPr="00213A5D">
        <w:rPr>
          <w:rFonts w:eastAsia="Times New Roman"/>
          <w:sz w:val="24"/>
          <w:szCs w:val="24"/>
        </w:rPr>
        <w:t xml:space="preserve">на </w:t>
      </w:r>
      <w:r w:rsidRPr="00213A5D">
        <w:rPr>
          <w:rFonts w:eastAsia="Times New Roman"/>
          <w:b/>
          <w:sz w:val="24"/>
          <w:szCs w:val="24"/>
        </w:rPr>
        <w:t>новые подходы к разработке и реализации госпрограмм</w:t>
      </w:r>
      <w:r w:rsidRPr="00213A5D">
        <w:rPr>
          <w:rFonts w:eastAsia="Times New Roman"/>
          <w:sz w:val="24"/>
          <w:szCs w:val="24"/>
        </w:rPr>
        <w:t xml:space="preserve">, включая изменение </w:t>
      </w:r>
      <w:r w:rsidR="009326A9" w:rsidRPr="00213A5D">
        <w:rPr>
          <w:rFonts w:eastAsia="Times New Roman"/>
          <w:sz w:val="24"/>
          <w:szCs w:val="24"/>
        </w:rPr>
        <w:br/>
      </w:r>
      <w:r w:rsidRPr="00213A5D">
        <w:rPr>
          <w:rFonts w:eastAsia="Times New Roman"/>
          <w:sz w:val="24"/>
          <w:szCs w:val="24"/>
        </w:rPr>
        <w:t xml:space="preserve">системы целеполагания, структуры и содержания госпрограмм, формирование </w:t>
      </w:r>
      <w:r w:rsidR="009326A9" w:rsidRPr="00213A5D">
        <w:rPr>
          <w:rFonts w:eastAsia="Times New Roman"/>
          <w:sz w:val="24"/>
          <w:szCs w:val="24"/>
        </w:rPr>
        <w:br/>
      </w:r>
      <w:r w:rsidRPr="00213A5D">
        <w:rPr>
          <w:rFonts w:eastAsia="Times New Roman"/>
          <w:sz w:val="24"/>
          <w:szCs w:val="24"/>
        </w:rPr>
        <w:t xml:space="preserve">системы управления госпрограммой, их разделение на отраслевые и комплексные. Структурными элементами госпрограмм являются федеральные и ведомственные </w:t>
      </w:r>
      <w:r w:rsidR="009326A9" w:rsidRPr="00213A5D">
        <w:rPr>
          <w:rFonts w:eastAsia="Times New Roman"/>
          <w:sz w:val="24"/>
          <w:szCs w:val="24"/>
        </w:rPr>
        <w:br/>
      </w:r>
      <w:r w:rsidRPr="00213A5D">
        <w:rPr>
          <w:rFonts w:eastAsia="Times New Roman"/>
          <w:sz w:val="24"/>
          <w:szCs w:val="24"/>
        </w:rPr>
        <w:t xml:space="preserve">проекты (проектная часть), а также комплексы процессных мероприятий (процессная часть). Количество структурных элементов госпрограмм в соответствии со сводной росписью </w:t>
      </w:r>
      <w:r w:rsidR="009326A9" w:rsidRPr="00213A5D">
        <w:rPr>
          <w:rFonts w:eastAsia="Times New Roman"/>
          <w:sz w:val="24"/>
          <w:szCs w:val="24"/>
        </w:rPr>
        <w:br/>
      </w:r>
      <w:r w:rsidRPr="00213A5D">
        <w:rPr>
          <w:rFonts w:eastAsia="Times New Roman"/>
          <w:sz w:val="24"/>
          <w:szCs w:val="24"/>
        </w:rPr>
        <w:t>по состоянию на 1 октября 2022 года представлено на следующей диаграмме.</w:t>
      </w:r>
    </w:p>
    <w:p w14:paraId="795FA159" w14:textId="77777777" w:rsidR="00FD64FC" w:rsidRPr="00213A5D" w:rsidRDefault="00FD64FC" w:rsidP="00AF1852">
      <w:pPr>
        <w:widowControl w:val="0"/>
        <w:spacing w:line="240" w:lineRule="auto"/>
        <w:ind w:right="-2"/>
        <w:jc w:val="right"/>
        <w:rPr>
          <w:rFonts w:eastAsia="Times New Roman"/>
          <w:sz w:val="24"/>
          <w:szCs w:val="24"/>
        </w:rPr>
      </w:pPr>
      <w:r w:rsidRPr="00213A5D">
        <w:rPr>
          <w:rFonts w:eastAsia="Times New Roman"/>
          <w:sz w:val="20"/>
          <w:szCs w:val="20"/>
        </w:rPr>
        <w:t>(количество структурных элементов</w:t>
      </w:r>
      <w:r w:rsidRPr="00213A5D">
        <w:rPr>
          <w:rFonts w:eastAsia="Times New Roman"/>
          <w:sz w:val="24"/>
          <w:szCs w:val="24"/>
        </w:rPr>
        <w:t>)</w:t>
      </w:r>
    </w:p>
    <w:p w14:paraId="64BDCE23" w14:textId="77777777" w:rsidR="0086311A" w:rsidRPr="00213A5D" w:rsidRDefault="00CD0E98" w:rsidP="00AF1852">
      <w:pPr>
        <w:widowControl w:val="0"/>
        <w:spacing w:line="240" w:lineRule="auto"/>
        <w:ind w:left="0" w:right="-2" w:firstLine="0"/>
        <w:jc w:val="center"/>
        <w:rPr>
          <w:rFonts w:eastAsia="Times New Roman"/>
          <w:sz w:val="24"/>
          <w:szCs w:val="24"/>
        </w:rPr>
      </w:pPr>
      <w:r w:rsidRPr="00CD0E98">
        <w:rPr>
          <w:rFonts w:eastAsia="Times New Roman"/>
          <w:noProof/>
          <w:sz w:val="24"/>
          <w:szCs w:val="24"/>
        </w:rPr>
        <w:lastRenderedPageBreak/>
        <w:pict w14:anchorId="1C544CC1">
          <v:shape id="_x0000_i1062" type="#_x0000_t75" alt="" style="width:252.7pt;height:152.85pt;visibility:visible;mso-width-percent:0;mso-height-percent:0;mso-width-percent:0;mso-height-percent:0">
            <v:imagedata r:id="rId41" o:title=""/>
          </v:shape>
        </w:pict>
      </w:r>
    </w:p>
    <w:p w14:paraId="609A09D3" w14:textId="77777777" w:rsidR="00037CD3" w:rsidRPr="00213A5D" w:rsidRDefault="00037CD3" w:rsidP="00AF1852">
      <w:pPr>
        <w:widowControl w:val="0"/>
        <w:spacing w:line="350" w:lineRule="auto"/>
        <w:ind w:left="0" w:right="-2"/>
        <w:rPr>
          <w:color w:val="000000"/>
          <w:sz w:val="24"/>
          <w:szCs w:val="24"/>
        </w:rPr>
      </w:pPr>
      <w:r w:rsidRPr="00213A5D">
        <w:rPr>
          <w:b/>
          <w:sz w:val="24"/>
          <w:szCs w:val="24"/>
        </w:rPr>
        <w:t>5.3.</w:t>
      </w:r>
      <w:r w:rsidRPr="00213A5D">
        <w:rPr>
          <w:sz w:val="24"/>
          <w:szCs w:val="24"/>
        </w:rPr>
        <w:t> </w:t>
      </w:r>
      <w:r w:rsidRPr="00213A5D">
        <w:rPr>
          <w:color w:val="000000"/>
          <w:sz w:val="24"/>
          <w:szCs w:val="24"/>
        </w:rPr>
        <w:t xml:space="preserve">В соответствии с Положением о госпрограммах документами, входящими </w:t>
      </w:r>
      <w:r w:rsidR="00B215CD" w:rsidRPr="00213A5D">
        <w:rPr>
          <w:color w:val="000000"/>
          <w:sz w:val="24"/>
          <w:szCs w:val="24"/>
        </w:rPr>
        <w:br/>
      </w:r>
      <w:r w:rsidRPr="00213A5D">
        <w:rPr>
          <w:color w:val="000000"/>
          <w:sz w:val="24"/>
          <w:szCs w:val="24"/>
        </w:rPr>
        <w:t xml:space="preserve">в состав госпрограмм, являются </w:t>
      </w:r>
      <w:r w:rsidRPr="00213A5D">
        <w:rPr>
          <w:b/>
          <w:bCs/>
          <w:color w:val="000000"/>
          <w:sz w:val="24"/>
          <w:szCs w:val="24"/>
        </w:rPr>
        <w:t>в том числе паспорта структурных элементов</w:t>
      </w:r>
      <w:r w:rsidRPr="00213A5D">
        <w:rPr>
          <w:color w:val="000000"/>
          <w:sz w:val="24"/>
          <w:szCs w:val="24"/>
        </w:rPr>
        <w:t xml:space="preserve">, </w:t>
      </w:r>
      <w:r w:rsidR="00B215CD" w:rsidRPr="00213A5D">
        <w:rPr>
          <w:color w:val="000000"/>
          <w:sz w:val="24"/>
          <w:szCs w:val="24"/>
        </w:rPr>
        <w:br/>
      </w:r>
      <w:r w:rsidRPr="00213A5D">
        <w:rPr>
          <w:color w:val="000000"/>
          <w:sz w:val="24"/>
          <w:szCs w:val="24"/>
        </w:rPr>
        <w:t>по которым формируются</w:t>
      </w:r>
      <w:r w:rsidR="00AD0CD4" w:rsidRPr="00213A5D">
        <w:rPr>
          <w:color w:val="000000"/>
          <w:sz w:val="24"/>
          <w:szCs w:val="24"/>
        </w:rPr>
        <w:t xml:space="preserve"> паспорта</w:t>
      </w:r>
      <w:r w:rsidRPr="00213A5D">
        <w:rPr>
          <w:color w:val="000000"/>
          <w:sz w:val="24"/>
          <w:szCs w:val="24"/>
        </w:rPr>
        <w:t>. Наибольшее количество структурных элементов отмечается по следующим госпрограммам.</w:t>
      </w:r>
    </w:p>
    <w:p w14:paraId="1077E030" w14:textId="77777777" w:rsidR="00DB7FE3" w:rsidRPr="00213A5D" w:rsidRDefault="00037CD3" w:rsidP="00AF1852">
      <w:pPr>
        <w:widowControl w:val="0"/>
        <w:spacing w:line="240" w:lineRule="auto"/>
        <w:ind w:right="-2"/>
        <w:jc w:val="right"/>
        <w:rPr>
          <w:color w:val="000000"/>
          <w:sz w:val="20"/>
          <w:szCs w:val="20"/>
        </w:rPr>
      </w:pPr>
      <w:r w:rsidRPr="00213A5D">
        <w:rPr>
          <w:color w:val="000000"/>
          <w:sz w:val="20"/>
          <w:szCs w:val="20"/>
        </w:rPr>
        <w:t xml:space="preserve"> </w:t>
      </w:r>
      <w:r w:rsidR="00DB7FE3" w:rsidRPr="00213A5D">
        <w:rPr>
          <w:color w:val="000000"/>
          <w:sz w:val="20"/>
          <w:szCs w:val="20"/>
        </w:rPr>
        <w:t>(количество структурных элементов)</w:t>
      </w:r>
    </w:p>
    <w:p w14:paraId="61E04091" w14:textId="77777777" w:rsidR="00037CD3" w:rsidRPr="00213A5D" w:rsidRDefault="00CD0E98" w:rsidP="00AF1852">
      <w:pPr>
        <w:widowControl w:val="0"/>
        <w:spacing w:line="240" w:lineRule="auto"/>
        <w:ind w:left="0" w:right="-2" w:firstLine="0"/>
        <w:jc w:val="center"/>
        <w:rPr>
          <w:color w:val="000000"/>
          <w:sz w:val="20"/>
          <w:szCs w:val="20"/>
        </w:rPr>
      </w:pPr>
      <w:r>
        <w:rPr>
          <w:noProof/>
          <w:color w:val="000000"/>
          <w:sz w:val="20"/>
          <w:szCs w:val="20"/>
        </w:rPr>
        <w:pict w14:anchorId="56E28D9C">
          <v:shape id="Рисунок 2" o:spid="_x0000_i1061" type="#_x0000_t75" alt="" style="width:474.8pt;height:213.95pt;visibility:visible;mso-width-percent:0;mso-height-percent:0;mso-width-percent:0;mso-height-percent:0">
            <v:imagedata r:id="rId42" o:title=""/>
          </v:shape>
        </w:pict>
      </w:r>
    </w:p>
    <w:p w14:paraId="7319DE2E" w14:textId="77777777" w:rsidR="00037CD3" w:rsidRPr="00213A5D" w:rsidRDefault="00037CD3" w:rsidP="00F94411">
      <w:pPr>
        <w:widowControl w:val="0"/>
        <w:ind w:left="0" w:right="0"/>
        <w:rPr>
          <w:color w:val="000000"/>
          <w:sz w:val="12"/>
          <w:szCs w:val="12"/>
        </w:rPr>
      </w:pPr>
    </w:p>
    <w:p w14:paraId="426D6CF1" w14:textId="77777777" w:rsidR="00037CD3" w:rsidRPr="00213A5D" w:rsidRDefault="00037CD3" w:rsidP="00AF1852">
      <w:pPr>
        <w:widowControl w:val="0"/>
        <w:spacing w:line="384" w:lineRule="auto"/>
        <w:ind w:left="0" w:right="0"/>
        <w:rPr>
          <w:color w:val="000000"/>
          <w:sz w:val="24"/>
          <w:szCs w:val="24"/>
        </w:rPr>
      </w:pPr>
      <w:r w:rsidRPr="00213A5D">
        <w:rPr>
          <w:color w:val="000000"/>
          <w:sz w:val="24"/>
          <w:szCs w:val="24"/>
        </w:rPr>
        <w:t xml:space="preserve">Следует отметить, что </w:t>
      </w:r>
      <w:r w:rsidRPr="00213A5D">
        <w:rPr>
          <w:b/>
          <w:color w:val="000000"/>
          <w:sz w:val="24"/>
          <w:szCs w:val="24"/>
        </w:rPr>
        <w:t>объем бюджетных ассигнований</w:t>
      </w:r>
      <w:r w:rsidRPr="00213A5D">
        <w:rPr>
          <w:color w:val="000000"/>
          <w:sz w:val="24"/>
          <w:szCs w:val="24"/>
        </w:rPr>
        <w:t xml:space="preserve"> сводной росписи </w:t>
      </w:r>
      <w:r w:rsidR="00F94411" w:rsidRPr="00213A5D">
        <w:rPr>
          <w:color w:val="000000"/>
          <w:sz w:val="24"/>
          <w:szCs w:val="24"/>
        </w:rPr>
        <w:br/>
      </w:r>
      <w:r w:rsidRPr="00213A5D">
        <w:rPr>
          <w:color w:val="000000"/>
          <w:sz w:val="24"/>
          <w:szCs w:val="24"/>
        </w:rPr>
        <w:t xml:space="preserve">с изменениями по </w:t>
      </w:r>
      <w:r w:rsidRPr="00213A5D">
        <w:rPr>
          <w:b/>
          <w:color w:val="000000"/>
          <w:sz w:val="24"/>
          <w:szCs w:val="24"/>
        </w:rPr>
        <w:t>различным структурным элементам существенно различается</w:t>
      </w:r>
      <w:r w:rsidRPr="00213A5D">
        <w:rPr>
          <w:color w:val="000000"/>
          <w:sz w:val="24"/>
          <w:szCs w:val="24"/>
        </w:rPr>
        <w:t xml:space="preserve">: </w:t>
      </w:r>
      <w:r w:rsidR="00F94411" w:rsidRPr="00213A5D">
        <w:rPr>
          <w:color w:val="000000"/>
          <w:sz w:val="24"/>
          <w:szCs w:val="24"/>
        </w:rPr>
        <w:br/>
      </w:r>
      <w:r w:rsidRPr="00213A5D">
        <w:rPr>
          <w:color w:val="000000"/>
          <w:sz w:val="24"/>
          <w:szCs w:val="24"/>
        </w:rPr>
        <w:t xml:space="preserve">по проектной части </w:t>
      </w:r>
      <w:r w:rsidRPr="00213A5D">
        <w:rPr>
          <w:b/>
          <w:color w:val="000000"/>
          <w:sz w:val="24"/>
          <w:szCs w:val="24"/>
        </w:rPr>
        <w:t>от 5,0 млн. рублей</w:t>
      </w:r>
      <w:r w:rsidRPr="00213A5D">
        <w:rPr>
          <w:color w:val="000000"/>
          <w:sz w:val="24"/>
          <w:szCs w:val="24"/>
        </w:rPr>
        <w:t xml:space="preserve"> по федеральному проекту «Организация </w:t>
      </w:r>
      <w:r w:rsidR="00F94411" w:rsidRPr="00213A5D">
        <w:rPr>
          <w:color w:val="000000"/>
          <w:sz w:val="24"/>
          <w:szCs w:val="24"/>
        </w:rPr>
        <w:br/>
      </w:r>
      <w:r w:rsidRPr="00213A5D">
        <w:rPr>
          <w:color w:val="000000"/>
          <w:sz w:val="24"/>
          <w:szCs w:val="24"/>
        </w:rPr>
        <w:t xml:space="preserve">перевозок пассажиров в прямом смешанном сообщении из Российской Федерации </w:t>
      </w:r>
      <w:r w:rsidR="00F94411" w:rsidRPr="00213A5D">
        <w:rPr>
          <w:color w:val="000000"/>
          <w:sz w:val="24"/>
          <w:szCs w:val="24"/>
        </w:rPr>
        <w:br/>
      </w:r>
      <w:r w:rsidRPr="00213A5D">
        <w:rPr>
          <w:color w:val="000000"/>
          <w:sz w:val="24"/>
          <w:szCs w:val="24"/>
        </w:rPr>
        <w:t xml:space="preserve">на территорию Республики Абхазия и в обратном направлении» (госпрограмма «Развитие транспортной системы» </w:t>
      </w:r>
      <w:r w:rsidRPr="00213A5D">
        <w:rPr>
          <w:b/>
          <w:color w:val="000000"/>
          <w:sz w:val="24"/>
          <w:szCs w:val="24"/>
        </w:rPr>
        <w:t>до 677 000,1 млн. рублей</w:t>
      </w:r>
      <w:r w:rsidRPr="00213A5D">
        <w:rPr>
          <w:color w:val="000000"/>
          <w:sz w:val="24"/>
          <w:szCs w:val="24"/>
        </w:rPr>
        <w:t xml:space="preserve"> по федеральному проекту «Финансовая поддержка семей при рождении детей» (госпрограмма «Социальная поддержка граждан») </w:t>
      </w:r>
      <w:r w:rsidR="00F94411" w:rsidRPr="00213A5D">
        <w:rPr>
          <w:color w:val="000000"/>
          <w:sz w:val="24"/>
          <w:szCs w:val="24"/>
        </w:rPr>
        <w:br/>
      </w:r>
      <w:r w:rsidRPr="00213A5D">
        <w:rPr>
          <w:color w:val="000000"/>
          <w:sz w:val="24"/>
          <w:szCs w:val="24"/>
        </w:rPr>
        <w:t xml:space="preserve">и по процессной части от </w:t>
      </w:r>
      <w:r w:rsidRPr="00213A5D">
        <w:rPr>
          <w:b/>
          <w:color w:val="000000"/>
          <w:sz w:val="24"/>
          <w:szCs w:val="24"/>
        </w:rPr>
        <w:t>1,1 млн. рублей</w:t>
      </w:r>
      <w:r w:rsidRPr="00213A5D">
        <w:rPr>
          <w:color w:val="000000"/>
          <w:sz w:val="24"/>
          <w:szCs w:val="24"/>
        </w:rPr>
        <w:t xml:space="preserve"> по комплексу процессных мероприятий «Повышение квалификации, осуществление издательской деятельности и ведение информационных ресурсов правового просвещения» (госпрограмма «Юстиция») </w:t>
      </w:r>
      <w:r w:rsidR="00F94411" w:rsidRPr="00213A5D">
        <w:rPr>
          <w:color w:val="000000"/>
          <w:sz w:val="24"/>
          <w:szCs w:val="24"/>
        </w:rPr>
        <w:br/>
      </w:r>
      <w:r w:rsidRPr="00213A5D">
        <w:rPr>
          <w:b/>
          <w:color w:val="000000"/>
          <w:sz w:val="24"/>
          <w:szCs w:val="24"/>
        </w:rPr>
        <w:t>до 1 419 063,4 млн. рублей</w:t>
      </w:r>
      <w:r w:rsidRPr="00213A5D">
        <w:rPr>
          <w:color w:val="000000"/>
          <w:sz w:val="24"/>
          <w:szCs w:val="24"/>
        </w:rPr>
        <w:t xml:space="preserve"> по комплексу процессных мероприятий «Управление государственным долгом и государственными финансовыми активами» </w:t>
      </w:r>
      <w:r w:rsidR="00F94411" w:rsidRPr="00213A5D">
        <w:rPr>
          <w:color w:val="000000"/>
          <w:sz w:val="24"/>
          <w:szCs w:val="24"/>
        </w:rPr>
        <w:br/>
      </w:r>
      <w:r w:rsidRPr="00213A5D">
        <w:rPr>
          <w:color w:val="000000"/>
          <w:sz w:val="24"/>
          <w:szCs w:val="24"/>
        </w:rPr>
        <w:lastRenderedPageBreak/>
        <w:t>(госпрограмма «Управление государственными финансами и регулирование финансовых рынков»).</w:t>
      </w:r>
    </w:p>
    <w:p w14:paraId="7AF9387B" w14:textId="77777777" w:rsidR="00037CD3" w:rsidRPr="00213A5D" w:rsidRDefault="00037CD3" w:rsidP="00AF1852">
      <w:pPr>
        <w:widowControl w:val="0"/>
        <w:spacing w:line="384" w:lineRule="auto"/>
        <w:ind w:left="0" w:right="0"/>
        <w:rPr>
          <w:bCs/>
          <w:sz w:val="24"/>
        </w:rPr>
      </w:pPr>
      <w:r w:rsidRPr="00213A5D">
        <w:rPr>
          <w:rFonts w:eastAsia="Times New Roman"/>
          <w:b/>
          <w:sz w:val="24"/>
        </w:rPr>
        <w:t>5.4.</w:t>
      </w:r>
      <w:r w:rsidRPr="00213A5D">
        <w:rPr>
          <w:rFonts w:eastAsia="Times New Roman"/>
          <w:sz w:val="24"/>
        </w:rPr>
        <w:t> </w:t>
      </w:r>
      <w:r w:rsidRPr="00213A5D">
        <w:rPr>
          <w:bCs/>
          <w:sz w:val="24"/>
        </w:rPr>
        <w:t xml:space="preserve">По состоянию на 1 октября 2022 года общий объем бюджетных </w:t>
      </w:r>
      <w:r w:rsidR="00F94411" w:rsidRPr="00213A5D">
        <w:rPr>
          <w:bCs/>
          <w:sz w:val="24"/>
        </w:rPr>
        <w:br/>
      </w:r>
      <w:r w:rsidRPr="00213A5D">
        <w:rPr>
          <w:bCs/>
          <w:sz w:val="24"/>
        </w:rPr>
        <w:t xml:space="preserve">ассигнований сводной росписи с изменениями на реализацию госпрограмм </w:t>
      </w:r>
      <w:r w:rsidR="00F94411" w:rsidRPr="00213A5D">
        <w:rPr>
          <w:bCs/>
          <w:sz w:val="24"/>
        </w:rPr>
        <w:br/>
      </w:r>
      <w:r w:rsidRPr="00213A5D">
        <w:rPr>
          <w:bCs/>
          <w:sz w:val="24"/>
        </w:rPr>
        <w:t xml:space="preserve">составил 18 373 791,1 млн. рублей, что </w:t>
      </w:r>
      <w:r w:rsidRPr="00213A5D">
        <w:rPr>
          <w:b/>
          <w:bCs/>
          <w:sz w:val="24"/>
        </w:rPr>
        <w:t>на 2 637 243,1 млн. рублей</w:t>
      </w:r>
      <w:r w:rsidRPr="00213A5D">
        <w:rPr>
          <w:bCs/>
          <w:sz w:val="24"/>
        </w:rPr>
        <w:t xml:space="preserve">, или на </w:t>
      </w:r>
      <w:r w:rsidRPr="00213A5D">
        <w:rPr>
          <w:b/>
          <w:bCs/>
          <w:sz w:val="24"/>
        </w:rPr>
        <w:t>16,8 %, больше</w:t>
      </w:r>
      <w:r w:rsidRPr="00213A5D">
        <w:rPr>
          <w:bCs/>
          <w:sz w:val="24"/>
        </w:rPr>
        <w:t xml:space="preserve"> объема бюджетных ассигнований на 2022 год, утвержденного Федеральным законом </w:t>
      </w:r>
      <w:r w:rsidR="00F94411" w:rsidRPr="00213A5D">
        <w:rPr>
          <w:bCs/>
          <w:sz w:val="24"/>
        </w:rPr>
        <w:br/>
      </w:r>
      <w:r w:rsidRPr="00213A5D">
        <w:rPr>
          <w:bCs/>
          <w:sz w:val="24"/>
        </w:rPr>
        <w:t>№ 390-ФЗ.</w:t>
      </w:r>
    </w:p>
    <w:p w14:paraId="45F8CC35" w14:textId="77777777" w:rsidR="00037CD3" w:rsidRPr="00213A5D" w:rsidRDefault="00037CD3" w:rsidP="00F94411">
      <w:pPr>
        <w:widowControl w:val="0"/>
        <w:spacing w:line="240" w:lineRule="auto"/>
        <w:ind w:left="0" w:right="-2"/>
        <w:jc w:val="right"/>
        <w:rPr>
          <w:bCs/>
          <w:sz w:val="20"/>
          <w:szCs w:val="20"/>
        </w:rPr>
      </w:pPr>
      <w:r w:rsidRPr="00213A5D">
        <w:rPr>
          <w:bCs/>
          <w:sz w:val="20"/>
          <w:szCs w:val="20"/>
        </w:rPr>
        <w:t>(млн. рублей)</w:t>
      </w:r>
    </w:p>
    <w:tbl>
      <w:tblPr>
        <w:tblW w:w="9790" w:type="dxa"/>
        <w:jc w:val="center"/>
        <w:tblLook w:val="04A0" w:firstRow="1" w:lastRow="0" w:firstColumn="1" w:lastColumn="0" w:noHBand="0" w:noVBand="1"/>
      </w:tblPr>
      <w:tblGrid>
        <w:gridCol w:w="6530"/>
        <w:gridCol w:w="1480"/>
        <w:gridCol w:w="1780"/>
      </w:tblGrid>
      <w:tr w:rsidR="00037CD3" w:rsidRPr="00213A5D" w14:paraId="4B8E1E5E" w14:textId="77777777" w:rsidTr="00F94411">
        <w:trPr>
          <w:trHeight w:val="415"/>
          <w:jc w:val="center"/>
        </w:trPr>
        <w:tc>
          <w:tcPr>
            <w:tcW w:w="6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EDB1A"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 xml:space="preserve">Наименование </w:t>
            </w:r>
          </w:p>
        </w:tc>
        <w:tc>
          <w:tcPr>
            <w:tcW w:w="3260" w:type="dxa"/>
            <w:gridSpan w:val="2"/>
            <w:tcBorders>
              <w:top w:val="single" w:sz="4" w:space="0" w:color="000000"/>
              <w:left w:val="nil"/>
              <w:bottom w:val="single" w:sz="4" w:space="0" w:color="000000"/>
              <w:right w:val="single" w:sz="4" w:space="0" w:color="000000"/>
            </w:tcBorders>
            <w:shd w:val="clear" w:color="auto" w:fill="auto"/>
            <w:vAlign w:val="bottom"/>
            <w:hideMark/>
          </w:tcPr>
          <w:p w14:paraId="58E86A15" w14:textId="77777777" w:rsidR="00827398"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bCs/>
                <w:sz w:val="18"/>
                <w:szCs w:val="18"/>
              </w:rPr>
            </w:pPr>
            <w:r w:rsidRPr="00213A5D">
              <w:rPr>
                <w:rFonts w:eastAsia="Times New Roman"/>
                <w:b/>
                <w:bCs/>
                <w:sz w:val="18"/>
                <w:szCs w:val="18"/>
              </w:rPr>
              <w:t xml:space="preserve">Отклонение сводной росписи </w:t>
            </w:r>
          </w:p>
          <w:p w14:paraId="673A885C"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bCs/>
                <w:sz w:val="18"/>
                <w:szCs w:val="18"/>
              </w:rPr>
            </w:pPr>
            <w:r w:rsidRPr="00213A5D">
              <w:rPr>
                <w:rFonts w:eastAsia="Times New Roman"/>
                <w:b/>
                <w:bCs/>
                <w:sz w:val="18"/>
                <w:szCs w:val="18"/>
              </w:rPr>
              <w:t>от Федерального закона №</w:t>
            </w:r>
            <w:r w:rsidR="001D233D" w:rsidRPr="00213A5D">
              <w:rPr>
                <w:rFonts w:eastAsia="Times New Roman"/>
                <w:b/>
                <w:bCs/>
                <w:sz w:val="18"/>
                <w:szCs w:val="18"/>
              </w:rPr>
              <w:t xml:space="preserve"> </w:t>
            </w:r>
            <w:r w:rsidRPr="00213A5D">
              <w:rPr>
                <w:rFonts w:eastAsia="Times New Roman"/>
                <w:b/>
                <w:bCs/>
                <w:sz w:val="18"/>
                <w:szCs w:val="18"/>
              </w:rPr>
              <w:t>390-ФЗ</w:t>
            </w:r>
          </w:p>
        </w:tc>
      </w:tr>
      <w:tr w:rsidR="00037CD3" w:rsidRPr="00213A5D" w14:paraId="61E9FC7D" w14:textId="77777777" w:rsidTr="00F94411">
        <w:trPr>
          <w:trHeight w:val="56"/>
          <w:jc w:val="center"/>
        </w:trPr>
        <w:tc>
          <w:tcPr>
            <w:tcW w:w="6530" w:type="dxa"/>
            <w:vMerge/>
            <w:tcBorders>
              <w:top w:val="single" w:sz="4" w:space="0" w:color="000000"/>
              <w:left w:val="single" w:sz="4" w:space="0" w:color="000000"/>
              <w:bottom w:val="single" w:sz="4" w:space="0" w:color="000000"/>
              <w:right w:val="single" w:sz="4" w:space="0" w:color="000000"/>
            </w:tcBorders>
            <w:vAlign w:val="center"/>
            <w:hideMark/>
          </w:tcPr>
          <w:p w14:paraId="262FDA09"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b/>
                <w:bCs/>
                <w:color w:val="000000"/>
                <w:sz w:val="18"/>
                <w:szCs w:val="18"/>
              </w:rPr>
            </w:pPr>
          </w:p>
        </w:tc>
        <w:tc>
          <w:tcPr>
            <w:tcW w:w="1480" w:type="dxa"/>
            <w:tcBorders>
              <w:top w:val="nil"/>
              <w:left w:val="nil"/>
              <w:bottom w:val="single" w:sz="4" w:space="0" w:color="000000"/>
              <w:right w:val="single" w:sz="4" w:space="0" w:color="000000"/>
            </w:tcBorders>
            <w:shd w:val="clear" w:color="auto" w:fill="auto"/>
            <w:vAlign w:val="center"/>
            <w:hideMark/>
          </w:tcPr>
          <w:p w14:paraId="14CC559A"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bCs/>
                <w:sz w:val="18"/>
                <w:szCs w:val="18"/>
              </w:rPr>
            </w:pPr>
            <w:r w:rsidRPr="00213A5D">
              <w:rPr>
                <w:rFonts w:eastAsia="Times New Roman"/>
                <w:b/>
                <w:bCs/>
                <w:sz w:val="18"/>
                <w:szCs w:val="18"/>
              </w:rPr>
              <w:t>сумма</w:t>
            </w:r>
          </w:p>
        </w:tc>
        <w:tc>
          <w:tcPr>
            <w:tcW w:w="1780" w:type="dxa"/>
            <w:tcBorders>
              <w:top w:val="nil"/>
              <w:left w:val="nil"/>
              <w:bottom w:val="single" w:sz="4" w:space="0" w:color="000000"/>
              <w:right w:val="single" w:sz="4" w:space="0" w:color="000000"/>
            </w:tcBorders>
            <w:shd w:val="clear" w:color="auto" w:fill="auto"/>
            <w:vAlign w:val="center"/>
            <w:hideMark/>
          </w:tcPr>
          <w:p w14:paraId="7DFCAF9C"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bCs/>
                <w:sz w:val="18"/>
                <w:szCs w:val="18"/>
              </w:rPr>
            </w:pPr>
            <w:r w:rsidRPr="00213A5D">
              <w:rPr>
                <w:rFonts w:eastAsia="Times New Roman"/>
                <w:b/>
                <w:bCs/>
                <w:sz w:val="18"/>
                <w:szCs w:val="18"/>
              </w:rPr>
              <w:t>%</w:t>
            </w:r>
          </w:p>
        </w:tc>
      </w:tr>
      <w:tr w:rsidR="00037CD3" w:rsidRPr="00213A5D" w14:paraId="1E4CE86A"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68883B52"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b/>
                <w:bCs/>
                <w:color w:val="000000"/>
                <w:sz w:val="18"/>
                <w:szCs w:val="18"/>
              </w:rPr>
            </w:pPr>
            <w:r w:rsidRPr="00213A5D">
              <w:rPr>
                <w:rFonts w:eastAsia="Times New Roman"/>
                <w:b/>
                <w:bCs/>
                <w:color w:val="000000"/>
                <w:sz w:val="18"/>
                <w:szCs w:val="18"/>
              </w:rPr>
              <w:t xml:space="preserve">ИТОГО </w:t>
            </w:r>
          </w:p>
        </w:tc>
        <w:tc>
          <w:tcPr>
            <w:tcW w:w="1480" w:type="dxa"/>
            <w:tcBorders>
              <w:top w:val="nil"/>
              <w:left w:val="nil"/>
              <w:bottom w:val="single" w:sz="4" w:space="0" w:color="000000"/>
              <w:right w:val="single" w:sz="4" w:space="0" w:color="000000"/>
            </w:tcBorders>
            <w:shd w:val="clear" w:color="auto" w:fill="auto"/>
            <w:noWrap/>
            <w:vAlign w:val="center"/>
            <w:hideMark/>
          </w:tcPr>
          <w:p w14:paraId="4D58B8EA"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bCs/>
                <w:sz w:val="18"/>
                <w:szCs w:val="18"/>
              </w:rPr>
            </w:pPr>
            <w:r w:rsidRPr="00213A5D">
              <w:rPr>
                <w:rFonts w:eastAsia="Times New Roman"/>
                <w:b/>
                <w:bCs/>
                <w:sz w:val="18"/>
                <w:szCs w:val="18"/>
              </w:rPr>
              <w:t>2 637 243,1</w:t>
            </w:r>
          </w:p>
        </w:tc>
        <w:tc>
          <w:tcPr>
            <w:tcW w:w="1780" w:type="dxa"/>
            <w:tcBorders>
              <w:top w:val="nil"/>
              <w:left w:val="nil"/>
              <w:bottom w:val="single" w:sz="4" w:space="0" w:color="000000"/>
              <w:right w:val="single" w:sz="4" w:space="0" w:color="000000"/>
            </w:tcBorders>
            <w:shd w:val="clear" w:color="auto" w:fill="auto"/>
            <w:noWrap/>
            <w:vAlign w:val="center"/>
            <w:hideMark/>
          </w:tcPr>
          <w:p w14:paraId="5FBADA13"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bCs/>
                <w:sz w:val="18"/>
                <w:szCs w:val="18"/>
              </w:rPr>
            </w:pPr>
            <w:r w:rsidRPr="00213A5D">
              <w:rPr>
                <w:rFonts w:eastAsia="Times New Roman"/>
                <w:b/>
                <w:bCs/>
                <w:sz w:val="18"/>
                <w:szCs w:val="18"/>
              </w:rPr>
              <w:t>16,8</w:t>
            </w:r>
          </w:p>
        </w:tc>
      </w:tr>
      <w:tr w:rsidR="00C6546F" w:rsidRPr="00213A5D" w14:paraId="58ACB8E5" w14:textId="77777777" w:rsidTr="00F94411">
        <w:trPr>
          <w:trHeight w:val="72"/>
          <w:jc w:val="center"/>
        </w:trPr>
        <w:tc>
          <w:tcPr>
            <w:tcW w:w="6530" w:type="dxa"/>
            <w:tcBorders>
              <w:top w:val="nil"/>
              <w:left w:val="single" w:sz="4" w:space="0" w:color="000000"/>
              <w:bottom w:val="single" w:sz="4" w:space="0" w:color="000000"/>
              <w:right w:val="single" w:sz="4" w:space="0" w:color="000000"/>
            </w:tcBorders>
            <w:shd w:val="clear" w:color="auto" w:fill="auto"/>
            <w:vAlign w:val="center"/>
          </w:tcPr>
          <w:p w14:paraId="077CF85D" w14:textId="77777777" w:rsidR="00C6546F" w:rsidRPr="00213A5D" w:rsidRDefault="00C6546F" w:rsidP="00AF1852">
            <w:pPr>
              <w:widowControl w:val="0"/>
              <w:overflowPunct/>
              <w:autoSpaceDE/>
              <w:autoSpaceDN/>
              <w:adjustRightInd/>
              <w:spacing w:line="240" w:lineRule="auto"/>
              <w:ind w:left="0" w:right="0" w:firstLine="0"/>
              <w:jc w:val="left"/>
              <w:textAlignment w:val="auto"/>
              <w:rPr>
                <w:rFonts w:eastAsia="Times New Roman"/>
                <w:color w:val="000000"/>
                <w:sz w:val="12"/>
                <w:szCs w:val="12"/>
              </w:rPr>
            </w:pPr>
            <w:r w:rsidRPr="00213A5D">
              <w:rPr>
                <w:rFonts w:eastAsia="Times New Roman"/>
                <w:color w:val="000000"/>
                <w:sz w:val="12"/>
                <w:szCs w:val="12"/>
              </w:rPr>
              <w:t>из них:</w:t>
            </w:r>
          </w:p>
        </w:tc>
        <w:tc>
          <w:tcPr>
            <w:tcW w:w="1480" w:type="dxa"/>
            <w:tcBorders>
              <w:top w:val="nil"/>
              <w:left w:val="nil"/>
              <w:bottom w:val="single" w:sz="4" w:space="0" w:color="000000"/>
              <w:right w:val="single" w:sz="4" w:space="0" w:color="000000"/>
            </w:tcBorders>
            <w:shd w:val="clear" w:color="auto" w:fill="auto"/>
            <w:noWrap/>
            <w:vAlign w:val="center"/>
          </w:tcPr>
          <w:p w14:paraId="6050B0B2" w14:textId="77777777" w:rsidR="00C6546F" w:rsidRPr="00213A5D" w:rsidRDefault="00C6546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p>
        </w:tc>
        <w:tc>
          <w:tcPr>
            <w:tcW w:w="1780" w:type="dxa"/>
            <w:tcBorders>
              <w:top w:val="nil"/>
              <w:left w:val="nil"/>
              <w:bottom w:val="single" w:sz="4" w:space="0" w:color="000000"/>
              <w:right w:val="single" w:sz="4" w:space="0" w:color="000000"/>
            </w:tcBorders>
            <w:shd w:val="clear" w:color="auto" w:fill="auto"/>
            <w:noWrap/>
            <w:vAlign w:val="center"/>
          </w:tcPr>
          <w:p w14:paraId="12977D40" w14:textId="77777777" w:rsidR="00C6546F" w:rsidRPr="00213A5D" w:rsidRDefault="00C6546F" w:rsidP="00AF1852">
            <w:pPr>
              <w:widowControl w:val="0"/>
              <w:overflowPunct/>
              <w:autoSpaceDE/>
              <w:autoSpaceDN/>
              <w:adjustRightInd/>
              <w:spacing w:line="240" w:lineRule="auto"/>
              <w:ind w:left="0" w:right="0" w:firstLine="0"/>
              <w:jc w:val="center"/>
              <w:textAlignment w:val="auto"/>
              <w:rPr>
                <w:rFonts w:eastAsia="Times New Roman"/>
                <w:b/>
                <w:color w:val="C0504D"/>
                <w:sz w:val="18"/>
                <w:szCs w:val="18"/>
              </w:rPr>
            </w:pPr>
          </w:p>
        </w:tc>
      </w:tr>
      <w:tr w:rsidR="00037CD3" w:rsidRPr="00213A5D" w14:paraId="0F42ABC1"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753E0F51"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«Социальная поддержка граждан»</w:t>
            </w:r>
          </w:p>
        </w:tc>
        <w:tc>
          <w:tcPr>
            <w:tcW w:w="1480" w:type="dxa"/>
            <w:tcBorders>
              <w:top w:val="nil"/>
              <w:left w:val="nil"/>
              <w:bottom w:val="single" w:sz="4" w:space="0" w:color="000000"/>
              <w:right w:val="single" w:sz="4" w:space="0" w:color="000000"/>
            </w:tcBorders>
            <w:shd w:val="clear" w:color="auto" w:fill="auto"/>
            <w:noWrap/>
            <w:vAlign w:val="center"/>
            <w:hideMark/>
          </w:tcPr>
          <w:p w14:paraId="68DE865E"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650 498,3</w:t>
            </w:r>
          </w:p>
        </w:tc>
        <w:tc>
          <w:tcPr>
            <w:tcW w:w="1780" w:type="dxa"/>
            <w:tcBorders>
              <w:top w:val="nil"/>
              <w:left w:val="nil"/>
              <w:bottom w:val="single" w:sz="4" w:space="0" w:color="000000"/>
              <w:right w:val="single" w:sz="4" w:space="0" w:color="000000"/>
            </w:tcBorders>
            <w:shd w:val="clear" w:color="auto" w:fill="auto"/>
            <w:noWrap/>
            <w:vAlign w:val="center"/>
            <w:hideMark/>
          </w:tcPr>
          <w:p w14:paraId="3BD5AC60"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C0504D"/>
                <w:sz w:val="18"/>
                <w:szCs w:val="18"/>
              </w:rPr>
              <w:t>29,3</w:t>
            </w:r>
          </w:p>
        </w:tc>
      </w:tr>
      <w:tr w:rsidR="00037CD3" w:rsidRPr="00213A5D" w14:paraId="0DCD3258" w14:textId="77777777" w:rsidTr="00F94411">
        <w:trPr>
          <w:trHeight w:val="64"/>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0BC3CC87"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«Развитие транспортной системы»</w:t>
            </w:r>
          </w:p>
        </w:tc>
        <w:tc>
          <w:tcPr>
            <w:tcW w:w="1480" w:type="dxa"/>
            <w:tcBorders>
              <w:top w:val="nil"/>
              <w:left w:val="nil"/>
              <w:bottom w:val="single" w:sz="4" w:space="0" w:color="000000"/>
              <w:right w:val="single" w:sz="4" w:space="0" w:color="000000"/>
            </w:tcBorders>
            <w:shd w:val="clear" w:color="auto" w:fill="auto"/>
            <w:noWrap/>
            <w:vAlign w:val="center"/>
            <w:hideMark/>
          </w:tcPr>
          <w:p w14:paraId="718A2078"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398 622,3</w:t>
            </w:r>
          </w:p>
        </w:tc>
        <w:tc>
          <w:tcPr>
            <w:tcW w:w="1780" w:type="dxa"/>
            <w:tcBorders>
              <w:top w:val="nil"/>
              <w:left w:val="nil"/>
              <w:bottom w:val="single" w:sz="4" w:space="0" w:color="000000"/>
              <w:right w:val="single" w:sz="4" w:space="0" w:color="000000"/>
            </w:tcBorders>
            <w:shd w:val="clear" w:color="auto" w:fill="auto"/>
            <w:noWrap/>
            <w:vAlign w:val="center"/>
            <w:hideMark/>
          </w:tcPr>
          <w:p w14:paraId="5B0C9C18"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C0504D"/>
                <w:sz w:val="18"/>
                <w:szCs w:val="18"/>
              </w:rPr>
              <w:t>30,7</w:t>
            </w:r>
          </w:p>
        </w:tc>
      </w:tr>
      <w:tr w:rsidR="00037CD3" w:rsidRPr="00213A5D" w14:paraId="4353E3DC"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1411037B"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«Развитие здравоохранения»</w:t>
            </w:r>
          </w:p>
        </w:tc>
        <w:tc>
          <w:tcPr>
            <w:tcW w:w="1480" w:type="dxa"/>
            <w:tcBorders>
              <w:top w:val="nil"/>
              <w:left w:val="nil"/>
              <w:bottom w:val="single" w:sz="4" w:space="0" w:color="000000"/>
              <w:right w:val="single" w:sz="4" w:space="0" w:color="000000"/>
            </w:tcBorders>
            <w:shd w:val="clear" w:color="auto" w:fill="auto"/>
            <w:noWrap/>
            <w:vAlign w:val="center"/>
            <w:hideMark/>
          </w:tcPr>
          <w:p w14:paraId="6BBF5149"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242 636,5</w:t>
            </w:r>
          </w:p>
        </w:tc>
        <w:tc>
          <w:tcPr>
            <w:tcW w:w="1780" w:type="dxa"/>
            <w:tcBorders>
              <w:top w:val="nil"/>
              <w:left w:val="nil"/>
              <w:bottom w:val="single" w:sz="4" w:space="0" w:color="000000"/>
              <w:right w:val="single" w:sz="4" w:space="0" w:color="000000"/>
            </w:tcBorders>
            <w:shd w:val="clear" w:color="auto" w:fill="auto"/>
            <w:noWrap/>
            <w:vAlign w:val="center"/>
            <w:hideMark/>
          </w:tcPr>
          <w:p w14:paraId="259E41ED"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23,9</w:t>
            </w:r>
          </w:p>
        </w:tc>
      </w:tr>
      <w:tr w:rsidR="00037CD3" w:rsidRPr="00213A5D" w14:paraId="3E579EFC"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045942B2"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«Обеспечение доступным и комфортным жильем и коммунальными услугами граждан Российской Федерации»</w:t>
            </w:r>
          </w:p>
        </w:tc>
        <w:tc>
          <w:tcPr>
            <w:tcW w:w="1480" w:type="dxa"/>
            <w:tcBorders>
              <w:top w:val="nil"/>
              <w:left w:val="nil"/>
              <w:bottom w:val="single" w:sz="4" w:space="0" w:color="000000"/>
              <w:right w:val="single" w:sz="4" w:space="0" w:color="000000"/>
            </w:tcBorders>
            <w:shd w:val="clear" w:color="auto" w:fill="auto"/>
            <w:noWrap/>
            <w:vAlign w:val="center"/>
            <w:hideMark/>
          </w:tcPr>
          <w:p w14:paraId="6F605CFC"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173 742,6</w:t>
            </w:r>
          </w:p>
        </w:tc>
        <w:tc>
          <w:tcPr>
            <w:tcW w:w="1780" w:type="dxa"/>
            <w:tcBorders>
              <w:top w:val="nil"/>
              <w:left w:val="nil"/>
              <w:bottom w:val="single" w:sz="4" w:space="0" w:color="000000"/>
              <w:right w:val="single" w:sz="4" w:space="0" w:color="000000"/>
            </w:tcBorders>
            <w:shd w:val="clear" w:color="auto" w:fill="auto"/>
            <w:noWrap/>
            <w:vAlign w:val="center"/>
            <w:hideMark/>
          </w:tcPr>
          <w:p w14:paraId="5EDC23D6"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C0504D"/>
                <w:sz w:val="18"/>
                <w:szCs w:val="18"/>
              </w:rPr>
              <w:t>44,1</w:t>
            </w:r>
          </w:p>
        </w:tc>
      </w:tr>
      <w:tr w:rsidR="00037CD3" w:rsidRPr="00213A5D" w14:paraId="1F419BA2" w14:textId="77777777" w:rsidTr="00F94411">
        <w:trPr>
          <w:trHeight w:val="62"/>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427B0602"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1480" w:type="dxa"/>
            <w:tcBorders>
              <w:top w:val="nil"/>
              <w:left w:val="nil"/>
              <w:bottom w:val="single" w:sz="4" w:space="0" w:color="000000"/>
              <w:right w:val="single" w:sz="4" w:space="0" w:color="000000"/>
            </w:tcBorders>
            <w:shd w:val="clear" w:color="auto" w:fill="auto"/>
            <w:noWrap/>
            <w:vAlign w:val="center"/>
            <w:hideMark/>
          </w:tcPr>
          <w:p w14:paraId="04A25A1D"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102 222,8</w:t>
            </w:r>
          </w:p>
        </w:tc>
        <w:tc>
          <w:tcPr>
            <w:tcW w:w="1780" w:type="dxa"/>
            <w:tcBorders>
              <w:top w:val="nil"/>
              <w:left w:val="nil"/>
              <w:bottom w:val="single" w:sz="4" w:space="0" w:color="000000"/>
              <w:right w:val="single" w:sz="4" w:space="0" w:color="000000"/>
            </w:tcBorders>
            <w:shd w:val="clear" w:color="auto" w:fill="auto"/>
            <w:noWrap/>
            <w:vAlign w:val="center"/>
            <w:hideMark/>
          </w:tcPr>
          <w:p w14:paraId="6367C6C7"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C0504D"/>
                <w:sz w:val="18"/>
                <w:szCs w:val="18"/>
              </w:rPr>
              <w:t>35,9</w:t>
            </w:r>
          </w:p>
        </w:tc>
      </w:tr>
      <w:tr w:rsidR="00037CD3" w:rsidRPr="00213A5D" w14:paraId="13B7A5D7"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32FC5970"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«Развитие промышленности и повышение ее конкурентоспособности»</w:t>
            </w:r>
          </w:p>
        </w:tc>
        <w:tc>
          <w:tcPr>
            <w:tcW w:w="1480" w:type="dxa"/>
            <w:tcBorders>
              <w:top w:val="nil"/>
              <w:left w:val="nil"/>
              <w:bottom w:val="single" w:sz="4" w:space="0" w:color="000000"/>
              <w:right w:val="single" w:sz="4" w:space="0" w:color="000000"/>
            </w:tcBorders>
            <w:shd w:val="clear" w:color="auto" w:fill="auto"/>
            <w:noWrap/>
            <w:vAlign w:val="center"/>
            <w:hideMark/>
          </w:tcPr>
          <w:p w14:paraId="15FFF163"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94 865,6</w:t>
            </w:r>
          </w:p>
        </w:tc>
        <w:tc>
          <w:tcPr>
            <w:tcW w:w="1780" w:type="dxa"/>
            <w:tcBorders>
              <w:top w:val="nil"/>
              <w:left w:val="nil"/>
              <w:bottom w:val="single" w:sz="4" w:space="0" w:color="000000"/>
              <w:right w:val="single" w:sz="4" w:space="0" w:color="000000"/>
            </w:tcBorders>
            <w:shd w:val="clear" w:color="auto" w:fill="auto"/>
            <w:noWrap/>
            <w:vAlign w:val="center"/>
            <w:hideMark/>
          </w:tcPr>
          <w:p w14:paraId="16DC1253"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16,9</w:t>
            </w:r>
          </w:p>
        </w:tc>
      </w:tr>
      <w:tr w:rsidR="00037CD3" w:rsidRPr="00213A5D" w14:paraId="0B6D57C4"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0761D89D"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«Обеспечение защиты личности, общества и государства»</w:t>
            </w:r>
          </w:p>
        </w:tc>
        <w:tc>
          <w:tcPr>
            <w:tcW w:w="1480" w:type="dxa"/>
            <w:tcBorders>
              <w:top w:val="nil"/>
              <w:left w:val="nil"/>
              <w:bottom w:val="single" w:sz="4" w:space="0" w:color="000000"/>
              <w:right w:val="single" w:sz="4" w:space="0" w:color="000000"/>
            </w:tcBorders>
            <w:shd w:val="clear" w:color="auto" w:fill="auto"/>
            <w:noWrap/>
            <w:vAlign w:val="center"/>
            <w:hideMark/>
          </w:tcPr>
          <w:p w14:paraId="4FBFB8A8"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70 720,7</w:t>
            </w:r>
          </w:p>
        </w:tc>
        <w:tc>
          <w:tcPr>
            <w:tcW w:w="1780" w:type="dxa"/>
            <w:tcBorders>
              <w:top w:val="nil"/>
              <w:left w:val="nil"/>
              <w:bottom w:val="single" w:sz="4" w:space="0" w:color="000000"/>
              <w:right w:val="single" w:sz="4" w:space="0" w:color="000000"/>
            </w:tcBorders>
            <w:shd w:val="clear" w:color="auto" w:fill="auto"/>
            <w:noWrap/>
            <w:vAlign w:val="center"/>
            <w:hideMark/>
          </w:tcPr>
          <w:p w14:paraId="091BD2A9"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24,5</w:t>
            </w:r>
          </w:p>
        </w:tc>
      </w:tr>
      <w:tr w:rsidR="00037CD3" w:rsidRPr="00213A5D" w14:paraId="454D5393"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7CCCC0C8"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«Информационное общество»</w:t>
            </w:r>
          </w:p>
        </w:tc>
        <w:tc>
          <w:tcPr>
            <w:tcW w:w="1480" w:type="dxa"/>
            <w:tcBorders>
              <w:top w:val="nil"/>
              <w:left w:val="nil"/>
              <w:bottom w:val="single" w:sz="4" w:space="0" w:color="000000"/>
              <w:right w:val="single" w:sz="4" w:space="0" w:color="000000"/>
            </w:tcBorders>
            <w:shd w:val="clear" w:color="auto" w:fill="auto"/>
            <w:noWrap/>
            <w:vAlign w:val="center"/>
            <w:hideMark/>
          </w:tcPr>
          <w:p w14:paraId="560CBCE7"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56 859,0</w:t>
            </w:r>
          </w:p>
        </w:tc>
        <w:tc>
          <w:tcPr>
            <w:tcW w:w="1780" w:type="dxa"/>
            <w:tcBorders>
              <w:top w:val="nil"/>
              <w:left w:val="nil"/>
              <w:bottom w:val="single" w:sz="4" w:space="0" w:color="000000"/>
              <w:right w:val="single" w:sz="4" w:space="0" w:color="000000"/>
            </w:tcBorders>
            <w:shd w:val="clear" w:color="auto" w:fill="auto"/>
            <w:noWrap/>
            <w:vAlign w:val="center"/>
            <w:hideMark/>
          </w:tcPr>
          <w:p w14:paraId="41B7DAAF"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16,7</w:t>
            </w:r>
          </w:p>
        </w:tc>
      </w:tr>
      <w:tr w:rsidR="00037CD3" w:rsidRPr="00213A5D" w14:paraId="0256A0FB"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428C0CBD"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«Научно-технологическое развитие Российской Федерации»</w:t>
            </w:r>
          </w:p>
        </w:tc>
        <w:tc>
          <w:tcPr>
            <w:tcW w:w="1480" w:type="dxa"/>
            <w:tcBorders>
              <w:top w:val="nil"/>
              <w:left w:val="nil"/>
              <w:bottom w:val="single" w:sz="4" w:space="0" w:color="000000"/>
              <w:right w:val="single" w:sz="4" w:space="0" w:color="000000"/>
            </w:tcBorders>
            <w:shd w:val="clear" w:color="auto" w:fill="auto"/>
            <w:noWrap/>
            <w:vAlign w:val="center"/>
            <w:hideMark/>
          </w:tcPr>
          <w:p w14:paraId="11D17C70"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53 714,9</w:t>
            </w:r>
          </w:p>
        </w:tc>
        <w:tc>
          <w:tcPr>
            <w:tcW w:w="1780" w:type="dxa"/>
            <w:tcBorders>
              <w:top w:val="nil"/>
              <w:left w:val="nil"/>
              <w:bottom w:val="single" w:sz="4" w:space="0" w:color="000000"/>
              <w:right w:val="single" w:sz="4" w:space="0" w:color="000000"/>
            </w:tcBorders>
            <w:shd w:val="clear" w:color="auto" w:fill="auto"/>
            <w:noWrap/>
            <w:vAlign w:val="center"/>
            <w:hideMark/>
          </w:tcPr>
          <w:p w14:paraId="2C9F9CFF" w14:textId="77777777" w:rsidR="00037CD3" w:rsidRPr="00213A5D" w:rsidRDefault="0056130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w:t>
            </w:r>
          </w:p>
        </w:tc>
      </w:tr>
      <w:tr w:rsidR="00037CD3" w:rsidRPr="00213A5D" w14:paraId="2E16FC2D"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506A7574"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«Развитие образования»</w:t>
            </w:r>
          </w:p>
        </w:tc>
        <w:tc>
          <w:tcPr>
            <w:tcW w:w="1480" w:type="dxa"/>
            <w:tcBorders>
              <w:top w:val="nil"/>
              <w:left w:val="nil"/>
              <w:bottom w:val="single" w:sz="4" w:space="0" w:color="000000"/>
              <w:right w:val="single" w:sz="4" w:space="0" w:color="000000"/>
            </w:tcBorders>
            <w:shd w:val="clear" w:color="auto" w:fill="auto"/>
            <w:noWrap/>
            <w:vAlign w:val="center"/>
            <w:hideMark/>
          </w:tcPr>
          <w:p w14:paraId="1F28CCCB"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53 592,3</w:t>
            </w:r>
          </w:p>
        </w:tc>
        <w:tc>
          <w:tcPr>
            <w:tcW w:w="1780" w:type="dxa"/>
            <w:tcBorders>
              <w:top w:val="nil"/>
              <w:left w:val="nil"/>
              <w:bottom w:val="single" w:sz="4" w:space="0" w:color="000000"/>
              <w:right w:val="single" w:sz="4" w:space="0" w:color="000000"/>
            </w:tcBorders>
            <w:shd w:val="clear" w:color="auto" w:fill="auto"/>
            <w:noWrap/>
            <w:vAlign w:val="center"/>
            <w:hideMark/>
          </w:tcPr>
          <w:p w14:paraId="7B455691"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11,2</w:t>
            </w:r>
          </w:p>
        </w:tc>
      </w:tr>
      <w:tr w:rsidR="00037CD3" w:rsidRPr="00213A5D" w14:paraId="4AC959D4"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42D51BCB"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«Космическая деятельность России»</w:t>
            </w:r>
          </w:p>
        </w:tc>
        <w:tc>
          <w:tcPr>
            <w:tcW w:w="1480" w:type="dxa"/>
            <w:tcBorders>
              <w:top w:val="nil"/>
              <w:left w:val="nil"/>
              <w:bottom w:val="single" w:sz="4" w:space="0" w:color="000000"/>
              <w:right w:val="single" w:sz="4" w:space="0" w:color="000000"/>
            </w:tcBorders>
            <w:shd w:val="clear" w:color="auto" w:fill="auto"/>
            <w:noWrap/>
            <w:vAlign w:val="center"/>
            <w:hideMark/>
          </w:tcPr>
          <w:p w14:paraId="04982599"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46 703,0</w:t>
            </w:r>
          </w:p>
        </w:tc>
        <w:tc>
          <w:tcPr>
            <w:tcW w:w="1780" w:type="dxa"/>
            <w:tcBorders>
              <w:top w:val="nil"/>
              <w:left w:val="nil"/>
              <w:bottom w:val="single" w:sz="4" w:space="0" w:color="000000"/>
              <w:right w:val="single" w:sz="4" w:space="0" w:color="000000"/>
            </w:tcBorders>
            <w:shd w:val="clear" w:color="auto" w:fill="auto"/>
            <w:noWrap/>
            <w:vAlign w:val="center"/>
            <w:hideMark/>
          </w:tcPr>
          <w:p w14:paraId="5BE712CE"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21,5</w:t>
            </w:r>
          </w:p>
        </w:tc>
      </w:tr>
      <w:tr w:rsidR="00037CD3" w:rsidRPr="00213A5D" w14:paraId="0CBB4DF6"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2987F08F"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«Экономическое развитие и инновационная экономика»</w:t>
            </w:r>
          </w:p>
        </w:tc>
        <w:tc>
          <w:tcPr>
            <w:tcW w:w="1480" w:type="dxa"/>
            <w:tcBorders>
              <w:top w:val="nil"/>
              <w:left w:val="nil"/>
              <w:bottom w:val="single" w:sz="4" w:space="0" w:color="000000"/>
              <w:right w:val="single" w:sz="4" w:space="0" w:color="000000"/>
            </w:tcBorders>
            <w:shd w:val="clear" w:color="auto" w:fill="auto"/>
            <w:noWrap/>
            <w:vAlign w:val="center"/>
            <w:hideMark/>
          </w:tcPr>
          <w:p w14:paraId="5F246FEB"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42 616,6</w:t>
            </w:r>
          </w:p>
        </w:tc>
        <w:tc>
          <w:tcPr>
            <w:tcW w:w="1780" w:type="dxa"/>
            <w:tcBorders>
              <w:top w:val="nil"/>
              <w:left w:val="nil"/>
              <w:bottom w:val="single" w:sz="4" w:space="0" w:color="000000"/>
              <w:right w:val="single" w:sz="4" w:space="0" w:color="000000"/>
            </w:tcBorders>
            <w:shd w:val="clear" w:color="auto" w:fill="auto"/>
            <w:noWrap/>
            <w:vAlign w:val="center"/>
            <w:hideMark/>
          </w:tcPr>
          <w:p w14:paraId="13E67FA3"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C0504D"/>
                <w:sz w:val="18"/>
                <w:szCs w:val="18"/>
              </w:rPr>
              <w:t>33,5</w:t>
            </w:r>
          </w:p>
        </w:tc>
      </w:tr>
      <w:tr w:rsidR="00037CD3" w:rsidRPr="00213A5D" w14:paraId="50260AC1"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08AA7D42"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«Содействие занятости населения»</w:t>
            </w:r>
          </w:p>
        </w:tc>
        <w:tc>
          <w:tcPr>
            <w:tcW w:w="1480" w:type="dxa"/>
            <w:tcBorders>
              <w:top w:val="nil"/>
              <w:left w:val="nil"/>
              <w:bottom w:val="single" w:sz="4" w:space="0" w:color="000000"/>
              <w:right w:val="single" w:sz="4" w:space="0" w:color="000000"/>
            </w:tcBorders>
            <w:shd w:val="clear" w:color="auto" w:fill="auto"/>
            <w:noWrap/>
            <w:vAlign w:val="center"/>
            <w:hideMark/>
          </w:tcPr>
          <w:p w14:paraId="0F940ADF"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40 058,4</w:t>
            </w:r>
          </w:p>
        </w:tc>
        <w:tc>
          <w:tcPr>
            <w:tcW w:w="1780" w:type="dxa"/>
            <w:tcBorders>
              <w:top w:val="nil"/>
              <w:left w:val="nil"/>
              <w:bottom w:val="single" w:sz="4" w:space="0" w:color="000000"/>
              <w:right w:val="single" w:sz="4" w:space="0" w:color="000000"/>
            </w:tcBorders>
            <w:shd w:val="clear" w:color="auto" w:fill="auto"/>
            <w:noWrap/>
            <w:vAlign w:val="center"/>
            <w:hideMark/>
          </w:tcPr>
          <w:p w14:paraId="3D71C1D6"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C0504D"/>
                <w:sz w:val="18"/>
                <w:szCs w:val="18"/>
              </w:rPr>
              <w:t>50,2</w:t>
            </w:r>
          </w:p>
        </w:tc>
      </w:tr>
      <w:tr w:rsidR="00037CD3" w:rsidRPr="00213A5D" w14:paraId="722DA90A"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5E776A0C"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«Внешнеполитическая деятельность»</w:t>
            </w:r>
          </w:p>
        </w:tc>
        <w:tc>
          <w:tcPr>
            <w:tcW w:w="1480" w:type="dxa"/>
            <w:tcBorders>
              <w:top w:val="nil"/>
              <w:left w:val="nil"/>
              <w:bottom w:val="single" w:sz="4" w:space="0" w:color="000000"/>
              <w:right w:val="single" w:sz="4" w:space="0" w:color="000000"/>
            </w:tcBorders>
            <w:shd w:val="clear" w:color="auto" w:fill="auto"/>
            <w:noWrap/>
            <w:vAlign w:val="center"/>
            <w:hideMark/>
          </w:tcPr>
          <w:p w14:paraId="262C49B1"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32 563,2</w:t>
            </w:r>
          </w:p>
        </w:tc>
        <w:tc>
          <w:tcPr>
            <w:tcW w:w="1780" w:type="dxa"/>
            <w:tcBorders>
              <w:top w:val="nil"/>
              <w:left w:val="nil"/>
              <w:bottom w:val="single" w:sz="4" w:space="0" w:color="000000"/>
              <w:right w:val="single" w:sz="4" w:space="0" w:color="000000"/>
            </w:tcBorders>
            <w:shd w:val="clear" w:color="auto" w:fill="auto"/>
            <w:noWrap/>
            <w:vAlign w:val="center"/>
            <w:hideMark/>
          </w:tcPr>
          <w:p w14:paraId="0C13E465"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25,5</w:t>
            </w:r>
          </w:p>
        </w:tc>
      </w:tr>
      <w:tr w:rsidR="00037CD3" w:rsidRPr="00213A5D" w14:paraId="24CD5429" w14:textId="77777777" w:rsidTr="00F94411">
        <w:trPr>
          <w:trHeight w:val="9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5CBAE73B"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«Защита населения и территорий от чрезвычайных ситуаций, обеспечение пожарной безопасности и безопасности людей на водных объектах»</w:t>
            </w:r>
          </w:p>
        </w:tc>
        <w:tc>
          <w:tcPr>
            <w:tcW w:w="1480" w:type="dxa"/>
            <w:tcBorders>
              <w:top w:val="nil"/>
              <w:left w:val="nil"/>
              <w:bottom w:val="single" w:sz="4" w:space="0" w:color="000000"/>
              <w:right w:val="single" w:sz="4" w:space="0" w:color="000000"/>
            </w:tcBorders>
            <w:shd w:val="clear" w:color="auto" w:fill="auto"/>
            <w:noWrap/>
            <w:vAlign w:val="center"/>
            <w:hideMark/>
          </w:tcPr>
          <w:p w14:paraId="0945B35B"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31 468,7</w:t>
            </w:r>
          </w:p>
        </w:tc>
        <w:tc>
          <w:tcPr>
            <w:tcW w:w="1780" w:type="dxa"/>
            <w:tcBorders>
              <w:top w:val="nil"/>
              <w:left w:val="nil"/>
              <w:bottom w:val="single" w:sz="4" w:space="0" w:color="000000"/>
              <w:right w:val="single" w:sz="4" w:space="0" w:color="000000"/>
            </w:tcBorders>
            <w:shd w:val="clear" w:color="auto" w:fill="auto"/>
            <w:noWrap/>
            <w:vAlign w:val="center"/>
            <w:hideMark/>
          </w:tcPr>
          <w:p w14:paraId="51FE5345" w14:textId="77777777" w:rsidR="00037CD3" w:rsidRPr="00213A5D" w:rsidRDefault="0056130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15</w:t>
            </w:r>
          </w:p>
        </w:tc>
      </w:tr>
      <w:tr w:rsidR="00037CD3" w:rsidRPr="00213A5D" w14:paraId="2FF03A87" w14:textId="77777777" w:rsidTr="00F94411">
        <w:trPr>
          <w:trHeight w:val="56"/>
          <w:jc w:val="center"/>
        </w:trPr>
        <w:tc>
          <w:tcPr>
            <w:tcW w:w="6530" w:type="dxa"/>
            <w:tcBorders>
              <w:top w:val="nil"/>
              <w:left w:val="single" w:sz="4" w:space="0" w:color="000000"/>
              <w:bottom w:val="single" w:sz="4" w:space="0" w:color="000000"/>
              <w:right w:val="single" w:sz="4" w:space="0" w:color="000000"/>
            </w:tcBorders>
            <w:shd w:val="clear" w:color="auto" w:fill="auto"/>
            <w:vAlign w:val="center"/>
            <w:hideMark/>
          </w:tcPr>
          <w:p w14:paraId="7422776B" w14:textId="77777777" w:rsidR="00037CD3" w:rsidRPr="00213A5D" w:rsidRDefault="00037CD3"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«Обеспечение общественного порядка и противодействие преступности»</w:t>
            </w:r>
          </w:p>
        </w:tc>
        <w:tc>
          <w:tcPr>
            <w:tcW w:w="1480" w:type="dxa"/>
            <w:tcBorders>
              <w:top w:val="nil"/>
              <w:left w:val="nil"/>
              <w:bottom w:val="single" w:sz="4" w:space="0" w:color="000000"/>
              <w:right w:val="single" w:sz="4" w:space="0" w:color="000000"/>
            </w:tcBorders>
            <w:shd w:val="clear" w:color="auto" w:fill="auto"/>
            <w:noWrap/>
            <w:vAlign w:val="center"/>
            <w:hideMark/>
          </w:tcPr>
          <w:p w14:paraId="694C2B7F"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31 026,6</w:t>
            </w:r>
          </w:p>
        </w:tc>
        <w:tc>
          <w:tcPr>
            <w:tcW w:w="1780" w:type="dxa"/>
            <w:tcBorders>
              <w:top w:val="nil"/>
              <w:left w:val="nil"/>
              <w:bottom w:val="single" w:sz="4" w:space="0" w:color="000000"/>
              <w:right w:val="single" w:sz="4" w:space="0" w:color="000000"/>
            </w:tcBorders>
            <w:shd w:val="clear" w:color="auto" w:fill="auto"/>
            <w:noWrap/>
            <w:vAlign w:val="center"/>
            <w:hideMark/>
          </w:tcPr>
          <w:p w14:paraId="2A2D8912" w14:textId="77777777" w:rsidR="00037CD3" w:rsidRPr="00213A5D" w:rsidRDefault="00037CD3"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3,9</w:t>
            </w:r>
          </w:p>
        </w:tc>
      </w:tr>
    </w:tbl>
    <w:p w14:paraId="2E020F5B" w14:textId="77777777" w:rsidR="000130D5" w:rsidRPr="00213A5D" w:rsidRDefault="000130D5" w:rsidP="00AF1852">
      <w:pPr>
        <w:widowControl w:val="0"/>
        <w:spacing w:line="240" w:lineRule="auto"/>
        <w:ind w:left="0" w:right="-2"/>
        <w:rPr>
          <w:bCs/>
          <w:sz w:val="16"/>
          <w:szCs w:val="16"/>
        </w:rPr>
      </w:pPr>
    </w:p>
    <w:p w14:paraId="2013E662" w14:textId="77777777" w:rsidR="00037CD3" w:rsidRPr="00213A5D" w:rsidRDefault="00037CD3" w:rsidP="00AF1852">
      <w:pPr>
        <w:widowControl w:val="0"/>
        <w:spacing w:line="384" w:lineRule="auto"/>
        <w:ind w:left="0" w:right="0"/>
        <w:rPr>
          <w:bCs/>
          <w:sz w:val="24"/>
        </w:rPr>
      </w:pPr>
      <w:r w:rsidRPr="00213A5D">
        <w:rPr>
          <w:bCs/>
          <w:sz w:val="24"/>
        </w:rPr>
        <w:t xml:space="preserve">По </w:t>
      </w:r>
      <w:r w:rsidRPr="00213A5D">
        <w:rPr>
          <w:b/>
          <w:bCs/>
          <w:sz w:val="24"/>
        </w:rPr>
        <w:t>16 госпрограммам</w:t>
      </w:r>
      <w:r w:rsidRPr="00213A5D">
        <w:rPr>
          <w:bCs/>
          <w:sz w:val="24"/>
        </w:rPr>
        <w:t xml:space="preserve"> отмечается увеличение бюджетных ассигнований </w:t>
      </w:r>
      <w:r w:rsidR="00F94411" w:rsidRPr="00213A5D">
        <w:rPr>
          <w:bCs/>
          <w:sz w:val="24"/>
        </w:rPr>
        <w:br/>
      </w:r>
      <w:r w:rsidRPr="00213A5D">
        <w:rPr>
          <w:bCs/>
          <w:sz w:val="24"/>
        </w:rPr>
        <w:t>по сравнению с показателями, утвержденными Федеральным законом № 390-ФЗ,</w:t>
      </w:r>
      <w:r w:rsidRPr="00213A5D">
        <w:rPr>
          <w:b/>
          <w:bCs/>
          <w:sz w:val="24"/>
        </w:rPr>
        <w:t xml:space="preserve"> более</w:t>
      </w:r>
      <w:r w:rsidRPr="00213A5D">
        <w:rPr>
          <w:bCs/>
          <w:sz w:val="24"/>
        </w:rPr>
        <w:t> 3</w:t>
      </w:r>
      <w:r w:rsidRPr="00213A5D">
        <w:rPr>
          <w:b/>
          <w:bCs/>
          <w:sz w:val="24"/>
        </w:rPr>
        <w:t>0 млрд. рублей</w:t>
      </w:r>
      <w:r w:rsidRPr="00213A5D">
        <w:rPr>
          <w:bCs/>
          <w:sz w:val="24"/>
        </w:rPr>
        <w:t xml:space="preserve">, при этом по </w:t>
      </w:r>
      <w:r w:rsidRPr="00213A5D">
        <w:rPr>
          <w:b/>
          <w:bCs/>
          <w:sz w:val="24"/>
        </w:rPr>
        <w:t>6 госпрограммам</w:t>
      </w:r>
      <w:r w:rsidRPr="00213A5D">
        <w:rPr>
          <w:bCs/>
          <w:sz w:val="24"/>
        </w:rPr>
        <w:t xml:space="preserve"> бюджетные ассигнования увеличены </w:t>
      </w:r>
      <w:r w:rsidRPr="00213A5D">
        <w:rPr>
          <w:b/>
          <w:bCs/>
          <w:sz w:val="24"/>
        </w:rPr>
        <w:t>в 1,3 ­ 1,5 раза</w:t>
      </w:r>
      <w:r w:rsidRPr="00213A5D">
        <w:rPr>
          <w:bCs/>
          <w:sz w:val="24"/>
        </w:rPr>
        <w:t>.</w:t>
      </w:r>
    </w:p>
    <w:p w14:paraId="367A0CA7" w14:textId="77777777" w:rsidR="00A46B91" w:rsidRPr="00213A5D" w:rsidRDefault="00A46B91" w:rsidP="00AF1852">
      <w:pPr>
        <w:widowControl w:val="0"/>
        <w:spacing w:line="384" w:lineRule="auto"/>
        <w:ind w:left="0" w:right="0"/>
        <w:rPr>
          <w:sz w:val="24"/>
        </w:rPr>
      </w:pPr>
      <w:r w:rsidRPr="00213A5D">
        <w:rPr>
          <w:b/>
          <w:bCs/>
          <w:sz w:val="24"/>
        </w:rPr>
        <w:t xml:space="preserve">5.5. Расходы федерального бюджета на реализацию госпрограмм </w:t>
      </w:r>
      <w:r w:rsidRPr="00213A5D">
        <w:rPr>
          <w:b/>
          <w:bCs/>
          <w:sz w:val="24"/>
        </w:rPr>
        <w:br/>
      </w:r>
      <w:r w:rsidRPr="00213A5D">
        <w:rPr>
          <w:sz w:val="24"/>
        </w:rPr>
        <w:t xml:space="preserve">за январь – сентябрь 2022 года </w:t>
      </w:r>
      <w:r w:rsidRPr="00213A5D">
        <w:rPr>
          <w:b/>
          <w:sz w:val="24"/>
        </w:rPr>
        <w:t>исполнены</w:t>
      </w:r>
      <w:r w:rsidRPr="00213A5D">
        <w:rPr>
          <w:sz w:val="24"/>
        </w:rPr>
        <w:t xml:space="preserve"> в сумме </w:t>
      </w:r>
      <w:r w:rsidRPr="00213A5D">
        <w:rPr>
          <w:b/>
          <w:sz w:val="24"/>
        </w:rPr>
        <w:t>12 690 008,4 млн. рублей</w:t>
      </w:r>
      <w:r w:rsidRPr="00213A5D">
        <w:rPr>
          <w:sz w:val="24"/>
        </w:rPr>
        <w:t xml:space="preserve">, или </w:t>
      </w:r>
      <w:r w:rsidRPr="00213A5D">
        <w:rPr>
          <w:b/>
          <w:sz w:val="24"/>
        </w:rPr>
        <w:t>69,1 %</w:t>
      </w:r>
      <w:r w:rsidRPr="00213A5D">
        <w:rPr>
          <w:sz w:val="24"/>
        </w:rPr>
        <w:t xml:space="preserve"> </w:t>
      </w:r>
      <w:r w:rsidRPr="00213A5D">
        <w:rPr>
          <w:sz w:val="24"/>
        </w:rPr>
        <w:br/>
        <w:t xml:space="preserve">показателя сводной росписи с изменениями (открытая часть), что </w:t>
      </w:r>
      <w:r w:rsidRPr="00213A5D">
        <w:rPr>
          <w:b/>
          <w:sz w:val="24"/>
        </w:rPr>
        <w:t>на 1,3</w:t>
      </w:r>
      <w:r w:rsidRPr="00213A5D">
        <w:rPr>
          <w:sz w:val="24"/>
        </w:rPr>
        <w:t xml:space="preserve"> процентного </w:t>
      </w:r>
      <w:r w:rsidRPr="00213A5D">
        <w:rPr>
          <w:sz w:val="24"/>
        </w:rPr>
        <w:br/>
        <w:t xml:space="preserve">пункта </w:t>
      </w:r>
      <w:r w:rsidR="00980E82">
        <w:rPr>
          <w:b/>
          <w:sz w:val="24"/>
        </w:rPr>
        <w:t>ниже</w:t>
      </w:r>
      <w:r w:rsidRPr="00213A5D">
        <w:rPr>
          <w:sz w:val="24"/>
        </w:rPr>
        <w:t xml:space="preserve"> уровня исполнения указанных расходов за аналогичный период </w:t>
      </w:r>
      <w:r w:rsidRPr="00213A5D">
        <w:rPr>
          <w:sz w:val="24"/>
        </w:rPr>
        <w:br/>
        <w:t xml:space="preserve">предыдущего года (11 052 154,6 млрд. рублей, или 70,4 % показателя сводной росписи </w:t>
      </w:r>
      <w:r w:rsidR="00F94411" w:rsidRPr="00213A5D">
        <w:rPr>
          <w:sz w:val="24"/>
        </w:rPr>
        <w:br/>
      </w:r>
      <w:r w:rsidRPr="00213A5D">
        <w:rPr>
          <w:sz w:val="24"/>
        </w:rPr>
        <w:t>с изменениями).</w:t>
      </w:r>
    </w:p>
    <w:p w14:paraId="03442E59" w14:textId="77777777" w:rsidR="00A46B91" w:rsidRPr="00213A5D" w:rsidRDefault="00A46B91" w:rsidP="00AF1852">
      <w:pPr>
        <w:widowControl w:val="0"/>
        <w:spacing w:line="384" w:lineRule="auto"/>
        <w:ind w:left="0" w:right="0"/>
        <w:rPr>
          <w:sz w:val="24"/>
          <w:szCs w:val="24"/>
        </w:rPr>
      </w:pPr>
      <w:r w:rsidRPr="00213A5D">
        <w:rPr>
          <w:sz w:val="24"/>
          <w:szCs w:val="24"/>
        </w:rPr>
        <w:t>Уровень исполнения расходов на реализацию госпрограмм по состоянию на 1 октября 2022 года представлен на следующей диаграмме.</w:t>
      </w:r>
    </w:p>
    <w:p w14:paraId="69B2D157" w14:textId="77777777" w:rsidR="000130D5" w:rsidRPr="00213A5D" w:rsidRDefault="00CD0E98" w:rsidP="00AF1852">
      <w:pPr>
        <w:widowControl w:val="0"/>
        <w:spacing w:line="350" w:lineRule="auto"/>
        <w:ind w:left="0" w:right="-2" w:firstLine="0"/>
        <w:jc w:val="center"/>
        <w:rPr>
          <w:bCs/>
          <w:sz w:val="16"/>
          <w:szCs w:val="16"/>
        </w:rPr>
      </w:pPr>
      <w:r>
        <w:rPr>
          <w:noProof/>
          <w:sz w:val="16"/>
          <w:szCs w:val="16"/>
        </w:rPr>
        <w:lastRenderedPageBreak/>
        <w:pict w14:anchorId="076E9CC7">
          <v:shape id="Рисунок 5" o:spid="_x0000_i1060" type="#_x0000_t75" alt="" style="width:368.85pt;height:252.7pt;visibility:visible;mso-width-percent:0;mso-height-percent:0;mso-width-percent:0;mso-height-percent:0">
            <v:imagedata r:id="rId43" o:title=""/>
          </v:shape>
        </w:pict>
      </w:r>
    </w:p>
    <w:p w14:paraId="0C15DB9D" w14:textId="77777777" w:rsidR="00A46B91" w:rsidRPr="00213A5D" w:rsidRDefault="00A46B91" w:rsidP="00AF1852">
      <w:pPr>
        <w:widowControl w:val="0"/>
        <w:spacing w:line="384" w:lineRule="auto"/>
        <w:ind w:left="0" w:right="0"/>
        <w:rPr>
          <w:sz w:val="24"/>
        </w:rPr>
      </w:pPr>
      <w:r w:rsidRPr="00213A5D">
        <w:rPr>
          <w:sz w:val="24"/>
          <w:szCs w:val="24"/>
        </w:rPr>
        <w:t xml:space="preserve">В январе – сентябре 2022 года </w:t>
      </w:r>
      <w:r w:rsidRPr="00213A5D">
        <w:rPr>
          <w:b/>
          <w:sz w:val="24"/>
          <w:szCs w:val="24"/>
        </w:rPr>
        <w:t>на крайне низком уровне</w:t>
      </w:r>
      <w:r w:rsidRPr="00213A5D">
        <w:rPr>
          <w:sz w:val="24"/>
          <w:szCs w:val="24"/>
        </w:rPr>
        <w:t xml:space="preserve"> исполнены расходы </w:t>
      </w:r>
      <w:r w:rsidR="00056A19" w:rsidRPr="00213A5D">
        <w:rPr>
          <w:sz w:val="24"/>
          <w:szCs w:val="24"/>
        </w:rPr>
        <w:br/>
      </w:r>
      <w:r w:rsidRPr="00213A5D">
        <w:rPr>
          <w:sz w:val="24"/>
          <w:szCs w:val="24"/>
        </w:rPr>
        <w:t xml:space="preserve">по госпрограммам </w:t>
      </w:r>
      <w:r w:rsidRPr="00213A5D">
        <w:rPr>
          <w:sz w:val="24"/>
        </w:rPr>
        <w:t>«Содействие международному развитию» (</w:t>
      </w:r>
      <w:r w:rsidRPr="00213A5D">
        <w:rPr>
          <w:b/>
          <w:sz w:val="24"/>
        </w:rPr>
        <w:t>6,5 %</w:t>
      </w:r>
      <w:r w:rsidRPr="00213A5D">
        <w:rPr>
          <w:sz w:val="24"/>
        </w:rPr>
        <w:t xml:space="preserve"> показателя сводной росписи с изменениями), «Социально-экономическое развитие Арктической зоны Российской Федерации» </w:t>
      </w:r>
      <w:r w:rsidRPr="00213A5D">
        <w:rPr>
          <w:b/>
          <w:sz w:val="24"/>
        </w:rPr>
        <w:t>(12,7 %)</w:t>
      </w:r>
      <w:r w:rsidRPr="00213A5D">
        <w:rPr>
          <w:sz w:val="24"/>
        </w:rPr>
        <w:t xml:space="preserve">, «Развитие электронной и радиоэлектронной промышленности» </w:t>
      </w:r>
      <w:r w:rsidRPr="00213A5D">
        <w:rPr>
          <w:b/>
          <w:sz w:val="24"/>
        </w:rPr>
        <w:t>(13,9 %)</w:t>
      </w:r>
      <w:r w:rsidRPr="00213A5D">
        <w:rPr>
          <w:sz w:val="24"/>
        </w:rPr>
        <w:t xml:space="preserve">, «Развитие судостроения и техники освоения шельфовых месторождений» </w:t>
      </w:r>
      <w:r w:rsidRPr="00213A5D">
        <w:rPr>
          <w:b/>
          <w:sz w:val="24"/>
        </w:rPr>
        <w:t xml:space="preserve">(18,8 %) </w:t>
      </w:r>
      <w:r w:rsidRPr="00213A5D">
        <w:rPr>
          <w:sz w:val="24"/>
        </w:rPr>
        <w:t xml:space="preserve">и «Социально-экономическое развитие Калининградской области» </w:t>
      </w:r>
      <w:r w:rsidRPr="00213A5D">
        <w:rPr>
          <w:b/>
          <w:sz w:val="24"/>
        </w:rPr>
        <w:t>(21,8 %)</w:t>
      </w:r>
      <w:r w:rsidRPr="00213A5D">
        <w:rPr>
          <w:sz w:val="24"/>
        </w:rPr>
        <w:t xml:space="preserve">. Исполнение расходов по </w:t>
      </w:r>
      <w:r w:rsidRPr="00213A5D">
        <w:rPr>
          <w:b/>
          <w:sz w:val="24"/>
        </w:rPr>
        <w:t xml:space="preserve">16 структурным элементам </w:t>
      </w:r>
      <w:r w:rsidRPr="00213A5D">
        <w:rPr>
          <w:sz w:val="24"/>
        </w:rPr>
        <w:t>13 госпрограмм составило</w:t>
      </w:r>
      <w:r w:rsidRPr="00213A5D">
        <w:rPr>
          <w:b/>
          <w:sz w:val="24"/>
        </w:rPr>
        <w:t xml:space="preserve"> менее 10 % </w:t>
      </w:r>
      <w:r w:rsidRPr="00213A5D">
        <w:rPr>
          <w:sz w:val="24"/>
        </w:rPr>
        <w:t xml:space="preserve">показателя сводной росписи с изменениями. Так, исполнение по федеральному проекту «Комплексное развитие космических информационных технологий» составило 0,9 из 14 000,0 млн. рублей, или 0,01 %, «Цифровое государственное управление» </w:t>
      </w:r>
      <w:r w:rsidR="00056A19" w:rsidRPr="00213A5D">
        <w:rPr>
          <w:sz w:val="24"/>
          <w:szCs w:val="24"/>
        </w:rPr>
        <w:t>–</w:t>
      </w:r>
      <w:r w:rsidRPr="00213A5D">
        <w:rPr>
          <w:sz w:val="24"/>
        </w:rPr>
        <w:t xml:space="preserve"> 0,2 </w:t>
      </w:r>
      <w:r w:rsidR="00056A19" w:rsidRPr="00213A5D">
        <w:rPr>
          <w:sz w:val="24"/>
        </w:rPr>
        <w:br/>
      </w:r>
      <w:r w:rsidRPr="00213A5D">
        <w:rPr>
          <w:sz w:val="24"/>
        </w:rPr>
        <w:t xml:space="preserve">из 471,0 млн. рублей, или 0,04 %, «Информационно-аналитическое и научное обеспечение развития транспортной системы» </w:t>
      </w:r>
      <w:r w:rsidR="00056A19" w:rsidRPr="00213A5D">
        <w:rPr>
          <w:sz w:val="24"/>
          <w:szCs w:val="24"/>
        </w:rPr>
        <w:t>–</w:t>
      </w:r>
      <w:r w:rsidRPr="00213A5D">
        <w:rPr>
          <w:sz w:val="24"/>
        </w:rPr>
        <w:t xml:space="preserve"> 354,3 из 17 659,5 млн. рублей, или 2 %, и другим.</w:t>
      </w:r>
    </w:p>
    <w:p w14:paraId="3D96DAD2" w14:textId="77777777" w:rsidR="00A46B91" w:rsidRPr="00213A5D" w:rsidRDefault="00A46B91" w:rsidP="00AF1852">
      <w:pPr>
        <w:widowControl w:val="0"/>
        <w:spacing w:line="384" w:lineRule="auto"/>
        <w:ind w:left="0" w:right="0"/>
        <w:rPr>
          <w:sz w:val="24"/>
          <w:szCs w:val="24"/>
        </w:rPr>
      </w:pPr>
      <w:r w:rsidRPr="00213A5D">
        <w:rPr>
          <w:sz w:val="24"/>
          <w:szCs w:val="24"/>
        </w:rPr>
        <w:t>В январе – </w:t>
      </w:r>
      <w:r w:rsidR="00B10DF7" w:rsidRPr="00213A5D">
        <w:rPr>
          <w:sz w:val="24"/>
          <w:szCs w:val="24"/>
        </w:rPr>
        <w:t>сентябре</w:t>
      </w:r>
      <w:r w:rsidRPr="00213A5D">
        <w:rPr>
          <w:sz w:val="24"/>
          <w:szCs w:val="24"/>
        </w:rPr>
        <w:t xml:space="preserve"> 2022 года </w:t>
      </w:r>
      <w:r w:rsidRPr="00213A5D">
        <w:rPr>
          <w:b/>
          <w:sz w:val="24"/>
          <w:szCs w:val="24"/>
        </w:rPr>
        <w:t>ниже</w:t>
      </w:r>
      <w:r w:rsidRPr="00213A5D">
        <w:rPr>
          <w:sz w:val="24"/>
          <w:szCs w:val="24"/>
        </w:rPr>
        <w:t xml:space="preserve"> уровня исполнения расходов </w:t>
      </w:r>
      <w:r w:rsidR="00056A19" w:rsidRPr="00213A5D">
        <w:rPr>
          <w:sz w:val="24"/>
          <w:szCs w:val="24"/>
        </w:rPr>
        <w:br/>
      </w:r>
      <w:r w:rsidRPr="00213A5D">
        <w:rPr>
          <w:sz w:val="24"/>
          <w:szCs w:val="24"/>
        </w:rPr>
        <w:t xml:space="preserve">по госпрограммам за соответствующий период 2021 года исполнены расходы </w:t>
      </w:r>
      <w:r w:rsidR="00056A19" w:rsidRPr="00213A5D">
        <w:rPr>
          <w:sz w:val="24"/>
          <w:szCs w:val="24"/>
        </w:rPr>
        <w:br/>
      </w:r>
      <w:r w:rsidRPr="00213A5D">
        <w:rPr>
          <w:b/>
          <w:sz w:val="24"/>
          <w:szCs w:val="24"/>
        </w:rPr>
        <w:t>по 17</w:t>
      </w:r>
      <w:r w:rsidRPr="00213A5D">
        <w:rPr>
          <w:sz w:val="24"/>
          <w:szCs w:val="24"/>
        </w:rPr>
        <w:t xml:space="preserve"> госпрограммам (например, по госпрограмме «Развитие судостроения и </w:t>
      </w:r>
      <w:r w:rsidR="00056A19" w:rsidRPr="00213A5D">
        <w:rPr>
          <w:sz w:val="24"/>
          <w:szCs w:val="24"/>
        </w:rPr>
        <w:br/>
      </w:r>
      <w:r w:rsidRPr="00213A5D">
        <w:rPr>
          <w:sz w:val="24"/>
          <w:szCs w:val="24"/>
        </w:rPr>
        <w:t xml:space="preserve">техники для освоения шельфовых месторождений» уровень исполнения ниже </w:t>
      </w:r>
      <w:r w:rsidR="00056A19" w:rsidRPr="00213A5D">
        <w:rPr>
          <w:sz w:val="24"/>
          <w:szCs w:val="24"/>
        </w:rPr>
        <w:br/>
      </w:r>
      <w:r w:rsidRPr="00213A5D">
        <w:rPr>
          <w:b/>
          <w:sz w:val="24"/>
          <w:szCs w:val="24"/>
        </w:rPr>
        <w:t>на 40,8</w:t>
      </w:r>
      <w:r w:rsidRPr="00213A5D">
        <w:rPr>
          <w:sz w:val="24"/>
          <w:szCs w:val="24"/>
        </w:rPr>
        <w:t xml:space="preserve"> процентного пункта, «Социально-экономическое развитие Калининградской области» – </w:t>
      </w:r>
      <w:r w:rsidRPr="00213A5D">
        <w:rPr>
          <w:b/>
          <w:sz w:val="24"/>
          <w:szCs w:val="24"/>
        </w:rPr>
        <w:t>на 36,7</w:t>
      </w:r>
      <w:r w:rsidRPr="00213A5D">
        <w:rPr>
          <w:sz w:val="24"/>
          <w:szCs w:val="24"/>
        </w:rPr>
        <w:t xml:space="preserve"> процентного пункта, «Развитие промышленности и повышение </w:t>
      </w:r>
      <w:r w:rsidR="00056A19" w:rsidRPr="00213A5D">
        <w:rPr>
          <w:sz w:val="24"/>
          <w:szCs w:val="24"/>
        </w:rPr>
        <w:br/>
      </w:r>
      <w:r w:rsidRPr="00213A5D">
        <w:rPr>
          <w:sz w:val="24"/>
          <w:szCs w:val="24"/>
        </w:rPr>
        <w:t xml:space="preserve">ее конкурентоспособности» – </w:t>
      </w:r>
      <w:r w:rsidRPr="00213A5D">
        <w:rPr>
          <w:b/>
          <w:sz w:val="24"/>
          <w:szCs w:val="24"/>
        </w:rPr>
        <w:t xml:space="preserve">на 26,6 </w:t>
      </w:r>
      <w:r w:rsidRPr="00213A5D">
        <w:rPr>
          <w:sz w:val="24"/>
          <w:szCs w:val="24"/>
        </w:rPr>
        <w:t>процентного пункта).</w:t>
      </w:r>
    </w:p>
    <w:p w14:paraId="5F557A63" w14:textId="77777777" w:rsidR="00A46B91" w:rsidRPr="00213A5D" w:rsidRDefault="00A46B91" w:rsidP="00AF1852">
      <w:pPr>
        <w:widowControl w:val="0"/>
        <w:spacing w:line="384" w:lineRule="auto"/>
        <w:ind w:left="0" w:right="0"/>
        <w:rPr>
          <w:rFonts w:eastAsia="Times New Roman"/>
          <w:sz w:val="24"/>
          <w:szCs w:val="24"/>
        </w:rPr>
      </w:pPr>
      <w:r w:rsidRPr="00213A5D">
        <w:rPr>
          <w:sz w:val="24"/>
          <w:szCs w:val="24"/>
        </w:rPr>
        <w:t>По состоянию на 1 октября 2022 года</w:t>
      </w:r>
      <w:r w:rsidRPr="00213A5D">
        <w:rPr>
          <w:rFonts w:eastAsia="Times New Roman"/>
          <w:b/>
          <w:sz w:val="24"/>
          <w:szCs w:val="24"/>
        </w:rPr>
        <w:t xml:space="preserve"> на уровне</w:t>
      </w:r>
      <w:r w:rsidRPr="00213A5D">
        <w:rPr>
          <w:rFonts w:eastAsia="Times New Roman"/>
          <w:sz w:val="24"/>
          <w:szCs w:val="24"/>
        </w:rPr>
        <w:t xml:space="preserve"> менее 50 % исполнены </w:t>
      </w:r>
      <w:r w:rsidRPr="00213A5D">
        <w:rPr>
          <w:rFonts w:eastAsia="Times New Roman"/>
          <w:b/>
          <w:sz w:val="24"/>
          <w:szCs w:val="24"/>
        </w:rPr>
        <w:t>расходы (открытая часть) по 12 госпрограммам,</w:t>
      </w:r>
      <w:r w:rsidRPr="00213A5D">
        <w:rPr>
          <w:rFonts w:eastAsia="Times New Roman"/>
          <w:sz w:val="24"/>
          <w:szCs w:val="24"/>
        </w:rPr>
        <w:t xml:space="preserve"> представленным на следующей диаграмме.</w:t>
      </w:r>
    </w:p>
    <w:p w14:paraId="6D450878" w14:textId="77777777" w:rsidR="00CF1C0D" w:rsidRPr="00213A5D" w:rsidRDefault="00A46B91" w:rsidP="00AF1852">
      <w:pPr>
        <w:widowControl w:val="0"/>
        <w:tabs>
          <w:tab w:val="left" w:pos="142"/>
        </w:tabs>
        <w:spacing w:line="240" w:lineRule="auto"/>
        <w:ind w:right="0"/>
        <w:jc w:val="right"/>
        <w:rPr>
          <w:rFonts w:eastAsia="Times New Roman"/>
          <w:sz w:val="20"/>
          <w:szCs w:val="20"/>
        </w:rPr>
      </w:pPr>
      <w:r w:rsidRPr="00213A5D">
        <w:rPr>
          <w:rFonts w:eastAsia="Times New Roman"/>
          <w:sz w:val="20"/>
          <w:szCs w:val="20"/>
        </w:rPr>
        <w:lastRenderedPageBreak/>
        <w:t xml:space="preserve"> </w:t>
      </w:r>
      <w:r w:rsidR="00CF1C0D" w:rsidRPr="00213A5D">
        <w:rPr>
          <w:rFonts w:eastAsia="Times New Roman"/>
          <w:sz w:val="20"/>
          <w:szCs w:val="20"/>
        </w:rPr>
        <w:t>(%)</w:t>
      </w:r>
    </w:p>
    <w:p w14:paraId="0C62E200" w14:textId="77777777" w:rsidR="00A46B91" w:rsidRPr="00213A5D" w:rsidRDefault="00CD0E98" w:rsidP="00AF1852">
      <w:pPr>
        <w:widowControl w:val="0"/>
        <w:tabs>
          <w:tab w:val="left" w:pos="142"/>
        </w:tabs>
        <w:spacing w:line="240" w:lineRule="auto"/>
        <w:ind w:left="0" w:right="0" w:firstLine="0"/>
        <w:jc w:val="center"/>
        <w:rPr>
          <w:rFonts w:eastAsia="Times New Roman"/>
          <w:sz w:val="20"/>
          <w:szCs w:val="20"/>
        </w:rPr>
      </w:pPr>
      <w:r w:rsidRPr="00CD0E98">
        <w:rPr>
          <w:rFonts w:eastAsia="Times New Roman"/>
          <w:noProof/>
          <w:sz w:val="24"/>
          <w:szCs w:val="24"/>
        </w:rPr>
        <w:pict w14:anchorId="2F394364">
          <v:shape id="Рисунок 6" o:spid="_x0000_i1059" type="#_x0000_t75" alt="" style="width:472.75pt;height:240.45pt;visibility:visible;mso-width-percent:0;mso-height-percent:0;mso-width-percent:0;mso-height-percent:0">
            <v:imagedata r:id="rId44" o:title=""/>
          </v:shape>
        </w:pict>
      </w:r>
    </w:p>
    <w:p w14:paraId="4884DDF6" w14:textId="77777777" w:rsidR="00A46B91" w:rsidRPr="00213A5D" w:rsidRDefault="00A46B91" w:rsidP="00AF1852">
      <w:pPr>
        <w:widowControl w:val="0"/>
        <w:spacing w:line="353" w:lineRule="auto"/>
        <w:ind w:left="0" w:right="-2"/>
        <w:rPr>
          <w:sz w:val="24"/>
          <w:szCs w:val="24"/>
        </w:rPr>
      </w:pPr>
      <w:r w:rsidRPr="00213A5D">
        <w:rPr>
          <w:sz w:val="24"/>
          <w:szCs w:val="24"/>
        </w:rPr>
        <w:t>Из указанных госпрограмм расходы по 8 исполнены ниже уровня за соответствующий период 2021 года.</w:t>
      </w:r>
    </w:p>
    <w:p w14:paraId="2C43F68B" w14:textId="77777777" w:rsidR="00A46B91" w:rsidRPr="00213A5D" w:rsidRDefault="00A46B91" w:rsidP="00AF1852">
      <w:pPr>
        <w:widowControl w:val="0"/>
        <w:spacing w:line="353" w:lineRule="auto"/>
        <w:ind w:left="0" w:right="-2"/>
        <w:rPr>
          <w:sz w:val="24"/>
          <w:szCs w:val="24"/>
        </w:rPr>
      </w:pPr>
      <w:r w:rsidRPr="00213A5D">
        <w:rPr>
          <w:sz w:val="24"/>
          <w:szCs w:val="24"/>
        </w:rPr>
        <w:t xml:space="preserve">Следует отметить, что из указанных госпрограмм </w:t>
      </w:r>
      <w:r w:rsidRPr="00213A5D">
        <w:rPr>
          <w:b/>
          <w:sz w:val="24"/>
          <w:szCs w:val="24"/>
        </w:rPr>
        <w:t>степень эффективности реализации 5 госпрограмм</w:t>
      </w:r>
      <w:r w:rsidRPr="00213A5D">
        <w:rPr>
          <w:sz w:val="24"/>
          <w:szCs w:val="24"/>
        </w:rPr>
        <w:t xml:space="preserve"> «Обеспечение химической и биологической безопасности Российской Федерации» (ответственный исполнитель – Минздрав России), «Развитие энергетики» (Минэнерго России), «Развитие фармацевтической и медицинской промышленности» (Минпромторг России) «Развитие авиационной промышленности» (Минпромторг России) и «Социально-экономическое развитие Калининградской области» (Минэкономразвития России) в 2021 году Минэкономразвития России оценена </w:t>
      </w:r>
      <w:r w:rsidRPr="00213A5D">
        <w:rPr>
          <w:b/>
          <w:sz w:val="24"/>
          <w:szCs w:val="24"/>
        </w:rPr>
        <w:t xml:space="preserve">на низком уровне и ниже среднего </w:t>
      </w:r>
      <w:r w:rsidRPr="00213A5D">
        <w:rPr>
          <w:sz w:val="24"/>
          <w:szCs w:val="24"/>
        </w:rPr>
        <w:t>(60,25 – 92,49 %).</w:t>
      </w:r>
    </w:p>
    <w:p w14:paraId="4655F39C" w14:textId="77777777" w:rsidR="00A46B91" w:rsidRPr="00213A5D" w:rsidRDefault="00A46B91" w:rsidP="00AF1852">
      <w:pPr>
        <w:widowControl w:val="0"/>
        <w:spacing w:line="353" w:lineRule="auto"/>
        <w:ind w:left="0" w:right="-2"/>
      </w:pPr>
      <w:r w:rsidRPr="00213A5D">
        <w:rPr>
          <w:sz w:val="24"/>
          <w:szCs w:val="24"/>
        </w:rPr>
        <w:t xml:space="preserve">Оценка Счетной палатой реализации в 2021 году госпрограмм «Обеспечение химической и биологической безопасности Российской Федерации» и «Развитие фармацевтической и медицинской промышленности» соответствует </w:t>
      </w:r>
      <w:r w:rsidRPr="00213A5D">
        <w:rPr>
          <w:b/>
          <w:sz w:val="24"/>
          <w:szCs w:val="24"/>
        </w:rPr>
        <w:t>низкому уровню</w:t>
      </w:r>
      <w:r w:rsidRPr="00213A5D">
        <w:rPr>
          <w:sz w:val="24"/>
          <w:szCs w:val="24"/>
        </w:rPr>
        <w:t>.</w:t>
      </w:r>
    </w:p>
    <w:p w14:paraId="6A6F7B97" w14:textId="77777777" w:rsidR="00A46B91" w:rsidRPr="00213A5D" w:rsidRDefault="00A46B91" w:rsidP="00AF1852">
      <w:pPr>
        <w:widowControl w:val="0"/>
        <w:spacing w:line="353" w:lineRule="auto"/>
        <w:ind w:left="0" w:right="-2"/>
        <w:rPr>
          <w:sz w:val="24"/>
          <w:szCs w:val="24"/>
        </w:rPr>
      </w:pPr>
      <w:r w:rsidRPr="00213A5D">
        <w:rPr>
          <w:sz w:val="24"/>
          <w:szCs w:val="24"/>
        </w:rPr>
        <w:t xml:space="preserve">Счетная палата обращает внимание, что </w:t>
      </w:r>
      <w:r w:rsidRPr="00213A5D">
        <w:rPr>
          <w:b/>
          <w:sz w:val="24"/>
          <w:szCs w:val="24"/>
        </w:rPr>
        <w:t>по ряду из указанных госпрограмм по итогам 2020 и 2021 годов также отмечался низкий уровень исполнения расходов</w:t>
      </w:r>
      <w:r w:rsidRPr="00213A5D">
        <w:rPr>
          <w:sz w:val="24"/>
          <w:szCs w:val="24"/>
        </w:rPr>
        <w:t xml:space="preserve">. </w:t>
      </w:r>
      <w:r w:rsidRPr="00213A5D">
        <w:rPr>
          <w:sz w:val="24"/>
          <w:szCs w:val="24"/>
        </w:rPr>
        <w:br/>
        <w:t xml:space="preserve">Так, по госпрограмме «Развитие фармацевтической и медицинской промышленности» (ответственный исполнитель – Минпромторг России) исполнение расходов </w:t>
      </w:r>
      <w:r w:rsidRPr="00213A5D">
        <w:rPr>
          <w:sz w:val="24"/>
          <w:szCs w:val="24"/>
        </w:rPr>
        <w:br/>
        <w:t xml:space="preserve">за 2020 год составило 84 % показателя сводной росписи с изменениями, за 2021 год – 75,2 %, по госпрограмме «Развитие электронной и радиоэлектронной промышленности» (Минпромторг России) – 84,3 и 96,8 %, «Развитие энергетики» (Минэнерго России) – 97,5 и 96 % соответственно. </w:t>
      </w:r>
    </w:p>
    <w:p w14:paraId="51E53A7A" w14:textId="77777777" w:rsidR="00A46B91" w:rsidRPr="00213A5D" w:rsidRDefault="00A46B91" w:rsidP="00AF1852">
      <w:pPr>
        <w:widowControl w:val="0"/>
        <w:spacing w:line="353" w:lineRule="auto"/>
        <w:ind w:left="0" w:right="-2"/>
        <w:rPr>
          <w:sz w:val="24"/>
          <w:szCs w:val="24"/>
        </w:rPr>
      </w:pPr>
      <w:r w:rsidRPr="00213A5D">
        <w:rPr>
          <w:b/>
          <w:bCs/>
          <w:sz w:val="24"/>
          <w:szCs w:val="24"/>
        </w:rPr>
        <w:t>Из 11</w:t>
      </w:r>
      <w:r w:rsidRPr="00213A5D">
        <w:rPr>
          <w:sz w:val="24"/>
          <w:szCs w:val="24"/>
        </w:rPr>
        <w:t xml:space="preserve"> госпрограмм с </w:t>
      </w:r>
      <w:r w:rsidRPr="00213A5D">
        <w:rPr>
          <w:b/>
          <w:bCs/>
          <w:sz w:val="24"/>
          <w:szCs w:val="24"/>
        </w:rPr>
        <w:t>наибольшим объемом бюджетных ассигнований</w:t>
      </w:r>
      <w:r w:rsidRPr="00213A5D">
        <w:rPr>
          <w:sz w:val="24"/>
          <w:szCs w:val="24"/>
        </w:rPr>
        <w:t xml:space="preserve"> на 2022 год (более 500,0 млрд. рублей) на недостаточном уровне исполнены расходы по госпрограмме </w:t>
      </w:r>
      <w:r w:rsidRPr="00213A5D">
        <w:rPr>
          <w:sz w:val="24"/>
          <w:szCs w:val="24"/>
        </w:rPr>
        <w:lastRenderedPageBreak/>
        <w:t>«Развитие промышленности и повышение ее конкурентоспособности» (Минпромторг России) – 51,2 %.</w:t>
      </w:r>
    </w:p>
    <w:p w14:paraId="6201465D" w14:textId="77777777" w:rsidR="00A46B91" w:rsidRPr="00213A5D" w:rsidRDefault="00A46B91" w:rsidP="00AF1852">
      <w:pPr>
        <w:widowControl w:val="0"/>
        <w:spacing w:line="353" w:lineRule="auto"/>
        <w:ind w:left="0" w:right="-2"/>
        <w:rPr>
          <w:sz w:val="24"/>
          <w:szCs w:val="24"/>
        </w:rPr>
      </w:pPr>
      <w:r w:rsidRPr="00213A5D">
        <w:rPr>
          <w:b/>
          <w:sz w:val="24"/>
          <w:szCs w:val="24"/>
        </w:rPr>
        <w:t>5.6.</w:t>
      </w:r>
      <w:r w:rsidRPr="00213A5D">
        <w:rPr>
          <w:sz w:val="24"/>
          <w:szCs w:val="24"/>
        </w:rPr>
        <w:t xml:space="preserve"> Реализацию </w:t>
      </w:r>
      <w:r w:rsidRPr="00213A5D">
        <w:rPr>
          <w:b/>
          <w:sz w:val="24"/>
          <w:szCs w:val="24"/>
        </w:rPr>
        <w:t>48 госпрограмм</w:t>
      </w:r>
      <w:r w:rsidRPr="00213A5D">
        <w:rPr>
          <w:sz w:val="24"/>
          <w:szCs w:val="24"/>
        </w:rPr>
        <w:t xml:space="preserve"> осуществляют </w:t>
      </w:r>
      <w:r w:rsidRPr="00213A5D">
        <w:rPr>
          <w:b/>
          <w:sz w:val="24"/>
          <w:szCs w:val="24"/>
        </w:rPr>
        <w:t>28 ответственных исполнителей</w:t>
      </w:r>
      <w:r w:rsidRPr="00213A5D">
        <w:rPr>
          <w:sz w:val="24"/>
          <w:szCs w:val="24"/>
        </w:rPr>
        <w:t>. При этом количество госпрограмм по ответственным распорядителям существенно различается. Ответственные исполнители с наибольшим количеством госпрограмм представлены на следующей диаграмме.</w:t>
      </w:r>
    </w:p>
    <w:p w14:paraId="65F55B23" w14:textId="77777777" w:rsidR="00A46B91" w:rsidRPr="00213A5D" w:rsidRDefault="00A46B91" w:rsidP="00AF1852">
      <w:pPr>
        <w:widowControl w:val="0"/>
        <w:spacing w:line="240" w:lineRule="auto"/>
        <w:ind w:left="0" w:right="-2"/>
        <w:jc w:val="right"/>
        <w:rPr>
          <w:sz w:val="20"/>
          <w:szCs w:val="20"/>
        </w:rPr>
      </w:pPr>
      <w:r w:rsidRPr="00213A5D">
        <w:rPr>
          <w:sz w:val="20"/>
          <w:szCs w:val="20"/>
        </w:rPr>
        <w:t>(единиц)</w:t>
      </w:r>
    </w:p>
    <w:p w14:paraId="10B64980" w14:textId="77777777" w:rsidR="00A46B91" w:rsidRPr="00213A5D" w:rsidRDefault="00CD0E98" w:rsidP="00AF1852">
      <w:pPr>
        <w:widowControl w:val="0"/>
        <w:spacing w:line="240" w:lineRule="auto"/>
        <w:ind w:left="0" w:right="-2" w:firstLine="0"/>
        <w:jc w:val="center"/>
        <w:rPr>
          <w:noProof/>
          <w:sz w:val="20"/>
          <w:szCs w:val="20"/>
        </w:rPr>
      </w:pPr>
      <w:r>
        <w:rPr>
          <w:noProof/>
          <w:sz w:val="20"/>
          <w:szCs w:val="20"/>
        </w:rPr>
        <w:pict w14:anchorId="6BABAFF3">
          <v:shape id="Рисунок 8" o:spid="_x0000_i1058" type="#_x0000_t75" alt="" style="width:276.45pt;height:184.1pt;visibility:visible;mso-width-percent:0;mso-height-percent:0;mso-width-percent:0;mso-height-percent:0">
            <v:imagedata r:id="rId45" o:title=""/>
          </v:shape>
        </w:pict>
      </w:r>
    </w:p>
    <w:p w14:paraId="3C2E69AC" w14:textId="77777777" w:rsidR="00A46B91" w:rsidRPr="00213A5D" w:rsidRDefault="00A46B91" w:rsidP="00AF1852">
      <w:pPr>
        <w:widowControl w:val="0"/>
        <w:spacing w:line="240" w:lineRule="auto"/>
        <w:ind w:left="0" w:right="-2" w:firstLine="0"/>
        <w:jc w:val="center"/>
        <w:rPr>
          <w:sz w:val="20"/>
          <w:szCs w:val="20"/>
        </w:rPr>
      </w:pPr>
    </w:p>
    <w:p w14:paraId="5B98D1D6" w14:textId="77777777" w:rsidR="00A46B91" w:rsidRPr="00213A5D" w:rsidRDefault="00A46B91" w:rsidP="00AF1852">
      <w:pPr>
        <w:widowControl w:val="0"/>
        <w:ind w:left="0" w:right="0"/>
        <w:rPr>
          <w:sz w:val="24"/>
          <w:szCs w:val="24"/>
        </w:rPr>
      </w:pPr>
      <w:r w:rsidRPr="00213A5D">
        <w:rPr>
          <w:sz w:val="24"/>
          <w:szCs w:val="24"/>
        </w:rPr>
        <w:t xml:space="preserve">Ответственными исполнителями </w:t>
      </w:r>
      <w:r w:rsidRPr="00213A5D">
        <w:rPr>
          <w:b/>
          <w:sz w:val="24"/>
          <w:szCs w:val="24"/>
        </w:rPr>
        <w:t>наибольшего</w:t>
      </w:r>
      <w:r w:rsidRPr="00213A5D">
        <w:rPr>
          <w:sz w:val="24"/>
          <w:szCs w:val="24"/>
        </w:rPr>
        <w:t xml:space="preserve"> количества госпрограмм являются </w:t>
      </w:r>
      <w:r w:rsidRPr="00213A5D">
        <w:rPr>
          <w:b/>
          <w:sz w:val="24"/>
          <w:szCs w:val="24"/>
        </w:rPr>
        <w:t>Минпромторг России</w:t>
      </w:r>
      <w:r w:rsidRPr="00213A5D">
        <w:rPr>
          <w:sz w:val="24"/>
          <w:szCs w:val="24"/>
        </w:rPr>
        <w:t xml:space="preserve">, </w:t>
      </w:r>
      <w:r w:rsidRPr="00213A5D">
        <w:rPr>
          <w:b/>
          <w:sz w:val="24"/>
          <w:szCs w:val="24"/>
        </w:rPr>
        <w:t>Минсельхоз России и Минэкономразвития России</w:t>
      </w:r>
      <w:r w:rsidRPr="00213A5D">
        <w:rPr>
          <w:sz w:val="24"/>
          <w:szCs w:val="24"/>
        </w:rPr>
        <w:t xml:space="preserve">. </w:t>
      </w:r>
      <w:r w:rsidR="0058498F" w:rsidRPr="00213A5D">
        <w:rPr>
          <w:sz w:val="24"/>
          <w:szCs w:val="24"/>
        </w:rPr>
        <w:br/>
      </w:r>
      <w:r w:rsidRPr="00213A5D">
        <w:rPr>
          <w:sz w:val="24"/>
          <w:szCs w:val="24"/>
        </w:rPr>
        <w:t xml:space="preserve">По 1 госпрограмме являются ответственными исполнителями 18 главных распорядителей. </w:t>
      </w:r>
    </w:p>
    <w:p w14:paraId="10B6DD3B" w14:textId="77777777" w:rsidR="00A46B91" w:rsidRPr="00213A5D" w:rsidRDefault="00A46B91" w:rsidP="0058498F">
      <w:pPr>
        <w:widowControl w:val="0"/>
        <w:ind w:left="0" w:right="0"/>
        <w:rPr>
          <w:sz w:val="24"/>
          <w:szCs w:val="24"/>
        </w:rPr>
      </w:pPr>
      <w:r w:rsidRPr="00213A5D">
        <w:rPr>
          <w:sz w:val="24"/>
          <w:szCs w:val="24"/>
        </w:rPr>
        <w:t xml:space="preserve">По состоянию на 1 октября 2022 года отдельными ответственными исполнителями, соисполнителями и участниками </w:t>
      </w:r>
      <w:r w:rsidRPr="00213A5D">
        <w:rPr>
          <w:b/>
          <w:sz w:val="24"/>
          <w:szCs w:val="24"/>
        </w:rPr>
        <w:t>осуществлялись на низком уровне</w:t>
      </w:r>
      <w:r w:rsidRPr="00213A5D">
        <w:rPr>
          <w:sz w:val="24"/>
          <w:szCs w:val="24"/>
        </w:rPr>
        <w:t xml:space="preserve"> расходы </w:t>
      </w:r>
      <w:r w:rsidR="0058498F" w:rsidRPr="00213A5D">
        <w:rPr>
          <w:sz w:val="24"/>
          <w:szCs w:val="24"/>
        </w:rPr>
        <w:br/>
      </w:r>
      <w:r w:rsidRPr="00213A5D">
        <w:rPr>
          <w:sz w:val="24"/>
          <w:szCs w:val="24"/>
        </w:rPr>
        <w:t>на реализацию отдельных госпрограмм.</w:t>
      </w:r>
    </w:p>
    <w:p w14:paraId="5251D5C8" w14:textId="77777777" w:rsidR="00A46B91" w:rsidRPr="00213A5D" w:rsidRDefault="00A46B91" w:rsidP="0058498F">
      <w:pPr>
        <w:widowControl w:val="0"/>
        <w:spacing w:line="348" w:lineRule="auto"/>
        <w:ind w:left="0" w:right="0"/>
        <w:rPr>
          <w:sz w:val="24"/>
          <w:szCs w:val="24"/>
        </w:rPr>
      </w:pPr>
      <w:r w:rsidRPr="00213A5D">
        <w:rPr>
          <w:sz w:val="24"/>
          <w:szCs w:val="24"/>
        </w:rPr>
        <w:t>Так, на низком уровне исполнены расходы</w:t>
      </w:r>
      <w:r w:rsidRPr="00213A5D">
        <w:rPr>
          <w:b/>
          <w:sz w:val="24"/>
          <w:szCs w:val="24"/>
        </w:rPr>
        <w:t xml:space="preserve"> ответственным исполнителем</w:t>
      </w:r>
      <w:r w:rsidRPr="00213A5D">
        <w:rPr>
          <w:sz w:val="24"/>
          <w:szCs w:val="24"/>
        </w:rPr>
        <w:t xml:space="preserve"> </w:t>
      </w:r>
      <w:r w:rsidRPr="00213A5D">
        <w:rPr>
          <w:b/>
          <w:sz w:val="24"/>
          <w:szCs w:val="24"/>
        </w:rPr>
        <w:t>Минвостокразвития России</w:t>
      </w:r>
      <w:r w:rsidRPr="00213A5D">
        <w:rPr>
          <w:sz w:val="24"/>
          <w:szCs w:val="24"/>
        </w:rPr>
        <w:t xml:space="preserve"> по госпрограмме «Социально-экономическое развитие Арктической зоны Российской Федерации» (</w:t>
      </w:r>
      <w:r w:rsidRPr="00213A5D">
        <w:rPr>
          <w:b/>
          <w:sz w:val="24"/>
          <w:szCs w:val="24"/>
        </w:rPr>
        <w:t>12,7 %</w:t>
      </w:r>
      <w:r w:rsidRPr="00213A5D">
        <w:rPr>
          <w:sz w:val="24"/>
          <w:szCs w:val="24"/>
        </w:rPr>
        <w:t xml:space="preserve"> показателя сводной росписи),</w:t>
      </w:r>
      <w:r w:rsidRPr="00213A5D">
        <w:rPr>
          <w:b/>
          <w:sz w:val="24"/>
          <w:szCs w:val="24"/>
        </w:rPr>
        <w:t xml:space="preserve"> Минэкономразвития России</w:t>
      </w:r>
      <w:r w:rsidRPr="00213A5D">
        <w:rPr>
          <w:sz w:val="24"/>
          <w:szCs w:val="24"/>
        </w:rPr>
        <w:t xml:space="preserve"> – по госпрограмме «Социально-экономическое развитие Калининградской области» (</w:t>
      </w:r>
      <w:r w:rsidRPr="00213A5D">
        <w:rPr>
          <w:b/>
          <w:sz w:val="24"/>
          <w:szCs w:val="24"/>
        </w:rPr>
        <w:t>20,4 %</w:t>
      </w:r>
      <w:r w:rsidRPr="00213A5D">
        <w:rPr>
          <w:sz w:val="24"/>
          <w:szCs w:val="24"/>
        </w:rPr>
        <w:t xml:space="preserve">), </w:t>
      </w:r>
      <w:r w:rsidRPr="00213A5D">
        <w:rPr>
          <w:b/>
          <w:sz w:val="24"/>
          <w:szCs w:val="24"/>
        </w:rPr>
        <w:t>Минпромторгом России</w:t>
      </w:r>
      <w:r w:rsidRPr="00213A5D">
        <w:rPr>
          <w:sz w:val="24"/>
          <w:szCs w:val="24"/>
        </w:rPr>
        <w:t xml:space="preserve"> – по госпрограммам «Развитие судостроения и техники для освоения шельфовых месторождений», «Развитие электронной и радиоэлектронной промышленности», «Развитие фармацевтической и медицинской промышленности», (</w:t>
      </w:r>
      <w:r w:rsidRPr="00213A5D">
        <w:rPr>
          <w:b/>
          <w:sz w:val="24"/>
          <w:szCs w:val="24"/>
        </w:rPr>
        <w:t>18,9</w:t>
      </w:r>
      <w:r w:rsidR="0022482B" w:rsidRPr="00213A5D">
        <w:rPr>
          <w:b/>
          <w:sz w:val="24"/>
          <w:szCs w:val="24"/>
        </w:rPr>
        <w:t xml:space="preserve"> </w:t>
      </w:r>
      <w:r w:rsidRPr="00213A5D">
        <w:rPr>
          <w:b/>
          <w:sz w:val="24"/>
          <w:szCs w:val="24"/>
        </w:rPr>
        <w:t>%,</w:t>
      </w:r>
      <w:r w:rsidRPr="00213A5D">
        <w:rPr>
          <w:sz w:val="24"/>
          <w:szCs w:val="24"/>
        </w:rPr>
        <w:t xml:space="preserve"> </w:t>
      </w:r>
      <w:r w:rsidRPr="00213A5D">
        <w:rPr>
          <w:b/>
          <w:sz w:val="24"/>
          <w:szCs w:val="24"/>
        </w:rPr>
        <w:t>25,5</w:t>
      </w:r>
      <w:r w:rsidR="0022482B" w:rsidRPr="00213A5D">
        <w:rPr>
          <w:b/>
          <w:sz w:val="24"/>
          <w:szCs w:val="24"/>
        </w:rPr>
        <w:t xml:space="preserve"> %</w:t>
      </w:r>
      <w:r w:rsidRPr="00213A5D">
        <w:rPr>
          <w:b/>
          <w:sz w:val="24"/>
          <w:szCs w:val="24"/>
        </w:rPr>
        <w:t>, 25,5</w:t>
      </w:r>
      <w:r w:rsidR="0022482B" w:rsidRPr="00213A5D">
        <w:rPr>
          <w:b/>
          <w:sz w:val="24"/>
          <w:szCs w:val="24"/>
        </w:rPr>
        <w:t xml:space="preserve"> %</w:t>
      </w:r>
      <w:r w:rsidRPr="00213A5D">
        <w:rPr>
          <w:b/>
          <w:sz w:val="24"/>
          <w:szCs w:val="24"/>
        </w:rPr>
        <w:t xml:space="preserve"> </w:t>
      </w:r>
      <w:r w:rsidRPr="00213A5D">
        <w:rPr>
          <w:sz w:val="24"/>
          <w:szCs w:val="24"/>
        </w:rPr>
        <w:t xml:space="preserve">соответственно), </w:t>
      </w:r>
      <w:r w:rsidR="0058498F" w:rsidRPr="00213A5D">
        <w:rPr>
          <w:sz w:val="24"/>
          <w:szCs w:val="24"/>
        </w:rPr>
        <w:br/>
      </w:r>
      <w:r w:rsidRPr="00213A5D">
        <w:rPr>
          <w:b/>
          <w:sz w:val="24"/>
          <w:szCs w:val="24"/>
        </w:rPr>
        <w:t>Минэнерго России</w:t>
      </w:r>
      <w:r w:rsidRPr="00213A5D">
        <w:rPr>
          <w:sz w:val="24"/>
          <w:szCs w:val="24"/>
        </w:rPr>
        <w:t xml:space="preserve"> – по госпрограмме «Развитие энергетики» (</w:t>
      </w:r>
      <w:r w:rsidRPr="00213A5D">
        <w:rPr>
          <w:b/>
          <w:sz w:val="24"/>
          <w:szCs w:val="24"/>
        </w:rPr>
        <w:t>33,6 %</w:t>
      </w:r>
      <w:r w:rsidRPr="00213A5D">
        <w:rPr>
          <w:sz w:val="24"/>
          <w:szCs w:val="24"/>
        </w:rPr>
        <w:t>).</w:t>
      </w:r>
    </w:p>
    <w:p w14:paraId="28834016" w14:textId="77777777" w:rsidR="00A46B91" w:rsidRPr="00213A5D" w:rsidRDefault="00A46B91" w:rsidP="0058498F">
      <w:pPr>
        <w:widowControl w:val="0"/>
        <w:spacing w:line="348" w:lineRule="auto"/>
        <w:ind w:left="0" w:right="0"/>
        <w:rPr>
          <w:sz w:val="24"/>
          <w:szCs w:val="24"/>
        </w:rPr>
      </w:pPr>
      <w:r w:rsidRPr="00213A5D">
        <w:rPr>
          <w:sz w:val="24"/>
          <w:szCs w:val="24"/>
        </w:rPr>
        <w:t xml:space="preserve">По отдельным главным распорядителям, участвующим в реализации </w:t>
      </w:r>
      <w:r w:rsidRPr="00213A5D">
        <w:rPr>
          <w:sz w:val="24"/>
          <w:szCs w:val="24"/>
        </w:rPr>
        <w:br/>
        <w:t xml:space="preserve">нескольких госпрограмм, отмечается низкий уровень исполнения программных расходов. </w:t>
      </w:r>
      <w:r w:rsidRPr="00213A5D">
        <w:rPr>
          <w:sz w:val="24"/>
          <w:szCs w:val="24"/>
        </w:rPr>
        <w:br/>
        <w:t xml:space="preserve">Так, </w:t>
      </w:r>
      <w:r w:rsidRPr="00213A5D">
        <w:rPr>
          <w:b/>
          <w:sz w:val="24"/>
          <w:szCs w:val="24"/>
        </w:rPr>
        <w:t>Минэнерго России</w:t>
      </w:r>
      <w:r w:rsidRPr="00213A5D">
        <w:rPr>
          <w:sz w:val="24"/>
          <w:szCs w:val="24"/>
        </w:rPr>
        <w:t xml:space="preserve"> предусмотрены бюджетные ассигнования на реализацию мероприятий по 4 госпрограммам, при этом уровень исполнения расходов по ним в целом составил лишь </w:t>
      </w:r>
      <w:r w:rsidRPr="00213A5D">
        <w:rPr>
          <w:b/>
          <w:sz w:val="24"/>
          <w:szCs w:val="24"/>
        </w:rPr>
        <w:t>31,2 %</w:t>
      </w:r>
      <w:r w:rsidRPr="00213A5D">
        <w:rPr>
          <w:sz w:val="24"/>
          <w:szCs w:val="24"/>
        </w:rPr>
        <w:t xml:space="preserve">, </w:t>
      </w:r>
      <w:r w:rsidRPr="00213A5D">
        <w:rPr>
          <w:b/>
          <w:sz w:val="24"/>
          <w:szCs w:val="24"/>
        </w:rPr>
        <w:t>Минвостокразвития России</w:t>
      </w:r>
      <w:r w:rsidRPr="00213A5D">
        <w:rPr>
          <w:sz w:val="24"/>
          <w:szCs w:val="24"/>
        </w:rPr>
        <w:t xml:space="preserve">  по 8 госпрограммам – </w:t>
      </w:r>
      <w:r w:rsidRPr="00213A5D">
        <w:rPr>
          <w:b/>
          <w:sz w:val="24"/>
          <w:szCs w:val="24"/>
        </w:rPr>
        <w:t>35,3 %</w:t>
      </w:r>
      <w:r w:rsidRPr="00213A5D">
        <w:rPr>
          <w:sz w:val="24"/>
          <w:szCs w:val="24"/>
        </w:rPr>
        <w:t xml:space="preserve">, </w:t>
      </w:r>
      <w:r w:rsidRPr="00213A5D">
        <w:rPr>
          <w:b/>
          <w:sz w:val="24"/>
          <w:szCs w:val="24"/>
        </w:rPr>
        <w:lastRenderedPageBreak/>
        <w:t>Минцифры России</w:t>
      </w:r>
      <w:r w:rsidRPr="00213A5D">
        <w:rPr>
          <w:sz w:val="24"/>
          <w:szCs w:val="24"/>
        </w:rPr>
        <w:t xml:space="preserve"> по 9 госпрограммам – </w:t>
      </w:r>
      <w:r w:rsidRPr="00213A5D">
        <w:rPr>
          <w:b/>
          <w:sz w:val="24"/>
          <w:szCs w:val="24"/>
        </w:rPr>
        <w:t>44,7 %</w:t>
      </w:r>
      <w:r w:rsidRPr="00213A5D">
        <w:rPr>
          <w:sz w:val="24"/>
          <w:szCs w:val="24"/>
        </w:rPr>
        <w:t>.</w:t>
      </w:r>
    </w:p>
    <w:p w14:paraId="4E3E4B15" w14:textId="77777777" w:rsidR="00A46B91" w:rsidRPr="00213A5D" w:rsidRDefault="00A46B91" w:rsidP="0058498F">
      <w:pPr>
        <w:widowControl w:val="0"/>
        <w:spacing w:line="348" w:lineRule="auto"/>
        <w:ind w:left="0" w:right="0"/>
        <w:rPr>
          <w:b/>
          <w:sz w:val="24"/>
          <w:szCs w:val="24"/>
        </w:rPr>
      </w:pPr>
      <w:r w:rsidRPr="00213A5D">
        <w:rPr>
          <w:b/>
          <w:sz w:val="24"/>
          <w:szCs w:val="24"/>
        </w:rPr>
        <w:t>Счетная палата обращает внимание на необходимость обеспечения равномерного и эффективного использования бюджетных ассигнований.</w:t>
      </w:r>
    </w:p>
    <w:p w14:paraId="46D33C38" w14:textId="77777777" w:rsidR="00A46B91" w:rsidRPr="00213A5D" w:rsidRDefault="00A46B91" w:rsidP="0058498F">
      <w:pPr>
        <w:widowControl w:val="0"/>
        <w:spacing w:line="348" w:lineRule="auto"/>
        <w:ind w:left="0" w:right="0"/>
        <w:rPr>
          <w:sz w:val="24"/>
          <w:szCs w:val="24"/>
        </w:rPr>
      </w:pPr>
      <w:r w:rsidRPr="00213A5D">
        <w:rPr>
          <w:sz w:val="24"/>
          <w:szCs w:val="24"/>
        </w:rPr>
        <w:t>Подробная информация об уровне исполнения расходов по госпрограммам представлена в приложениях № 1 и № 4 к оперативному докладу о ходе исполнения федерального бюджета за январь – сентябрь 2022 года.</w:t>
      </w:r>
    </w:p>
    <w:p w14:paraId="30BA1726" w14:textId="77777777" w:rsidR="00A46B91" w:rsidRPr="00213A5D" w:rsidRDefault="00A46B91" w:rsidP="0058498F">
      <w:pPr>
        <w:widowControl w:val="0"/>
        <w:spacing w:line="348" w:lineRule="auto"/>
        <w:ind w:left="0" w:right="0"/>
        <w:rPr>
          <w:sz w:val="24"/>
          <w:szCs w:val="24"/>
        </w:rPr>
      </w:pPr>
      <w:r w:rsidRPr="00213A5D">
        <w:rPr>
          <w:sz w:val="24"/>
          <w:szCs w:val="24"/>
        </w:rPr>
        <w:t>Информация о недостатках, выявленных при реализации отдельных госпрограмм, представлена в приложении № 2 к аналитической записке.</w:t>
      </w:r>
    </w:p>
    <w:p w14:paraId="6E16C85F" w14:textId="77777777" w:rsidR="00A46B91" w:rsidRPr="00213A5D" w:rsidRDefault="00A46B91" w:rsidP="00AF1852">
      <w:pPr>
        <w:widowControl w:val="0"/>
        <w:ind w:left="0" w:right="0"/>
        <w:rPr>
          <w:sz w:val="24"/>
          <w:szCs w:val="24"/>
        </w:rPr>
      </w:pPr>
      <w:r w:rsidRPr="00213A5D">
        <w:rPr>
          <w:b/>
          <w:sz w:val="24"/>
          <w:szCs w:val="24"/>
        </w:rPr>
        <w:t>5.7.</w:t>
      </w:r>
      <w:r w:rsidRPr="00213A5D">
        <w:rPr>
          <w:sz w:val="24"/>
          <w:szCs w:val="24"/>
        </w:rPr>
        <w:t> Информация об исполнении бюджетных ассигнований на реализацию госпрограмм (открытая часть) по 8 направлениям реализации за январь – сентябрь 2022 года приведена на следующей диаграмме.</w:t>
      </w:r>
    </w:p>
    <w:p w14:paraId="7B11CDDC" w14:textId="77777777" w:rsidR="00A46B91" w:rsidRPr="00213A5D" w:rsidRDefault="00CD0E98" w:rsidP="001073CF">
      <w:pPr>
        <w:widowControl w:val="0"/>
        <w:spacing w:line="240" w:lineRule="auto"/>
        <w:ind w:left="0" w:right="-2" w:firstLine="0"/>
        <w:jc w:val="center"/>
        <w:rPr>
          <w:sz w:val="16"/>
          <w:szCs w:val="16"/>
        </w:rPr>
      </w:pPr>
      <w:r w:rsidRPr="00CD0E98">
        <w:rPr>
          <w:noProof/>
          <w:sz w:val="24"/>
          <w:szCs w:val="24"/>
        </w:rPr>
        <w:pict w14:anchorId="28E016B2">
          <v:shape id="Рисунок 7" o:spid="_x0000_i1057" type="#_x0000_t75" alt="" style="width:431.3pt;height:213.3pt;visibility:visible;mso-width-percent:0;mso-height-percent:0;mso-width-percent:0;mso-height-percent:0">
            <v:imagedata r:id="rId46" o:title=""/>
          </v:shape>
        </w:pict>
      </w:r>
    </w:p>
    <w:p w14:paraId="751359BE" w14:textId="77777777" w:rsidR="00A46B91" w:rsidRPr="00213A5D" w:rsidRDefault="00A46B91" w:rsidP="00AF1852">
      <w:pPr>
        <w:widowControl w:val="0"/>
        <w:ind w:left="0" w:right="-2"/>
        <w:rPr>
          <w:sz w:val="24"/>
          <w:szCs w:val="24"/>
        </w:rPr>
      </w:pPr>
      <w:r w:rsidRPr="00213A5D">
        <w:rPr>
          <w:sz w:val="24"/>
          <w:szCs w:val="24"/>
        </w:rPr>
        <w:t>В январе – сентябре 2022 года на низком уровне исполнены расходы по разделу «Цифровая трансформация» (44,9 % показателя сводной росписи с изменениями).</w:t>
      </w:r>
    </w:p>
    <w:p w14:paraId="0266D2BA" w14:textId="77777777" w:rsidR="00A46B91" w:rsidRPr="00213A5D" w:rsidRDefault="00A46B91" w:rsidP="00AF1852">
      <w:pPr>
        <w:widowControl w:val="0"/>
        <w:spacing w:line="353" w:lineRule="auto"/>
        <w:ind w:left="0" w:right="-2"/>
        <w:rPr>
          <w:rFonts w:eastAsia="Times New Roman"/>
          <w:sz w:val="24"/>
          <w:szCs w:val="24"/>
        </w:rPr>
      </w:pPr>
      <w:r w:rsidRPr="00213A5D">
        <w:rPr>
          <w:b/>
          <w:bCs/>
          <w:sz w:val="24"/>
          <w:szCs w:val="24"/>
        </w:rPr>
        <w:t xml:space="preserve">5.8. </w:t>
      </w:r>
      <w:r w:rsidRPr="00213A5D">
        <w:rPr>
          <w:bCs/>
          <w:sz w:val="24"/>
          <w:szCs w:val="24"/>
        </w:rPr>
        <w:t>В соответствии с</w:t>
      </w:r>
      <w:r w:rsidRPr="00213A5D">
        <w:rPr>
          <w:b/>
          <w:bCs/>
          <w:sz w:val="24"/>
          <w:szCs w:val="24"/>
        </w:rPr>
        <w:t xml:space="preserve"> </w:t>
      </w:r>
      <w:r w:rsidRPr="00213A5D">
        <w:rPr>
          <w:rFonts w:eastAsia="Times New Roman"/>
          <w:sz w:val="24"/>
          <w:szCs w:val="24"/>
        </w:rPr>
        <w:t>Положением о госпрограммах</w:t>
      </w:r>
      <w:r w:rsidRPr="00213A5D">
        <w:rPr>
          <w:bCs/>
          <w:sz w:val="24"/>
          <w:szCs w:val="24"/>
        </w:rPr>
        <w:t xml:space="preserve"> их разработка </w:t>
      </w:r>
      <w:r w:rsidRPr="00213A5D">
        <w:rPr>
          <w:rFonts w:eastAsia="Times New Roman"/>
          <w:sz w:val="24"/>
          <w:szCs w:val="24"/>
        </w:rPr>
        <w:t xml:space="preserve">осуществляется </w:t>
      </w:r>
      <w:r w:rsidRPr="00213A5D">
        <w:rPr>
          <w:rFonts w:eastAsia="Times New Roman"/>
          <w:b/>
          <w:sz w:val="24"/>
          <w:szCs w:val="24"/>
        </w:rPr>
        <w:t>на принципах проектного управления</w:t>
      </w:r>
      <w:r w:rsidRPr="00213A5D">
        <w:rPr>
          <w:rFonts w:eastAsia="Times New Roman"/>
          <w:sz w:val="24"/>
          <w:szCs w:val="24"/>
        </w:rPr>
        <w:t xml:space="preserve">, которыми предусматривается выделение в структуре госпрограмм </w:t>
      </w:r>
      <w:r w:rsidRPr="00213A5D">
        <w:rPr>
          <w:rFonts w:eastAsia="Times New Roman"/>
          <w:b/>
          <w:sz w:val="24"/>
          <w:szCs w:val="24"/>
        </w:rPr>
        <w:t>проектной части</w:t>
      </w:r>
      <w:r w:rsidRPr="00213A5D">
        <w:rPr>
          <w:rFonts w:eastAsia="Times New Roman"/>
          <w:sz w:val="24"/>
          <w:szCs w:val="24"/>
        </w:rPr>
        <w:t xml:space="preserve">, содержащей федеральные и ведомственные проекты, а также </w:t>
      </w:r>
      <w:r w:rsidRPr="00213A5D">
        <w:rPr>
          <w:rFonts w:eastAsia="Times New Roman"/>
          <w:b/>
          <w:sz w:val="24"/>
          <w:szCs w:val="24"/>
        </w:rPr>
        <w:t>процессной части</w:t>
      </w:r>
      <w:r w:rsidRPr="00213A5D">
        <w:rPr>
          <w:rFonts w:eastAsia="Times New Roman"/>
          <w:sz w:val="24"/>
          <w:szCs w:val="24"/>
        </w:rPr>
        <w:t xml:space="preserve">, содержащей комплексы процессных мероприятий. </w:t>
      </w:r>
    </w:p>
    <w:p w14:paraId="3DAED10F" w14:textId="77777777" w:rsidR="00A46B91" w:rsidRPr="00213A5D" w:rsidRDefault="00A46B91" w:rsidP="00AF1852">
      <w:pPr>
        <w:widowControl w:val="0"/>
        <w:spacing w:line="240" w:lineRule="auto"/>
        <w:ind w:left="0" w:right="-2"/>
        <w:jc w:val="right"/>
        <w:rPr>
          <w:rFonts w:eastAsia="Times New Roman"/>
          <w:sz w:val="20"/>
          <w:szCs w:val="20"/>
        </w:rPr>
      </w:pPr>
      <w:r w:rsidRPr="00213A5D">
        <w:rPr>
          <w:rFonts w:eastAsia="Times New Roman"/>
          <w:sz w:val="20"/>
          <w:szCs w:val="20"/>
        </w:rPr>
        <w:t>(млн. рублей)</w:t>
      </w:r>
    </w:p>
    <w:tbl>
      <w:tblPr>
        <w:tblW w:w="9796" w:type="dxa"/>
        <w:tblInd w:w="93" w:type="dxa"/>
        <w:tblLook w:val="04A0" w:firstRow="1" w:lastRow="0" w:firstColumn="1" w:lastColumn="0" w:noHBand="0" w:noVBand="1"/>
      </w:tblPr>
      <w:tblGrid>
        <w:gridCol w:w="2709"/>
        <w:gridCol w:w="1538"/>
        <w:gridCol w:w="1155"/>
        <w:gridCol w:w="1701"/>
        <w:gridCol w:w="1121"/>
        <w:gridCol w:w="1572"/>
      </w:tblGrid>
      <w:tr w:rsidR="00A46B91" w:rsidRPr="00213A5D" w14:paraId="7084B8BC" w14:textId="77777777" w:rsidTr="00874D3E">
        <w:trPr>
          <w:trHeight w:val="543"/>
        </w:trPr>
        <w:tc>
          <w:tcPr>
            <w:tcW w:w="27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6FBB9"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eastAsia="Times New Roman"/>
                <w:b/>
                <w:bCs/>
                <w:color w:val="000000"/>
                <w:sz w:val="20"/>
                <w:szCs w:val="20"/>
              </w:rPr>
            </w:pPr>
            <w:r w:rsidRPr="00213A5D">
              <w:rPr>
                <w:rFonts w:eastAsia="Times New Roman"/>
                <w:b/>
                <w:bCs/>
                <w:color w:val="000000"/>
                <w:sz w:val="20"/>
                <w:szCs w:val="20"/>
              </w:rPr>
              <w:t> </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1943DFCC"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Федеральный закон</w:t>
            </w:r>
            <w:r w:rsidRPr="00213A5D">
              <w:rPr>
                <w:rFonts w:eastAsia="Times New Roman"/>
                <w:b/>
                <w:bCs/>
                <w:color w:val="000000"/>
                <w:sz w:val="20"/>
                <w:szCs w:val="20"/>
              </w:rPr>
              <w:br/>
              <w:t>№ 390-ФЗ</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5BED44B0"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Доля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870FAE4"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Сводная</w:t>
            </w:r>
            <w:r w:rsidRPr="00213A5D">
              <w:rPr>
                <w:rFonts w:eastAsia="Times New Roman"/>
                <w:b/>
                <w:bCs/>
                <w:color w:val="000000"/>
                <w:sz w:val="20"/>
                <w:szCs w:val="20"/>
              </w:rPr>
              <w:br/>
              <w:t>роспись</w:t>
            </w:r>
            <w:r w:rsidRPr="00213A5D">
              <w:rPr>
                <w:rFonts w:eastAsia="Times New Roman"/>
                <w:b/>
                <w:bCs/>
                <w:color w:val="000000"/>
                <w:sz w:val="20"/>
                <w:szCs w:val="20"/>
              </w:rPr>
              <w:br/>
              <w:t xml:space="preserve"> с изменениями</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6155C655"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Доля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32A68BFD"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548DD4"/>
                <w:sz w:val="20"/>
                <w:szCs w:val="20"/>
              </w:rPr>
            </w:pPr>
            <w:r w:rsidRPr="00213A5D">
              <w:rPr>
                <w:rFonts w:eastAsia="Times New Roman"/>
                <w:b/>
                <w:bCs/>
                <w:color w:val="548DD4"/>
                <w:sz w:val="20"/>
                <w:szCs w:val="20"/>
              </w:rPr>
              <w:t>Отклонение</w:t>
            </w:r>
            <w:r w:rsidRPr="00213A5D">
              <w:rPr>
                <w:rFonts w:eastAsia="Times New Roman"/>
                <w:b/>
                <w:bCs/>
                <w:color w:val="548DD4"/>
                <w:sz w:val="20"/>
                <w:szCs w:val="20"/>
              </w:rPr>
              <w:br/>
              <w:t>(+/-),</w:t>
            </w:r>
          </w:p>
          <w:p w14:paraId="3A552BF9"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548DD4"/>
                <w:sz w:val="20"/>
                <w:szCs w:val="20"/>
              </w:rPr>
              <w:t>пп.</w:t>
            </w:r>
          </w:p>
        </w:tc>
      </w:tr>
      <w:tr w:rsidR="00A46B91" w:rsidRPr="00213A5D" w14:paraId="5CD11F8A" w14:textId="77777777" w:rsidTr="00874D3E">
        <w:trPr>
          <w:trHeight w:val="342"/>
        </w:trPr>
        <w:tc>
          <w:tcPr>
            <w:tcW w:w="2709" w:type="dxa"/>
            <w:tcBorders>
              <w:top w:val="nil"/>
              <w:left w:val="single" w:sz="4" w:space="0" w:color="auto"/>
              <w:bottom w:val="single" w:sz="4" w:space="0" w:color="auto"/>
              <w:right w:val="single" w:sz="4" w:space="0" w:color="auto"/>
            </w:tcBorders>
            <w:shd w:val="clear" w:color="auto" w:fill="auto"/>
            <w:vAlign w:val="center"/>
            <w:hideMark/>
          </w:tcPr>
          <w:p w14:paraId="2EAFF6DD"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eastAsia="Times New Roman"/>
                <w:b/>
                <w:bCs/>
                <w:color w:val="000000"/>
                <w:sz w:val="20"/>
                <w:szCs w:val="20"/>
              </w:rPr>
            </w:pPr>
            <w:r w:rsidRPr="00213A5D">
              <w:rPr>
                <w:rFonts w:eastAsia="Times New Roman"/>
                <w:b/>
                <w:bCs/>
                <w:color w:val="000000"/>
                <w:sz w:val="20"/>
                <w:szCs w:val="20"/>
              </w:rPr>
              <w:t>Всего</w:t>
            </w:r>
          </w:p>
        </w:tc>
        <w:tc>
          <w:tcPr>
            <w:tcW w:w="1538" w:type="dxa"/>
            <w:tcBorders>
              <w:top w:val="nil"/>
              <w:left w:val="nil"/>
              <w:bottom w:val="single" w:sz="4" w:space="0" w:color="auto"/>
              <w:right w:val="single" w:sz="4" w:space="0" w:color="auto"/>
            </w:tcBorders>
            <w:shd w:val="clear" w:color="auto" w:fill="auto"/>
            <w:vAlign w:val="center"/>
            <w:hideMark/>
          </w:tcPr>
          <w:p w14:paraId="2F9E4BC9"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15 736 548,0</w:t>
            </w:r>
          </w:p>
        </w:tc>
        <w:tc>
          <w:tcPr>
            <w:tcW w:w="1155" w:type="dxa"/>
            <w:tcBorders>
              <w:top w:val="nil"/>
              <w:left w:val="nil"/>
              <w:bottom w:val="single" w:sz="4" w:space="0" w:color="auto"/>
              <w:right w:val="single" w:sz="4" w:space="0" w:color="auto"/>
            </w:tcBorders>
            <w:shd w:val="clear" w:color="auto" w:fill="auto"/>
            <w:vAlign w:val="center"/>
            <w:hideMark/>
          </w:tcPr>
          <w:p w14:paraId="66CE2D24" w14:textId="77777777" w:rsidR="00A46B91" w:rsidRPr="00213A5D" w:rsidRDefault="00A46B91" w:rsidP="00F677B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hideMark/>
          </w:tcPr>
          <w:p w14:paraId="0EA6B717"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18 373 791,1</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CCAAE3F" w14:textId="77777777" w:rsidR="00A46B91" w:rsidRPr="00213A5D" w:rsidRDefault="00A46B91" w:rsidP="00F677B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100</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14:paraId="768B65E6"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ascii="Calibri" w:eastAsia="Times New Roman" w:hAnsi="Calibri" w:cs="Calibri"/>
                <w:color w:val="000000"/>
                <w:sz w:val="20"/>
                <w:szCs w:val="20"/>
              </w:rPr>
            </w:pPr>
            <w:r w:rsidRPr="00213A5D">
              <w:rPr>
                <w:rFonts w:ascii="Calibri" w:eastAsia="Times New Roman" w:hAnsi="Calibri" w:cs="Calibri"/>
                <w:color w:val="000000"/>
                <w:sz w:val="20"/>
                <w:szCs w:val="20"/>
              </w:rPr>
              <w:t> </w:t>
            </w:r>
          </w:p>
        </w:tc>
      </w:tr>
      <w:tr w:rsidR="00A46B91" w:rsidRPr="00213A5D" w14:paraId="65244DC7" w14:textId="77777777" w:rsidTr="00874D3E">
        <w:trPr>
          <w:trHeight w:val="130"/>
        </w:trPr>
        <w:tc>
          <w:tcPr>
            <w:tcW w:w="2709" w:type="dxa"/>
            <w:tcBorders>
              <w:top w:val="nil"/>
              <w:left w:val="single" w:sz="4" w:space="0" w:color="auto"/>
              <w:bottom w:val="single" w:sz="4" w:space="0" w:color="auto"/>
              <w:right w:val="single" w:sz="4" w:space="0" w:color="auto"/>
            </w:tcBorders>
            <w:shd w:val="clear" w:color="auto" w:fill="auto"/>
            <w:hideMark/>
          </w:tcPr>
          <w:p w14:paraId="5DB3DC0E"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 xml:space="preserve">   в том числе:</w:t>
            </w:r>
          </w:p>
        </w:tc>
        <w:tc>
          <w:tcPr>
            <w:tcW w:w="1538" w:type="dxa"/>
            <w:tcBorders>
              <w:top w:val="nil"/>
              <w:left w:val="nil"/>
              <w:bottom w:val="single" w:sz="4" w:space="0" w:color="auto"/>
              <w:right w:val="single" w:sz="4" w:space="0" w:color="auto"/>
            </w:tcBorders>
            <w:shd w:val="clear" w:color="auto" w:fill="auto"/>
            <w:vAlign w:val="center"/>
            <w:hideMark/>
          </w:tcPr>
          <w:p w14:paraId="580DE6A4"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1155" w:type="dxa"/>
            <w:tcBorders>
              <w:top w:val="nil"/>
              <w:left w:val="nil"/>
              <w:bottom w:val="single" w:sz="4" w:space="0" w:color="auto"/>
              <w:right w:val="single" w:sz="4" w:space="0" w:color="auto"/>
            </w:tcBorders>
            <w:shd w:val="clear" w:color="auto" w:fill="auto"/>
            <w:vAlign w:val="center"/>
            <w:hideMark/>
          </w:tcPr>
          <w:p w14:paraId="28560E73"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14:paraId="087528B3"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1121" w:type="dxa"/>
            <w:tcBorders>
              <w:top w:val="nil"/>
              <w:left w:val="nil"/>
              <w:bottom w:val="single" w:sz="4" w:space="0" w:color="auto"/>
              <w:right w:val="single" w:sz="4" w:space="0" w:color="auto"/>
            </w:tcBorders>
            <w:shd w:val="clear" w:color="auto" w:fill="auto"/>
            <w:vAlign w:val="center"/>
            <w:hideMark/>
          </w:tcPr>
          <w:p w14:paraId="11A7031E"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1572" w:type="dxa"/>
            <w:tcBorders>
              <w:top w:val="nil"/>
              <w:left w:val="nil"/>
              <w:bottom w:val="single" w:sz="4" w:space="0" w:color="auto"/>
              <w:right w:val="single" w:sz="4" w:space="0" w:color="auto"/>
            </w:tcBorders>
            <w:shd w:val="clear" w:color="auto" w:fill="auto"/>
            <w:noWrap/>
            <w:vAlign w:val="bottom"/>
            <w:hideMark/>
          </w:tcPr>
          <w:p w14:paraId="4F2F5031"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ascii="Calibri" w:eastAsia="Times New Roman" w:hAnsi="Calibri" w:cs="Calibri"/>
                <w:color w:val="000000"/>
                <w:sz w:val="20"/>
                <w:szCs w:val="20"/>
              </w:rPr>
            </w:pPr>
            <w:r w:rsidRPr="00213A5D">
              <w:rPr>
                <w:rFonts w:ascii="Calibri" w:eastAsia="Times New Roman" w:hAnsi="Calibri" w:cs="Calibri"/>
                <w:color w:val="000000"/>
                <w:sz w:val="20"/>
                <w:szCs w:val="20"/>
              </w:rPr>
              <w:t> </w:t>
            </w:r>
          </w:p>
        </w:tc>
      </w:tr>
      <w:tr w:rsidR="00A46B91" w:rsidRPr="00213A5D" w14:paraId="72AF39CE" w14:textId="77777777" w:rsidTr="00874D3E">
        <w:trPr>
          <w:trHeight w:val="130"/>
        </w:trPr>
        <w:tc>
          <w:tcPr>
            <w:tcW w:w="2709" w:type="dxa"/>
            <w:tcBorders>
              <w:top w:val="nil"/>
              <w:left w:val="single" w:sz="4" w:space="0" w:color="auto"/>
              <w:bottom w:val="single" w:sz="4" w:space="0" w:color="auto"/>
              <w:right w:val="single" w:sz="4" w:space="0" w:color="auto"/>
            </w:tcBorders>
            <w:shd w:val="clear" w:color="auto" w:fill="auto"/>
            <w:hideMark/>
          </w:tcPr>
          <w:p w14:paraId="3CC8AD4D"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 xml:space="preserve">   проектная часть</w:t>
            </w:r>
          </w:p>
        </w:tc>
        <w:tc>
          <w:tcPr>
            <w:tcW w:w="1538" w:type="dxa"/>
            <w:tcBorders>
              <w:top w:val="nil"/>
              <w:left w:val="nil"/>
              <w:bottom w:val="single" w:sz="4" w:space="0" w:color="auto"/>
              <w:right w:val="single" w:sz="4" w:space="0" w:color="auto"/>
            </w:tcBorders>
            <w:shd w:val="clear" w:color="auto" w:fill="auto"/>
            <w:vAlign w:val="center"/>
            <w:hideMark/>
          </w:tcPr>
          <w:p w14:paraId="79AD2CEC"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5 798 494,7</w:t>
            </w:r>
          </w:p>
        </w:tc>
        <w:tc>
          <w:tcPr>
            <w:tcW w:w="1155" w:type="dxa"/>
            <w:tcBorders>
              <w:top w:val="nil"/>
              <w:left w:val="nil"/>
              <w:bottom w:val="single" w:sz="4" w:space="0" w:color="auto"/>
              <w:right w:val="single" w:sz="4" w:space="0" w:color="auto"/>
            </w:tcBorders>
            <w:shd w:val="clear" w:color="auto" w:fill="auto"/>
            <w:vAlign w:val="center"/>
            <w:hideMark/>
          </w:tcPr>
          <w:p w14:paraId="03A164A8"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36,8</w:t>
            </w:r>
          </w:p>
        </w:tc>
        <w:tc>
          <w:tcPr>
            <w:tcW w:w="1701" w:type="dxa"/>
            <w:tcBorders>
              <w:top w:val="nil"/>
              <w:left w:val="nil"/>
              <w:bottom w:val="single" w:sz="4" w:space="0" w:color="auto"/>
              <w:right w:val="single" w:sz="4" w:space="0" w:color="auto"/>
            </w:tcBorders>
            <w:shd w:val="clear" w:color="auto" w:fill="auto"/>
            <w:vAlign w:val="center"/>
            <w:hideMark/>
          </w:tcPr>
          <w:p w14:paraId="619F2B84"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7 108 513,5</w:t>
            </w:r>
          </w:p>
        </w:tc>
        <w:tc>
          <w:tcPr>
            <w:tcW w:w="1121" w:type="dxa"/>
            <w:tcBorders>
              <w:top w:val="nil"/>
              <w:left w:val="nil"/>
              <w:bottom w:val="single" w:sz="4" w:space="0" w:color="auto"/>
              <w:right w:val="single" w:sz="4" w:space="0" w:color="auto"/>
            </w:tcBorders>
            <w:shd w:val="clear" w:color="auto" w:fill="auto"/>
            <w:vAlign w:val="center"/>
            <w:hideMark/>
          </w:tcPr>
          <w:p w14:paraId="3255406B"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38,7</w:t>
            </w:r>
          </w:p>
        </w:tc>
        <w:tc>
          <w:tcPr>
            <w:tcW w:w="1572" w:type="dxa"/>
            <w:tcBorders>
              <w:top w:val="nil"/>
              <w:left w:val="nil"/>
              <w:bottom w:val="single" w:sz="4" w:space="0" w:color="auto"/>
              <w:right w:val="single" w:sz="4" w:space="0" w:color="auto"/>
            </w:tcBorders>
            <w:shd w:val="clear" w:color="auto" w:fill="auto"/>
            <w:vAlign w:val="center"/>
            <w:hideMark/>
          </w:tcPr>
          <w:p w14:paraId="0B951E11" w14:textId="77777777" w:rsidR="00A46B91" w:rsidRPr="00213A5D" w:rsidRDefault="00CD0E98" w:rsidP="00AF1852">
            <w:pPr>
              <w:widowControl w:val="0"/>
              <w:overflowPunct/>
              <w:autoSpaceDE/>
              <w:autoSpaceDN/>
              <w:adjustRightInd/>
              <w:spacing w:line="240" w:lineRule="auto"/>
              <w:ind w:left="0" w:right="0" w:firstLine="0"/>
              <w:jc w:val="center"/>
              <w:textAlignment w:val="auto"/>
              <w:rPr>
                <w:rFonts w:eastAsia="Times New Roman"/>
                <w:b/>
                <w:bCs/>
                <w:color w:val="548DD4"/>
                <w:sz w:val="20"/>
                <w:szCs w:val="20"/>
              </w:rPr>
            </w:pPr>
            <w:r>
              <w:rPr>
                <w:noProof/>
              </w:rPr>
              <w:pict w14:anchorId="355D6A92">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4" o:spid="_x0000_s1027" type="#_x0000_t68" style="position:absolute;left:0;text-align:left;margin-left:10.25pt;margin-top:1.9pt;width:7.55pt;height:7.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" adj="12782,8797" fillcolor="#4f81bd" strokecolor="#4f81bd" strokeweight="2pt">
                  <v:path arrowok="t"/>
                </v:shape>
              </w:pict>
            </w:r>
            <w:r w:rsidR="00A46B91" w:rsidRPr="00213A5D">
              <w:rPr>
                <w:rFonts w:eastAsia="Times New Roman"/>
                <w:b/>
                <w:bCs/>
                <w:color w:val="548DD4"/>
                <w:sz w:val="20"/>
                <w:szCs w:val="20"/>
              </w:rPr>
              <w:t>1,8</w:t>
            </w:r>
          </w:p>
        </w:tc>
      </w:tr>
      <w:tr w:rsidR="00A46B91" w:rsidRPr="00213A5D" w14:paraId="094BC454" w14:textId="77777777" w:rsidTr="00874D3E">
        <w:trPr>
          <w:trHeight w:val="130"/>
        </w:trPr>
        <w:tc>
          <w:tcPr>
            <w:tcW w:w="2709" w:type="dxa"/>
            <w:tcBorders>
              <w:top w:val="nil"/>
              <w:left w:val="single" w:sz="4" w:space="0" w:color="auto"/>
              <w:bottom w:val="single" w:sz="4" w:space="0" w:color="auto"/>
              <w:right w:val="single" w:sz="4" w:space="0" w:color="auto"/>
            </w:tcBorders>
            <w:shd w:val="clear" w:color="auto" w:fill="auto"/>
            <w:hideMark/>
          </w:tcPr>
          <w:p w14:paraId="4749868D"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 xml:space="preserve">   процессная часть</w:t>
            </w:r>
          </w:p>
        </w:tc>
        <w:tc>
          <w:tcPr>
            <w:tcW w:w="1538" w:type="dxa"/>
            <w:tcBorders>
              <w:top w:val="nil"/>
              <w:left w:val="nil"/>
              <w:bottom w:val="single" w:sz="4" w:space="0" w:color="auto"/>
              <w:right w:val="single" w:sz="4" w:space="0" w:color="auto"/>
            </w:tcBorders>
            <w:shd w:val="clear" w:color="auto" w:fill="auto"/>
            <w:vAlign w:val="center"/>
            <w:hideMark/>
          </w:tcPr>
          <w:p w14:paraId="6ABBACA8"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9 879 629,3</w:t>
            </w:r>
          </w:p>
        </w:tc>
        <w:tc>
          <w:tcPr>
            <w:tcW w:w="1155" w:type="dxa"/>
            <w:tcBorders>
              <w:top w:val="nil"/>
              <w:left w:val="nil"/>
              <w:bottom w:val="single" w:sz="4" w:space="0" w:color="auto"/>
              <w:right w:val="single" w:sz="4" w:space="0" w:color="auto"/>
            </w:tcBorders>
            <w:shd w:val="clear" w:color="auto" w:fill="auto"/>
            <w:vAlign w:val="center"/>
            <w:hideMark/>
          </w:tcPr>
          <w:p w14:paraId="3CDB9647"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62,8</w:t>
            </w:r>
          </w:p>
        </w:tc>
        <w:tc>
          <w:tcPr>
            <w:tcW w:w="1701" w:type="dxa"/>
            <w:tcBorders>
              <w:top w:val="nil"/>
              <w:left w:val="nil"/>
              <w:bottom w:val="single" w:sz="4" w:space="0" w:color="auto"/>
              <w:right w:val="single" w:sz="4" w:space="0" w:color="auto"/>
            </w:tcBorders>
            <w:shd w:val="clear" w:color="auto" w:fill="auto"/>
            <w:vAlign w:val="center"/>
            <w:hideMark/>
          </w:tcPr>
          <w:p w14:paraId="4F20F530"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11 257 159,2</w:t>
            </w:r>
          </w:p>
        </w:tc>
        <w:tc>
          <w:tcPr>
            <w:tcW w:w="1121" w:type="dxa"/>
            <w:tcBorders>
              <w:top w:val="nil"/>
              <w:left w:val="nil"/>
              <w:bottom w:val="single" w:sz="4" w:space="0" w:color="auto"/>
              <w:right w:val="single" w:sz="4" w:space="0" w:color="auto"/>
            </w:tcBorders>
            <w:shd w:val="clear" w:color="auto" w:fill="auto"/>
            <w:vAlign w:val="center"/>
            <w:hideMark/>
          </w:tcPr>
          <w:p w14:paraId="3E6B12A5"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61,3</w:t>
            </w:r>
          </w:p>
        </w:tc>
        <w:tc>
          <w:tcPr>
            <w:tcW w:w="1572" w:type="dxa"/>
            <w:tcBorders>
              <w:top w:val="nil"/>
              <w:left w:val="nil"/>
              <w:bottom w:val="single" w:sz="4" w:space="0" w:color="auto"/>
              <w:right w:val="single" w:sz="4" w:space="0" w:color="auto"/>
            </w:tcBorders>
            <w:shd w:val="clear" w:color="auto" w:fill="auto"/>
            <w:vAlign w:val="center"/>
            <w:hideMark/>
          </w:tcPr>
          <w:p w14:paraId="2CB72679" w14:textId="77777777" w:rsidR="00A46B91" w:rsidRPr="00213A5D" w:rsidRDefault="00CD0E98" w:rsidP="00AF1852">
            <w:pPr>
              <w:widowControl w:val="0"/>
              <w:overflowPunct/>
              <w:autoSpaceDE/>
              <w:autoSpaceDN/>
              <w:adjustRightInd/>
              <w:spacing w:line="240" w:lineRule="auto"/>
              <w:ind w:left="0" w:right="0" w:firstLine="0"/>
              <w:jc w:val="center"/>
              <w:textAlignment w:val="auto"/>
              <w:rPr>
                <w:rFonts w:eastAsia="Times New Roman"/>
                <w:b/>
                <w:bCs/>
                <w:color w:val="548DD4"/>
                <w:sz w:val="20"/>
                <w:szCs w:val="20"/>
              </w:rPr>
            </w:pPr>
            <w:r>
              <w:rPr>
                <w:noProof/>
              </w:rPr>
              <w:pict w14:anchorId="396FF7A9">
                <v:shape id="Стрелка вверх 23" o:spid="_x0000_s1026" type="#_x0000_t68" style="position:absolute;left:0;text-align:left;margin-left:57pt;margin-top:2.8pt;width:7.55pt;height:7.6pt;flip:y;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" adj="11019,8797" fillcolor="#4f81bd" strokecolor="#4f81bd" strokeweight="2pt"/>
              </w:pict>
            </w:r>
            <w:r w:rsidR="00A46B91" w:rsidRPr="00213A5D">
              <w:rPr>
                <w:rFonts w:eastAsia="Times New Roman"/>
                <w:b/>
                <w:bCs/>
                <w:color w:val="548DD4"/>
                <w:sz w:val="20"/>
                <w:szCs w:val="20"/>
              </w:rPr>
              <w:t>-1,5</w:t>
            </w:r>
          </w:p>
        </w:tc>
      </w:tr>
      <w:tr w:rsidR="00A46B91" w:rsidRPr="00213A5D" w14:paraId="2AF55FC1" w14:textId="77777777" w:rsidTr="00874D3E">
        <w:trPr>
          <w:trHeight w:val="130"/>
        </w:trPr>
        <w:tc>
          <w:tcPr>
            <w:tcW w:w="2709" w:type="dxa"/>
            <w:tcBorders>
              <w:top w:val="nil"/>
              <w:left w:val="single" w:sz="4" w:space="0" w:color="auto"/>
              <w:bottom w:val="nil"/>
              <w:right w:val="single" w:sz="4" w:space="0" w:color="auto"/>
            </w:tcBorders>
            <w:shd w:val="clear" w:color="auto" w:fill="auto"/>
            <w:hideMark/>
          </w:tcPr>
          <w:p w14:paraId="3AB79239"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 xml:space="preserve">   резервные средства</w:t>
            </w:r>
          </w:p>
        </w:tc>
        <w:tc>
          <w:tcPr>
            <w:tcW w:w="1538" w:type="dxa"/>
            <w:tcBorders>
              <w:top w:val="nil"/>
              <w:left w:val="nil"/>
              <w:bottom w:val="nil"/>
              <w:right w:val="single" w:sz="4" w:space="0" w:color="auto"/>
            </w:tcBorders>
            <w:shd w:val="clear" w:color="auto" w:fill="auto"/>
            <w:vAlign w:val="center"/>
            <w:hideMark/>
          </w:tcPr>
          <w:p w14:paraId="2F716807"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58 424,0</w:t>
            </w:r>
          </w:p>
        </w:tc>
        <w:tc>
          <w:tcPr>
            <w:tcW w:w="1155" w:type="dxa"/>
            <w:tcBorders>
              <w:top w:val="nil"/>
              <w:left w:val="nil"/>
              <w:bottom w:val="single" w:sz="4" w:space="0" w:color="auto"/>
              <w:right w:val="single" w:sz="4" w:space="0" w:color="auto"/>
            </w:tcBorders>
            <w:shd w:val="clear" w:color="auto" w:fill="auto"/>
            <w:vAlign w:val="center"/>
            <w:hideMark/>
          </w:tcPr>
          <w:p w14:paraId="2CB0ADC9"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0,4</w:t>
            </w:r>
          </w:p>
        </w:tc>
        <w:tc>
          <w:tcPr>
            <w:tcW w:w="1701" w:type="dxa"/>
            <w:tcBorders>
              <w:top w:val="nil"/>
              <w:left w:val="nil"/>
              <w:bottom w:val="nil"/>
              <w:right w:val="single" w:sz="4" w:space="0" w:color="auto"/>
            </w:tcBorders>
            <w:shd w:val="clear" w:color="auto" w:fill="auto"/>
            <w:vAlign w:val="center"/>
            <w:hideMark/>
          </w:tcPr>
          <w:p w14:paraId="1107B850"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2 584,5</w:t>
            </w:r>
          </w:p>
        </w:tc>
        <w:tc>
          <w:tcPr>
            <w:tcW w:w="1121" w:type="dxa"/>
            <w:tcBorders>
              <w:top w:val="nil"/>
              <w:left w:val="nil"/>
              <w:bottom w:val="single" w:sz="4" w:space="0" w:color="auto"/>
              <w:right w:val="single" w:sz="4" w:space="0" w:color="auto"/>
            </w:tcBorders>
            <w:shd w:val="clear" w:color="auto" w:fill="auto"/>
            <w:vAlign w:val="center"/>
            <w:hideMark/>
          </w:tcPr>
          <w:p w14:paraId="703682B1"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0,0</w:t>
            </w:r>
          </w:p>
        </w:tc>
        <w:tc>
          <w:tcPr>
            <w:tcW w:w="1572" w:type="dxa"/>
            <w:tcBorders>
              <w:top w:val="nil"/>
              <w:left w:val="nil"/>
              <w:bottom w:val="single" w:sz="4" w:space="0" w:color="auto"/>
              <w:right w:val="single" w:sz="4" w:space="0" w:color="auto"/>
            </w:tcBorders>
            <w:shd w:val="clear" w:color="auto" w:fill="auto"/>
            <w:vAlign w:val="center"/>
            <w:hideMark/>
          </w:tcPr>
          <w:p w14:paraId="7640B1E4"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color w:val="548DD4"/>
                <w:sz w:val="20"/>
                <w:szCs w:val="20"/>
              </w:rPr>
            </w:pPr>
            <w:r w:rsidRPr="00213A5D">
              <w:rPr>
                <w:rFonts w:eastAsia="Times New Roman"/>
                <w:b/>
                <w:bCs/>
                <w:sz w:val="20"/>
                <w:szCs w:val="20"/>
              </w:rPr>
              <w:t>-0,4</w:t>
            </w:r>
          </w:p>
        </w:tc>
      </w:tr>
      <w:tr w:rsidR="00A46B91" w:rsidRPr="00213A5D" w14:paraId="6E1A2BA1" w14:textId="77777777" w:rsidTr="00874D3E">
        <w:trPr>
          <w:trHeight w:val="130"/>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14:paraId="2267468F" w14:textId="77777777" w:rsidR="00A46B91" w:rsidRPr="00213A5D" w:rsidRDefault="00A46B91"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 xml:space="preserve">   мероприятия по ЧС</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6F0A8E73"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х</w:t>
            </w:r>
          </w:p>
        </w:tc>
        <w:tc>
          <w:tcPr>
            <w:tcW w:w="1155" w:type="dxa"/>
            <w:tcBorders>
              <w:top w:val="nil"/>
              <w:left w:val="nil"/>
              <w:bottom w:val="single" w:sz="4" w:space="0" w:color="auto"/>
              <w:right w:val="single" w:sz="4" w:space="0" w:color="auto"/>
            </w:tcBorders>
            <w:shd w:val="clear" w:color="auto" w:fill="auto"/>
            <w:vAlign w:val="center"/>
            <w:hideMark/>
          </w:tcPr>
          <w:p w14:paraId="0307BBF4"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AC241F3"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5 533,5</w:t>
            </w:r>
          </w:p>
        </w:tc>
        <w:tc>
          <w:tcPr>
            <w:tcW w:w="1121" w:type="dxa"/>
            <w:tcBorders>
              <w:top w:val="nil"/>
              <w:left w:val="nil"/>
              <w:bottom w:val="single" w:sz="4" w:space="0" w:color="auto"/>
              <w:right w:val="single" w:sz="4" w:space="0" w:color="auto"/>
            </w:tcBorders>
            <w:shd w:val="clear" w:color="auto" w:fill="auto"/>
            <w:vAlign w:val="center"/>
            <w:hideMark/>
          </w:tcPr>
          <w:p w14:paraId="6968FDF7"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0,03</w:t>
            </w:r>
          </w:p>
        </w:tc>
        <w:tc>
          <w:tcPr>
            <w:tcW w:w="1572" w:type="dxa"/>
            <w:tcBorders>
              <w:top w:val="nil"/>
              <w:left w:val="nil"/>
              <w:bottom w:val="single" w:sz="4" w:space="0" w:color="auto"/>
              <w:right w:val="single" w:sz="4" w:space="0" w:color="auto"/>
            </w:tcBorders>
            <w:shd w:val="clear" w:color="auto" w:fill="auto"/>
            <w:vAlign w:val="center"/>
            <w:hideMark/>
          </w:tcPr>
          <w:p w14:paraId="7BE3D2C8" w14:textId="77777777" w:rsidR="00A46B91" w:rsidRPr="00213A5D" w:rsidRDefault="00A46B91" w:rsidP="00AF1852">
            <w:pPr>
              <w:widowControl w:val="0"/>
              <w:overflowPunct/>
              <w:autoSpaceDE/>
              <w:autoSpaceDN/>
              <w:adjustRightInd/>
              <w:spacing w:line="240" w:lineRule="auto"/>
              <w:ind w:left="0" w:right="0" w:firstLine="0"/>
              <w:jc w:val="center"/>
              <w:textAlignment w:val="auto"/>
              <w:rPr>
                <w:rFonts w:eastAsia="Times New Roman"/>
                <w:b/>
                <w:bCs/>
                <w:sz w:val="20"/>
                <w:szCs w:val="20"/>
              </w:rPr>
            </w:pPr>
            <w:r w:rsidRPr="00213A5D">
              <w:rPr>
                <w:rFonts w:eastAsia="Times New Roman"/>
                <w:b/>
                <w:bCs/>
                <w:sz w:val="20"/>
                <w:szCs w:val="20"/>
              </w:rPr>
              <w:t>х</w:t>
            </w:r>
          </w:p>
        </w:tc>
      </w:tr>
    </w:tbl>
    <w:p w14:paraId="7D08ABC2" w14:textId="77777777" w:rsidR="00A46B91" w:rsidRPr="00213A5D" w:rsidRDefault="00A46B91" w:rsidP="00AF1852">
      <w:pPr>
        <w:widowControl w:val="0"/>
        <w:spacing w:line="353" w:lineRule="auto"/>
        <w:ind w:left="0" w:right="-2"/>
        <w:rPr>
          <w:color w:val="000000"/>
          <w:sz w:val="24"/>
          <w:szCs w:val="24"/>
        </w:rPr>
      </w:pPr>
      <w:r w:rsidRPr="00213A5D">
        <w:rPr>
          <w:color w:val="000000"/>
          <w:sz w:val="24"/>
          <w:szCs w:val="24"/>
        </w:rPr>
        <w:t xml:space="preserve">Анализ проектной и процессной частей госпрограмм показал, что </w:t>
      </w:r>
      <w:r w:rsidRPr="00213A5D">
        <w:rPr>
          <w:b/>
          <w:color w:val="000000"/>
          <w:sz w:val="24"/>
          <w:szCs w:val="24"/>
        </w:rPr>
        <w:t>доля</w:t>
      </w:r>
      <w:r w:rsidRPr="00213A5D">
        <w:rPr>
          <w:color w:val="000000"/>
          <w:sz w:val="24"/>
          <w:szCs w:val="24"/>
        </w:rPr>
        <w:t xml:space="preserve"> </w:t>
      </w:r>
      <w:r w:rsidRPr="00213A5D">
        <w:rPr>
          <w:b/>
          <w:bCs/>
          <w:color w:val="000000"/>
          <w:sz w:val="24"/>
          <w:szCs w:val="24"/>
        </w:rPr>
        <w:t xml:space="preserve">проектной части </w:t>
      </w:r>
      <w:r w:rsidRPr="00213A5D">
        <w:rPr>
          <w:color w:val="000000"/>
          <w:sz w:val="24"/>
          <w:szCs w:val="24"/>
        </w:rPr>
        <w:t xml:space="preserve">госпрограмм </w:t>
      </w:r>
      <w:r w:rsidRPr="00213A5D">
        <w:rPr>
          <w:bCs/>
          <w:color w:val="000000"/>
          <w:sz w:val="24"/>
          <w:szCs w:val="24"/>
        </w:rPr>
        <w:t>в 2022 году</w:t>
      </w:r>
      <w:r w:rsidRPr="00213A5D">
        <w:rPr>
          <w:b/>
          <w:bCs/>
          <w:color w:val="000000"/>
          <w:sz w:val="24"/>
          <w:szCs w:val="24"/>
        </w:rPr>
        <w:t xml:space="preserve"> </w:t>
      </w:r>
      <w:r w:rsidRPr="00213A5D">
        <w:rPr>
          <w:color w:val="000000"/>
          <w:sz w:val="24"/>
          <w:szCs w:val="24"/>
        </w:rPr>
        <w:t xml:space="preserve">в соответствии со сводной росписью </w:t>
      </w:r>
      <w:r w:rsidRPr="00213A5D">
        <w:rPr>
          <w:bCs/>
          <w:color w:val="000000"/>
          <w:sz w:val="24"/>
          <w:szCs w:val="24"/>
        </w:rPr>
        <w:t xml:space="preserve">по состоянию </w:t>
      </w:r>
      <w:r w:rsidR="00E4596C" w:rsidRPr="00213A5D">
        <w:rPr>
          <w:bCs/>
          <w:color w:val="000000"/>
          <w:sz w:val="24"/>
          <w:szCs w:val="24"/>
        </w:rPr>
        <w:br/>
      </w:r>
      <w:r w:rsidRPr="00213A5D">
        <w:rPr>
          <w:bCs/>
          <w:color w:val="000000"/>
          <w:sz w:val="24"/>
          <w:szCs w:val="24"/>
        </w:rPr>
        <w:lastRenderedPageBreak/>
        <w:t xml:space="preserve">на 1 октября 2022 года </w:t>
      </w:r>
      <w:r w:rsidRPr="00213A5D">
        <w:rPr>
          <w:b/>
          <w:color w:val="000000"/>
          <w:sz w:val="24"/>
          <w:szCs w:val="24"/>
        </w:rPr>
        <w:t>увеличилась на 1,8</w:t>
      </w:r>
      <w:r w:rsidRPr="00213A5D">
        <w:rPr>
          <w:color w:val="000000"/>
          <w:sz w:val="24"/>
          <w:szCs w:val="24"/>
        </w:rPr>
        <w:t xml:space="preserve"> процентного пункта по сравнению </w:t>
      </w:r>
      <w:r w:rsidR="0058498F" w:rsidRPr="00213A5D">
        <w:rPr>
          <w:color w:val="000000"/>
          <w:sz w:val="24"/>
          <w:szCs w:val="24"/>
        </w:rPr>
        <w:br/>
      </w:r>
      <w:r w:rsidRPr="00213A5D">
        <w:rPr>
          <w:color w:val="000000"/>
          <w:sz w:val="24"/>
          <w:szCs w:val="24"/>
        </w:rPr>
        <w:t>с Федеральным законом № 390-ФЗ и составляет</w:t>
      </w:r>
      <w:r w:rsidRPr="00213A5D">
        <w:rPr>
          <w:b/>
          <w:bCs/>
          <w:color w:val="000000"/>
          <w:sz w:val="24"/>
          <w:szCs w:val="24"/>
        </w:rPr>
        <w:t xml:space="preserve"> 38,7 % </w:t>
      </w:r>
      <w:r w:rsidRPr="00213A5D">
        <w:rPr>
          <w:bCs/>
          <w:color w:val="000000"/>
          <w:sz w:val="24"/>
          <w:szCs w:val="24"/>
        </w:rPr>
        <w:t xml:space="preserve">общего объема расходов на реализацию госпрограмм (открытая часть). При этом по </w:t>
      </w:r>
      <w:r w:rsidRPr="00213A5D">
        <w:rPr>
          <w:b/>
          <w:bCs/>
          <w:color w:val="000000"/>
          <w:sz w:val="24"/>
          <w:szCs w:val="24"/>
        </w:rPr>
        <w:t xml:space="preserve">2 госпрограммам </w:t>
      </w:r>
      <w:r w:rsidRPr="00213A5D">
        <w:rPr>
          <w:color w:val="000000"/>
          <w:sz w:val="24"/>
          <w:szCs w:val="24"/>
        </w:rPr>
        <w:t xml:space="preserve">(«Развитие федеративных отношений и создание условий для эффективного и ответственного управления региональными и муниципальными финансами» и «Содействие международному развитию») бюджетные ассигнования сводной росписи с изменениями </w:t>
      </w:r>
      <w:r w:rsidR="0058498F" w:rsidRPr="00213A5D">
        <w:rPr>
          <w:color w:val="000000"/>
          <w:sz w:val="24"/>
          <w:szCs w:val="24"/>
        </w:rPr>
        <w:br/>
      </w:r>
      <w:r w:rsidRPr="00213A5D">
        <w:rPr>
          <w:b/>
          <w:bCs/>
          <w:color w:val="000000"/>
          <w:sz w:val="24"/>
          <w:szCs w:val="24"/>
        </w:rPr>
        <w:t>на проектную часть не предусмотрены</w:t>
      </w:r>
      <w:r w:rsidRPr="00213A5D">
        <w:rPr>
          <w:color w:val="000000"/>
          <w:sz w:val="24"/>
          <w:szCs w:val="24"/>
        </w:rPr>
        <w:t xml:space="preserve">, </w:t>
      </w:r>
      <w:r w:rsidRPr="00213A5D">
        <w:rPr>
          <w:b/>
          <w:bCs/>
          <w:color w:val="000000"/>
          <w:sz w:val="24"/>
          <w:szCs w:val="24"/>
        </w:rPr>
        <w:t xml:space="preserve">по 5 госпрограммам </w:t>
      </w:r>
      <w:r w:rsidRPr="00213A5D">
        <w:rPr>
          <w:bCs/>
          <w:color w:val="000000"/>
          <w:sz w:val="24"/>
          <w:szCs w:val="24"/>
        </w:rPr>
        <w:t>(«Доступная среда», «Обеспечение общественного порядка и противодействие преступности», «Управление государственными финансами и регулирование финансовых рынков», «Юстиция», «Обеспечение защиты личности, общества и государства»)</w:t>
      </w:r>
      <w:r w:rsidRPr="00213A5D">
        <w:rPr>
          <w:b/>
          <w:bCs/>
          <w:color w:val="000000"/>
          <w:sz w:val="24"/>
          <w:szCs w:val="24"/>
        </w:rPr>
        <w:t xml:space="preserve"> </w:t>
      </w:r>
      <w:r w:rsidRPr="00213A5D">
        <w:rPr>
          <w:bCs/>
          <w:color w:val="000000"/>
          <w:sz w:val="24"/>
          <w:szCs w:val="24"/>
        </w:rPr>
        <w:t>она составляет</w:t>
      </w:r>
      <w:r w:rsidRPr="00213A5D">
        <w:rPr>
          <w:b/>
          <w:bCs/>
          <w:color w:val="000000"/>
          <w:sz w:val="24"/>
          <w:szCs w:val="24"/>
        </w:rPr>
        <w:t xml:space="preserve"> менее 10 %</w:t>
      </w:r>
      <w:r w:rsidRPr="00213A5D">
        <w:rPr>
          <w:color w:val="000000"/>
          <w:sz w:val="24"/>
          <w:szCs w:val="24"/>
        </w:rPr>
        <w:t xml:space="preserve">. Таким образом, </w:t>
      </w:r>
      <w:r w:rsidRPr="00213A5D">
        <w:rPr>
          <w:b/>
          <w:color w:val="000000"/>
          <w:sz w:val="24"/>
          <w:szCs w:val="24"/>
        </w:rPr>
        <w:t xml:space="preserve">по 7 госпрограммам </w:t>
      </w:r>
      <w:r w:rsidRPr="00213A5D">
        <w:rPr>
          <w:color w:val="000000"/>
          <w:sz w:val="24"/>
          <w:szCs w:val="24"/>
        </w:rPr>
        <w:t xml:space="preserve">бюджетные ассигнования в основном предусмотрены на реализацию </w:t>
      </w:r>
      <w:r w:rsidRPr="00213A5D">
        <w:rPr>
          <w:b/>
          <w:color w:val="000000"/>
          <w:sz w:val="24"/>
          <w:szCs w:val="24"/>
        </w:rPr>
        <w:t>комплексов процессных мероприятий</w:t>
      </w:r>
      <w:r w:rsidRPr="00213A5D">
        <w:rPr>
          <w:color w:val="000000"/>
          <w:sz w:val="24"/>
          <w:szCs w:val="24"/>
        </w:rPr>
        <w:t xml:space="preserve"> (объем бюджетных ассигнований сводной росписи составляет 4 472 485,6 млн. рублей, или 24,3 % показателя сводной росписи).</w:t>
      </w:r>
    </w:p>
    <w:p w14:paraId="50B21D73" w14:textId="77777777" w:rsidR="00A46B91" w:rsidRPr="00213A5D" w:rsidRDefault="00A46B91" w:rsidP="00AF1852">
      <w:pPr>
        <w:widowControl w:val="0"/>
        <w:spacing w:line="353" w:lineRule="auto"/>
        <w:ind w:left="0" w:right="-2"/>
        <w:rPr>
          <w:color w:val="000000"/>
          <w:sz w:val="24"/>
          <w:szCs w:val="24"/>
        </w:rPr>
      </w:pPr>
      <w:r w:rsidRPr="00213A5D">
        <w:rPr>
          <w:b/>
          <w:color w:val="000000"/>
          <w:sz w:val="24"/>
          <w:szCs w:val="24"/>
        </w:rPr>
        <w:t>По 6 госпрограммам</w:t>
      </w:r>
      <w:r w:rsidRPr="00213A5D">
        <w:rPr>
          <w:color w:val="000000"/>
          <w:sz w:val="24"/>
          <w:szCs w:val="24"/>
        </w:rPr>
        <w:t xml:space="preserve"> (например, «Развитие авиационной промышленности», «Развитие судостроения и техники для освоения шельфовых месторождений», «Развитие Северо-Кавказского федерального округа», «Социально-экономическое развитие Калининградской области», «Социально-экономическое развитие Арктической зоны Российской Федерации») бюджетные ассигнования сводной росписи с изменениями предусмотрены </w:t>
      </w:r>
      <w:r w:rsidRPr="00213A5D">
        <w:rPr>
          <w:b/>
          <w:color w:val="000000"/>
          <w:sz w:val="24"/>
          <w:szCs w:val="24"/>
        </w:rPr>
        <w:t>только на реализацию проектной части</w:t>
      </w:r>
      <w:r w:rsidRPr="00213A5D">
        <w:rPr>
          <w:color w:val="000000"/>
          <w:sz w:val="24"/>
          <w:szCs w:val="24"/>
        </w:rPr>
        <w:t>.</w:t>
      </w:r>
    </w:p>
    <w:p w14:paraId="5C2094E0" w14:textId="77777777" w:rsidR="00A46B91" w:rsidRPr="00213A5D" w:rsidRDefault="00A46B91" w:rsidP="00AF1852">
      <w:pPr>
        <w:widowControl w:val="0"/>
        <w:spacing w:line="353" w:lineRule="auto"/>
        <w:ind w:left="0" w:right="-2"/>
        <w:rPr>
          <w:color w:val="000000"/>
          <w:sz w:val="24"/>
          <w:szCs w:val="24"/>
        </w:rPr>
      </w:pPr>
      <w:r w:rsidRPr="00213A5D">
        <w:rPr>
          <w:b/>
          <w:color w:val="000000"/>
          <w:sz w:val="24"/>
          <w:szCs w:val="24"/>
        </w:rPr>
        <w:t>Исполнение</w:t>
      </w:r>
      <w:r w:rsidRPr="00213A5D">
        <w:rPr>
          <w:color w:val="000000"/>
          <w:sz w:val="24"/>
          <w:szCs w:val="24"/>
        </w:rPr>
        <w:t xml:space="preserve"> расходов по состоянию на 1 октября 2022 года по </w:t>
      </w:r>
      <w:r w:rsidRPr="00213A5D">
        <w:rPr>
          <w:b/>
          <w:color w:val="000000"/>
          <w:sz w:val="24"/>
          <w:szCs w:val="24"/>
        </w:rPr>
        <w:t>проектной и процессной частям</w:t>
      </w:r>
      <w:r w:rsidRPr="00213A5D">
        <w:rPr>
          <w:color w:val="000000"/>
          <w:sz w:val="24"/>
          <w:szCs w:val="24"/>
        </w:rPr>
        <w:t xml:space="preserve"> госпрограмм (открытая часть) представлено на следующей диаграмме.</w:t>
      </w:r>
    </w:p>
    <w:p w14:paraId="68FC35E1" w14:textId="77777777" w:rsidR="008D11E3" w:rsidRPr="00213A5D" w:rsidRDefault="00CD0E98" w:rsidP="00AF1852">
      <w:pPr>
        <w:widowControl w:val="0"/>
        <w:spacing w:line="353" w:lineRule="auto"/>
        <w:ind w:left="0" w:right="0" w:firstLine="0"/>
        <w:jc w:val="center"/>
        <w:rPr>
          <w:color w:val="000000"/>
          <w:sz w:val="24"/>
          <w:szCs w:val="24"/>
        </w:rPr>
      </w:pPr>
      <w:r w:rsidRPr="00CD0E98">
        <w:rPr>
          <w:noProof/>
          <w:color w:val="000000"/>
          <w:sz w:val="24"/>
          <w:szCs w:val="24"/>
        </w:rPr>
        <w:pict w14:anchorId="0AA42270">
          <v:shape id="Рисунок 9" o:spid="_x0000_i1056" type="#_x0000_t75" alt="" style="width:353.2pt;height:195.6pt;visibility:visible;mso-width-percent:0;mso-height-percent:0;mso-width-percent:0;mso-height-percent:0">
            <v:imagedata r:id="rId47" o:title=""/>
          </v:shape>
        </w:pict>
      </w:r>
    </w:p>
    <w:p w14:paraId="2EABF725" w14:textId="77777777" w:rsidR="00A46B91" w:rsidRPr="00213A5D" w:rsidRDefault="00A46B91" w:rsidP="00AF1852">
      <w:pPr>
        <w:widowControl w:val="0"/>
        <w:spacing w:line="336" w:lineRule="auto"/>
        <w:ind w:left="0" w:right="-1"/>
        <w:rPr>
          <w:color w:val="000000"/>
          <w:sz w:val="24"/>
        </w:rPr>
      </w:pPr>
      <w:r w:rsidRPr="00213A5D">
        <w:rPr>
          <w:color w:val="000000"/>
          <w:sz w:val="24"/>
          <w:szCs w:val="24"/>
        </w:rPr>
        <w:t xml:space="preserve">Уровень исполнения расходов по проектной части госпрограмм (64,7 %) </w:t>
      </w:r>
      <w:r w:rsidRPr="00213A5D">
        <w:rPr>
          <w:b/>
          <w:color w:val="000000"/>
          <w:sz w:val="24"/>
        </w:rPr>
        <w:t>ниже среднего уровня</w:t>
      </w:r>
      <w:r w:rsidRPr="00213A5D">
        <w:rPr>
          <w:color w:val="000000"/>
          <w:sz w:val="24"/>
        </w:rPr>
        <w:t xml:space="preserve"> исполнения расходов по госпрограммам (69,1 %).</w:t>
      </w:r>
    </w:p>
    <w:p w14:paraId="16350A54" w14:textId="77777777" w:rsidR="00A46B91" w:rsidRPr="00213A5D" w:rsidRDefault="00A46B91" w:rsidP="00AF1852">
      <w:pPr>
        <w:widowControl w:val="0"/>
        <w:spacing w:line="336" w:lineRule="auto"/>
        <w:ind w:left="0" w:right="-1"/>
        <w:rPr>
          <w:color w:val="000000"/>
          <w:sz w:val="24"/>
        </w:rPr>
      </w:pPr>
      <w:r w:rsidRPr="00213A5D">
        <w:rPr>
          <w:color w:val="000000"/>
          <w:sz w:val="24"/>
        </w:rPr>
        <w:t xml:space="preserve">В соответствии с Положением о системе управления госпрограммами в рамках госпрограмм могут реализовываться отдельные мероприятия, направленные </w:t>
      </w:r>
      <w:r w:rsidR="00D30A0E" w:rsidRPr="00213A5D">
        <w:rPr>
          <w:color w:val="000000"/>
          <w:sz w:val="24"/>
        </w:rPr>
        <w:br/>
      </w:r>
      <w:r w:rsidRPr="00213A5D">
        <w:rPr>
          <w:color w:val="000000"/>
          <w:sz w:val="24"/>
        </w:rPr>
        <w:lastRenderedPageBreak/>
        <w:t xml:space="preserve">на проведение аварийно-восстановительных работ и иных мероприятий, связанных </w:t>
      </w:r>
      <w:r w:rsidR="00D30A0E" w:rsidRPr="00213A5D">
        <w:rPr>
          <w:color w:val="000000"/>
          <w:sz w:val="24"/>
        </w:rPr>
        <w:br/>
      </w:r>
      <w:r w:rsidRPr="00213A5D">
        <w:rPr>
          <w:color w:val="000000"/>
          <w:sz w:val="24"/>
        </w:rPr>
        <w:t xml:space="preserve">с ликвидацией последствий стихийных бедствий и других чрезвычайных ситуаций. </w:t>
      </w:r>
      <w:r w:rsidR="00D30A0E" w:rsidRPr="00213A5D">
        <w:rPr>
          <w:color w:val="000000"/>
          <w:sz w:val="24"/>
        </w:rPr>
        <w:br/>
      </w:r>
      <w:r w:rsidRPr="00213A5D">
        <w:rPr>
          <w:color w:val="000000"/>
          <w:sz w:val="24"/>
        </w:rPr>
        <w:t xml:space="preserve">По состоянию на 1 октября сводной росписью предусмотрены бюджетные ассигнования </w:t>
      </w:r>
      <w:r w:rsidR="00D30A0E" w:rsidRPr="00213A5D">
        <w:rPr>
          <w:color w:val="000000"/>
          <w:sz w:val="24"/>
        </w:rPr>
        <w:br/>
      </w:r>
      <w:r w:rsidRPr="00213A5D">
        <w:rPr>
          <w:color w:val="000000"/>
          <w:sz w:val="24"/>
        </w:rPr>
        <w:t xml:space="preserve">на указанные отдельные мероприятия в рамках госпрограммы «Защита населения и территорий от чрезвычайных ситуаций, обеспечение пожарной безопасности и </w:t>
      </w:r>
      <w:r w:rsidR="00D30A0E" w:rsidRPr="00213A5D">
        <w:rPr>
          <w:color w:val="000000"/>
          <w:sz w:val="24"/>
        </w:rPr>
        <w:br/>
      </w:r>
      <w:r w:rsidRPr="00213A5D">
        <w:rPr>
          <w:color w:val="000000"/>
          <w:sz w:val="24"/>
        </w:rPr>
        <w:t xml:space="preserve">безопасности людей на водных объектах» в сумме 5 533,5 млн. рублей, которые исполнены </w:t>
      </w:r>
      <w:r w:rsidR="00D30A0E" w:rsidRPr="00213A5D">
        <w:rPr>
          <w:color w:val="000000"/>
          <w:sz w:val="24"/>
        </w:rPr>
        <w:br/>
      </w:r>
      <w:r w:rsidRPr="00213A5D">
        <w:rPr>
          <w:color w:val="000000"/>
          <w:sz w:val="24"/>
        </w:rPr>
        <w:t>в полном объеме.</w:t>
      </w:r>
    </w:p>
    <w:p w14:paraId="0BDA01B9" w14:textId="77777777" w:rsidR="00660686" w:rsidRPr="00213A5D" w:rsidRDefault="00663F23" w:rsidP="00AF1852">
      <w:pPr>
        <w:widowControl w:val="0"/>
        <w:spacing w:line="336" w:lineRule="auto"/>
        <w:ind w:left="0" w:right="-2"/>
        <w:rPr>
          <w:sz w:val="24"/>
          <w:szCs w:val="24"/>
        </w:rPr>
      </w:pPr>
      <w:r w:rsidRPr="00213A5D">
        <w:rPr>
          <w:b/>
          <w:sz w:val="24"/>
          <w:szCs w:val="24"/>
        </w:rPr>
        <w:t>5.</w:t>
      </w:r>
      <w:r w:rsidR="009003D2" w:rsidRPr="00213A5D">
        <w:rPr>
          <w:b/>
          <w:sz w:val="24"/>
          <w:szCs w:val="24"/>
        </w:rPr>
        <w:t>9</w:t>
      </w:r>
      <w:r w:rsidRPr="00213A5D">
        <w:rPr>
          <w:b/>
          <w:sz w:val="24"/>
          <w:szCs w:val="24"/>
        </w:rPr>
        <w:t>.</w:t>
      </w:r>
      <w:r w:rsidRPr="00213A5D">
        <w:rPr>
          <w:sz w:val="24"/>
          <w:szCs w:val="24"/>
        </w:rPr>
        <w:t> </w:t>
      </w:r>
      <w:r w:rsidR="00660686" w:rsidRPr="00213A5D">
        <w:rPr>
          <w:sz w:val="24"/>
          <w:szCs w:val="24"/>
        </w:rPr>
        <w:t xml:space="preserve">Распоряжением Правительства Российской Федерации от 6 октября 2021 г. № 2816-р утвержден перечень </w:t>
      </w:r>
      <w:r w:rsidR="00660686" w:rsidRPr="00213A5D">
        <w:rPr>
          <w:b/>
          <w:sz w:val="24"/>
          <w:szCs w:val="24"/>
        </w:rPr>
        <w:t xml:space="preserve">инициатив социально-экономического развития </w:t>
      </w:r>
      <w:r w:rsidR="00660686" w:rsidRPr="00213A5D">
        <w:rPr>
          <w:sz w:val="24"/>
          <w:szCs w:val="24"/>
        </w:rPr>
        <w:t>Российской Федерации до 2030 года (далее – Перечень инициатив, инициативы).</w:t>
      </w:r>
    </w:p>
    <w:p w14:paraId="4580DB71" w14:textId="77777777" w:rsidR="00660686" w:rsidRPr="00213A5D" w:rsidRDefault="00660686" w:rsidP="00AF1852">
      <w:pPr>
        <w:widowControl w:val="0"/>
        <w:spacing w:line="336" w:lineRule="auto"/>
        <w:ind w:left="0" w:right="-2"/>
        <w:rPr>
          <w:sz w:val="24"/>
          <w:szCs w:val="24"/>
        </w:rPr>
      </w:pPr>
      <w:r w:rsidRPr="00213A5D">
        <w:rPr>
          <w:sz w:val="24"/>
          <w:szCs w:val="24"/>
        </w:rPr>
        <w:t xml:space="preserve">Перечень инициатив включает </w:t>
      </w:r>
      <w:r w:rsidRPr="00213A5D">
        <w:rPr>
          <w:b/>
          <w:sz w:val="24"/>
          <w:szCs w:val="24"/>
        </w:rPr>
        <w:t>42 инициативы,</w:t>
      </w:r>
      <w:r w:rsidRPr="00213A5D">
        <w:rPr>
          <w:sz w:val="24"/>
          <w:szCs w:val="24"/>
        </w:rPr>
        <w:t xml:space="preserve"> распределенные по 6 направлениям:</w:t>
      </w:r>
    </w:p>
    <w:p w14:paraId="7B6F5198" w14:textId="77777777" w:rsidR="00660686" w:rsidRPr="00213A5D" w:rsidRDefault="00660686" w:rsidP="00AF1852">
      <w:pPr>
        <w:widowControl w:val="0"/>
        <w:spacing w:line="336" w:lineRule="auto"/>
        <w:ind w:left="1069" w:right="-2" w:firstLine="0"/>
        <w:rPr>
          <w:sz w:val="24"/>
          <w:szCs w:val="24"/>
        </w:rPr>
      </w:pPr>
      <w:r w:rsidRPr="00213A5D">
        <w:rPr>
          <w:sz w:val="24"/>
          <w:szCs w:val="24"/>
          <w:lang w:val="en-US"/>
        </w:rPr>
        <w:t>I</w:t>
      </w:r>
      <w:r w:rsidRPr="00213A5D">
        <w:rPr>
          <w:sz w:val="24"/>
          <w:szCs w:val="24"/>
        </w:rPr>
        <w:t>. Социальная сфера;</w:t>
      </w:r>
    </w:p>
    <w:p w14:paraId="789A225C" w14:textId="77777777" w:rsidR="00660686" w:rsidRPr="00213A5D" w:rsidRDefault="00660686" w:rsidP="00AF1852">
      <w:pPr>
        <w:widowControl w:val="0"/>
        <w:spacing w:line="336" w:lineRule="auto"/>
        <w:ind w:left="1069" w:right="-2" w:firstLine="0"/>
        <w:rPr>
          <w:sz w:val="24"/>
          <w:szCs w:val="24"/>
        </w:rPr>
      </w:pPr>
      <w:r w:rsidRPr="00213A5D">
        <w:rPr>
          <w:sz w:val="24"/>
          <w:szCs w:val="24"/>
          <w:lang w:val="en-US"/>
        </w:rPr>
        <w:t>II</w:t>
      </w:r>
      <w:r w:rsidRPr="00213A5D">
        <w:rPr>
          <w:sz w:val="24"/>
          <w:szCs w:val="24"/>
        </w:rPr>
        <w:t>. Строительство;</w:t>
      </w:r>
    </w:p>
    <w:p w14:paraId="4C252439" w14:textId="77777777" w:rsidR="00660686" w:rsidRPr="00213A5D" w:rsidRDefault="00660686" w:rsidP="00AF1852">
      <w:pPr>
        <w:widowControl w:val="0"/>
        <w:spacing w:line="336" w:lineRule="auto"/>
        <w:ind w:left="1069" w:right="-2" w:firstLine="0"/>
        <w:rPr>
          <w:sz w:val="24"/>
          <w:szCs w:val="24"/>
        </w:rPr>
      </w:pPr>
      <w:r w:rsidRPr="00213A5D">
        <w:rPr>
          <w:sz w:val="24"/>
          <w:szCs w:val="24"/>
          <w:lang w:val="en-US"/>
        </w:rPr>
        <w:t>III</w:t>
      </w:r>
      <w:r w:rsidRPr="00213A5D">
        <w:rPr>
          <w:sz w:val="24"/>
          <w:szCs w:val="24"/>
        </w:rPr>
        <w:t>. Экология;</w:t>
      </w:r>
    </w:p>
    <w:p w14:paraId="47EB81D6" w14:textId="77777777" w:rsidR="00660686" w:rsidRPr="00213A5D" w:rsidRDefault="00660686" w:rsidP="00AF1852">
      <w:pPr>
        <w:widowControl w:val="0"/>
        <w:spacing w:line="336" w:lineRule="auto"/>
        <w:ind w:left="1069" w:right="-2" w:firstLine="0"/>
        <w:rPr>
          <w:sz w:val="24"/>
          <w:szCs w:val="24"/>
        </w:rPr>
      </w:pPr>
      <w:r w:rsidRPr="00213A5D">
        <w:rPr>
          <w:sz w:val="24"/>
          <w:szCs w:val="24"/>
          <w:lang w:val="en-US"/>
        </w:rPr>
        <w:t>IV</w:t>
      </w:r>
      <w:r w:rsidRPr="00213A5D">
        <w:rPr>
          <w:sz w:val="24"/>
          <w:szCs w:val="24"/>
        </w:rPr>
        <w:t>. Цифровая трансформация;</w:t>
      </w:r>
    </w:p>
    <w:p w14:paraId="30E0D47F" w14:textId="77777777" w:rsidR="00660686" w:rsidRPr="00213A5D" w:rsidRDefault="00660686" w:rsidP="00AF1852">
      <w:pPr>
        <w:widowControl w:val="0"/>
        <w:spacing w:line="336" w:lineRule="auto"/>
        <w:ind w:left="1069" w:right="-2" w:firstLine="0"/>
        <w:rPr>
          <w:sz w:val="24"/>
          <w:szCs w:val="24"/>
        </w:rPr>
      </w:pPr>
      <w:r w:rsidRPr="00213A5D">
        <w:rPr>
          <w:sz w:val="24"/>
          <w:szCs w:val="24"/>
          <w:lang w:val="en-US"/>
        </w:rPr>
        <w:t>V</w:t>
      </w:r>
      <w:r w:rsidRPr="00213A5D">
        <w:rPr>
          <w:sz w:val="24"/>
          <w:szCs w:val="24"/>
        </w:rPr>
        <w:t>. Технологический рывок;</w:t>
      </w:r>
    </w:p>
    <w:p w14:paraId="3C44D93D" w14:textId="77777777" w:rsidR="00660686" w:rsidRPr="00213A5D" w:rsidRDefault="00660686" w:rsidP="00AF1852">
      <w:pPr>
        <w:widowControl w:val="0"/>
        <w:spacing w:line="336" w:lineRule="auto"/>
        <w:ind w:left="1069" w:right="-2" w:firstLine="0"/>
        <w:rPr>
          <w:sz w:val="24"/>
          <w:szCs w:val="24"/>
        </w:rPr>
      </w:pPr>
      <w:r w:rsidRPr="00213A5D">
        <w:rPr>
          <w:sz w:val="24"/>
          <w:szCs w:val="24"/>
          <w:lang w:val="en-US"/>
        </w:rPr>
        <w:t>VI</w:t>
      </w:r>
      <w:r w:rsidRPr="00213A5D">
        <w:rPr>
          <w:sz w:val="24"/>
          <w:szCs w:val="24"/>
        </w:rPr>
        <w:t>. Государство для граждан.</w:t>
      </w:r>
    </w:p>
    <w:p w14:paraId="384ECF7A" w14:textId="77777777" w:rsidR="00660686" w:rsidRPr="00213A5D" w:rsidRDefault="00660686" w:rsidP="00AF1852">
      <w:pPr>
        <w:widowControl w:val="0"/>
        <w:spacing w:line="336" w:lineRule="auto"/>
        <w:ind w:left="0" w:right="0"/>
        <w:rPr>
          <w:b/>
          <w:sz w:val="24"/>
          <w:szCs w:val="24"/>
        </w:rPr>
      </w:pPr>
      <w:r w:rsidRPr="00213A5D">
        <w:rPr>
          <w:sz w:val="24"/>
          <w:szCs w:val="24"/>
        </w:rPr>
        <w:t xml:space="preserve">По состоянию на 1 октября 2022 года сводной росписью с изменениями предусмотрены бюджетные ассигнования по 33 из 42 инициатив в общем объеме </w:t>
      </w:r>
      <w:r w:rsidRPr="00213A5D">
        <w:rPr>
          <w:b/>
          <w:sz w:val="24"/>
          <w:szCs w:val="24"/>
        </w:rPr>
        <w:t>238,4 млрд. рублей</w:t>
      </w:r>
      <w:r w:rsidRPr="00213A5D">
        <w:rPr>
          <w:rStyle w:val="aff2"/>
          <w:b/>
          <w:sz w:val="24"/>
          <w:szCs w:val="24"/>
        </w:rPr>
        <w:footnoteReference w:id="17"/>
      </w:r>
      <w:r w:rsidRPr="00213A5D">
        <w:rPr>
          <w:b/>
          <w:sz w:val="24"/>
          <w:szCs w:val="24"/>
        </w:rPr>
        <w:t>.</w:t>
      </w:r>
    </w:p>
    <w:p w14:paraId="427A5EC0" w14:textId="77777777" w:rsidR="00660686" w:rsidRPr="00213A5D" w:rsidRDefault="00660686" w:rsidP="00AF1852">
      <w:pPr>
        <w:widowControl w:val="0"/>
        <w:spacing w:line="336" w:lineRule="auto"/>
        <w:ind w:left="0" w:right="0"/>
        <w:rPr>
          <w:sz w:val="24"/>
          <w:szCs w:val="24"/>
        </w:rPr>
      </w:pPr>
      <w:r w:rsidRPr="00213A5D">
        <w:rPr>
          <w:sz w:val="24"/>
          <w:szCs w:val="24"/>
        </w:rPr>
        <w:t>Инициативы с наибольшим объемом бюджетных ассигнований, предусмотренных сводной росписью с изменениями, представлены на следующей диаграмме.</w:t>
      </w:r>
    </w:p>
    <w:p w14:paraId="6B91C703" w14:textId="77777777" w:rsidR="00663F23" w:rsidRPr="00213A5D" w:rsidRDefault="00CD0E98" w:rsidP="00833650">
      <w:pPr>
        <w:widowControl w:val="0"/>
        <w:spacing w:line="240" w:lineRule="auto"/>
        <w:ind w:firstLine="0"/>
        <w:jc w:val="center"/>
        <w:rPr>
          <w:noProof/>
          <w:sz w:val="16"/>
          <w:szCs w:val="16"/>
        </w:rPr>
      </w:pPr>
      <w:r w:rsidRPr="00CD0E98">
        <w:rPr>
          <w:noProof/>
          <w:sz w:val="24"/>
          <w:szCs w:val="24"/>
        </w:rPr>
        <w:pict w14:anchorId="3CB0C958">
          <v:shape id="_x0000_i1055" type="#_x0000_t75" alt="" style="width:306.35pt;height:209.9pt;mso-width-percent:0;mso-height-percent:0;mso-position-horizontal-relative:char;mso-position-vertical-relative:line;mso-width-percent:0;mso-height-percent:0">
            <v:imagedata r:id="rId48" o:title=""/>
          </v:shape>
        </w:pict>
      </w:r>
    </w:p>
    <w:p w14:paraId="528CA112" w14:textId="77777777" w:rsidR="00660686" w:rsidRPr="00213A5D" w:rsidRDefault="00660686" w:rsidP="00AF1852">
      <w:pPr>
        <w:widowControl w:val="0"/>
        <w:spacing w:line="372" w:lineRule="auto"/>
        <w:ind w:left="0" w:right="0"/>
        <w:rPr>
          <w:sz w:val="24"/>
          <w:szCs w:val="24"/>
        </w:rPr>
      </w:pPr>
      <w:r w:rsidRPr="00213A5D">
        <w:rPr>
          <w:sz w:val="24"/>
          <w:szCs w:val="24"/>
        </w:rPr>
        <w:t xml:space="preserve">За январь – сентябрь 2022 года </w:t>
      </w:r>
      <w:r w:rsidRPr="00213A5D">
        <w:rPr>
          <w:b/>
          <w:sz w:val="24"/>
          <w:szCs w:val="24"/>
        </w:rPr>
        <w:t>исполнение расходов</w:t>
      </w:r>
      <w:r w:rsidRPr="00213A5D">
        <w:rPr>
          <w:sz w:val="24"/>
          <w:szCs w:val="24"/>
        </w:rPr>
        <w:t xml:space="preserve"> федерального бюджета </w:t>
      </w:r>
      <w:r w:rsidR="0058498F" w:rsidRPr="00213A5D">
        <w:rPr>
          <w:sz w:val="24"/>
          <w:szCs w:val="24"/>
        </w:rPr>
        <w:br/>
      </w:r>
      <w:r w:rsidRPr="00213A5D">
        <w:rPr>
          <w:sz w:val="24"/>
          <w:szCs w:val="24"/>
        </w:rPr>
        <w:t xml:space="preserve">на реализацию инициатив составило </w:t>
      </w:r>
      <w:r w:rsidRPr="00213A5D">
        <w:rPr>
          <w:b/>
          <w:sz w:val="24"/>
          <w:szCs w:val="24"/>
        </w:rPr>
        <w:t>126,3 млрд. рублей,</w:t>
      </w:r>
      <w:r w:rsidRPr="00213A5D">
        <w:rPr>
          <w:sz w:val="24"/>
          <w:szCs w:val="24"/>
        </w:rPr>
        <w:t xml:space="preserve"> или 53 % показателя сводной росписи с изменениями.</w:t>
      </w:r>
    </w:p>
    <w:p w14:paraId="780C076D" w14:textId="77777777" w:rsidR="00660686" w:rsidRPr="00213A5D" w:rsidRDefault="00660686" w:rsidP="00AF1852">
      <w:pPr>
        <w:widowControl w:val="0"/>
        <w:spacing w:line="350" w:lineRule="auto"/>
        <w:ind w:left="0" w:right="0"/>
        <w:rPr>
          <w:sz w:val="24"/>
          <w:szCs w:val="24"/>
        </w:rPr>
      </w:pPr>
      <w:r w:rsidRPr="00213A5D">
        <w:rPr>
          <w:b/>
          <w:sz w:val="24"/>
          <w:szCs w:val="24"/>
        </w:rPr>
        <w:lastRenderedPageBreak/>
        <w:t>Не осуществлялось исполнение</w:t>
      </w:r>
      <w:r w:rsidRPr="00213A5D">
        <w:rPr>
          <w:sz w:val="24"/>
          <w:szCs w:val="24"/>
        </w:rPr>
        <w:t xml:space="preserve"> расходов на реализацию 7 инициатив:</w:t>
      </w:r>
    </w:p>
    <w:p w14:paraId="0085E347" w14:textId="77777777" w:rsidR="00660686" w:rsidRPr="00213A5D" w:rsidRDefault="00660686" w:rsidP="00AF1852">
      <w:pPr>
        <w:widowControl w:val="0"/>
        <w:spacing w:line="350" w:lineRule="auto"/>
        <w:ind w:left="1069" w:right="0" w:firstLine="0"/>
        <w:rPr>
          <w:sz w:val="24"/>
          <w:szCs w:val="24"/>
        </w:rPr>
      </w:pPr>
      <w:r w:rsidRPr="00213A5D">
        <w:rPr>
          <w:sz w:val="24"/>
          <w:szCs w:val="24"/>
        </w:rPr>
        <w:t>«Модернизация пассажирского транспорта в городских агломерациях»;</w:t>
      </w:r>
    </w:p>
    <w:p w14:paraId="2B6CC5E1" w14:textId="77777777" w:rsidR="00660686" w:rsidRPr="00213A5D" w:rsidRDefault="00660686" w:rsidP="00AF1852">
      <w:pPr>
        <w:widowControl w:val="0"/>
        <w:spacing w:line="350" w:lineRule="auto"/>
        <w:ind w:left="1069" w:right="0" w:firstLine="0"/>
        <w:rPr>
          <w:sz w:val="24"/>
          <w:szCs w:val="24"/>
        </w:rPr>
      </w:pPr>
      <w:r w:rsidRPr="00213A5D">
        <w:rPr>
          <w:sz w:val="24"/>
          <w:szCs w:val="24"/>
        </w:rPr>
        <w:t>«Инфраструктурное меню»;</w:t>
      </w:r>
    </w:p>
    <w:p w14:paraId="06F00D3A" w14:textId="77777777" w:rsidR="00660686" w:rsidRPr="00213A5D" w:rsidRDefault="00660686" w:rsidP="00AF1852">
      <w:pPr>
        <w:widowControl w:val="0"/>
        <w:spacing w:line="350" w:lineRule="auto"/>
        <w:ind w:left="1069" w:right="0" w:firstLine="0"/>
        <w:rPr>
          <w:sz w:val="24"/>
          <w:szCs w:val="24"/>
        </w:rPr>
      </w:pPr>
      <w:r w:rsidRPr="00213A5D">
        <w:rPr>
          <w:sz w:val="24"/>
          <w:szCs w:val="24"/>
        </w:rPr>
        <w:t>«Экономика замкнутого цикла»;</w:t>
      </w:r>
    </w:p>
    <w:p w14:paraId="423829CC" w14:textId="77777777" w:rsidR="00660686" w:rsidRPr="00213A5D" w:rsidRDefault="00660686" w:rsidP="00AF1852">
      <w:pPr>
        <w:widowControl w:val="0"/>
        <w:spacing w:line="350" w:lineRule="auto"/>
        <w:ind w:left="1069" w:right="0" w:firstLine="0"/>
        <w:rPr>
          <w:sz w:val="24"/>
          <w:szCs w:val="24"/>
        </w:rPr>
      </w:pPr>
      <w:r w:rsidRPr="00213A5D">
        <w:rPr>
          <w:sz w:val="24"/>
          <w:szCs w:val="24"/>
        </w:rPr>
        <w:t>«Обеспечение доступа в интернет за счет развития спутниковой связи»;</w:t>
      </w:r>
    </w:p>
    <w:p w14:paraId="7FA85062" w14:textId="77777777" w:rsidR="00660686" w:rsidRPr="00213A5D" w:rsidRDefault="00660686" w:rsidP="00AF1852">
      <w:pPr>
        <w:widowControl w:val="0"/>
        <w:spacing w:line="350" w:lineRule="auto"/>
        <w:ind w:left="1069" w:right="0" w:firstLine="0"/>
        <w:rPr>
          <w:sz w:val="24"/>
          <w:szCs w:val="24"/>
        </w:rPr>
      </w:pPr>
      <w:r w:rsidRPr="00213A5D">
        <w:rPr>
          <w:sz w:val="24"/>
          <w:szCs w:val="24"/>
        </w:rPr>
        <w:t>«Прорыв на рынки СПГ»;</w:t>
      </w:r>
    </w:p>
    <w:p w14:paraId="7720BCE1" w14:textId="77777777" w:rsidR="00660686" w:rsidRPr="00213A5D" w:rsidRDefault="00660686" w:rsidP="00AF1852">
      <w:pPr>
        <w:widowControl w:val="0"/>
        <w:spacing w:line="350" w:lineRule="auto"/>
        <w:ind w:left="1069" w:right="0" w:firstLine="0"/>
        <w:rPr>
          <w:sz w:val="24"/>
          <w:szCs w:val="24"/>
        </w:rPr>
      </w:pPr>
      <w:r w:rsidRPr="00213A5D">
        <w:rPr>
          <w:sz w:val="24"/>
          <w:szCs w:val="24"/>
        </w:rPr>
        <w:t>«Аграрная наука – шаг в будущее развитие АПК»;</w:t>
      </w:r>
    </w:p>
    <w:p w14:paraId="3DFAF88D" w14:textId="77777777" w:rsidR="00660686" w:rsidRPr="00213A5D" w:rsidRDefault="00660686" w:rsidP="00AF1852">
      <w:pPr>
        <w:widowControl w:val="0"/>
        <w:spacing w:line="350" w:lineRule="auto"/>
        <w:ind w:left="1069" w:right="0" w:firstLine="0"/>
        <w:rPr>
          <w:sz w:val="24"/>
          <w:szCs w:val="24"/>
        </w:rPr>
      </w:pPr>
      <w:r w:rsidRPr="00213A5D">
        <w:rPr>
          <w:sz w:val="24"/>
          <w:szCs w:val="24"/>
        </w:rPr>
        <w:t>«Электроавтомобиль и водородный автомобиль».</w:t>
      </w:r>
    </w:p>
    <w:p w14:paraId="601E19F4" w14:textId="77777777" w:rsidR="00660686" w:rsidRPr="00213A5D" w:rsidRDefault="00660686" w:rsidP="00AF1852">
      <w:pPr>
        <w:widowControl w:val="0"/>
        <w:spacing w:line="350" w:lineRule="auto"/>
        <w:ind w:left="0" w:right="0"/>
        <w:rPr>
          <w:sz w:val="24"/>
          <w:szCs w:val="24"/>
        </w:rPr>
      </w:pPr>
      <w:r w:rsidRPr="00213A5D">
        <w:rPr>
          <w:sz w:val="24"/>
          <w:szCs w:val="24"/>
        </w:rPr>
        <w:t xml:space="preserve">На реализацию указанных инициатив сводной росписью с изменениями предусмотрены бюджетные ассигнования в объеме </w:t>
      </w:r>
      <w:r w:rsidRPr="00213A5D">
        <w:rPr>
          <w:b/>
          <w:sz w:val="24"/>
          <w:szCs w:val="24"/>
        </w:rPr>
        <w:t>21,3</w:t>
      </w:r>
      <w:r w:rsidRPr="00213A5D">
        <w:rPr>
          <w:sz w:val="24"/>
          <w:szCs w:val="24"/>
        </w:rPr>
        <w:t> </w:t>
      </w:r>
      <w:r w:rsidRPr="00213A5D">
        <w:rPr>
          <w:b/>
          <w:sz w:val="24"/>
          <w:szCs w:val="24"/>
        </w:rPr>
        <w:t xml:space="preserve">млрд. рублей, </w:t>
      </w:r>
      <w:r w:rsidRPr="00213A5D">
        <w:rPr>
          <w:sz w:val="24"/>
          <w:szCs w:val="24"/>
        </w:rPr>
        <w:t>или 8,9 % общего объема средств на реализацию инициатив.</w:t>
      </w:r>
    </w:p>
    <w:p w14:paraId="7DD69295" w14:textId="77777777" w:rsidR="00D43B28" w:rsidRPr="00213A5D" w:rsidRDefault="00D43B28" w:rsidP="0058498F">
      <w:pPr>
        <w:widowControl w:val="0"/>
        <w:ind w:left="0" w:right="-2"/>
        <w:rPr>
          <w:bCs/>
          <w:sz w:val="16"/>
          <w:szCs w:val="16"/>
        </w:rPr>
      </w:pPr>
    </w:p>
    <w:p w14:paraId="2BC26261" w14:textId="77777777" w:rsidR="008F2B97" w:rsidRPr="00213A5D" w:rsidRDefault="00E43C52" w:rsidP="00AF1852">
      <w:pPr>
        <w:widowControl w:val="0"/>
        <w:spacing w:line="240" w:lineRule="auto"/>
        <w:ind w:left="0" w:right="0"/>
        <w:jc w:val="center"/>
        <w:rPr>
          <w:rFonts w:eastAsia="Times New Roman"/>
          <w:b/>
          <w:sz w:val="24"/>
          <w:szCs w:val="24"/>
          <w:u w:val="single"/>
        </w:rPr>
      </w:pPr>
      <w:r w:rsidRPr="00213A5D">
        <w:rPr>
          <w:rFonts w:eastAsia="Times New Roman"/>
          <w:b/>
          <w:sz w:val="24"/>
          <w:szCs w:val="24"/>
        </w:rPr>
        <w:t>6</w:t>
      </w:r>
      <w:r w:rsidR="008F2B97" w:rsidRPr="00213A5D">
        <w:rPr>
          <w:rFonts w:eastAsia="Times New Roman"/>
          <w:b/>
          <w:sz w:val="24"/>
          <w:szCs w:val="24"/>
        </w:rPr>
        <w:t>.</w:t>
      </w:r>
      <w:r w:rsidR="008F2B97" w:rsidRPr="00213A5D">
        <w:rPr>
          <w:rFonts w:eastAsia="Times New Roman"/>
          <w:sz w:val="24"/>
          <w:szCs w:val="24"/>
        </w:rPr>
        <w:t> </w:t>
      </w:r>
      <w:r w:rsidR="00B61284" w:rsidRPr="00213A5D">
        <w:rPr>
          <w:rFonts w:eastAsia="Times New Roman"/>
          <w:b/>
          <w:sz w:val="24"/>
          <w:szCs w:val="24"/>
          <w:u w:val="single"/>
        </w:rPr>
        <w:t>Анализ исполнения</w:t>
      </w:r>
      <w:r w:rsidR="008F2B97" w:rsidRPr="00213A5D">
        <w:rPr>
          <w:rFonts w:eastAsia="Times New Roman"/>
          <w:b/>
          <w:sz w:val="24"/>
          <w:szCs w:val="24"/>
          <w:u w:val="single"/>
        </w:rPr>
        <w:t xml:space="preserve"> расходов главными распорядителями</w:t>
      </w:r>
    </w:p>
    <w:p w14:paraId="5B44EDA4" w14:textId="77777777" w:rsidR="008F2B97" w:rsidRPr="00213A5D" w:rsidRDefault="008F2B97" w:rsidP="00AF1852">
      <w:pPr>
        <w:widowControl w:val="0"/>
        <w:spacing w:line="240" w:lineRule="auto"/>
        <w:ind w:left="0" w:right="0"/>
        <w:jc w:val="center"/>
        <w:rPr>
          <w:rFonts w:eastAsia="Times New Roman"/>
          <w:b/>
          <w:sz w:val="24"/>
          <w:szCs w:val="24"/>
          <w:u w:val="single"/>
        </w:rPr>
      </w:pPr>
      <w:r w:rsidRPr="00213A5D">
        <w:rPr>
          <w:rFonts w:eastAsia="Times New Roman"/>
          <w:b/>
          <w:sz w:val="24"/>
          <w:szCs w:val="24"/>
          <w:u w:val="single"/>
        </w:rPr>
        <w:t>средств федерального бюджета</w:t>
      </w:r>
    </w:p>
    <w:p w14:paraId="7E5D9493" w14:textId="77777777" w:rsidR="008F2B97" w:rsidRPr="00213A5D" w:rsidRDefault="008F2B97" w:rsidP="00AF1852">
      <w:pPr>
        <w:widowControl w:val="0"/>
        <w:ind w:left="0" w:right="0"/>
        <w:jc w:val="center"/>
        <w:rPr>
          <w:sz w:val="16"/>
          <w:szCs w:val="16"/>
        </w:rPr>
      </w:pPr>
    </w:p>
    <w:p w14:paraId="6719D019" w14:textId="77777777" w:rsidR="00F73236" w:rsidRPr="00213A5D" w:rsidRDefault="00B94B4D" w:rsidP="00AF1852">
      <w:pPr>
        <w:widowControl w:val="0"/>
        <w:spacing w:line="350" w:lineRule="auto"/>
        <w:ind w:left="0" w:right="0"/>
        <w:rPr>
          <w:rFonts w:eastAsia="Times New Roman"/>
          <w:sz w:val="24"/>
          <w:szCs w:val="24"/>
        </w:rPr>
      </w:pPr>
      <w:r w:rsidRPr="00213A5D">
        <w:rPr>
          <w:rFonts w:eastAsia="Times New Roman"/>
          <w:b/>
          <w:sz w:val="24"/>
          <w:szCs w:val="24"/>
        </w:rPr>
        <w:t>6.1.</w:t>
      </w:r>
      <w:r w:rsidRPr="00213A5D">
        <w:rPr>
          <w:rFonts w:eastAsia="Times New Roman"/>
          <w:sz w:val="24"/>
          <w:szCs w:val="24"/>
        </w:rPr>
        <w:t> </w:t>
      </w:r>
      <w:r w:rsidR="00F73236" w:rsidRPr="00213A5D">
        <w:rPr>
          <w:rFonts w:eastAsia="Times New Roman"/>
          <w:sz w:val="24"/>
          <w:szCs w:val="24"/>
        </w:rPr>
        <w:t xml:space="preserve">Исполнение расходов федерального бюджета (открытая часть), осуществленное </w:t>
      </w:r>
      <w:r w:rsidR="00F73236" w:rsidRPr="00213A5D">
        <w:rPr>
          <w:rFonts w:eastAsia="Times New Roman"/>
          <w:b/>
          <w:sz w:val="24"/>
          <w:szCs w:val="24"/>
        </w:rPr>
        <w:t>92 главными распорядителями,</w:t>
      </w:r>
      <w:r w:rsidR="00F73236" w:rsidRPr="00213A5D">
        <w:rPr>
          <w:rFonts w:eastAsia="Times New Roman"/>
          <w:sz w:val="24"/>
          <w:szCs w:val="24"/>
        </w:rPr>
        <w:t xml:space="preserve"> в январе – сентябре 2022 года составило 69,8 % показателя сводной росписи с изменениями.</w:t>
      </w:r>
    </w:p>
    <w:p w14:paraId="6451434B" w14:textId="77777777" w:rsidR="00F73236" w:rsidRPr="00213A5D" w:rsidRDefault="00F73236" w:rsidP="00AF1852">
      <w:pPr>
        <w:widowControl w:val="0"/>
        <w:spacing w:line="350" w:lineRule="auto"/>
        <w:ind w:left="0" w:right="0"/>
        <w:rPr>
          <w:rFonts w:eastAsia="Times New Roman"/>
          <w:sz w:val="24"/>
          <w:szCs w:val="24"/>
        </w:rPr>
      </w:pPr>
      <w:r w:rsidRPr="00213A5D">
        <w:rPr>
          <w:rFonts w:eastAsia="Times New Roman"/>
          <w:sz w:val="24"/>
          <w:szCs w:val="24"/>
        </w:rPr>
        <w:t>Анализ исполнения расходов главными распорядителями представлен на следующей диаграмме.</w:t>
      </w:r>
    </w:p>
    <w:p w14:paraId="1C8F89E3" w14:textId="77777777" w:rsidR="00F73236" w:rsidRPr="00213A5D" w:rsidRDefault="00CD0E98" w:rsidP="000E2F56">
      <w:pPr>
        <w:widowControl w:val="0"/>
        <w:spacing w:line="240" w:lineRule="auto"/>
        <w:ind w:left="0" w:right="-2" w:firstLine="0"/>
        <w:jc w:val="center"/>
        <w:rPr>
          <w:rFonts w:eastAsia="Times New Roman"/>
          <w:sz w:val="24"/>
          <w:szCs w:val="24"/>
        </w:rPr>
      </w:pPr>
      <w:r w:rsidRPr="00CD0E98">
        <w:rPr>
          <w:rFonts w:eastAsia="Times New Roman"/>
          <w:noProof/>
          <w:sz w:val="24"/>
          <w:szCs w:val="24"/>
        </w:rPr>
        <w:pict w14:anchorId="6F97D5FE">
          <v:shape id="_x0000_i1054" type="#_x0000_t75" alt="" style="width:285.95pt;height:158.95pt;visibility:visible;mso-width-percent:0;mso-height-percent:0;mso-width-percent:0;mso-height-percent:0">
            <v:imagedata r:id="rId49" o:title=""/>
          </v:shape>
        </w:pict>
      </w:r>
    </w:p>
    <w:p w14:paraId="49A983AF" w14:textId="77777777" w:rsidR="00F73236" w:rsidRPr="00213A5D" w:rsidRDefault="00F73236" w:rsidP="001073CF">
      <w:pPr>
        <w:widowControl w:val="0"/>
        <w:spacing w:line="355" w:lineRule="auto"/>
        <w:ind w:left="0" w:right="0"/>
        <w:rPr>
          <w:sz w:val="24"/>
          <w:szCs w:val="24"/>
        </w:rPr>
      </w:pPr>
      <w:r w:rsidRPr="00213A5D">
        <w:rPr>
          <w:sz w:val="24"/>
          <w:szCs w:val="24"/>
        </w:rPr>
        <w:t>Информация об исполнении федерального бюджета по ведомственной структуре расходов федерального бюджета представлена в приложении № 3 к оперативному докладу о ходе исполнения федерального бюджета за январь – сентябрь 2022 года.</w:t>
      </w:r>
    </w:p>
    <w:p w14:paraId="072DAF96" w14:textId="77777777" w:rsidR="00F73236" w:rsidRPr="00213A5D" w:rsidRDefault="00F73236" w:rsidP="001073CF">
      <w:pPr>
        <w:widowControl w:val="0"/>
        <w:spacing w:line="355" w:lineRule="auto"/>
        <w:ind w:left="0" w:right="0"/>
        <w:rPr>
          <w:sz w:val="24"/>
          <w:szCs w:val="24"/>
        </w:rPr>
      </w:pPr>
      <w:r w:rsidRPr="00213A5D">
        <w:rPr>
          <w:sz w:val="24"/>
          <w:szCs w:val="24"/>
        </w:rPr>
        <w:t xml:space="preserve">В соответствии с Указом Президента Российской Федерации от 20 октября 2022 г. № 759 «О некоторых вопросах государственного управления в сфере туризма и туристической деятельности» </w:t>
      </w:r>
      <w:r w:rsidRPr="00213A5D">
        <w:rPr>
          <w:b/>
          <w:sz w:val="24"/>
          <w:szCs w:val="24"/>
        </w:rPr>
        <w:t>упразднен Ростуризм</w:t>
      </w:r>
      <w:r w:rsidRPr="00213A5D">
        <w:rPr>
          <w:sz w:val="24"/>
          <w:szCs w:val="24"/>
        </w:rPr>
        <w:t xml:space="preserve">, соответствующие </w:t>
      </w:r>
      <w:r w:rsidRPr="00213A5D">
        <w:rPr>
          <w:b/>
          <w:sz w:val="24"/>
          <w:szCs w:val="24"/>
        </w:rPr>
        <w:t>функции переданы Минэкономразвития России</w:t>
      </w:r>
      <w:r w:rsidRPr="00213A5D">
        <w:rPr>
          <w:sz w:val="24"/>
          <w:szCs w:val="24"/>
        </w:rPr>
        <w:t xml:space="preserve">. Правительству Российской Федерации поручено: обеспечить сроки проведения ликвидационных процедур, определить численность федеральных государственных гражданских служащих Минэкономразвития России в связи с передачей </w:t>
      </w:r>
      <w:r w:rsidRPr="00213A5D">
        <w:rPr>
          <w:sz w:val="24"/>
          <w:szCs w:val="24"/>
        </w:rPr>
        <w:lastRenderedPageBreak/>
        <w:t xml:space="preserve">ему функций упраздняемого агентства, а также в 6-месячный срок привести свои акты </w:t>
      </w:r>
      <w:r w:rsidRPr="00213A5D">
        <w:rPr>
          <w:sz w:val="24"/>
          <w:szCs w:val="24"/>
        </w:rPr>
        <w:br/>
        <w:t>в соответствие с Указом.</w:t>
      </w:r>
    </w:p>
    <w:p w14:paraId="7EB5CD41" w14:textId="77777777" w:rsidR="00F73236" w:rsidRPr="00213A5D" w:rsidRDefault="00B94B4D" w:rsidP="001073CF">
      <w:pPr>
        <w:widowControl w:val="0"/>
        <w:spacing w:line="355" w:lineRule="auto"/>
        <w:ind w:left="0" w:right="0"/>
        <w:rPr>
          <w:rFonts w:eastAsia="Times New Roman"/>
          <w:sz w:val="24"/>
          <w:szCs w:val="24"/>
        </w:rPr>
      </w:pPr>
      <w:r w:rsidRPr="00213A5D">
        <w:rPr>
          <w:b/>
          <w:sz w:val="24"/>
          <w:szCs w:val="24"/>
        </w:rPr>
        <w:t>6.2.</w:t>
      </w:r>
      <w:r w:rsidRPr="00213A5D">
        <w:rPr>
          <w:sz w:val="24"/>
          <w:szCs w:val="24"/>
        </w:rPr>
        <w:t> </w:t>
      </w:r>
      <w:r w:rsidR="00F73236" w:rsidRPr="00213A5D">
        <w:rPr>
          <w:rFonts w:eastAsia="Times New Roman"/>
          <w:b/>
          <w:sz w:val="24"/>
          <w:szCs w:val="24"/>
        </w:rPr>
        <w:t>По 35 главным распорядителям</w:t>
      </w:r>
      <w:r w:rsidR="00F73236" w:rsidRPr="00213A5D">
        <w:rPr>
          <w:rFonts w:eastAsia="Times New Roman"/>
          <w:sz w:val="24"/>
          <w:szCs w:val="24"/>
        </w:rPr>
        <w:t xml:space="preserve"> (38 % общего количества) расходы исполнены в диапазоне </w:t>
      </w:r>
      <w:r w:rsidR="00F73236" w:rsidRPr="00213A5D">
        <w:rPr>
          <w:rFonts w:eastAsia="Times New Roman"/>
          <w:b/>
          <w:sz w:val="24"/>
          <w:szCs w:val="24"/>
        </w:rPr>
        <w:t>от 31,1 % до 64,8 %</w:t>
      </w:r>
      <w:r w:rsidR="00F73236" w:rsidRPr="00213A5D">
        <w:rPr>
          <w:rFonts w:eastAsia="Times New Roman"/>
          <w:sz w:val="24"/>
          <w:szCs w:val="24"/>
        </w:rPr>
        <w:t xml:space="preserve"> показателя сводной росписи с изменениями, из них </w:t>
      </w:r>
      <w:r w:rsidR="00F73236" w:rsidRPr="00213A5D">
        <w:rPr>
          <w:rFonts w:eastAsia="Times New Roman"/>
          <w:sz w:val="24"/>
          <w:szCs w:val="24"/>
        </w:rPr>
        <w:br/>
      </w:r>
      <w:r w:rsidR="00F73236" w:rsidRPr="00213A5D">
        <w:rPr>
          <w:rFonts w:eastAsia="Times New Roman"/>
          <w:b/>
          <w:sz w:val="24"/>
          <w:szCs w:val="24"/>
        </w:rPr>
        <w:t>по 7</w:t>
      </w:r>
      <w:r w:rsidR="00F73236" w:rsidRPr="00213A5D">
        <w:rPr>
          <w:rFonts w:eastAsia="Times New Roman"/>
          <w:sz w:val="24"/>
          <w:szCs w:val="24"/>
        </w:rPr>
        <w:t xml:space="preserve"> (20 %) исполнение составило </w:t>
      </w:r>
      <w:r w:rsidR="00F73236" w:rsidRPr="00213A5D">
        <w:rPr>
          <w:rFonts w:eastAsia="Times New Roman"/>
          <w:b/>
          <w:sz w:val="24"/>
          <w:szCs w:val="24"/>
        </w:rPr>
        <w:t>менее 50 %</w:t>
      </w:r>
      <w:r w:rsidR="00F73236" w:rsidRPr="00213A5D">
        <w:rPr>
          <w:rFonts w:eastAsia="Times New Roman"/>
          <w:sz w:val="24"/>
          <w:szCs w:val="24"/>
        </w:rPr>
        <w:t xml:space="preserve">: </w:t>
      </w:r>
    </w:p>
    <w:p w14:paraId="1F90268F" w14:textId="77777777" w:rsidR="00F73236" w:rsidRPr="00213A5D" w:rsidRDefault="00F73236" w:rsidP="001073CF">
      <w:pPr>
        <w:widowControl w:val="0"/>
        <w:spacing w:line="355" w:lineRule="auto"/>
        <w:ind w:left="0" w:right="0"/>
        <w:rPr>
          <w:rFonts w:eastAsia="Times New Roman"/>
          <w:sz w:val="24"/>
          <w:szCs w:val="24"/>
        </w:rPr>
      </w:pPr>
      <w:r w:rsidRPr="00213A5D">
        <w:rPr>
          <w:rFonts w:eastAsia="Times New Roman"/>
          <w:sz w:val="24"/>
          <w:szCs w:val="24"/>
        </w:rPr>
        <w:t>Минэнерго России – 31,1 % (объем бюджетных ассигнований, предусмотренный сводной росписью на 1 октября 2022 года, составляет 34 581,9 млн. рублей);</w:t>
      </w:r>
    </w:p>
    <w:p w14:paraId="7823FDCF" w14:textId="77777777" w:rsidR="00F73236" w:rsidRPr="00213A5D" w:rsidRDefault="00F73236" w:rsidP="001073CF">
      <w:pPr>
        <w:widowControl w:val="0"/>
        <w:spacing w:line="355" w:lineRule="auto"/>
        <w:ind w:left="0" w:right="0"/>
        <w:rPr>
          <w:rFonts w:eastAsia="Times New Roman"/>
          <w:sz w:val="24"/>
          <w:szCs w:val="24"/>
        </w:rPr>
      </w:pPr>
      <w:r w:rsidRPr="00213A5D">
        <w:rPr>
          <w:rFonts w:eastAsia="Times New Roman"/>
          <w:sz w:val="24"/>
          <w:szCs w:val="24"/>
        </w:rPr>
        <w:t>Роскомнадзору – 32,4 % (32 736,3 млн. рублей);</w:t>
      </w:r>
    </w:p>
    <w:p w14:paraId="17CCE171" w14:textId="77777777" w:rsidR="00F73236" w:rsidRPr="00213A5D" w:rsidRDefault="00F73236" w:rsidP="001073CF">
      <w:pPr>
        <w:widowControl w:val="0"/>
        <w:spacing w:line="355" w:lineRule="auto"/>
        <w:ind w:left="0" w:right="0"/>
        <w:rPr>
          <w:rFonts w:eastAsia="Times New Roman"/>
          <w:sz w:val="24"/>
          <w:szCs w:val="24"/>
        </w:rPr>
      </w:pPr>
      <w:r w:rsidRPr="00213A5D">
        <w:rPr>
          <w:rFonts w:eastAsia="Times New Roman"/>
          <w:sz w:val="24"/>
          <w:szCs w:val="24"/>
        </w:rPr>
        <w:t>Минвостокразвития России – 35,3 % (65 036,9 млн. рублей);</w:t>
      </w:r>
    </w:p>
    <w:p w14:paraId="29F16D9D" w14:textId="77777777" w:rsidR="00F73236" w:rsidRPr="00213A5D" w:rsidRDefault="00F73236" w:rsidP="001073CF">
      <w:pPr>
        <w:widowControl w:val="0"/>
        <w:spacing w:line="355" w:lineRule="auto"/>
        <w:ind w:left="0" w:right="0"/>
        <w:rPr>
          <w:rFonts w:eastAsia="Times New Roman"/>
          <w:sz w:val="24"/>
          <w:szCs w:val="24"/>
        </w:rPr>
      </w:pPr>
      <w:r w:rsidRPr="00213A5D">
        <w:rPr>
          <w:rFonts w:eastAsia="Times New Roman"/>
          <w:sz w:val="24"/>
          <w:szCs w:val="24"/>
        </w:rPr>
        <w:t>Минцифры России – 44,4 % (300 459,5 млн. рублей);</w:t>
      </w:r>
    </w:p>
    <w:p w14:paraId="2E06F767" w14:textId="77777777" w:rsidR="00F73236" w:rsidRPr="00213A5D" w:rsidRDefault="00F73236" w:rsidP="001073CF">
      <w:pPr>
        <w:widowControl w:val="0"/>
        <w:spacing w:line="355" w:lineRule="auto"/>
        <w:ind w:left="0" w:right="0"/>
        <w:rPr>
          <w:rFonts w:eastAsia="Times New Roman"/>
          <w:sz w:val="24"/>
          <w:szCs w:val="24"/>
        </w:rPr>
      </w:pPr>
      <w:r w:rsidRPr="00213A5D">
        <w:rPr>
          <w:rFonts w:eastAsia="Times New Roman"/>
          <w:sz w:val="24"/>
          <w:szCs w:val="24"/>
        </w:rPr>
        <w:t>Росархиву – 44,7 % (7 345,8 млн. рублей);</w:t>
      </w:r>
    </w:p>
    <w:p w14:paraId="5C4DFC50" w14:textId="77777777" w:rsidR="00F73236" w:rsidRPr="00213A5D" w:rsidRDefault="00F73236" w:rsidP="001073CF">
      <w:pPr>
        <w:widowControl w:val="0"/>
        <w:spacing w:line="355" w:lineRule="auto"/>
        <w:ind w:left="0" w:right="0"/>
        <w:rPr>
          <w:rFonts w:eastAsia="Times New Roman"/>
          <w:sz w:val="24"/>
          <w:szCs w:val="24"/>
        </w:rPr>
      </w:pPr>
      <w:r w:rsidRPr="00213A5D">
        <w:rPr>
          <w:rFonts w:eastAsia="Times New Roman"/>
          <w:sz w:val="24"/>
          <w:szCs w:val="24"/>
        </w:rPr>
        <w:t>Минпромторгу России – 48,1 % (869 170,6 млн. рублей);</w:t>
      </w:r>
    </w:p>
    <w:p w14:paraId="36D5775C" w14:textId="77777777" w:rsidR="00F73236" w:rsidRPr="00213A5D" w:rsidRDefault="00F73236" w:rsidP="001073CF">
      <w:pPr>
        <w:widowControl w:val="0"/>
        <w:spacing w:line="355" w:lineRule="auto"/>
        <w:ind w:left="0" w:right="0"/>
        <w:rPr>
          <w:rFonts w:eastAsia="Times New Roman"/>
          <w:sz w:val="24"/>
          <w:szCs w:val="24"/>
        </w:rPr>
      </w:pPr>
      <w:r w:rsidRPr="00213A5D">
        <w:rPr>
          <w:rFonts w:eastAsia="Times New Roman"/>
          <w:sz w:val="24"/>
          <w:szCs w:val="24"/>
        </w:rPr>
        <w:t xml:space="preserve">ППК «Единый заказчик в сфере строительства» – 49,9 % (109 797,9 млн. рублей). </w:t>
      </w:r>
      <w:r w:rsidRPr="00213A5D">
        <w:rPr>
          <w:rFonts w:eastAsia="Times New Roman"/>
          <w:sz w:val="24"/>
          <w:szCs w:val="24"/>
        </w:rPr>
        <w:br/>
        <w:t xml:space="preserve">При этом </w:t>
      </w:r>
      <w:r w:rsidRPr="00213A5D">
        <w:rPr>
          <w:rFonts w:eastAsia="Times New Roman"/>
          <w:b/>
          <w:sz w:val="24"/>
          <w:szCs w:val="24"/>
        </w:rPr>
        <w:t>по 3 из 7</w:t>
      </w:r>
      <w:r w:rsidRPr="00213A5D">
        <w:rPr>
          <w:rFonts w:eastAsia="Times New Roman"/>
          <w:sz w:val="24"/>
          <w:szCs w:val="24"/>
        </w:rPr>
        <w:t xml:space="preserve"> указанных главных распорядителей крайне </w:t>
      </w:r>
      <w:r w:rsidRPr="00213A5D">
        <w:rPr>
          <w:rFonts w:eastAsia="Times New Roman"/>
          <w:b/>
          <w:sz w:val="24"/>
          <w:szCs w:val="24"/>
        </w:rPr>
        <w:t>низкий уровень исполнения</w:t>
      </w:r>
      <w:r w:rsidRPr="00213A5D">
        <w:rPr>
          <w:rFonts w:eastAsia="Times New Roman"/>
          <w:sz w:val="24"/>
          <w:szCs w:val="24"/>
        </w:rPr>
        <w:t xml:space="preserve"> </w:t>
      </w:r>
      <w:r w:rsidRPr="00213A5D">
        <w:rPr>
          <w:rFonts w:eastAsia="Times New Roman"/>
          <w:b/>
          <w:sz w:val="24"/>
          <w:szCs w:val="24"/>
        </w:rPr>
        <w:t>отмечался и</w:t>
      </w:r>
      <w:r w:rsidRPr="00213A5D">
        <w:rPr>
          <w:rFonts w:eastAsia="Times New Roman"/>
          <w:sz w:val="24"/>
          <w:szCs w:val="24"/>
        </w:rPr>
        <w:t xml:space="preserve"> </w:t>
      </w:r>
      <w:r w:rsidRPr="00213A5D">
        <w:rPr>
          <w:rFonts w:eastAsia="Times New Roman"/>
          <w:b/>
          <w:sz w:val="24"/>
          <w:szCs w:val="24"/>
        </w:rPr>
        <w:t>за предыдущие кварталы</w:t>
      </w:r>
      <w:r w:rsidRPr="00213A5D">
        <w:rPr>
          <w:rFonts w:eastAsia="Times New Roman"/>
          <w:sz w:val="24"/>
          <w:szCs w:val="24"/>
        </w:rPr>
        <w:t xml:space="preserve"> (Минэнерго России, Минвостокразвития России, ППК «Единый заказчик в сфере строительства»).</w:t>
      </w:r>
    </w:p>
    <w:p w14:paraId="3650C649" w14:textId="77777777" w:rsidR="00F73236" w:rsidRPr="00213A5D" w:rsidRDefault="00F73236" w:rsidP="001073CF">
      <w:pPr>
        <w:widowControl w:val="0"/>
        <w:spacing w:line="355" w:lineRule="auto"/>
        <w:ind w:left="0" w:right="0"/>
        <w:rPr>
          <w:rFonts w:eastAsia="Times New Roman"/>
          <w:sz w:val="24"/>
          <w:szCs w:val="24"/>
        </w:rPr>
      </w:pPr>
      <w:r w:rsidRPr="00213A5D">
        <w:rPr>
          <w:rFonts w:eastAsia="Times New Roman"/>
          <w:sz w:val="24"/>
          <w:szCs w:val="24"/>
        </w:rPr>
        <w:t xml:space="preserve">Следует отметить, что по 3 из 7 указанных главных распорядителей </w:t>
      </w:r>
      <w:r w:rsidRPr="00213A5D">
        <w:rPr>
          <w:rFonts w:eastAsia="Times New Roman"/>
          <w:b/>
          <w:sz w:val="24"/>
          <w:szCs w:val="24"/>
        </w:rPr>
        <w:t>исполнение расходов за 9 месяцев 2021 года</w:t>
      </w:r>
      <w:r w:rsidRPr="00213A5D">
        <w:rPr>
          <w:rFonts w:eastAsia="Times New Roman"/>
          <w:sz w:val="24"/>
          <w:szCs w:val="24"/>
        </w:rPr>
        <w:t xml:space="preserve"> также осуществлялось </w:t>
      </w:r>
      <w:r w:rsidRPr="00213A5D">
        <w:rPr>
          <w:rFonts w:eastAsia="Times New Roman"/>
          <w:b/>
          <w:sz w:val="24"/>
          <w:szCs w:val="24"/>
        </w:rPr>
        <w:t>на низком уровне и годовые бюджетные назначения на 2021 год</w:t>
      </w:r>
      <w:r w:rsidRPr="00213A5D">
        <w:rPr>
          <w:rFonts w:eastAsia="Times New Roman"/>
          <w:sz w:val="24"/>
          <w:szCs w:val="24"/>
        </w:rPr>
        <w:t xml:space="preserve">, предусмотренные сводной росписью с изменениями, исполнены </w:t>
      </w:r>
      <w:r w:rsidRPr="00213A5D">
        <w:rPr>
          <w:rFonts w:eastAsia="Times New Roman"/>
          <w:b/>
          <w:sz w:val="24"/>
          <w:szCs w:val="24"/>
        </w:rPr>
        <w:t>не в полном объеме</w:t>
      </w:r>
      <w:r w:rsidRPr="00213A5D">
        <w:rPr>
          <w:rFonts w:eastAsia="Times New Roman"/>
          <w:sz w:val="24"/>
          <w:szCs w:val="24"/>
        </w:rPr>
        <w:t>, что представлено в следующей таблице.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985"/>
        <w:gridCol w:w="1134"/>
        <w:gridCol w:w="1984"/>
      </w:tblGrid>
      <w:tr w:rsidR="00F73236" w:rsidRPr="00213A5D" w14:paraId="6A998251" w14:textId="77777777" w:rsidTr="006B6AD3">
        <w:tc>
          <w:tcPr>
            <w:tcW w:w="45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D3AB65"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 xml:space="preserve">Наименование </w:t>
            </w:r>
          </w:p>
          <w:p w14:paraId="7A632977"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главного распорядителя</w:t>
            </w: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93AAA06"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Исполнение в % к сводной росписи с изменениями</w:t>
            </w:r>
          </w:p>
        </w:tc>
      </w:tr>
      <w:tr w:rsidR="00F73236" w:rsidRPr="00213A5D" w14:paraId="73661681" w14:textId="77777777" w:rsidTr="006B6AD3">
        <w:trPr>
          <w:trHeight w:val="19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294AF9" w14:textId="77777777" w:rsidR="00F73236" w:rsidRPr="00213A5D" w:rsidRDefault="00F73236" w:rsidP="00AF1852">
            <w:pPr>
              <w:widowControl w:val="0"/>
              <w:overflowPunct/>
              <w:autoSpaceDE/>
              <w:autoSpaceDN/>
              <w:adjustRightInd/>
              <w:spacing w:line="240" w:lineRule="auto"/>
              <w:ind w:left="0" w:right="0" w:firstLine="0"/>
              <w:jc w:val="left"/>
              <w:textAlignment w:val="auto"/>
              <w:rPr>
                <w:rFonts w:eastAsia="Times New Roman"/>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12DFB5D" w14:textId="77777777" w:rsidR="00F73236" w:rsidRPr="00213A5D" w:rsidRDefault="00F73236" w:rsidP="00AF1852">
            <w:pPr>
              <w:widowControl w:val="0"/>
              <w:spacing w:line="240" w:lineRule="auto"/>
              <w:ind w:left="0" w:right="0" w:firstLine="0"/>
              <w:jc w:val="center"/>
              <w:textAlignment w:val="auto"/>
              <w:rPr>
                <w:rFonts w:eastAsia="Times New Roman"/>
                <w:b/>
                <w:sz w:val="20"/>
                <w:szCs w:val="20"/>
              </w:rPr>
            </w:pPr>
            <w:r w:rsidRPr="00213A5D">
              <w:rPr>
                <w:rFonts w:eastAsia="Times New Roman"/>
                <w:b/>
                <w:sz w:val="20"/>
                <w:szCs w:val="20"/>
              </w:rPr>
              <w:t>9 месяцев</w:t>
            </w:r>
          </w:p>
          <w:p w14:paraId="4C10EE82"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2021 года*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09AD542"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2021 год*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F40B43" w14:textId="77777777" w:rsidR="00F73236" w:rsidRPr="00213A5D" w:rsidRDefault="00F73236" w:rsidP="00AF1852">
            <w:pPr>
              <w:widowControl w:val="0"/>
              <w:spacing w:line="240" w:lineRule="auto"/>
              <w:ind w:left="0" w:right="0" w:firstLine="0"/>
              <w:jc w:val="center"/>
              <w:textAlignment w:val="auto"/>
              <w:rPr>
                <w:rFonts w:eastAsia="Times New Roman"/>
                <w:b/>
                <w:sz w:val="20"/>
                <w:szCs w:val="20"/>
              </w:rPr>
            </w:pPr>
            <w:r w:rsidRPr="00213A5D">
              <w:rPr>
                <w:rFonts w:eastAsia="Times New Roman"/>
                <w:b/>
                <w:sz w:val="20"/>
                <w:szCs w:val="20"/>
              </w:rPr>
              <w:t>9 месяцев</w:t>
            </w:r>
          </w:p>
          <w:p w14:paraId="4360CB5A"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2022 года</w:t>
            </w:r>
          </w:p>
        </w:tc>
      </w:tr>
      <w:tr w:rsidR="00F73236" w:rsidRPr="00213A5D" w14:paraId="474A36D3" w14:textId="77777777" w:rsidTr="006B6AD3">
        <w:tc>
          <w:tcPr>
            <w:tcW w:w="4536" w:type="dxa"/>
            <w:tcBorders>
              <w:top w:val="single" w:sz="4" w:space="0" w:color="auto"/>
              <w:left w:val="single" w:sz="4" w:space="0" w:color="auto"/>
              <w:bottom w:val="single" w:sz="4" w:space="0" w:color="auto"/>
              <w:right w:val="single" w:sz="4" w:space="0" w:color="auto"/>
            </w:tcBorders>
            <w:shd w:val="clear" w:color="auto" w:fill="auto"/>
          </w:tcPr>
          <w:p w14:paraId="2E7A58C3" w14:textId="77777777" w:rsidR="00F73236" w:rsidRPr="00213A5D" w:rsidRDefault="00F73236" w:rsidP="00AF1852">
            <w:pPr>
              <w:widowControl w:val="0"/>
              <w:spacing w:line="240" w:lineRule="auto"/>
              <w:ind w:left="0" w:right="-2" w:firstLine="0"/>
              <w:textAlignment w:val="auto"/>
              <w:rPr>
                <w:rFonts w:eastAsia="Times New Roman"/>
                <w:sz w:val="20"/>
                <w:szCs w:val="20"/>
              </w:rPr>
            </w:pPr>
            <w:r w:rsidRPr="00213A5D">
              <w:rPr>
                <w:rFonts w:eastAsia="Times New Roman"/>
                <w:sz w:val="20"/>
                <w:szCs w:val="20"/>
              </w:rPr>
              <w:t>Минвостокразвития России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ABFB18" w14:textId="77777777" w:rsidR="00F73236" w:rsidRPr="00213A5D" w:rsidRDefault="00F73236" w:rsidP="00AF1852">
            <w:pPr>
              <w:widowControl w:val="0"/>
              <w:spacing w:line="240" w:lineRule="auto"/>
              <w:ind w:left="0" w:right="-2" w:firstLine="0"/>
              <w:jc w:val="center"/>
              <w:textAlignment w:val="auto"/>
              <w:rPr>
                <w:rFonts w:eastAsia="Times New Roman"/>
                <w:sz w:val="20"/>
                <w:szCs w:val="20"/>
              </w:rPr>
            </w:pPr>
            <w:r w:rsidRPr="00213A5D">
              <w:rPr>
                <w:rFonts w:eastAsia="Times New Roman"/>
                <w:sz w:val="20"/>
                <w:szCs w:val="20"/>
              </w:rPr>
              <w:t>33,8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CCA1C9" w14:textId="77777777" w:rsidR="00F73236" w:rsidRPr="00213A5D" w:rsidRDefault="00F73236" w:rsidP="00AF1852">
            <w:pPr>
              <w:widowControl w:val="0"/>
              <w:spacing w:line="240" w:lineRule="auto"/>
              <w:ind w:left="0" w:right="-2" w:firstLine="0"/>
              <w:jc w:val="center"/>
              <w:textAlignment w:val="auto"/>
              <w:rPr>
                <w:rFonts w:eastAsia="Times New Roman"/>
                <w:sz w:val="20"/>
                <w:szCs w:val="20"/>
              </w:rPr>
            </w:pPr>
            <w:r w:rsidRPr="00213A5D">
              <w:rPr>
                <w:rFonts w:eastAsia="Times New Roman"/>
                <w:sz w:val="20"/>
                <w:szCs w:val="20"/>
              </w:rPr>
              <w:t>99,1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675C3B"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35,3</w:t>
            </w:r>
          </w:p>
        </w:tc>
      </w:tr>
      <w:tr w:rsidR="00F73236" w:rsidRPr="00213A5D" w14:paraId="664395E7" w14:textId="77777777" w:rsidTr="006B6AD3">
        <w:tc>
          <w:tcPr>
            <w:tcW w:w="4536" w:type="dxa"/>
            <w:tcBorders>
              <w:top w:val="single" w:sz="4" w:space="0" w:color="auto"/>
              <w:left w:val="single" w:sz="4" w:space="0" w:color="auto"/>
              <w:bottom w:val="single" w:sz="4" w:space="0" w:color="auto"/>
              <w:right w:val="single" w:sz="4" w:space="0" w:color="auto"/>
            </w:tcBorders>
            <w:shd w:val="clear" w:color="auto" w:fill="auto"/>
          </w:tcPr>
          <w:p w14:paraId="05260C01" w14:textId="77777777" w:rsidR="00F73236" w:rsidRPr="00213A5D" w:rsidRDefault="00F73236" w:rsidP="00AF1852">
            <w:pPr>
              <w:widowControl w:val="0"/>
              <w:spacing w:line="240" w:lineRule="auto"/>
              <w:ind w:left="0" w:right="-2" w:firstLine="0"/>
              <w:textAlignment w:val="auto"/>
              <w:rPr>
                <w:rFonts w:eastAsia="Times New Roman"/>
                <w:sz w:val="20"/>
                <w:szCs w:val="20"/>
              </w:rPr>
            </w:pPr>
            <w:r w:rsidRPr="00213A5D">
              <w:rPr>
                <w:rFonts w:eastAsia="Times New Roman"/>
                <w:sz w:val="20"/>
                <w:szCs w:val="20"/>
              </w:rPr>
              <w:t>Минцифры России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A7438E" w14:textId="77777777" w:rsidR="00F73236" w:rsidRPr="00213A5D" w:rsidRDefault="00F73236" w:rsidP="00AF1852">
            <w:pPr>
              <w:widowControl w:val="0"/>
              <w:spacing w:line="240" w:lineRule="auto"/>
              <w:ind w:left="0" w:right="-2" w:firstLine="0"/>
              <w:jc w:val="center"/>
              <w:textAlignment w:val="auto"/>
              <w:rPr>
                <w:rFonts w:eastAsia="Times New Roman"/>
                <w:sz w:val="20"/>
                <w:szCs w:val="20"/>
              </w:rPr>
            </w:pPr>
            <w:r w:rsidRPr="00213A5D">
              <w:rPr>
                <w:rFonts w:eastAsia="Times New Roman"/>
                <w:sz w:val="20"/>
                <w:szCs w:val="20"/>
              </w:rPr>
              <w:t>45,6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D7531C" w14:textId="77777777" w:rsidR="00F73236" w:rsidRPr="00213A5D" w:rsidRDefault="00F73236" w:rsidP="00AF1852">
            <w:pPr>
              <w:widowControl w:val="0"/>
              <w:spacing w:line="240" w:lineRule="auto"/>
              <w:ind w:left="0" w:right="-2" w:firstLine="0"/>
              <w:jc w:val="center"/>
              <w:textAlignment w:val="auto"/>
              <w:rPr>
                <w:rFonts w:eastAsia="Times New Roman"/>
                <w:sz w:val="20"/>
                <w:szCs w:val="20"/>
              </w:rPr>
            </w:pPr>
            <w:r w:rsidRPr="00213A5D">
              <w:rPr>
                <w:rFonts w:eastAsia="Times New Roman"/>
                <w:sz w:val="20"/>
                <w:szCs w:val="20"/>
              </w:rPr>
              <w:t>99,1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9C3FAC"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44,4</w:t>
            </w:r>
          </w:p>
        </w:tc>
      </w:tr>
      <w:tr w:rsidR="00F73236" w:rsidRPr="00213A5D" w14:paraId="16C84DA5" w14:textId="77777777" w:rsidTr="006B6AD3">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49DAB8C0" w14:textId="77777777" w:rsidR="00F73236" w:rsidRPr="00213A5D" w:rsidRDefault="00F73236" w:rsidP="00AF1852">
            <w:pPr>
              <w:widowControl w:val="0"/>
              <w:spacing w:line="240" w:lineRule="auto"/>
              <w:ind w:left="0" w:right="-2" w:firstLine="0"/>
              <w:textAlignment w:val="auto"/>
              <w:rPr>
                <w:rFonts w:eastAsia="Times New Roman"/>
                <w:sz w:val="20"/>
                <w:szCs w:val="20"/>
              </w:rPr>
            </w:pPr>
            <w:r w:rsidRPr="00213A5D">
              <w:rPr>
                <w:rFonts w:eastAsia="Times New Roman"/>
                <w:sz w:val="20"/>
                <w:szCs w:val="20"/>
              </w:rPr>
              <w:t>ППК «Единый заказчик в сфере строительства»</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EE84ED" w14:textId="77777777" w:rsidR="00F73236" w:rsidRPr="00213A5D" w:rsidRDefault="00F73236" w:rsidP="00AF1852">
            <w:pPr>
              <w:widowControl w:val="0"/>
              <w:spacing w:line="240" w:lineRule="auto"/>
              <w:ind w:left="0" w:right="-2" w:firstLine="0"/>
              <w:jc w:val="center"/>
              <w:textAlignment w:val="auto"/>
              <w:rPr>
                <w:rFonts w:eastAsia="Times New Roman"/>
                <w:sz w:val="20"/>
                <w:szCs w:val="20"/>
              </w:rPr>
            </w:pPr>
            <w:r w:rsidRPr="00213A5D">
              <w:rPr>
                <w:rFonts w:eastAsia="Times New Roman"/>
                <w:sz w:val="20"/>
                <w:szCs w:val="20"/>
              </w:rPr>
              <w:t>13,4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76E5681" w14:textId="77777777" w:rsidR="00F73236" w:rsidRPr="00213A5D" w:rsidRDefault="00F73236" w:rsidP="00AF1852">
            <w:pPr>
              <w:widowControl w:val="0"/>
              <w:spacing w:line="240" w:lineRule="auto"/>
              <w:ind w:left="0" w:right="-2" w:firstLine="0"/>
              <w:jc w:val="center"/>
              <w:textAlignment w:val="auto"/>
              <w:rPr>
                <w:rFonts w:eastAsia="Times New Roman"/>
                <w:sz w:val="20"/>
                <w:szCs w:val="20"/>
              </w:rPr>
            </w:pPr>
            <w:r w:rsidRPr="00213A5D">
              <w:rPr>
                <w:rFonts w:eastAsia="Times New Roman"/>
                <w:sz w:val="20"/>
                <w:szCs w:val="20"/>
              </w:rPr>
              <w:t>54,9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EF98DF9" w14:textId="77777777" w:rsidR="00F73236" w:rsidRPr="00213A5D" w:rsidRDefault="00F73236" w:rsidP="00AF1852">
            <w:pPr>
              <w:widowControl w:val="0"/>
              <w:spacing w:line="240" w:lineRule="auto"/>
              <w:ind w:left="0" w:right="-2" w:firstLine="0"/>
              <w:jc w:val="center"/>
              <w:textAlignment w:val="auto"/>
              <w:rPr>
                <w:rFonts w:eastAsia="Times New Roman"/>
                <w:b/>
                <w:sz w:val="20"/>
                <w:szCs w:val="20"/>
              </w:rPr>
            </w:pPr>
            <w:r w:rsidRPr="00213A5D">
              <w:rPr>
                <w:rFonts w:eastAsia="Times New Roman"/>
                <w:b/>
                <w:sz w:val="20"/>
                <w:szCs w:val="20"/>
              </w:rPr>
              <w:t>49,9</w:t>
            </w:r>
          </w:p>
        </w:tc>
      </w:tr>
    </w:tbl>
    <w:p w14:paraId="1D5771A9" w14:textId="77777777" w:rsidR="00F73236" w:rsidRPr="00213A5D" w:rsidRDefault="00F73236" w:rsidP="00AF1852">
      <w:pPr>
        <w:widowControl w:val="0"/>
        <w:spacing w:line="240" w:lineRule="auto"/>
        <w:ind w:left="0" w:right="-2"/>
        <w:rPr>
          <w:rFonts w:eastAsia="Times New Roman"/>
          <w:sz w:val="16"/>
          <w:szCs w:val="16"/>
        </w:rPr>
      </w:pPr>
      <w:r w:rsidRPr="00213A5D">
        <w:rPr>
          <w:rFonts w:eastAsia="Times New Roman"/>
          <w:sz w:val="16"/>
          <w:szCs w:val="16"/>
        </w:rPr>
        <w:t>* По данным Отчета Правительства Российской Федерации об исполнении федерального бюджета (ф. 0507011).</w:t>
      </w:r>
    </w:p>
    <w:p w14:paraId="3EB01525" w14:textId="77777777" w:rsidR="00F73236" w:rsidRPr="00213A5D" w:rsidRDefault="00F73236" w:rsidP="00D30A0E">
      <w:pPr>
        <w:widowControl w:val="0"/>
        <w:ind w:left="0" w:right="-2"/>
        <w:rPr>
          <w:rFonts w:eastAsia="Times New Roman"/>
          <w:sz w:val="12"/>
          <w:szCs w:val="12"/>
        </w:rPr>
      </w:pPr>
    </w:p>
    <w:p w14:paraId="0428017D" w14:textId="77777777" w:rsidR="00F73236" w:rsidRPr="00213A5D" w:rsidRDefault="00F73236" w:rsidP="00AF1852">
      <w:pPr>
        <w:widowControl w:val="0"/>
        <w:spacing w:line="336" w:lineRule="auto"/>
        <w:ind w:left="0" w:right="-2"/>
        <w:rPr>
          <w:rFonts w:eastAsia="Times New Roman"/>
          <w:sz w:val="24"/>
          <w:szCs w:val="24"/>
        </w:rPr>
      </w:pPr>
      <w:r w:rsidRPr="00213A5D">
        <w:rPr>
          <w:rFonts w:eastAsia="Times New Roman"/>
          <w:sz w:val="24"/>
          <w:szCs w:val="24"/>
        </w:rPr>
        <w:t>При этом по Минцифры России уровень исполнения расходов за 9 месяцев 2022 года ниже уровня исполнения расходов за аналогичный период прошлого года.</w:t>
      </w:r>
    </w:p>
    <w:p w14:paraId="0DCDD21C" w14:textId="77777777" w:rsidR="00F73236" w:rsidRPr="00213A5D" w:rsidRDefault="00F73236" w:rsidP="00AF1852">
      <w:pPr>
        <w:widowControl w:val="0"/>
        <w:spacing w:line="336" w:lineRule="auto"/>
        <w:ind w:left="0" w:right="-2"/>
        <w:rPr>
          <w:rFonts w:eastAsia="Times New Roman"/>
          <w:sz w:val="24"/>
          <w:szCs w:val="24"/>
        </w:rPr>
      </w:pPr>
      <w:r w:rsidRPr="00213A5D">
        <w:rPr>
          <w:rFonts w:eastAsia="Times New Roman"/>
          <w:sz w:val="24"/>
          <w:szCs w:val="24"/>
        </w:rPr>
        <w:t xml:space="preserve">Информация об отдельных направлениях расходов, по которым исполнение расходов за 9 месяцев 2022 года не осуществлялось, либо осуществлялось на низком уровне </w:t>
      </w:r>
      <w:r w:rsidRPr="00213A5D">
        <w:rPr>
          <w:rFonts w:eastAsia="Times New Roman"/>
          <w:sz w:val="24"/>
          <w:szCs w:val="24"/>
        </w:rPr>
        <w:br/>
        <w:t xml:space="preserve">(по главным распорядителям с уровнем исполнения расходов менее 50 % показателя </w:t>
      </w:r>
      <w:r w:rsidR="00D30A0E" w:rsidRPr="00213A5D">
        <w:rPr>
          <w:rFonts w:eastAsia="Times New Roman"/>
          <w:sz w:val="24"/>
          <w:szCs w:val="24"/>
        </w:rPr>
        <w:br/>
      </w:r>
      <w:r w:rsidRPr="00213A5D">
        <w:rPr>
          <w:rFonts w:eastAsia="Times New Roman"/>
          <w:sz w:val="24"/>
          <w:szCs w:val="24"/>
        </w:rPr>
        <w:t xml:space="preserve">сводной росписи с изменениями), представлена в приложении № 3 к аналитической </w:t>
      </w:r>
      <w:r w:rsidR="00D30A0E" w:rsidRPr="00213A5D">
        <w:rPr>
          <w:rFonts w:eastAsia="Times New Roman"/>
          <w:sz w:val="24"/>
          <w:szCs w:val="24"/>
        </w:rPr>
        <w:br/>
      </w:r>
      <w:r w:rsidRPr="00213A5D">
        <w:rPr>
          <w:rFonts w:eastAsia="Times New Roman"/>
          <w:sz w:val="24"/>
          <w:szCs w:val="24"/>
        </w:rPr>
        <w:t>записке.</w:t>
      </w:r>
    </w:p>
    <w:p w14:paraId="2C022A67" w14:textId="77777777" w:rsidR="00F73236" w:rsidRPr="00213A5D" w:rsidRDefault="00F73236" w:rsidP="00AF1852">
      <w:pPr>
        <w:widowControl w:val="0"/>
        <w:spacing w:line="336" w:lineRule="auto"/>
        <w:ind w:left="0" w:right="-2"/>
        <w:rPr>
          <w:rFonts w:eastAsia="Times New Roman"/>
          <w:bCs/>
          <w:iCs/>
          <w:sz w:val="24"/>
          <w:szCs w:val="24"/>
        </w:rPr>
      </w:pPr>
      <w:r w:rsidRPr="00213A5D">
        <w:rPr>
          <w:rFonts w:eastAsia="Times New Roman"/>
          <w:bCs/>
          <w:iCs/>
          <w:sz w:val="24"/>
          <w:szCs w:val="24"/>
        </w:rPr>
        <w:t xml:space="preserve">По </w:t>
      </w:r>
      <w:r w:rsidRPr="00213A5D">
        <w:rPr>
          <w:rFonts w:eastAsia="Times New Roman"/>
          <w:b/>
          <w:bCs/>
          <w:iCs/>
          <w:sz w:val="24"/>
          <w:szCs w:val="24"/>
        </w:rPr>
        <w:t>85 главным распорядителям</w:t>
      </w:r>
      <w:r w:rsidRPr="00213A5D">
        <w:rPr>
          <w:rFonts w:eastAsia="Times New Roman"/>
          <w:bCs/>
          <w:iCs/>
          <w:sz w:val="24"/>
          <w:szCs w:val="24"/>
        </w:rPr>
        <w:t xml:space="preserve"> (или 92,4 % общего количества главных распорядителей) </w:t>
      </w:r>
      <w:r w:rsidRPr="00213A5D">
        <w:rPr>
          <w:rFonts w:eastAsia="Times New Roman"/>
          <w:b/>
          <w:bCs/>
          <w:iCs/>
          <w:sz w:val="24"/>
          <w:szCs w:val="24"/>
        </w:rPr>
        <w:t>объемы непринятых бюджетных обязательств</w:t>
      </w:r>
      <w:r w:rsidRPr="00213A5D">
        <w:rPr>
          <w:rFonts w:eastAsia="Times New Roman"/>
          <w:bCs/>
          <w:iCs/>
          <w:sz w:val="24"/>
          <w:szCs w:val="24"/>
        </w:rPr>
        <w:t xml:space="preserve"> на 1 октября </w:t>
      </w:r>
      <w:r w:rsidRPr="00213A5D">
        <w:rPr>
          <w:rFonts w:eastAsia="Times New Roman"/>
          <w:bCs/>
          <w:iCs/>
          <w:sz w:val="24"/>
          <w:szCs w:val="24"/>
        </w:rPr>
        <w:br/>
      </w:r>
      <w:r w:rsidRPr="00213A5D">
        <w:rPr>
          <w:rFonts w:eastAsia="Times New Roman"/>
          <w:bCs/>
          <w:iCs/>
          <w:sz w:val="24"/>
          <w:szCs w:val="24"/>
        </w:rPr>
        <w:lastRenderedPageBreak/>
        <w:t xml:space="preserve">2022 года (открытая часть) </w:t>
      </w:r>
      <w:r w:rsidRPr="00213A5D">
        <w:rPr>
          <w:rFonts w:eastAsia="Times New Roman"/>
          <w:b/>
          <w:bCs/>
          <w:iCs/>
          <w:sz w:val="24"/>
          <w:szCs w:val="24"/>
        </w:rPr>
        <w:t>составили 3 514,5 млрд. рублей</w:t>
      </w:r>
      <w:r w:rsidRPr="00213A5D">
        <w:rPr>
          <w:rStyle w:val="aff2"/>
          <w:rFonts w:eastAsia="Times New Roman"/>
          <w:bCs/>
          <w:iCs/>
          <w:sz w:val="24"/>
          <w:szCs w:val="24"/>
        </w:rPr>
        <w:footnoteReference w:id="18"/>
      </w:r>
      <w:r w:rsidRPr="00213A5D">
        <w:rPr>
          <w:rFonts w:eastAsia="Times New Roman"/>
          <w:bCs/>
          <w:iCs/>
          <w:sz w:val="24"/>
          <w:szCs w:val="24"/>
        </w:rPr>
        <w:t xml:space="preserve">. Наибольший </w:t>
      </w:r>
      <w:r w:rsidRPr="00213A5D">
        <w:rPr>
          <w:rFonts w:eastAsia="Times New Roman"/>
          <w:bCs/>
          <w:iCs/>
          <w:sz w:val="24"/>
          <w:szCs w:val="24"/>
        </w:rPr>
        <w:br/>
        <w:t>объем непринятых бюджетных обязательств (более 30,0 млрд. рублей) (открытая часть) отмечается по 8 главным распорядителям.</w:t>
      </w:r>
    </w:p>
    <w:p w14:paraId="6A218E07" w14:textId="77777777" w:rsidR="00F73236" w:rsidRPr="00213A5D" w:rsidRDefault="00CD0E98" w:rsidP="00D35ED5">
      <w:pPr>
        <w:widowControl w:val="0"/>
        <w:spacing w:line="240" w:lineRule="auto"/>
        <w:ind w:left="0" w:right="-2" w:firstLine="0"/>
        <w:jc w:val="center"/>
        <w:rPr>
          <w:rFonts w:eastAsia="Times New Roman"/>
          <w:bCs/>
          <w:iCs/>
          <w:sz w:val="24"/>
          <w:szCs w:val="24"/>
        </w:rPr>
      </w:pPr>
      <w:r w:rsidRPr="00CD0E98">
        <w:rPr>
          <w:rFonts w:eastAsia="Times New Roman"/>
          <w:noProof/>
          <w:sz w:val="24"/>
          <w:szCs w:val="24"/>
        </w:rPr>
        <w:pict w14:anchorId="335D9D3D">
          <v:shape id="_x0000_i1053" type="#_x0000_t75" alt="" style="width:390.55pt;height:275.1pt;visibility:visible;mso-width-percent:0;mso-height-percent:0;mso-width-percent:0;mso-height-percent:0">
            <v:imagedata r:id="rId50" o:title=""/>
          </v:shape>
        </w:pict>
      </w:r>
    </w:p>
    <w:p w14:paraId="24528FDE" w14:textId="77777777" w:rsidR="00F73236" w:rsidRPr="00213A5D" w:rsidRDefault="00F73236" w:rsidP="00D35ED5">
      <w:pPr>
        <w:widowControl w:val="0"/>
        <w:spacing w:line="336" w:lineRule="auto"/>
        <w:ind w:left="0" w:right="0"/>
        <w:rPr>
          <w:rFonts w:eastAsia="Times New Roman"/>
          <w:bCs/>
          <w:iCs/>
          <w:sz w:val="24"/>
          <w:szCs w:val="24"/>
        </w:rPr>
      </w:pPr>
      <w:r w:rsidRPr="00213A5D">
        <w:rPr>
          <w:rFonts w:eastAsia="Times New Roman"/>
          <w:bCs/>
          <w:iCs/>
          <w:sz w:val="24"/>
          <w:szCs w:val="24"/>
        </w:rPr>
        <w:t xml:space="preserve">Наибольший уровень непринятых бюджетных обязательств сложился по следующим главным распорядителям: Минпромторгу России (27,6 %), Минцифры России (20,2 %), </w:t>
      </w:r>
      <w:r w:rsidR="008C3A03" w:rsidRPr="00213A5D">
        <w:rPr>
          <w:rFonts w:eastAsia="Times New Roman"/>
          <w:bCs/>
          <w:iCs/>
          <w:sz w:val="24"/>
          <w:szCs w:val="24"/>
        </w:rPr>
        <w:br/>
      </w:r>
      <w:r w:rsidRPr="00213A5D">
        <w:rPr>
          <w:rFonts w:eastAsia="Times New Roman"/>
          <w:bCs/>
          <w:iCs/>
          <w:sz w:val="24"/>
          <w:szCs w:val="24"/>
        </w:rPr>
        <w:t xml:space="preserve">ФНС России (15,8 %), Судебному департаменту при Верховном </w:t>
      </w:r>
      <w:r w:rsidR="00285C0B" w:rsidRPr="00213A5D">
        <w:rPr>
          <w:rFonts w:eastAsia="Times New Roman"/>
          <w:bCs/>
          <w:iCs/>
          <w:sz w:val="24"/>
          <w:szCs w:val="24"/>
        </w:rPr>
        <w:t>С</w:t>
      </w:r>
      <w:r w:rsidRPr="00213A5D">
        <w:rPr>
          <w:rFonts w:eastAsia="Times New Roman"/>
          <w:bCs/>
          <w:iCs/>
          <w:sz w:val="24"/>
          <w:szCs w:val="24"/>
        </w:rPr>
        <w:t>уде Российской Федерации (13,6 %).</w:t>
      </w:r>
    </w:p>
    <w:p w14:paraId="0E65EBA7" w14:textId="77777777" w:rsidR="00F73236" w:rsidRPr="00213A5D" w:rsidRDefault="00491BF2" w:rsidP="00D35ED5">
      <w:pPr>
        <w:widowControl w:val="0"/>
        <w:spacing w:line="336" w:lineRule="auto"/>
        <w:ind w:left="0" w:right="0"/>
        <w:rPr>
          <w:rFonts w:eastAsia="Times New Roman"/>
          <w:bCs/>
          <w:sz w:val="24"/>
          <w:szCs w:val="24"/>
        </w:rPr>
      </w:pPr>
      <w:r w:rsidRPr="00213A5D">
        <w:rPr>
          <w:rFonts w:eastAsia="Times New Roman"/>
          <w:b/>
          <w:bCs/>
          <w:sz w:val="24"/>
          <w:szCs w:val="24"/>
        </w:rPr>
        <w:t>6.3.</w:t>
      </w:r>
      <w:r w:rsidRPr="00213A5D">
        <w:rPr>
          <w:rFonts w:eastAsia="Times New Roman"/>
          <w:sz w:val="24"/>
          <w:szCs w:val="24"/>
        </w:rPr>
        <w:t> </w:t>
      </w:r>
      <w:r w:rsidR="00F73236" w:rsidRPr="00213A5D">
        <w:rPr>
          <w:rFonts w:eastAsia="Times New Roman"/>
          <w:bCs/>
          <w:sz w:val="24"/>
          <w:szCs w:val="24"/>
        </w:rPr>
        <w:t>Анализ исполнения расходов за 9 месяцев 2022 года по группам видов расходов классификации расходов бюджетов по главным распорядителям с низким уровнем исполнения расходов, показал следующее.</w:t>
      </w:r>
    </w:p>
    <w:p w14:paraId="770E1B63" w14:textId="77777777" w:rsidR="00F73236" w:rsidRPr="00213A5D" w:rsidRDefault="00F73236" w:rsidP="00D35ED5">
      <w:pPr>
        <w:widowControl w:val="0"/>
        <w:spacing w:line="336" w:lineRule="auto"/>
        <w:ind w:left="0" w:right="0"/>
        <w:rPr>
          <w:rFonts w:eastAsia="Times New Roman"/>
          <w:bCs/>
          <w:sz w:val="24"/>
          <w:szCs w:val="24"/>
        </w:rPr>
      </w:pPr>
      <w:r w:rsidRPr="00213A5D">
        <w:rPr>
          <w:rFonts w:eastAsia="Times New Roman"/>
          <w:bCs/>
          <w:sz w:val="24"/>
          <w:szCs w:val="24"/>
        </w:rPr>
        <w:t>Низкий уровень исполнения расходов</w:t>
      </w:r>
      <w:r w:rsidRPr="00213A5D">
        <w:rPr>
          <w:rFonts w:eastAsia="Times New Roman"/>
          <w:b/>
          <w:bCs/>
          <w:sz w:val="24"/>
          <w:szCs w:val="24"/>
        </w:rPr>
        <w:t xml:space="preserve"> по коду группы видов расходов 200</w:t>
      </w:r>
      <w:r w:rsidRPr="00213A5D">
        <w:rPr>
          <w:rFonts w:eastAsia="Times New Roman"/>
          <w:bCs/>
          <w:sz w:val="24"/>
          <w:szCs w:val="24"/>
        </w:rPr>
        <w:t xml:space="preserve"> </w:t>
      </w:r>
      <w:r w:rsidRPr="00213A5D">
        <w:rPr>
          <w:rFonts w:eastAsia="Times New Roman"/>
          <w:bCs/>
          <w:sz w:val="24"/>
          <w:szCs w:val="24"/>
        </w:rPr>
        <w:br/>
        <w:t xml:space="preserve">«Закупка товаров, работ и услуг для обеспечения государственных (муниципальных) </w:t>
      </w:r>
      <w:r w:rsidRPr="00213A5D">
        <w:rPr>
          <w:rFonts w:eastAsia="Times New Roman"/>
          <w:bCs/>
          <w:sz w:val="24"/>
          <w:szCs w:val="24"/>
        </w:rPr>
        <w:br/>
        <w:t xml:space="preserve">нужд» отмечается по Минцифры России (49,1 % показателя сводной росписи </w:t>
      </w:r>
      <w:r w:rsidRPr="00213A5D">
        <w:rPr>
          <w:rFonts w:eastAsia="Times New Roman"/>
          <w:bCs/>
          <w:sz w:val="24"/>
          <w:szCs w:val="24"/>
        </w:rPr>
        <w:br/>
        <w:t xml:space="preserve">с изменениями); </w:t>
      </w:r>
      <w:r w:rsidRPr="00213A5D">
        <w:rPr>
          <w:rFonts w:eastAsia="Times New Roman"/>
          <w:b/>
          <w:bCs/>
          <w:sz w:val="24"/>
          <w:szCs w:val="24"/>
        </w:rPr>
        <w:t xml:space="preserve">по коду группы вида расходов 500 </w:t>
      </w:r>
      <w:r w:rsidRPr="00213A5D">
        <w:rPr>
          <w:rFonts w:eastAsia="Times New Roman"/>
          <w:bCs/>
          <w:sz w:val="24"/>
          <w:szCs w:val="24"/>
        </w:rPr>
        <w:t xml:space="preserve">«Межбюджетные трансферты» – </w:t>
      </w:r>
      <w:r w:rsidRPr="00213A5D">
        <w:rPr>
          <w:rFonts w:eastAsia="Times New Roman"/>
          <w:bCs/>
          <w:sz w:val="24"/>
          <w:szCs w:val="24"/>
        </w:rPr>
        <w:br/>
        <w:t xml:space="preserve">по Минцифры России (11,5 %) и Минвостокразвития России (48 %); </w:t>
      </w:r>
      <w:r w:rsidRPr="00213A5D">
        <w:rPr>
          <w:rFonts w:eastAsia="Times New Roman"/>
          <w:b/>
          <w:bCs/>
          <w:sz w:val="24"/>
          <w:szCs w:val="24"/>
        </w:rPr>
        <w:t>по коду группы вида расходов 600</w:t>
      </w:r>
      <w:r w:rsidRPr="00213A5D">
        <w:rPr>
          <w:rFonts w:eastAsia="Times New Roman"/>
          <w:bCs/>
          <w:sz w:val="24"/>
          <w:szCs w:val="24"/>
        </w:rPr>
        <w:t xml:space="preserve"> «Предоставление субсидий бюджетным, автономным учреждениям и иным некоммерческим организациям» – по Минцифры России (46,4 %); </w:t>
      </w:r>
      <w:r w:rsidRPr="00213A5D">
        <w:rPr>
          <w:rFonts w:eastAsia="Times New Roman"/>
          <w:b/>
          <w:bCs/>
          <w:sz w:val="24"/>
          <w:szCs w:val="24"/>
        </w:rPr>
        <w:t>по коду группы вида расходов 800</w:t>
      </w:r>
      <w:r w:rsidRPr="00213A5D">
        <w:rPr>
          <w:rFonts w:eastAsia="Times New Roman"/>
          <w:bCs/>
          <w:sz w:val="24"/>
          <w:szCs w:val="24"/>
        </w:rPr>
        <w:t xml:space="preserve"> «Иные бюджетные ассигнования» – по Минвостокразвития России (25 %), </w:t>
      </w:r>
      <w:r w:rsidRPr="00213A5D">
        <w:rPr>
          <w:rFonts w:eastAsia="Times New Roman"/>
          <w:bCs/>
          <w:sz w:val="24"/>
          <w:szCs w:val="24"/>
        </w:rPr>
        <w:br/>
        <w:t>Минцифры России (42,1 %) и ППК «Единый заказчик в сфере строительства» (45,1 %).</w:t>
      </w:r>
    </w:p>
    <w:p w14:paraId="733DAE3B" w14:textId="77777777" w:rsidR="0067511B" w:rsidRPr="00213A5D" w:rsidRDefault="007C3545" w:rsidP="00D35ED5">
      <w:pPr>
        <w:widowControl w:val="0"/>
        <w:spacing w:line="336" w:lineRule="auto"/>
        <w:ind w:left="0" w:right="0"/>
        <w:rPr>
          <w:rFonts w:eastAsia="Times New Roman"/>
          <w:bCs/>
          <w:iCs/>
          <w:sz w:val="24"/>
          <w:szCs w:val="24"/>
        </w:rPr>
      </w:pPr>
      <w:r w:rsidRPr="00213A5D">
        <w:rPr>
          <w:rFonts w:eastAsia="Times New Roman"/>
          <w:b/>
          <w:sz w:val="24"/>
          <w:szCs w:val="24"/>
        </w:rPr>
        <w:t>6.4.</w:t>
      </w:r>
      <w:r w:rsidRPr="00213A5D">
        <w:rPr>
          <w:rFonts w:eastAsia="Times New Roman"/>
          <w:sz w:val="24"/>
          <w:szCs w:val="24"/>
        </w:rPr>
        <w:t xml:space="preserve"> </w:t>
      </w:r>
      <w:r w:rsidR="0067511B" w:rsidRPr="00213A5D">
        <w:rPr>
          <w:rFonts w:eastAsia="Times New Roman"/>
          <w:bCs/>
          <w:iCs/>
          <w:sz w:val="24"/>
          <w:szCs w:val="24"/>
        </w:rPr>
        <w:t xml:space="preserve">Анализ причин, по которым исполнение расходов за 9 месяцев 2022 года </w:t>
      </w:r>
      <w:r w:rsidR="0067511B" w:rsidRPr="00213A5D">
        <w:rPr>
          <w:rFonts w:eastAsia="Times New Roman"/>
          <w:bCs/>
          <w:iCs/>
          <w:sz w:val="24"/>
          <w:szCs w:val="24"/>
        </w:rPr>
        <w:br/>
        <w:t xml:space="preserve">по отдельным направлениям расходов не осуществлялось либо осуществлялось на низком </w:t>
      </w:r>
      <w:r w:rsidR="0067511B" w:rsidRPr="00213A5D">
        <w:rPr>
          <w:rFonts w:eastAsia="Times New Roman"/>
          <w:bCs/>
          <w:iCs/>
          <w:sz w:val="24"/>
          <w:szCs w:val="24"/>
        </w:rPr>
        <w:lastRenderedPageBreak/>
        <w:t>уровне по ряду главных распорядителей, показал следующее.</w:t>
      </w:r>
    </w:p>
    <w:p w14:paraId="205204A6" w14:textId="77777777" w:rsidR="0067511B" w:rsidRPr="00213A5D" w:rsidRDefault="0067511B" w:rsidP="00D35ED5">
      <w:pPr>
        <w:widowControl w:val="0"/>
        <w:spacing w:line="336" w:lineRule="auto"/>
        <w:ind w:left="0" w:right="0"/>
        <w:rPr>
          <w:rFonts w:eastAsia="Times New Roman"/>
          <w:bCs/>
          <w:iCs/>
          <w:sz w:val="24"/>
          <w:szCs w:val="24"/>
        </w:rPr>
      </w:pPr>
      <w:r w:rsidRPr="00213A5D">
        <w:rPr>
          <w:rFonts w:eastAsia="Times New Roman"/>
          <w:b/>
          <w:bCs/>
          <w:iCs/>
          <w:sz w:val="24"/>
          <w:szCs w:val="24"/>
        </w:rPr>
        <w:t>6.4.1.</w:t>
      </w:r>
      <w:r w:rsidRPr="00213A5D">
        <w:rPr>
          <w:rFonts w:eastAsia="Times New Roman"/>
          <w:bCs/>
          <w:iCs/>
          <w:sz w:val="24"/>
          <w:szCs w:val="24"/>
        </w:rPr>
        <w:t xml:space="preserve"> По </w:t>
      </w:r>
      <w:r w:rsidRPr="00213A5D">
        <w:rPr>
          <w:rFonts w:eastAsia="Times New Roman"/>
          <w:b/>
          <w:bCs/>
          <w:iCs/>
          <w:sz w:val="24"/>
          <w:szCs w:val="24"/>
        </w:rPr>
        <w:t>Минцифры России</w:t>
      </w:r>
      <w:r w:rsidRPr="00213A5D">
        <w:rPr>
          <w:rFonts w:eastAsia="Times New Roman"/>
          <w:bCs/>
          <w:iCs/>
          <w:sz w:val="24"/>
          <w:szCs w:val="24"/>
        </w:rPr>
        <w:t xml:space="preserve"> исполнение расходов составило 44,4 % показателя сводной росписи с изменениями.</w:t>
      </w:r>
    </w:p>
    <w:p w14:paraId="0589077C" w14:textId="77777777" w:rsidR="0067511B" w:rsidRPr="00213A5D" w:rsidRDefault="0067511B" w:rsidP="00D35ED5">
      <w:pPr>
        <w:widowControl w:val="0"/>
        <w:spacing w:line="336" w:lineRule="auto"/>
        <w:ind w:left="0" w:right="0"/>
        <w:rPr>
          <w:rFonts w:eastAsia="Times New Roman"/>
          <w:iCs/>
          <w:sz w:val="24"/>
          <w:szCs w:val="24"/>
        </w:rPr>
      </w:pPr>
      <w:r w:rsidRPr="00213A5D">
        <w:rPr>
          <w:rFonts w:eastAsia="Times New Roman"/>
          <w:iCs/>
          <w:sz w:val="24"/>
          <w:szCs w:val="24"/>
        </w:rPr>
        <w:t xml:space="preserve">Так, </w:t>
      </w:r>
      <w:r w:rsidRPr="00213A5D">
        <w:rPr>
          <w:rFonts w:eastAsia="Times New Roman"/>
          <w:b/>
          <w:iCs/>
          <w:sz w:val="24"/>
          <w:szCs w:val="24"/>
        </w:rPr>
        <w:t>не исполнены</w:t>
      </w:r>
      <w:r w:rsidRPr="00213A5D">
        <w:rPr>
          <w:rFonts w:eastAsia="Times New Roman"/>
          <w:iCs/>
          <w:sz w:val="24"/>
          <w:szCs w:val="24"/>
        </w:rPr>
        <w:t xml:space="preserve"> в полном объеме бюджетные ассигнования </w:t>
      </w:r>
      <w:r w:rsidRPr="00213A5D">
        <w:rPr>
          <w:rFonts w:eastAsia="Times New Roman"/>
          <w:b/>
          <w:iCs/>
          <w:sz w:val="24"/>
          <w:szCs w:val="24"/>
        </w:rPr>
        <w:t>(9 000,0 млн. рублей)</w:t>
      </w:r>
      <w:r w:rsidRPr="00213A5D">
        <w:rPr>
          <w:rFonts w:eastAsia="Times New Roman"/>
          <w:iCs/>
          <w:sz w:val="24"/>
          <w:szCs w:val="24"/>
        </w:rPr>
        <w:t xml:space="preserve"> </w:t>
      </w:r>
      <w:r w:rsidRPr="00213A5D">
        <w:rPr>
          <w:rFonts w:eastAsia="Times New Roman"/>
          <w:iCs/>
          <w:sz w:val="24"/>
          <w:szCs w:val="24"/>
        </w:rPr>
        <w:br/>
      </w:r>
      <w:r w:rsidRPr="00213A5D">
        <w:rPr>
          <w:rFonts w:eastAsia="Times New Roman"/>
          <w:b/>
          <w:iCs/>
          <w:sz w:val="24"/>
          <w:szCs w:val="24"/>
        </w:rPr>
        <w:t xml:space="preserve">на предоставление субсидии в виде имущественного взноса в Госкорпорацию «Ростех» </w:t>
      </w:r>
      <w:r w:rsidRPr="00213A5D">
        <w:rPr>
          <w:rFonts w:eastAsia="Times New Roman"/>
          <w:b/>
          <w:iCs/>
          <w:sz w:val="24"/>
          <w:szCs w:val="24"/>
        </w:rPr>
        <w:br/>
        <w:t xml:space="preserve">в целях разработки системного проекта по производству высокотехнологичной телекоммуникационной продукции для сетей связи 5G/IMT-2020 и обеспечения </w:t>
      </w:r>
      <w:r w:rsidRPr="00213A5D">
        <w:rPr>
          <w:rFonts w:eastAsia="Times New Roman"/>
          <w:b/>
          <w:iCs/>
          <w:sz w:val="24"/>
          <w:szCs w:val="24"/>
        </w:rPr>
        <w:br/>
        <w:t xml:space="preserve">ее серийного выпуска, </w:t>
      </w:r>
      <w:r w:rsidRPr="00213A5D">
        <w:rPr>
          <w:rFonts w:eastAsia="Times New Roman"/>
          <w:iCs/>
          <w:sz w:val="24"/>
          <w:szCs w:val="24"/>
        </w:rPr>
        <w:t>которые планируется перераспределить на иные цели</w:t>
      </w:r>
      <w:r w:rsidRPr="00213A5D">
        <w:rPr>
          <w:rStyle w:val="aff2"/>
          <w:rFonts w:eastAsia="Times New Roman"/>
          <w:iCs/>
          <w:sz w:val="24"/>
          <w:szCs w:val="24"/>
        </w:rPr>
        <w:footnoteReference w:id="19"/>
      </w:r>
      <w:r w:rsidRPr="00213A5D">
        <w:rPr>
          <w:rFonts w:eastAsia="Times New Roman"/>
          <w:iCs/>
          <w:sz w:val="24"/>
          <w:szCs w:val="24"/>
        </w:rPr>
        <w:t xml:space="preserve">. </w:t>
      </w:r>
      <w:r w:rsidRPr="00213A5D">
        <w:rPr>
          <w:rFonts w:eastAsia="Times New Roman"/>
          <w:iCs/>
          <w:sz w:val="24"/>
          <w:szCs w:val="24"/>
        </w:rPr>
        <w:br/>
        <w:t>Следует отметить, что бюджетные ассигнования по данному направлению расходов уменьшены на 3 200,0 млн. рублей</w:t>
      </w:r>
      <w:r w:rsidRPr="00213A5D">
        <w:rPr>
          <w:rStyle w:val="aff2"/>
          <w:rFonts w:eastAsia="Times New Roman"/>
          <w:iCs/>
          <w:sz w:val="24"/>
          <w:szCs w:val="24"/>
        </w:rPr>
        <w:footnoteReference w:id="20"/>
      </w:r>
      <w:r w:rsidRPr="00213A5D">
        <w:rPr>
          <w:rFonts w:eastAsia="Times New Roman"/>
          <w:iCs/>
          <w:sz w:val="24"/>
          <w:szCs w:val="24"/>
        </w:rPr>
        <w:t>, и по состоянию на 1 ноября 2022 года составляют 5 800,0 млн. рублей.</w:t>
      </w:r>
    </w:p>
    <w:p w14:paraId="74F0D5D8" w14:textId="77777777" w:rsidR="0067511B" w:rsidRPr="00213A5D" w:rsidRDefault="0067511B" w:rsidP="00D35ED5">
      <w:pPr>
        <w:widowControl w:val="0"/>
        <w:spacing w:line="336" w:lineRule="auto"/>
        <w:ind w:left="0" w:right="0"/>
        <w:rPr>
          <w:rFonts w:eastAsia="Times New Roman"/>
          <w:iCs/>
          <w:sz w:val="24"/>
          <w:szCs w:val="24"/>
        </w:rPr>
      </w:pPr>
      <w:r w:rsidRPr="00213A5D">
        <w:rPr>
          <w:rFonts w:eastAsia="Times New Roman"/>
          <w:iCs/>
          <w:sz w:val="24"/>
          <w:szCs w:val="24"/>
        </w:rPr>
        <w:t xml:space="preserve">Причиной </w:t>
      </w:r>
      <w:r w:rsidRPr="00213A5D">
        <w:rPr>
          <w:rFonts w:eastAsia="Times New Roman"/>
          <w:b/>
          <w:iCs/>
          <w:sz w:val="24"/>
          <w:szCs w:val="24"/>
        </w:rPr>
        <w:t xml:space="preserve">неисполнения </w:t>
      </w:r>
      <w:r w:rsidRPr="00213A5D">
        <w:rPr>
          <w:rFonts w:eastAsia="Times New Roman"/>
          <w:iCs/>
          <w:sz w:val="24"/>
          <w:szCs w:val="24"/>
        </w:rPr>
        <w:t xml:space="preserve">расходов в сумме </w:t>
      </w:r>
      <w:r w:rsidRPr="00213A5D">
        <w:rPr>
          <w:rFonts w:eastAsia="Times New Roman"/>
          <w:b/>
          <w:iCs/>
          <w:sz w:val="24"/>
          <w:szCs w:val="24"/>
        </w:rPr>
        <w:t>4 630,0 млн. рублей</w:t>
      </w:r>
      <w:r w:rsidRPr="00213A5D">
        <w:rPr>
          <w:rFonts w:eastAsia="Times New Roman"/>
          <w:iCs/>
          <w:sz w:val="24"/>
          <w:szCs w:val="24"/>
        </w:rPr>
        <w:t xml:space="preserve"> </w:t>
      </w:r>
      <w:r w:rsidRPr="00213A5D">
        <w:rPr>
          <w:rFonts w:eastAsia="Times New Roman"/>
          <w:iCs/>
          <w:sz w:val="24"/>
          <w:szCs w:val="24"/>
        </w:rPr>
        <w:br/>
      </w:r>
      <w:r w:rsidRPr="00213A5D">
        <w:rPr>
          <w:rFonts w:eastAsia="Times New Roman"/>
          <w:b/>
          <w:iCs/>
          <w:sz w:val="24"/>
          <w:szCs w:val="24"/>
        </w:rPr>
        <w:t xml:space="preserve">на предоставление субсидий акционерным обществам «АЛЬФА-БАНК», «Российский сельскохозяйственный банк», «Газпромбанк», публичным акционерным обществам «Сбербанк России» и Банк ВТБ на возмещение недополученных доходов по кредитам, </w:t>
      </w:r>
      <w:r w:rsidRPr="00213A5D">
        <w:rPr>
          <w:rFonts w:eastAsia="Times New Roman"/>
          <w:iCs/>
          <w:sz w:val="24"/>
          <w:szCs w:val="24"/>
        </w:rPr>
        <w:t xml:space="preserve">выданным за счет средств резервного фонда Правительства Российской Федерации, </w:t>
      </w:r>
      <w:r w:rsidRPr="00213A5D">
        <w:rPr>
          <w:rFonts w:eastAsia="Times New Roman"/>
          <w:iCs/>
          <w:sz w:val="24"/>
          <w:szCs w:val="24"/>
        </w:rPr>
        <w:br/>
        <w:t xml:space="preserve">в том числе российским организациям на реализацию проектов в области информационных технологий (3 130,0 млн. рублей), организациям сектора электронной коммерции </w:t>
      </w:r>
      <w:r w:rsidRPr="00213A5D">
        <w:rPr>
          <w:rFonts w:eastAsia="Times New Roman"/>
          <w:iCs/>
          <w:sz w:val="24"/>
          <w:szCs w:val="24"/>
        </w:rPr>
        <w:br/>
        <w:t>на рефинансирование задолженности (1 500,0 млн. рублей), является заявительный характер субсидирования производителей товаров, работ и услуг.</w:t>
      </w:r>
    </w:p>
    <w:p w14:paraId="5648A957" w14:textId="77777777" w:rsidR="0067511B" w:rsidRPr="00213A5D" w:rsidRDefault="0067511B" w:rsidP="00D35ED5">
      <w:pPr>
        <w:widowControl w:val="0"/>
        <w:spacing w:line="336" w:lineRule="auto"/>
        <w:ind w:left="0" w:right="0"/>
        <w:rPr>
          <w:rFonts w:eastAsia="Times New Roman"/>
          <w:b/>
          <w:iCs/>
          <w:sz w:val="24"/>
          <w:szCs w:val="24"/>
        </w:rPr>
      </w:pPr>
      <w:r w:rsidRPr="00213A5D">
        <w:rPr>
          <w:rFonts w:eastAsia="Times New Roman"/>
          <w:iCs/>
          <w:sz w:val="24"/>
          <w:szCs w:val="24"/>
        </w:rPr>
        <w:t xml:space="preserve">Также </w:t>
      </w:r>
      <w:r w:rsidRPr="00213A5D">
        <w:rPr>
          <w:rFonts w:eastAsia="Times New Roman"/>
          <w:b/>
          <w:iCs/>
          <w:sz w:val="24"/>
          <w:szCs w:val="24"/>
        </w:rPr>
        <w:t xml:space="preserve">на низком уровне исполнены </w:t>
      </w:r>
      <w:r w:rsidRPr="00213A5D">
        <w:rPr>
          <w:rFonts w:eastAsia="Times New Roman"/>
          <w:iCs/>
          <w:sz w:val="24"/>
          <w:szCs w:val="24"/>
        </w:rPr>
        <w:t xml:space="preserve">расходы, связанные с </w:t>
      </w:r>
      <w:r w:rsidRPr="00213A5D">
        <w:rPr>
          <w:rFonts w:eastAsia="Times New Roman"/>
          <w:b/>
          <w:iCs/>
          <w:sz w:val="24"/>
          <w:szCs w:val="24"/>
        </w:rPr>
        <w:t xml:space="preserve">предоставлением грантов в форме субсидий, подлежащие казначейскому сопровождению: </w:t>
      </w:r>
    </w:p>
    <w:p w14:paraId="3C9561C5" w14:textId="77777777" w:rsidR="0067511B" w:rsidRPr="00213A5D" w:rsidRDefault="0067511B" w:rsidP="00D35ED5">
      <w:pPr>
        <w:widowControl w:val="0"/>
        <w:spacing w:line="336" w:lineRule="auto"/>
        <w:ind w:left="0" w:right="0"/>
        <w:rPr>
          <w:rFonts w:eastAsia="Times New Roman"/>
          <w:iCs/>
          <w:sz w:val="24"/>
          <w:szCs w:val="24"/>
        </w:rPr>
      </w:pPr>
      <w:r w:rsidRPr="00213A5D">
        <w:rPr>
          <w:rFonts w:eastAsia="Times New Roman"/>
          <w:b/>
          <w:iCs/>
          <w:sz w:val="24"/>
          <w:szCs w:val="24"/>
        </w:rPr>
        <w:t>на поддержку Российским фондом развития информационных технологий проектов по разработке и внедрению российских решений в сфере информационных технологий за счет средств резервного фонда Правительства Российской Федерации</w:t>
      </w:r>
      <w:r w:rsidRPr="00213A5D">
        <w:rPr>
          <w:rFonts w:eastAsia="Times New Roman"/>
          <w:iCs/>
          <w:sz w:val="24"/>
          <w:szCs w:val="24"/>
        </w:rPr>
        <w:t xml:space="preserve"> (0,4 % показателя сводной росписи по данному направлению расходов);</w:t>
      </w:r>
    </w:p>
    <w:p w14:paraId="49D4A360" w14:textId="77777777" w:rsidR="0067511B" w:rsidRPr="00213A5D" w:rsidRDefault="0067511B" w:rsidP="00D35ED5">
      <w:pPr>
        <w:widowControl w:val="0"/>
        <w:spacing w:line="336" w:lineRule="auto"/>
        <w:ind w:left="0" w:right="0"/>
        <w:rPr>
          <w:rFonts w:eastAsia="Times New Roman"/>
          <w:iCs/>
          <w:sz w:val="24"/>
          <w:szCs w:val="24"/>
        </w:rPr>
      </w:pPr>
      <w:r w:rsidRPr="00213A5D">
        <w:rPr>
          <w:rFonts w:eastAsia="Times New Roman"/>
          <w:b/>
          <w:iCs/>
          <w:sz w:val="24"/>
          <w:szCs w:val="24"/>
        </w:rPr>
        <w:t>на проведение обучения по дополнительным профессиональным программам</w:t>
      </w:r>
      <w:r w:rsidRPr="00213A5D">
        <w:rPr>
          <w:rFonts w:eastAsia="Times New Roman"/>
          <w:iCs/>
          <w:sz w:val="24"/>
          <w:szCs w:val="24"/>
        </w:rPr>
        <w:t xml:space="preserve"> </w:t>
      </w:r>
      <w:r w:rsidRPr="00213A5D">
        <w:rPr>
          <w:rFonts w:eastAsia="Times New Roman"/>
          <w:iCs/>
          <w:sz w:val="24"/>
          <w:szCs w:val="24"/>
        </w:rPr>
        <w:br/>
      </w:r>
      <w:r w:rsidRPr="00213A5D">
        <w:rPr>
          <w:rFonts w:eastAsia="Times New Roman"/>
          <w:b/>
          <w:iCs/>
          <w:sz w:val="24"/>
          <w:szCs w:val="24"/>
        </w:rPr>
        <w:t xml:space="preserve">с использованием мер государственной поддержки для получения новых востребованных на рынке труда цифровых компетенций и обеспечение достижения отдельных результатов федерального проекта «Кадры для цифровой экономики» </w:t>
      </w:r>
      <w:r w:rsidRPr="00213A5D">
        <w:rPr>
          <w:rFonts w:eastAsia="Times New Roman"/>
          <w:b/>
          <w:iCs/>
          <w:sz w:val="24"/>
          <w:szCs w:val="24"/>
        </w:rPr>
        <w:br/>
        <w:t xml:space="preserve">на базе автономной некоммерческой организации «Университет Национальной </w:t>
      </w:r>
      <w:r w:rsidRPr="00213A5D">
        <w:rPr>
          <w:rFonts w:eastAsia="Times New Roman"/>
          <w:b/>
          <w:iCs/>
          <w:sz w:val="24"/>
          <w:szCs w:val="24"/>
        </w:rPr>
        <w:lastRenderedPageBreak/>
        <w:t>технологической инициативы 2035»</w:t>
      </w:r>
      <w:r w:rsidRPr="00213A5D">
        <w:rPr>
          <w:rFonts w:eastAsia="Times New Roman"/>
          <w:iCs/>
          <w:sz w:val="24"/>
          <w:szCs w:val="24"/>
        </w:rPr>
        <w:t xml:space="preserve"> (7,6 %);</w:t>
      </w:r>
    </w:p>
    <w:p w14:paraId="7D8C676C" w14:textId="77777777" w:rsidR="0067511B" w:rsidRPr="00213A5D" w:rsidRDefault="0067511B" w:rsidP="00D35ED5">
      <w:pPr>
        <w:widowControl w:val="0"/>
        <w:spacing w:line="336" w:lineRule="auto"/>
        <w:ind w:left="0" w:right="0"/>
        <w:rPr>
          <w:rFonts w:eastAsia="Times New Roman"/>
          <w:iCs/>
          <w:sz w:val="24"/>
          <w:szCs w:val="24"/>
        </w:rPr>
      </w:pPr>
      <w:r w:rsidRPr="00213A5D">
        <w:rPr>
          <w:rFonts w:eastAsia="Times New Roman"/>
          <w:b/>
          <w:iCs/>
          <w:sz w:val="24"/>
          <w:szCs w:val="24"/>
        </w:rPr>
        <w:t xml:space="preserve">автономной некоммерческой организации «ТВ-Новости» на создание средств массовой информации: телеканалов, радиоканалов, сетевых изданий и их распространение в мировом информационном пространстве, покрытие расходов, связанных с производством и распространением на российском и международном рынках продукции СМИ (программ СМИ) </w:t>
      </w:r>
      <w:r w:rsidRPr="00213A5D">
        <w:rPr>
          <w:rFonts w:eastAsia="Times New Roman"/>
          <w:iCs/>
          <w:sz w:val="24"/>
          <w:szCs w:val="24"/>
        </w:rPr>
        <w:t>(44,1 %).</w:t>
      </w:r>
    </w:p>
    <w:p w14:paraId="0E689A5D" w14:textId="77777777" w:rsidR="0067511B" w:rsidRPr="00213A5D" w:rsidRDefault="0067511B" w:rsidP="00D35ED5">
      <w:pPr>
        <w:widowControl w:val="0"/>
        <w:spacing w:line="336" w:lineRule="auto"/>
        <w:ind w:left="0" w:right="0"/>
        <w:rPr>
          <w:rFonts w:eastAsia="Times New Roman"/>
          <w:iCs/>
          <w:sz w:val="24"/>
          <w:szCs w:val="24"/>
        </w:rPr>
      </w:pPr>
      <w:r w:rsidRPr="00213A5D">
        <w:rPr>
          <w:rFonts w:eastAsia="Times New Roman"/>
          <w:iCs/>
          <w:sz w:val="24"/>
          <w:szCs w:val="24"/>
        </w:rPr>
        <w:t>Причинами низкого исполнения расходов является заявительный характер субсидирования организаций, обусловленный осуществлением кассовых выплат по мере предоставления получателями документов.</w:t>
      </w:r>
    </w:p>
    <w:p w14:paraId="5DF6ACA3" w14:textId="77777777" w:rsidR="0067511B" w:rsidRPr="00213A5D" w:rsidRDefault="0067511B" w:rsidP="00D35ED5">
      <w:pPr>
        <w:widowControl w:val="0"/>
        <w:spacing w:line="336" w:lineRule="auto"/>
        <w:ind w:left="0" w:right="0"/>
        <w:rPr>
          <w:rFonts w:eastAsia="Times New Roman"/>
          <w:bCs/>
          <w:iCs/>
          <w:sz w:val="24"/>
          <w:szCs w:val="24"/>
        </w:rPr>
      </w:pPr>
      <w:r w:rsidRPr="00213A5D">
        <w:rPr>
          <w:rFonts w:eastAsia="Times New Roman"/>
          <w:b/>
          <w:bCs/>
          <w:iCs/>
          <w:sz w:val="24"/>
          <w:szCs w:val="24"/>
        </w:rPr>
        <w:t>6.4.2.</w:t>
      </w:r>
      <w:r w:rsidRPr="00213A5D">
        <w:rPr>
          <w:rFonts w:eastAsia="Times New Roman"/>
          <w:bCs/>
          <w:iCs/>
          <w:sz w:val="24"/>
          <w:szCs w:val="24"/>
        </w:rPr>
        <w:t xml:space="preserve"> По </w:t>
      </w:r>
      <w:r w:rsidRPr="00213A5D">
        <w:rPr>
          <w:rFonts w:eastAsia="Times New Roman"/>
          <w:b/>
          <w:bCs/>
          <w:iCs/>
          <w:sz w:val="24"/>
          <w:szCs w:val="24"/>
        </w:rPr>
        <w:t>Минвостокразвития России</w:t>
      </w:r>
      <w:r w:rsidRPr="00213A5D">
        <w:rPr>
          <w:rFonts w:eastAsia="Times New Roman"/>
          <w:bCs/>
          <w:iCs/>
          <w:sz w:val="24"/>
          <w:szCs w:val="24"/>
        </w:rPr>
        <w:t xml:space="preserve"> исполнение расходов составило 35,3 % показателя сводной росписи с изменениями.</w:t>
      </w:r>
    </w:p>
    <w:p w14:paraId="5B49D4A9" w14:textId="77777777" w:rsidR="0067511B" w:rsidRPr="00213A5D" w:rsidRDefault="0067511B" w:rsidP="00D35ED5">
      <w:pPr>
        <w:widowControl w:val="0"/>
        <w:spacing w:line="336" w:lineRule="auto"/>
        <w:ind w:left="0" w:right="0"/>
        <w:rPr>
          <w:rFonts w:eastAsia="Times New Roman"/>
          <w:iCs/>
          <w:sz w:val="24"/>
          <w:szCs w:val="24"/>
        </w:rPr>
      </w:pPr>
      <w:r w:rsidRPr="00213A5D">
        <w:rPr>
          <w:rFonts w:eastAsia="Times New Roman"/>
          <w:b/>
          <w:iCs/>
          <w:sz w:val="24"/>
          <w:szCs w:val="24"/>
        </w:rPr>
        <w:t>Не исполнены</w:t>
      </w:r>
      <w:r w:rsidRPr="00213A5D">
        <w:rPr>
          <w:rFonts w:eastAsia="Times New Roman"/>
          <w:iCs/>
          <w:sz w:val="24"/>
          <w:szCs w:val="24"/>
        </w:rPr>
        <w:t xml:space="preserve"> в полном объеме бюджетные ассигнования </w:t>
      </w:r>
      <w:r w:rsidRPr="00213A5D">
        <w:rPr>
          <w:rFonts w:eastAsia="Times New Roman"/>
          <w:b/>
          <w:iCs/>
          <w:sz w:val="24"/>
          <w:szCs w:val="24"/>
        </w:rPr>
        <w:t xml:space="preserve">(560,0 млн. рублей) </w:t>
      </w:r>
      <w:r w:rsidRPr="00213A5D">
        <w:rPr>
          <w:rFonts w:eastAsia="Times New Roman"/>
          <w:b/>
          <w:iCs/>
          <w:sz w:val="24"/>
          <w:szCs w:val="24"/>
        </w:rPr>
        <w:br/>
        <w:t>на предоставление субсидии на возмещение недополученных доходов</w:t>
      </w:r>
      <w:r w:rsidRPr="00213A5D">
        <w:rPr>
          <w:rFonts w:eastAsia="Times New Roman"/>
          <w:iCs/>
          <w:sz w:val="24"/>
          <w:szCs w:val="24"/>
        </w:rPr>
        <w:t xml:space="preserve"> </w:t>
      </w:r>
      <w:r w:rsidRPr="00213A5D">
        <w:rPr>
          <w:rFonts w:eastAsia="Times New Roman"/>
          <w:b/>
          <w:iCs/>
          <w:sz w:val="24"/>
          <w:szCs w:val="24"/>
        </w:rPr>
        <w:t>и (или) фактически понесенных затрат в связи с производством (реализацией) товаров, выполнением работ, оказанием услуг</w:t>
      </w:r>
      <w:r w:rsidRPr="00213A5D">
        <w:rPr>
          <w:rFonts w:eastAsia="Times New Roman"/>
          <w:iCs/>
          <w:sz w:val="24"/>
          <w:szCs w:val="24"/>
        </w:rPr>
        <w:t xml:space="preserve"> </w:t>
      </w:r>
      <w:r w:rsidRPr="00213A5D">
        <w:rPr>
          <w:rFonts w:eastAsia="Times New Roman"/>
          <w:b/>
          <w:iCs/>
          <w:sz w:val="24"/>
          <w:szCs w:val="24"/>
        </w:rPr>
        <w:t>на государственную поддержку организаций регулярных перевозок по Северному морскому пути (СМП)</w:t>
      </w:r>
      <w:r w:rsidRPr="00213A5D">
        <w:rPr>
          <w:rFonts w:eastAsia="Times New Roman"/>
          <w:iCs/>
          <w:sz w:val="24"/>
          <w:szCs w:val="24"/>
        </w:rPr>
        <w:t>, в связи с поздним заключением Минвостокразвития России с федеральным государственным унитарным предприятием атомного флота (ФГУП «Атомфлот») соглашения о предоставлении субсидии (июнь 2022 года)</w:t>
      </w:r>
      <w:r w:rsidRPr="00213A5D">
        <w:rPr>
          <w:rStyle w:val="aff2"/>
          <w:rFonts w:eastAsia="Times New Roman"/>
          <w:iCs/>
          <w:sz w:val="24"/>
          <w:szCs w:val="24"/>
        </w:rPr>
        <w:footnoteReference w:id="21"/>
      </w:r>
      <w:r w:rsidRPr="00213A5D">
        <w:rPr>
          <w:rFonts w:eastAsia="Times New Roman"/>
          <w:iCs/>
          <w:sz w:val="24"/>
          <w:szCs w:val="24"/>
        </w:rPr>
        <w:t xml:space="preserve">. Плановый срок достижения значения результата предоставления субсидии «осуществлены каботажные перевозки грузов по СМП из порта Санкт-Петербург (порта Мурманск) в регионы Дальнего Востока и в обратном направлении в европейскую часть России» установлен 30 ноября 2022 года. Кассовые расходы запланированы </w:t>
      </w:r>
      <w:r w:rsidRPr="00213A5D">
        <w:rPr>
          <w:rFonts w:eastAsia="Times New Roman"/>
          <w:iCs/>
          <w:sz w:val="24"/>
          <w:szCs w:val="24"/>
        </w:rPr>
        <w:br/>
        <w:t xml:space="preserve">на </w:t>
      </w:r>
      <w:r w:rsidRPr="00213A5D">
        <w:rPr>
          <w:rFonts w:eastAsia="Times New Roman"/>
          <w:iCs/>
          <w:sz w:val="24"/>
          <w:szCs w:val="24"/>
          <w:lang w:val="en-US"/>
        </w:rPr>
        <w:t>IV</w:t>
      </w:r>
      <w:r w:rsidRPr="00213A5D">
        <w:rPr>
          <w:rFonts w:eastAsia="Times New Roman"/>
          <w:iCs/>
          <w:sz w:val="24"/>
          <w:szCs w:val="24"/>
        </w:rPr>
        <w:t xml:space="preserve"> квартал 2022 года.</w:t>
      </w:r>
    </w:p>
    <w:p w14:paraId="3A70435E" w14:textId="77777777" w:rsidR="0067511B" w:rsidRPr="00213A5D" w:rsidRDefault="0067511B" w:rsidP="00657A34">
      <w:pPr>
        <w:widowControl w:val="0"/>
        <w:spacing w:line="324" w:lineRule="auto"/>
        <w:ind w:left="0" w:right="0"/>
        <w:rPr>
          <w:sz w:val="24"/>
          <w:szCs w:val="24"/>
        </w:rPr>
      </w:pPr>
      <w:r w:rsidRPr="00213A5D">
        <w:rPr>
          <w:rFonts w:eastAsia="Times New Roman"/>
          <w:b/>
          <w:iCs/>
          <w:sz w:val="24"/>
          <w:szCs w:val="24"/>
        </w:rPr>
        <w:t>Не исполнены</w:t>
      </w:r>
      <w:r w:rsidRPr="00213A5D">
        <w:rPr>
          <w:rFonts w:eastAsia="Times New Roman"/>
          <w:iCs/>
          <w:sz w:val="24"/>
          <w:szCs w:val="24"/>
        </w:rPr>
        <w:t xml:space="preserve"> в полном объеме бюджетные ассигнования </w:t>
      </w:r>
      <w:r w:rsidRPr="00213A5D">
        <w:rPr>
          <w:rFonts w:eastAsia="Times New Roman"/>
          <w:b/>
          <w:iCs/>
          <w:sz w:val="24"/>
          <w:szCs w:val="24"/>
        </w:rPr>
        <w:t xml:space="preserve">(4 201,0 млн. рублей) </w:t>
      </w:r>
      <w:r w:rsidRPr="00213A5D">
        <w:rPr>
          <w:rFonts w:eastAsia="Times New Roman"/>
          <w:b/>
          <w:iCs/>
          <w:sz w:val="24"/>
          <w:szCs w:val="24"/>
        </w:rPr>
        <w:br/>
        <w:t xml:space="preserve">на предоставление субсидий на финансовое обеспечение (возмещение) затрат </w:t>
      </w:r>
      <w:r w:rsidRPr="00213A5D">
        <w:rPr>
          <w:rFonts w:eastAsia="Times New Roman"/>
          <w:b/>
          <w:iCs/>
          <w:sz w:val="24"/>
          <w:szCs w:val="24"/>
        </w:rPr>
        <w:br/>
        <w:t xml:space="preserve">на создание и (или) реконструкцию объектов инфраструктуры, а также </w:t>
      </w:r>
      <w:r w:rsidRPr="00213A5D">
        <w:rPr>
          <w:rFonts w:eastAsia="Times New Roman"/>
          <w:b/>
          <w:iCs/>
          <w:sz w:val="24"/>
          <w:szCs w:val="24"/>
        </w:rPr>
        <w:br/>
        <w:t>на технологическое присоединение энергопринимающих устройств к электрическим сетям и газоиспользующего оборудования к газораспределительным сетям в рамках реализации инвестиционных проектов на территории Арктической зоны Российской Федерации</w:t>
      </w:r>
      <w:r w:rsidRPr="00213A5D">
        <w:rPr>
          <w:rFonts w:eastAsia="Times New Roman"/>
          <w:iCs/>
          <w:sz w:val="24"/>
          <w:szCs w:val="24"/>
        </w:rPr>
        <w:t xml:space="preserve">. Причиной неисполнения расходов является отсутствие поданых юридическими лицами, реализующими инвестиционные проекты в Арктической зоне Российской Федерации и включенными в распоряжение Правительства Российской Федерации </w:t>
      </w:r>
      <w:r w:rsidRPr="00213A5D">
        <w:rPr>
          <w:rFonts w:eastAsia="Times New Roman"/>
          <w:iCs/>
          <w:sz w:val="24"/>
          <w:szCs w:val="24"/>
        </w:rPr>
        <w:br/>
        <w:t>от 1 февраля 2021 г. № 209-р</w:t>
      </w:r>
      <w:r w:rsidRPr="00213A5D">
        <w:rPr>
          <w:rFonts w:eastAsia="Times New Roman"/>
          <w:iCs/>
          <w:sz w:val="24"/>
          <w:szCs w:val="24"/>
          <w:vertAlign w:val="superscript"/>
        </w:rPr>
        <w:footnoteReference w:id="22"/>
      </w:r>
      <w:r w:rsidRPr="00213A5D">
        <w:rPr>
          <w:rFonts w:eastAsia="Times New Roman"/>
          <w:iCs/>
          <w:sz w:val="24"/>
          <w:szCs w:val="24"/>
        </w:rPr>
        <w:t xml:space="preserve">, заявок на отбор инвестиционных проектов, планируемых к </w:t>
      </w:r>
      <w:r w:rsidRPr="00213A5D">
        <w:rPr>
          <w:rFonts w:eastAsia="Times New Roman"/>
          <w:iCs/>
          <w:sz w:val="24"/>
          <w:szCs w:val="24"/>
        </w:rPr>
        <w:lastRenderedPageBreak/>
        <w:t>реализации на территории Арктической зоны Российской Федерации.</w:t>
      </w:r>
    </w:p>
    <w:p w14:paraId="7FD53D2B" w14:textId="77777777" w:rsidR="0067511B" w:rsidRPr="00213A5D" w:rsidRDefault="0067511B" w:rsidP="00657A34">
      <w:pPr>
        <w:widowControl w:val="0"/>
        <w:spacing w:line="324" w:lineRule="auto"/>
        <w:ind w:left="0" w:right="0"/>
        <w:rPr>
          <w:rFonts w:eastAsia="Times New Roman"/>
          <w:iCs/>
          <w:sz w:val="24"/>
          <w:szCs w:val="24"/>
        </w:rPr>
      </w:pPr>
      <w:r w:rsidRPr="00213A5D">
        <w:rPr>
          <w:rFonts w:eastAsia="Times New Roman"/>
          <w:b/>
          <w:iCs/>
          <w:sz w:val="24"/>
          <w:szCs w:val="24"/>
        </w:rPr>
        <w:t xml:space="preserve">На низком уровне исполнены </w:t>
      </w:r>
      <w:r w:rsidRPr="00213A5D">
        <w:rPr>
          <w:rFonts w:eastAsia="Times New Roman"/>
          <w:iCs/>
          <w:sz w:val="24"/>
          <w:szCs w:val="24"/>
        </w:rPr>
        <w:t xml:space="preserve">расходы, связанные с </w:t>
      </w:r>
      <w:r w:rsidRPr="00213A5D">
        <w:rPr>
          <w:rFonts w:eastAsia="Times New Roman"/>
          <w:b/>
          <w:iCs/>
          <w:sz w:val="24"/>
          <w:szCs w:val="24"/>
        </w:rPr>
        <w:t xml:space="preserve">предоставлением субсидий </w:t>
      </w:r>
      <w:r w:rsidRPr="00213A5D">
        <w:rPr>
          <w:rFonts w:eastAsia="Times New Roman"/>
          <w:b/>
          <w:iCs/>
          <w:sz w:val="24"/>
          <w:szCs w:val="24"/>
        </w:rPr>
        <w:br/>
        <w:t>на возмещение недополученных доходов</w:t>
      </w:r>
      <w:r w:rsidRPr="00213A5D">
        <w:rPr>
          <w:rFonts w:eastAsia="Times New Roman"/>
          <w:iCs/>
          <w:sz w:val="24"/>
          <w:szCs w:val="24"/>
        </w:rPr>
        <w:t xml:space="preserve"> </w:t>
      </w:r>
      <w:r w:rsidRPr="00213A5D">
        <w:rPr>
          <w:rFonts w:eastAsia="Times New Roman"/>
          <w:b/>
          <w:iCs/>
          <w:sz w:val="24"/>
          <w:szCs w:val="24"/>
        </w:rPr>
        <w:t>и (или) фактически понесенных затрат в связи с производством (реализацией) товаров, выполнением работ, оказанием услуг</w:t>
      </w:r>
      <w:r w:rsidRPr="00213A5D">
        <w:rPr>
          <w:rFonts w:eastAsia="Times New Roman"/>
          <w:iCs/>
          <w:sz w:val="24"/>
          <w:szCs w:val="24"/>
        </w:rPr>
        <w:t xml:space="preserve"> </w:t>
      </w:r>
      <w:r w:rsidRPr="00213A5D">
        <w:rPr>
          <w:rFonts w:eastAsia="Times New Roman"/>
          <w:b/>
          <w:iCs/>
          <w:sz w:val="24"/>
          <w:szCs w:val="24"/>
        </w:rPr>
        <w:t xml:space="preserve">российским кредитным организациям и государственной корпорации развития «ВЭБ.РФ» на возмещение недополученных ими доходов по кредитам, выданным на цели реализации инвестиционных проектов на территории Дальневосточного федерального округа, за счет средств резервного фонда Правительства Российской Федерации </w:t>
      </w:r>
      <w:r w:rsidRPr="00213A5D">
        <w:rPr>
          <w:rFonts w:eastAsia="Times New Roman"/>
          <w:iCs/>
          <w:sz w:val="24"/>
          <w:szCs w:val="24"/>
        </w:rPr>
        <w:t xml:space="preserve">(2,2 % показателя сводной росписи по данному направлению расходов). Причиной неисполнения является позднее заключение Минвостокразвития России </w:t>
      </w:r>
      <w:r w:rsidRPr="00213A5D">
        <w:rPr>
          <w:rFonts w:eastAsia="Times New Roman"/>
          <w:iCs/>
          <w:sz w:val="24"/>
          <w:szCs w:val="24"/>
        </w:rPr>
        <w:br/>
        <w:t>с «Газпромбанк» (</w:t>
      </w:r>
      <w:r w:rsidR="005B64CB" w:rsidRPr="00213A5D">
        <w:rPr>
          <w:rFonts w:eastAsia="Times New Roman"/>
          <w:iCs/>
          <w:sz w:val="24"/>
          <w:szCs w:val="24"/>
        </w:rPr>
        <w:t>а</w:t>
      </w:r>
      <w:r w:rsidRPr="00213A5D">
        <w:rPr>
          <w:rFonts w:eastAsia="Times New Roman"/>
          <w:iCs/>
          <w:sz w:val="24"/>
          <w:szCs w:val="24"/>
        </w:rPr>
        <w:t>кционерное общество), Банком ВТБ (публичное акционерное общество) и публичным акционерным обществом «Сбербанк России» соглашений о предоставлении субсидий (июль – октябрь 2022 года)</w:t>
      </w:r>
      <w:r w:rsidRPr="00213A5D">
        <w:rPr>
          <w:rStyle w:val="aff2"/>
          <w:rFonts w:eastAsia="Times New Roman"/>
          <w:iCs/>
          <w:sz w:val="24"/>
          <w:szCs w:val="24"/>
        </w:rPr>
        <w:footnoteReference w:id="23"/>
      </w:r>
      <w:r w:rsidRPr="00213A5D">
        <w:rPr>
          <w:rFonts w:eastAsia="Times New Roman"/>
          <w:iCs/>
          <w:sz w:val="24"/>
          <w:szCs w:val="24"/>
        </w:rPr>
        <w:t>. Плановые сроки достижения значения результатов предоставления субсидий «количество предоставленных кредитов в рамках кредитных договоров (соглашений) по льготной ставке» и «количество реализуемых заемщиками инвестиционных проектов» установлены 30 сентября 2022 года и 31 декабря 2022 года соответственно.</w:t>
      </w:r>
    </w:p>
    <w:p w14:paraId="32989A86" w14:textId="77777777" w:rsidR="0067511B" w:rsidRPr="00213A5D" w:rsidRDefault="0067511B" w:rsidP="00657A34">
      <w:pPr>
        <w:widowControl w:val="0"/>
        <w:spacing w:line="324" w:lineRule="auto"/>
        <w:ind w:left="0" w:right="0"/>
        <w:rPr>
          <w:rFonts w:eastAsia="Times New Roman"/>
          <w:bCs/>
          <w:iCs/>
          <w:sz w:val="24"/>
          <w:szCs w:val="24"/>
        </w:rPr>
      </w:pPr>
      <w:r w:rsidRPr="00213A5D">
        <w:rPr>
          <w:rFonts w:eastAsia="Times New Roman"/>
          <w:b/>
          <w:bCs/>
          <w:iCs/>
          <w:sz w:val="24"/>
          <w:szCs w:val="24"/>
        </w:rPr>
        <w:t>6.4.3.</w:t>
      </w:r>
      <w:r w:rsidRPr="00213A5D">
        <w:rPr>
          <w:rFonts w:eastAsia="Times New Roman"/>
          <w:bCs/>
          <w:iCs/>
          <w:sz w:val="24"/>
          <w:szCs w:val="24"/>
        </w:rPr>
        <w:t xml:space="preserve"> По </w:t>
      </w:r>
      <w:r w:rsidRPr="00213A5D">
        <w:rPr>
          <w:rFonts w:eastAsia="Times New Roman"/>
          <w:b/>
          <w:bCs/>
          <w:iCs/>
          <w:sz w:val="24"/>
          <w:szCs w:val="24"/>
        </w:rPr>
        <w:t>ППК «Единый заказчик в сфере строительства»</w:t>
      </w:r>
      <w:r w:rsidRPr="00213A5D">
        <w:rPr>
          <w:rFonts w:eastAsia="Times New Roman"/>
          <w:bCs/>
          <w:iCs/>
          <w:sz w:val="24"/>
          <w:szCs w:val="24"/>
        </w:rPr>
        <w:t xml:space="preserve"> исполнение расходов составило 49,9 % показателя сводной росписи с изменениями.</w:t>
      </w:r>
    </w:p>
    <w:p w14:paraId="236CE2EB" w14:textId="77777777" w:rsidR="0067511B" w:rsidRPr="00213A5D" w:rsidRDefault="0067511B" w:rsidP="00657A34">
      <w:pPr>
        <w:widowControl w:val="0"/>
        <w:spacing w:line="324" w:lineRule="auto"/>
        <w:ind w:left="0" w:right="0"/>
        <w:rPr>
          <w:rFonts w:eastAsia="Times New Roman"/>
          <w:bCs/>
          <w:iCs/>
          <w:sz w:val="24"/>
          <w:szCs w:val="24"/>
        </w:rPr>
      </w:pPr>
      <w:r w:rsidRPr="00213A5D">
        <w:rPr>
          <w:rFonts w:eastAsia="Times New Roman"/>
          <w:bCs/>
          <w:iCs/>
          <w:sz w:val="24"/>
          <w:szCs w:val="24"/>
        </w:rPr>
        <w:t xml:space="preserve">Основными причинами </w:t>
      </w:r>
      <w:r w:rsidRPr="00213A5D">
        <w:rPr>
          <w:rFonts w:eastAsia="Times New Roman"/>
          <w:b/>
          <w:bCs/>
          <w:iCs/>
          <w:sz w:val="24"/>
          <w:szCs w:val="24"/>
        </w:rPr>
        <w:t>неисполнения</w:t>
      </w:r>
      <w:r w:rsidRPr="00213A5D">
        <w:rPr>
          <w:rFonts w:eastAsia="Times New Roman"/>
          <w:bCs/>
          <w:iCs/>
          <w:sz w:val="24"/>
          <w:szCs w:val="24"/>
        </w:rPr>
        <w:t xml:space="preserve"> расходов в сумме </w:t>
      </w:r>
      <w:r w:rsidRPr="00213A5D">
        <w:rPr>
          <w:rFonts w:eastAsia="Times New Roman"/>
          <w:b/>
          <w:bCs/>
          <w:iCs/>
          <w:sz w:val="24"/>
          <w:szCs w:val="24"/>
        </w:rPr>
        <w:t>11 905,5 млн. рублей</w:t>
      </w:r>
      <w:r w:rsidRPr="00213A5D">
        <w:rPr>
          <w:rFonts w:eastAsia="Times New Roman"/>
          <w:bCs/>
          <w:iCs/>
          <w:sz w:val="24"/>
          <w:szCs w:val="24"/>
        </w:rPr>
        <w:t xml:space="preserve"> </w:t>
      </w:r>
      <w:r w:rsidRPr="00213A5D">
        <w:rPr>
          <w:rFonts w:eastAsia="Times New Roman"/>
          <w:b/>
          <w:bCs/>
          <w:iCs/>
          <w:sz w:val="24"/>
          <w:szCs w:val="24"/>
        </w:rPr>
        <w:t>на предоставление бюджетных инвестиций в объекты капитального строительства государственной (муниципальной) собственности</w:t>
      </w:r>
      <w:r w:rsidRPr="00213A5D">
        <w:rPr>
          <w:rFonts w:eastAsia="Times New Roman"/>
          <w:bCs/>
          <w:iCs/>
          <w:sz w:val="24"/>
          <w:szCs w:val="24"/>
        </w:rPr>
        <w:t>, в том числе на создание объектов социального и производственного комплексов (7 761,4 млн. рублей); на новое строительство и реконструкцию (901,7 млн. рублей); на реновацию федеральных учреждений отрасли культуры (1 878,7 млн. рублей); на строительство детских спортивно-образовательных федеральных центров круглогодичного профиля (756,7 млн. рублей); на развитие инфраструктуры образовательных организаций высшего образования и научных организаций (607,0 млн. рублей) является необходимость корректировки проектной документации, отсутствие соответствующего нормативного правового акта, подготовка к проведению конкурсных процедур на проектно-изыскательские работы.</w:t>
      </w:r>
    </w:p>
    <w:p w14:paraId="234A1BDA" w14:textId="77777777" w:rsidR="0067511B" w:rsidRPr="00213A5D" w:rsidRDefault="0067511B" w:rsidP="00657A34">
      <w:pPr>
        <w:widowControl w:val="0"/>
        <w:spacing w:line="324" w:lineRule="auto"/>
        <w:ind w:left="0" w:right="0"/>
        <w:rPr>
          <w:rFonts w:eastAsia="Times New Roman"/>
          <w:bCs/>
          <w:iCs/>
          <w:sz w:val="24"/>
          <w:szCs w:val="24"/>
        </w:rPr>
      </w:pPr>
      <w:r w:rsidRPr="00213A5D">
        <w:rPr>
          <w:rFonts w:eastAsia="Times New Roman"/>
          <w:b/>
          <w:sz w:val="24"/>
          <w:szCs w:val="24"/>
        </w:rPr>
        <w:t xml:space="preserve">6.4.4. </w:t>
      </w:r>
      <w:r w:rsidRPr="00213A5D">
        <w:rPr>
          <w:rFonts w:eastAsia="Times New Roman"/>
          <w:bCs/>
          <w:iCs/>
          <w:sz w:val="24"/>
          <w:szCs w:val="24"/>
        </w:rPr>
        <w:t xml:space="preserve">По </w:t>
      </w:r>
      <w:r w:rsidRPr="00213A5D">
        <w:rPr>
          <w:rFonts w:eastAsia="Times New Roman"/>
          <w:b/>
          <w:bCs/>
          <w:iCs/>
          <w:sz w:val="24"/>
          <w:szCs w:val="24"/>
        </w:rPr>
        <w:t>Минэнерго России</w:t>
      </w:r>
      <w:r w:rsidRPr="00213A5D">
        <w:rPr>
          <w:rFonts w:eastAsia="Times New Roman"/>
          <w:bCs/>
          <w:iCs/>
          <w:sz w:val="24"/>
          <w:szCs w:val="24"/>
        </w:rPr>
        <w:t xml:space="preserve"> исполнение расходов составило 31,1 % показателя сводной росписи с изменениями.</w:t>
      </w:r>
    </w:p>
    <w:p w14:paraId="6D1B42CC" w14:textId="77777777" w:rsidR="0067511B" w:rsidRPr="00213A5D" w:rsidRDefault="0067511B" w:rsidP="00657A34">
      <w:pPr>
        <w:widowControl w:val="0"/>
        <w:spacing w:line="324" w:lineRule="auto"/>
        <w:ind w:left="0" w:right="0"/>
        <w:rPr>
          <w:rFonts w:eastAsia="Times New Roman"/>
          <w:iCs/>
          <w:sz w:val="24"/>
          <w:szCs w:val="24"/>
        </w:rPr>
      </w:pPr>
      <w:r w:rsidRPr="00213A5D">
        <w:rPr>
          <w:rFonts w:eastAsia="Times New Roman"/>
          <w:b/>
          <w:iCs/>
          <w:sz w:val="24"/>
          <w:szCs w:val="24"/>
        </w:rPr>
        <w:t xml:space="preserve">На низком уровне исполнены </w:t>
      </w:r>
      <w:r w:rsidRPr="00213A5D">
        <w:rPr>
          <w:rFonts w:eastAsia="Times New Roman"/>
          <w:iCs/>
          <w:sz w:val="24"/>
          <w:szCs w:val="24"/>
        </w:rPr>
        <w:t>расходы, связанные с</w:t>
      </w:r>
      <w:r w:rsidRPr="00213A5D">
        <w:rPr>
          <w:rFonts w:eastAsia="Times New Roman"/>
          <w:b/>
          <w:iCs/>
          <w:sz w:val="24"/>
          <w:szCs w:val="24"/>
        </w:rPr>
        <w:t xml:space="preserve"> предоставлением субсидий на возмещение недополученных доходов по кредитам, выданным системообразующим организациям топливно-энергетического комплекса и организациям, входящим в </w:t>
      </w:r>
      <w:r w:rsidRPr="00213A5D">
        <w:rPr>
          <w:rFonts w:eastAsia="Times New Roman"/>
          <w:b/>
          <w:iCs/>
          <w:sz w:val="24"/>
          <w:szCs w:val="24"/>
        </w:rPr>
        <w:lastRenderedPageBreak/>
        <w:t xml:space="preserve">группу лиц системообразующей организации топливно-энергетического комплекса, </w:t>
      </w:r>
      <w:r w:rsidRPr="00213A5D">
        <w:rPr>
          <w:rFonts w:eastAsia="Times New Roman"/>
          <w:b/>
          <w:iCs/>
          <w:sz w:val="24"/>
          <w:szCs w:val="24"/>
        </w:rPr>
        <w:br/>
        <w:t>за счет средств резервного фонда Правительства Российской Федерации</w:t>
      </w:r>
      <w:r w:rsidRPr="00213A5D">
        <w:rPr>
          <w:rFonts w:eastAsia="Times New Roman"/>
          <w:iCs/>
          <w:sz w:val="24"/>
          <w:szCs w:val="24"/>
        </w:rPr>
        <w:t>. Причинами низкого уровня исполнения расходов (0,1 % показателя сводной росписи по данному направлению расходов) явились:</w:t>
      </w:r>
    </w:p>
    <w:p w14:paraId="49DE8CB0" w14:textId="77777777" w:rsidR="0067511B" w:rsidRPr="00213A5D" w:rsidRDefault="0067511B" w:rsidP="00657A34">
      <w:pPr>
        <w:widowControl w:val="0"/>
        <w:spacing w:line="324" w:lineRule="auto"/>
        <w:ind w:left="0" w:right="0"/>
        <w:rPr>
          <w:rFonts w:eastAsia="Times New Roman"/>
          <w:iCs/>
          <w:sz w:val="24"/>
          <w:szCs w:val="24"/>
        </w:rPr>
      </w:pPr>
      <w:r w:rsidRPr="00213A5D">
        <w:rPr>
          <w:rFonts w:eastAsia="Times New Roman"/>
          <w:iCs/>
          <w:sz w:val="24"/>
          <w:szCs w:val="24"/>
        </w:rPr>
        <w:t>позднее заключение кредитных договоров (соглашений) с кредитными организациями, осуществляющими виды экономической деятельности по ОКВЭД «предоставление услуги в области добычи нефти и природного газа», «производство нефтепродуктов»;</w:t>
      </w:r>
    </w:p>
    <w:p w14:paraId="79C80A16" w14:textId="77777777" w:rsidR="0067511B" w:rsidRPr="00213A5D" w:rsidRDefault="0067511B" w:rsidP="00657A34">
      <w:pPr>
        <w:widowControl w:val="0"/>
        <w:spacing w:line="324" w:lineRule="auto"/>
        <w:ind w:left="0" w:right="0"/>
        <w:rPr>
          <w:sz w:val="24"/>
          <w:szCs w:val="24"/>
        </w:rPr>
      </w:pPr>
      <w:r w:rsidRPr="00213A5D">
        <w:rPr>
          <w:rFonts w:eastAsia="Times New Roman"/>
          <w:iCs/>
          <w:sz w:val="24"/>
          <w:szCs w:val="24"/>
        </w:rPr>
        <w:t>изменение ключевой ставки Банка России (Правилами предоставления субсидий из федерального бюджета кредитным организациям на возмещение недополученных ими доходов по кредитам, выданным системообразующим организациям топливно-энергетического комплекса и организациям, входящим в группу лиц системообразующей организации топливно-энергетического комплекса утвержденными Правительством Российской Федерации в апреле 2022 года</w:t>
      </w:r>
      <w:r w:rsidRPr="00213A5D">
        <w:rPr>
          <w:rFonts w:eastAsia="Times New Roman"/>
          <w:iCs/>
          <w:sz w:val="24"/>
          <w:szCs w:val="24"/>
          <w:vertAlign w:val="superscript"/>
        </w:rPr>
        <w:footnoteReference w:id="24"/>
      </w:r>
      <w:r w:rsidRPr="00213A5D">
        <w:rPr>
          <w:rFonts w:eastAsia="Times New Roman"/>
          <w:iCs/>
          <w:sz w:val="24"/>
          <w:szCs w:val="24"/>
        </w:rPr>
        <w:t>, установлено, что с</w:t>
      </w:r>
      <w:r w:rsidRPr="00213A5D">
        <w:rPr>
          <w:sz w:val="24"/>
          <w:szCs w:val="24"/>
        </w:rPr>
        <w:t xml:space="preserve">убсидии предоставляются получателям субсидий по кредитным договорам (соглашениям) в размере увеличенной </w:t>
      </w:r>
      <w:r w:rsidRPr="00213A5D">
        <w:rPr>
          <w:sz w:val="24"/>
          <w:szCs w:val="24"/>
        </w:rPr>
        <w:br/>
        <w:t xml:space="preserve">на 3 процента годовых разницы между ключевой ставкой, установленной Центральным банком Российской Федерации (далее – Банк России), и 11 процентами годовых. Программа льготного кредитования топливно-энергетического комплекса разрабатывалась в условиях действия ключевой ставки Банка России в размере 20 % и предполагала субсидирование недополученных доходов кредитными организациями в размере 12 %. По состоянию </w:t>
      </w:r>
      <w:r w:rsidRPr="00213A5D">
        <w:rPr>
          <w:sz w:val="24"/>
          <w:szCs w:val="24"/>
        </w:rPr>
        <w:br/>
        <w:t>на 29 сентября 2022 года ключевая ставка Банка России составляет 7,5 %. Дальнейший размер субсидирования составляет 0 %</w:t>
      </w:r>
      <w:r w:rsidRPr="00213A5D">
        <w:rPr>
          <w:rStyle w:val="aff2"/>
          <w:rFonts w:eastAsia="Times New Roman"/>
          <w:iCs/>
          <w:sz w:val="24"/>
          <w:szCs w:val="24"/>
        </w:rPr>
        <w:footnoteReference w:id="25"/>
      </w:r>
      <w:r w:rsidRPr="00213A5D">
        <w:rPr>
          <w:sz w:val="24"/>
          <w:szCs w:val="24"/>
        </w:rPr>
        <w:t>).</w:t>
      </w:r>
    </w:p>
    <w:p w14:paraId="0A37D925" w14:textId="77777777" w:rsidR="0067511B" w:rsidRPr="00213A5D" w:rsidRDefault="0067511B" w:rsidP="00657A34">
      <w:pPr>
        <w:widowControl w:val="0"/>
        <w:spacing w:line="324" w:lineRule="auto"/>
        <w:ind w:left="0" w:right="0"/>
        <w:rPr>
          <w:rFonts w:eastAsia="Times New Roman"/>
          <w:iCs/>
          <w:sz w:val="24"/>
          <w:szCs w:val="24"/>
        </w:rPr>
      </w:pPr>
      <w:r w:rsidRPr="00213A5D">
        <w:rPr>
          <w:rFonts w:eastAsia="Times New Roman"/>
          <w:iCs/>
          <w:sz w:val="24"/>
          <w:szCs w:val="24"/>
        </w:rPr>
        <w:t xml:space="preserve">Причиной </w:t>
      </w:r>
      <w:r w:rsidRPr="00213A5D">
        <w:rPr>
          <w:rFonts w:eastAsia="Times New Roman"/>
          <w:b/>
          <w:iCs/>
          <w:sz w:val="24"/>
          <w:szCs w:val="24"/>
        </w:rPr>
        <w:t>низкого уровня исполнения</w:t>
      </w:r>
      <w:r w:rsidRPr="00213A5D">
        <w:rPr>
          <w:rFonts w:eastAsia="Times New Roman"/>
          <w:iCs/>
          <w:sz w:val="24"/>
          <w:szCs w:val="24"/>
        </w:rPr>
        <w:t xml:space="preserve"> расходов </w:t>
      </w:r>
      <w:r w:rsidRPr="00213A5D">
        <w:rPr>
          <w:rFonts w:eastAsia="Times New Roman"/>
          <w:b/>
          <w:iCs/>
          <w:sz w:val="24"/>
          <w:szCs w:val="24"/>
        </w:rPr>
        <w:t xml:space="preserve">на предоставление </w:t>
      </w:r>
      <w:r w:rsidRPr="00213A5D">
        <w:rPr>
          <w:rFonts w:eastAsia="Times New Roman"/>
          <w:iCs/>
          <w:sz w:val="24"/>
          <w:szCs w:val="24"/>
        </w:rPr>
        <w:t>24 субъектам Российской Федерации</w:t>
      </w:r>
      <w:r w:rsidRPr="00213A5D">
        <w:rPr>
          <w:rFonts w:eastAsia="Times New Roman"/>
          <w:b/>
          <w:iCs/>
          <w:sz w:val="24"/>
          <w:szCs w:val="24"/>
        </w:rPr>
        <w:t xml:space="preserve"> консолидированной субсидии на развитие заправочной инфраструктуры компримированного природного газа</w:t>
      </w:r>
      <w:r w:rsidRPr="00213A5D">
        <w:rPr>
          <w:rFonts w:eastAsia="Times New Roman"/>
          <w:iCs/>
          <w:sz w:val="24"/>
          <w:szCs w:val="24"/>
        </w:rPr>
        <w:t xml:space="preserve"> (6,9 % показателя сводной росписи по данному направлению расходов) является перечисление межбюджетных трансфертов в пределах сумм, необходимых для оплаты денежных обязательств по расходам получателей средств бюджета субъектов Российской Федерации.</w:t>
      </w:r>
    </w:p>
    <w:p w14:paraId="1B920A54" w14:textId="77777777" w:rsidR="0067511B" w:rsidRPr="00213A5D" w:rsidRDefault="0067511B" w:rsidP="00657A34">
      <w:pPr>
        <w:widowControl w:val="0"/>
        <w:spacing w:line="324" w:lineRule="auto"/>
        <w:ind w:left="0" w:right="0"/>
        <w:rPr>
          <w:rFonts w:eastAsia="Times New Roman"/>
          <w:iCs/>
          <w:sz w:val="24"/>
          <w:szCs w:val="24"/>
        </w:rPr>
      </w:pPr>
      <w:r w:rsidRPr="00213A5D">
        <w:rPr>
          <w:rFonts w:eastAsia="Times New Roman"/>
          <w:b/>
          <w:iCs/>
          <w:sz w:val="24"/>
          <w:szCs w:val="24"/>
        </w:rPr>
        <w:t>Не исполнены</w:t>
      </w:r>
      <w:r w:rsidRPr="00213A5D">
        <w:rPr>
          <w:rFonts w:eastAsia="Times New Roman"/>
          <w:iCs/>
          <w:sz w:val="24"/>
          <w:szCs w:val="24"/>
        </w:rPr>
        <w:t xml:space="preserve"> в полном объеме бюджетные ассигнования </w:t>
      </w:r>
      <w:r w:rsidRPr="00213A5D">
        <w:rPr>
          <w:rFonts w:eastAsia="Times New Roman"/>
          <w:b/>
          <w:iCs/>
          <w:sz w:val="24"/>
          <w:szCs w:val="24"/>
        </w:rPr>
        <w:t xml:space="preserve">(3 065,6 млн. рублей) </w:t>
      </w:r>
      <w:r w:rsidRPr="00213A5D">
        <w:rPr>
          <w:rFonts w:eastAsia="Times New Roman"/>
          <w:b/>
          <w:iCs/>
          <w:sz w:val="24"/>
          <w:szCs w:val="24"/>
        </w:rPr>
        <w:br/>
        <w:t>на предоставление бюджетных инвестиций для осуществления взноса в уставный капитал акционерного общества «Крымэнерго»</w:t>
      </w:r>
      <w:r w:rsidRPr="00213A5D">
        <w:rPr>
          <w:rFonts w:eastAsia="Times New Roman"/>
          <w:iCs/>
          <w:sz w:val="24"/>
          <w:szCs w:val="24"/>
        </w:rPr>
        <w:t xml:space="preserve">, что обусловлено поздним получением заключения ФАУ «Главгосэкспертизы России» по ряду объектов капитального строительства, а также необходимостью приведения в соответствие приказа Минэнерго России от 8 июня 2022 г. № 512 «Об осуществлении детализации укрупненных инвестиционных проектов, реализуемых в рамках государственной программы Российской Федерации «Социально-экономическое развитие Республики Крым и г. Севастополя» </w:t>
      </w:r>
      <w:r w:rsidRPr="00213A5D">
        <w:rPr>
          <w:rFonts w:eastAsia="Times New Roman"/>
          <w:iCs/>
          <w:sz w:val="24"/>
          <w:szCs w:val="24"/>
        </w:rPr>
        <w:br/>
      </w:r>
      <w:r w:rsidRPr="00213A5D">
        <w:rPr>
          <w:rFonts w:eastAsia="Times New Roman"/>
          <w:iCs/>
          <w:sz w:val="24"/>
          <w:szCs w:val="24"/>
        </w:rPr>
        <w:lastRenderedPageBreak/>
        <w:t>по укрупненному мероприятию в части мощности и стоимости объектов.</w:t>
      </w:r>
    </w:p>
    <w:p w14:paraId="4CA30099" w14:textId="77777777" w:rsidR="00EC43C3" w:rsidRPr="00213A5D" w:rsidRDefault="00420806" w:rsidP="00657A34">
      <w:pPr>
        <w:widowControl w:val="0"/>
        <w:spacing w:line="324" w:lineRule="auto"/>
        <w:ind w:left="0" w:right="0"/>
        <w:rPr>
          <w:rFonts w:eastAsia="Times New Roman"/>
          <w:sz w:val="24"/>
          <w:szCs w:val="24"/>
        </w:rPr>
      </w:pPr>
      <w:r w:rsidRPr="00213A5D">
        <w:rPr>
          <w:rFonts w:eastAsia="Times New Roman"/>
          <w:b/>
          <w:sz w:val="24"/>
          <w:szCs w:val="24"/>
        </w:rPr>
        <w:t>6.5.</w:t>
      </w:r>
      <w:r w:rsidR="00EC43C3" w:rsidRPr="00213A5D">
        <w:rPr>
          <w:rFonts w:eastAsia="Times New Roman"/>
          <w:b/>
          <w:sz w:val="24"/>
          <w:szCs w:val="24"/>
        </w:rPr>
        <w:t> </w:t>
      </w:r>
      <w:r w:rsidR="00EC43C3" w:rsidRPr="00213A5D">
        <w:rPr>
          <w:rFonts w:eastAsia="Times New Roman"/>
          <w:sz w:val="24"/>
          <w:szCs w:val="24"/>
        </w:rPr>
        <w:t xml:space="preserve">Наибольшее увеличение (более 100,0 млрд. рублей) по сравнению </w:t>
      </w:r>
      <w:r w:rsidR="00EC43C3" w:rsidRPr="00213A5D">
        <w:rPr>
          <w:rFonts w:eastAsia="Times New Roman"/>
          <w:sz w:val="24"/>
          <w:szCs w:val="24"/>
        </w:rPr>
        <w:br/>
        <w:t>с первоначально утвержденными бюджетными ассигнованиями сводной росписи сложилось по Минобороны России, Минтрансу России, Росавтодору, Минфину России, Минпромторгу России, Минздраву России, Минпросвещения России, Минсельхозу России, Росавиации.</w:t>
      </w:r>
    </w:p>
    <w:p w14:paraId="245ABD62" w14:textId="77777777" w:rsidR="005A286D" w:rsidRPr="00213A5D" w:rsidRDefault="005A286D" w:rsidP="00657A34">
      <w:pPr>
        <w:widowControl w:val="0"/>
        <w:spacing w:line="324" w:lineRule="auto"/>
        <w:ind w:left="0" w:right="0"/>
        <w:rPr>
          <w:rFonts w:eastAsia="Times New Roman"/>
          <w:sz w:val="24"/>
          <w:szCs w:val="24"/>
        </w:rPr>
      </w:pPr>
      <w:r w:rsidRPr="00213A5D">
        <w:rPr>
          <w:rFonts w:eastAsia="Times New Roman"/>
          <w:b/>
          <w:sz w:val="24"/>
          <w:szCs w:val="24"/>
        </w:rPr>
        <w:t>6.6.</w:t>
      </w:r>
      <w:r w:rsidRPr="00213A5D">
        <w:rPr>
          <w:rFonts w:eastAsia="Times New Roman"/>
          <w:sz w:val="24"/>
          <w:szCs w:val="24"/>
        </w:rPr>
        <w:t xml:space="preserve"> Прогноз перечислений по расходам федерального бюджета на 2022 год </w:t>
      </w:r>
      <w:r w:rsidRPr="00213A5D">
        <w:rPr>
          <w:rFonts w:eastAsia="Times New Roman"/>
          <w:sz w:val="24"/>
          <w:szCs w:val="24"/>
        </w:rPr>
        <w:br/>
        <w:t>по состоянию на 1 октября 2022 года (открытая часть) (далее – Прогноз перечислений)</w:t>
      </w:r>
      <w:r w:rsidRPr="00213A5D">
        <w:rPr>
          <w:rFonts w:eastAsia="Times New Roman"/>
          <w:sz w:val="24"/>
          <w:szCs w:val="24"/>
          <w:vertAlign w:val="superscript"/>
        </w:rPr>
        <w:footnoteReference w:id="26"/>
      </w:r>
      <w:r w:rsidRPr="00213A5D">
        <w:rPr>
          <w:rFonts w:eastAsia="Times New Roman"/>
          <w:sz w:val="24"/>
          <w:szCs w:val="24"/>
        </w:rPr>
        <w:t xml:space="preserve"> сформирован по 89 главным распорядителям.</w:t>
      </w:r>
    </w:p>
    <w:p w14:paraId="48201D3C" w14:textId="77777777" w:rsidR="005A286D" w:rsidRPr="00213A5D" w:rsidRDefault="005A286D" w:rsidP="00657A34">
      <w:pPr>
        <w:widowControl w:val="0"/>
        <w:spacing w:line="324" w:lineRule="auto"/>
        <w:ind w:left="0" w:right="0"/>
        <w:rPr>
          <w:rFonts w:eastAsia="Times New Roman"/>
          <w:sz w:val="24"/>
          <w:szCs w:val="24"/>
        </w:rPr>
      </w:pPr>
      <w:r w:rsidRPr="00213A5D">
        <w:rPr>
          <w:rFonts w:eastAsia="Times New Roman"/>
          <w:sz w:val="24"/>
          <w:szCs w:val="24"/>
        </w:rPr>
        <w:t xml:space="preserve">Данные об отклонениях объема исполнения расходов федерального бюджета </w:t>
      </w:r>
      <w:r w:rsidR="008C3A03" w:rsidRPr="00213A5D">
        <w:rPr>
          <w:rFonts w:eastAsia="Times New Roman"/>
          <w:sz w:val="24"/>
          <w:szCs w:val="24"/>
        </w:rPr>
        <w:br/>
      </w:r>
      <w:r w:rsidRPr="00213A5D">
        <w:rPr>
          <w:rFonts w:eastAsia="Times New Roman"/>
          <w:sz w:val="24"/>
          <w:szCs w:val="24"/>
        </w:rPr>
        <w:t xml:space="preserve">на </w:t>
      </w:r>
      <w:r w:rsidRPr="00213A5D">
        <w:rPr>
          <w:rFonts w:eastAsia="Times New Roman"/>
          <w:sz w:val="24"/>
          <w:szCs w:val="24"/>
          <w:lang w:val="en-US"/>
        </w:rPr>
        <w:t>IV</w:t>
      </w:r>
      <w:r w:rsidRPr="00213A5D">
        <w:rPr>
          <w:rFonts w:eastAsia="Times New Roman"/>
          <w:sz w:val="24"/>
          <w:szCs w:val="24"/>
        </w:rPr>
        <w:t xml:space="preserve"> квартал 2022 года, рассчитанного исходя из показателей сводной росписи, </w:t>
      </w:r>
      <w:r w:rsidR="008C3A03" w:rsidRPr="00213A5D">
        <w:rPr>
          <w:rFonts w:eastAsia="Times New Roman"/>
          <w:sz w:val="24"/>
          <w:szCs w:val="24"/>
        </w:rPr>
        <w:br/>
      </w:r>
      <w:r w:rsidRPr="00213A5D">
        <w:rPr>
          <w:rFonts w:eastAsia="Times New Roman"/>
          <w:sz w:val="24"/>
          <w:szCs w:val="24"/>
        </w:rPr>
        <w:t xml:space="preserve">от бюджетных ассигнований, предусмотренных Прогнозом перечислений </w:t>
      </w:r>
      <w:r w:rsidR="008C3A03" w:rsidRPr="00213A5D">
        <w:rPr>
          <w:rFonts w:eastAsia="Times New Roman"/>
          <w:sz w:val="24"/>
          <w:szCs w:val="24"/>
        </w:rPr>
        <w:br/>
      </w:r>
      <w:r w:rsidRPr="00213A5D">
        <w:rPr>
          <w:rFonts w:eastAsia="Times New Roman"/>
          <w:sz w:val="24"/>
          <w:szCs w:val="24"/>
        </w:rPr>
        <w:t>на соответствующий период, в разрезе групп видов расходов классификации расходов бюджетов представлены в следующей таблице</w:t>
      </w:r>
      <w:r w:rsidRPr="00213A5D">
        <w:rPr>
          <w:rStyle w:val="aff2"/>
          <w:rFonts w:eastAsia="Times New Roman"/>
          <w:sz w:val="24"/>
          <w:szCs w:val="24"/>
        </w:rPr>
        <w:footnoteReference w:id="27"/>
      </w:r>
      <w:r w:rsidRPr="00213A5D">
        <w:rPr>
          <w:rFonts w:eastAsia="Times New Roman"/>
          <w:sz w:val="24"/>
          <w:szCs w:val="24"/>
        </w:rPr>
        <w:t>.</w:t>
      </w:r>
    </w:p>
    <w:p w14:paraId="130E6F53" w14:textId="77777777" w:rsidR="005A286D" w:rsidRPr="00213A5D" w:rsidRDefault="005A286D" w:rsidP="00AF1852">
      <w:pPr>
        <w:widowControl w:val="0"/>
        <w:spacing w:line="240" w:lineRule="auto"/>
        <w:ind w:right="-2"/>
        <w:jc w:val="right"/>
        <w:rPr>
          <w:rFonts w:eastAsia="Times New Roman"/>
          <w:sz w:val="20"/>
          <w:szCs w:val="20"/>
        </w:rPr>
      </w:pPr>
      <w:r w:rsidRPr="00213A5D">
        <w:rPr>
          <w:rFonts w:eastAsia="Times New Roman"/>
          <w:sz w:val="20"/>
          <w:szCs w:val="20"/>
        </w:rPr>
        <w:t>(млн. рублей)</w:t>
      </w: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709"/>
        <w:gridCol w:w="1276"/>
        <w:gridCol w:w="1275"/>
        <w:gridCol w:w="1135"/>
        <w:gridCol w:w="1135"/>
        <w:gridCol w:w="991"/>
      </w:tblGrid>
      <w:tr w:rsidR="005A286D" w:rsidRPr="00213A5D" w14:paraId="322AC6E8" w14:textId="77777777" w:rsidTr="006B6AD3">
        <w:trPr>
          <w:tblHeader/>
        </w:trPr>
        <w:tc>
          <w:tcPr>
            <w:tcW w:w="3403" w:type="dxa"/>
            <w:tcBorders>
              <w:top w:val="single" w:sz="4" w:space="0" w:color="auto"/>
              <w:left w:val="single" w:sz="4" w:space="0" w:color="auto"/>
              <w:bottom w:val="single" w:sz="4" w:space="0" w:color="auto"/>
              <w:right w:val="single" w:sz="4" w:space="0" w:color="auto"/>
            </w:tcBorders>
            <w:vAlign w:val="center"/>
            <w:hideMark/>
          </w:tcPr>
          <w:p w14:paraId="2BD1858A"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FCD66D"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Код</w:t>
            </w:r>
          </w:p>
          <w:p w14:paraId="41BADE87"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видов расходов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7AD19" w14:textId="77777777" w:rsidR="005A286D" w:rsidRPr="00213A5D" w:rsidRDefault="005A286D" w:rsidP="00AF1852">
            <w:pPr>
              <w:widowControl w:val="0"/>
              <w:spacing w:line="240" w:lineRule="auto"/>
              <w:ind w:left="-107" w:right="-108" w:firstLine="0"/>
              <w:jc w:val="center"/>
              <w:textAlignment w:val="auto"/>
              <w:rPr>
                <w:rFonts w:eastAsia="Times New Roman"/>
                <w:b/>
                <w:bCs/>
                <w:sz w:val="16"/>
                <w:szCs w:val="16"/>
              </w:rPr>
            </w:pPr>
            <w:r w:rsidRPr="00213A5D">
              <w:rPr>
                <w:rFonts w:eastAsia="Times New Roman"/>
                <w:b/>
                <w:bCs/>
                <w:sz w:val="16"/>
                <w:szCs w:val="16"/>
              </w:rPr>
              <w:t xml:space="preserve">Сводная </w:t>
            </w:r>
          </w:p>
          <w:p w14:paraId="10B85993" w14:textId="77777777" w:rsidR="005A286D" w:rsidRPr="00213A5D" w:rsidRDefault="005A286D" w:rsidP="00AF1852">
            <w:pPr>
              <w:widowControl w:val="0"/>
              <w:spacing w:line="240" w:lineRule="auto"/>
              <w:ind w:left="-107" w:right="-108" w:firstLine="0"/>
              <w:jc w:val="center"/>
              <w:textAlignment w:val="auto"/>
              <w:rPr>
                <w:rFonts w:eastAsia="Times New Roman"/>
                <w:b/>
                <w:bCs/>
                <w:sz w:val="16"/>
                <w:szCs w:val="16"/>
              </w:rPr>
            </w:pPr>
            <w:r w:rsidRPr="00213A5D">
              <w:rPr>
                <w:rFonts w:eastAsia="Times New Roman"/>
                <w:b/>
                <w:bCs/>
                <w:sz w:val="16"/>
                <w:szCs w:val="16"/>
              </w:rPr>
              <w:t xml:space="preserve">роспись на год </w:t>
            </w:r>
          </w:p>
          <w:p w14:paraId="0B510671" w14:textId="77777777" w:rsidR="005A286D" w:rsidRPr="00213A5D" w:rsidRDefault="005A286D" w:rsidP="00AF1852">
            <w:pPr>
              <w:widowControl w:val="0"/>
              <w:spacing w:line="240" w:lineRule="auto"/>
              <w:ind w:left="-107" w:right="-108" w:firstLine="0"/>
              <w:jc w:val="center"/>
              <w:textAlignment w:val="auto"/>
              <w:rPr>
                <w:rFonts w:eastAsia="Times New Roman"/>
                <w:bCs/>
                <w:i/>
                <w:sz w:val="16"/>
                <w:szCs w:val="16"/>
              </w:rPr>
            </w:pPr>
            <w:r w:rsidRPr="00213A5D">
              <w:rPr>
                <w:rFonts w:eastAsia="Times New Roman"/>
                <w:bCs/>
                <w:i/>
                <w:sz w:val="16"/>
                <w:szCs w:val="16"/>
              </w:rPr>
              <w:t xml:space="preserve">по состоянию </w:t>
            </w:r>
          </w:p>
          <w:p w14:paraId="3E70CCB5" w14:textId="77777777" w:rsidR="005A286D" w:rsidRPr="00213A5D" w:rsidRDefault="005A286D" w:rsidP="00AF1852">
            <w:pPr>
              <w:widowControl w:val="0"/>
              <w:spacing w:line="240" w:lineRule="auto"/>
              <w:ind w:left="-107" w:right="-108" w:firstLine="0"/>
              <w:jc w:val="center"/>
              <w:textAlignment w:val="auto"/>
              <w:rPr>
                <w:rFonts w:eastAsia="Times New Roman"/>
                <w:b/>
                <w:bCs/>
                <w:sz w:val="16"/>
                <w:szCs w:val="16"/>
              </w:rPr>
            </w:pPr>
            <w:r w:rsidRPr="00213A5D">
              <w:rPr>
                <w:rFonts w:eastAsia="Times New Roman"/>
                <w:bCs/>
                <w:i/>
                <w:sz w:val="16"/>
                <w:szCs w:val="16"/>
              </w:rPr>
              <w:t>на 01.10.2022</w:t>
            </w:r>
            <w:r w:rsidRPr="00213A5D">
              <w:rPr>
                <w:rFonts w:eastAsia="Times New Roman"/>
                <w:b/>
                <w:bCs/>
                <w:sz w:val="16"/>
                <w:szCs w:val="16"/>
              </w:rPr>
              <w:t xml:space="preserve"> </w:t>
            </w:r>
          </w:p>
          <w:p w14:paraId="086A0350" w14:textId="77777777" w:rsidR="005A286D" w:rsidRPr="00213A5D" w:rsidRDefault="005A286D" w:rsidP="00AF1852">
            <w:pPr>
              <w:widowControl w:val="0"/>
              <w:spacing w:line="240" w:lineRule="auto"/>
              <w:ind w:left="-107" w:right="-108" w:firstLine="0"/>
              <w:jc w:val="center"/>
              <w:textAlignment w:val="auto"/>
              <w:rPr>
                <w:rFonts w:eastAsia="Times New Roman"/>
                <w:b/>
                <w:bCs/>
                <w:sz w:val="16"/>
                <w:szCs w:val="16"/>
              </w:rPr>
            </w:pPr>
            <w:r w:rsidRPr="00213A5D">
              <w:rPr>
                <w:rFonts w:eastAsia="Times New Roman"/>
                <w:b/>
                <w:bCs/>
                <w:sz w:val="16"/>
                <w:szCs w:val="16"/>
              </w:rPr>
              <w:t>(по 89 ГРБС)</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0DD972"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 xml:space="preserve">Исполнено расходов </w:t>
            </w:r>
          </w:p>
          <w:p w14:paraId="3C5BCBE5"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 xml:space="preserve">за январь – сентябрь </w:t>
            </w:r>
          </w:p>
          <w:p w14:paraId="28A9F618"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2022 года</w:t>
            </w:r>
          </w:p>
          <w:p w14:paraId="1B52D1C2"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(по 89 ГРБС)</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345CD8D"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 xml:space="preserve">Расходы </w:t>
            </w:r>
          </w:p>
          <w:p w14:paraId="37EB7E67"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 xml:space="preserve">за </w:t>
            </w:r>
            <w:r w:rsidRPr="00213A5D">
              <w:rPr>
                <w:rFonts w:eastAsia="Times New Roman"/>
                <w:b/>
                <w:bCs/>
                <w:sz w:val="16"/>
                <w:szCs w:val="16"/>
                <w:lang w:val="en-US"/>
              </w:rPr>
              <w:t>IV</w:t>
            </w:r>
            <w:r w:rsidRPr="00213A5D">
              <w:rPr>
                <w:rFonts w:eastAsia="Times New Roman"/>
                <w:b/>
                <w:bCs/>
                <w:sz w:val="16"/>
                <w:szCs w:val="16"/>
              </w:rPr>
              <w:t xml:space="preserve"> квартал </w:t>
            </w:r>
          </w:p>
          <w:p w14:paraId="605D09A3"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 xml:space="preserve">2022 года </w:t>
            </w:r>
          </w:p>
          <w:p w14:paraId="6C479258"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(гр. 3 – гр. 4)</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0C63BE6"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 xml:space="preserve">Прогноз перечислений на </w:t>
            </w:r>
            <w:r w:rsidRPr="00213A5D">
              <w:rPr>
                <w:rFonts w:eastAsia="Times New Roman"/>
                <w:b/>
                <w:bCs/>
                <w:sz w:val="16"/>
                <w:szCs w:val="16"/>
                <w:lang w:val="en-US"/>
              </w:rPr>
              <w:t>IV</w:t>
            </w:r>
            <w:r w:rsidRPr="00213A5D">
              <w:rPr>
                <w:rFonts w:eastAsia="Times New Roman"/>
                <w:b/>
                <w:bCs/>
                <w:sz w:val="16"/>
                <w:szCs w:val="16"/>
              </w:rPr>
              <w:t xml:space="preserve"> квартал 2022 года </w:t>
            </w:r>
          </w:p>
          <w:p w14:paraId="1FF498D5"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Cs/>
                <w:i/>
                <w:sz w:val="16"/>
                <w:szCs w:val="16"/>
              </w:rPr>
              <w:t>по состоянию на 01.10.2022</w:t>
            </w:r>
            <w:r w:rsidRPr="00213A5D">
              <w:rPr>
                <w:rFonts w:eastAsia="Times New Roman"/>
                <w:b/>
                <w:bCs/>
                <w:sz w:val="16"/>
                <w:szCs w:val="16"/>
              </w:rPr>
              <w:t xml:space="preserve"> (по 89 ГРБС)</w:t>
            </w:r>
          </w:p>
        </w:tc>
        <w:tc>
          <w:tcPr>
            <w:tcW w:w="991" w:type="dxa"/>
            <w:tcBorders>
              <w:top w:val="single" w:sz="4" w:space="0" w:color="auto"/>
              <w:left w:val="single" w:sz="4" w:space="0" w:color="auto"/>
              <w:bottom w:val="single" w:sz="4" w:space="0" w:color="auto"/>
              <w:right w:val="single" w:sz="4" w:space="0" w:color="auto"/>
            </w:tcBorders>
            <w:vAlign w:val="center"/>
            <w:hideMark/>
          </w:tcPr>
          <w:p w14:paraId="0597F8A7" w14:textId="77777777" w:rsidR="005A286D" w:rsidRPr="00213A5D" w:rsidRDefault="005A286D" w:rsidP="00AF1852">
            <w:pPr>
              <w:widowControl w:val="0"/>
              <w:spacing w:line="240" w:lineRule="auto"/>
              <w:ind w:left="-108" w:right="-108" w:firstLine="0"/>
              <w:jc w:val="center"/>
              <w:textAlignment w:val="auto"/>
              <w:rPr>
                <w:rFonts w:eastAsia="Times New Roman"/>
                <w:b/>
                <w:bCs/>
                <w:sz w:val="16"/>
                <w:szCs w:val="16"/>
              </w:rPr>
            </w:pPr>
            <w:r w:rsidRPr="00213A5D">
              <w:rPr>
                <w:rFonts w:eastAsia="Times New Roman"/>
                <w:b/>
                <w:bCs/>
                <w:sz w:val="16"/>
                <w:szCs w:val="16"/>
              </w:rPr>
              <w:t>Отклонение (гр. 6 – гр. 5)</w:t>
            </w:r>
          </w:p>
        </w:tc>
      </w:tr>
      <w:tr w:rsidR="005A286D" w:rsidRPr="00213A5D" w14:paraId="5FB68005" w14:textId="77777777" w:rsidTr="006B6AD3">
        <w:trPr>
          <w:tblHeader/>
        </w:trPr>
        <w:tc>
          <w:tcPr>
            <w:tcW w:w="3403" w:type="dxa"/>
            <w:tcBorders>
              <w:top w:val="single" w:sz="4" w:space="0" w:color="auto"/>
              <w:left w:val="single" w:sz="4" w:space="0" w:color="auto"/>
              <w:bottom w:val="single" w:sz="4" w:space="0" w:color="auto"/>
              <w:right w:val="single" w:sz="4" w:space="0" w:color="auto"/>
            </w:tcBorders>
            <w:noWrap/>
            <w:vAlign w:val="center"/>
            <w:hideMark/>
          </w:tcPr>
          <w:p w14:paraId="2E1D7A83" w14:textId="77777777" w:rsidR="005A286D" w:rsidRPr="00213A5D" w:rsidRDefault="005A286D" w:rsidP="00AF1852">
            <w:pPr>
              <w:widowControl w:val="0"/>
              <w:spacing w:line="276" w:lineRule="auto"/>
              <w:ind w:left="0" w:right="-108" w:firstLine="0"/>
              <w:jc w:val="center"/>
              <w:textAlignment w:val="auto"/>
              <w:rPr>
                <w:rFonts w:eastAsia="Times New Roman"/>
                <w:bCs/>
                <w:sz w:val="16"/>
                <w:szCs w:val="16"/>
              </w:rPr>
            </w:pPr>
            <w:r w:rsidRPr="00213A5D">
              <w:rPr>
                <w:rFonts w:eastAsia="Times New Roman"/>
                <w:bCs/>
                <w:sz w:val="16"/>
                <w:szCs w:val="16"/>
              </w:rPr>
              <w:t>1</w:t>
            </w:r>
          </w:p>
        </w:tc>
        <w:tc>
          <w:tcPr>
            <w:tcW w:w="709" w:type="dxa"/>
            <w:tcBorders>
              <w:top w:val="single" w:sz="4" w:space="0" w:color="auto"/>
              <w:left w:val="single" w:sz="4" w:space="0" w:color="auto"/>
              <w:bottom w:val="single" w:sz="4" w:space="0" w:color="auto"/>
              <w:right w:val="single" w:sz="4" w:space="0" w:color="auto"/>
            </w:tcBorders>
            <w:hideMark/>
          </w:tcPr>
          <w:p w14:paraId="3BF1D153" w14:textId="77777777" w:rsidR="005A286D" w:rsidRPr="00213A5D" w:rsidRDefault="005A286D" w:rsidP="00AF1852">
            <w:pPr>
              <w:widowControl w:val="0"/>
              <w:spacing w:line="276" w:lineRule="auto"/>
              <w:ind w:left="0" w:right="-108" w:firstLine="0"/>
              <w:jc w:val="center"/>
              <w:textAlignment w:val="auto"/>
              <w:rPr>
                <w:rFonts w:eastAsia="Times New Roman"/>
                <w:bCs/>
                <w:sz w:val="16"/>
                <w:szCs w:val="16"/>
              </w:rPr>
            </w:pPr>
            <w:r w:rsidRPr="00213A5D">
              <w:rPr>
                <w:rFonts w:eastAsia="Times New Roman"/>
                <w:bCs/>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F83FE8" w14:textId="77777777" w:rsidR="005A286D" w:rsidRPr="00213A5D" w:rsidRDefault="005A286D" w:rsidP="00AF1852">
            <w:pPr>
              <w:widowControl w:val="0"/>
              <w:spacing w:line="276" w:lineRule="auto"/>
              <w:ind w:left="0" w:right="-108" w:firstLine="0"/>
              <w:jc w:val="center"/>
              <w:textAlignment w:val="auto"/>
              <w:rPr>
                <w:rFonts w:eastAsia="Times New Roman"/>
                <w:bCs/>
                <w:sz w:val="16"/>
                <w:szCs w:val="16"/>
              </w:rPr>
            </w:pPr>
            <w:r w:rsidRPr="00213A5D">
              <w:rPr>
                <w:rFonts w:eastAsia="Times New Roman"/>
                <w:bCs/>
                <w:sz w:val="16"/>
                <w:szCs w:val="16"/>
              </w:rPr>
              <w:t>3</w:t>
            </w:r>
          </w:p>
        </w:tc>
        <w:tc>
          <w:tcPr>
            <w:tcW w:w="1275" w:type="dxa"/>
            <w:tcBorders>
              <w:top w:val="single" w:sz="4" w:space="0" w:color="auto"/>
              <w:left w:val="single" w:sz="4" w:space="0" w:color="auto"/>
              <w:bottom w:val="single" w:sz="4" w:space="0" w:color="auto"/>
              <w:right w:val="single" w:sz="4" w:space="0" w:color="auto"/>
            </w:tcBorders>
            <w:hideMark/>
          </w:tcPr>
          <w:p w14:paraId="3CB8908E" w14:textId="77777777" w:rsidR="005A286D" w:rsidRPr="00213A5D" w:rsidRDefault="005A286D" w:rsidP="00AF1852">
            <w:pPr>
              <w:widowControl w:val="0"/>
              <w:spacing w:line="276" w:lineRule="auto"/>
              <w:ind w:left="0" w:right="-108" w:firstLine="0"/>
              <w:jc w:val="center"/>
              <w:textAlignment w:val="auto"/>
              <w:rPr>
                <w:rFonts w:eastAsia="Times New Roman"/>
                <w:bCs/>
                <w:sz w:val="16"/>
                <w:szCs w:val="16"/>
              </w:rPr>
            </w:pPr>
            <w:r w:rsidRPr="00213A5D">
              <w:rPr>
                <w:rFonts w:eastAsia="Times New Roman"/>
                <w:bCs/>
                <w:sz w:val="16"/>
                <w:szCs w:val="16"/>
              </w:rPr>
              <w:t>4</w:t>
            </w:r>
          </w:p>
        </w:tc>
        <w:tc>
          <w:tcPr>
            <w:tcW w:w="1135" w:type="dxa"/>
            <w:tcBorders>
              <w:top w:val="single" w:sz="4" w:space="0" w:color="auto"/>
              <w:left w:val="single" w:sz="4" w:space="0" w:color="auto"/>
              <w:bottom w:val="single" w:sz="4" w:space="0" w:color="auto"/>
              <w:right w:val="single" w:sz="4" w:space="0" w:color="auto"/>
            </w:tcBorders>
            <w:noWrap/>
          </w:tcPr>
          <w:p w14:paraId="0F8E794C" w14:textId="77777777" w:rsidR="005A286D" w:rsidRPr="00213A5D" w:rsidRDefault="005A286D" w:rsidP="00AF1852">
            <w:pPr>
              <w:widowControl w:val="0"/>
              <w:spacing w:line="276" w:lineRule="auto"/>
              <w:ind w:left="0" w:right="-108" w:firstLine="0"/>
              <w:jc w:val="center"/>
              <w:textAlignment w:val="auto"/>
              <w:rPr>
                <w:rFonts w:eastAsia="Times New Roman"/>
                <w:bCs/>
                <w:sz w:val="16"/>
                <w:szCs w:val="16"/>
              </w:rPr>
            </w:pPr>
            <w:r w:rsidRPr="00213A5D">
              <w:rPr>
                <w:rFonts w:eastAsia="Times New Roman"/>
                <w:bCs/>
                <w:sz w:val="16"/>
                <w:szCs w:val="16"/>
              </w:rPr>
              <w:t>5</w:t>
            </w:r>
          </w:p>
        </w:tc>
        <w:tc>
          <w:tcPr>
            <w:tcW w:w="1135" w:type="dxa"/>
            <w:tcBorders>
              <w:top w:val="single" w:sz="4" w:space="0" w:color="auto"/>
              <w:left w:val="single" w:sz="4" w:space="0" w:color="auto"/>
              <w:bottom w:val="single" w:sz="4" w:space="0" w:color="auto"/>
              <w:right w:val="single" w:sz="4" w:space="0" w:color="auto"/>
            </w:tcBorders>
          </w:tcPr>
          <w:p w14:paraId="67D006B0" w14:textId="77777777" w:rsidR="005A286D" w:rsidRPr="00213A5D" w:rsidRDefault="005A286D" w:rsidP="00AF1852">
            <w:pPr>
              <w:widowControl w:val="0"/>
              <w:spacing w:line="276" w:lineRule="auto"/>
              <w:ind w:left="0" w:right="-108" w:firstLine="0"/>
              <w:jc w:val="center"/>
              <w:textAlignment w:val="auto"/>
              <w:rPr>
                <w:rFonts w:eastAsia="Times New Roman"/>
                <w:bCs/>
                <w:sz w:val="16"/>
                <w:szCs w:val="16"/>
              </w:rPr>
            </w:pPr>
            <w:r w:rsidRPr="00213A5D">
              <w:rPr>
                <w:rFonts w:eastAsia="Times New Roman"/>
                <w:bCs/>
                <w:sz w:val="16"/>
                <w:szCs w:val="16"/>
              </w:rPr>
              <w:t>6</w:t>
            </w:r>
          </w:p>
        </w:tc>
        <w:tc>
          <w:tcPr>
            <w:tcW w:w="991" w:type="dxa"/>
            <w:tcBorders>
              <w:top w:val="single" w:sz="4" w:space="0" w:color="auto"/>
              <w:left w:val="single" w:sz="4" w:space="0" w:color="auto"/>
              <w:bottom w:val="single" w:sz="4" w:space="0" w:color="auto"/>
              <w:right w:val="single" w:sz="4" w:space="0" w:color="auto"/>
            </w:tcBorders>
          </w:tcPr>
          <w:p w14:paraId="329D82FA" w14:textId="77777777" w:rsidR="005A286D" w:rsidRPr="00213A5D" w:rsidRDefault="005A286D" w:rsidP="00AF1852">
            <w:pPr>
              <w:widowControl w:val="0"/>
              <w:spacing w:line="276" w:lineRule="auto"/>
              <w:ind w:left="0" w:right="-108" w:firstLine="0"/>
              <w:jc w:val="center"/>
              <w:textAlignment w:val="auto"/>
              <w:rPr>
                <w:rFonts w:eastAsia="Times New Roman"/>
                <w:bCs/>
                <w:sz w:val="16"/>
                <w:szCs w:val="16"/>
              </w:rPr>
            </w:pPr>
            <w:r w:rsidRPr="00213A5D">
              <w:rPr>
                <w:rFonts w:eastAsia="Times New Roman"/>
                <w:bCs/>
                <w:sz w:val="16"/>
                <w:szCs w:val="16"/>
              </w:rPr>
              <w:t>7</w:t>
            </w:r>
          </w:p>
        </w:tc>
      </w:tr>
      <w:tr w:rsidR="005A286D" w:rsidRPr="00213A5D" w14:paraId="15765C54"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775A196D" w14:textId="77777777" w:rsidR="005A286D" w:rsidRPr="00213A5D" w:rsidRDefault="005A286D" w:rsidP="00AF1852">
            <w:pPr>
              <w:widowControl w:val="0"/>
              <w:spacing w:line="244" w:lineRule="auto"/>
              <w:ind w:left="0" w:right="0" w:firstLine="0"/>
              <w:textAlignment w:val="auto"/>
              <w:rPr>
                <w:rFonts w:eastAsia="Times New Roman"/>
                <w:b/>
                <w:bCs/>
                <w:sz w:val="16"/>
                <w:szCs w:val="16"/>
              </w:rPr>
            </w:pPr>
            <w:r w:rsidRPr="00213A5D">
              <w:rPr>
                <w:rFonts w:eastAsia="Times New Roman"/>
                <w:b/>
                <w:bCs/>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14:paraId="568E7417" w14:textId="77777777" w:rsidR="005A286D" w:rsidRPr="00213A5D" w:rsidRDefault="005A286D" w:rsidP="00AF1852">
            <w:pPr>
              <w:widowControl w:val="0"/>
              <w:spacing w:line="240" w:lineRule="auto"/>
              <w:ind w:left="0" w:right="-108" w:firstLine="0"/>
              <w:jc w:val="center"/>
              <w:textAlignment w:val="auto"/>
              <w:rPr>
                <w:b/>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32087C2F" w14:textId="77777777" w:rsidR="005A286D" w:rsidRPr="00213A5D" w:rsidRDefault="005A286D" w:rsidP="00AF1852">
            <w:pPr>
              <w:widowControl w:val="0"/>
              <w:spacing w:line="240" w:lineRule="auto"/>
              <w:ind w:left="0" w:right="-108" w:firstLine="0"/>
              <w:jc w:val="center"/>
              <w:textAlignment w:val="auto"/>
              <w:rPr>
                <w:b/>
                <w:sz w:val="16"/>
                <w:szCs w:val="16"/>
              </w:rPr>
            </w:pPr>
            <w:r w:rsidRPr="00213A5D">
              <w:rPr>
                <w:b/>
                <w:sz w:val="16"/>
                <w:szCs w:val="16"/>
              </w:rPr>
              <w:t>19 783 139,9</w:t>
            </w:r>
          </w:p>
        </w:tc>
        <w:tc>
          <w:tcPr>
            <w:tcW w:w="1275" w:type="dxa"/>
            <w:tcBorders>
              <w:top w:val="single" w:sz="4" w:space="0" w:color="auto"/>
              <w:left w:val="single" w:sz="4" w:space="0" w:color="auto"/>
              <w:bottom w:val="single" w:sz="4" w:space="0" w:color="auto"/>
              <w:right w:val="single" w:sz="4" w:space="0" w:color="auto"/>
            </w:tcBorders>
            <w:vAlign w:val="center"/>
          </w:tcPr>
          <w:p w14:paraId="0A90EB26" w14:textId="77777777" w:rsidR="005A286D" w:rsidRPr="00213A5D" w:rsidRDefault="005A286D" w:rsidP="00AF1852">
            <w:pPr>
              <w:widowControl w:val="0"/>
              <w:spacing w:line="240" w:lineRule="auto"/>
              <w:ind w:left="0" w:right="-108" w:firstLine="0"/>
              <w:jc w:val="center"/>
              <w:textAlignment w:val="auto"/>
              <w:rPr>
                <w:b/>
                <w:sz w:val="16"/>
                <w:szCs w:val="16"/>
              </w:rPr>
            </w:pPr>
            <w:r w:rsidRPr="00213A5D">
              <w:rPr>
                <w:b/>
                <w:sz w:val="16"/>
                <w:szCs w:val="16"/>
              </w:rPr>
              <w:t>13 763 115,6</w:t>
            </w:r>
          </w:p>
        </w:tc>
        <w:tc>
          <w:tcPr>
            <w:tcW w:w="1135" w:type="dxa"/>
            <w:tcBorders>
              <w:top w:val="single" w:sz="4" w:space="0" w:color="auto"/>
              <w:left w:val="single" w:sz="4" w:space="0" w:color="auto"/>
              <w:bottom w:val="single" w:sz="4" w:space="0" w:color="auto"/>
              <w:right w:val="single" w:sz="4" w:space="0" w:color="auto"/>
            </w:tcBorders>
            <w:noWrap/>
            <w:vAlign w:val="center"/>
          </w:tcPr>
          <w:p w14:paraId="7499BCA3" w14:textId="77777777" w:rsidR="005A286D" w:rsidRPr="00213A5D" w:rsidRDefault="005A286D" w:rsidP="00AF1852">
            <w:pPr>
              <w:widowControl w:val="0"/>
              <w:spacing w:line="240" w:lineRule="auto"/>
              <w:ind w:left="0" w:right="-108" w:firstLine="0"/>
              <w:jc w:val="center"/>
              <w:textAlignment w:val="auto"/>
              <w:rPr>
                <w:b/>
                <w:sz w:val="16"/>
                <w:szCs w:val="16"/>
              </w:rPr>
            </w:pPr>
            <w:r w:rsidRPr="00213A5D">
              <w:rPr>
                <w:b/>
                <w:sz w:val="16"/>
                <w:szCs w:val="16"/>
              </w:rPr>
              <w:t>6 020 024,3</w:t>
            </w:r>
          </w:p>
        </w:tc>
        <w:tc>
          <w:tcPr>
            <w:tcW w:w="1135" w:type="dxa"/>
            <w:tcBorders>
              <w:top w:val="single" w:sz="4" w:space="0" w:color="auto"/>
              <w:left w:val="single" w:sz="4" w:space="0" w:color="auto"/>
              <w:bottom w:val="single" w:sz="4" w:space="0" w:color="auto"/>
              <w:right w:val="single" w:sz="4" w:space="0" w:color="auto"/>
            </w:tcBorders>
            <w:vAlign w:val="center"/>
          </w:tcPr>
          <w:p w14:paraId="48E69D05" w14:textId="77777777" w:rsidR="005A286D" w:rsidRPr="00213A5D" w:rsidRDefault="005A286D" w:rsidP="00AF1852">
            <w:pPr>
              <w:widowControl w:val="0"/>
              <w:spacing w:line="240" w:lineRule="auto"/>
              <w:ind w:left="0" w:right="-108" w:firstLine="0"/>
              <w:jc w:val="center"/>
              <w:textAlignment w:val="auto"/>
              <w:rPr>
                <w:b/>
                <w:sz w:val="16"/>
                <w:szCs w:val="16"/>
              </w:rPr>
            </w:pPr>
            <w:r w:rsidRPr="00213A5D">
              <w:rPr>
                <w:b/>
                <w:sz w:val="16"/>
                <w:szCs w:val="16"/>
              </w:rPr>
              <w:t>5 725 083,5</w:t>
            </w:r>
          </w:p>
        </w:tc>
        <w:tc>
          <w:tcPr>
            <w:tcW w:w="991" w:type="dxa"/>
            <w:tcBorders>
              <w:top w:val="single" w:sz="4" w:space="0" w:color="auto"/>
              <w:left w:val="single" w:sz="4" w:space="0" w:color="auto"/>
              <w:bottom w:val="single" w:sz="4" w:space="0" w:color="auto"/>
              <w:right w:val="single" w:sz="4" w:space="0" w:color="auto"/>
            </w:tcBorders>
            <w:vAlign w:val="center"/>
          </w:tcPr>
          <w:p w14:paraId="5222A08F" w14:textId="77777777" w:rsidR="005A286D" w:rsidRPr="00213A5D" w:rsidRDefault="005A286D" w:rsidP="00AF1852">
            <w:pPr>
              <w:widowControl w:val="0"/>
              <w:spacing w:line="240" w:lineRule="auto"/>
              <w:ind w:left="0" w:right="-108" w:firstLine="0"/>
              <w:jc w:val="center"/>
              <w:textAlignment w:val="auto"/>
              <w:rPr>
                <w:b/>
                <w:sz w:val="16"/>
                <w:szCs w:val="16"/>
              </w:rPr>
            </w:pPr>
            <w:r w:rsidRPr="00213A5D">
              <w:rPr>
                <w:b/>
                <w:sz w:val="16"/>
                <w:szCs w:val="16"/>
              </w:rPr>
              <w:t>-294 940,8</w:t>
            </w:r>
          </w:p>
        </w:tc>
      </w:tr>
      <w:tr w:rsidR="005A286D" w:rsidRPr="00213A5D" w14:paraId="50C92365"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78C0B5D7"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0CE335" w14:textId="77777777" w:rsidR="005A286D" w:rsidRPr="00213A5D" w:rsidRDefault="005A286D" w:rsidP="00AF1852">
            <w:pPr>
              <w:widowControl w:val="0"/>
              <w:spacing w:line="240" w:lineRule="auto"/>
              <w:ind w:left="-108" w:right="-108" w:firstLine="0"/>
              <w:jc w:val="center"/>
              <w:textAlignment w:val="auto"/>
              <w:rPr>
                <w:sz w:val="16"/>
                <w:szCs w:val="16"/>
              </w:rPr>
            </w:pPr>
            <w:r w:rsidRPr="00213A5D">
              <w:rPr>
                <w:sz w:val="16"/>
                <w:szCs w:val="16"/>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4D752386"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2 207 009,6</w:t>
            </w:r>
          </w:p>
        </w:tc>
        <w:tc>
          <w:tcPr>
            <w:tcW w:w="1275" w:type="dxa"/>
            <w:tcBorders>
              <w:top w:val="single" w:sz="4" w:space="0" w:color="auto"/>
              <w:left w:val="single" w:sz="4" w:space="0" w:color="auto"/>
              <w:bottom w:val="single" w:sz="4" w:space="0" w:color="auto"/>
              <w:right w:val="single" w:sz="4" w:space="0" w:color="auto"/>
            </w:tcBorders>
            <w:vAlign w:val="center"/>
          </w:tcPr>
          <w:p w14:paraId="21E09928"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1 504 270,0</w:t>
            </w:r>
          </w:p>
        </w:tc>
        <w:tc>
          <w:tcPr>
            <w:tcW w:w="1135" w:type="dxa"/>
            <w:tcBorders>
              <w:top w:val="single" w:sz="4" w:space="0" w:color="auto"/>
              <w:left w:val="single" w:sz="4" w:space="0" w:color="auto"/>
              <w:bottom w:val="single" w:sz="4" w:space="0" w:color="auto"/>
              <w:right w:val="single" w:sz="4" w:space="0" w:color="auto"/>
            </w:tcBorders>
            <w:noWrap/>
            <w:vAlign w:val="center"/>
          </w:tcPr>
          <w:p w14:paraId="40606654"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702 739,6</w:t>
            </w:r>
          </w:p>
        </w:tc>
        <w:tc>
          <w:tcPr>
            <w:tcW w:w="1135" w:type="dxa"/>
            <w:tcBorders>
              <w:top w:val="single" w:sz="4" w:space="0" w:color="auto"/>
              <w:left w:val="single" w:sz="4" w:space="0" w:color="auto"/>
              <w:bottom w:val="single" w:sz="4" w:space="0" w:color="auto"/>
              <w:right w:val="single" w:sz="4" w:space="0" w:color="auto"/>
            </w:tcBorders>
            <w:vAlign w:val="center"/>
          </w:tcPr>
          <w:p w14:paraId="4D427357"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715 830,2</w:t>
            </w:r>
          </w:p>
        </w:tc>
        <w:tc>
          <w:tcPr>
            <w:tcW w:w="991" w:type="dxa"/>
            <w:tcBorders>
              <w:top w:val="single" w:sz="4" w:space="0" w:color="auto"/>
              <w:left w:val="single" w:sz="4" w:space="0" w:color="auto"/>
              <w:bottom w:val="single" w:sz="4" w:space="0" w:color="auto"/>
              <w:right w:val="single" w:sz="4" w:space="0" w:color="auto"/>
            </w:tcBorders>
            <w:vAlign w:val="center"/>
          </w:tcPr>
          <w:p w14:paraId="094FADBF"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13 090,6</w:t>
            </w:r>
          </w:p>
        </w:tc>
      </w:tr>
      <w:tr w:rsidR="005A286D" w:rsidRPr="00213A5D" w14:paraId="3B656342"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4F5FBD92"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Закупка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F868C0" w14:textId="77777777" w:rsidR="005A286D" w:rsidRPr="00213A5D" w:rsidRDefault="005A286D" w:rsidP="00AF1852">
            <w:pPr>
              <w:widowControl w:val="0"/>
              <w:spacing w:line="240" w:lineRule="auto"/>
              <w:ind w:left="-108" w:right="-108" w:firstLine="0"/>
              <w:jc w:val="center"/>
              <w:textAlignment w:val="auto"/>
              <w:rPr>
                <w:sz w:val="16"/>
                <w:szCs w:val="16"/>
              </w:rPr>
            </w:pPr>
            <w:r w:rsidRPr="00213A5D">
              <w:rPr>
                <w:sz w:val="16"/>
                <w:szCs w:val="16"/>
              </w:rPr>
              <w:t>200</w:t>
            </w:r>
          </w:p>
        </w:tc>
        <w:tc>
          <w:tcPr>
            <w:tcW w:w="1276" w:type="dxa"/>
            <w:tcBorders>
              <w:top w:val="single" w:sz="4" w:space="0" w:color="auto"/>
              <w:left w:val="single" w:sz="4" w:space="0" w:color="auto"/>
              <w:bottom w:val="single" w:sz="4" w:space="0" w:color="auto"/>
              <w:right w:val="single" w:sz="4" w:space="0" w:color="auto"/>
            </w:tcBorders>
            <w:vAlign w:val="center"/>
          </w:tcPr>
          <w:p w14:paraId="22D75802"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1 579 410,6</w:t>
            </w:r>
          </w:p>
        </w:tc>
        <w:tc>
          <w:tcPr>
            <w:tcW w:w="1275" w:type="dxa"/>
            <w:tcBorders>
              <w:top w:val="single" w:sz="4" w:space="0" w:color="auto"/>
              <w:left w:val="single" w:sz="4" w:space="0" w:color="auto"/>
              <w:bottom w:val="single" w:sz="4" w:space="0" w:color="auto"/>
              <w:right w:val="single" w:sz="4" w:space="0" w:color="auto"/>
            </w:tcBorders>
            <w:vAlign w:val="center"/>
          </w:tcPr>
          <w:p w14:paraId="3A57F86E"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999 105,8</w:t>
            </w:r>
          </w:p>
        </w:tc>
        <w:tc>
          <w:tcPr>
            <w:tcW w:w="1135" w:type="dxa"/>
            <w:tcBorders>
              <w:top w:val="single" w:sz="4" w:space="0" w:color="auto"/>
              <w:left w:val="single" w:sz="4" w:space="0" w:color="auto"/>
              <w:bottom w:val="single" w:sz="4" w:space="0" w:color="auto"/>
              <w:right w:val="single" w:sz="4" w:space="0" w:color="auto"/>
            </w:tcBorders>
            <w:noWrap/>
            <w:vAlign w:val="center"/>
          </w:tcPr>
          <w:p w14:paraId="5BE2542C"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580 304,8</w:t>
            </w:r>
          </w:p>
        </w:tc>
        <w:tc>
          <w:tcPr>
            <w:tcW w:w="1135" w:type="dxa"/>
            <w:tcBorders>
              <w:top w:val="single" w:sz="4" w:space="0" w:color="auto"/>
              <w:left w:val="single" w:sz="4" w:space="0" w:color="auto"/>
              <w:bottom w:val="single" w:sz="4" w:space="0" w:color="auto"/>
              <w:right w:val="single" w:sz="4" w:space="0" w:color="auto"/>
            </w:tcBorders>
            <w:vAlign w:val="center"/>
          </w:tcPr>
          <w:p w14:paraId="14C40F60"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591 308,5</w:t>
            </w:r>
          </w:p>
        </w:tc>
        <w:tc>
          <w:tcPr>
            <w:tcW w:w="991" w:type="dxa"/>
            <w:tcBorders>
              <w:top w:val="single" w:sz="4" w:space="0" w:color="auto"/>
              <w:left w:val="single" w:sz="4" w:space="0" w:color="auto"/>
              <w:bottom w:val="single" w:sz="4" w:space="0" w:color="auto"/>
              <w:right w:val="single" w:sz="4" w:space="0" w:color="auto"/>
            </w:tcBorders>
            <w:vAlign w:val="center"/>
          </w:tcPr>
          <w:p w14:paraId="408EA539"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11 003,7</w:t>
            </w:r>
          </w:p>
        </w:tc>
      </w:tr>
      <w:tr w:rsidR="005A286D" w:rsidRPr="00213A5D" w14:paraId="6507F679"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3B9DB5DD"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56C5CA" w14:textId="77777777" w:rsidR="005A286D" w:rsidRPr="00213A5D" w:rsidRDefault="005A286D" w:rsidP="00AF1852">
            <w:pPr>
              <w:widowControl w:val="0"/>
              <w:spacing w:line="240" w:lineRule="auto"/>
              <w:ind w:left="-108" w:right="-108" w:firstLine="0"/>
              <w:jc w:val="center"/>
              <w:textAlignment w:val="auto"/>
              <w:rPr>
                <w:sz w:val="16"/>
                <w:szCs w:val="16"/>
              </w:rPr>
            </w:pPr>
            <w:r w:rsidRPr="00213A5D">
              <w:rPr>
                <w:sz w:val="16"/>
                <w:szCs w:val="16"/>
              </w:rPr>
              <w:t>300</w:t>
            </w:r>
          </w:p>
        </w:tc>
        <w:tc>
          <w:tcPr>
            <w:tcW w:w="1276" w:type="dxa"/>
            <w:tcBorders>
              <w:top w:val="single" w:sz="4" w:space="0" w:color="auto"/>
              <w:left w:val="single" w:sz="4" w:space="0" w:color="auto"/>
              <w:bottom w:val="single" w:sz="4" w:space="0" w:color="auto"/>
              <w:right w:val="single" w:sz="4" w:space="0" w:color="auto"/>
            </w:tcBorders>
            <w:vAlign w:val="center"/>
          </w:tcPr>
          <w:p w14:paraId="17EE9C72"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538 939,7</w:t>
            </w:r>
          </w:p>
        </w:tc>
        <w:tc>
          <w:tcPr>
            <w:tcW w:w="1275" w:type="dxa"/>
            <w:tcBorders>
              <w:top w:val="single" w:sz="4" w:space="0" w:color="auto"/>
              <w:left w:val="single" w:sz="4" w:space="0" w:color="auto"/>
              <w:bottom w:val="single" w:sz="4" w:space="0" w:color="auto"/>
              <w:right w:val="single" w:sz="4" w:space="0" w:color="auto"/>
            </w:tcBorders>
            <w:vAlign w:val="center"/>
          </w:tcPr>
          <w:p w14:paraId="37F46E86"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432 314,8</w:t>
            </w:r>
          </w:p>
        </w:tc>
        <w:tc>
          <w:tcPr>
            <w:tcW w:w="1135" w:type="dxa"/>
            <w:tcBorders>
              <w:top w:val="single" w:sz="4" w:space="0" w:color="auto"/>
              <w:left w:val="single" w:sz="4" w:space="0" w:color="auto"/>
              <w:bottom w:val="single" w:sz="4" w:space="0" w:color="auto"/>
              <w:right w:val="single" w:sz="4" w:space="0" w:color="auto"/>
            </w:tcBorders>
            <w:noWrap/>
            <w:vAlign w:val="center"/>
          </w:tcPr>
          <w:p w14:paraId="3740CB7E"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106 624,9</w:t>
            </w:r>
          </w:p>
        </w:tc>
        <w:tc>
          <w:tcPr>
            <w:tcW w:w="1135" w:type="dxa"/>
            <w:tcBorders>
              <w:top w:val="single" w:sz="4" w:space="0" w:color="auto"/>
              <w:left w:val="single" w:sz="4" w:space="0" w:color="auto"/>
              <w:bottom w:val="single" w:sz="4" w:space="0" w:color="auto"/>
              <w:right w:val="single" w:sz="4" w:space="0" w:color="auto"/>
            </w:tcBorders>
            <w:vAlign w:val="center"/>
          </w:tcPr>
          <w:p w14:paraId="4BCB7F2F"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106 557,1</w:t>
            </w:r>
          </w:p>
        </w:tc>
        <w:tc>
          <w:tcPr>
            <w:tcW w:w="991" w:type="dxa"/>
            <w:tcBorders>
              <w:top w:val="single" w:sz="4" w:space="0" w:color="auto"/>
              <w:left w:val="single" w:sz="4" w:space="0" w:color="auto"/>
              <w:bottom w:val="single" w:sz="4" w:space="0" w:color="auto"/>
              <w:right w:val="single" w:sz="4" w:space="0" w:color="auto"/>
            </w:tcBorders>
            <w:vAlign w:val="center"/>
          </w:tcPr>
          <w:p w14:paraId="58DB02D1"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-67,8</w:t>
            </w:r>
          </w:p>
        </w:tc>
      </w:tr>
      <w:tr w:rsidR="005A286D" w:rsidRPr="00213A5D" w14:paraId="7E887202"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7D876508"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Капитальные вложения в объекты государственной (муниципальной) собственности</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3BE562" w14:textId="77777777" w:rsidR="005A286D" w:rsidRPr="00213A5D" w:rsidRDefault="005A286D" w:rsidP="00AF1852">
            <w:pPr>
              <w:widowControl w:val="0"/>
              <w:spacing w:line="240" w:lineRule="auto"/>
              <w:ind w:left="-108" w:right="-108" w:firstLine="0"/>
              <w:jc w:val="center"/>
              <w:textAlignment w:val="auto"/>
              <w:rPr>
                <w:sz w:val="16"/>
                <w:szCs w:val="16"/>
              </w:rPr>
            </w:pPr>
            <w:r w:rsidRPr="00213A5D">
              <w:rPr>
                <w:sz w:val="16"/>
                <w:szCs w:val="16"/>
              </w:rPr>
              <w:t>400</w:t>
            </w:r>
          </w:p>
        </w:tc>
        <w:tc>
          <w:tcPr>
            <w:tcW w:w="1276" w:type="dxa"/>
            <w:tcBorders>
              <w:top w:val="single" w:sz="4" w:space="0" w:color="auto"/>
              <w:left w:val="single" w:sz="4" w:space="0" w:color="auto"/>
              <w:bottom w:val="single" w:sz="4" w:space="0" w:color="auto"/>
              <w:right w:val="single" w:sz="4" w:space="0" w:color="auto"/>
            </w:tcBorders>
            <w:vAlign w:val="center"/>
          </w:tcPr>
          <w:p w14:paraId="6ADBB5A5"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767 409,0</w:t>
            </w:r>
          </w:p>
        </w:tc>
        <w:tc>
          <w:tcPr>
            <w:tcW w:w="1275" w:type="dxa"/>
            <w:tcBorders>
              <w:top w:val="single" w:sz="4" w:space="0" w:color="auto"/>
              <w:left w:val="single" w:sz="4" w:space="0" w:color="auto"/>
              <w:bottom w:val="single" w:sz="4" w:space="0" w:color="auto"/>
              <w:right w:val="single" w:sz="4" w:space="0" w:color="auto"/>
            </w:tcBorders>
            <w:vAlign w:val="center"/>
          </w:tcPr>
          <w:p w14:paraId="09D45B01"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430 850,8</w:t>
            </w:r>
          </w:p>
        </w:tc>
        <w:tc>
          <w:tcPr>
            <w:tcW w:w="1135" w:type="dxa"/>
            <w:tcBorders>
              <w:top w:val="single" w:sz="4" w:space="0" w:color="auto"/>
              <w:left w:val="single" w:sz="4" w:space="0" w:color="auto"/>
              <w:bottom w:val="single" w:sz="4" w:space="0" w:color="auto"/>
              <w:right w:val="single" w:sz="4" w:space="0" w:color="auto"/>
            </w:tcBorders>
            <w:noWrap/>
            <w:vAlign w:val="center"/>
          </w:tcPr>
          <w:p w14:paraId="32B3E3BF"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336 558,2</w:t>
            </w:r>
          </w:p>
        </w:tc>
        <w:tc>
          <w:tcPr>
            <w:tcW w:w="1135" w:type="dxa"/>
            <w:tcBorders>
              <w:top w:val="single" w:sz="4" w:space="0" w:color="auto"/>
              <w:left w:val="single" w:sz="4" w:space="0" w:color="auto"/>
              <w:bottom w:val="single" w:sz="4" w:space="0" w:color="auto"/>
              <w:right w:val="single" w:sz="4" w:space="0" w:color="auto"/>
            </w:tcBorders>
            <w:vAlign w:val="center"/>
          </w:tcPr>
          <w:p w14:paraId="3A34DA92"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332 692,2</w:t>
            </w:r>
          </w:p>
        </w:tc>
        <w:tc>
          <w:tcPr>
            <w:tcW w:w="991" w:type="dxa"/>
            <w:tcBorders>
              <w:top w:val="single" w:sz="4" w:space="0" w:color="auto"/>
              <w:left w:val="single" w:sz="4" w:space="0" w:color="auto"/>
              <w:bottom w:val="single" w:sz="4" w:space="0" w:color="auto"/>
              <w:right w:val="single" w:sz="4" w:space="0" w:color="auto"/>
            </w:tcBorders>
            <w:vAlign w:val="center"/>
          </w:tcPr>
          <w:p w14:paraId="18B1F81F"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-3 866,0</w:t>
            </w:r>
          </w:p>
        </w:tc>
      </w:tr>
      <w:tr w:rsidR="005A286D" w:rsidRPr="00213A5D" w14:paraId="4EEE2601"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538AB222"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E0A27D" w14:textId="77777777" w:rsidR="005A286D" w:rsidRPr="00213A5D" w:rsidRDefault="005A286D" w:rsidP="00AF1852">
            <w:pPr>
              <w:widowControl w:val="0"/>
              <w:spacing w:line="240" w:lineRule="auto"/>
              <w:ind w:left="-108" w:right="-108" w:firstLine="0"/>
              <w:jc w:val="center"/>
              <w:textAlignment w:val="auto"/>
              <w:rPr>
                <w:sz w:val="16"/>
                <w:szCs w:val="16"/>
              </w:rPr>
            </w:pPr>
            <w:r w:rsidRPr="00213A5D">
              <w:rPr>
                <w:sz w:val="16"/>
                <w:szCs w:val="16"/>
              </w:rPr>
              <w:t>500</w:t>
            </w:r>
          </w:p>
        </w:tc>
        <w:tc>
          <w:tcPr>
            <w:tcW w:w="1276" w:type="dxa"/>
            <w:tcBorders>
              <w:top w:val="single" w:sz="4" w:space="0" w:color="auto"/>
              <w:left w:val="single" w:sz="4" w:space="0" w:color="auto"/>
              <w:bottom w:val="single" w:sz="4" w:space="0" w:color="auto"/>
              <w:right w:val="single" w:sz="4" w:space="0" w:color="auto"/>
            </w:tcBorders>
            <w:vAlign w:val="center"/>
          </w:tcPr>
          <w:p w14:paraId="66C64A9B"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8 503 594,5</w:t>
            </w:r>
          </w:p>
        </w:tc>
        <w:tc>
          <w:tcPr>
            <w:tcW w:w="1275" w:type="dxa"/>
            <w:tcBorders>
              <w:top w:val="single" w:sz="4" w:space="0" w:color="auto"/>
              <w:left w:val="single" w:sz="4" w:space="0" w:color="auto"/>
              <w:bottom w:val="single" w:sz="4" w:space="0" w:color="auto"/>
              <w:right w:val="single" w:sz="4" w:space="0" w:color="auto"/>
            </w:tcBorders>
            <w:vAlign w:val="center"/>
          </w:tcPr>
          <w:p w14:paraId="60291B29"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6 388 331,4</w:t>
            </w:r>
          </w:p>
        </w:tc>
        <w:tc>
          <w:tcPr>
            <w:tcW w:w="1135" w:type="dxa"/>
            <w:tcBorders>
              <w:top w:val="single" w:sz="4" w:space="0" w:color="auto"/>
              <w:left w:val="single" w:sz="4" w:space="0" w:color="auto"/>
              <w:bottom w:val="single" w:sz="4" w:space="0" w:color="auto"/>
              <w:right w:val="single" w:sz="4" w:space="0" w:color="auto"/>
            </w:tcBorders>
            <w:noWrap/>
            <w:vAlign w:val="center"/>
          </w:tcPr>
          <w:p w14:paraId="2403E197"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2 115 263,1</w:t>
            </w:r>
          </w:p>
        </w:tc>
        <w:tc>
          <w:tcPr>
            <w:tcW w:w="1135" w:type="dxa"/>
            <w:tcBorders>
              <w:top w:val="single" w:sz="4" w:space="0" w:color="auto"/>
              <w:left w:val="single" w:sz="4" w:space="0" w:color="auto"/>
              <w:bottom w:val="single" w:sz="4" w:space="0" w:color="auto"/>
              <w:right w:val="single" w:sz="4" w:space="0" w:color="auto"/>
            </w:tcBorders>
            <w:vAlign w:val="center"/>
          </w:tcPr>
          <w:p w14:paraId="43F234B3"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2 064 648,6</w:t>
            </w:r>
          </w:p>
        </w:tc>
        <w:tc>
          <w:tcPr>
            <w:tcW w:w="991" w:type="dxa"/>
            <w:tcBorders>
              <w:top w:val="single" w:sz="4" w:space="0" w:color="auto"/>
              <w:left w:val="single" w:sz="4" w:space="0" w:color="auto"/>
              <w:bottom w:val="single" w:sz="4" w:space="0" w:color="auto"/>
              <w:right w:val="single" w:sz="4" w:space="0" w:color="auto"/>
            </w:tcBorders>
            <w:vAlign w:val="center"/>
          </w:tcPr>
          <w:p w14:paraId="3DDC7E82"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-50 614,5</w:t>
            </w:r>
          </w:p>
        </w:tc>
      </w:tr>
      <w:tr w:rsidR="005A286D" w:rsidRPr="00213A5D" w14:paraId="55843099"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2134D9F8"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9ABE43" w14:textId="77777777" w:rsidR="005A286D" w:rsidRPr="00213A5D" w:rsidRDefault="005A286D" w:rsidP="00AF1852">
            <w:pPr>
              <w:widowControl w:val="0"/>
              <w:spacing w:line="240" w:lineRule="auto"/>
              <w:ind w:left="-108" w:right="-108" w:firstLine="0"/>
              <w:jc w:val="center"/>
              <w:textAlignment w:val="auto"/>
              <w:rPr>
                <w:sz w:val="16"/>
                <w:szCs w:val="16"/>
              </w:rPr>
            </w:pPr>
            <w:r w:rsidRPr="00213A5D">
              <w:rPr>
                <w:sz w:val="16"/>
                <w:szCs w:val="16"/>
              </w:rPr>
              <w:t>600</w:t>
            </w:r>
          </w:p>
        </w:tc>
        <w:tc>
          <w:tcPr>
            <w:tcW w:w="1276" w:type="dxa"/>
            <w:tcBorders>
              <w:top w:val="single" w:sz="4" w:space="0" w:color="auto"/>
              <w:left w:val="single" w:sz="4" w:space="0" w:color="auto"/>
              <w:bottom w:val="single" w:sz="4" w:space="0" w:color="auto"/>
              <w:right w:val="single" w:sz="4" w:space="0" w:color="auto"/>
            </w:tcBorders>
            <w:vAlign w:val="center"/>
          </w:tcPr>
          <w:p w14:paraId="6281C889"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1 889 050,9</w:t>
            </w:r>
          </w:p>
        </w:tc>
        <w:tc>
          <w:tcPr>
            <w:tcW w:w="1275" w:type="dxa"/>
            <w:tcBorders>
              <w:top w:val="single" w:sz="4" w:space="0" w:color="auto"/>
              <w:left w:val="single" w:sz="4" w:space="0" w:color="auto"/>
              <w:bottom w:val="single" w:sz="4" w:space="0" w:color="auto"/>
              <w:right w:val="single" w:sz="4" w:space="0" w:color="auto"/>
            </w:tcBorders>
            <w:vAlign w:val="center"/>
          </w:tcPr>
          <w:p w14:paraId="27F71274"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1 376 851,2</w:t>
            </w:r>
          </w:p>
        </w:tc>
        <w:tc>
          <w:tcPr>
            <w:tcW w:w="1135" w:type="dxa"/>
            <w:tcBorders>
              <w:top w:val="single" w:sz="4" w:space="0" w:color="auto"/>
              <w:left w:val="single" w:sz="4" w:space="0" w:color="auto"/>
              <w:bottom w:val="single" w:sz="4" w:space="0" w:color="auto"/>
              <w:right w:val="single" w:sz="4" w:space="0" w:color="auto"/>
            </w:tcBorders>
            <w:noWrap/>
            <w:vAlign w:val="center"/>
          </w:tcPr>
          <w:p w14:paraId="4C8BA815"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512 199,7</w:t>
            </w:r>
          </w:p>
        </w:tc>
        <w:tc>
          <w:tcPr>
            <w:tcW w:w="1135" w:type="dxa"/>
            <w:tcBorders>
              <w:top w:val="single" w:sz="4" w:space="0" w:color="auto"/>
              <w:left w:val="single" w:sz="4" w:space="0" w:color="auto"/>
              <w:bottom w:val="single" w:sz="4" w:space="0" w:color="auto"/>
              <w:right w:val="single" w:sz="4" w:space="0" w:color="auto"/>
            </w:tcBorders>
            <w:vAlign w:val="center"/>
          </w:tcPr>
          <w:p w14:paraId="24BC1375"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510 514,8</w:t>
            </w:r>
          </w:p>
        </w:tc>
        <w:tc>
          <w:tcPr>
            <w:tcW w:w="991" w:type="dxa"/>
            <w:tcBorders>
              <w:top w:val="single" w:sz="4" w:space="0" w:color="auto"/>
              <w:left w:val="single" w:sz="4" w:space="0" w:color="auto"/>
              <w:bottom w:val="single" w:sz="4" w:space="0" w:color="auto"/>
              <w:right w:val="single" w:sz="4" w:space="0" w:color="auto"/>
            </w:tcBorders>
            <w:vAlign w:val="center"/>
          </w:tcPr>
          <w:p w14:paraId="5E434392"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-1 684,9</w:t>
            </w:r>
          </w:p>
        </w:tc>
      </w:tr>
      <w:tr w:rsidR="005A286D" w:rsidRPr="00213A5D" w14:paraId="2030E40A"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4B494163"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5E4AB4" w14:textId="77777777" w:rsidR="005A286D" w:rsidRPr="00213A5D" w:rsidRDefault="005A286D" w:rsidP="00AF1852">
            <w:pPr>
              <w:widowControl w:val="0"/>
              <w:spacing w:line="240" w:lineRule="auto"/>
              <w:ind w:left="-108" w:right="-108" w:firstLine="0"/>
              <w:jc w:val="center"/>
              <w:textAlignment w:val="auto"/>
              <w:rPr>
                <w:sz w:val="16"/>
                <w:szCs w:val="16"/>
              </w:rPr>
            </w:pPr>
            <w:r w:rsidRPr="00213A5D">
              <w:rPr>
                <w:sz w:val="16"/>
                <w:szCs w:val="16"/>
              </w:rPr>
              <w:t>700</w:t>
            </w:r>
          </w:p>
        </w:tc>
        <w:tc>
          <w:tcPr>
            <w:tcW w:w="1276" w:type="dxa"/>
            <w:tcBorders>
              <w:top w:val="single" w:sz="4" w:space="0" w:color="auto"/>
              <w:left w:val="single" w:sz="4" w:space="0" w:color="auto"/>
              <w:bottom w:val="single" w:sz="4" w:space="0" w:color="auto"/>
              <w:right w:val="single" w:sz="4" w:space="0" w:color="auto"/>
            </w:tcBorders>
            <w:vAlign w:val="center"/>
          </w:tcPr>
          <w:p w14:paraId="4064D021"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1 403 356,7</w:t>
            </w:r>
          </w:p>
        </w:tc>
        <w:tc>
          <w:tcPr>
            <w:tcW w:w="1275" w:type="dxa"/>
            <w:tcBorders>
              <w:top w:val="single" w:sz="4" w:space="0" w:color="auto"/>
              <w:left w:val="single" w:sz="4" w:space="0" w:color="auto"/>
              <w:bottom w:val="single" w:sz="4" w:space="0" w:color="auto"/>
              <w:right w:val="single" w:sz="4" w:space="0" w:color="auto"/>
            </w:tcBorders>
            <w:vAlign w:val="center"/>
          </w:tcPr>
          <w:p w14:paraId="76915BAD"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1 017 890,8</w:t>
            </w:r>
          </w:p>
        </w:tc>
        <w:tc>
          <w:tcPr>
            <w:tcW w:w="1135" w:type="dxa"/>
            <w:tcBorders>
              <w:top w:val="single" w:sz="4" w:space="0" w:color="auto"/>
              <w:left w:val="single" w:sz="4" w:space="0" w:color="auto"/>
              <w:bottom w:val="single" w:sz="4" w:space="0" w:color="auto"/>
              <w:right w:val="single" w:sz="4" w:space="0" w:color="auto"/>
            </w:tcBorders>
            <w:noWrap/>
            <w:vAlign w:val="center"/>
          </w:tcPr>
          <w:p w14:paraId="4176E5F2"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385 465,9</w:t>
            </w:r>
          </w:p>
        </w:tc>
        <w:tc>
          <w:tcPr>
            <w:tcW w:w="1135" w:type="dxa"/>
            <w:tcBorders>
              <w:top w:val="single" w:sz="4" w:space="0" w:color="auto"/>
              <w:left w:val="single" w:sz="4" w:space="0" w:color="auto"/>
              <w:bottom w:val="single" w:sz="4" w:space="0" w:color="auto"/>
              <w:right w:val="single" w:sz="4" w:space="0" w:color="auto"/>
            </w:tcBorders>
            <w:vAlign w:val="center"/>
          </w:tcPr>
          <w:p w14:paraId="0960568D"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385 674,0</w:t>
            </w:r>
          </w:p>
        </w:tc>
        <w:tc>
          <w:tcPr>
            <w:tcW w:w="991" w:type="dxa"/>
            <w:tcBorders>
              <w:top w:val="single" w:sz="4" w:space="0" w:color="auto"/>
              <w:left w:val="single" w:sz="4" w:space="0" w:color="auto"/>
              <w:bottom w:val="single" w:sz="4" w:space="0" w:color="auto"/>
              <w:right w:val="single" w:sz="4" w:space="0" w:color="auto"/>
            </w:tcBorders>
            <w:vAlign w:val="center"/>
          </w:tcPr>
          <w:p w14:paraId="4FE50656"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208,1</w:t>
            </w:r>
          </w:p>
        </w:tc>
      </w:tr>
      <w:tr w:rsidR="005A286D" w:rsidRPr="00213A5D" w14:paraId="4658F3A3" w14:textId="77777777" w:rsidTr="006B6AD3">
        <w:tc>
          <w:tcPr>
            <w:tcW w:w="3403" w:type="dxa"/>
            <w:tcBorders>
              <w:top w:val="single" w:sz="4" w:space="0" w:color="auto"/>
              <w:left w:val="single" w:sz="4" w:space="0" w:color="auto"/>
              <w:bottom w:val="single" w:sz="4" w:space="0" w:color="auto"/>
              <w:right w:val="single" w:sz="4" w:space="0" w:color="auto"/>
            </w:tcBorders>
            <w:vAlign w:val="center"/>
            <w:hideMark/>
          </w:tcPr>
          <w:p w14:paraId="0EA92276"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9BBFA5" w14:textId="77777777" w:rsidR="005A286D" w:rsidRPr="00213A5D" w:rsidRDefault="005A286D" w:rsidP="00AF1852">
            <w:pPr>
              <w:widowControl w:val="0"/>
              <w:spacing w:line="240" w:lineRule="auto"/>
              <w:ind w:left="-108" w:right="-108" w:firstLine="0"/>
              <w:jc w:val="center"/>
              <w:textAlignment w:val="auto"/>
              <w:rPr>
                <w:sz w:val="16"/>
                <w:szCs w:val="16"/>
              </w:rPr>
            </w:pPr>
            <w:r w:rsidRPr="00213A5D">
              <w:rPr>
                <w:sz w:val="16"/>
                <w:szCs w:val="16"/>
              </w:rPr>
              <w:t>800</w:t>
            </w:r>
          </w:p>
        </w:tc>
        <w:tc>
          <w:tcPr>
            <w:tcW w:w="1276" w:type="dxa"/>
            <w:tcBorders>
              <w:top w:val="single" w:sz="4" w:space="0" w:color="auto"/>
              <w:left w:val="single" w:sz="4" w:space="0" w:color="auto"/>
              <w:bottom w:val="single" w:sz="4" w:space="0" w:color="auto"/>
              <w:right w:val="single" w:sz="4" w:space="0" w:color="auto"/>
            </w:tcBorders>
            <w:vAlign w:val="center"/>
          </w:tcPr>
          <w:p w14:paraId="3713C7F3"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2 894 368,7</w:t>
            </w:r>
          </w:p>
        </w:tc>
        <w:tc>
          <w:tcPr>
            <w:tcW w:w="1275" w:type="dxa"/>
            <w:tcBorders>
              <w:top w:val="single" w:sz="4" w:space="0" w:color="auto"/>
              <w:left w:val="single" w:sz="4" w:space="0" w:color="auto"/>
              <w:bottom w:val="single" w:sz="4" w:space="0" w:color="auto"/>
              <w:right w:val="single" w:sz="4" w:space="0" w:color="auto"/>
            </w:tcBorders>
            <w:vAlign w:val="center"/>
          </w:tcPr>
          <w:p w14:paraId="0CEA9929"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1 613 500,8</w:t>
            </w:r>
          </w:p>
        </w:tc>
        <w:tc>
          <w:tcPr>
            <w:tcW w:w="1135" w:type="dxa"/>
            <w:tcBorders>
              <w:top w:val="single" w:sz="4" w:space="0" w:color="auto"/>
              <w:left w:val="single" w:sz="4" w:space="0" w:color="auto"/>
              <w:bottom w:val="single" w:sz="4" w:space="0" w:color="auto"/>
              <w:right w:val="single" w:sz="4" w:space="0" w:color="auto"/>
            </w:tcBorders>
            <w:noWrap/>
            <w:vAlign w:val="center"/>
          </w:tcPr>
          <w:p w14:paraId="1F02723E"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1 280 867,9</w:t>
            </w:r>
          </w:p>
        </w:tc>
        <w:tc>
          <w:tcPr>
            <w:tcW w:w="1135" w:type="dxa"/>
            <w:tcBorders>
              <w:top w:val="single" w:sz="4" w:space="0" w:color="auto"/>
              <w:left w:val="single" w:sz="4" w:space="0" w:color="auto"/>
              <w:bottom w:val="single" w:sz="4" w:space="0" w:color="auto"/>
              <w:right w:val="single" w:sz="4" w:space="0" w:color="auto"/>
            </w:tcBorders>
            <w:vAlign w:val="center"/>
          </w:tcPr>
          <w:p w14:paraId="3BE57EC7"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1 017 858,1</w:t>
            </w:r>
          </w:p>
        </w:tc>
        <w:tc>
          <w:tcPr>
            <w:tcW w:w="991" w:type="dxa"/>
            <w:tcBorders>
              <w:top w:val="single" w:sz="4" w:space="0" w:color="auto"/>
              <w:left w:val="single" w:sz="4" w:space="0" w:color="auto"/>
              <w:bottom w:val="single" w:sz="4" w:space="0" w:color="auto"/>
              <w:right w:val="single" w:sz="4" w:space="0" w:color="auto"/>
            </w:tcBorders>
            <w:vAlign w:val="center"/>
          </w:tcPr>
          <w:p w14:paraId="6E3D725B" w14:textId="77777777" w:rsidR="005A286D" w:rsidRPr="00213A5D" w:rsidRDefault="005A286D" w:rsidP="00AF1852">
            <w:pPr>
              <w:widowControl w:val="0"/>
              <w:spacing w:line="240" w:lineRule="auto"/>
              <w:ind w:left="0" w:right="-108" w:firstLine="0"/>
              <w:jc w:val="center"/>
              <w:textAlignment w:val="auto"/>
              <w:rPr>
                <w:sz w:val="16"/>
                <w:szCs w:val="16"/>
              </w:rPr>
            </w:pPr>
            <w:r w:rsidRPr="00213A5D">
              <w:rPr>
                <w:sz w:val="16"/>
                <w:szCs w:val="16"/>
              </w:rPr>
              <w:t>-263 009,8</w:t>
            </w:r>
          </w:p>
        </w:tc>
      </w:tr>
    </w:tbl>
    <w:p w14:paraId="5D878151" w14:textId="77777777" w:rsidR="005A286D" w:rsidRPr="00213A5D" w:rsidRDefault="005A286D" w:rsidP="00AF1852">
      <w:pPr>
        <w:widowControl w:val="0"/>
        <w:ind w:left="0" w:right="-2"/>
        <w:rPr>
          <w:rFonts w:eastAsia="Times New Roman"/>
          <w:sz w:val="12"/>
          <w:szCs w:val="12"/>
        </w:rPr>
      </w:pPr>
    </w:p>
    <w:p w14:paraId="3278D6BF" w14:textId="77777777" w:rsidR="005A286D" w:rsidRPr="00213A5D" w:rsidRDefault="005A286D" w:rsidP="00657A34">
      <w:pPr>
        <w:widowControl w:val="0"/>
        <w:spacing w:line="324" w:lineRule="auto"/>
        <w:ind w:left="0" w:right="0"/>
        <w:rPr>
          <w:rFonts w:eastAsia="Times New Roman"/>
          <w:sz w:val="24"/>
          <w:szCs w:val="24"/>
        </w:rPr>
      </w:pPr>
      <w:r w:rsidRPr="00213A5D">
        <w:rPr>
          <w:rFonts w:eastAsia="Times New Roman"/>
          <w:sz w:val="24"/>
          <w:szCs w:val="24"/>
        </w:rPr>
        <w:t xml:space="preserve">Сравнительный анализ </w:t>
      </w:r>
      <w:r w:rsidRPr="00213A5D">
        <w:rPr>
          <w:rFonts w:eastAsia="Times New Roman"/>
          <w:b/>
          <w:sz w:val="24"/>
          <w:szCs w:val="24"/>
        </w:rPr>
        <w:t>Прогноза</w:t>
      </w:r>
      <w:r w:rsidRPr="00213A5D">
        <w:rPr>
          <w:rFonts w:eastAsia="Times New Roman"/>
          <w:sz w:val="24"/>
          <w:szCs w:val="24"/>
        </w:rPr>
        <w:t xml:space="preserve"> перечислений, которые необходимо осуществить в </w:t>
      </w:r>
      <w:r w:rsidRPr="00213A5D">
        <w:rPr>
          <w:rFonts w:eastAsia="Times New Roman"/>
          <w:sz w:val="24"/>
          <w:szCs w:val="24"/>
          <w:lang w:val="en-US"/>
        </w:rPr>
        <w:t>IV</w:t>
      </w:r>
      <w:r w:rsidRPr="00213A5D">
        <w:rPr>
          <w:rFonts w:eastAsia="Times New Roman"/>
          <w:sz w:val="24"/>
          <w:szCs w:val="24"/>
        </w:rPr>
        <w:t xml:space="preserve"> квартале 2022 года главным распорядителям, свидетельствует об имеющихся рисках неисполнения бюджетных ассигнований в объеме 294 940,8 млн. рублей (сальдо), или 1,5 % показателя сводной росписи с изменениями.</w:t>
      </w:r>
    </w:p>
    <w:p w14:paraId="60D31A74" w14:textId="77777777" w:rsidR="005A286D" w:rsidRPr="00213A5D" w:rsidRDefault="005A286D" w:rsidP="00657A34">
      <w:pPr>
        <w:widowControl w:val="0"/>
        <w:spacing w:line="324" w:lineRule="auto"/>
        <w:ind w:left="0" w:right="0"/>
        <w:rPr>
          <w:rFonts w:eastAsia="Times New Roman"/>
          <w:sz w:val="24"/>
          <w:szCs w:val="24"/>
        </w:rPr>
      </w:pPr>
      <w:r w:rsidRPr="00213A5D">
        <w:rPr>
          <w:rFonts w:eastAsia="Times New Roman"/>
          <w:sz w:val="24"/>
          <w:szCs w:val="24"/>
        </w:rPr>
        <w:t xml:space="preserve">Исходя из сложившегося объема исполненных расходов и показателей Прогноза </w:t>
      </w:r>
      <w:r w:rsidRPr="00213A5D">
        <w:rPr>
          <w:rFonts w:eastAsia="Times New Roman"/>
          <w:sz w:val="24"/>
          <w:szCs w:val="24"/>
        </w:rPr>
        <w:lastRenderedPageBreak/>
        <w:t xml:space="preserve">перечислений на </w:t>
      </w:r>
      <w:r w:rsidRPr="00213A5D">
        <w:rPr>
          <w:rFonts w:eastAsia="Times New Roman"/>
          <w:sz w:val="24"/>
          <w:szCs w:val="24"/>
          <w:lang w:val="en-US"/>
        </w:rPr>
        <w:t>IV</w:t>
      </w:r>
      <w:r w:rsidRPr="00213A5D">
        <w:rPr>
          <w:rFonts w:eastAsia="Times New Roman"/>
          <w:sz w:val="24"/>
          <w:szCs w:val="24"/>
        </w:rPr>
        <w:t xml:space="preserve"> квартал 2022 года отмечается отклонение</w:t>
      </w:r>
      <w:r w:rsidRPr="00213A5D">
        <w:rPr>
          <w:rStyle w:val="aff2"/>
          <w:rFonts w:eastAsia="Times New Roman"/>
          <w:sz w:val="24"/>
          <w:szCs w:val="24"/>
        </w:rPr>
        <w:footnoteReference w:id="28"/>
      </w:r>
      <w:r w:rsidRPr="00213A5D">
        <w:rPr>
          <w:rFonts w:eastAsia="Times New Roman"/>
          <w:sz w:val="24"/>
          <w:szCs w:val="24"/>
        </w:rPr>
        <w:t xml:space="preserve"> показателей по 53 главным распорядителям (59,6 % количества главных распорядителей по которым сформированы Прогнозы перечислений), из которых наибольшие объемы отклонений отмечаются </w:t>
      </w:r>
      <w:r w:rsidRPr="00213A5D">
        <w:rPr>
          <w:rFonts w:eastAsia="Times New Roman"/>
          <w:sz w:val="24"/>
          <w:szCs w:val="24"/>
        </w:rPr>
        <w:br/>
        <w:t>по Минфину России, Минэкономразвития России, Минэнерго России, Росжелдору, Минстрою России, Минкультуры России. Информация по указанным главным распорядителям представлена в следующей таблице.</w:t>
      </w:r>
    </w:p>
    <w:p w14:paraId="1DAAAF68" w14:textId="77777777" w:rsidR="005A286D" w:rsidRPr="00213A5D" w:rsidRDefault="005A286D" w:rsidP="00AF1852">
      <w:pPr>
        <w:widowControl w:val="0"/>
        <w:spacing w:line="240" w:lineRule="auto"/>
        <w:ind w:right="-2"/>
        <w:jc w:val="right"/>
        <w:rPr>
          <w:rFonts w:eastAsia="Times New Roman"/>
          <w:sz w:val="20"/>
          <w:szCs w:val="20"/>
        </w:rPr>
      </w:pPr>
      <w:r w:rsidRPr="00213A5D">
        <w:rPr>
          <w:rFonts w:eastAsia="Times New Roman"/>
          <w:sz w:val="20"/>
          <w:szCs w:val="20"/>
        </w:rPr>
        <w:t>(млн. рублей)</w:t>
      </w:r>
    </w:p>
    <w:tbl>
      <w:tblPr>
        <w:tblW w:w="9655" w:type="dxa"/>
        <w:tblInd w:w="93" w:type="dxa"/>
        <w:tblLook w:val="04A0" w:firstRow="1" w:lastRow="0" w:firstColumn="1" w:lastColumn="0" w:noHBand="0" w:noVBand="1"/>
      </w:tblPr>
      <w:tblGrid>
        <w:gridCol w:w="2567"/>
        <w:gridCol w:w="1417"/>
        <w:gridCol w:w="1276"/>
        <w:gridCol w:w="1440"/>
        <w:gridCol w:w="1540"/>
        <w:gridCol w:w="1415"/>
      </w:tblGrid>
      <w:tr w:rsidR="005A286D" w:rsidRPr="00213A5D" w14:paraId="40464EE2" w14:textId="77777777" w:rsidTr="003554C9">
        <w:trPr>
          <w:trHeight w:val="435"/>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7E566"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Наименование</w:t>
            </w:r>
          </w:p>
          <w:p w14:paraId="07C851E0"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главного</w:t>
            </w:r>
          </w:p>
          <w:p w14:paraId="2AF9AD5B"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распорядителя</w:t>
            </w:r>
          </w:p>
        </w:tc>
        <w:tc>
          <w:tcPr>
            <w:tcW w:w="1417" w:type="dxa"/>
            <w:tcBorders>
              <w:top w:val="single" w:sz="4" w:space="0" w:color="auto"/>
              <w:left w:val="nil"/>
              <w:bottom w:val="nil"/>
              <w:right w:val="single" w:sz="4" w:space="0" w:color="auto"/>
            </w:tcBorders>
            <w:shd w:val="clear" w:color="auto" w:fill="auto"/>
            <w:vAlign w:val="center"/>
            <w:hideMark/>
          </w:tcPr>
          <w:p w14:paraId="477C51A0"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 xml:space="preserve">Сводная роспись на год </w:t>
            </w:r>
            <w:r w:rsidRPr="00213A5D">
              <w:rPr>
                <w:rFonts w:eastAsia="Times New Roman"/>
                <w:bCs/>
                <w:i/>
                <w:sz w:val="16"/>
                <w:szCs w:val="16"/>
              </w:rPr>
              <w:t xml:space="preserve">по состоянию </w:t>
            </w:r>
            <w:r w:rsidRPr="00213A5D">
              <w:rPr>
                <w:rFonts w:eastAsia="Times New Roman"/>
                <w:bCs/>
                <w:i/>
                <w:sz w:val="16"/>
                <w:szCs w:val="16"/>
              </w:rPr>
              <w:br/>
              <w:t>на 01.10.2022</w:t>
            </w:r>
          </w:p>
        </w:tc>
        <w:tc>
          <w:tcPr>
            <w:tcW w:w="1276" w:type="dxa"/>
            <w:tcBorders>
              <w:top w:val="single" w:sz="4" w:space="0" w:color="auto"/>
              <w:left w:val="nil"/>
              <w:bottom w:val="nil"/>
              <w:right w:val="single" w:sz="4" w:space="0" w:color="auto"/>
            </w:tcBorders>
            <w:shd w:val="clear" w:color="auto" w:fill="auto"/>
            <w:vAlign w:val="center"/>
            <w:hideMark/>
          </w:tcPr>
          <w:p w14:paraId="0754519A"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Кассовое исполнение</w:t>
            </w:r>
          </w:p>
          <w:p w14:paraId="48CB38B1"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Cs/>
                <w:i/>
                <w:sz w:val="16"/>
                <w:szCs w:val="16"/>
              </w:rPr>
            </w:pPr>
            <w:r w:rsidRPr="00213A5D">
              <w:rPr>
                <w:rFonts w:eastAsia="Times New Roman"/>
                <w:bCs/>
                <w:i/>
                <w:sz w:val="16"/>
                <w:szCs w:val="16"/>
              </w:rPr>
              <w:t>на 01.10.2022</w:t>
            </w:r>
          </w:p>
        </w:tc>
        <w:tc>
          <w:tcPr>
            <w:tcW w:w="1440" w:type="dxa"/>
            <w:tcBorders>
              <w:top w:val="single" w:sz="4" w:space="0" w:color="auto"/>
              <w:left w:val="nil"/>
              <w:bottom w:val="nil"/>
              <w:right w:val="single" w:sz="4" w:space="0" w:color="auto"/>
            </w:tcBorders>
            <w:shd w:val="clear" w:color="auto" w:fill="auto"/>
            <w:vAlign w:val="center"/>
            <w:hideMark/>
          </w:tcPr>
          <w:p w14:paraId="374ABD89"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 xml:space="preserve">Расходы </w:t>
            </w:r>
            <w:r w:rsidRPr="00213A5D">
              <w:rPr>
                <w:rFonts w:eastAsia="Times New Roman"/>
                <w:b/>
                <w:bCs/>
                <w:sz w:val="16"/>
                <w:szCs w:val="16"/>
              </w:rPr>
              <w:br/>
              <w:t xml:space="preserve">на IV квартал </w:t>
            </w:r>
            <w:r w:rsidRPr="00213A5D">
              <w:rPr>
                <w:rFonts w:eastAsia="Times New Roman"/>
                <w:b/>
                <w:bCs/>
                <w:sz w:val="16"/>
                <w:szCs w:val="16"/>
              </w:rPr>
              <w:br/>
              <w:t>2022 года</w:t>
            </w:r>
            <w:r w:rsidRPr="00213A5D">
              <w:rPr>
                <w:rFonts w:eastAsia="Times New Roman"/>
                <w:b/>
                <w:bCs/>
                <w:sz w:val="16"/>
                <w:szCs w:val="16"/>
              </w:rPr>
              <w:br/>
              <w:t>(гр. 2 – гр. 3)</w:t>
            </w:r>
          </w:p>
        </w:tc>
        <w:tc>
          <w:tcPr>
            <w:tcW w:w="1540" w:type="dxa"/>
            <w:tcBorders>
              <w:top w:val="single" w:sz="4" w:space="0" w:color="auto"/>
              <w:left w:val="nil"/>
              <w:bottom w:val="nil"/>
              <w:right w:val="single" w:sz="4" w:space="0" w:color="auto"/>
            </w:tcBorders>
            <w:shd w:val="clear" w:color="auto" w:fill="auto"/>
            <w:vAlign w:val="center"/>
            <w:hideMark/>
          </w:tcPr>
          <w:p w14:paraId="49560570"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 xml:space="preserve">Прогноз перечислений </w:t>
            </w:r>
            <w:r w:rsidRPr="00213A5D">
              <w:rPr>
                <w:rFonts w:eastAsia="Times New Roman"/>
                <w:b/>
                <w:bCs/>
                <w:sz w:val="16"/>
                <w:szCs w:val="16"/>
              </w:rPr>
              <w:br/>
              <w:t>на IV квартал 2022 года</w:t>
            </w:r>
          </w:p>
          <w:p w14:paraId="041B7D45"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i/>
                <w:iCs/>
                <w:sz w:val="16"/>
                <w:szCs w:val="16"/>
              </w:rPr>
            </w:pPr>
            <w:r w:rsidRPr="00213A5D">
              <w:rPr>
                <w:rFonts w:eastAsia="Times New Roman"/>
                <w:i/>
                <w:iCs/>
                <w:sz w:val="16"/>
                <w:szCs w:val="16"/>
              </w:rPr>
              <w:t>по состоянию</w:t>
            </w:r>
          </w:p>
          <w:p w14:paraId="2DA182E7"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i/>
                <w:iCs/>
                <w:sz w:val="16"/>
                <w:szCs w:val="16"/>
              </w:rPr>
              <w:t>на 01.10.2022</w:t>
            </w:r>
          </w:p>
        </w:tc>
        <w:tc>
          <w:tcPr>
            <w:tcW w:w="1415" w:type="dxa"/>
            <w:tcBorders>
              <w:top w:val="single" w:sz="4" w:space="0" w:color="auto"/>
              <w:left w:val="nil"/>
              <w:bottom w:val="nil"/>
              <w:right w:val="single" w:sz="4" w:space="0" w:color="auto"/>
            </w:tcBorders>
            <w:shd w:val="clear" w:color="auto" w:fill="auto"/>
            <w:vAlign w:val="center"/>
            <w:hideMark/>
          </w:tcPr>
          <w:p w14:paraId="2827B2A8"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Предполагаемое отклонение</w:t>
            </w:r>
          </w:p>
          <w:p w14:paraId="15FDAF99"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b/>
                <w:bCs/>
                <w:sz w:val="16"/>
                <w:szCs w:val="16"/>
              </w:rPr>
            </w:pPr>
            <w:r w:rsidRPr="00213A5D">
              <w:rPr>
                <w:rFonts w:eastAsia="Times New Roman"/>
                <w:b/>
                <w:bCs/>
                <w:sz w:val="16"/>
                <w:szCs w:val="16"/>
              </w:rPr>
              <w:t>(гр. 5 – гр. 4)</w:t>
            </w:r>
          </w:p>
        </w:tc>
      </w:tr>
      <w:tr w:rsidR="005A286D" w:rsidRPr="00213A5D" w14:paraId="36C78684" w14:textId="77777777" w:rsidTr="006B6AD3">
        <w:trPr>
          <w:trHeight w:val="64"/>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D06D2" w14:textId="77777777" w:rsidR="005A286D" w:rsidRPr="00213A5D" w:rsidRDefault="005A286D" w:rsidP="00AF1852">
            <w:pPr>
              <w:widowControl w:val="0"/>
              <w:overflowPunct/>
              <w:autoSpaceDE/>
              <w:adjustRightInd/>
              <w:spacing w:line="244" w:lineRule="auto"/>
              <w:ind w:left="0" w:right="0" w:firstLine="0"/>
              <w:jc w:val="center"/>
              <w:textAlignment w:val="auto"/>
              <w:rPr>
                <w:bCs/>
                <w:color w:val="000000"/>
                <w:sz w:val="16"/>
                <w:szCs w:val="16"/>
                <w:lang w:eastAsia="en-US"/>
              </w:rPr>
            </w:pPr>
            <w:r w:rsidRPr="00213A5D">
              <w:rPr>
                <w:bCs/>
                <w:color w:val="000000"/>
                <w:sz w:val="16"/>
                <w:szCs w:val="16"/>
                <w:lang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A0B9481"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4D207C"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EE40633"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E7B23"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5</w:t>
            </w:r>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14:paraId="7856D8C9" w14:textId="77777777" w:rsidR="005A286D" w:rsidRPr="00213A5D" w:rsidRDefault="005A286D" w:rsidP="00AF1852">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6</w:t>
            </w:r>
          </w:p>
        </w:tc>
      </w:tr>
      <w:tr w:rsidR="005A286D" w:rsidRPr="00213A5D" w14:paraId="4AD28A3B" w14:textId="77777777" w:rsidTr="006B6AD3">
        <w:trPr>
          <w:trHeight w:val="6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14:paraId="1F803439"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Минфин России</w:t>
            </w:r>
          </w:p>
        </w:tc>
        <w:tc>
          <w:tcPr>
            <w:tcW w:w="1417" w:type="dxa"/>
            <w:tcBorders>
              <w:top w:val="nil"/>
              <w:left w:val="nil"/>
              <w:bottom w:val="single" w:sz="4" w:space="0" w:color="auto"/>
              <w:right w:val="single" w:sz="4" w:space="0" w:color="auto"/>
            </w:tcBorders>
            <w:shd w:val="clear" w:color="auto" w:fill="auto"/>
            <w:noWrap/>
            <w:vAlign w:val="bottom"/>
            <w:hideMark/>
          </w:tcPr>
          <w:p w14:paraId="14602003"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7 728 753,3</w:t>
            </w:r>
          </w:p>
        </w:tc>
        <w:tc>
          <w:tcPr>
            <w:tcW w:w="1276" w:type="dxa"/>
            <w:tcBorders>
              <w:top w:val="nil"/>
              <w:left w:val="nil"/>
              <w:bottom w:val="single" w:sz="4" w:space="0" w:color="auto"/>
              <w:right w:val="single" w:sz="4" w:space="0" w:color="auto"/>
            </w:tcBorders>
            <w:shd w:val="clear" w:color="auto" w:fill="auto"/>
            <w:noWrap/>
            <w:vAlign w:val="bottom"/>
            <w:hideMark/>
          </w:tcPr>
          <w:p w14:paraId="46B8DA7F"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5 793 699,9</w:t>
            </w:r>
          </w:p>
        </w:tc>
        <w:tc>
          <w:tcPr>
            <w:tcW w:w="1440" w:type="dxa"/>
            <w:tcBorders>
              <w:top w:val="nil"/>
              <w:left w:val="nil"/>
              <w:bottom w:val="single" w:sz="4" w:space="0" w:color="auto"/>
              <w:right w:val="single" w:sz="4" w:space="0" w:color="auto"/>
            </w:tcBorders>
            <w:shd w:val="clear" w:color="auto" w:fill="auto"/>
            <w:noWrap/>
            <w:vAlign w:val="bottom"/>
            <w:hideMark/>
          </w:tcPr>
          <w:p w14:paraId="3CA317F3"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1 935 053,4</w:t>
            </w:r>
          </w:p>
        </w:tc>
        <w:tc>
          <w:tcPr>
            <w:tcW w:w="1540" w:type="dxa"/>
            <w:tcBorders>
              <w:top w:val="nil"/>
              <w:left w:val="nil"/>
              <w:bottom w:val="single" w:sz="4" w:space="0" w:color="auto"/>
              <w:right w:val="single" w:sz="4" w:space="0" w:color="auto"/>
            </w:tcBorders>
            <w:shd w:val="clear" w:color="auto" w:fill="auto"/>
            <w:noWrap/>
            <w:vAlign w:val="bottom"/>
            <w:hideMark/>
          </w:tcPr>
          <w:p w14:paraId="57DA88A3"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1 676 887,6</w:t>
            </w:r>
          </w:p>
        </w:tc>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75B8BA5D"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b/>
                <w:color w:val="000000"/>
                <w:sz w:val="16"/>
                <w:szCs w:val="16"/>
              </w:rPr>
            </w:pPr>
            <w:r w:rsidRPr="00213A5D">
              <w:rPr>
                <w:rFonts w:eastAsia="Times New Roman"/>
                <w:b/>
                <w:color w:val="000000"/>
                <w:sz w:val="16"/>
                <w:szCs w:val="16"/>
              </w:rPr>
              <w:t>-258 165,7</w:t>
            </w:r>
          </w:p>
        </w:tc>
      </w:tr>
      <w:tr w:rsidR="005A286D" w:rsidRPr="00213A5D" w14:paraId="32A2F7DB" w14:textId="77777777" w:rsidTr="006B6AD3">
        <w:trPr>
          <w:trHeight w:val="6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14:paraId="0A0DCA6F"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Минэкономразвития России</w:t>
            </w:r>
          </w:p>
        </w:tc>
        <w:tc>
          <w:tcPr>
            <w:tcW w:w="1417" w:type="dxa"/>
            <w:tcBorders>
              <w:top w:val="nil"/>
              <w:left w:val="nil"/>
              <w:bottom w:val="single" w:sz="4" w:space="0" w:color="auto"/>
              <w:right w:val="single" w:sz="4" w:space="0" w:color="auto"/>
            </w:tcBorders>
            <w:shd w:val="clear" w:color="auto" w:fill="auto"/>
            <w:noWrap/>
            <w:vAlign w:val="bottom"/>
            <w:hideMark/>
          </w:tcPr>
          <w:p w14:paraId="4E1BC55D"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319 733,9</w:t>
            </w:r>
          </w:p>
        </w:tc>
        <w:tc>
          <w:tcPr>
            <w:tcW w:w="1276" w:type="dxa"/>
            <w:tcBorders>
              <w:top w:val="nil"/>
              <w:left w:val="nil"/>
              <w:bottom w:val="single" w:sz="4" w:space="0" w:color="auto"/>
              <w:right w:val="single" w:sz="4" w:space="0" w:color="auto"/>
            </w:tcBorders>
            <w:shd w:val="clear" w:color="auto" w:fill="auto"/>
            <w:noWrap/>
            <w:vAlign w:val="bottom"/>
            <w:hideMark/>
          </w:tcPr>
          <w:p w14:paraId="1A6F4DBD"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170 159,4</w:t>
            </w:r>
          </w:p>
        </w:tc>
        <w:tc>
          <w:tcPr>
            <w:tcW w:w="1440" w:type="dxa"/>
            <w:tcBorders>
              <w:top w:val="nil"/>
              <w:left w:val="nil"/>
              <w:bottom w:val="single" w:sz="4" w:space="0" w:color="auto"/>
              <w:right w:val="single" w:sz="4" w:space="0" w:color="auto"/>
            </w:tcBorders>
            <w:shd w:val="clear" w:color="auto" w:fill="auto"/>
            <w:noWrap/>
            <w:vAlign w:val="bottom"/>
            <w:hideMark/>
          </w:tcPr>
          <w:p w14:paraId="3B06140B"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149 574,6</w:t>
            </w:r>
          </w:p>
        </w:tc>
        <w:tc>
          <w:tcPr>
            <w:tcW w:w="1540" w:type="dxa"/>
            <w:tcBorders>
              <w:top w:val="nil"/>
              <w:left w:val="nil"/>
              <w:bottom w:val="single" w:sz="4" w:space="0" w:color="auto"/>
              <w:right w:val="single" w:sz="4" w:space="0" w:color="auto"/>
            </w:tcBorders>
            <w:shd w:val="clear" w:color="auto" w:fill="auto"/>
            <w:noWrap/>
            <w:vAlign w:val="bottom"/>
            <w:hideMark/>
          </w:tcPr>
          <w:p w14:paraId="733BAF4D"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95 338,2</w:t>
            </w:r>
          </w:p>
        </w:tc>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53C11DD9"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b/>
                <w:color w:val="000000"/>
                <w:sz w:val="16"/>
                <w:szCs w:val="16"/>
              </w:rPr>
            </w:pPr>
            <w:r w:rsidRPr="00213A5D">
              <w:rPr>
                <w:rFonts w:eastAsia="Times New Roman"/>
                <w:b/>
                <w:color w:val="000000"/>
                <w:sz w:val="16"/>
                <w:szCs w:val="16"/>
              </w:rPr>
              <w:t>-54 236,4</w:t>
            </w:r>
          </w:p>
        </w:tc>
      </w:tr>
      <w:tr w:rsidR="005A286D" w:rsidRPr="00213A5D" w14:paraId="7E0529E7" w14:textId="77777777" w:rsidTr="006B6AD3">
        <w:trPr>
          <w:trHeight w:val="6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14:paraId="310B6739"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Минэнерго России</w:t>
            </w:r>
          </w:p>
        </w:tc>
        <w:tc>
          <w:tcPr>
            <w:tcW w:w="1417" w:type="dxa"/>
            <w:tcBorders>
              <w:top w:val="nil"/>
              <w:left w:val="nil"/>
              <w:bottom w:val="single" w:sz="4" w:space="0" w:color="auto"/>
              <w:right w:val="single" w:sz="4" w:space="0" w:color="auto"/>
            </w:tcBorders>
            <w:shd w:val="clear" w:color="auto" w:fill="auto"/>
            <w:noWrap/>
            <w:vAlign w:val="bottom"/>
            <w:hideMark/>
          </w:tcPr>
          <w:p w14:paraId="1D83C74E"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34 581,9</w:t>
            </w:r>
          </w:p>
        </w:tc>
        <w:tc>
          <w:tcPr>
            <w:tcW w:w="1276" w:type="dxa"/>
            <w:tcBorders>
              <w:top w:val="nil"/>
              <w:left w:val="nil"/>
              <w:bottom w:val="single" w:sz="4" w:space="0" w:color="auto"/>
              <w:right w:val="single" w:sz="4" w:space="0" w:color="auto"/>
            </w:tcBorders>
            <w:shd w:val="clear" w:color="auto" w:fill="auto"/>
            <w:noWrap/>
            <w:vAlign w:val="bottom"/>
            <w:hideMark/>
          </w:tcPr>
          <w:p w14:paraId="6381CDC1"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10 769,9</w:t>
            </w:r>
          </w:p>
        </w:tc>
        <w:tc>
          <w:tcPr>
            <w:tcW w:w="1440" w:type="dxa"/>
            <w:tcBorders>
              <w:top w:val="nil"/>
              <w:left w:val="nil"/>
              <w:bottom w:val="single" w:sz="4" w:space="0" w:color="auto"/>
              <w:right w:val="single" w:sz="4" w:space="0" w:color="auto"/>
            </w:tcBorders>
            <w:shd w:val="clear" w:color="auto" w:fill="auto"/>
            <w:noWrap/>
            <w:vAlign w:val="bottom"/>
            <w:hideMark/>
          </w:tcPr>
          <w:p w14:paraId="05BF5DD4"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23 812,0</w:t>
            </w:r>
          </w:p>
        </w:tc>
        <w:tc>
          <w:tcPr>
            <w:tcW w:w="1540" w:type="dxa"/>
            <w:tcBorders>
              <w:top w:val="nil"/>
              <w:left w:val="nil"/>
              <w:bottom w:val="single" w:sz="4" w:space="0" w:color="auto"/>
              <w:right w:val="single" w:sz="4" w:space="0" w:color="auto"/>
            </w:tcBorders>
            <w:shd w:val="clear" w:color="auto" w:fill="auto"/>
            <w:noWrap/>
            <w:vAlign w:val="bottom"/>
            <w:hideMark/>
          </w:tcPr>
          <w:p w14:paraId="197F3308"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15 088,6</w:t>
            </w:r>
          </w:p>
        </w:tc>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3FD58968"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b/>
                <w:color w:val="000000"/>
                <w:sz w:val="16"/>
                <w:szCs w:val="16"/>
              </w:rPr>
            </w:pPr>
            <w:r w:rsidRPr="00213A5D">
              <w:rPr>
                <w:rFonts w:eastAsia="Times New Roman"/>
                <w:b/>
                <w:color w:val="000000"/>
                <w:sz w:val="16"/>
                <w:szCs w:val="16"/>
              </w:rPr>
              <w:t>-8 723,4</w:t>
            </w:r>
          </w:p>
        </w:tc>
      </w:tr>
      <w:tr w:rsidR="005A286D" w:rsidRPr="00213A5D" w14:paraId="6CBF3A59" w14:textId="77777777" w:rsidTr="006B6AD3">
        <w:trPr>
          <w:trHeight w:val="6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14:paraId="27257BEE"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Росжелдор</w:t>
            </w:r>
          </w:p>
        </w:tc>
        <w:tc>
          <w:tcPr>
            <w:tcW w:w="1417" w:type="dxa"/>
            <w:tcBorders>
              <w:top w:val="nil"/>
              <w:left w:val="nil"/>
              <w:bottom w:val="single" w:sz="4" w:space="0" w:color="auto"/>
              <w:right w:val="single" w:sz="4" w:space="0" w:color="auto"/>
            </w:tcBorders>
            <w:shd w:val="clear" w:color="auto" w:fill="auto"/>
            <w:noWrap/>
            <w:vAlign w:val="bottom"/>
            <w:hideMark/>
          </w:tcPr>
          <w:p w14:paraId="64101A6C"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108 212,5</w:t>
            </w:r>
          </w:p>
        </w:tc>
        <w:tc>
          <w:tcPr>
            <w:tcW w:w="1276" w:type="dxa"/>
            <w:tcBorders>
              <w:top w:val="nil"/>
              <w:left w:val="nil"/>
              <w:bottom w:val="single" w:sz="4" w:space="0" w:color="auto"/>
              <w:right w:val="single" w:sz="4" w:space="0" w:color="auto"/>
            </w:tcBorders>
            <w:shd w:val="clear" w:color="auto" w:fill="auto"/>
            <w:noWrap/>
            <w:vAlign w:val="bottom"/>
            <w:hideMark/>
          </w:tcPr>
          <w:p w14:paraId="58D28D94"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84 804,4</w:t>
            </w:r>
          </w:p>
        </w:tc>
        <w:tc>
          <w:tcPr>
            <w:tcW w:w="1440" w:type="dxa"/>
            <w:tcBorders>
              <w:top w:val="nil"/>
              <w:left w:val="nil"/>
              <w:bottom w:val="single" w:sz="4" w:space="0" w:color="auto"/>
              <w:right w:val="single" w:sz="4" w:space="0" w:color="auto"/>
            </w:tcBorders>
            <w:shd w:val="clear" w:color="auto" w:fill="auto"/>
            <w:noWrap/>
            <w:vAlign w:val="bottom"/>
            <w:hideMark/>
          </w:tcPr>
          <w:p w14:paraId="208E59A2"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23 408,1</w:t>
            </w:r>
          </w:p>
        </w:tc>
        <w:tc>
          <w:tcPr>
            <w:tcW w:w="1540" w:type="dxa"/>
            <w:tcBorders>
              <w:top w:val="nil"/>
              <w:left w:val="nil"/>
              <w:bottom w:val="single" w:sz="4" w:space="0" w:color="auto"/>
              <w:right w:val="single" w:sz="4" w:space="0" w:color="auto"/>
            </w:tcBorders>
            <w:shd w:val="clear" w:color="auto" w:fill="auto"/>
            <w:noWrap/>
            <w:vAlign w:val="bottom"/>
            <w:hideMark/>
          </w:tcPr>
          <w:p w14:paraId="101160CA"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19 834,0</w:t>
            </w:r>
          </w:p>
        </w:tc>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05BADD0F"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b/>
                <w:color w:val="000000"/>
                <w:sz w:val="16"/>
                <w:szCs w:val="16"/>
              </w:rPr>
            </w:pPr>
            <w:r w:rsidRPr="00213A5D">
              <w:rPr>
                <w:rFonts w:eastAsia="Times New Roman"/>
                <w:b/>
                <w:color w:val="000000"/>
                <w:sz w:val="16"/>
                <w:szCs w:val="16"/>
              </w:rPr>
              <w:t>-3 574,1</w:t>
            </w:r>
          </w:p>
        </w:tc>
      </w:tr>
      <w:tr w:rsidR="005A286D" w:rsidRPr="00213A5D" w14:paraId="5B5C25BC" w14:textId="77777777" w:rsidTr="006B6AD3">
        <w:trPr>
          <w:trHeight w:val="64"/>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14:paraId="7F2E677B"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Минстрой России</w:t>
            </w:r>
          </w:p>
        </w:tc>
        <w:tc>
          <w:tcPr>
            <w:tcW w:w="1417" w:type="dxa"/>
            <w:tcBorders>
              <w:top w:val="nil"/>
              <w:left w:val="nil"/>
              <w:bottom w:val="single" w:sz="4" w:space="0" w:color="auto"/>
              <w:right w:val="single" w:sz="4" w:space="0" w:color="auto"/>
            </w:tcBorders>
            <w:shd w:val="clear" w:color="auto" w:fill="auto"/>
            <w:noWrap/>
            <w:vAlign w:val="bottom"/>
            <w:hideMark/>
          </w:tcPr>
          <w:p w14:paraId="3244E354"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386 234,9</w:t>
            </w:r>
          </w:p>
        </w:tc>
        <w:tc>
          <w:tcPr>
            <w:tcW w:w="1276" w:type="dxa"/>
            <w:tcBorders>
              <w:top w:val="nil"/>
              <w:left w:val="nil"/>
              <w:bottom w:val="single" w:sz="4" w:space="0" w:color="auto"/>
              <w:right w:val="single" w:sz="4" w:space="0" w:color="auto"/>
            </w:tcBorders>
            <w:shd w:val="clear" w:color="auto" w:fill="auto"/>
            <w:noWrap/>
            <w:vAlign w:val="bottom"/>
            <w:hideMark/>
          </w:tcPr>
          <w:p w14:paraId="17D1DAEB"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289 161,9</w:t>
            </w:r>
          </w:p>
        </w:tc>
        <w:tc>
          <w:tcPr>
            <w:tcW w:w="1440" w:type="dxa"/>
            <w:tcBorders>
              <w:top w:val="nil"/>
              <w:left w:val="nil"/>
              <w:bottom w:val="single" w:sz="4" w:space="0" w:color="auto"/>
              <w:right w:val="single" w:sz="4" w:space="0" w:color="auto"/>
            </w:tcBorders>
            <w:shd w:val="clear" w:color="auto" w:fill="auto"/>
            <w:noWrap/>
            <w:vAlign w:val="bottom"/>
            <w:hideMark/>
          </w:tcPr>
          <w:p w14:paraId="68C83532"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97 073,0</w:t>
            </w:r>
          </w:p>
        </w:tc>
        <w:tc>
          <w:tcPr>
            <w:tcW w:w="1540" w:type="dxa"/>
            <w:tcBorders>
              <w:top w:val="nil"/>
              <w:left w:val="nil"/>
              <w:bottom w:val="single" w:sz="4" w:space="0" w:color="auto"/>
              <w:right w:val="single" w:sz="4" w:space="0" w:color="auto"/>
            </w:tcBorders>
            <w:shd w:val="clear" w:color="auto" w:fill="auto"/>
            <w:noWrap/>
            <w:vAlign w:val="bottom"/>
            <w:hideMark/>
          </w:tcPr>
          <w:p w14:paraId="63ADB879"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94 686,9</w:t>
            </w:r>
          </w:p>
        </w:tc>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1A8AD6B9"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b/>
                <w:color w:val="000000"/>
                <w:sz w:val="16"/>
                <w:szCs w:val="16"/>
              </w:rPr>
            </w:pPr>
            <w:r w:rsidRPr="00213A5D">
              <w:rPr>
                <w:rFonts w:eastAsia="Times New Roman"/>
                <w:b/>
                <w:color w:val="000000"/>
                <w:sz w:val="16"/>
                <w:szCs w:val="16"/>
              </w:rPr>
              <w:t>-2 386,1</w:t>
            </w:r>
          </w:p>
        </w:tc>
      </w:tr>
      <w:tr w:rsidR="005A286D" w:rsidRPr="00213A5D" w14:paraId="580E4168" w14:textId="77777777" w:rsidTr="006B6AD3">
        <w:trPr>
          <w:trHeight w:val="88"/>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14:paraId="792095C7" w14:textId="77777777" w:rsidR="005A286D" w:rsidRPr="00213A5D" w:rsidRDefault="005A286D" w:rsidP="00AF1852">
            <w:pPr>
              <w:widowControl w:val="0"/>
              <w:overflowPunct/>
              <w:autoSpaceDE/>
              <w:adjustRightInd/>
              <w:spacing w:line="244" w:lineRule="auto"/>
              <w:ind w:left="0" w:right="0" w:firstLine="0"/>
              <w:textAlignment w:val="auto"/>
              <w:rPr>
                <w:bCs/>
                <w:color w:val="000000"/>
                <w:sz w:val="16"/>
                <w:szCs w:val="16"/>
                <w:lang w:eastAsia="en-US"/>
              </w:rPr>
            </w:pPr>
            <w:r w:rsidRPr="00213A5D">
              <w:rPr>
                <w:bCs/>
                <w:color w:val="000000"/>
                <w:sz w:val="16"/>
                <w:szCs w:val="16"/>
                <w:lang w:eastAsia="en-US"/>
              </w:rPr>
              <w:t>Минкультуры России</w:t>
            </w:r>
          </w:p>
        </w:tc>
        <w:tc>
          <w:tcPr>
            <w:tcW w:w="1417" w:type="dxa"/>
            <w:tcBorders>
              <w:top w:val="nil"/>
              <w:left w:val="nil"/>
              <w:bottom w:val="single" w:sz="4" w:space="0" w:color="auto"/>
              <w:right w:val="single" w:sz="4" w:space="0" w:color="auto"/>
            </w:tcBorders>
            <w:shd w:val="clear" w:color="auto" w:fill="auto"/>
            <w:noWrap/>
            <w:vAlign w:val="bottom"/>
            <w:hideMark/>
          </w:tcPr>
          <w:p w14:paraId="721EF67D"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175 430,5</w:t>
            </w:r>
          </w:p>
        </w:tc>
        <w:tc>
          <w:tcPr>
            <w:tcW w:w="1276" w:type="dxa"/>
            <w:tcBorders>
              <w:top w:val="nil"/>
              <w:left w:val="nil"/>
              <w:bottom w:val="single" w:sz="4" w:space="0" w:color="auto"/>
              <w:right w:val="single" w:sz="4" w:space="0" w:color="auto"/>
            </w:tcBorders>
            <w:shd w:val="clear" w:color="auto" w:fill="auto"/>
            <w:noWrap/>
            <w:vAlign w:val="bottom"/>
            <w:hideMark/>
          </w:tcPr>
          <w:p w14:paraId="28E31BB6"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121 881,3</w:t>
            </w:r>
          </w:p>
        </w:tc>
        <w:tc>
          <w:tcPr>
            <w:tcW w:w="1440" w:type="dxa"/>
            <w:tcBorders>
              <w:top w:val="nil"/>
              <w:left w:val="nil"/>
              <w:bottom w:val="single" w:sz="4" w:space="0" w:color="auto"/>
              <w:right w:val="single" w:sz="4" w:space="0" w:color="auto"/>
            </w:tcBorders>
            <w:shd w:val="clear" w:color="auto" w:fill="auto"/>
            <w:noWrap/>
            <w:vAlign w:val="bottom"/>
            <w:hideMark/>
          </w:tcPr>
          <w:p w14:paraId="2BAAEA2A"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53 549,2</w:t>
            </w:r>
          </w:p>
        </w:tc>
        <w:tc>
          <w:tcPr>
            <w:tcW w:w="1540" w:type="dxa"/>
            <w:tcBorders>
              <w:top w:val="nil"/>
              <w:left w:val="nil"/>
              <w:bottom w:val="single" w:sz="4" w:space="0" w:color="auto"/>
              <w:right w:val="single" w:sz="4" w:space="0" w:color="auto"/>
            </w:tcBorders>
            <w:shd w:val="clear" w:color="auto" w:fill="auto"/>
            <w:noWrap/>
            <w:vAlign w:val="bottom"/>
            <w:hideMark/>
          </w:tcPr>
          <w:p w14:paraId="56E606F4"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color w:val="000000"/>
                <w:sz w:val="16"/>
                <w:szCs w:val="16"/>
              </w:rPr>
            </w:pPr>
            <w:r w:rsidRPr="00213A5D">
              <w:rPr>
                <w:rFonts w:eastAsia="Times New Roman"/>
                <w:color w:val="000000"/>
                <w:sz w:val="16"/>
                <w:szCs w:val="16"/>
              </w:rPr>
              <w:t>51 230,2</w:t>
            </w:r>
          </w:p>
        </w:tc>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51A5933C" w14:textId="77777777" w:rsidR="005A286D" w:rsidRPr="00213A5D" w:rsidRDefault="005A286D" w:rsidP="00AF1852">
            <w:pPr>
              <w:widowControl w:val="0"/>
              <w:overflowPunct/>
              <w:autoSpaceDE/>
              <w:autoSpaceDN/>
              <w:adjustRightInd/>
              <w:spacing w:line="240" w:lineRule="auto"/>
              <w:ind w:left="0" w:right="0" w:firstLine="0"/>
              <w:jc w:val="right"/>
              <w:textAlignment w:val="auto"/>
              <w:rPr>
                <w:rFonts w:eastAsia="Times New Roman"/>
                <w:b/>
                <w:color w:val="000000"/>
                <w:sz w:val="16"/>
                <w:szCs w:val="16"/>
              </w:rPr>
            </w:pPr>
            <w:r w:rsidRPr="00213A5D">
              <w:rPr>
                <w:rFonts w:eastAsia="Times New Roman"/>
                <w:b/>
                <w:color w:val="000000"/>
                <w:sz w:val="16"/>
                <w:szCs w:val="16"/>
              </w:rPr>
              <w:t>-2 319,0</w:t>
            </w:r>
          </w:p>
        </w:tc>
      </w:tr>
    </w:tbl>
    <w:p w14:paraId="35F0201A" w14:textId="77777777" w:rsidR="005A286D" w:rsidRPr="00213A5D" w:rsidRDefault="005A286D" w:rsidP="00AF1852">
      <w:pPr>
        <w:widowControl w:val="0"/>
        <w:ind w:left="0" w:right="-2"/>
        <w:rPr>
          <w:rFonts w:eastAsia="Times New Roman"/>
          <w:sz w:val="12"/>
          <w:szCs w:val="12"/>
        </w:rPr>
      </w:pPr>
    </w:p>
    <w:p w14:paraId="580C5FCF" w14:textId="77777777" w:rsidR="005A286D" w:rsidRPr="00213A5D" w:rsidRDefault="005A286D" w:rsidP="00657A34">
      <w:pPr>
        <w:widowControl w:val="0"/>
        <w:spacing w:line="324" w:lineRule="auto"/>
        <w:ind w:left="0" w:right="0"/>
        <w:rPr>
          <w:sz w:val="24"/>
          <w:szCs w:val="24"/>
        </w:rPr>
      </w:pPr>
      <w:r w:rsidRPr="00213A5D">
        <w:rPr>
          <w:b/>
          <w:sz w:val="24"/>
          <w:szCs w:val="24"/>
        </w:rPr>
        <w:t xml:space="preserve">6.7. Сводной росписью </w:t>
      </w:r>
      <w:r w:rsidRPr="00213A5D">
        <w:rPr>
          <w:sz w:val="24"/>
          <w:szCs w:val="24"/>
        </w:rPr>
        <w:t xml:space="preserve">с изменениями утверждены бюджетные ассигнования </w:t>
      </w:r>
      <w:r w:rsidRPr="00213A5D">
        <w:rPr>
          <w:sz w:val="24"/>
          <w:szCs w:val="24"/>
        </w:rPr>
        <w:br/>
        <w:t xml:space="preserve">по </w:t>
      </w:r>
      <w:r w:rsidRPr="00213A5D">
        <w:rPr>
          <w:b/>
          <w:sz w:val="24"/>
          <w:szCs w:val="24"/>
        </w:rPr>
        <w:t xml:space="preserve">82 </w:t>
      </w:r>
      <w:r w:rsidRPr="00213A5D">
        <w:rPr>
          <w:sz w:val="24"/>
          <w:szCs w:val="24"/>
        </w:rPr>
        <w:t xml:space="preserve">главным распорядителям на реализацию структурных элементов, входящих в </w:t>
      </w:r>
      <w:r w:rsidRPr="00213A5D">
        <w:rPr>
          <w:b/>
          <w:sz w:val="24"/>
          <w:szCs w:val="24"/>
        </w:rPr>
        <w:t>проектную часть</w:t>
      </w:r>
      <w:r w:rsidRPr="00213A5D">
        <w:rPr>
          <w:sz w:val="24"/>
          <w:szCs w:val="24"/>
        </w:rPr>
        <w:t xml:space="preserve"> госпрограмм, в сумме 7 108 513,9 млн. рублей и по </w:t>
      </w:r>
      <w:r w:rsidRPr="00213A5D">
        <w:rPr>
          <w:b/>
          <w:sz w:val="24"/>
          <w:szCs w:val="24"/>
        </w:rPr>
        <w:t xml:space="preserve">85 </w:t>
      </w:r>
      <w:r w:rsidRPr="00213A5D">
        <w:rPr>
          <w:sz w:val="24"/>
          <w:szCs w:val="24"/>
        </w:rPr>
        <w:t xml:space="preserve">главным распорядителям на реализацию структурных элементов, входящих в </w:t>
      </w:r>
      <w:r w:rsidRPr="00213A5D">
        <w:rPr>
          <w:b/>
          <w:sz w:val="24"/>
          <w:szCs w:val="24"/>
        </w:rPr>
        <w:t>процессную часть</w:t>
      </w:r>
      <w:r w:rsidRPr="00213A5D">
        <w:rPr>
          <w:sz w:val="24"/>
          <w:szCs w:val="24"/>
        </w:rPr>
        <w:t xml:space="preserve"> госпрограмм, в сумме 11 257 159,2 млн. рублей (или 61,3 % объема бюджетных ассигнований, предусмотренных сводной росписью с изменениями на проектную и процессную части).</w:t>
      </w:r>
    </w:p>
    <w:p w14:paraId="6DC46449" w14:textId="77777777" w:rsidR="005A286D" w:rsidRPr="00213A5D" w:rsidRDefault="005A286D" w:rsidP="00657A34">
      <w:pPr>
        <w:widowControl w:val="0"/>
        <w:spacing w:line="324" w:lineRule="auto"/>
        <w:ind w:left="0" w:right="0"/>
        <w:rPr>
          <w:rFonts w:eastAsia="Times New Roman"/>
          <w:sz w:val="24"/>
          <w:szCs w:val="24"/>
        </w:rPr>
      </w:pPr>
      <w:r w:rsidRPr="00213A5D">
        <w:rPr>
          <w:b/>
          <w:sz w:val="24"/>
          <w:szCs w:val="24"/>
        </w:rPr>
        <w:t>Уровень кассового исполнения</w:t>
      </w:r>
      <w:r w:rsidRPr="00213A5D">
        <w:rPr>
          <w:sz w:val="24"/>
          <w:szCs w:val="24"/>
        </w:rPr>
        <w:t xml:space="preserve"> расходов главными распорядителями по проектной и процессной частям составил </w:t>
      </w:r>
      <w:r w:rsidRPr="00213A5D">
        <w:rPr>
          <w:b/>
          <w:sz w:val="24"/>
          <w:szCs w:val="24"/>
        </w:rPr>
        <w:t>12 684 474,8 млн. рублей</w:t>
      </w:r>
      <w:r w:rsidRPr="00213A5D">
        <w:rPr>
          <w:sz w:val="24"/>
          <w:szCs w:val="24"/>
        </w:rPr>
        <w:t xml:space="preserve"> (или 69,1 % объема, предусмотренного сводной росписью с изменениями).</w:t>
      </w:r>
      <w:r w:rsidRPr="00213A5D">
        <w:rPr>
          <w:rFonts w:eastAsia="Times New Roman"/>
          <w:sz w:val="24"/>
          <w:szCs w:val="24"/>
        </w:rPr>
        <w:t xml:space="preserve"> </w:t>
      </w:r>
    </w:p>
    <w:p w14:paraId="2248276D" w14:textId="77777777" w:rsidR="005A286D" w:rsidRPr="00213A5D" w:rsidRDefault="005A286D" w:rsidP="00657A34">
      <w:pPr>
        <w:widowControl w:val="0"/>
        <w:spacing w:line="324" w:lineRule="auto"/>
        <w:ind w:left="0" w:right="0"/>
        <w:rPr>
          <w:rFonts w:eastAsia="Times New Roman"/>
          <w:sz w:val="24"/>
          <w:szCs w:val="24"/>
        </w:rPr>
      </w:pPr>
      <w:r w:rsidRPr="00213A5D">
        <w:rPr>
          <w:rFonts w:eastAsia="Times New Roman"/>
          <w:sz w:val="24"/>
          <w:szCs w:val="24"/>
        </w:rPr>
        <w:t>Информация об исполнении расходов 89 главными распорядителями в январе – сентябре 2022 года в разрезе проектной и процессной частей представлена на следующей диаграмме.</w:t>
      </w:r>
    </w:p>
    <w:p w14:paraId="451D5172" w14:textId="77777777" w:rsidR="005A286D" w:rsidRPr="00213A5D" w:rsidRDefault="00CD0E98" w:rsidP="00D35ED5">
      <w:pPr>
        <w:widowControl w:val="0"/>
        <w:spacing w:line="348" w:lineRule="auto"/>
        <w:ind w:left="0" w:right="-2" w:firstLine="0"/>
        <w:jc w:val="center"/>
        <w:rPr>
          <w:rFonts w:eastAsia="Times New Roman"/>
          <w:sz w:val="24"/>
          <w:szCs w:val="24"/>
        </w:rPr>
      </w:pPr>
      <w:r w:rsidRPr="00CD0E98">
        <w:rPr>
          <w:rFonts w:eastAsia="Times New Roman"/>
          <w:noProof/>
          <w:sz w:val="24"/>
          <w:szCs w:val="24"/>
        </w:rPr>
        <w:pict w14:anchorId="4A2FFC49">
          <v:shape id="_x0000_i1052" type="#_x0000_t75" alt="" style="width:292.75pt;height:175.9pt;visibility:visible;mso-width-percent:0;mso-height-percent:0;mso-width-percent:0;mso-height-percent:0">
            <v:imagedata r:id="rId51" o:title=""/>
          </v:shape>
        </w:pict>
      </w:r>
    </w:p>
    <w:p w14:paraId="10CA5BE2" w14:textId="77777777" w:rsidR="005A286D" w:rsidRPr="00213A5D" w:rsidRDefault="005A286D" w:rsidP="00AF1852">
      <w:pPr>
        <w:widowControl w:val="0"/>
        <w:ind w:left="0" w:right="-2"/>
        <w:rPr>
          <w:rFonts w:eastAsia="Times New Roman"/>
          <w:sz w:val="24"/>
          <w:szCs w:val="24"/>
        </w:rPr>
      </w:pPr>
      <w:r w:rsidRPr="00213A5D">
        <w:rPr>
          <w:b/>
          <w:sz w:val="24"/>
          <w:szCs w:val="24"/>
        </w:rPr>
        <w:lastRenderedPageBreak/>
        <w:t>По проектной части</w:t>
      </w:r>
      <w:r w:rsidRPr="00213A5D">
        <w:rPr>
          <w:sz w:val="24"/>
          <w:szCs w:val="24"/>
        </w:rPr>
        <w:t xml:space="preserve"> на уровне </w:t>
      </w:r>
      <w:r w:rsidRPr="00213A5D">
        <w:rPr>
          <w:b/>
          <w:sz w:val="24"/>
          <w:szCs w:val="24"/>
        </w:rPr>
        <w:t>менее 50 %</w:t>
      </w:r>
      <w:r w:rsidRPr="00213A5D">
        <w:rPr>
          <w:sz w:val="24"/>
          <w:szCs w:val="24"/>
        </w:rPr>
        <w:t xml:space="preserve"> исполнены расходы по </w:t>
      </w:r>
      <w:r w:rsidRPr="00213A5D">
        <w:rPr>
          <w:b/>
          <w:sz w:val="24"/>
          <w:szCs w:val="24"/>
        </w:rPr>
        <w:t>28</w:t>
      </w:r>
      <w:r w:rsidRPr="00213A5D">
        <w:rPr>
          <w:sz w:val="24"/>
          <w:szCs w:val="24"/>
        </w:rPr>
        <w:t xml:space="preserve"> главным распорядителям, </w:t>
      </w:r>
      <w:r w:rsidRPr="00213A5D">
        <w:rPr>
          <w:b/>
          <w:sz w:val="24"/>
          <w:szCs w:val="24"/>
        </w:rPr>
        <w:t>п</w:t>
      </w:r>
      <w:r w:rsidRPr="00213A5D">
        <w:rPr>
          <w:rFonts w:eastAsia="Times New Roman"/>
          <w:b/>
          <w:sz w:val="24"/>
          <w:szCs w:val="24"/>
        </w:rPr>
        <w:t>о процессной части</w:t>
      </w:r>
      <w:r w:rsidRPr="00213A5D">
        <w:rPr>
          <w:rFonts w:eastAsia="Times New Roman"/>
          <w:sz w:val="24"/>
          <w:szCs w:val="24"/>
        </w:rPr>
        <w:t xml:space="preserve"> – по </w:t>
      </w:r>
      <w:r w:rsidRPr="00213A5D">
        <w:rPr>
          <w:rFonts w:eastAsia="Times New Roman"/>
          <w:b/>
          <w:sz w:val="24"/>
          <w:szCs w:val="24"/>
        </w:rPr>
        <w:t>10</w:t>
      </w:r>
      <w:r w:rsidRPr="00213A5D">
        <w:rPr>
          <w:rFonts w:eastAsia="Times New Roman"/>
          <w:sz w:val="24"/>
          <w:szCs w:val="24"/>
        </w:rPr>
        <w:t>.</w:t>
      </w:r>
    </w:p>
    <w:p w14:paraId="3E339BEF" w14:textId="77777777" w:rsidR="005A286D" w:rsidRPr="00213A5D" w:rsidRDefault="005A286D" w:rsidP="00AF1852">
      <w:pPr>
        <w:widowControl w:val="0"/>
        <w:ind w:left="0" w:right="-2"/>
        <w:rPr>
          <w:sz w:val="24"/>
          <w:szCs w:val="24"/>
        </w:rPr>
      </w:pPr>
      <w:r w:rsidRPr="00213A5D">
        <w:rPr>
          <w:sz w:val="24"/>
          <w:szCs w:val="24"/>
        </w:rPr>
        <w:t xml:space="preserve">По отдельным главным распорядителям с уровнем исполнения расходов </w:t>
      </w:r>
      <w:r w:rsidRPr="00213A5D">
        <w:rPr>
          <w:sz w:val="24"/>
          <w:szCs w:val="24"/>
        </w:rPr>
        <w:br/>
      </w:r>
      <w:r w:rsidRPr="00213A5D">
        <w:rPr>
          <w:b/>
          <w:sz w:val="24"/>
          <w:szCs w:val="24"/>
        </w:rPr>
        <w:t>по проектной части менее 50 %</w:t>
      </w:r>
      <w:r w:rsidRPr="00213A5D">
        <w:rPr>
          <w:sz w:val="24"/>
          <w:szCs w:val="24"/>
        </w:rPr>
        <w:t xml:space="preserve">, исполнение </w:t>
      </w:r>
      <w:r w:rsidRPr="00213A5D">
        <w:rPr>
          <w:b/>
          <w:sz w:val="24"/>
          <w:szCs w:val="24"/>
        </w:rPr>
        <w:t xml:space="preserve">по процессной части </w:t>
      </w:r>
      <w:r w:rsidRPr="00213A5D">
        <w:rPr>
          <w:sz w:val="24"/>
          <w:szCs w:val="24"/>
        </w:rPr>
        <w:t xml:space="preserve">осуществлено на уровне выше среднего (69,1 %), в том числе: по Минприроды России исполнение по проектной части составило 48,2 %, по процессной части – 76,3 %, Минздраву России – 47,2 и 76,4 %, </w:t>
      </w:r>
      <w:r w:rsidRPr="00213A5D">
        <w:rPr>
          <w:sz w:val="24"/>
          <w:szCs w:val="24"/>
        </w:rPr>
        <w:br/>
        <w:t>Росморречфлоту – 20,6 и 80,8 %, Роспотребнадзору – 47,6 и 74,1 %, ФСИН России – 38,9 и 81 % соответственно.</w:t>
      </w:r>
    </w:p>
    <w:p w14:paraId="5CF1E774" w14:textId="77777777" w:rsidR="003D711F" w:rsidRPr="00213A5D" w:rsidRDefault="000774F2" w:rsidP="00AF1852">
      <w:pPr>
        <w:widowControl w:val="0"/>
        <w:spacing w:line="355" w:lineRule="auto"/>
        <w:ind w:left="0" w:right="0"/>
        <w:textAlignment w:val="auto"/>
        <w:rPr>
          <w:sz w:val="24"/>
          <w:szCs w:val="24"/>
          <w:lang w:eastAsia="en-US"/>
        </w:rPr>
      </w:pPr>
      <w:r w:rsidRPr="00213A5D">
        <w:rPr>
          <w:rFonts w:eastAsia="Times New Roman"/>
          <w:b/>
          <w:bCs/>
          <w:iCs/>
          <w:sz w:val="24"/>
          <w:szCs w:val="24"/>
        </w:rPr>
        <w:t>6.</w:t>
      </w:r>
      <w:r w:rsidR="004000DE" w:rsidRPr="00213A5D">
        <w:rPr>
          <w:rFonts w:eastAsia="Times New Roman"/>
          <w:b/>
          <w:bCs/>
          <w:iCs/>
          <w:sz w:val="24"/>
          <w:szCs w:val="24"/>
        </w:rPr>
        <w:t>8</w:t>
      </w:r>
      <w:r w:rsidRPr="00213A5D">
        <w:rPr>
          <w:rFonts w:eastAsia="Times New Roman"/>
          <w:b/>
          <w:bCs/>
          <w:iCs/>
          <w:sz w:val="24"/>
          <w:szCs w:val="24"/>
        </w:rPr>
        <w:t>. </w:t>
      </w:r>
      <w:r w:rsidR="003D711F" w:rsidRPr="00213A5D">
        <w:rPr>
          <w:sz w:val="24"/>
          <w:szCs w:val="24"/>
        </w:rPr>
        <w:t>Информация об объемах расходов федерального бюджета</w:t>
      </w:r>
      <w:r w:rsidR="003D711F" w:rsidRPr="00213A5D">
        <w:rPr>
          <w:sz w:val="24"/>
          <w:szCs w:val="24"/>
          <w:lang w:eastAsia="en-US"/>
        </w:rPr>
        <w:t xml:space="preserve"> по контрактуемым расходам</w:t>
      </w:r>
      <w:r w:rsidR="003D711F" w:rsidRPr="00213A5D">
        <w:rPr>
          <w:rStyle w:val="aff2"/>
          <w:sz w:val="24"/>
          <w:szCs w:val="24"/>
          <w:lang w:eastAsia="en-US"/>
        </w:rPr>
        <w:footnoteReference w:id="29"/>
      </w:r>
      <w:r w:rsidR="003D711F" w:rsidRPr="00213A5D">
        <w:rPr>
          <w:sz w:val="24"/>
          <w:szCs w:val="24"/>
          <w:lang w:eastAsia="en-US"/>
        </w:rPr>
        <w:t xml:space="preserve"> (открытая часть) за январь – сентябрь 2021 и 2022 годов представлена в следующей таблице.</w:t>
      </w:r>
    </w:p>
    <w:p w14:paraId="47493FDB" w14:textId="77777777" w:rsidR="006B72DD" w:rsidRPr="00213A5D" w:rsidRDefault="003D711F" w:rsidP="00AF1852">
      <w:pPr>
        <w:widowControl w:val="0"/>
        <w:spacing w:line="240" w:lineRule="auto"/>
        <w:ind w:left="0" w:right="0"/>
        <w:jc w:val="right"/>
        <w:textAlignment w:val="auto"/>
        <w:rPr>
          <w:sz w:val="20"/>
          <w:szCs w:val="20"/>
          <w:lang w:eastAsia="en-US"/>
        </w:rPr>
      </w:pPr>
      <w:r w:rsidRPr="00213A5D">
        <w:rPr>
          <w:sz w:val="20"/>
          <w:szCs w:val="20"/>
          <w:lang w:eastAsia="en-US"/>
        </w:rPr>
        <w:t xml:space="preserve"> </w:t>
      </w:r>
      <w:r w:rsidR="006B72DD" w:rsidRPr="00213A5D">
        <w:rPr>
          <w:sz w:val="20"/>
          <w:szCs w:val="20"/>
          <w:lang w:eastAsia="en-US"/>
        </w:rPr>
        <w:t>(млн.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3529"/>
        <w:gridCol w:w="1134"/>
        <w:gridCol w:w="1134"/>
        <w:gridCol w:w="1134"/>
        <w:gridCol w:w="1134"/>
        <w:gridCol w:w="850"/>
      </w:tblGrid>
      <w:tr w:rsidR="003D711F" w:rsidRPr="00213A5D" w14:paraId="06AD152A" w14:textId="77777777" w:rsidTr="001F7856">
        <w:trPr>
          <w:trHeight w:val="374"/>
          <w:tblHeader/>
        </w:trPr>
        <w:tc>
          <w:tcPr>
            <w:tcW w:w="724" w:type="dxa"/>
            <w:shd w:val="clear" w:color="auto" w:fill="auto"/>
            <w:noWrap/>
            <w:vAlign w:val="center"/>
            <w:hideMark/>
          </w:tcPr>
          <w:p w14:paraId="602391EB" w14:textId="77777777" w:rsidR="003D711F" w:rsidRPr="00213A5D" w:rsidRDefault="003D711F" w:rsidP="00AF1852">
            <w:pPr>
              <w:widowControl w:val="0"/>
              <w:overflowPunct/>
              <w:autoSpaceDE/>
              <w:autoSpaceDN/>
              <w:adjustRightInd/>
              <w:spacing w:line="240" w:lineRule="auto"/>
              <w:ind w:left="-57" w:right="-57" w:firstLine="0"/>
              <w:jc w:val="center"/>
              <w:textAlignment w:val="auto"/>
              <w:rPr>
                <w:bCs/>
                <w:color w:val="000000"/>
                <w:sz w:val="16"/>
                <w:szCs w:val="16"/>
              </w:rPr>
            </w:pPr>
            <w:r w:rsidRPr="00213A5D">
              <w:rPr>
                <w:bCs/>
                <w:color w:val="000000"/>
                <w:sz w:val="16"/>
                <w:szCs w:val="16"/>
              </w:rPr>
              <w:t>Код ВР</w:t>
            </w:r>
          </w:p>
        </w:tc>
        <w:tc>
          <w:tcPr>
            <w:tcW w:w="3529" w:type="dxa"/>
            <w:shd w:val="clear" w:color="auto" w:fill="auto"/>
            <w:noWrap/>
            <w:vAlign w:val="center"/>
            <w:hideMark/>
          </w:tcPr>
          <w:p w14:paraId="4FA1CAA6" w14:textId="77777777" w:rsidR="003D711F" w:rsidRPr="00213A5D" w:rsidRDefault="003D711F" w:rsidP="00AF1852">
            <w:pPr>
              <w:widowControl w:val="0"/>
              <w:overflowPunct/>
              <w:autoSpaceDE/>
              <w:autoSpaceDN/>
              <w:adjustRightInd/>
              <w:spacing w:line="240" w:lineRule="auto"/>
              <w:ind w:left="-57" w:right="-57" w:firstLine="0"/>
              <w:jc w:val="center"/>
              <w:textAlignment w:val="auto"/>
              <w:rPr>
                <w:bCs/>
                <w:color w:val="000000"/>
                <w:sz w:val="16"/>
                <w:szCs w:val="16"/>
              </w:rPr>
            </w:pPr>
            <w:r w:rsidRPr="00213A5D">
              <w:rPr>
                <w:bCs/>
                <w:color w:val="000000"/>
                <w:sz w:val="16"/>
                <w:szCs w:val="16"/>
              </w:rPr>
              <w:t xml:space="preserve">Наименование </w:t>
            </w:r>
          </w:p>
        </w:tc>
        <w:tc>
          <w:tcPr>
            <w:tcW w:w="1134" w:type="dxa"/>
            <w:shd w:val="clear" w:color="auto" w:fill="auto"/>
            <w:vAlign w:val="center"/>
            <w:hideMark/>
          </w:tcPr>
          <w:p w14:paraId="0CE819D3" w14:textId="77777777" w:rsidR="003D711F" w:rsidRPr="00213A5D" w:rsidRDefault="003D711F" w:rsidP="00AF1852">
            <w:pPr>
              <w:widowControl w:val="0"/>
              <w:overflowPunct/>
              <w:autoSpaceDE/>
              <w:autoSpaceDN/>
              <w:adjustRightInd/>
              <w:spacing w:line="240" w:lineRule="auto"/>
              <w:ind w:left="-57" w:right="-57" w:firstLine="0"/>
              <w:jc w:val="center"/>
              <w:textAlignment w:val="auto"/>
              <w:rPr>
                <w:bCs/>
                <w:color w:val="000000"/>
                <w:sz w:val="16"/>
                <w:szCs w:val="16"/>
              </w:rPr>
            </w:pPr>
            <w:r w:rsidRPr="00213A5D">
              <w:rPr>
                <w:bCs/>
                <w:color w:val="000000"/>
                <w:sz w:val="16"/>
                <w:szCs w:val="16"/>
              </w:rPr>
              <w:t>Исполнено, 2021 год</w:t>
            </w:r>
          </w:p>
        </w:tc>
        <w:tc>
          <w:tcPr>
            <w:tcW w:w="1134" w:type="dxa"/>
            <w:shd w:val="clear" w:color="auto" w:fill="auto"/>
            <w:vAlign w:val="center"/>
            <w:hideMark/>
          </w:tcPr>
          <w:p w14:paraId="3F336D1F" w14:textId="77777777" w:rsidR="003D711F" w:rsidRPr="00213A5D" w:rsidRDefault="003D711F" w:rsidP="00AF1852">
            <w:pPr>
              <w:widowControl w:val="0"/>
              <w:overflowPunct/>
              <w:autoSpaceDE/>
              <w:autoSpaceDN/>
              <w:adjustRightInd/>
              <w:spacing w:line="240" w:lineRule="auto"/>
              <w:ind w:left="-57" w:right="-57" w:firstLine="0"/>
              <w:jc w:val="center"/>
              <w:textAlignment w:val="auto"/>
              <w:rPr>
                <w:bCs/>
                <w:color w:val="000000"/>
                <w:sz w:val="16"/>
                <w:szCs w:val="16"/>
              </w:rPr>
            </w:pPr>
            <w:r w:rsidRPr="00213A5D">
              <w:rPr>
                <w:bCs/>
                <w:color w:val="000000"/>
                <w:sz w:val="16"/>
                <w:szCs w:val="16"/>
              </w:rPr>
              <w:t>Утвержденные ЛБО, 2022 год</w:t>
            </w:r>
          </w:p>
        </w:tc>
        <w:tc>
          <w:tcPr>
            <w:tcW w:w="1134" w:type="dxa"/>
            <w:shd w:val="clear" w:color="auto" w:fill="auto"/>
            <w:vAlign w:val="center"/>
            <w:hideMark/>
          </w:tcPr>
          <w:p w14:paraId="32EE2451" w14:textId="77777777" w:rsidR="003D711F" w:rsidRPr="00213A5D" w:rsidRDefault="003D711F" w:rsidP="00AF1852">
            <w:pPr>
              <w:widowControl w:val="0"/>
              <w:overflowPunct/>
              <w:autoSpaceDE/>
              <w:autoSpaceDN/>
              <w:adjustRightInd/>
              <w:spacing w:line="240" w:lineRule="auto"/>
              <w:ind w:left="-57" w:right="-57" w:firstLine="0"/>
              <w:jc w:val="center"/>
              <w:textAlignment w:val="auto"/>
              <w:rPr>
                <w:bCs/>
                <w:color w:val="000000"/>
                <w:sz w:val="16"/>
                <w:szCs w:val="16"/>
              </w:rPr>
            </w:pPr>
            <w:r w:rsidRPr="00213A5D">
              <w:rPr>
                <w:bCs/>
                <w:color w:val="000000"/>
                <w:sz w:val="16"/>
                <w:szCs w:val="16"/>
              </w:rPr>
              <w:t>Исполнено, 2022 год</w:t>
            </w:r>
          </w:p>
        </w:tc>
        <w:tc>
          <w:tcPr>
            <w:tcW w:w="1134" w:type="dxa"/>
            <w:shd w:val="clear" w:color="auto" w:fill="auto"/>
            <w:vAlign w:val="center"/>
            <w:hideMark/>
          </w:tcPr>
          <w:p w14:paraId="74F3FA09" w14:textId="77777777" w:rsidR="003D711F" w:rsidRPr="00213A5D" w:rsidRDefault="003D711F" w:rsidP="00AF1852">
            <w:pPr>
              <w:widowControl w:val="0"/>
              <w:overflowPunct/>
              <w:autoSpaceDE/>
              <w:autoSpaceDN/>
              <w:adjustRightInd/>
              <w:spacing w:line="240" w:lineRule="auto"/>
              <w:ind w:left="-57" w:right="-57" w:firstLine="0"/>
              <w:jc w:val="center"/>
              <w:textAlignment w:val="auto"/>
              <w:rPr>
                <w:bCs/>
                <w:color w:val="000000"/>
                <w:sz w:val="16"/>
                <w:szCs w:val="16"/>
              </w:rPr>
            </w:pPr>
            <w:r w:rsidRPr="00213A5D">
              <w:rPr>
                <w:bCs/>
                <w:color w:val="000000"/>
                <w:sz w:val="16"/>
                <w:szCs w:val="16"/>
              </w:rPr>
              <w:t>Уровень исполнения, %</w:t>
            </w:r>
          </w:p>
        </w:tc>
        <w:tc>
          <w:tcPr>
            <w:tcW w:w="850" w:type="dxa"/>
            <w:shd w:val="clear" w:color="auto" w:fill="auto"/>
            <w:vAlign w:val="center"/>
            <w:hideMark/>
          </w:tcPr>
          <w:p w14:paraId="4ECC1777" w14:textId="77777777" w:rsidR="003D711F" w:rsidRPr="00213A5D" w:rsidRDefault="003D711F" w:rsidP="00AF1852">
            <w:pPr>
              <w:widowControl w:val="0"/>
              <w:overflowPunct/>
              <w:autoSpaceDE/>
              <w:autoSpaceDN/>
              <w:adjustRightInd/>
              <w:spacing w:line="240" w:lineRule="auto"/>
              <w:ind w:left="-57" w:right="-57" w:firstLine="0"/>
              <w:jc w:val="center"/>
              <w:textAlignment w:val="auto"/>
              <w:rPr>
                <w:bCs/>
                <w:color w:val="000000"/>
                <w:sz w:val="16"/>
                <w:szCs w:val="16"/>
              </w:rPr>
            </w:pPr>
            <w:r w:rsidRPr="00213A5D">
              <w:rPr>
                <w:bCs/>
                <w:color w:val="000000"/>
                <w:sz w:val="16"/>
                <w:szCs w:val="16"/>
              </w:rPr>
              <w:t>В % к 2021 году</w:t>
            </w:r>
          </w:p>
        </w:tc>
      </w:tr>
      <w:tr w:rsidR="003D711F" w:rsidRPr="00213A5D" w14:paraId="68C69C1E" w14:textId="77777777" w:rsidTr="001F7856">
        <w:trPr>
          <w:trHeight w:val="57"/>
          <w:tblHeader/>
        </w:trPr>
        <w:tc>
          <w:tcPr>
            <w:tcW w:w="724" w:type="dxa"/>
            <w:shd w:val="clear" w:color="auto" w:fill="auto"/>
            <w:noWrap/>
            <w:vAlign w:val="center"/>
            <w:hideMark/>
          </w:tcPr>
          <w:p w14:paraId="3911931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color w:val="000000"/>
                <w:sz w:val="16"/>
                <w:szCs w:val="16"/>
              </w:rPr>
              <w:t>1</w:t>
            </w:r>
          </w:p>
        </w:tc>
        <w:tc>
          <w:tcPr>
            <w:tcW w:w="3529" w:type="dxa"/>
            <w:shd w:val="clear" w:color="auto" w:fill="auto"/>
            <w:noWrap/>
            <w:vAlign w:val="center"/>
            <w:hideMark/>
          </w:tcPr>
          <w:p w14:paraId="7243F6D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color w:val="000000"/>
                <w:sz w:val="16"/>
                <w:szCs w:val="16"/>
              </w:rPr>
              <w:t>2</w:t>
            </w:r>
          </w:p>
        </w:tc>
        <w:tc>
          <w:tcPr>
            <w:tcW w:w="1134" w:type="dxa"/>
            <w:shd w:val="clear" w:color="auto" w:fill="auto"/>
            <w:noWrap/>
            <w:vAlign w:val="center"/>
            <w:hideMark/>
          </w:tcPr>
          <w:p w14:paraId="3460DBF6"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color w:val="000000"/>
                <w:sz w:val="16"/>
                <w:szCs w:val="16"/>
              </w:rPr>
              <w:t>3</w:t>
            </w:r>
          </w:p>
        </w:tc>
        <w:tc>
          <w:tcPr>
            <w:tcW w:w="1134" w:type="dxa"/>
            <w:shd w:val="clear" w:color="auto" w:fill="auto"/>
            <w:vAlign w:val="center"/>
            <w:hideMark/>
          </w:tcPr>
          <w:p w14:paraId="02E3480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color w:val="000000"/>
                <w:sz w:val="16"/>
                <w:szCs w:val="16"/>
              </w:rPr>
              <w:t>4</w:t>
            </w:r>
          </w:p>
        </w:tc>
        <w:tc>
          <w:tcPr>
            <w:tcW w:w="1134" w:type="dxa"/>
            <w:shd w:val="clear" w:color="auto" w:fill="auto"/>
            <w:noWrap/>
            <w:vAlign w:val="center"/>
            <w:hideMark/>
          </w:tcPr>
          <w:p w14:paraId="644E2DD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color w:val="000000"/>
                <w:sz w:val="16"/>
                <w:szCs w:val="16"/>
              </w:rPr>
              <w:t>5</w:t>
            </w:r>
          </w:p>
        </w:tc>
        <w:tc>
          <w:tcPr>
            <w:tcW w:w="1134" w:type="dxa"/>
            <w:shd w:val="clear" w:color="auto" w:fill="auto"/>
            <w:vAlign w:val="center"/>
            <w:hideMark/>
          </w:tcPr>
          <w:p w14:paraId="2640BADE"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color w:val="000000"/>
                <w:sz w:val="16"/>
                <w:szCs w:val="16"/>
              </w:rPr>
              <w:t>6</w:t>
            </w:r>
          </w:p>
        </w:tc>
        <w:tc>
          <w:tcPr>
            <w:tcW w:w="850" w:type="dxa"/>
            <w:shd w:val="clear" w:color="auto" w:fill="auto"/>
            <w:noWrap/>
            <w:vAlign w:val="center"/>
            <w:hideMark/>
          </w:tcPr>
          <w:p w14:paraId="1C4D9E8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color w:val="000000"/>
                <w:sz w:val="16"/>
                <w:szCs w:val="16"/>
              </w:rPr>
              <w:t>7</w:t>
            </w:r>
          </w:p>
        </w:tc>
      </w:tr>
      <w:tr w:rsidR="003D711F" w:rsidRPr="00213A5D" w14:paraId="39305160" w14:textId="77777777" w:rsidTr="001F7856">
        <w:trPr>
          <w:trHeight w:val="322"/>
        </w:trPr>
        <w:tc>
          <w:tcPr>
            <w:tcW w:w="724" w:type="dxa"/>
            <w:vMerge w:val="restart"/>
            <w:shd w:val="clear" w:color="auto" w:fill="auto"/>
            <w:noWrap/>
            <w:vAlign w:val="center"/>
            <w:hideMark/>
          </w:tcPr>
          <w:p w14:paraId="26602243"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bCs/>
                <w:color w:val="000000"/>
                <w:sz w:val="16"/>
                <w:szCs w:val="16"/>
              </w:rPr>
              <w:t>200</w:t>
            </w:r>
          </w:p>
        </w:tc>
        <w:tc>
          <w:tcPr>
            <w:tcW w:w="3529" w:type="dxa"/>
            <w:vMerge w:val="restart"/>
            <w:shd w:val="clear" w:color="auto" w:fill="auto"/>
            <w:vAlign w:val="center"/>
            <w:hideMark/>
          </w:tcPr>
          <w:p w14:paraId="510F2560" w14:textId="77777777" w:rsidR="003D711F" w:rsidRPr="00213A5D" w:rsidRDefault="003D711F" w:rsidP="00AF1852">
            <w:pPr>
              <w:widowControl w:val="0"/>
              <w:overflowPunct/>
              <w:autoSpaceDE/>
              <w:autoSpaceDN/>
              <w:adjustRightInd/>
              <w:spacing w:line="240" w:lineRule="auto"/>
              <w:ind w:left="0" w:right="0" w:firstLine="0"/>
              <w:textAlignment w:val="auto"/>
              <w:rPr>
                <w:color w:val="000000"/>
                <w:sz w:val="16"/>
                <w:szCs w:val="16"/>
              </w:rPr>
            </w:pPr>
            <w:r w:rsidRPr="00213A5D">
              <w:rPr>
                <w:bCs/>
                <w:color w:val="000000"/>
                <w:sz w:val="16"/>
                <w:szCs w:val="16"/>
              </w:rPr>
              <w:t>Закупка товаров, работ и услуг для государственных (муниципальных) нужд</w:t>
            </w:r>
          </w:p>
        </w:tc>
        <w:tc>
          <w:tcPr>
            <w:tcW w:w="1134" w:type="dxa"/>
            <w:vMerge w:val="restart"/>
            <w:shd w:val="clear" w:color="auto" w:fill="auto"/>
            <w:noWrap/>
            <w:vAlign w:val="center"/>
          </w:tcPr>
          <w:p w14:paraId="4D19C730"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1 138 949,4</w:t>
            </w:r>
          </w:p>
        </w:tc>
        <w:tc>
          <w:tcPr>
            <w:tcW w:w="1134" w:type="dxa"/>
            <w:vMerge w:val="restart"/>
            <w:shd w:val="clear" w:color="auto" w:fill="auto"/>
            <w:noWrap/>
            <w:vAlign w:val="center"/>
          </w:tcPr>
          <w:p w14:paraId="70FB6B2E"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2 078 141,0</w:t>
            </w:r>
          </w:p>
        </w:tc>
        <w:tc>
          <w:tcPr>
            <w:tcW w:w="1134" w:type="dxa"/>
            <w:vMerge w:val="restart"/>
            <w:shd w:val="clear" w:color="auto" w:fill="auto"/>
            <w:noWrap/>
            <w:vAlign w:val="center"/>
          </w:tcPr>
          <w:p w14:paraId="784BAF61"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1 350 195,1</w:t>
            </w:r>
          </w:p>
        </w:tc>
        <w:tc>
          <w:tcPr>
            <w:tcW w:w="1134" w:type="dxa"/>
            <w:vMerge w:val="restart"/>
            <w:shd w:val="clear" w:color="auto" w:fill="auto"/>
            <w:noWrap/>
            <w:vAlign w:val="center"/>
          </w:tcPr>
          <w:p w14:paraId="0A941D32" w14:textId="77777777" w:rsidR="003D711F" w:rsidRPr="00213A5D" w:rsidRDefault="003D711F" w:rsidP="00987305">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65</w:t>
            </w:r>
          </w:p>
        </w:tc>
        <w:tc>
          <w:tcPr>
            <w:tcW w:w="850" w:type="dxa"/>
            <w:vMerge w:val="restart"/>
            <w:shd w:val="clear" w:color="auto" w:fill="auto"/>
            <w:noWrap/>
            <w:vAlign w:val="center"/>
          </w:tcPr>
          <w:p w14:paraId="6F30AB80"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118,5</w:t>
            </w:r>
          </w:p>
        </w:tc>
      </w:tr>
      <w:tr w:rsidR="003D711F" w:rsidRPr="00213A5D" w14:paraId="26F85618" w14:textId="77777777" w:rsidTr="001F7856">
        <w:trPr>
          <w:trHeight w:val="322"/>
        </w:trPr>
        <w:tc>
          <w:tcPr>
            <w:tcW w:w="724" w:type="dxa"/>
            <w:vMerge/>
            <w:vAlign w:val="center"/>
            <w:hideMark/>
          </w:tcPr>
          <w:p w14:paraId="0DAE9DBB" w14:textId="77777777" w:rsidR="003D711F" w:rsidRPr="00213A5D" w:rsidRDefault="003D711F" w:rsidP="00AF1852">
            <w:pPr>
              <w:widowControl w:val="0"/>
              <w:overflowPunct/>
              <w:autoSpaceDE/>
              <w:autoSpaceDN/>
              <w:adjustRightInd/>
              <w:spacing w:line="240" w:lineRule="auto"/>
              <w:ind w:left="0" w:right="0" w:firstLine="0"/>
              <w:jc w:val="left"/>
              <w:textAlignment w:val="auto"/>
              <w:rPr>
                <w:color w:val="000000"/>
                <w:sz w:val="16"/>
                <w:szCs w:val="16"/>
              </w:rPr>
            </w:pPr>
          </w:p>
        </w:tc>
        <w:tc>
          <w:tcPr>
            <w:tcW w:w="3529" w:type="dxa"/>
            <w:vMerge/>
            <w:vAlign w:val="center"/>
            <w:hideMark/>
          </w:tcPr>
          <w:p w14:paraId="7EE5B7D7" w14:textId="77777777" w:rsidR="003D711F" w:rsidRPr="00213A5D" w:rsidRDefault="003D711F" w:rsidP="00AF1852">
            <w:pPr>
              <w:widowControl w:val="0"/>
              <w:overflowPunct/>
              <w:autoSpaceDE/>
              <w:autoSpaceDN/>
              <w:adjustRightInd/>
              <w:spacing w:line="240" w:lineRule="auto"/>
              <w:ind w:left="0" w:right="0" w:firstLine="0"/>
              <w:jc w:val="left"/>
              <w:textAlignment w:val="auto"/>
              <w:rPr>
                <w:color w:val="000000"/>
                <w:sz w:val="16"/>
                <w:szCs w:val="16"/>
              </w:rPr>
            </w:pPr>
          </w:p>
        </w:tc>
        <w:tc>
          <w:tcPr>
            <w:tcW w:w="1134" w:type="dxa"/>
            <w:vMerge/>
            <w:vAlign w:val="center"/>
          </w:tcPr>
          <w:p w14:paraId="4DCABA0D"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p>
        </w:tc>
        <w:tc>
          <w:tcPr>
            <w:tcW w:w="1134" w:type="dxa"/>
            <w:vMerge/>
            <w:vAlign w:val="center"/>
          </w:tcPr>
          <w:p w14:paraId="755063CE"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p>
        </w:tc>
        <w:tc>
          <w:tcPr>
            <w:tcW w:w="1134" w:type="dxa"/>
            <w:vMerge/>
            <w:vAlign w:val="center"/>
          </w:tcPr>
          <w:p w14:paraId="2811C2EF"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p>
        </w:tc>
        <w:tc>
          <w:tcPr>
            <w:tcW w:w="1134" w:type="dxa"/>
            <w:vMerge/>
            <w:vAlign w:val="center"/>
          </w:tcPr>
          <w:p w14:paraId="4C701048"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p>
        </w:tc>
        <w:tc>
          <w:tcPr>
            <w:tcW w:w="850" w:type="dxa"/>
            <w:vMerge/>
            <w:vAlign w:val="center"/>
          </w:tcPr>
          <w:p w14:paraId="022D829C"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p>
        </w:tc>
      </w:tr>
      <w:tr w:rsidR="003D711F" w:rsidRPr="00213A5D" w14:paraId="6E57479F" w14:textId="77777777" w:rsidTr="001F7856">
        <w:trPr>
          <w:trHeight w:val="57"/>
        </w:trPr>
        <w:tc>
          <w:tcPr>
            <w:tcW w:w="724" w:type="dxa"/>
            <w:shd w:val="clear" w:color="auto" w:fill="auto"/>
            <w:noWrap/>
            <w:vAlign w:val="center"/>
            <w:hideMark/>
          </w:tcPr>
          <w:p w14:paraId="200B8BC6"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bCs/>
                <w:color w:val="000000"/>
                <w:sz w:val="16"/>
                <w:szCs w:val="16"/>
              </w:rPr>
              <w:t>323</w:t>
            </w:r>
          </w:p>
        </w:tc>
        <w:tc>
          <w:tcPr>
            <w:tcW w:w="3529" w:type="dxa"/>
            <w:shd w:val="clear" w:color="auto" w:fill="auto"/>
            <w:vAlign w:val="center"/>
            <w:hideMark/>
          </w:tcPr>
          <w:p w14:paraId="75FDE61F" w14:textId="77777777" w:rsidR="003D711F" w:rsidRPr="00213A5D" w:rsidRDefault="003D711F" w:rsidP="00AF1852">
            <w:pPr>
              <w:widowControl w:val="0"/>
              <w:overflowPunct/>
              <w:autoSpaceDE/>
              <w:autoSpaceDN/>
              <w:adjustRightInd/>
              <w:spacing w:line="240" w:lineRule="auto"/>
              <w:ind w:left="0" w:right="0" w:firstLine="0"/>
              <w:textAlignment w:val="auto"/>
              <w:rPr>
                <w:color w:val="000000"/>
                <w:sz w:val="16"/>
                <w:szCs w:val="16"/>
              </w:rPr>
            </w:pPr>
            <w:r w:rsidRPr="00213A5D">
              <w:rPr>
                <w:bCs/>
                <w:color w:val="000000"/>
                <w:sz w:val="16"/>
                <w:szCs w:val="16"/>
              </w:rPr>
              <w:t>Приобретение товаров, работ, услуг в пользу граждан в целях их социального обеспечения</w:t>
            </w:r>
          </w:p>
        </w:tc>
        <w:tc>
          <w:tcPr>
            <w:tcW w:w="1134" w:type="dxa"/>
            <w:shd w:val="clear" w:color="auto" w:fill="auto"/>
            <w:vAlign w:val="center"/>
          </w:tcPr>
          <w:p w14:paraId="2872202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5 617,7</w:t>
            </w:r>
          </w:p>
        </w:tc>
        <w:tc>
          <w:tcPr>
            <w:tcW w:w="1134" w:type="dxa"/>
            <w:shd w:val="clear" w:color="auto" w:fill="auto"/>
            <w:noWrap/>
            <w:vAlign w:val="center"/>
          </w:tcPr>
          <w:p w14:paraId="3D478F58"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9 346,4</w:t>
            </w:r>
          </w:p>
        </w:tc>
        <w:tc>
          <w:tcPr>
            <w:tcW w:w="1134" w:type="dxa"/>
            <w:shd w:val="clear" w:color="auto" w:fill="auto"/>
            <w:noWrap/>
            <w:vAlign w:val="center"/>
          </w:tcPr>
          <w:p w14:paraId="7D52F86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5 489,0</w:t>
            </w:r>
          </w:p>
        </w:tc>
        <w:tc>
          <w:tcPr>
            <w:tcW w:w="1134" w:type="dxa"/>
            <w:shd w:val="clear" w:color="auto" w:fill="auto"/>
            <w:noWrap/>
            <w:vAlign w:val="center"/>
          </w:tcPr>
          <w:p w14:paraId="730FCA80"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58,7</w:t>
            </w:r>
          </w:p>
        </w:tc>
        <w:tc>
          <w:tcPr>
            <w:tcW w:w="850" w:type="dxa"/>
            <w:shd w:val="clear" w:color="auto" w:fill="auto"/>
            <w:noWrap/>
            <w:vAlign w:val="center"/>
          </w:tcPr>
          <w:p w14:paraId="3FD876ED"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97,7</w:t>
            </w:r>
          </w:p>
        </w:tc>
      </w:tr>
      <w:tr w:rsidR="003D711F" w:rsidRPr="00213A5D" w14:paraId="2FF12DDF" w14:textId="77777777" w:rsidTr="001F7856">
        <w:trPr>
          <w:trHeight w:val="57"/>
        </w:trPr>
        <w:tc>
          <w:tcPr>
            <w:tcW w:w="724" w:type="dxa"/>
            <w:shd w:val="clear" w:color="auto" w:fill="auto"/>
            <w:noWrap/>
            <w:vAlign w:val="center"/>
            <w:hideMark/>
          </w:tcPr>
          <w:p w14:paraId="2563A3B0"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bCs/>
                <w:color w:val="000000"/>
                <w:sz w:val="16"/>
                <w:szCs w:val="16"/>
              </w:rPr>
              <w:t>400</w:t>
            </w:r>
          </w:p>
        </w:tc>
        <w:tc>
          <w:tcPr>
            <w:tcW w:w="3529" w:type="dxa"/>
            <w:shd w:val="clear" w:color="auto" w:fill="auto"/>
            <w:vAlign w:val="center"/>
            <w:hideMark/>
          </w:tcPr>
          <w:p w14:paraId="7A8B5367" w14:textId="77777777" w:rsidR="003D711F" w:rsidRPr="00213A5D" w:rsidRDefault="003D711F" w:rsidP="00AF1852">
            <w:pPr>
              <w:widowControl w:val="0"/>
              <w:overflowPunct/>
              <w:autoSpaceDE/>
              <w:autoSpaceDN/>
              <w:adjustRightInd/>
              <w:spacing w:line="240" w:lineRule="auto"/>
              <w:ind w:left="0" w:right="0" w:firstLine="0"/>
              <w:textAlignment w:val="auto"/>
              <w:rPr>
                <w:color w:val="000000"/>
                <w:sz w:val="16"/>
                <w:szCs w:val="16"/>
              </w:rPr>
            </w:pPr>
            <w:r w:rsidRPr="00213A5D">
              <w:rPr>
                <w:bCs/>
                <w:color w:val="000000"/>
                <w:sz w:val="16"/>
                <w:szCs w:val="16"/>
              </w:rPr>
              <w:t>Капитальные вложения в объекты государственной (муниципальной) собственности</w:t>
            </w:r>
          </w:p>
        </w:tc>
        <w:tc>
          <w:tcPr>
            <w:tcW w:w="1134" w:type="dxa"/>
            <w:shd w:val="clear" w:color="auto" w:fill="auto"/>
            <w:vAlign w:val="center"/>
          </w:tcPr>
          <w:p w14:paraId="4E0B86A9"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418 262,8</w:t>
            </w:r>
          </w:p>
        </w:tc>
        <w:tc>
          <w:tcPr>
            <w:tcW w:w="1134" w:type="dxa"/>
            <w:shd w:val="clear" w:color="auto" w:fill="auto"/>
            <w:noWrap/>
            <w:vAlign w:val="center"/>
          </w:tcPr>
          <w:p w14:paraId="2B39DF2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921 830,2</w:t>
            </w:r>
          </w:p>
        </w:tc>
        <w:tc>
          <w:tcPr>
            <w:tcW w:w="1134" w:type="dxa"/>
            <w:shd w:val="clear" w:color="auto" w:fill="auto"/>
            <w:noWrap/>
            <w:vAlign w:val="center"/>
          </w:tcPr>
          <w:p w14:paraId="6631D7BE"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564 095,0</w:t>
            </w:r>
          </w:p>
        </w:tc>
        <w:tc>
          <w:tcPr>
            <w:tcW w:w="1134" w:type="dxa"/>
            <w:shd w:val="clear" w:color="auto" w:fill="auto"/>
            <w:noWrap/>
            <w:vAlign w:val="center"/>
          </w:tcPr>
          <w:p w14:paraId="212E7D4D"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61,2</w:t>
            </w:r>
          </w:p>
        </w:tc>
        <w:tc>
          <w:tcPr>
            <w:tcW w:w="850" w:type="dxa"/>
            <w:shd w:val="clear" w:color="auto" w:fill="auto"/>
            <w:noWrap/>
            <w:vAlign w:val="center"/>
          </w:tcPr>
          <w:p w14:paraId="0F89AE5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134,9</w:t>
            </w:r>
          </w:p>
        </w:tc>
      </w:tr>
      <w:tr w:rsidR="003D711F" w:rsidRPr="00213A5D" w14:paraId="4C80C0BF" w14:textId="77777777" w:rsidTr="001F7856">
        <w:trPr>
          <w:trHeight w:val="57"/>
        </w:trPr>
        <w:tc>
          <w:tcPr>
            <w:tcW w:w="724" w:type="dxa"/>
            <w:shd w:val="clear" w:color="auto" w:fill="auto"/>
            <w:noWrap/>
            <w:vAlign w:val="center"/>
            <w:hideMark/>
          </w:tcPr>
          <w:p w14:paraId="527992B0" w14:textId="77777777" w:rsidR="003D711F" w:rsidRPr="00213A5D" w:rsidRDefault="003D711F" w:rsidP="00AF1852">
            <w:pPr>
              <w:widowControl w:val="0"/>
              <w:overflowPunct/>
              <w:autoSpaceDE/>
              <w:autoSpaceDN/>
              <w:adjustRightInd/>
              <w:spacing w:line="240" w:lineRule="auto"/>
              <w:ind w:left="0" w:right="0" w:firstLine="0"/>
              <w:jc w:val="center"/>
              <w:textAlignment w:val="auto"/>
              <w:rPr>
                <w:color w:val="000000"/>
                <w:sz w:val="16"/>
                <w:szCs w:val="16"/>
              </w:rPr>
            </w:pPr>
            <w:r w:rsidRPr="00213A5D">
              <w:rPr>
                <w:bCs/>
                <w:color w:val="000000"/>
                <w:sz w:val="16"/>
                <w:szCs w:val="16"/>
              </w:rPr>
              <w:t>522</w:t>
            </w:r>
          </w:p>
        </w:tc>
        <w:tc>
          <w:tcPr>
            <w:tcW w:w="3529" w:type="dxa"/>
            <w:shd w:val="clear" w:color="auto" w:fill="auto"/>
            <w:vAlign w:val="center"/>
            <w:hideMark/>
          </w:tcPr>
          <w:p w14:paraId="1CFD3924" w14:textId="77777777" w:rsidR="003D711F" w:rsidRPr="00213A5D" w:rsidRDefault="003D711F" w:rsidP="00AF1852">
            <w:pPr>
              <w:widowControl w:val="0"/>
              <w:overflowPunct/>
              <w:autoSpaceDE/>
              <w:autoSpaceDN/>
              <w:adjustRightInd/>
              <w:spacing w:line="240" w:lineRule="auto"/>
              <w:ind w:left="0" w:right="0" w:firstLine="0"/>
              <w:textAlignment w:val="auto"/>
              <w:rPr>
                <w:color w:val="000000"/>
                <w:sz w:val="16"/>
                <w:szCs w:val="16"/>
              </w:rPr>
            </w:pPr>
            <w:r w:rsidRPr="00213A5D">
              <w:rPr>
                <w:bCs/>
                <w:color w:val="000000"/>
                <w:sz w:val="16"/>
                <w:szCs w:val="16"/>
              </w:rPr>
              <w:t>Субсидии на софинансирование капитальных вложений в объекты государственной (муниципальной) собственности</w:t>
            </w:r>
          </w:p>
        </w:tc>
        <w:tc>
          <w:tcPr>
            <w:tcW w:w="1134" w:type="dxa"/>
            <w:shd w:val="clear" w:color="auto" w:fill="auto"/>
            <w:vAlign w:val="center"/>
          </w:tcPr>
          <w:p w14:paraId="3985CD54"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80 566,4</w:t>
            </w:r>
          </w:p>
        </w:tc>
        <w:tc>
          <w:tcPr>
            <w:tcW w:w="1134" w:type="dxa"/>
            <w:shd w:val="clear" w:color="auto" w:fill="auto"/>
            <w:noWrap/>
            <w:vAlign w:val="center"/>
          </w:tcPr>
          <w:p w14:paraId="5D22F2A5"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247 211,6</w:t>
            </w:r>
          </w:p>
        </w:tc>
        <w:tc>
          <w:tcPr>
            <w:tcW w:w="1134" w:type="dxa"/>
            <w:shd w:val="clear" w:color="auto" w:fill="auto"/>
            <w:noWrap/>
            <w:vAlign w:val="center"/>
          </w:tcPr>
          <w:p w14:paraId="20C389B2"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141 375,7</w:t>
            </w:r>
          </w:p>
        </w:tc>
        <w:tc>
          <w:tcPr>
            <w:tcW w:w="1134" w:type="dxa"/>
            <w:shd w:val="clear" w:color="auto" w:fill="auto"/>
            <w:noWrap/>
            <w:vAlign w:val="center"/>
          </w:tcPr>
          <w:p w14:paraId="08863EC5"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57,2</w:t>
            </w:r>
          </w:p>
        </w:tc>
        <w:tc>
          <w:tcPr>
            <w:tcW w:w="850" w:type="dxa"/>
            <w:shd w:val="clear" w:color="auto" w:fill="auto"/>
            <w:noWrap/>
            <w:vAlign w:val="center"/>
          </w:tcPr>
          <w:p w14:paraId="2122BB86"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175,5</w:t>
            </w:r>
          </w:p>
        </w:tc>
      </w:tr>
      <w:tr w:rsidR="003D711F" w:rsidRPr="00213A5D" w14:paraId="67747D2B" w14:textId="77777777" w:rsidTr="001F7856">
        <w:trPr>
          <w:trHeight w:val="57"/>
        </w:trPr>
        <w:tc>
          <w:tcPr>
            <w:tcW w:w="724" w:type="dxa"/>
            <w:shd w:val="clear" w:color="auto" w:fill="auto"/>
            <w:noWrap/>
            <w:vAlign w:val="center"/>
          </w:tcPr>
          <w:p w14:paraId="026F3AA7" w14:textId="77777777" w:rsidR="003D711F" w:rsidRPr="00213A5D" w:rsidRDefault="003D711F" w:rsidP="00AF1852">
            <w:pPr>
              <w:widowControl w:val="0"/>
              <w:overflowPunct/>
              <w:autoSpaceDE/>
              <w:autoSpaceDN/>
              <w:adjustRightInd/>
              <w:spacing w:line="240" w:lineRule="auto"/>
              <w:ind w:left="0" w:right="0" w:firstLine="0"/>
              <w:jc w:val="center"/>
              <w:textAlignment w:val="auto"/>
              <w:rPr>
                <w:bCs/>
                <w:color w:val="000000"/>
                <w:sz w:val="16"/>
                <w:szCs w:val="16"/>
              </w:rPr>
            </w:pPr>
            <w:r w:rsidRPr="00213A5D">
              <w:rPr>
                <w:bCs/>
                <w:color w:val="000000"/>
                <w:sz w:val="16"/>
                <w:szCs w:val="16"/>
              </w:rPr>
              <w:t>880</w:t>
            </w:r>
          </w:p>
        </w:tc>
        <w:tc>
          <w:tcPr>
            <w:tcW w:w="3529" w:type="dxa"/>
            <w:shd w:val="clear" w:color="auto" w:fill="auto"/>
            <w:vAlign w:val="center"/>
          </w:tcPr>
          <w:p w14:paraId="0029D54A" w14:textId="77777777" w:rsidR="003D711F" w:rsidRPr="00213A5D" w:rsidRDefault="003D711F" w:rsidP="00AF1852">
            <w:pPr>
              <w:widowControl w:val="0"/>
              <w:overflowPunct/>
              <w:autoSpaceDE/>
              <w:autoSpaceDN/>
              <w:adjustRightInd/>
              <w:spacing w:line="240" w:lineRule="auto"/>
              <w:ind w:left="0" w:right="0" w:firstLine="0"/>
              <w:textAlignment w:val="auto"/>
              <w:rPr>
                <w:bCs/>
                <w:color w:val="000000"/>
                <w:sz w:val="16"/>
                <w:szCs w:val="16"/>
              </w:rPr>
            </w:pPr>
            <w:r w:rsidRPr="00213A5D">
              <w:rPr>
                <w:bCs/>
                <w:color w:val="000000"/>
                <w:sz w:val="16"/>
                <w:szCs w:val="16"/>
              </w:rPr>
              <w:t>Специальные расходы</w:t>
            </w:r>
          </w:p>
        </w:tc>
        <w:tc>
          <w:tcPr>
            <w:tcW w:w="1134" w:type="dxa"/>
            <w:shd w:val="clear" w:color="auto" w:fill="auto"/>
            <w:vAlign w:val="center"/>
          </w:tcPr>
          <w:p w14:paraId="5FE82956"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20 209,9</w:t>
            </w:r>
          </w:p>
        </w:tc>
        <w:tc>
          <w:tcPr>
            <w:tcW w:w="1134" w:type="dxa"/>
            <w:shd w:val="clear" w:color="auto" w:fill="auto"/>
            <w:noWrap/>
            <w:vAlign w:val="center"/>
          </w:tcPr>
          <w:p w14:paraId="6886B495"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28 081,3</w:t>
            </w:r>
          </w:p>
        </w:tc>
        <w:tc>
          <w:tcPr>
            <w:tcW w:w="1134" w:type="dxa"/>
            <w:shd w:val="clear" w:color="auto" w:fill="auto"/>
            <w:noWrap/>
            <w:vAlign w:val="center"/>
          </w:tcPr>
          <w:p w14:paraId="12CA9ABD"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18 731,1</w:t>
            </w:r>
          </w:p>
        </w:tc>
        <w:tc>
          <w:tcPr>
            <w:tcW w:w="1134" w:type="dxa"/>
            <w:shd w:val="clear" w:color="auto" w:fill="auto"/>
            <w:noWrap/>
            <w:vAlign w:val="center"/>
          </w:tcPr>
          <w:p w14:paraId="019EF9A3"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66,7</w:t>
            </w:r>
          </w:p>
        </w:tc>
        <w:tc>
          <w:tcPr>
            <w:tcW w:w="850" w:type="dxa"/>
            <w:shd w:val="clear" w:color="auto" w:fill="auto"/>
            <w:noWrap/>
            <w:vAlign w:val="center"/>
          </w:tcPr>
          <w:p w14:paraId="4ADBA5CD"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92,7</w:t>
            </w:r>
          </w:p>
        </w:tc>
      </w:tr>
      <w:tr w:rsidR="003D711F" w:rsidRPr="00213A5D" w14:paraId="3289978D" w14:textId="77777777" w:rsidTr="001F7856">
        <w:trPr>
          <w:trHeight w:val="57"/>
        </w:trPr>
        <w:tc>
          <w:tcPr>
            <w:tcW w:w="724" w:type="dxa"/>
            <w:shd w:val="clear" w:color="auto" w:fill="auto"/>
            <w:noWrap/>
            <w:vAlign w:val="center"/>
            <w:hideMark/>
          </w:tcPr>
          <w:p w14:paraId="7AF2BBCD" w14:textId="77777777" w:rsidR="003D711F" w:rsidRPr="00213A5D" w:rsidRDefault="003D711F" w:rsidP="00AF1852">
            <w:pPr>
              <w:widowControl w:val="0"/>
              <w:overflowPunct/>
              <w:autoSpaceDE/>
              <w:autoSpaceDN/>
              <w:adjustRightInd/>
              <w:spacing w:line="240" w:lineRule="auto"/>
              <w:ind w:left="-57" w:right="-57" w:firstLine="0"/>
              <w:jc w:val="left"/>
              <w:textAlignment w:val="auto"/>
              <w:rPr>
                <w:color w:val="000000"/>
                <w:sz w:val="16"/>
                <w:szCs w:val="16"/>
              </w:rPr>
            </w:pPr>
            <w:r w:rsidRPr="00213A5D">
              <w:rPr>
                <w:color w:val="000000"/>
                <w:sz w:val="16"/>
                <w:szCs w:val="16"/>
              </w:rPr>
              <w:t> </w:t>
            </w:r>
          </w:p>
        </w:tc>
        <w:tc>
          <w:tcPr>
            <w:tcW w:w="3529" w:type="dxa"/>
            <w:shd w:val="clear" w:color="auto" w:fill="auto"/>
            <w:vAlign w:val="center"/>
            <w:hideMark/>
          </w:tcPr>
          <w:p w14:paraId="4D1B97DD" w14:textId="77777777" w:rsidR="003D711F" w:rsidRPr="00213A5D" w:rsidRDefault="003D711F" w:rsidP="00AF1852">
            <w:pPr>
              <w:widowControl w:val="0"/>
              <w:overflowPunct/>
              <w:autoSpaceDE/>
              <w:autoSpaceDN/>
              <w:adjustRightInd/>
              <w:spacing w:line="240" w:lineRule="auto"/>
              <w:ind w:left="-57" w:right="-57" w:firstLine="0"/>
              <w:jc w:val="center"/>
              <w:textAlignment w:val="auto"/>
              <w:rPr>
                <w:b/>
                <w:bCs/>
                <w:color w:val="000000"/>
                <w:sz w:val="16"/>
                <w:szCs w:val="16"/>
              </w:rPr>
            </w:pPr>
            <w:r w:rsidRPr="00213A5D">
              <w:rPr>
                <w:b/>
                <w:bCs/>
                <w:color w:val="000000"/>
                <w:sz w:val="16"/>
                <w:szCs w:val="16"/>
              </w:rPr>
              <w:t>Итого</w:t>
            </w:r>
          </w:p>
        </w:tc>
        <w:tc>
          <w:tcPr>
            <w:tcW w:w="1134" w:type="dxa"/>
            <w:shd w:val="clear" w:color="auto" w:fill="auto"/>
            <w:vAlign w:val="center"/>
          </w:tcPr>
          <w:p w14:paraId="369DE4CF"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1 663 606,2</w:t>
            </w:r>
          </w:p>
        </w:tc>
        <w:tc>
          <w:tcPr>
            <w:tcW w:w="1134" w:type="dxa"/>
            <w:shd w:val="clear" w:color="auto" w:fill="auto"/>
            <w:noWrap/>
            <w:vAlign w:val="center"/>
          </w:tcPr>
          <w:p w14:paraId="625FA5C6"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3 284 610,5</w:t>
            </w:r>
          </w:p>
        </w:tc>
        <w:tc>
          <w:tcPr>
            <w:tcW w:w="1134" w:type="dxa"/>
            <w:shd w:val="clear" w:color="auto" w:fill="auto"/>
            <w:noWrap/>
            <w:vAlign w:val="center"/>
          </w:tcPr>
          <w:p w14:paraId="0A678F33"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2 079 885,9</w:t>
            </w:r>
          </w:p>
        </w:tc>
        <w:tc>
          <w:tcPr>
            <w:tcW w:w="1134" w:type="dxa"/>
            <w:shd w:val="clear" w:color="auto" w:fill="auto"/>
            <w:noWrap/>
            <w:vAlign w:val="center"/>
          </w:tcPr>
          <w:p w14:paraId="41ED4B14" w14:textId="77777777" w:rsidR="003D711F" w:rsidRPr="00213A5D" w:rsidRDefault="003D711F"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63,3</w:t>
            </w:r>
          </w:p>
        </w:tc>
        <w:tc>
          <w:tcPr>
            <w:tcW w:w="850" w:type="dxa"/>
            <w:shd w:val="clear" w:color="auto" w:fill="auto"/>
            <w:noWrap/>
            <w:vAlign w:val="center"/>
          </w:tcPr>
          <w:p w14:paraId="476616E8" w14:textId="77777777" w:rsidR="003D711F" w:rsidRPr="00213A5D" w:rsidRDefault="003D711F" w:rsidP="00987305">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125</w:t>
            </w:r>
          </w:p>
        </w:tc>
      </w:tr>
    </w:tbl>
    <w:p w14:paraId="6387CAD2" w14:textId="77777777" w:rsidR="003D711F" w:rsidRPr="00213A5D" w:rsidRDefault="003D711F" w:rsidP="00593C46">
      <w:pPr>
        <w:widowControl w:val="0"/>
        <w:spacing w:line="240" w:lineRule="auto"/>
        <w:ind w:left="0" w:right="0"/>
        <w:jc w:val="right"/>
        <w:textAlignment w:val="auto"/>
        <w:rPr>
          <w:sz w:val="20"/>
          <w:szCs w:val="20"/>
          <w:lang w:eastAsia="en-US"/>
        </w:rPr>
      </w:pPr>
    </w:p>
    <w:p w14:paraId="6B7CC8E2" w14:textId="77777777" w:rsidR="003D711F" w:rsidRPr="00213A5D" w:rsidRDefault="003D711F" w:rsidP="00AF1852">
      <w:pPr>
        <w:widowControl w:val="0"/>
        <w:tabs>
          <w:tab w:val="left" w:pos="8649"/>
        </w:tabs>
        <w:overflowPunct/>
        <w:spacing w:line="365" w:lineRule="auto"/>
        <w:ind w:left="0" w:right="0"/>
        <w:textAlignment w:val="auto"/>
        <w:rPr>
          <w:sz w:val="24"/>
          <w:szCs w:val="24"/>
          <w:lang w:eastAsia="en-US"/>
        </w:rPr>
      </w:pPr>
      <w:r w:rsidRPr="00213A5D">
        <w:rPr>
          <w:sz w:val="24"/>
          <w:szCs w:val="24"/>
          <w:lang w:eastAsia="en-US"/>
        </w:rPr>
        <w:t xml:space="preserve">В январе – сентябре 2022 года по сравнению с аналогичным периодом 2021 года объем контрактуемых расходов увеличился на 416 279,7 млн. рублей, или на 25 %, в основном за счет увеличения расходов </w:t>
      </w:r>
      <w:r w:rsidRPr="00213A5D">
        <w:rPr>
          <w:bCs/>
          <w:sz w:val="24"/>
          <w:szCs w:val="24"/>
          <w:lang w:eastAsia="en-US"/>
        </w:rPr>
        <w:t>на</w:t>
      </w:r>
      <w:r w:rsidRPr="00213A5D">
        <w:rPr>
          <w:sz w:val="24"/>
          <w:szCs w:val="24"/>
          <w:lang w:eastAsia="en-US"/>
        </w:rPr>
        <w:t xml:space="preserve"> закупку товаров, работ и услуг для государственных нужд (на 211 245,8 млн. рублей, или на 18,5 %) и на капитальные вложения </w:t>
      </w:r>
      <w:r w:rsidRPr="00213A5D">
        <w:rPr>
          <w:bCs/>
          <w:sz w:val="24"/>
          <w:szCs w:val="24"/>
          <w:lang w:eastAsia="en-US"/>
        </w:rPr>
        <w:t xml:space="preserve">в объекты государственной (муниципальной) собственности (на 145 832,1 млн. рублей, </w:t>
      </w:r>
      <w:r w:rsidR="00593C46" w:rsidRPr="00213A5D">
        <w:rPr>
          <w:bCs/>
          <w:sz w:val="24"/>
          <w:szCs w:val="24"/>
          <w:lang w:eastAsia="en-US"/>
        </w:rPr>
        <w:br/>
      </w:r>
      <w:r w:rsidRPr="00213A5D">
        <w:rPr>
          <w:bCs/>
          <w:sz w:val="24"/>
          <w:szCs w:val="24"/>
          <w:lang w:eastAsia="en-US"/>
        </w:rPr>
        <w:t>или на 34,9 %)</w:t>
      </w:r>
      <w:r w:rsidRPr="00213A5D">
        <w:rPr>
          <w:sz w:val="24"/>
          <w:szCs w:val="24"/>
          <w:lang w:eastAsia="en-US"/>
        </w:rPr>
        <w:t>.</w:t>
      </w:r>
    </w:p>
    <w:p w14:paraId="2D3363D7" w14:textId="77777777" w:rsidR="003D711F" w:rsidRPr="00213A5D" w:rsidRDefault="003D711F" w:rsidP="00AF1852">
      <w:pPr>
        <w:widowControl w:val="0"/>
        <w:spacing w:line="367" w:lineRule="auto"/>
        <w:ind w:left="0" w:right="-2"/>
        <w:textAlignment w:val="auto"/>
        <w:rPr>
          <w:bCs/>
          <w:color w:val="000000"/>
          <w:sz w:val="24"/>
          <w:szCs w:val="24"/>
        </w:rPr>
      </w:pPr>
      <w:r w:rsidRPr="00213A5D">
        <w:rPr>
          <w:bCs/>
          <w:sz w:val="24"/>
          <w:szCs w:val="24"/>
        </w:rPr>
        <w:t>Уровень исполнения контрактуемых расходов (открытая часть) на 3,9 процентного пункта выше, чем за аналогичный период 2021 года (59,4 %).</w:t>
      </w:r>
    </w:p>
    <w:p w14:paraId="2789EB93" w14:textId="77777777" w:rsidR="003D711F" w:rsidRPr="00213A5D" w:rsidRDefault="003D711F" w:rsidP="00AF1852">
      <w:pPr>
        <w:widowControl w:val="0"/>
        <w:spacing w:line="367" w:lineRule="auto"/>
        <w:ind w:left="0" w:right="0"/>
        <w:rPr>
          <w:b/>
          <w:bCs/>
          <w:color w:val="000000"/>
          <w:sz w:val="24"/>
          <w:szCs w:val="24"/>
        </w:rPr>
      </w:pPr>
      <w:r w:rsidRPr="00213A5D">
        <w:rPr>
          <w:bCs/>
          <w:color w:val="000000"/>
          <w:sz w:val="24"/>
          <w:szCs w:val="24"/>
        </w:rPr>
        <w:t xml:space="preserve">Необходимо отметить, что </w:t>
      </w:r>
      <w:r w:rsidRPr="00213A5D">
        <w:rPr>
          <w:b/>
          <w:bCs/>
          <w:color w:val="000000"/>
          <w:sz w:val="24"/>
          <w:szCs w:val="24"/>
        </w:rPr>
        <w:t>в целом</w:t>
      </w:r>
      <w:r w:rsidRPr="00213A5D">
        <w:rPr>
          <w:bCs/>
          <w:color w:val="000000"/>
          <w:sz w:val="24"/>
          <w:szCs w:val="24"/>
        </w:rPr>
        <w:t xml:space="preserve"> исполнение контрактуемых расходов </w:t>
      </w:r>
      <w:r w:rsidRPr="00213A5D">
        <w:rPr>
          <w:b/>
          <w:bCs/>
          <w:color w:val="000000"/>
          <w:sz w:val="24"/>
          <w:szCs w:val="24"/>
        </w:rPr>
        <w:t>за январь – сентябрь 2022 года</w:t>
      </w:r>
      <w:r w:rsidRPr="00213A5D">
        <w:rPr>
          <w:bCs/>
          <w:color w:val="000000"/>
          <w:sz w:val="24"/>
          <w:szCs w:val="24"/>
        </w:rPr>
        <w:t xml:space="preserve"> </w:t>
      </w:r>
      <w:r w:rsidRPr="00213A5D">
        <w:rPr>
          <w:b/>
          <w:bCs/>
          <w:color w:val="000000"/>
          <w:sz w:val="24"/>
          <w:szCs w:val="24"/>
        </w:rPr>
        <w:t>составило 70,9 %</w:t>
      </w:r>
      <w:r w:rsidRPr="00213A5D">
        <w:rPr>
          <w:bCs/>
          <w:color w:val="000000"/>
          <w:sz w:val="24"/>
          <w:szCs w:val="24"/>
        </w:rPr>
        <w:t xml:space="preserve"> показателя лимитов бюджетных обязательств, </w:t>
      </w:r>
      <w:r w:rsidR="00593C46" w:rsidRPr="00213A5D">
        <w:rPr>
          <w:bCs/>
          <w:color w:val="000000"/>
          <w:sz w:val="24"/>
          <w:szCs w:val="24"/>
        </w:rPr>
        <w:br/>
      </w:r>
      <w:r w:rsidRPr="00213A5D">
        <w:rPr>
          <w:b/>
          <w:bCs/>
          <w:color w:val="000000"/>
          <w:sz w:val="24"/>
          <w:szCs w:val="24"/>
        </w:rPr>
        <w:t xml:space="preserve">что на 10,2 процентного пункта выше </w:t>
      </w:r>
      <w:r w:rsidRPr="00213A5D">
        <w:rPr>
          <w:bCs/>
          <w:color w:val="000000"/>
          <w:sz w:val="24"/>
          <w:szCs w:val="24"/>
        </w:rPr>
        <w:t>уровня</w:t>
      </w:r>
      <w:r w:rsidRPr="00213A5D">
        <w:rPr>
          <w:b/>
          <w:bCs/>
          <w:color w:val="000000"/>
          <w:sz w:val="24"/>
          <w:szCs w:val="24"/>
        </w:rPr>
        <w:t xml:space="preserve"> </w:t>
      </w:r>
      <w:r w:rsidRPr="00213A5D">
        <w:rPr>
          <w:bCs/>
          <w:color w:val="000000"/>
          <w:sz w:val="24"/>
          <w:szCs w:val="24"/>
        </w:rPr>
        <w:t xml:space="preserve">исполнения указанных расходов </w:t>
      </w:r>
      <w:r w:rsidR="00593C46" w:rsidRPr="00213A5D">
        <w:rPr>
          <w:bCs/>
          <w:color w:val="000000"/>
          <w:sz w:val="24"/>
          <w:szCs w:val="24"/>
        </w:rPr>
        <w:br/>
      </w:r>
      <w:r w:rsidRPr="00213A5D">
        <w:rPr>
          <w:bCs/>
          <w:color w:val="000000"/>
          <w:sz w:val="24"/>
          <w:szCs w:val="24"/>
        </w:rPr>
        <w:t xml:space="preserve">за </w:t>
      </w:r>
      <w:r w:rsidRPr="00213A5D">
        <w:rPr>
          <w:b/>
          <w:bCs/>
          <w:color w:val="000000"/>
          <w:sz w:val="24"/>
          <w:szCs w:val="24"/>
        </w:rPr>
        <w:t>аналогичный период 2021 года.</w:t>
      </w:r>
    </w:p>
    <w:p w14:paraId="711F3047" w14:textId="77777777" w:rsidR="003D711F" w:rsidRPr="00213A5D" w:rsidRDefault="003D711F" w:rsidP="00AF1852">
      <w:pPr>
        <w:widowControl w:val="0"/>
        <w:spacing w:line="367" w:lineRule="auto"/>
        <w:ind w:left="0" w:right="0"/>
        <w:rPr>
          <w:bCs/>
          <w:sz w:val="24"/>
          <w:szCs w:val="24"/>
        </w:rPr>
      </w:pPr>
      <w:r w:rsidRPr="00213A5D">
        <w:rPr>
          <w:bCs/>
          <w:sz w:val="24"/>
          <w:szCs w:val="24"/>
        </w:rPr>
        <w:lastRenderedPageBreak/>
        <w:t xml:space="preserve">Исполнение контрактуемых расходов составляет от </w:t>
      </w:r>
      <w:r w:rsidRPr="00213A5D">
        <w:rPr>
          <w:b/>
          <w:bCs/>
          <w:sz w:val="24"/>
          <w:szCs w:val="24"/>
        </w:rPr>
        <w:t xml:space="preserve">16,4 % </w:t>
      </w:r>
      <w:r w:rsidRPr="00213A5D">
        <w:rPr>
          <w:bCs/>
          <w:sz w:val="24"/>
          <w:szCs w:val="24"/>
        </w:rPr>
        <w:t xml:space="preserve">утвержденных ЛБО </w:t>
      </w:r>
      <w:r w:rsidR="00593C46" w:rsidRPr="00213A5D">
        <w:rPr>
          <w:bCs/>
          <w:sz w:val="24"/>
          <w:szCs w:val="24"/>
        </w:rPr>
        <w:br/>
      </w:r>
      <w:r w:rsidRPr="00213A5D">
        <w:rPr>
          <w:bCs/>
          <w:sz w:val="24"/>
          <w:szCs w:val="24"/>
        </w:rPr>
        <w:t xml:space="preserve">по МГУ имени М.В. Ломоносова до </w:t>
      </w:r>
      <w:r w:rsidRPr="00213A5D">
        <w:rPr>
          <w:b/>
          <w:bCs/>
          <w:sz w:val="24"/>
          <w:szCs w:val="24"/>
        </w:rPr>
        <w:t>100 %</w:t>
      </w:r>
      <w:r w:rsidRPr="00213A5D">
        <w:rPr>
          <w:bCs/>
          <w:sz w:val="24"/>
          <w:szCs w:val="24"/>
        </w:rPr>
        <w:t xml:space="preserve"> по ФГБОУ ВО «Российская академия живописи, ваяния и зодчества Ильи Глазунова».</w:t>
      </w:r>
    </w:p>
    <w:p w14:paraId="548C17BE" w14:textId="77777777" w:rsidR="003D711F" w:rsidRPr="00213A5D" w:rsidRDefault="003D711F" w:rsidP="00AF1852">
      <w:pPr>
        <w:widowControl w:val="0"/>
        <w:spacing w:line="348" w:lineRule="auto"/>
        <w:ind w:left="0" w:right="0"/>
        <w:rPr>
          <w:sz w:val="24"/>
          <w:szCs w:val="24"/>
        </w:rPr>
      </w:pPr>
      <w:r w:rsidRPr="00213A5D">
        <w:rPr>
          <w:sz w:val="24"/>
          <w:szCs w:val="24"/>
        </w:rPr>
        <w:t>Анализ исполнения контрактуемых расходов федерального бюджета по состоянию на 1 октября 2022 года по главным распорядителям средств федерального бюджета представлен на следующей диаграмме.</w:t>
      </w:r>
    </w:p>
    <w:p w14:paraId="1D77A8EB" w14:textId="77777777" w:rsidR="00CB1E33" w:rsidRPr="00213A5D" w:rsidRDefault="00CD0E98" w:rsidP="00AF1852">
      <w:pPr>
        <w:widowControl w:val="0"/>
        <w:spacing w:line="348" w:lineRule="auto"/>
        <w:ind w:left="0" w:right="0" w:firstLine="0"/>
        <w:jc w:val="center"/>
        <w:rPr>
          <w:sz w:val="24"/>
          <w:szCs w:val="24"/>
        </w:rPr>
      </w:pPr>
      <w:r w:rsidRPr="00CD0E98">
        <w:rPr>
          <w:noProof/>
          <w:sz w:val="24"/>
          <w:szCs w:val="24"/>
        </w:rPr>
        <w:pict w14:anchorId="29884F36">
          <v:shape id="_x0000_i1051" type="#_x0000_t75" alt="" style="width:164.4pt;height:161pt;mso-width-percent:0;mso-height-percent:0;mso-position-horizontal-relative:char;mso-position-vertical-relative:line;mso-width-percent:0;mso-height-percent:0">
            <v:imagedata r:id="rId52" o:title="" cropleft="20140f" cropright="26486f"/>
          </v:shape>
        </w:pict>
      </w:r>
    </w:p>
    <w:p w14:paraId="1298117F" w14:textId="77777777" w:rsidR="003D711F" w:rsidRPr="00213A5D" w:rsidRDefault="003D711F" w:rsidP="00AF1852">
      <w:pPr>
        <w:widowControl w:val="0"/>
        <w:ind w:left="0" w:right="0"/>
        <w:rPr>
          <w:bCs/>
          <w:sz w:val="24"/>
          <w:szCs w:val="24"/>
        </w:rPr>
      </w:pPr>
      <w:r w:rsidRPr="00213A5D">
        <w:rPr>
          <w:bCs/>
          <w:sz w:val="24"/>
          <w:szCs w:val="24"/>
        </w:rPr>
        <w:t xml:space="preserve">Согласно проекту типового графика (контрольных точек) бюджетных и закупочных процедур на 2022 год (далее – Типовой график), рассмотренному 2 февраля 2022 года </w:t>
      </w:r>
      <w:r w:rsidRPr="00213A5D">
        <w:rPr>
          <w:bCs/>
          <w:sz w:val="24"/>
          <w:szCs w:val="24"/>
        </w:rPr>
        <w:br/>
        <w:t>на заседании Правительственной комиссии по оптимизации, по состоянию на 1 октября 2022 года рекомендуемое значение показателя «Госконтракты ПБС ФБ заключены (принятое БО)»</w:t>
      </w:r>
      <w:r w:rsidRPr="00213A5D">
        <w:rPr>
          <w:rStyle w:val="aff2"/>
          <w:bCs/>
          <w:sz w:val="24"/>
          <w:szCs w:val="24"/>
        </w:rPr>
        <w:footnoteReference w:id="30"/>
      </w:r>
      <w:r w:rsidRPr="00213A5D">
        <w:rPr>
          <w:bCs/>
          <w:sz w:val="24"/>
          <w:szCs w:val="24"/>
        </w:rPr>
        <w:t xml:space="preserve"> установлено на уровне </w:t>
      </w:r>
      <w:r w:rsidRPr="00213A5D">
        <w:rPr>
          <w:b/>
          <w:sz w:val="24"/>
          <w:szCs w:val="24"/>
        </w:rPr>
        <w:t>100 %</w:t>
      </w:r>
      <w:r w:rsidRPr="00213A5D">
        <w:rPr>
          <w:bCs/>
          <w:sz w:val="24"/>
          <w:szCs w:val="24"/>
        </w:rPr>
        <w:t>.</w:t>
      </w:r>
    </w:p>
    <w:p w14:paraId="6EE3EB9B" w14:textId="77777777" w:rsidR="003D711F" w:rsidRPr="00213A5D" w:rsidRDefault="003D711F" w:rsidP="00AF1852">
      <w:pPr>
        <w:widowControl w:val="0"/>
        <w:ind w:left="0" w:right="0"/>
        <w:rPr>
          <w:bCs/>
          <w:sz w:val="24"/>
          <w:szCs w:val="24"/>
        </w:rPr>
      </w:pPr>
      <w:r w:rsidRPr="00213A5D">
        <w:rPr>
          <w:bCs/>
          <w:sz w:val="24"/>
          <w:szCs w:val="24"/>
        </w:rPr>
        <w:t>Следует отметить, что уровень принятых бюджетных обязательств в части расходов на закупку товаров, работ и услуг для обеспечения государственных (муниципальных) нужд по состоянию на 1 октября 2022 года существенно ниже указанного показателя по следующим главным распорядителям:</w:t>
      </w:r>
    </w:p>
    <w:p w14:paraId="38D29B89" w14:textId="77777777" w:rsidR="003D711F" w:rsidRPr="00213A5D" w:rsidRDefault="003D711F" w:rsidP="00AF1852">
      <w:pPr>
        <w:widowControl w:val="0"/>
        <w:ind w:left="709" w:right="0" w:firstLine="0"/>
        <w:rPr>
          <w:bCs/>
          <w:sz w:val="24"/>
          <w:szCs w:val="24"/>
        </w:rPr>
      </w:pPr>
      <w:r w:rsidRPr="00213A5D">
        <w:rPr>
          <w:bCs/>
          <w:sz w:val="24"/>
          <w:szCs w:val="24"/>
        </w:rPr>
        <w:t>Минстрою России – 21,9 % утвержденных ЛБО на указанные цели;</w:t>
      </w:r>
    </w:p>
    <w:p w14:paraId="02A5A4EC" w14:textId="77777777" w:rsidR="003D711F" w:rsidRPr="00213A5D" w:rsidRDefault="003D711F" w:rsidP="00AF1852">
      <w:pPr>
        <w:widowControl w:val="0"/>
        <w:ind w:left="709" w:right="0" w:firstLine="0"/>
        <w:rPr>
          <w:bCs/>
          <w:sz w:val="24"/>
          <w:szCs w:val="24"/>
        </w:rPr>
      </w:pPr>
      <w:r w:rsidRPr="00213A5D">
        <w:rPr>
          <w:bCs/>
          <w:sz w:val="24"/>
          <w:szCs w:val="24"/>
        </w:rPr>
        <w:t>Минпросвещения России – 23,4 %;</w:t>
      </w:r>
    </w:p>
    <w:p w14:paraId="27B4B685" w14:textId="77777777" w:rsidR="003D711F" w:rsidRPr="00213A5D" w:rsidRDefault="003D711F" w:rsidP="00AF1852">
      <w:pPr>
        <w:widowControl w:val="0"/>
        <w:ind w:left="709" w:right="0" w:firstLine="0"/>
        <w:rPr>
          <w:bCs/>
          <w:sz w:val="24"/>
          <w:szCs w:val="24"/>
        </w:rPr>
      </w:pPr>
      <w:r w:rsidRPr="00213A5D">
        <w:rPr>
          <w:bCs/>
          <w:sz w:val="24"/>
          <w:szCs w:val="24"/>
        </w:rPr>
        <w:t>Минэкономразвития России – 48,3 %;</w:t>
      </w:r>
    </w:p>
    <w:p w14:paraId="5ACADC6A" w14:textId="77777777" w:rsidR="003D711F" w:rsidRPr="00213A5D" w:rsidRDefault="003D711F" w:rsidP="00AF1852">
      <w:pPr>
        <w:widowControl w:val="0"/>
        <w:ind w:left="709" w:right="0" w:firstLine="0"/>
        <w:rPr>
          <w:bCs/>
          <w:sz w:val="24"/>
          <w:szCs w:val="24"/>
        </w:rPr>
      </w:pPr>
      <w:r w:rsidRPr="00213A5D">
        <w:rPr>
          <w:bCs/>
          <w:sz w:val="24"/>
          <w:szCs w:val="24"/>
        </w:rPr>
        <w:t>Минтрансу России – 63,4 %;</w:t>
      </w:r>
    </w:p>
    <w:p w14:paraId="3376C605" w14:textId="77777777" w:rsidR="003D711F" w:rsidRPr="00213A5D" w:rsidRDefault="003D711F" w:rsidP="00AF1852">
      <w:pPr>
        <w:widowControl w:val="0"/>
        <w:ind w:left="709" w:right="0" w:firstLine="0"/>
        <w:rPr>
          <w:bCs/>
          <w:sz w:val="24"/>
          <w:szCs w:val="24"/>
        </w:rPr>
      </w:pPr>
      <w:r w:rsidRPr="00213A5D">
        <w:rPr>
          <w:bCs/>
          <w:sz w:val="24"/>
          <w:szCs w:val="24"/>
        </w:rPr>
        <w:t>Россотрудничеству – 67,9 %;</w:t>
      </w:r>
    </w:p>
    <w:p w14:paraId="6E977CCA" w14:textId="77777777" w:rsidR="003D711F" w:rsidRPr="00213A5D" w:rsidRDefault="003D711F" w:rsidP="00AF1852">
      <w:pPr>
        <w:widowControl w:val="0"/>
        <w:ind w:left="709" w:right="0" w:firstLine="0"/>
        <w:rPr>
          <w:bCs/>
          <w:sz w:val="24"/>
          <w:szCs w:val="24"/>
        </w:rPr>
      </w:pPr>
      <w:r w:rsidRPr="00213A5D">
        <w:rPr>
          <w:bCs/>
          <w:sz w:val="24"/>
          <w:szCs w:val="24"/>
        </w:rPr>
        <w:t>Минобрнауки России – 68,2 % и ряду других.</w:t>
      </w:r>
    </w:p>
    <w:p w14:paraId="449B3C75" w14:textId="77777777" w:rsidR="003D711F" w:rsidRPr="00213A5D" w:rsidRDefault="003D711F" w:rsidP="00AF1852">
      <w:pPr>
        <w:widowControl w:val="0"/>
        <w:ind w:left="0" w:right="0"/>
        <w:rPr>
          <w:bCs/>
          <w:sz w:val="24"/>
          <w:szCs w:val="24"/>
        </w:rPr>
      </w:pPr>
      <w:r w:rsidRPr="00213A5D">
        <w:rPr>
          <w:bCs/>
          <w:sz w:val="24"/>
          <w:szCs w:val="24"/>
        </w:rPr>
        <w:t xml:space="preserve">Согласно Типовому графику по состоянию на 1 октября 2022 года рекомендуемое значение показателя «Оплата госконтрактов (контрактов) ФБ за счет </w:t>
      </w:r>
      <w:r w:rsidRPr="00213A5D">
        <w:rPr>
          <w:b/>
          <w:bCs/>
          <w:sz w:val="24"/>
          <w:szCs w:val="24"/>
        </w:rPr>
        <w:t>основных лимитов текущего года</w:t>
      </w:r>
      <w:r w:rsidRPr="00213A5D">
        <w:rPr>
          <w:bCs/>
          <w:sz w:val="24"/>
          <w:szCs w:val="24"/>
        </w:rPr>
        <w:t>»</w:t>
      </w:r>
      <w:r w:rsidRPr="00213A5D">
        <w:rPr>
          <w:rStyle w:val="aff2"/>
          <w:bCs/>
          <w:sz w:val="24"/>
          <w:szCs w:val="24"/>
        </w:rPr>
        <w:footnoteReference w:id="31"/>
      </w:r>
      <w:r w:rsidRPr="00213A5D">
        <w:rPr>
          <w:bCs/>
          <w:sz w:val="24"/>
          <w:szCs w:val="24"/>
        </w:rPr>
        <w:t xml:space="preserve"> </w:t>
      </w:r>
      <w:r w:rsidRPr="00213A5D">
        <w:rPr>
          <w:b/>
          <w:bCs/>
          <w:sz w:val="24"/>
          <w:szCs w:val="24"/>
        </w:rPr>
        <w:t>–</w:t>
      </w:r>
      <w:r w:rsidRPr="00213A5D">
        <w:rPr>
          <w:bCs/>
          <w:sz w:val="24"/>
          <w:szCs w:val="24"/>
        </w:rPr>
        <w:t xml:space="preserve"> </w:t>
      </w:r>
      <w:r w:rsidRPr="00213A5D">
        <w:rPr>
          <w:b/>
          <w:bCs/>
          <w:sz w:val="24"/>
          <w:szCs w:val="24"/>
        </w:rPr>
        <w:t>65 %</w:t>
      </w:r>
      <w:r w:rsidRPr="00213A5D">
        <w:rPr>
          <w:bCs/>
          <w:sz w:val="24"/>
          <w:szCs w:val="24"/>
        </w:rPr>
        <w:t>.</w:t>
      </w:r>
    </w:p>
    <w:p w14:paraId="126B1DB6" w14:textId="77777777" w:rsidR="003D711F" w:rsidRPr="00213A5D" w:rsidRDefault="003D711F" w:rsidP="00AF1852">
      <w:pPr>
        <w:widowControl w:val="0"/>
        <w:ind w:left="0" w:right="0"/>
        <w:rPr>
          <w:bCs/>
          <w:sz w:val="24"/>
          <w:szCs w:val="24"/>
        </w:rPr>
      </w:pPr>
      <w:r w:rsidRPr="00213A5D">
        <w:rPr>
          <w:bCs/>
          <w:sz w:val="24"/>
          <w:szCs w:val="24"/>
        </w:rPr>
        <w:t xml:space="preserve">Следует отметить, что по ряду главных распорядителей, по которым изменения в </w:t>
      </w:r>
      <w:r w:rsidRPr="00213A5D">
        <w:rPr>
          <w:bCs/>
          <w:sz w:val="24"/>
          <w:szCs w:val="24"/>
        </w:rPr>
        <w:lastRenderedPageBreak/>
        <w:t>сводную роспись, предусматривающие увеличение бюджетных ассигнований на исполнение госконтрактов, подлежавших в соответствии с условиями этих госконтрактов оплате в 2022 году, не вносились, расходы на закупку товаров, работ и услуг для обеспечения государственных (муниципальных) нужд за счет ЛБО текущего года исполнены на уровне ниже рекомендуемого Типовым графиком значения показателя «Оплата госконтрактов (контрактов) за счет основных лимитов текущего года».</w:t>
      </w:r>
    </w:p>
    <w:p w14:paraId="325F945A" w14:textId="77777777" w:rsidR="003D711F" w:rsidRPr="00213A5D" w:rsidRDefault="003D711F" w:rsidP="00AF1852">
      <w:pPr>
        <w:widowControl w:val="0"/>
        <w:ind w:left="0" w:right="0"/>
        <w:rPr>
          <w:bCs/>
          <w:sz w:val="24"/>
          <w:szCs w:val="24"/>
        </w:rPr>
      </w:pPr>
      <w:r w:rsidRPr="00213A5D">
        <w:rPr>
          <w:bCs/>
          <w:sz w:val="24"/>
          <w:szCs w:val="24"/>
        </w:rPr>
        <w:t>Исполнение расходов на указанные цели ниже 65 % составило по:</w:t>
      </w:r>
    </w:p>
    <w:p w14:paraId="17CB143E" w14:textId="77777777" w:rsidR="003D711F" w:rsidRPr="00213A5D" w:rsidRDefault="003D711F" w:rsidP="00AF1852">
      <w:pPr>
        <w:widowControl w:val="0"/>
        <w:ind w:left="709" w:right="0" w:firstLine="0"/>
        <w:rPr>
          <w:bCs/>
          <w:sz w:val="24"/>
          <w:szCs w:val="24"/>
        </w:rPr>
      </w:pPr>
      <w:r w:rsidRPr="00213A5D">
        <w:rPr>
          <w:bCs/>
          <w:sz w:val="24"/>
          <w:szCs w:val="24"/>
        </w:rPr>
        <w:t>Минпросвещения России – 8,4 %;</w:t>
      </w:r>
    </w:p>
    <w:p w14:paraId="64D4564E" w14:textId="77777777" w:rsidR="003D711F" w:rsidRPr="00213A5D" w:rsidRDefault="003D711F" w:rsidP="00AF1852">
      <w:pPr>
        <w:widowControl w:val="0"/>
        <w:ind w:left="709" w:right="0" w:firstLine="0"/>
        <w:rPr>
          <w:bCs/>
          <w:sz w:val="24"/>
          <w:szCs w:val="24"/>
        </w:rPr>
      </w:pPr>
      <w:r w:rsidRPr="00213A5D">
        <w:rPr>
          <w:bCs/>
          <w:sz w:val="24"/>
          <w:szCs w:val="24"/>
        </w:rPr>
        <w:t>Минстрою России – 10,1 %;</w:t>
      </w:r>
    </w:p>
    <w:p w14:paraId="40FFC8A0" w14:textId="77777777" w:rsidR="003D711F" w:rsidRPr="00213A5D" w:rsidRDefault="003D711F" w:rsidP="00AF1852">
      <w:pPr>
        <w:widowControl w:val="0"/>
        <w:ind w:left="709" w:right="0" w:firstLine="0"/>
        <w:rPr>
          <w:bCs/>
          <w:sz w:val="24"/>
          <w:szCs w:val="24"/>
        </w:rPr>
      </w:pPr>
      <w:r w:rsidRPr="00213A5D">
        <w:rPr>
          <w:bCs/>
          <w:sz w:val="24"/>
          <w:szCs w:val="24"/>
        </w:rPr>
        <w:t>Рослесхозу – 17,7 %;</w:t>
      </w:r>
    </w:p>
    <w:p w14:paraId="2FC0773F" w14:textId="77777777" w:rsidR="003D711F" w:rsidRPr="00213A5D" w:rsidRDefault="003D711F" w:rsidP="00AF1852">
      <w:pPr>
        <w:widowControl w:val="0"/>
        <w:ind w:left="709" w:right="0" w:firstLine="0"/>
        <w:rPr>
          <w:bCs/>
          <w:sz w:val="24"/>
          <w:szCs w:val="24"/>
        </w:rPr>
      </w:pPr>
      <w:r w:rsidRPr="00213A5D">
        <w:rPr>
          <w:bCs/>
          <w:sz w:val="24"/>
          <w:szCs w:val="24"/>
        </w:rPr>
        <w:t>Минспорту России – 19,6 %;</w:t>
      </w:r>
    </w:p>
    <w:p w14:paraId="05AB6C8E" w14:textId="77777777" w:rsidR="003D711F" w:rsidRPr="00213A5D" w:rsidRDefault="003D711F" w:rsidP="00AF1852">
      <w:pPr>
        <w:widowControl w:val="0"/>
        <w:ind w:left="709" w:right="0" w:firstLine="0"/>
        <w:rPr>
          <w:bCs/>
          <w:sz w:val="24"/>
          <w:szCs w:val="24"/>
        </w:rPr>
      </w:pPr>
      <w:r w:rsidRPr="00213A5D">
        <w:rPr>
          <w:bCs/>
          <w:sz w:val="24"/>
          <w:szCs w:val="24"/>
        </w:rPr>
        <w:t>Росморречфлоту и Рособрнадзору – по 29,4 %, а также ряду других главных распорядителей.</w:t>
      </w:r>
    </w:p>
    <w:p w14:paraId="1C702DB3" w14:textId="77777777" w:rsidR="003D711F" w:rsidRPr="00213A5D" w:rsidRDefault="003D711F" w:rsidP="00AF1852">
      <w:pPr>
        <w:widowControl w:val="0"/>
        <w:ind w:left="0" w:right="0"/>
        <w:rPr>
          <w:bCs/>
          <w:sz w:val="24"/>
          <w:szCs w:val="24"/>
        </w:rPr>
      </w:pPr>
      <w:r w:rsidRPr="00213A5D">
        <w:rPr>
          <w:bCs/>
          <w:sz w:val="24"/>
          <w:szCs w:val="24"/>
        </w:rPr>
        <w:t xml:space="preserve">Так, по </w:t>
      </w:r>
      <w:r w:rsidRPr="00213A5D">
        <w:rPr>
          <w:b/>
          <w:bCs/>
          <w:sz w:val="24"/>
          <w:szCs w:val="24"/>
        </w:rPr>
        <w:t>Росстату</w:t>
      </w:r>
      <w:r w:rsidRPr="00213A5D">
        <w:rPr>
          <w:bCs/>
          <w:sz w:val="24"/>
          <w:szCs w:val="24"/>
        </w:rPr>
        <w:t xml:space="preserve"> исполнение расходов на закупки товаров, работ и услуг составило 44,8 %, из них на закупку товаров, работ, услуг в сфере информационно-коммуникационных технологий в рамках комплекса процессных мероприятий «Официальная статистика» – лишь 19,3 % в связи с проведением Росстатом </w:t>
      </w:r>
      <w:r w:rsidR="00EC547F" w:rsidRPr="00213A5D">
        <w:rPr>
          <w:bCs/>
          <w:sz w:val="24"/>
          <w:szCs w:val="24"/>
        </w:rPr>
        <w:br/>
      </w:r>
      <w:r w:rsidRPr="00213A5D">
        <w:rPr>
          <w:bCs/>
          <w:sz w:val="24"/>
          <w:szCs w:val="24"/>
        </w:rPr>
        <w:t>обновления аукционной документации на поставку оборудования для оснащения автоматизированных рабочих мест соответствующей информационно-вычислительной системы.</w:t>
      </w:r>
    </w:p>
    <w:p w14:paraId="1695E2A7" w14:textId="77777777" w:rsidR="003D711F" w:rsidRPr="00213A5D" w:rsidRDefault="003D711F" w:rsidP="00AF1852">
      <w:pPr>
        <w:widowControl w:val="0"/>
        <w:ind w:left="0" w:right="0"/>
        <w:rPr>
          <w:bCs/>
          <w:sz w:val="24"/>
          <w:szCs w:val="24"/>
        </w:rPr>
      </w:pPr>
      <w:r w:rsidRPr="00213A5D">
        <w:rPr>
          <w:bCs/>
          <w:sz w:val="24"/>
          <w:szCs w:val="24"/>
        </w:rPr>
        <w:t xml:space="preserve">По </w:t>
      </w:r>
      <w:r w:rsidRPr="00213A5D">
        <w:rPr>
          <w:b/>
          <w:bCs/>
          <w:sz w:val="24"/>
          <w:szCs w:val="24"/>
        </w:rPr>
        <w:t>Минсельхозу России</w:t>
      </w:r>
      <w:r w:rsidRPr="00213A5D">
        <w:rPr>
          <w:bCs/>
          <w:sz w:val="24"/>
          <w:szCs w:val="24"/>
        </w:rPr>
        <w:t xml:space="preserve"> исполнение расходов на закупки товаров, работ и услуг составило 30,4 %. При этом исполнение бюджетных ассигнований на развитие Единой федеральной информационной системы о землях сельскохозяйственного назначения, предусмотренных в объеме 500,0 млн. рублей, по состоянию на 1 октября 2022 года не осуществлялось в связи с принятием распоряжения Правительства Российской Федерации о выделении средств в объеме 400,0 млн. рублей (80 % общего объема бюджетных ассигнований на указанные цели) 2 июня 2022 года (изменения в сводную роспись внесены 29 июня 2022 года), а также заключением контрактов на развитие информационной системы в сентябре 2022 года.</w:t>
      </w:r>
    </w:p>
    <w:p w14:paraId="0F24E41B" w14:textId="77777777" w:rsidR="003D711F" w:rsidRPr="00213A5D" w:rsidRDefault="003D711F" w:rsidP="00AF1852">
      <w:pPr>
        <w:widowControl w:val="0"/>
        <w:ind w:left="0" w:right="0"/>
        <w:rPr>
          <w:bCs/>
          <w:sz w:val="24"/>
          <w:szCs w:val="24"/>
        </w:rPr>
      </w:pPr>
      <w:r w:rsidRPr="00213A5D">
        <w:rPr>
          <w:bCs/>
          <w:sz w:val="24"/>
          <w:szCs w:val="24"/>
        </w:rPr>
        <w:t xml:space="preserve">По данным единой информационной системы в сфере закупок, за январь – сентябрь 2022 года </w:t>
      </w:r>
      <w:r w:rsidRPr="00213A5D">
        <w:rPr>
          <w:b/>
          <w:bCs/>
          <w:sz w:val="24"/>
          <w:szCs w:val="24"/>
        </w:rPr>
        <w:t>заключено</w:t>
      </w:r>
      <w:r w:rsidRPr="00213A5D">
        <w:rPr>
          <w:bCs/>
          <w:sz w:val="24"/>
          <w:szCs w:val="24"/>
        </w:rPr>
        <w:t xml:space="preserve"> </w:t>
      </w:r>
      <w:r w:rsidRPr="00213A5D">
        <w:rPr>
          <w:b/>
          <w:bCs/>
          <w:sz w:val="24"/>
          <w:szCs w:val="24"/>
        </w:rPr>
        <w:t>378 090</w:t>
      </w:r>
      <w:r w:rsidRPr="00213A5D">
        <w:rPr>
          <w:bCs/>
          <w:sz w:val="24"/>
          <w:szCs w:val="24"/>
        </w:rPr>
        <w:t xml:space="preserve"> контрактов (федеральный уровень), что </w:t>
      </w:r>
      <w:r w:rsidRPr="00213A5D">
        <w:rPr>
          <w:b/>
          <w:bCs/>
          <w:sz w:val="24"/>
          <w:szCs w:val="24"/>
        </w:rPr>
        <w:t>на 8,3 % меньше</w:t>
      </w:r>
      <w:r w:rsidRPr="00213A5D">
        <w:rPr>
          <w:bCs/>
          <w:sz w:val="24"/>
          <w:szCs w:val="24"/>
        </w:rPr>
        <w:t xml:space="preserve">, </w:t>
      </w:r>
      <w:r w:rsidRPr="00213A5D">
        <w:rPr>
          <w:bCs/>
          <w:sz w:val="24"/>
          <w:szCs w:val="24"/>
        </w:rPr>
        <w:br/>
        <w:t xml:space="preserve">чем за аналогичный период 2021 года. Общая </w:t>
      </w:r>
      <w:r w:rsidRPr="00213A5D">
        <w:rPr>
          <w:b/>
          <w:bCs/>
          <w:sz w:val="24"/>
          <w:szCs w:val="24"/>
        </w:rPr>
        <w:t>стоимость</w:t>
      </w:r>
      <w:r w:rsidRPr="00213A5D">
        <w:rPr>
          <w:bCs/>
          <w:sz w:val="24"/>
          <w:szCs w:val="24"/>
        </w:rPr>
        <w:t xml:space="preserve"> заключенных контрактов </w:t>
      </w:r>
      <w:r w:rsidRPr="00213A5D">
        <w:rPr>
          <w:bCs/>
          <w:sz w:val="24"/>
          <w:szCs w:val="24"/>
        </w:rPr>
        <w:br/>
        <w:t xml:space="preserve">за январь – сентябрь 2022 года </w:t>
      </w:r>
      <w:r w:rsidRPr="00213A5D">
        <w:rPr>
          <w:b/>
          <w:bCs/>
          <w:sz w:val="24"/>
          <w:szCs w:val="24"/>
        </w:rPr>
        <w:t xml:space="preserve">увеличилась </w:t>
      </w:r>
      <w:r w:rsidRPr="00213A5D">
        <w:rPr>
          <w:bCs/>
          <w:sz w:val="24"/>
          <w:szCs w:val="24"/>
        </w:rPr>
        <w:t xml:space="preserve">по сравнению с аналогичным показателем </w:t>
      </w:r>
      <w:r w:rsidRPr="00213A5D">
        <w:rPr>
          <w:bCs/>
          <w:sz w:val="24"/>
          <w:szCs w:val="24"/>
        </w:rPr>
        <w:br/>
        <w:t xml:space="preserve">в 2021 году </w:t>
      </w:r>
      <w:r w:rsidRPr="00213A5D">
        <w:rPr>
          <w:b/>
          <w:bCs/>
          <w:sz w:val="24"/>
          <w:szCs w:val="24"/>
        </w:rPr>
        <w:t>на 11,9 %</w:t>
      </w:r>
      <w:r w:rsidRPr="00213A5D">
        <w:rPr>
          <w:bCs/>
          <w:sz w:val="24"/>
          <w:szCs w:val="24"/>
        </w:rPr>
        <w:t>.</w:t>
      </w:r>
    </w:p>
    <w:p w14:paraId="154FA592" w14:textId="77777777" w:rsidR="003D711F" w:rsidRPr="00213A5D" w:rsidRDefault="003D711F" w:rsidP="00AF1852">
      <w:pPr>
        <w:widowControl w:val="0"/>
        <w:ind w:left="0" w:right="0"/>
        <w:rPr>
          <w:bCs/>
          <w:sz w:val="24"/>
          <w:szCs w:val="24"/>
        </w:rPr>
      </w:pPr>
      <w:r w:rsidRPr="00213A5D">
        <w:rPr>
          <w:bCs/>
          <w:sz w:val="24"/>
          <w:szCs w:val="24"/>
        </w:rPr>
        <w:t xml:space="preserve">Анализ динамики доли закупок у единственного поставщика в общем объеме закупок </w:t>
      </w:r>
      <w:r w:rsidRPr="00213A5D">
        <w:rPr>
          <w:bCs/>
          <w:sz w:val="24"/>
          <w:szCs w:val="24"/>
        </w:rPr>
        <w:lastRenderedPageBreak/>
        <w:t>товаров, работ и услуг, а также сложившегося уровня экономии средств за январь – сентябрь соответствующего года представлен на следующей диаграмме.</w:t>
      </w:r>
    </w:p>
    <w:p w14:paraId="2B8F89A3" w14:textId="77777777" w:rsidR="003D711F" w:rsidRPr="00213A5D" w:rsidRDefault="00CD0E98" w:rsidP="00AF1852">
      <w:pPr>
        <w:widowControl w:val="0"/>
        <w:spacing w:line="348" w:lineRule="auto"/>
        <w:ind w:left="0" w:right="0" w:firstLine="0"/>
        <w:jc w:val="center"/>
        <w:rPr>
          <w:bCs/>
          <w:sz w:val="24"/>
          <w:szCs w:val="24"/>
        </w:rPr>
      </w:pPr>
      <w:r w:rsidRPr="00CD0E98">
        <w:rPr>
          <w:bCs/>
          <w:noProof/>
          <w:sz w:val="24"/>
          <w:szCs w:val="24"/>
        </w:rPr>
        <w:pict w14:anchorId="392738BA">
          <v:shape id="_x0000_i1050" type="#_x0000_t75" alt="" style="width:370.2pt;height:180pt;mso-width-percent:0;mso-height-percent:0;mso-position-horizontal-relative:char;mso-position-vertical-relative:line;mso-width-percent:0;mso-height-percent:0">
            <v:imagedata r:id="rId53" o:title="" croptop="2352f"/>
          </v:shape>
        </w:pict>
      </w:r>
    </w:p>
    <w:p w14:paraId="3CA00383" w14:textId="77777777" w:rsidR="003D711F" w:rsidRPr="00213A5D" w:rsidRDefault="003D711F" w:rsidP="00E63FA5">
      <w:pPr>
        <w:widowControl w:val="0"/>
        <w:spacing w:line="348" w:lineRule="auto"/>
        <w:ind w:left="0" w:right="0"/>
        <w:rPr>
          <w:bCs/>
          <w:sz w:val="24"/>
          <w:szCs w:val="24"/>
        </w:rPr>
      </w:pPr>
      <w:r w:rsidRPr="00213A5D">
        <w:rPr>
          <w:bCs/>
          <w:sz w:val="24"/>
          <w:szCs w:val="24"/>
        </w:rPr>
        <w:t xml:space="preserve">За январь – сентябрь 2022 года </w:t>
      </w:r>
      <w:r w:rsidRPr="00213A5D">
        <w:rPr>
          <w:b/>
          <w:bCs/>
          <w:sz w:val="24"/>
          <w:szCs w:val="24"/>
        </w:rPr>
        <w:t>отмечается уменьшение объема контрактов</w:t>
      </w:r>
      <w:r w:rsidRPr="00213A5D">
        <w:rPr>
          <w:bCs/>
          <w:sz w:val="24"/>
          <w:szCs w:val="24"/>
        </w:rPr>
        <w:t xml:space="preserve"> </w:t>
      </w:r>
      <w:r w:rsidR="006909C7" w:rsidRPr="00213A5D">
        <w:rPr>
          <w:bCs/>
          <w:sz w:val="24"/>
          <w:szCs w:val="24"/>
        </w:rPr>
        <w:br/>
      </w:r>
      <w:r w:rsidRPr="00213A5D">
        <w:rPr>
          <w:bCs/>
          <w:sz w:val="24"/>
          <w:szCs w:val="24"/>
        </w:rPr>
        <w:t xml:space="preserve">(по сумме), заключенных по итогам закупки </w:t>
      </w:r>
      <w:r w:rsidRPr="00213A5D">
        <w:rPr>
          <w:b/>
          <w:bCs/>
          <w:sz w:val="24"/>
          <w:szCs w:val="24"/>
        </w:rPr>
        <w:t>у единственного поставщика</w:t>
      </w:r>
      <w:r w:rsidRPr="00213A5D">
        <w:rPr>
          <w:bCs/>
          <w:sz w:val="24"/>
          <w:szCs w:val="24"/>
        </w:rPr>
        <w:t xml:space="preserve">, по сравнению </w:t>
      </w:r>
      <w:r w:rsidR="006909C7" w:rsidRPr="00213A5D">
        <w:rPr>
          <w:bCs/>
          <w:sz w:val="24"/>
          <w:szCs w:val="24"/>
        </w:rPr>
        <w:br/>
      </w:r>
      <w:r w:rsidRPr="00213A5D">
        <w:rPr>
          <w:bCs/>
          <w:sz w:val="24"/>
          <w:szCs w:val="24"/>
        </w:rPr>
        <w:t xml:space="preserve">с аналогичным периодом 2021 года: с 391,9 млрд. рублей (23,1 % объема контрактов) </w:t>
      </w:r>
      <w:r w:rsidR="006909C7" w:rsidRPr="00213A5D">
        <w:rPr>
          <w:bCs/>
          <w:sz w:val="24"/>
          <w:szCs w:val="24"/>
        </w:rPr>
        <w:br/>
      </w:r>
      <w:r w:rsidRPr="00213A5D">
        <w:rPr>
          <w:bCs/>
          <w:sz w:val="24"/>
          <w:szCs w:val="24"/>
        </w:rPr>
        <w:t>до 346,4 млрд. рублей (18,3 %), или на 11,6 %.</w:t>
      </w:r>
    </w:p>
    <w:p w14:paraId="61B39580" w14:textId="77777777" w:rsidR="003D711F" w:rsidRPr="00213A5D" w:rsidRDefault="003D711F" w:rsidP="00E63FA5">
      <w:pPr>
        <w:widowControl w:val="0"/>
        <w:spacing w:line="348" w:lineRule="auto"/>
        <w:ind w:left="0" w:right="0"/>
        <w:rPr>
          <w:bCs/>
          <w:sz w:val="24"/>
          <w:szCs w:val="24"/>
        </w:rPr>
      </w:pPr>
      <w:r w:rsidRPr="00213A5D">
        <w:rPr>
          <w:bCs/>
          <w:sz w:val="24"/>
          <w:szCs w:val="24"/>
        </w:rPr>
        <w:t xml:space="preserve">Вместе с тем значительная доля объема указанных контрактов отмечается </w:t>
      </w:r>
      <w:r w:rsidR="006909C7" w:rsidRPr="00213A5D">
        <w:rPr>
          <w:bCs/>
          <w:sz w:val="24"/>
          <w:szCs w:val="24"/>
        </w:rPr>
        <w:br/>
      </w:r>
      <w:r w:rsidRPr="00213A5D">
        <w:rPr>
          <w:bCs/>
          <w:sz w:val="24"/>
          <w:szCs w:val="24"/>
        </w:rPr>
        <w:t>по Минприроды России (98,4 % объема контрактов), Минвостокразвития России (93,9 %), Минтруду России (83,4 %), ГФС России (81 %), Росалкогольрегулированию (78,8 %), Минцифре России (71 %), Минэкономразвития России (70,3 %), Росреестру (70,2 %).</w:t>
      </w:r>
    </w:p>
    <w:p w14:paraId="417B3255" w14:textId="77777777" w:rsidR="003D711F" w:rsidRPr="00213A5D" w:rsidRDefault="003D711F" w:rsidP="00E63FA5">
      <w:pPr>
        <w:widowControl w:val="0"/>
        <w:spacing w:line="348" w:lineRule="auto"/>
        <w:ind w:left="0" w:right="0"/>
        <w:rPr>
          <w:bCs/>
          <w:sz w:val="24"/>
          <w:szCs w:val="24"/>
        </w:rPr>
      </w:pPr>
      <w:r w:rsidRPr="00213A5D">
        <w:rPr>
          <w:b/>
          <w:bCs/>
          <w:sz w:val="24"/>
          <w:szCs w:val="24"/>
        </w:rPr>
        <w:t>Экономия</w:t>
      </w:r>
      <w:r w:rsidRPr="00213A5D">
        <w:rPr>
          <w:bCs/>
          <w:sz w:val="24"/>
          <w:szCs w:val="24"/>
        </w:rPr>
        <w:t xml:space="preserve"> средств по результатам осуществлен</w:t>
      </w:r>
      <w:r w:rsidR="002954BE" w:rsidRPr="00213A5D">
        <w:rPr>
          <w:bCs/>
          <w:sz w:val="24"/>
          <w:szCs w:val="24"/>
        </w:rPr>
        <w:t xml:space="preserve">ия процедур закупок за январь – </w:t>
      </w:r>
      <w:r w:rsidRPr="00213A5D">
        <w:rPr>
          <w:bCs/>
          <w:sz w:val="24"/>
          <w:szCs w:val="24"/>
        </w:rPr>
        <w:t xml:space="preserve">сентябрь 2022 года на федеральном уровне составила 54,8 млрд. рублей и уменьшилась </w:t>
      </w:r>
      <w:r w:rsidRPr="00213A5D">
        <w:rPr>
          <w:bCs/>
          <w:sz w:val="24"/>
          <w:szCs w:val="24"/>
        </w:rPr>
        <w:br/>
        <w:t>на 2,0 млрд. рублей по сравнению с аналогичным периодом 2021 года (52,8 млрд. рублей). При этом отношение объема экономии и начальной максимальной цены контрактов составило 3,6 %, что на 1,2 процентного пункта ниже по сравнению с аналогичным периодом 2021 года (4,8 %).</w:t>
      </w:r>
    </w:p>
    <w:p w14:paraId="2E46B0C2" w14:textId="77777777" w:rsidR="003D711F" w:rsidRPr="00213A5D" w:rsidRDefault="003D711F" w:rsidP="00E63FA5">
      <w:pPr>
        <w:widowControl w:val="0"/>
        <w:spacing w:line="348" w:lineRule="auto"/>
        <w:ind w:left="0" w:right="0"/>
        <w:rPr>
          <w:bCs/>
          <w:sz w:val="24"/>
          <w:szCs w:val="24"/>
        </w:rPr>
      </w:pPr>
      <w:r w:rsidRPr="00213A5D">
        <w:rPr>
          <w:bCs/>
          <w:sz w:val="24"/>
          <w:szCs w:val="24"/>
        </w:rPr>
        <w:t>Вместе с тем по отдельным главным распорядителям</w:t>
      </w:r>
      <w:r w:rsidRPr="00213A5D">
        <w:rPr>
          <w:rStyle w:val="aff2"/>
          <w:bCs/>
          <w:sz w:val="24"/>
          <w:szCs w:val="24"/>
        </w:rPr>
        <w:footnoteReference w:id="32"/>
      </w:r>
      <w:r w:rsidRPr="00213A5D">
        <w:rPr>
          <w:bCs/>
          <w:sz w:val="24"/>
          <w:szCs w:val="24"/>
        </w:rPr>
        <w:t xml:space="preserve"> следует отметить существенную долю закупок, по которым подана или допущена одна заявка, в результате чего сложился низкий уровень конкуренции по итогам осуществления закупок </w:t>
      </w:r>
      <w:r w:rsidR="006909C7" w:rsidRPr="00213A5D">
        <w:rPr>
          <w:bCs/>
          <w:sz w:val="24"/>
          <w:szCs w:val="24"/>
        </w:rPr>
        <w:br/>
      </w:r>
      <w:r w:rsidRPr="00213A5D">
        <w:rPr>
          <w:bCs/>
          <w:sz w:val="24"/>
          <w:szCs w:val="24"/>
        </w:rPr>
        <w:t xml:space="preserve">(так, по Минздраву России доля указанных закупок по сумме составила 87,2 %, </w:t>
      </w:r>
      <w:r w:rsidR="006909C7" w:rsidRPr="00213A5D">
        <w:rPr>
          <w:bCs/>
          <w:sz w:val="24"/>
          <w:szCs w:val="24"/>
        </w:rPr>
        <w:br/>
      </w:r>
      <w:r w:rsidRPr="00213A5D">
        <w:rPr>
          <w:bCs/>
          <w:sz w:val="24"/>
          <w:szCs w:val="24"/>
        </w:rPr>
        <w:t>при этом уровень конкуренции – 2,4 заявки на 1 лот, экономия – 1,8 %, по Росавтодору – 54,6 %, 2,3 заявки на 1 лот и 0,8 % соответственно).</w:t>
      </w:r>
    </w:p>
    <w:p w14:paraId="68F7E00F" w14:textId="77777777" w:rsidR="003D711F" w:rsidRPr="00213A5D" w:rsidRDefault="003D711F" w:rsidP="00837B00">
      <w:pPr>
        <w:widowControl w:val="0"/>
        <w:spacing w:line="336" w:lineRule="auto"/>
        <w:ind w:left="0" w:right="0"/>
        <w:rPr>
          <w:bCs/>
          <w:sz w:val="24"/>
          <w:szCs w:val="24"/>
        </w:rPr>
      </w:pPr>
      <w:r w:rsidRPr="00213A5D">
        <w:rPr>
          <w:bCs/>
          <w:sz w:val="24"/>
          <w:szCs w:val="24"/>
        </w:rPr>
        <w:t xml:space="preserve">Анализ заключенных государственных контрактов показал, что по отдельным ведомствам (например, Ространснадзор, Росавиация, Росавтодор) более 40 % объема </w:t>
      </w:r>
      <w:r w:rsidRPr="00213A5D">
        <w:rPr>
          <w:bCs/>
          <w:sz w:val="24"/>
          <w:szCs w:val="24"/>
        </w:rPr>
        <w:lastRenderedPageBreak/>
        <w:t xml:space="preserve">контрактов (по сумме) заключено по итогам несостоявшихся закупок, то есть </w:t>
      </w:r>
      <w:r w:rsidR="006909C7" w:rsidRPr="00213A5D">
        <w:rPr>
          <w:bCs/>
          <w:sz w:val="24"/>
          <w:szCs w:val="24"/>
        </w:rPr>
        <w:br/>
      </w:r>
      <w:r w:rsidRPr="00213A5D">
        <w:rPr>
          <w:bCs/>
          <w:sz w:val="24"/>
          <w:szCs w:val="24"/>
        </w:rPr>
        <w:t>на неконкурентной основе.</w:t>
      </w:r>
    </w:p>
    <w:p w14:paraId="085B9AA3" w14:textId="77777777" w:rsidR="003D711F" w:rsidRPr="00213A5D" w:rsidRDefault="003D711F" w:rsidP="00837B00">
      <w:pPr>
        <w:widowControl w:val="0"/>
        <w:spacing w:line="336" w:lineRule="auto"/>
        <w:ind w:left="0" w:right="0"/>
        <w:rPr>
          <w:bCs/>
          <w:sz w:val="24"/>
          <w:szCs w:val="24"/>
        </w:rPr>
      </w:pPr>
      <w:r w:rsidRPr="00213A5D">
        <w:rPr>
          <w:bCs/>
          <w:sz w:val="24"/>
          <w:szCs w:val="24"/>
        </w:rPr>
        <w:t xml:space="preserve">По результатам анализа </w:t>
      </w:r>
      <w:r w:rsidRPr="00213A5D">
        <w:rPr>
          <w:b/>
          <w:bCs/>
          <w:sz w:val="24"/>
          <w:szCs w:val="24"/>
        </w:rPr>
        <w:t>государственных контрактов с ценой выше 1,0 млрд. рублей,</w:t>
      </w:r>
      <w:r w:rsidRPr="00213A5D">
        <w:rPr>
          <w:bCs/>
          <w:sz w:val="24"/>
          <w:szCs w:val="24"/>
        </w:rPr>
        <w:t xml:space="preserve"> по данным единой информационной системы в сфере закупок </w:t>
      </w:r>
      <w:r w:rsidRPr="00213A5D">
        <w:rPr>
          <w:bCs/>
          <w:sz w:val="24"/>
          <w:szCs w:val="24"/>
        </w:rPr>
        <w:br/>
        <w:t>(ЕИС «Риск-мониторинг»), установлено следующее.</w:t>
      </w:r>
    </w:p>
    <w:p w14:paraId="3D480401" w14:textId="77777777" w:rsidR="003D711F" w:rsidRPr="00213A5D" w:rsidRDefault="003D711F" w:rsidP="00837B00">
      <w:pPr>
        <w:widowControl w:val="0"/>
        <w:spacing w:line="336" w:lineRule="auto"/>
        <w:ind w:left="0" w:right="0"/>
        <w:rPr>
          <w:rFonts w:eastAsia="Times New Roman"/>
          <w:sz w:val="24"/>
          <w:szCs w:val="24"/>
        </w:rPr>
      </w:pPr>
      <w:r w:rsidRPr="00213A5D">
        <w:rPr>
          <w:rFonts w:eastAsia="Times New Roman"/>
          <w:sz w:val="24"/>
          <w:szCs w:val="24"/>
        </w:rPr>
        <w:t>Сведения о государственных контрактах с выявленными рисками и признаками нарушений представлены в следующей таблице.</w:t>
      </w:r>
    </w:p>
    <w:tbl>
      <w:tblPr>
        <w:tblW w:w="10632" w:type="dxa"/>
        <w:tblInd w:w="-459" w:type="dxa"/>
        <w:tblLayout w:type="fixed"/>
        <w:tblLook w:val="04A0" w:firstRow="1" w:lastRow="0" w:firstColumn="1" w:lastColumn="0" w:noHBand="0" w:noVBand="1"/>
      </w:tblPr>
      <w:tblGrid>
        <w:gridCol w:w="1418"/>
        <w:gridCol w:w="1134"/>
        <w:gridCol w:w="850"/>
        <w:gridCol w:w="851"/>
        <w:gridCol w:w="1275"/>
        <w:gridCol w:w="851"/>
        <w:gridCol w:w="992"/>
        <w:gridCol w:w="1134"/>
        <w:gridCol w:w="993"/>
        <w:gridCol w:w="1134"/>
      </w:tblGrid>
      <w:tr w:rsidR="00D26785" w:rsidRPr="00213A5D" w14:paraId="0F8CED5F" w14:textId="77777777" w:rsidTr="00530CC5">
        <w:trPr>
          <w:trHeight w:val="74"/>
          <w:tblHeader/>
        </w:trPr>
        <w:tc>
          <w:tcPr>
            <w:tcW w:w="1418" w:type="dxa"/>
            <w:vMerge w:val="restart"/>
            <w:tcBorders>
              <w:top w:val="single" w:sz="4" w:space="0" w:color="auto"/>
              <w:left w:val="single" w:sz="4" w:space="0" w:color="auto"/>
              <w:right w:val="single" w:sz="4" w:space="0" w:color="auto"/>
            </w:tcBorders>
            <w:shd w:val="clear" w:color="auto" w:fill="auto"/>
          </w:tcPr>
          <w:p w14:paraId="0ECE7B53" w14:textId="77777777" w:rsidR="00D26785" w:rsidRPr="00213A5D" w:rsidRDefault="00D26785" w:rsidP="00AF1852">
            <w:pPr>
              <w:widowControl w:val="0"/>
              <w:tabs>
                <w:tab w:val="left" w:pos="993"/>
              </w:tabs>
              <w:overflowPunct/>
              <w:autoSpaceDE/>
              <w:autoSpaceDN/>
              <w:adjustRightInd/>
              <w:spacing w:line="240" w:lineRule="auto"/>
              <w:ind w:left="-108" w:right="-108" w:firstLine="0"/>
              <w:jc w:val="center"/>
              <w:textAlignment w:val="auto"/>
              <w:rPr>
                <w:bCs/>
                <w:sz w:val="16"/>
                <w:szCs w:val="16"/>
              </w:rPr>
            </w:pPr>
            <w:r w:rsidRPr="00213A5D">
              <w:rPr>
                <w:bCs/>
                <w:sz w:val="16"/>
                <w:szCs w:val="16"/>
              </w:rPr>
              <w:t>Наименование заказчика</w:t>
            </w:r>
          </w:p>
        </w:tc>
        <w:tc>
          <w:tcPr>
            <w:tcW w:w="1134" w:type="dxa"/>
            <w:vMerge w:val="restart"/>
            <w:tcBorders>
              <w:top w:val="single" w:sz="4" w:space="0" w:color="auto"/>
              <w:left w:val="single" w:sz="4" w:space="0" w:color="auto"/>
              <w:right w:val="single" w:sz="4" w:space="0" w:color="auto"/>
            </w:tcBorders>
            <w:shd w:val="clear" w:color="auto" w:fill="auto"/>
          </w:tcPr>
          <w:p w14:paraId="225DD447" w14:textId="77777777" w:rsidR="007F34AF"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 xml:space="preserve">Объект </w:t>
            </w:r>
          </w:p>
          <w:p w14:paraId="04A57952" w14:textId="77777777" w:rsidR="00D2678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закупки (контракт)</w:t>
            </w:r>
          </w:p>
        </w:tc>
        <w:tc>
          <w:tcPr>
            <w:tcW w:w="850" w:type="dxa"/>
            <w:vMerge w:val="restart"/>
            <w:tcBorders>
              <w:top w:val="single" w:sz="4" w:space="0" w:color="auto"/>
              <w:left w:val="single" w:sz="4" w:space="0" w:color="auto"/>
              <w:right w:val="single" w:sz="4" w:space="0" w:color="auto"/>
            </w:tcBorders>
            <w:shd w:val="clear" w:color="auto" w:fill="auto"/>
          </w:tcPr>
          <w:p w14:paraId="5B2BE3E1" w14:textId="77777777" w:rsidR="00D2678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Дата заключения контракта</w:t>
            </w:r>
          </w:p>
        </w:tc>
        <w:tc>
          <w:tcPr>
            <w:tcW w:w="851" w:type="dxa"/>
            <w:vMerge w:val="restart"/>
            <w:tcBorders>
              <w:top w:val="single" w:sz="4" w:space="0" w:color="auto"/>
              <w:left w:val="single" w:sz="4" w:space="0" w:color="auto"/>
              <w:right w:val="single" w:sz="4" w:space="0" w:color="auto"/>
            </w:tcBorders>
            <w:shd w:val="clear" w:color="auto" w:fill="auto"/>
          </w:tcPr>
          <w:p w14:paraId="3DD20535" w14:textId="77777777" w:rsidR="00D2678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Цена контракта (млн</w:t>
            </w:r>
            <w:r w:rsidR="007F34AF" w:rsidRPr="00213A5D">
              <w:rPr>
                <w:bCs/>
                <w:sz w:val="16"/>
                <w:szCs w:val="16"/>
              </w:rPr>
              <w:t>.</w:t>
            </w:r>
            <w:r w:rsidRPr="00213A5D">
              <w:rPr>
                <w:bCs/>
                <w:sz w:val="16"/>
                <w:szCs w:val="16"/>
              </w:rPr>
              <w:t xml:space="preserve"> руб</w:t>
            </w:r>
            <w:r w:rsidR="004455B2" w:rsidRPr="00213A5D">
              <w:rPr>
                <w:bCs/>
                <w:sz w:val="16"/>
                <w:szCs w:val="16"/>
              </w:rPr>
              <w:t>лей</w:t>
            </w:r>
            <w:r w:rsidRPr="00213A5D">
              <w:rPr>
                <w:bCs/>
                <w:sz w:val="16"/>
                <w:szCs w:val="16"/>
              </w:rPr>
              <w:t>)</w:t>
            </w:r>
          </w:p>
        </w:tc>
        <w:tc>
          <w:tcPr>
            <w:tcW w:w="4252" w:type="dxa"/>
            <w:gridSpan w:val="4"/>
            <w:tcBorders>
              <w:top w:val="single" w:sz="4" w:space="0" w:color="auto"/>
              <w:left w:val="single" w:sz="4" w:space="0" w:color="auto"/>
              <w:bottom w:val="single" w:sz="4" w:space="0" w:color="auto"/>
              <w:right w:val="single" w:sz="4" w:space="0" w:color="auto"/>
            </w:tcBorders>
            <w:shd w:val="clear" w:color="auto" w:fill="auto"/>
          </w:tcPr>
          <w:p w14:paraId="3D1E8D42"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Риски</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14:paraId="581DEFFF"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Признаки нарушений</w:t>
            </w:r>
          </w:p>
        </w:tc>
      </w:tr>
      <w:tr w:rsidR="00D26785" w:rsidRPr="00213A5D" w14:paraId="0252A434" w14:textId="77777777" w:rsidTr="00530CC5">
        <w:trPr>
          <w:trHeight w:val="988"/>
          <w:tblHeader/>
        </w:trPr>
        <w:tc>
          <w:tcPr>
            <w:tcW w:w="1418" w:type="dxa"/>
            <w:vMerge/>
            <w:tcBorders>
              <w:left w:val="single" w:sz="4" w:space="0" w:color="auto"/>
              <w:bottom w:val="single" w:sz="4" w:space="0" w:color="auto"/>
              <w:right w:val="single" w:sz="4" w:space="0" w:color="auto"/>
            </w:tcBorders>
            <w:shd w:val="clear" w:color="auto" w:fill="auto"/>
            <w:hideMark/>
          </w:tcPr>
          <w:p w14:paraId="2C7AFFE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
                <w:bCs/>
                <w:sz w:val="16"/>
                <w:szCs w:val="16"/>
              </w:rPr>
            </w:pPr>
          </w:p>
        </w:tc>
        <w:tc>
          <w:tcPr>
            <w:tcW w:w="1134" w:type="dxa"/>
            <w:vMerge/>
            <w:tcBorders>
              <w:left w:val="single" w:sz="4" w:space="0" w:color="auto"/>
              <w:bottom w:val="single" w:sz="4" w:space="0" w:color="auto"/>
              <w:right w:val="single" w:sz="4" w:space="0" w:color="auto"/>
            </w:tcBorders>
            <w:shd w:val="clear" w:color="auto" w:fill="auto"/>
            <w:hideMark/>
          </w:tcPr>
          <w:p w14:paraId="05B8D33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
                <w:bCs/>
                <w:sz w:val="16"/>
                <w:szCs w:val="16"/>
              </w:rPr>
            </w:pPr>
          </w:p>
        </w:tc>
        <w:tc>
          <w:tcPr>
            <w:tcW w:w="850" w:type="dxa"/>
            <w:vMerge/>
            <w:tcBorders>
              <w:left w:val="single" w:sz="4" w:space="0" w:color="auto"/>
              <w:bottom w:val="single" w:sz="4" w:space="0" w:color="auto"/>
              <w:right w:val="single" w:sz="4" w:space="0" w:color="auto"/>
            </w:tcBorders>
            <w:shd w:val="clear" w:color="auto" w:fill="auto"/>
            <w:hideMark/>
          </w:tcPr>
          <w:p w14:paraId="1E8C57C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
                <w:bCs/>
                <w:sz w:val="16"/>
                <w:szCs w:val="16"/>
              </w:rPr>
            </w:pPr>
          </w:p>
        </w:tc>
        <w:tc>
          <w:tcPr>
            <w:tcW w:w="851" w:type="dxa"/>
            <w:vMerge/>
            <w:tcBorders>
              <w:left w:val="single" w:sz="4" w:space="0" w:color="auto"/>
              <w:bottom w:val="single" w:sz="4" w:space="0" w:color="auto"/>
              <w:right w:val="single" w:sz="4" w:space="0" w:color="auto"/>
            </w:tcBorders>
            <w:shd w:val="clear" w:color="auto" w:fill="auto"/>
            <w:hideMark/>
          </w:tcPr>
          <w:p w14:paraId="090F2803"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
                <w:bCs/>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57EA49A" w14:textId="77777777" w:rsidR="007F34AF" w:rsidRPr="00213A5D" w:rsidRDefault="00C04DF0"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к</w:t>
            </w:r>
            <w:r w:rsidR="00D26785" w:rsidRPr="00213A5D">
              <w:rPr>
                <w:bCs/>
                <w:sz w:val="16"/>
                <w:szCs w:val="16"/>
              </w:rPr>
              <w:t xml:space="preserve">онтракт </w:t>
            </w:r>
          </w:p>
          <w:p w14:paraId="067D738D" w14:textId="77777777" w:rsidR="007F34AF"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 xml:space="preserve">с единственным поставщиком </w:t>
            </w:r>
          </w:p>
          <w:p w14:paraId="15C6A644" w14:textId="77777777" w:rsidR="00D2678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по результатам несостоявшейся конкурентной процедуры</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E54178" w14:textId="77777777" w:rsidR="00D2678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«Любимый постав</w:t>
            </w:r>
            <w:r w:rsidR="007F34AF" w:rsidRPr="00213A5D">
              <w:rPr>
                <w:bCs/>
                <w:sz w:val="16"/>
                <w:szCs w:val="16"/>
              </w:rPr>
              <w:t>-</w:t>
            </w:r>
            <w:r w:rsidRPr="00213A5D">
              <w:rPr>
                <w:bCs/>
                <w:sz w:val="16"/>
                <w:szCs w:val="16"/>
              </w:rPr>
              <w:t>щик»</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60D45FF" w14:textId="77777777" w:rsidR="007F34AF" w:rsidRPr="00213A5D" w:rsidRDefault="00C04DF0"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з</w:t>
            </w:r>
            <w:r w:rsidR="00D26785" w:rsidRPr="00213A5D">
              <w:rPr>
                <w:bCs/>
                <w:sz w:val="16"/>
                <w:szCs w:val="16"/>
              </w:rPr>
              <w:t xml:space="preserve">акупка двух </w:t>
            </w:r>
          </w:p>
          <w:p w14:paraId="76434AAF" w14:textId="77777777" w:rsidR="00530CC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 xml:space="preserve">и более объектов </w:t>
            </w:r>
          </w:p>
          <w:p w14:paraId="0E951B7B" w14:textId="77777777" w:rsidR="007F34AF"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с аналогич</w:t>
            </w:r>
            <w:r w:rsidR="007F34AF" w:rsidRPr="00213A5D">
              <w:rPr>
                <w:bCs/>
                <w:sz w:val="16"/>
                <w:szCs w:val="16"/>
              </w:rPr>
              <w:t>-</w:t>
            </w:r>
          </w:p>
          <w:p w14:paraId="094BF390" w14:textId="77777777" w:rsidR="007F34AF"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 xml:space="preserve">ными </w:t>
            </w:r>
            <w:r w:rsidR="007F34AF" w:rsidRPr="00213A5D">
              <w:rPr>
                <w:bCs/>
                <w:sz w:val="16"/>
                <w:szCs w:val="16"/>
              </w:rPr>
              <w:t>о</w:t>
            </w:r>
            <w:r w:rsidRPr="00213A5D">
              <w:rPr>
                <w:bCs/>
                <w:sz w:val="16"/>
                <w:szCs w:val="16"/>
              </w:rPr>
              <w:t xml:space="preserve">бъемами, сроками </w:t>
            </w:r>
          </w:p>
          <w:p w14:paraId="41CB7F6E" w14:textId="77777777" w:rsidR="00D2678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и предметом закупки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6E46791" w14:textId="77777777" w:rsidR="007F34AF" w:rsidRPr="00213A5D" w:rsidRDefault="00C04DF0"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н</w:t>
            </w:r>
            <w:r w:rsidR="00D26785" w:rsidRPr="00213A5D">
              <w:rPr>
                <w:bCs/>
                <w:sz w:val="16"/>
                <w:szCs w:val="16"/>
              </w:rPr>
              <w:t>епропор</w:t>
            </w:r>
            <w:r w:rsidR="007F34AF" w:rsidRPr="00213A5D">
              <w:rPr>
                <w:bCs/>
                <w:sz w:val="16"/>
                <w:szCs w:val="16"/>
              </w:rPr>
              <w:t>-</w:t>
            </w:r>
            <w:r w:rsidR="00D26785" w:rsidRPr="00213A5D">
              <w:rPr>
                <w:bCs/>
                <w:sz w:val="16"/>
                <w:szCs w:val="16"/>
              </w:rPr>
              <w:t xml:space="preserve">циональное распределение аванса </w:t>
            </w:r>
          </w:p>
          <w:p w14:paraId="7365FFE3" w14:textId="77777777" w:rsidR="00D2678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по этапам контракта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B169BFB" w14:textId="77777777" w:rsidR="00530CC5" w:rsidRPr="00213A5D" w:rsidRDefault="00C04DF0"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н</w:t>
            </w:r>
            <w:r w:rsidR="00D26785" w:rsidRPr="00213A5D">
              <w:rPr>
                <w:bCs/>
                <w:sz w:val="16"/>
                <w:szCs w:val="16"/>
              </w:rPr>
              <w:t xml:space="preserve">арушение регламентных сроков размещения информации </w:t>
            </w:r>
          </w:p>
          <w:p w14:paraId="1D6AB10C" w14:textId="77777777" w:rsidR="00D26785" w:rsidRPr="00213A5D" w:rsidRDefault="00D26785"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в реестре контрактов, раб.дней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116CA11" w14:textId="77777777" w:rsidR="00D26785" w:rsidRPr="00213A5D" w:rsidRDefault="00C04DF0" w:rsidP="00AF1852">
            <w:pPr>
              <w:widowControl w:val="0"/>
              <w:overflowPunct/>
              <w:autoSpaceDE/>
              <w:autoSpaceDN/>
              <w:adjustRightInd/>
              <w:spacing w:line="240" w:lineRule="auto"/>
              <w:ind w:left="-108" w:right="-108" w:firstLine="0"/>
              <w:jc w:val="center"/>
              <w:textAlignment w:val="auto"/>
              <w:rPr>
                <w:bCs/>
                <w:sz w:val="16"/>
                <w:szCs w:val="16"/>
              </w:rPr>
            </w:pPr>
            <w:r w:rsidRPr="00213A5D">
              <w:rPr>
                <w:bCs/>
                <w:sz w:val="16"/>
                <w:szCs w:val="16"/>
              </w:rPr>
              <w:t>н</w:t>
            </w:r>
            <w:r w:rsidR="00D26785" w:rsidRPr="00213A5D">
              <w:rPr>
                <w:bCs/>
                <w:sz w:val="16"/>
                <w:szCs w:val="16"/>
              </w:rPr>
              <w:t>еприменение национального режима в случаях, установленных законода-тельством</w:t>
            </w:r>
            <w:r w:rsidRPr="00213A5D">
              <w:rPr>
                <w:bCs/>
                <w:sz w:val="16"/>
                <w:szCs w:val="16"/>
              </w:rPr>
              <w:t xml:space="preserve"> Российской Федерации</w:t>
            </w:r>
          </w:p>
        </w:tc>
      </w:tr>
      <w:tr w:rsidR="00D26785" w:rsidRPr="00213A5D" w14:paraId="4A440635" w14:textId="77777777" w:rsidTr="00530CC5">
        <w:trPr>
          <w:trHeight w:val="489"/>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77210F2"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ФКУ «НАЛОГ-СЕРВИС» ФНС РОССИИ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E00D448"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ПАК дистанцион-ной подписи</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70DC99C2"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31.05.2022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A038BE1"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9 418,9</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551A1FDD"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645350E"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81136C7"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76F17D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BF302CE"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4BF4EEF"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r>
      <w:tr w:rsidR="00D26785" w:rsidRPr="00213A5D" w14:paraId="1190EB67" w14:textId="77777777" w:rsidTr="00530CC5">
        <w:trPr>
          <w:trHeight w:val="268"/>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AF01DC"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ФКУ «РОСТРАНСМОДЕРНИЗАЦИЯ»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E73043"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в</w:t>
            </w:r>
            <w:r w:rsidR="00D26785" w:rsidRPr="00213A5D">
              <w:rPr>
                <w:bCs/>
                <w:sz w:val="16"/>
                <w:szCs w:val="16"/>
              </w:rPr>
              <w:t>ыполнение работ по строительст-ву объекта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62333DE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24.06.2022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2DB80CA"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6 283,5</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19E8C177"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1152C448"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F40ADAA"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F530C6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100EB2DE"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54</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EF0A905"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r>
      <w:tr w:rsidR="00D26785" w:rsidRPr="00213A5D" w14:paraId="0298EF96" w14:textId="77777777" w:rsidTr="00530CC5">
        <w:trPr>
          <w:trHeight w:val="405"/>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FA385F0"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 xml:space="preserve">Госкорпорация </w:t>
            </w:r>
          </w:p>
          <w:p w14:paraId="3F5638E1"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«Росатом»</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9D0F0C5"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п</w:t>
            </w:r>
            <w:r w:rsidR="00D26785" w:rsidRPr="00213A5D">
              <w:rPr>
                <w:bCs/>
                <w:sz w:val="16"/>
                <w:szCs w:val="16"/>
              </w:rPr>
              <w:t>ускатель реверсивный рудничный ПРР-18М-1-УХЛ5</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0FB19807"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13.07.2022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B21EB95"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4 277,4</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4F577EF5"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 </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AAE4FF2"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C3DFA0A"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0AE2687"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408DB2B"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2CCB719"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 </w:t>
            </w:r>
          </w:p>
        </w:tc>
      </w:tr>
      <w:tr w:rsidR="00D26785" w:rsidRPr="00213A5D" w14:paraId="3F5D82B3" w14:textId="77777777" w:rsidTr="00530CC5">
        <w:trPr>
          <w:trHeight w:val="624"/>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02BF522"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 xml:space="preserve">Госкорпорация </w:t>
            </w:r>
          </w:p>
          <w:p w14:paraId="7167E732"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«Росатом»</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A1D5729"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в</w:t>
            </w:r>
            <w:r w:rsidR="00D26785" w:rsidRPr="00213A5D">
              <w:rPr>
                <w:bCs/>
                <w:sz w:val="16"/>
                <w:szCs w:val="16"/>
              </w:rPr>
              <w:t>ы</w:t>
            </w:r>
            <w:r w:rsidRPr="00213A5D">
              <w:rPr>
                <w:bCs/>
                <w:sz w:val="16"/>
                <w:szCs w:val="16"/>
              </w:rPr>
              <w:t>полнение работ по теме</w:t>
            </w:r>
            <w:r w:rsidR="00D26785" w:rsidRPr="00213A5D">
              <w:rPr>
                <w:bCs/>
                <w:sz w:val="16"/>
                <w:szCs w:val="16"/>
              </w:rPr>
              <w:t xml:space="preserve"> «Транспортирование ОТВС РУ типа РБМК-1000 с площадок АЭС и размещение их на сухое хранение»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2A58C4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7.02.2022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022A3F"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2 011,9</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121B992B"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47CFB7D9"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6CCE6A3"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DB8B6C8"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32490002"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126</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5920F3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 </w:t>
            </w:r>
          </w:p>
        </w:tc>
      </w:tr>
      <w:tr w:rsidR="00D26785" w:rsidRPr="00213A5D" w14:paraId="6E4812DF" w14:textId="77777777" w:rsidTr="00530CC5">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6BD3D7"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 xml:space="preserve">Госкорпорация </w:t>
            </w:r>
          </w:p>
          <w:p w14:paraId="20AA852C"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«Росатом»</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8C3A6F3"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н</w:t>
            </w:r>
            <w:r w:rsidR="00D26785" w:rsidRPr="00213A5D">
              <w:rPr>
                <w:bCs/>
                <w:sz w:val="16"/>
                <w:szCs w:val="16"/>
              </w:rPr>
              <w:t>аучно-исследова-тельские, опытно-конструк-торские работы</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4E8A5F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4.03.2022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C32A854"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1 957,1</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7E706492"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38CF2EE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F460856"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CBAB797"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221E881"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9E19619"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r>
      <w:tr w:rsidR="00D26785" w:rsidRPr="00213A5D" w14:paraId="29864067" w14:textId="77777777" w:rsidTr="00530CC5">
        <w:trPr>
          <w:trHeight w:val="3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E08F463"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ФКУ УПРДОР МОСКВА - ВОЛГОГРАД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8947214"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к</w:t>
            </w:r>
            <w:r w:rsidR="00D26785" w:rsidRPr="00213A5D">
              <w:rPr>
                <w:bCs/>
                <w:sz w:val="16"/>
                <w:szCs w:val="16"/>
              </w:rPr>
              <w:t>апиталь-ный ремонт автомобиль-ной дороги</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1E92343"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14.03.2022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7FA8B72"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1 669,3</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21C4608B"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05B87CF5"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19E68E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52BD5C4"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DB4843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141EF4E"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 </w:t>
            </w:r>
          </w:p>
        </w:tc>
      </w:tr>
      <w:tr w:rsidR="00D26785" w:rsidRPr="00213A5D" w14:paraId="6C3441E9" w14:textId="77777777" w:rsidTr="00530CC5">
        <w:trPr>
          <w:trHeight w:val="84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618AAF"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ФКУ УПРДОР «КАВКАЗ»</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F121832"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к</w:t>
            </w:r>
            <w:r w:rsidR="00D26785" w:rsidRPr="00213A5D">
              <w:rPr>
                <w:bCs/>
                <w:sz w:val="16"/>
                <w:szCs w:val="16"/>
              </w:rPr>
              <w:t>апиталь-ный ремонт автомобиль-ной дороги</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436E79F"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1.03.2022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9606DBF"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1 547,0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235EE798"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0AE77655"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r w:rsidRPr="00213A5D">
              <w:rPr>
                <w:bCs/>
                <w:sz w:val="16"/>
                <w:szCs w:val="16"/>
              </w:rPr>
              <w:tab/>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CB352A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675A35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5A08D52A"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FE696CF"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 </w:t>
            </w:r>
          </w:p>
        </w:tc>
      </w:tr>
      <w:tr w:rsidR="00D26785" w:rsidRPr="00213A5D" w14:paraId="1BC7E6F3" w14:textId="77777777" w:rsidTr="00530CC5">
        <w:trPr>
          <w:trHeight w:val="513"/>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BD1891F"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ФКУ «СИБУПРАВТОДОР»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863F4F"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к</w:t>
            </w:r>
            <w:r w:rsidR="00D26785" w:rsidRPr="00213A5D">
              <w:rPr>
                <w:bCs/>
                <w:sz w:val="16"/>
                <w:szCs w:val="16"/>
              </w:rPr>
              <w:t>апиталь-ный ремонт автомобиль-ной дороги</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59377365"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01.08.2022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F52BE49"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1 402,2</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645AD321"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0B62865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DC75F10"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496C4E6"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670C8E75"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7C215B6"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 </w:t>
            </w:r>
          </w:p>
        </w:tc>
      </w:tr>
      <w:tr w:rsidR="00D26785" w:rsidRPr="00213A5D" w14:paraId="0AB08A60" w14:textId="77777777" w:rsidTr="00530CC5">
        <w:trPr>
          <w:trHeight w:val="688"/>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EF3A71B"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 ФКУ УПРДОР «КОЛА»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5EA4CE"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к</w:t>
            </w:r>
            <w:r w:rsidR="00D26785" w:rsidRPr="00213A5D">
              <w:rPr>
                <w:bCs/>
                <w:sz w:val="16"/>
                <w:szCs w:val="16"/>
              </w:rPr>
              <w:t>апиталь-ный ремонт автомобиль-ной дороги</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DE53F2F"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14.03.2022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5EB5F1C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1 365,7</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14:paraId="050A058A"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14:paraId="6C833E38"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1F6E84D"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83A927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14:paraId="7A1287F2"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138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3F64B39"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r>
      <w:tr w:rsidR="00D26785" w:rsidRPr="00213A5D" w14:paraId="0D4D11B4" w14:textId="77777777" w:rsidTr="00530CC5">
        <w:trPr>
          <w:trHeight w:val="74"/>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1B92EFC"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 xml:space="preserve">Госкорпорация </w:t>
            </w:r>
          </w:p>
          <w:p w14:paraId="284C5689" w14:textId="77777777" w:rsidR="00D26785" w:rsidRPr="00213A5D" w:rsidRDefault="00D26785"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«Роскосмос»</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3A08935" w14:textId="77777777" w:rsidR="00D26785" w:rsidRPr="00213A5D" w:rsidRDefault="004455B2"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с</w:t>
            </w:r>
            <w:r w:rsidR="00D26785" w:rsidRPr="00213A5D">
              <w:rPr>
                <w:bCs/>
                <w:sz w:val="16"/>
                <w:szCs w:val="16"/>
              </w:rPr>
              <w:t>оздание комплекса производст</w:t>
            </w:r>
            <w:r w:rsidRPr="00213A5D">
              <w:rPr>
                <w:bCs/>
                <w:sz w:val="16"/>
                <w:szCs w:val="16"/>
              </w:rPr>
              <w:t>-</w:t>
            </w:r>
            <w:r w:rsidR="00D26785" w:rsidRPr="00213A5D">
              <w:rPr>
                <w:bCs/>
                <w:sz w:val="16"/>
                <w:szCs w:val="16"/>
              </w:rPr>
              <w:t xml:space="preserve">ва и подготовки </w:t>
            </w:r>
            <w:r w:rsidR="00D26785" w:rsidRPr="00213A5D">
              <w:rPr>
                <w:bCs/>
                <w:sz w:val="16"/>
                <w:szCs w:val="16"/>
              </w:rPr>
              <w:lastRenderedPageBreak/>
              <w:t>компонентов ракетного топлива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0BC7C04"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lastRenderedPageBreak/>
              <w:t>8.07.2022</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9EE5D0D"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1 200,0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38748D05"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 да</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A52D5BA"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6DE2368"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 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300F04D"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14:paraId="260F7132"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9765FFC" w14:textId="77777777" w:rsidR="00D26785" w:rsidRPr="00213A5D" w:rsidRDefault="00D26785"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 </w:t>
            </w:r>
          </w:p>
        </w:tc>
      </w:tr>
    </w:tbl>
    <w:p w14:paraId="60ACE0FC" w14:textId="77777777" w:rsidR="00C12E92" w:rsidRPr="00213A5D" w:rsidRDefault="00C12E92" w:rsidP="00AF1852">
      <w:pPr>
        <w:widowControl w:val="0"/>
        <w:spacing w:line="240" w:lineRule="auto"/>
        <w:ind w:left="0" w:right="0"/>
        <w:rPr>
          <w:rFonts w:eastAsia="Times New Roman"/>
          <w:sz w:val="10"/>
          <w:szCs w:val="10"/>
        </w:rPr>
      </w:pPr>
    </w:p>
    <w:p w14:paraId="633FFF08" w14:textId="77777777" w:rsidR="00716BE8" w:rsidRPr="00213A5D" w:rsidRDefault="00716BE8" w:rsidP="00AF1852">
      <w:pPr>
        <w:widowControl w:val="0"/>
        <w:spacing w:line="348" w:lineRule="auto"/>
        <w:ind w:left="0" w:right="0"/>
        <w:rPr>
          <w:rFonts w:eastAsia="Times New Roman"/>
          <w:sz w:val="24"/>
          <w:szCs w:val="24"/>
        </w:rPr>
      </w:pPr>
      <w:r w:rsidRPr="00213A5D">
        <w:rPr>
          <w:rFonts w:eastAsia="Times New Roman"/>
          <w:sz w:val="24"/>
          <w:szCs w:val="24"/>
        </w:rPr>
        <w:t>Основными рисками по указанным государственным контрактам являются заключение контракта с единственным поставщиком по результатам несостоявшейся конкурентной процедуры и «Любимый поставщик».</w:t>
      </w:r>
    </w:p>
    <w:p w14:paraId="2927CDCB" w14:textId="77777777" w:rsidR="00716BE8" w:rsidRPr="00213A5D" w:rsidRDefault="00716BE8" w:rsidP="00AF1852">
      <w:pPr>
        <w:widowControl w:val="0"/>
        <w:spacing w:line="348" w:lineRule="auto"/>
        <w:ind w:left="0" w:right="0"/>
        <w:rPr>
          <w:rFonts w:eastAsia="Times New Roman"/>
          <w:sz w:val="24"/>
          <w:szCs w:val="24"/>
        </w:rPr>
      </w:pPr>
      <w:r w:rsidRPr="00213A5D">
        <w:rPr>
          <w:rFonts w:eastAsia="Times New Roman"/>
          <w:sz w:val="24"/>
          <w:szCs w:val="24"/>
        </w:rPr>
        <w:t>Признаками нарушений по государственным контрактам являются нарушение регламентных сроков размещения информации в реестре контрактов от 42 до 138 дней.</w:t>
      </w:r>
    </w:p>
    <w:p w14:paraId="770EB032" w14:textId="77777777" w:rsidR="00716BE8" w:rsidRPr="00213A5D" w:rsidRDefault="00716BE8" w:rsidP="00AF1852">
      <w:pPr>
        <w:widowControl w:val="0"/>
        <w:spacing w:line="348" w:lineRule="auto"/>
        <w:ind w:left="0" w:right="0"/>
        <w:rPr>
          <w:rFonts w:eastAsia="Times New Roman"/>
          <w:sz w:val="24"/>
          <w:szCs w:val="24"/>
        </w:rPr>
      </w:pPr>
      <w:r w:rsidRPr="00213A5D">
        <w:rPr>
          <w:rFonts w:eastAsia="Times New Roman"/>
          <w:sz w:val="24"/>
          <w:szCs w:val="24"/>
        </w:rPr>
        <w:t>По результатам мониторинга признака оплаты государственных контрактов (этапов контрактов), по данным ЕИС «Риск-мониторинг», установлены признаки нарушения сроков оплаты по 23 государственным контрактам с ценой свыше 100,0 млн. рублей, заключенным после 1 января 2022 года.</w:t>
      </w:r>
    </w:p>
    <w:p w14:paraId="098A6B00" w14:textId="77777777" w:rsidR="00716BE8" w:rsidRPr="00213A5D" w:rsidRDefault="00716BE8" w:rsidP="00AF1852">
      <w:pPr>
        <w:widowControl w:val="0"/>
        <w:spacing w:line="348" w:lineRule="auto"/>
        <w:ind w:left="0" w:right="0"/>
        <w:rPr>
          <w:rFonts w:eastAsia="Times New Roman"/>
          <w:sz w:val="24"/>
          <w:szCs w:val="24"/>
        </w:rPr>
      </w:pPr>
      <w:r w:rsidRPr="00213A5D">
        <w:rPr>
          <w:rFonts w:eastAsia="Times New Roman"/>
          <w:sz w:val="24"/>
          <w:szCs w:val="24"/>
        </w:rPr>
        <w:t>Информация об указанных государственных контрактах с ценой выше 200,0 млн. рублей представлена в следующей таблице.</w:t>
      </w:r>
    </w:p>
    <w:tbl>
      <w:tblPr>
        <w:tblW w:w="9639" w:type="dxa"/>
        <w:tblInd w:w="108" w:type="dxa"/>
        <w:tblLayout w:type="fixed"/>
        <w:tblLook w:val="04A0" w:firstRow="1" w:lastRow="0" w:firstColumn="1" w:lastColumn="0" w:noHBand="0" w:noVBand="1"/>
      </w:tblPr>
      <w:tblGrid>
        <w:gridCol w:w="1985"/>
        <w:gridCol w:w="3827"/>
        <w:gridCol w:w="1134"/>
        <w:gridCol w:w="1134"/>
        <w:gridCol w:w="1559"/>
      </w:tblGrid>
      <w:tr w:rsidR="00716BE8" w:rsidRPr="00213A5D" w14:paraId="4100EE4A" w14:textId="77777777" w:rsidTr="001F7856">
        <w:trPr>
          <w:trHeight w:val="557"/>
        </w:trPr>
        <w:tc>
          <w:tcPr>
            <w:tcW w:w="1985" w:type="dxa"/>
            <w:tcBorders>
              <w:top w:val="single" w:sz="4" w:space="0" w:color="auto"/>
              <w:left w:val="single" w:sz="4" w:space="0" w:color="auto"/>
              <w:right w:val="single" w:sz="4" w:space="0" w:color="auto"/>
            </w:tcBorders>
            <w:shd w:val="clear" w:color="auto" w:fill="auto"/>
          </w:tcPr>
          <w:p w14:paraId="1E3783CB"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Наименование заказчика</w:t>
            </w:r>
          </w:p>
        </w:tc>
        <w:tc>
          <w:tcPr>
            <w:tcW w:w="3827" w:type="dxa"/>
            <w:tcBorders>
              <w:top w:val="single" w:sz="4" w:space="0" w:color="auto"/>
              <w:left w:val="single" w:sz="4" w:space="0" w:color="auto"/>
              <w:right w:val="single" w:sz="4" w:space="0" w:color="auto"/>
            </w:tcBorders>
            <w:shd w:val="clear" w:color="auto" w:fill="auto"/>
          </w:tcPr>
          <w:p w14:paraId="52C7BD57"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Объект закупки (контракт)</w:t>
            </w:r>
          </w:p>
        </w:tc>
        <w:tc>
          <w:tcPr>
            <w:tcW w:w="1134" w:type="dxa"/>
            <w:tcBorders>
              <w:top w:val="single" w:sz="4" w:space="0" w:color="auto"/>
              <w:left w:val="single" w:sz="4" w:space="0" w:color="auto"/>
              <w:right w:val="single" w:sz="4" w:space="0" w:color="auto"/>
            </w:tcBorders>
            <w:shd w:val="clear" w:color="auto" w:fill="auto"/>
          </w:tcPr>
          <w:p w14:paraId="53B78E18"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Дата заключения контракта</w:t>
            </w:r>
          </w:p>
        </w:tc>
        <w:tc>
          <w:tcPr>
            <w:tcW w:w="1134" w:type="dxa"/>
            <w:tcBorders>
              <w:top w:val="single" w:sz="4" w:space="0" w:color="auto"/>
              <w:left w:val="single" w:sz="4" w:space="0" w:color="auto"/>
              <w:right w:val="single" w:sz="4" w:space="0" w:color="auto"/>
            </w:tcBorders>
            <w:shd w:val="clear" w:color="auto" w:fill="auto"/>
          </w:tcPr>
          <w:p w14:paraId="43D3003E" w14:textId="77777777" w:rsidR="00716BE8" w:rsidRPr="00213A5D" w:rsidRDefault="00CA2047" w:rsidP="00CA2047">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Цена контракта</w:t>
            </w:r>
            <w:r w:rsidR="00716BE8" w:rsidRPr="00213A5D">
              <w:rPr>
                <w:bCs/>
                <w:sz w:val="16"/>
                <w:szCs w:val="16"/>
              </w:rPr>
              <w:t xml:space="preserve"> (млн</w:t>
            </w:r>
            <w:r w:rsidRPr="00213A5D">
              <w:rPr>
                <w:bCs/>
                <w:sz w:val="16"/>
                <w:szCs w:val="16"/>
              </w:rPr>
              <w:t>.</w:t>
            </w:r>
            <w:r w:rsidR="00716BE8" w:rsidRPr="00213A5D">
              <w:rPr>
                <w:bCs/>
                <w:sz w:val="16"/>
                <w:szCs w:val="16"/>
              </w:rPr>
              <w:t xml:space="preserve"> руб</w:t>
            </w:r>
            <w:r w:rsidRPr="00213A5D">
              <w:rPr>
                <w:bCs/>
                <w:sz w:val="16"/>
                <w:szCs w:val="16"/>
              </w:rPr>
              <w:t>лей</w:t>
            </w:r>
            <w:r w:rsidR="00716BE8" w:rsidRPr="00213A5D">
              <w:rPr>
                <w:bCs/>
                <w:sz w:val="16"/>
                <w:szCs w:val="16"/>
              </w:rPr>
              <w:t>)</w:t>
            </w:r>
          </w:p>
        </w:tc>
        <w:tc>
          <w:tcPr>
            <w:tcW w:w="1559" w:type="dxa"/>
            <w:tcBorders>
              <w:top w:val="single" w:sz="4" w:space="0" w:color="auto"/>
              <w:left w:val="single" w:sz="4" w:space="0" w:color="auto"/>
              <w:right w:val="single" w:sz="4" w:space="0" w:color="auto"/>
            </w:tcBorders>
            <w:shd w:val="clear" w:color="auto" w:fill="auto"/>
          </w:tcPr>
          <w:p w14:paraId="10BD15FB"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Нарушение сроков оплаты контракта (этапов контракта), дней</w:t>
            </w:r>
          </w:p>
        </w:tc>
      </w:tr>
      <w:tr w:rsidR="00716BE8" w:rsidRPr="00213A5D" w14:paraId="5F6B2ACC" w14:textId="77777777" w:rsidTr="001F7856">
        <w:trPr>
          <w:trHeight w:val="146"/>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BC257E2" w14:textId="77777777" w:rsidR="00716BE8" w:rsidRPr="00213A5D" w:rsidRDefault="00716BE8"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ФКУ УПРДОР МОСКВА - ВОЛГОГРАД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2727C" w14:textId="77777777" w:rsidR="00716BE8" w:rsidRPr="00213A5D" w:rsidRDefault="00C04DF0" w:rsidP="00AF1852">
            <w:pPr>
              <w:widowControl w:val="0"/>
              <w:overflowPunct/>
              <w:autoSpaceDE/>
              <w:autoSpaceDN/>
              <w:adjustRightInd/>
              <w:spacing w:line="240" w:lineRule="auto"/>
              <w:ind w:left="0" w:right="0" w:firstLine="0"/>
              <w:textAlignment w:val="auto"/>
              <w:rPr>
                <w:bCs/>
                <w:sz w:val="16"/>
                <w:szCs w:val="16"/>
              </w:rPr>
            </w:pPr>
            <w:r w:rsidRPr="00213A5D">
              <w:rPr>
                <w:bCs/>
                <w:sz w:val="16"/>
                <w:szCs w:val="16"/>
              </w:rPr>
              <w:t>к</w:t>
            </w:r>
            <w:r w:rsidR="00716BE8" w:rsidRPr="00213A5D">
              <w:rPr>
                <w:bCs/>
                <w:sz w:val="16"/>
                <w:szCs w:val="16"/>
              </w:rPr>
              <w:t>апитальный ремонт автомобильной дороги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DDEE2C6"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28.06.2022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AAEBD11" w14:textId="77777777" w:rsidR="00716BE8" w:rsidRPr="00213A5D" w:rsidRDefault="00716BE8" w:rsidP="00AF1852">
            <w:pPr>
              <w:widowControl w:val="0"/>
              <w:ind w:left="0" w:right="0" w:firstLine="0"/>
              <w:jc w:val="center"/>
              <w:rPr>
                <w:bCs/>
                <w:sz w:val="16"/>
                <w:szCs w:val="16"/>
              </w:rPr>
            </w:pPr>
            <w:r w:rsidRPr="00213A5D">
              <w:rPr>
                <w:bCs/>
                <w:sz w:val="16"/>
                <w:szCs w:val="16"/>
              </w:rPr>
              <w:t>2 282,7</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2C9807AC"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50</w:t>
            </w:r>
          </w:p>
        </w:tc>
      </w:tr>
      <w:tr w:rsidR="00716BE8" w:rsidRPr="00213A5D" w14:paraId="590B7245" w14:textId="77777777" w:rsidTr="001F7856">
        <w:trPr>
          <w:trHeight w:val="99"/>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D55C1BB" w14:textId="77777777" w:rsidR="00716BE8" w:rsidRPr="00213A5D" w:rsidRDefault="00716BE8"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ФКУ УПРДОР МОСКВА - ВОЛГОГРАД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5F2CE" w14:textId="77777777" w:rsidR="00716BE8" w:rsidRPr="00213A5D" w:rsidRDefault="00C04DF0" w:rsidP="00AF1852">
            <w:pPr>
              <w:widowControl w:val="0"/>
              <w:overflowPunct/>
              <w:autoSpaceDE/>
              <w:autoSpaceDN/>
              <w:adjustRightInd/>
              <w:spacing w:line="240" w:lineRule="auto"/>
              <w:ind w:left="0" w:right="0" w:firstLine="0"/>
              <w:textAlignment w:val="auto"/>
              <w:rPr>
                <w:bCs/>
                <w:sz w:val="16"/>
                <w:szCs w:val="16"/>
              </w:rPr>
            </w:pPr>
            <w:r w:rsidRPr="00213A5D">
              <w:rPr>
                <w:bCs/>
                <w:sz w:val="16"/>
                <w:szCs w:val="16"/>
              </w:rPr>
              <w:t>к</w:t>
            </w:r>
            <w:r w:rsidR="00716BE8" w:rsidRPr="00213A5D">
              <w:rPr>
                <w:bCs/>
                <w:sz w:val="16"/>
                <w:szCs w:val="16"/>
              </w:rPr>
              <w:t>апитальный ремонт автомобильной дороги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F70BACD"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28.06.2022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2BB2EE0"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1 423,1</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202307F"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5</w:t>
            </w:r>
          </w:p>
        </w:tc>
      </w:tr>
      <w:tr w:rsidR="00716BE8" w:rsidRPr="00213A5D" w14:paraId="2827320C" w14:textId="77777777" w:rsidTr="001F7856">
        <w:trPr>
          <w:trHeight w:val="193"/>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72B9DE8" w14:textId="77777777" w:rsidR="00716BE8" w:rsidRPr="00213A5D" w:rsidRDefault="00716BE8"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ФКУ УПРДОР МОСКВА - ВОЛГОГРАД</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582C8" w14:textId="77777777" w:rsidR="00716BE8" w:rsidRPr="00213A5D" w:rsidRDefault="00C04DF0" w:rsidP="00AF1852">
            <w:pPr>
              <w:widowControl w:val="0"/>
              <w:overflowPunct/>
              <w:autoSpaceDE/>
              <w:autoSpaceDN/>
              <w:adjustRightInd/>
              <w:spacing w:line="240" w:lineRule="auto"/>
              <w:ind w:left="0" w:right="0" w:firstLine="0"/>
              <w:textAlignment w:val="auto"/>
              <w:rPr>
                <w:bCs/>
                <w:sz w:val="16"/>
                <w:szCs w:val="16"/>
              </w:rPr>
            </w:pPr>
            <w:r w:rsidRPr="00213A5D">
              <w:rPr>
                <w:bCs/>
                <w:sz w:val="16"/>
                <w:szCs w:val="16"/>
              </w:rPr>
              <w:t>к</w:t>
            </w:r>
            <w:r w:rsidR="00716BE8" w:rsidRPr="00213A5D">
              <w:rPr>
                <w:bCs/>
                <w:sz w:val="16"/>
                <w:szCs w:val="16"/>
              </w:rPr>
              <w:t>апитальный ремонт автомобильной дороги</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E8700A9"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12.08.2022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C310A3E" w14:textId="77777777" w:rsidR="00716BE8" w:rsidRPr="00213A5D" w:rsidRDefault="00716BE8" w:rsidP="00AF1852">
            <w:pPr>
              <w:widowControl w:val="0"/>
              <w:ind w:left="0" w:right="0" w:firstLine="0"/>
              <w:jc w:val="center"/>
              <w:rPr>
                <w:bCs/>
                <w:sz w:val="16"/>
                <w:szCs w:val="16"/>
              </w:rPr>
            </w:pPr>
            <w:r w:rsidRPr="00213A5D">
              <w:rPr>
                <w:bCs/>
                <w:sz w:val="16"/>
                <w:szCs w:val="16"/>
              </w:rPr>
              <w:t>1 087,0</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062C4DD"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4</w:t>
            </w:r>
          </w:p>
        </w:tc>
      </w:tr>
      <w:tr w:rsidR="00716BE8" w:rsidRPr="00213A5D" w14:paraId="0A1F3735" w14:textId="77777777" w:rsidTr="001F7856">
        <w:trPr>
          <w:trHeight w:val="242"/>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02B7AF16" w14:textId="77777777" w:rsidR="00716BE8" w:rsidRPr="00213A5D" w:rsidRDefault="00716BE8"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 xml:space="preserve">Госкорпорация </w:t>
            </w:r>
          </w:p>
          <w:p w14:paraId="5BC47F5C" w14:textId="77777777" w:rsidR="00716BE8" w:rsidRPr="00213A5D" w:rsidRDefault="00716BE8"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«Росатом»</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C56D840" w14:textId="77777777" w:rsidR="00716BE8" w:rsidRPr="00213A5D" w:rsidRDefault="00C04DF0" w:rsidP="00AF1852">
            <w:pPr>
              <w:widowControl w:val="0"/>
              <w:overflowPunct/>
              <w:autoSpaceDE/>
              <w:autoSpaceDN/>
              <w:adjustRightInd/>
              <w:spacing w:line="240" w:lineRule="auto"/>
              <w:ind w:left="0" w:right="0" w:firstLine="0"/>
              <w:textAlignment w:val="auto"/>
              <w:rPr>
                <w:bCs/>
                <w:sz w:val="16"/>
                <w:szCs w:val="16"/>
              </w:rPr>
            </w:pPr>
            <w:r w:rsidRPr="00213A5D">
              <w:rPr>
                <w:bCs/>
                <w:sz w:val="16"/>
                <w:szCs w:val="16"/>
              </w:rPr>
              <w:t>н</w:t>
            </w:r>
            <w:r w:rsidR="00716BE8" w:rsidRPr="00213A5D">
              <w:rPr>
                <w:bCs/>
                <w:sz w:val="16"/>
                <w:szCs w:val="16"/>
              </w:rPr>
              <w:t>аучно-исследовательские и опытно-конструкторские работы</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AB2C1FA"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26.08.2022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6C86C89" w14:textId="77777777" w:rsidR="00716BE8" w:rsidRPr="00213A5D" w:rsidRDefault="00716BE8" w:rsidP="00AF1852">
            <w:pPr>
              <w:widowControl w:val="0"/>
              <w:ind w:left="0" w:right="0" w:firstLine="0"/>
              <w:jc w:val="center"/>
              <w:rPr>
                <w:bCs/>
                <w:sz w:val="16"/>
                <w:szCs w:val="16"/>
              </w:rPr>
            </w:pPr>
            <w:r w:rsidRPr="00213A5D">
              <w:rPr>
                <w:bCs/>
                <w:sz w:val="16"/>
                <w:szCs w:val="16"/>
              </w:rPr>
              <w:t>795,5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1F8A002"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4</w:t>
            </w:r>
          </w:p>
        </w:tc>
      </w:tr>
      <w:tr w:rsidR="00716BE8" w:rsidRPr="00213A5D" w14:paraId="37EDDCBE" w14:textId="77777777" w:rsidTr="001F7856">
        <w:trPr>
          <w:trHeight w:val="133"/>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A95B4DB" w14:textId="77777777" w:rsidR="00716BE8" w:rsidRPr="00213A5D" w:rsidRDefault="00716BE8" w:rsidP="00AF1852">
            <w:pPr>
              <w:widowControl w:val="0"/>
              <w:overflowPunct/>
              <w:autoSpaceDE/>
              <w:autoSpaceDN/>
              <w:adjustRightInd/>
              <w:spacing w:line="240" w:lineRule="auto"/>
              <w:ind w:left="0" w:right="0" w:firstLine="0"/>
              <w:jc w:val="left"/>
              <w:textAlignment w:val="auto"/>
              <w:rPr>
                <w:bCs/>
                <w:sz w:val="16"/>
                <w:szCs w:val="16"/>
              </w:rPr>
            </w:pPr>
            <w:r w:rsidRPr="00213A5D">
              <w:rPr>
                <w:bCs/>
                <w:sz w:val="16"/>
                <w:szCs w:val="16"/>
              </w:rPr>
              <w:t>ФГБОУ ВО «УРАЛГУФК»</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C483624" w14:textId="77777777" w:rsidR="00716BE8" w:rsidRPr="00213A5D" w:rsidRDefault="00C04DF0" w:rsidP="00AF1852">
            <w:pPr>
              <w:widowControl w:val="0"/>
              <w:overflowPunct/>
              <w:autoSpaceDE/>
              <w:autoSpaceDN/>
              <w:adjustRightInd/>
              <w:spacing w:line="240" w:lineRule="auto"/>
              <w:ind w:left="0" w:right="0" w:firstLine="0"/>
              <w:textAlignment w:val="auto"/>
              <w:rPr>
                <w:bCs/>
                <w:sz w:val="16"/>
                <w:szCs w:val="16"/>
              </w:rPr>
            </w:pPr>
            <w:r w:rsidRPr="00213A5D">
              <w:rPr>
                <w:bCs/>
                <w:sz w:val="16"/>
                <w:szCs w:val="16"/>
              </w:rPr>
              <w:t>р</w:t>
            </w:r>
            <w:r w:rsidR="00716BE8" w:rsidRPr="00213A5D">
              <w:rPr>
                <w:bCs/>
                <w:sz w:val="16"/>
                <w:szCs w:val="16"/>
              </w:rPr>
              <w:t>аботы завершающие и отделочные в зданиях и сооружениях</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951AADD"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15.04.2022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D14CB6E" w14:textId="77777777" w:rsidR="00716BE8" w:rsidRPr="00213A5D" w:rsidRDefault="00716BE8" w:rsidP="00AF1852">
            <w:pPr>
              <w:widowControl w:val="0"/>
              <w:ind w:left="0" w:right="0" w:firstLine="0"/>
              <w:jc w:val="center"/>
              <w:rPr>
                <w:bCs/>
                <w:sz w:val="16"/>
                <w:szCs w:val="16"/>
              </w:rPr>
            </w:pPr>
            <w:r w:rsidRPr="00213A5D">
              <w:rPr>
                <w:bCs/>
                <w:sz w:val="16"/>
                <w:szCs w:val="16"/>
              </w:rPr>
              <w:t>293,5</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1CD316D" w14:textId="77777777" w:rsidR="00716BE8" w:rsidRPr="00213A5D" w:rsidRDefault="00716BE8" w:rsidP="00AF1852">
            <w:pPr>
              <w:widowControl w:val="0"/>
              <w:overflowPunct/>
              <w:autoSpaceDE/>
              <w:autoSpaceDN/>
              <w:adjustRightInd/>
              <w:spacing w:line="240" w:lineRule="auto"/>
              <w:ind w:left="0" w:right="0" w:firstLine="0"/>
              <w:jc w:val="center"/>
              <w:textAlignment w:val="auto"/>
              <w:rPr>
                <w:bCs/>
                <w:sz w:val="16"/>
                <w:szCs w:val="16"/>
              </w:rPr>
            </w:pPr>
            <w:r w:rsidRPr="00213A5D">
              <w:rPr>
                <w:bCs/>
                <w:sz w:val="16"/>
                <w:szCs w:val="16"/>
              </w:rPr>
              <w:t>2</w:t>
            </w:r>
          </w:p>
        </w:tc>
      </w:tr>
    </w:tbl>
    <w:p w14:paraId="3B3A3D11" w14:textId="77777777" w:rsidR="004455B2" w:rsidRPr="00213A5D" w:rsidRDefault="004455B2" w:rsidP="006909C7">
      <w:pPr>
        <w:widowControl w:val="0"/>
        <w:spacing w:line="240" w:lineRule="auto"/>
        <w:ind w:right="142"/>
        <w:jc w:val="center"/>
        <w:rPr>
          <w:sz w:val="16"/>
          <w:szCs w:val="16"/>
        </w:rPr>
      </w:pPr>
    </w:p>
    <w:p w14:paraId="44459010" w14:textId="77777777" w:rsidR="00BD012A" w:rsidRPr="00213A5D" w:rsidRDefault="00E43C52" w:rsidP="00AF1852">
      <w:pPr>
        <w:widowControl w:val="0"/>
        <w:spacing w:before="120" w:line="240" w:lineRule="auto"/>
        <w:ind w:right="140"/>
        <w:jc w:val="center"/>
        <w:rPr>
          <w:b/>
          <w:sz w:val="24"/>
          <w:szCs w:val="24"/>
          <w:u w:val="single"/>
        </w:rPr>
      </w:pPr>
      <w:r w:rsidRPr="00213A5D">
        <w:rPr>
          <w:b/>
          <w:sz w:val="24"/>
          <w:szCs w:val="24"/>
        </w:rPr>
        <w:t>7</w:t>
      </w:r>
      <w:r w:rsidR="00BD012A" w:rsidRPr="00213A5D">
        <w:rPr>
          <w:b/>
          <w:sz w:val="24"/>
          <w:szCs w:val="24"/>
        </w:rPr>
        <w:t xml:space="preserve">. </w:t>
      </w:r>
      <w:r w:rsidR="00BD012A" w:rsidRPr="00213A5D">
        <w:rPr>
          <w:b/>
          <w:sz w:val="24"/>
          <w:szCs w:val="24"/>
          <w:u w:val="single"/>
        </w:rPr>
        <w:t xml:space="preserve">Анализ формирования и использования резервных средств, включая резервный фонд Правительства Российской Федерации </w:t>
      </w:r>
    </w:p>
    <w:p w14:paraId="3BB49C51" w14:textId="77777777" w:rsidR="00BD012A" w:rsidRPr="00213A5D" w:rsidRDefault="00BD012A" w:rsidP="00AF1852">
      <w:pPr>
        <w:widowControl w:val="0"/>
        <w:spacing w:before="120" w:line="240" w:lineRule="auto"/>
        <w:ind w:left="0" w:right="0"/>
        <w:rPr>
          <w:rFonts w:eastAsia="Times New Roman"/>
          <w:sz w:val="16"/>
          <w:szCs w:val="16"/>
        </w:rPr>
      </w:pPr>
    </w:p>
    <w:p w14:paraId="1ADD957D" w14:textId="77777777" w:rsidR="00A513A6" w:rsidRPr="00213A5D" w:rsidRDefault="00A513A6" w:rsidP="00AF1852">
      <w:pPr>
        <w:widowControl w:val="0"/>
        <w:ind w:left="0" w:right="0"/>
        <w:rPr>
          <w:sz w:val="24"/>
          <w:szCs w:val="24"/>
        </w:rPr>
      </w:pPr>
      <w:r w:rsidRPr="00213A5D">
        <w:rPr>
          <w:rFonts w:eastAsia="Times New Roman"/>
          <w:b/>
          <w:sz w:val="24"/>
          <w:szCs w:val="24"/>
        </w:rPr>
        <w:t>7.1.</w:t>
      </w:r>
      <w:r w:rsidRPr="00213A5D">
        <w:rPr>
          <w:rFonts w:eastAsia="Times New Roman"/>
          <w:sz w:val="24"/>
          <w:szCs w:val="24"/>
        </w:rPr>
        <w:t> </w:t>
      </w:r>
      <w:r w:rsidRPr="00213A5D">
        <w:rPr>
          <w:sz w:val="24"/>
          <w:szCs w:val="24"/>
        </w:rPr>
        <w:t>Федеральным законом № 390-ФЗ бюджетные ассигнования зарезервированы в объеме 956 145,3 млн. рублей (открытая часть).</w:t>
      </w:r>
    </w:p>
    <w:p w14:paraId="41BC8984" w14:textId="77777777" w:rsidR="00A513A6" w:rsidRPr="00213A5D" w:rsidRDefault="00A513A6" w:rsidP="00AF1852">
      <w:pPr>
        <w:widowControl w:val="0"/>
        <w:ind w:left="0" w:right="0"/>
        <w:rPr>
          <w:sz w:val="24"/>
          <w:szCs w:val="24"/>
        </w:rPr>
      </w:pPr>
      <w:r w:rsidRPr="00213A5D">
        <w:rPr>
          <w:sz w:val="24"/>
          <w:szCs w:val="24"/>
        </w:rPr>
        <w:t>По состоянию на 1 октября 2022 года в сводную роспись внесены изменения, предусматривающие увеличение зарезервированных бюджетных ассигнований на 4 183 299,0 млн. рублей, приняты решения об использовании зарезервированных бюджетных ассигнований в объеме 4 884 919,8 млн. рублей. Таким образом, зарезервированные бюджетные ассигнования распределены на уровне 95 % общего объема зарезервированных бюджетных ассигнований.</w:t>
      </w:r>
    </w:p>
    <w:p w14:paraId="78F47420" w14:textId="77777777" w:rsidR="00A513A6" w:rsidRPr="00213A5D" w:rsidRDefault="00A513A6" w:rsidP="00AF1852">
      <w:pPr>
        <w:widowControl w:val="0"/>
        <w:ind w:left="0" w:right="0"/>
        <w:rPr>
          <w:sz w:val="24"/>
          <w:szCs w:val="24"/>
        </w:rPr>
      </w:pPr>
      <w:r w:rsidRPr="00213A5D">
        <w:rPr>
          <w:sz w:val="24"/>
          <w:szCs w:val="24"/>
        </w:rPr>
        <w:t xml:space="preserve">Данные об изменении объема зарезервированных бюджетных ассигнований по </w:t>
      </w:r>
      <w:r w:rsidRPr="00213A5D">
        <w:rPr>
          <w:sz w:val="24"/>
          <w:szCs w:val="24"/>
        </w:rPr>
        <w:lastRenderedPageBreak/>
        <w:t>состоянию на 1 октября 2022 года (открытая часть) представлены в следующей таблице.</w:t>
      </w:r>
    </w:p>
    <w:p w14:paraId="5517F466" w14:textId="77777777" w:rsidR="002A0403" w:rsidRPr="00213A5D" w:rsidRDefault="00A513A6" w:rsidP="00AF1852">
      <w:pPr>
        <w:widowControl w:val="0"/>
        <w:spacing w:line="276" w:lineRule="auto"/>
        <w:ind w:left="0" w:right="-2"/>
        <w:jc w:val="right"/>
        <w:rPr>
          <w:sz w:val="20"/>
          <w:szCs w:val="20"/>
        </w:rPr>
      </w:pPr>
      <w:r w:rsidRPr="00213A5D">
        <w:rPr>
          <w:sz w:val="20"/>
          <w:szCs w:val="20"/>
        </w:rPr>
        <w:t xml:space="preserve"> </w:t>
      </w:r>
      <w:r w:rsidR="002A0403" w:rsidRPr="00213A5D">
        <w:rPr>
          <w:sz w:val="20"/>
          <w:szCs w:val="20"/>
        </w:rPr>
        <w:t>(млн. рублей)</w:t>
      </w:r>
    </w:p>
    <w:tbl>
      <w:tblPr>
        <w:tblW w:w="9462" w:type="dxa"/>
        <w:jc w:val="center"/>
        <w:tblLayout w:type="fixed"/>
        <w:tblLook w:val="04A0" w:firstRow="1" w:lastRow="0" w:firstColumn="1" w:lastColumn="0" w:noHBand="0" w:noVBand="1"/>
      </w:tblPr>
      <w:tblGrid>
        <w:gridCol w:w="2220"/>
        <w:gridCol w:w="1863"/>
        <w:gridCol w:w="1429"/>
        <w:gridCol w:w="1637"/>
        <w:gridCol w:w="2313"/>
      </w:tblGrid>
      <w:tr w:rsidR="00A513A6" w:rsidRPr="00213A5D" w14:paraId="6DF67936" w14:textId="77777777" w:rsidTr="00FB4B2F">
        <w:trPr>
          <w:tblHeader/>
          <w:jc w:val="center"/>
        </w:trPr>
        <w:tc>
          <w:tcPr>
            <w:tcW w:w="2220" w:type="dxa"/>
            <w:tcBorders>
              <w:top w:val="single" w:sz="4" w:space="0" w:color="auto"/>
              <w:left w:val="single" w:sz="4" w:space="0" w:color="auto"/>
              <w:bottom w:val="single" w:sz="4" w:space="0" w:color="auto"/>
              <w:right w:val="single" w:sz="4" w:space="0" w:color="auto"/>
            </w:tcBorders>
            <w:vAlign w:val="center"/>
            <w:hideMark/>
          </w:tcPr>
          <w:p w14:paraId="1307C1CD" w14:textId="77777777" w:rsidR="00A513A6" w:rsidRPr="00213A5D" w:rsidRDefault="00A513A6" w:rsidP="00AF1852">
            <w:pPr>
              <w:widowControl w:val="0"/>
              <w:spacing w:line="240" w:lineRule="auto"/>
              <w:ind w:left="0" w:right="0" w:firstLine="0"/>
              <w:jc w:val="center"/>
              <w:rPr>
                <w:b/>
                <w:sz w:val="18"/>
                <w:szCs w:val="18"/>
              </w:rPr>
            </w:pPr>
            <w:r w:rsidRPr="00213A5D">
              <w:rPr>
                <w:b/>
                <w:sz w:val="18"/>
                <w:szCs w:val="18"/>
              </w:rPr>
              <w:t>Наименование показателя</w:t>
            </w:r>
          </w:p>
        </w:tc>
        <w:tc>
          <w:tcPr>
            <w:tcW w:w="1863" w:type="dxa"/>
            <w:tcBorders>
              <w:top w:val="single" w:sz="4" w:space="0" w:color="auto"/>
              <w:left w:val="single" w:sz="4" w:space="0" w:color="auto"/>
              <w:bottom w:val="single" w:sz="4" w:space="0" w:color="000000"/>
              <w:right w:val="nil"/>
            </w:tcBorders>
            <w:vAlign w:val="center"/>
            <w:hideMark/>
          </w:tcPr>
          <w:p w14:paraId="2BA299A9"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Зарезервированные бюджетные ассигнования</w:t>
            </w:r>
          </w:p>
          <w:p w14:paraId="17EDA71D"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на 2022 год,</w:t>
            </w:r>
          </w:p>
          <w:p w14:paraId="1330B84A"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утвержденные</w:t>
            </w:r>
          </w:p>
          <w:p w14:paraId="4F1A9D90"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Федеральным законом № 390-ФЗ</w:t>
            </w:r>
          </w:p>
        </w:tc>
        <w:tc>
          <w:tcPr>
            <w:tcW w:w="1429" w:type="dxa"/>
            <w:tcBorders>
              <w:top w:val="single" w:sz="4" w:space="0" w:color="auto"/>
              <w:left w:val="single" w:sz="4" w:space="0" w:color="auto"/>
              <w:bottom w:val="single" w:sz="4" w:space="0" w:color="000000"/>
              <w:right w:val="single" w:sz="4" w:space="0" w:color="auto"/>
            </w:tcBorders>
            <w:vAlign w:val="center"/>
            <w:hideMark/>
          </w:tcPr>
          <w:p w14:paraId="4B1B7D5F"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Увеличение бюджетных ассигнований</w:t>
            </w:r>
          </w:p>
        </w:tc>
        <w:tc>
          <w:tcPr>
            <w:tcW w:w="1637" w:type="dxa"/>
            <w:tcBorders>
              <w:top w:val="single" w:sz="4" w:space="0" w:color="auto"/>
              <w:left w:val="single" w:sz="4" w:space="0" w:color="auto"/>
              <w:bottom w:val="single" w:sz="4" w:space="0" w:color="auto"/>
              <w:right w:val="single" w:sz="4" w:space="0" w:color="auto"/>
            </w:tcBorders>
            <w:vAlign w:val="center"/>
          </w:tcPr>
          <w:p w14:paraId="78A57A1A"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Использованные бюджетные ассигнования</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F4A3A6B"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Зарезервированные бюджетные ассигнования в соответствии со сводной росписью с изменениями</w:t>
            </w:r>
          </w:p>
          <w:p w14:paraId="5DB00831"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по состоянию</w:t>
            </w:r>
          </w:p>
          <w:p w14:paraId="45371A3D" w14:textId="77777777" w:rsidR="00A513A6" w:rsidRPr="00213A5D" w:rsidRDefault="00A513A6" w:rsidP="00AF1852">
            <w:pPr>
              <w:widowControl w:val="0"/>
              <w:spacing w:line="240" w:lineRule="auto"/>
              <w:ind w:left="0" w:right="0" w:firstLine="0"/>
              <w:jc w:val="center"/>
              <w:rPr>
                <w:b/>
                <w:bCs/>
                <w:sz w:val="18"/>
                <w:szCs w:val="18"/>
              </w:rPr>
            </w:pPr>
            <w:r w:rsidRPr="00213A5D">
              <w:rPr>
                <w:b/>
                <w:bCs/>
                <w:sz w:val="18"/>
                <w:szCs w:val="18"/>
              </w:rPr>
              <w:t>на 1 октября 2022 года</w:t>
            </w:r>
          </w:p>
        </w:tc>
      </w:tr>
      <w:tr w:rsidR="00A513A6" w:rsidRPr="00213A5D" w14:paraId="7D7D229C" w14:textId="77777777" w:rsidTr="00FB4B2F">
        <w:trPr>
          <w:jc w:val="center"/>
        </w:trPr>
        <w:tc>
          <w:tcPr>
            <w:tcW w:w="2220" w:type="dxa"/>
            <w:tcBorders>
              <w:top w:val="single" w:sz="4" w:space="0" w:color="auto"/>
              <w:left w:val="single" w:sz="4" w:space="0" w:color="auto"/>
              <w:bottom w:val="single" w:sz="4" w:space="0" w:color="auto"/>
              <w:right w:val="single" w:sz="4" w:space="0" w:color="auto"/>
            </w:tcBorders>
            <w:vAlign w:val="center"/>
            <w:hideMark/>
          </w:tcPr>
          <w:p w14:paraId="239511C4" w14:textId="77777777" w:rsidR="00A513A6" w:rsidRPr="00213A5D" w:rsidRDefault="00A513A6" w:rsidP="00AF1852">
            <w:pPr>
              <w:widowControl w:val="0"/>
              <w:spacing w:line="240" w:lineRule="auto"/>
              <w:ind w:left="0" w:right="0" w:firstLine="0"/>
              <w:rPr>
                <w:sz w:val="18"/>
                <w:szCs w:val="18"/>
              </w:rPr>
            </w:pPr>
            <w:r w:rsidRPr="00213A5D">
              <w:rPr>
                <w:sz w:val="18"/>
                <w:szCs w:val="18"/>
              </w:rPr>
              <w:t>Зарезервированные бюджетные ассигнования</w:t>
            </w:r>
          </w:p>
        </w:tc>
        <w:tc>
          <w:tcPr>
            <w:tcW w:w="1863" w:type="dxa"/>
            <w:tcBorders>
              <w:top w:val="single" w:sz="4" w:space="0" w:color="auto"/>
              <w:left w:val="single" w:sz="4" w:space="0" w:color="auto"/>
              <w:bottom w:val="single" w:sz="4" w:space="0" w:color="auto"/>
              <w:right w:val="single" w:sz="4" w:space="0" w:color="auto"/>
            </w:tcBorders>
            <w:noWrap/>
            <w:vAlign w:val="center"/>
            <w:hideMark/>
          </w:tcPr>
          <w:p w14:paraId="28D75D81" w14:textId="77777777" w:rsidR="00A513A6" w:rsidRPr="00213A5D" w:rsidRDefault="00A513A6" w:rsidP="00AF1852">
            <w:pPr>
              <w:widowControl w:val="0"/>
              <w:spacing w:line="240" w:lineRule="auto"/>
              <w:ind w:left="0" w:right="0" w:firstLine="0"/>
              <w:jc w:val="center"/>
              <w:rPr>
                <w:rFonts w:eastAsia="Times New Roman"/>
                <w:sz w:val="18"/>
                <w:szCs w:val="18"/>
              </w:rPr>
            </w:pPr>
            <w:r w:rsidRPr="00213A5D">
              <w:rPr>
                <w:rFonts w:eastAsia="Times New Roman"/>
                <w:sz w:val="18"/>
                <w:szCs w:val="18"/>
              </w:rPr>
              <w:t>956 145,3</w:t>
            </w:r>
          </w:p>
        </w:tc>
        <w:tc>
          <w:tcPr>
            <w:tcW w:w="1429" w:type="dxa"/>
            <w:tcBorders>
              <w:top w:val="single" w:sz="4" w:space="0" w:color="auto"/>
              <w:left w:val="single" w:sz="4" w:space="0" w:color="auto"/>
              <w:bottom w:val="single" w:sz="4" w:space="0" w:color="auto"/>
              <w:right w:val="single" w:sz="4" w:space="0" w:color="auto"/>
            </w:tcBorders>
            <w:noWrap/>
            <w:vAlign w:val="center"/>
          </w:tcPr>
          <w:p w14:paraId="692AD469" w14:textId="77777777" w:rsidR="00A513A6" w:rsidRPr="00213A5D" w:rsidRDefault="00A513A6" w:rsidP="00AF1852">
            <w:pPr>
              <w:widowControl w:val="0"/>
              <w:spacing w:line="240" w:lineRule="auto"/>
              <w:ind w:left="0" w:right="0" w:firstLine="0"/>
              <w:jc w:val="center"/>
              <w:rPr>
                <w:sz w:val="18"/>
                <w:szCs w:val="18"/>
              </w:rPr>
            </w:pPr>
            <w:r w:rsidRPr="00213A5D">
              <w:rPr>
                <w:sz w:val="18"/>
                <w:szCs w:val="18"/>
              </w:rPr>
              <w:t>4 183 299,0</w:t>
            </w:r>
          </w:p>
        </w:tc>
        <w:tc>
          <w:tcPr>
            <w:tcW w:w="1637" w:type="dxa"/>
            <w:tcBorders>
              <w:top w:val="single" w:sz="4" w:space="0" w:color="auto"/>
              <w:left w:val="nil"/>
              <w:bottom w:val="single" w:sz="4" w:space="0" w:color="auto"/>
              <w:right w:val="single" w:sz="4" w:space="0" w:color="auto"/>
            </w:tcBorders>
            <w:vAlign w:val="center"/>
          </w:tcPr>
          <w:p w14:paraId="2B23A2FA" w14:textId="77777777" w:rsidR="00A513A6" w:rsidRPr="00213A5D" w:rsidRDefault="00A513A6" w:rsidP="00AF1852">
            <w:pPr>
              <w:widowControl w:val="0"/>
              <w:spacing w:line="240" w:lineRule="auto"/>
              <w:ind w:left="0" w:right="0" w:firstLine="0"/>
              <w:jc w:val="center"/>
              <w:rPr>
                <w:sz w:val="18"/>
                <w:szCs w:val="18"/>
              </w:rPr>
            </w:pPr>
            <w:r w:rsidRPr="00213A5D">
              <w:rPr>
                <w:sz w:val="18"/>
                <w:szCs w:val="18"/>
              </w:rPr>
              <w:t>4 884 919,8 </w:t>
            </w:r>
          </w:p>
        </w:tc>
        <w:tc>
          <w:tcPr>
            <w:tcW w:w="2313" w:type="dxa"/>
            <w:tcBorders>
              <w:top w:val="single" w:sz="4" w:space="0" w:color="auto"/>
              <w:left w:val="single" w:sz="4" w:space="0" w:color="auto"/>
              <w:bottom w:val="single" w:sz="4" w:space="0" w:color="auto"/>
              <w:right w:val="single" w:sz="2" w:space="0" w:color="auto"/>
            </w:tcBorders>
            <w:shd w:val="clear" w:color="auto" w:fill="auto"/>
            <w:noWrap/>
            <w:vAlign w:val="center"/>
            <w:hideMark/>
          </w:tcPr>
          <w:p w14:paraId="11301AB4" w14:textId="77777777" w:rsidR="00A513A6" w:rsidRPr="00213A5D" w:rsidRDefault="00A513A6" w:rsidP="00AF1852">
            <w:pPr>
              <w:widowControl w:val="0"/>
              <w:overflowPunct/>
              <w:autoSpaceDE/>
              <w:autoSpaceDN/>
              <w:adjustRightInd/>
              <w:spacing w:line="240" w:lineRule="auto"/>
              <w:ind w:left="72" w:right="0" w:firstLine="0"/>
              <w:jc w:val="center"/>
              <w:textAlignment w:val="auto"/>
              <w:rPr>
                <w:rFonts w:eastAsia="Times New Roman"/>
                <w:sz w:val="18"/>
                <w:szCs w:val="18"/>
                <w:vertAlign w:val="subscript"/>
              </w:rPr>
            </w:pPr>
            <w:r w:rsidRPr="00213A5D">
              <w:rPr>
                <w:sz w:val="18"/>
                <w:szCs w:val="18"/>
              </w:rPr>
              <w:t>254 524,5</w:t>
            </w:r>
          </w:p>
        </w:tc>
      </w:tr>
      <w:tr w:rsidR="00A513A6" w:rsidRPr="00213A5D" w14:paraId="1182F3A7" w14:textId="77777777" w:rsidTr="00FB4B2F">
        <w:trPr>
          <w:jc w:val="center"/>
        </w:trPr>
        <w:tc>
          <w:tcPr>
            <w:tcW w:w="2220" w:type="dxa"/>
            <w:tcBorders>
              <w:top w:val="single" w:sz="4" w:space="0" w:color="auto"/>
              <w:left w:val="single" w:sz="4" w:space="0" w:color="auto"/>
              <w:bottom w:val="single" w:sz="4" w:space="0" w:color="auto"/>
              <w:right w:val="single" w:sz="4" w:space="0" w:color="auto"/>
            </w:tcBorders>
            <w:vAlign w:val="center"/>
          </w:tcPr>
          <w:p w14:paraId="44A5B5DB" w14:textId="77777777" w:rsidR="00A513A6" w:rsidRPr="00213A5D" w:rsidRDefault="00A513A6" w:rsidP="00AF1852">
            <w:pPr>
              <w:widowControl w:val="0"/>
              <w:spacing w:line="240" w:lineRule="auto"/>
              <w:ind w:left="0" w:right="0" w:firstLine="0"/>
              <w:rPr>
                <w:i/>
                <w:sz w:val="18"/>
                <w:szCs w:val="18"/>
              </w:rPr>
            </w:pPr>
            <w:r w:rsidRPr="00213A5D">
              <w:rPr>
                <w:i/>
                <w:sz w:val="18"/>
                <w:szCs w:val="18"/>
              </w:rPr>
              <w:t>из них:</w:t>
            </w:r>
          </w:p>
        </w:tc>
        <w:tc>
          <w:tcPr>
            <w:tcW w:w="1863" w:type="dxa"/>
            <w:tcBorders>
              <w:top w:val="single" w:sz="4" w:space="0" w:color="auto"/>
              <w:left w:val="single" w:sz="4" w:space="0" w:color="auto"/>
              <w:bottom w:val="single" w:sz="4" w:space="0" w:color="auto"/>
              <w:right w:val="single" w:sz="4" w:space="0" w:color="auto"/>
            </w:tcBorders>
            <w:noWrap/>
            <w:vAlign w:val="center"/>
          </w:tcPr>
          <w:p w14:paraId="243E5DB7" w14:textId="77777777" w:rsidR="00A513A6" w:rsidRPr="00213A5D" w:rsidRDefault="00A513A6" w:rsidP="00AF1852">
            <w:pPr>
              <w:widowControl w:val="0"/>
              <w:spacing w:line="240" w:lineRule="auto"/>
              <w:ind w:left="0" w:right="0" w:firstLine="0"/>
              <w:jc w:val="center"/>
              <w:rPr>
                <w:sz w:val="18"/>
                <w:szCs w:val="18"/>
              </w:rPr>
            </w:pPr>
          </w:p>
        </w:tc>
        <w:tc>
          <w:tcPr>
            <w:tcW w:w="1429" w:type="dxa"/>
            <w:tcBorders>
              <w:top w:val="single" w:sz="4" w:space="0" w:color="auto"/>
              <w:left w:val="single" w:sz="4" w:space="0" w:color="auto"/>
              <w:bottom w:val="single" w:sz="4" w:space="0" w:color="auto"/>
              <w:right w:val="single" w:sz="4" w:space="0" w:color="auto"/>
            </w:tcBorders>
            <w:noWrap/>
            <w:vAlign w:val="center"/>
          </w:tcPr>
          <w:p w14:paraId="079DF014" w14:textId="77777777" w:rsidR="00A513A6" w:rsidRPr="00213A5D" w:rsidRDefault="00A513A6" w:rsidP="00AF1852">
            <w:pPr>
              <w:widowControl w:val="0"/>
              <w:spacing w:line="240" w:lineRule="auto"/>
              <w:ind w:left="0" w:right="0" w:firstLine="0"/>
              <w:jc w:val="center"/>
              <w:rPr>
                <w:sz w:val="18"/>
                <w:szCs w:val="18"/>
              </w:rPr>
            </w:pPr>
          </w:p>
        </w:tc>
        <w:tc>
          <w:tcPr>
            <w:tcW w:w="1637" w:type="dxa"/>
            <w:tcBorders>
              <w:top w:val="single" w:sz="4" w:space="0" w:color="auto"/>
              <w:left w:val="nil"/>
              <w:bottom w:val="single" w:sz="4" w:space="0" w:color="auto"/>
              <w:right w:val="single" w:sz="4" w:space="0" w:color="auto"/>
            </w:tcBorders>
            <w:vAlign w:val="center"/>
          </w:tcPr>
          <w:p w14:paraId="510FE464" w14:textId="77777777" w:rsidR="00A513A6" w:rsidRPr="00213A5D" w:rsidRDefault="00A513A6" w:rsidP="00AF1852">
            <w:pPr>
              <w:widowControl w:val="0"/>
              <w:spacing w:line="240" w:lineRule="auto"/>
              <w:ind w:left="0" w:right="0" w:firstLine="0"/>
              <w:jc w:val="center"/>
              <w:rPr>
                <w:sz w:val="18"/>
                <w:szCs w:val="18"/>
              </w:rPr>
            </w:pPr>
          </w:p>
        </w:tc>
        <w:tc>
          <w:tcPr>
            <w:tcW w:w="2313" w:type="dxa"/>
            <w:tcBorders>
              <w:top w:val="single" w:sz="4" w:space="0" w:color="auto"/>
              <w:left w:val="single" w:sz="4" w:space="0" w:color="auto"/>
              <w:bottom w:val="single" w:sz="4" w:space="0" w:color="auto"/>
              <w:right w:val="single" w:sz="2" w:space="0" w:color="auto"/>
            </w:tcBorders>
            <w:shd w:val="clear" w:color="auto" w:fill="auto"/>
            <w:noWrap/>
            <w:vAlign w:val="center"/>
          </w:tcPr>
          <w:p w14:paraId="69B9A1D9" w14:textId="77777777" w:rsidR="00A513A6" w:rsidRPr="00213A5D" w:rsidRDefault="00A513A6" w:rsidP="00AF1852">
            <w:pPr>
              <w:widowControl w:val="0"/>
              <w:overflowPunct/>
              <w:autoSpaceDE/>
              <w:autoSpaceDN/>
              <w:adjustRightInd/>
              <w:spacing w:line="240" w:lineRule="auto"/>
              <w:ind w:left="72" w:right="0" w:firstLine="0"/>
              <w:jc w:val="center"/>
              <w:textAlignment w:val="auto"/>
              <w:rPr>
                <w:sz w:val="18"/>
                <w:szCs w:val="18"/>
              </w:rPr>
            </w:pPr>
          </w:p>
        </w:tc>
      </w:tr>
      <w:tr w:rsidR="00A513A6" w:rsidRPr="00213A5D" w14:paraId="3E626D78" w14:textId="77777777" w:rsidTr="00FB4B2F">
        <w:trPr>
          <w:jc w:val="center"/>
        </w:trPr>
        <w:tc>
          <w:tcPr>
            <w:tcW w:w="2220" w:type="dxa"/>
            <w:tcBorders>
              <w:top w:val="single" w:sz="4" w:space="0" w:color="auto"/>
              <w:left w:val="single" w:sz="4" w:space="0" w:color="auto"/>
              <w:bottom w:val="single" w:sz="4" w:space="0" w:color="auto"/>
              <w:right w:val="single" w:sz="4" w:space="0" w:color="auto"/>
            </w:tcBorders>
            <w:vAlign w:val="center"/>
          </w:tcPr>
          <w:p w14:paraId="67C9FDC5" w14:textId="77777777" w:rsidR="00A513A6" w:rsidRPr="00213A5D" w:rsidRDefault="00A513A6" w:rsidP="00AF1852">
            <w:pPr>
              <w:widowControl w:val="0"/>
              <w:spacing w:line="240" w:lineRule="auto"/>
              <w:ind w:left="0" w:right="0" w:firstLine="0"/>
              <w:rPr>
                <w:sz w:val="18"/>
                <w:szCs w:val="18"/>
              </w:rPr>
            </w:pPr>
            <w:r w:rsidRPr="00213A5D">
              <w:rPr>
                <w:sz w:val="18"/>
                <w:szCs w:val="18"/>
              </w:rPr>
              <w:t xml:space="preserve">Резервный фонд </w:t>
            </w:r>
            <w:r w:rsidRPr="00213A5D">
              <w:rPr>
                <w:b/>
                <w:sz w:val="18"/>
                <w:szCs w:val="18"/>
              </w:rPr>
              <w:t xml:space="preserve">Правительства </w:t>
            </w:r>
            <w:r w:rsidRPr="00213A5D">
              <w:rPr>
                <w:sz w:val="18"/>
                <w:szCs w:val="18"/>
              </w:rPr>
              <w:t>Российской Федерации</w:t>
            </w:r>
          </w:p>
        </w:tc>
        <w:tc>
          <w:tcPr>
            <w:tcW w:w="1863" w:type="dxa"/>
            <w:tcBorders>
              <w:top w:val="single" w:sz="4" w:space="0" w:color="auto"/>
              <w:left w:val="single" w:sz="4" w:space="0" w:color="auto"/>
              <w:bottom w:val="single" w:sz="4" w:space="0" w:color="auto"/>
              <w:right w:val="single" w:sz="4" w:space="0" w:color="auto"/>
            </w:tcBorders>
            <w:noWrap/>
            <w:vAlign w:val="center"/>
          </w:tcPr>
          <w:p w14:paraId="4B195FEF" w14:textId="77777777" w:rsidR="00A513A6" w:rsidRPr="00213A5D" w:rsidRDefault="00A513A6" w:rsidP="00AF1852">
            <w:pPr>
              <w:widowControl w:val="0"/>
              <w:spacing w:line="240" w:lineRule="auto"/>
              <w:ind w:left="0" w:right="0" w:firstLine="0"/>
              <w:jc w:val="center"/>
              <w:rPr>
                <w:rFonts w:eastAsia="Times New Roman"/>
                <w:sz w:val="18"/>
                <w:szCs w:val="18"/>
              </w:rPr>
            </w:pPr>
            <w:r w:rsidRPr="00213A5D">
              <w:rPr>
                <w:rFonts w:eastAsia="Times New Roman"/>
                <w:sz w:val="18"/>
                <w:szCs w:val="18"/>
              </w:rPr>
              <w:t>291 857,3</w:t>
            </w:r>
          </w:p>
        </w:tc>
        <w:tc>
          <w:tcPr>
            <w:tcW w:w="1429" w:type="dxa"/>
            <w:tcBorders>
              <w:top w:val="single" w:sz="4" w:space="0" w:color="auto"/>
              <w:left w:val="single" w:sz="4" w:space="0" w:color="auto"/>
              <w:bottom w:val="single" w:sz="4" w:space="0" w:color="auto"/>
              <w:right w:val="single" w:sz="4" w:space="0" w:color="auto"/>
            </w:tcBorders>
            <w:noWrap/>
            <w:vAlign w:val="center"/>
          </w:tcPr>
          <w:p w14:paraId="278226D9" w14:textId="77777777" w:rsidR="00A513A6" w:rsidRPr="00213A5D" w:rsidRDefault="00A513A6" w:rsidP="00AF1852">
            <w:pPr>
              <w:widowControl w:val="0"/>
              <w:spacing w:line="240" w:lineRule="auto"/>
              <w:ind w:left="0" w:right="0" w:firstLine="0"/>
              <w:jc w:val="center"/>
              <w:rPr>
                <w:rFonts w:eastAsia="Times New Roman"/>
                <w:sz w:val="18"/>
                <w:szCs w:val="18"/>
              </w:rPr>
            </w:pPr>
            <w:r w:rsidRPr="00213A5D">
              <w:rPr>
                <w:rFonts w:eastAsia="Times New Roman"/>
                <w:sz w:val="18"/>
                <w:szCs w:val="18"/>
              </w:rPr>
              <w:t>4 044 000,8</w:t>
            </w:r>
          </w:p>
        </w:tc>
        <w:tc>
          <w:tcPr>
            <w:tcW w:w="1637" w:type="dxa"/>
            <w:tcBorders>
              <w:top w:val="single" w:sz="4" w:space="0" w:color="auto"/>
              <w:left w:val="nil"/>
              <w:bottom w:val="single" w:sz="4" w:space="0" w:color="auto"/>
              <w:right w:val="single" w:sz="4" w:space="0" w:color="auto"/>
            </w:tcBorders>
            <w:vAlign w:val="center"/>
          </w:tcPr>
          <w:p w14:paraId="47191033" w14:textId="77777777" w:rsidR="00A513A6" w:rsidRPr="00213A5D" w:rsidRDefault="00A513A6" w:rsidP="00AF1852">
            <w:pPr>
              <w:widowControl w:val="0"/>
              <w:spacing w:line="240" w:lineRule="auto"/>
              <w:ind w:left="0" w:right="0" w:firstLine="0"/>
              <w:jc w:val="center"/>
              <w:rPr>
                <w:rFonts w:eastAsia="Times New Roman"/>
                <w:sz w:val="18"/>
                <w:szCs w:val="18"/>
              </w:rPr>
            </w:pPr>
            <w:r w:rsidRPr="00213A5D">
              <w:rPr>
                <w:rFonts w:eastAsia="Times New Roman"/>
                <w:sz w:val="18"/>
                <w:szCs w:val="18"/>
              </w:rPr>
              <w:t>4 271 402,5</w:t>
            </w:r>
          </w:p>
        </w:tc>
        <w:tc>
          <w:tcPr>
            <w:tcW w:w="2313" w:type="dxa"/>
            <w:tcBorders>
              <w:top w:val="single" w:sz="4" w:space="0" w:color="auto"/>
              <w:left w:val="single" w:sz="4" w:space="0" w:color="auto"/>
              <w:bottom w:val="single" w:sz="4" w:space="0" w:color="auto"/>
              <w:right w:val="single" w:sz="2" w:space="0" w:color="auto"/>
            </w:tcBorders>
            <w:shd w:val="clear" w:color="auto" w:fill="auto"/>
            <w:noWrap/>
            <w:vAlign w:val="center"/>
          </w:tcPr>
          <w:p w14:paraId="278F454D" w14:textId="77777777" w:rsidR="00A513A6" w:rsidRPr="00213A5D" w:rsidRDefault="00A513A6" w:rsidP="00AF1852">
            <w:pPr>
              <w:widowControl w:val="0"/>
              <w:spacing w:line="240" w:lineRule="auto"/>
              <w:ind w:left="0" w:right="0" w:firstLine="0"/>
              <w:jc w:val="center"/>
              <w:rPr>
                <w:rFonts w:eastAsia="Times New Roman"/>
                <w:sz w:val="18"/>
                <w:szCs w:val="18"/>
              </w:rPr>
            </w:pPr>
            <w:r w:rsidRPr="00213A5D">
              <w:rPr>
                <w:rFonts w:eastAsia="Times New Roman"/>
                <w:sz w:val="18"/>
                <w:szCs w:val="18"/>
              </w:rPr>
              <w:t>64 455,6</w:t>
            </w:r>
          </w:p>
        </w:tc>
      </w:tr>
      <w:tr w:rsidR="00A513A6" w:rsidRPr="00213A5D" w14:paraId="162FADA3" w14:textId="77777777" w:rsidTr="00FB4B2F">
        <w:trPr>
          <w:jc w:val="center"/>
        </w:trPr>
        <w:tc>
          <w:tcPr>
            <w:tcW w:w="2220" w:type="dxa"/>
            <w:tcBorders>
              <w:top w:val="single" w:sz="4" w:space="0" w:color="auto"/>
              <w:left w:val="single" w:sz="4" w:space="0" w:color="auto"/>
              <w:bottom w:val="single" w:sz="4" w:space="0" w:color="auto"/>
              <w:right w:val="single" w:sz="4" w:space="0" w:color="auto"/>
            </w:tcBorders>
            <w:vAlign w:val="center"/>
          </w:tcPr>
          <w:p w14:paraId="610E6DE8" w14:textId="77777777" w:rsidR="00A513A6" w:rsidRPr="00213A5D" w:rsidRDefault="00A513A6" w:rsidP="00AF1852">
            <w:pPr>
              <w:widowControl w:val="0"/>
              <w:spacing w:line="240" w:lineRule="auto"/>
              <w:ind w:left="0" w:right="0" w:firstLine="0"/>
              <w:rPr>
                <w:sz w:val="18"/>
                <w:szCs w:val="18"/>
              </w:rPr>
            </w:pPr>
            <w:r w:rsidRPr="00213A5D">
              <w:rPr>
                <w:sz w:val="18"/>
                <w:szCs w:val="18"/>
              </w:rPr>
              <w:t xml:space="preserve">Резервный фонд </w:t>
            </w:r>
            <w:r w:rsidRPr="00213A5D">
              <w:rPr>
                <w:b/>
                <w:sz w:val="18"/>
                <w:szCs w:val="18"/>
              </w:rPr>
              <w:t xml:space="preserve">Президента </w:t>
            </w:r>
            <w:r w:rsidRPr="00213A5D">
              <w:rPr>
                <w:sz w:val="18"/>
                <w:szCs w:val="18"/>
              </w:rPr>
              <w:t>Российской Федерации</w:t>
            </w:r>
          </w:p>
        </w:tc>
        <w:tc>
          <w:tcPr>
            <w:tcW w:w="1863" w:type="dxa"/>
            <w:tcBorders>
              <w:top w:val="single" w:sz="4" w:space="0" w:color="auto"/>
              <w:left w:val="single" w:sz="4" w:space="0" w:color="auto"/>
              <w:bottom w:val="single" w:sz="4" w:space="0" w:color="auto"/>
              <w:right w:val="single" w:sz="4" w:space="0" w:color="auto"/>
            </w:tcBorders>
            <w:noWrap/>
            <w:vAlign w:val="center"/>
          </w:tcPr>
          <w:p w14:paraId="019B4AE8" w14:textId="77777777" w:rsidR="00A513A6" w:rsidRPr="00213A5D" w:rsidRDefault="00A513A6" w:rsidP="00AF1852">
            <w:pPr>
              <w:widowControl w:val="0"/>
              <w:spacing w:line="240" w:lineRule="auto"/>
              <w:ind w:left="0" w:right="0" w:firstLine="0"/>
              <w:jc w:val="center"/>
              <w:rPr>
                <w:sz w:val="18"/>
                <w:szCs w:val="18"/>
              </w:rPr>
            </w:pPr>
            <w:r w:rsidRPr="00213A5D">
              <w:rPr>
                <w:sz w:val="18"/>
                <w:szCs w:val="18"/>
              </w:rPr>
              <w:t>10 000,0</w:t>
            </w:r>
          </w:p>
        </w:tc>
        <w:tc>
          <w:tcPr>
            <w:tcW w:w="1429" w:type="dxa"/>
            <w:tcBorders>
              <w:top w:val="single" w:sz="4" w:space="0" w:color="auto"/>
              <w:left w:val="single" w:sz="4" w:space="0" w:color="auto"/>
              <w:bottom w:val="single" w:sz="4" w:space="0" w:color="auto"/>
              <w:right w:val="single" w:sz="4" w:space="0" w:color="auto"/>
            </w:tcBorders>
            <w:noWrap/>
            <w:vAlign w:val="center"/>
          </w:tcPr>
          <w:p w14:paraId="3D954FCB" w14:textId="77777777" w:rsidR="00A513A6" w:rsidRPr="00213A5D" w:rsidRDefault="00A513A6" w:rsidP="00AF1852">
            <w:pPr>
              <w:widowControl w:val="0"/>
              <w:spacing w:line="240" w:lineRule="auto"/>
              <w:ind w:left="0" w:right="0" w:firstLine="0"/>
              <w:jc w:val="center"/>
              <w:rPr>
                <w:sz w:val="18"/>
                <w:szCs w:val="18"/>
              </w:rPr>
            </w:pPr>
            <w:r w:rsidRPr="00213A5D">
              <w:rPr>
                <w:sz w:val="18"/>
                <w:szCs w:val="18"/>
              </w:rPr>
              <w:t>6 444,2</w:t>
            </w:r>
          </w:p>
        </w:tc>
        <w:tc>
          <w:tcPr>
            <w:tcW w:w="1637" w:type="dxa"/>
            <w:tcBorders>
              <w:top w:val="single" w:sz="4" w:space="0" w:color="auto"/>
              <w:left w:val="nil"/>
              <w:bottom w:val="single" w:sz="4" w:space="0" w:color="auto"/>
              <w:right w:val="single" w:sz="4" w:space="0" w:color="auto"/>
            </w:tcBorders>
            <w:vAlign w:val="center"/>
          </w:tcPr>
          <w:p w14:paraId="2422EA5A" w14:textId="77777777" w:rsidR="00A513A6" w:rsidRPr="00213A5D" w:rsidRDefault="00A513A6" w:rsidP="00AF1852">
            <w:pPr>
              <w:widowControl w:val="0"/>
              <w:spacing w:line="240" w:lineRule="auto"/>
              <w:ind w:left="0" w:right="0" w:firstLine="0"/>
              <w:jc w:val="center"/>
              <w:rPr>
                <w:sz w:val="18"/>
                <w:szCs w:val="18"/>
              </w:rPr>
            </w:pPr>
            <w:r w:rsidRPr="00213A5D">
              <w:rPr>
                <w:sz w:val="18"/>
                <w:szCs w:val="18"/>
              </w:rPr>
              <w:t>6 471,7</w:t>
            </w:r>
          </w:p>
        </w:tc>
        <w:tc>
          <w:tcPr>
            <w:tcW w:w="2313" w:type="dxa"/>
            <w:tcBorders>
              <w:top w:val="single" w:sz="4" w:space="0" w:color="auto"/>
              <w:left w:val="single" w:sz="4" w:space="0" w:color="auto"/>
              <w:bottom w:val="single" w:sz="2" w:space="0" w:color="auto"/>
              <w:right w:val="single" w:sz="2" w:space="0" w:color="auto"/>
            </w:tcBorders>
            <w:shd w:val="clear" w:color="auto" w:fill="auto"/>
            <w:noWrap/>
            <w:vAlign w:val="center"/>
          </w:tcPr>
          <w:p w14:paraId="6A854833" w14:textId="77777777" w:rsidR="00A513A6" w:rsidRPr="00213A5D" w:rsidRDefault="00A513A6" w:rsidP="00AF1852">
            <w:pPr>
              <w:widowControl w:val="0"/>
              <w:overflowPunct/>
              <w:autoSpaceDE/>
              <w:autoSpaceDN/>
              <w:adjustRightInd/>
              <w:spacing w:line="240" w:lineRule="auto"/>
              <w:ind w:left="72" w:right="0" w:firstLine="0"/>
              <w:jc w:val="center"/>
              <w:textAlignment w:val="auto"/>
              <w:rPr>
                <w:sz w:val="18"/>
                <w:szCs w:val="18"/>
              </w:rPr>
            </w:pPr>
            <w:r w:rsidRPr="00213A5D">
              <w:rPr>
                <w:sz w:val="18"/>
                <w:szCs w:val="18"/>
              </w:rPr>
              <w:t>9 972,5</w:t>
            </w:r>
          </w:p>
        </w:tc>
      </w:tr>
    </w:tbl>
    <w:p w14:paraId="3E250947" w14:textId="77777777" w:rsidR="002A0403" w:rsidRPr="00213A5D" w:rsidRDefault="002A0403" w:rsidP="00AF1852">
      <w:pPr>
        <w:widowControl w:val="0"/>
        <w:spacing w:line="240" w:lineRule="auto"/>
        <w:ind w:left="0" w:right="0"/>
        <w:rPr>
          <w:sz w:val="16"/>
          <w:szCs w:val="16"/>
        </w:rPr>
      </w:pPr>
    </w:p>
    <w:p w14:paraId="2DE1B213" w14:textId="77777777" w:rsidR="00A513A6" w:rsidRPr="00213A5D" w:rsidRDefault="00A513A6" w:rsidP="001A0B91">
      <w:pPr>
        <w:widowControl w:val="0"/>
        <w:spacing w:line="348" w:lineRule="auto"/>
        <w:ind w:left="0" w:right="0"/>
        <w:rPr>
          <w:sz w:val="24"/>
          <w:szCs w:val="24"/>
        </w:rPr>
      </w:pPr>
      <w:r w:rsidRPr="00213A5D">
        <w:rPr>
          <w:sz w:val="24"/>
          <w:szCs w:val="24"/>
        </w:rPr>
        <w:t xml:space="preserve">По состоянию на 1 октября 2022 года объем зарезервированных бюджетных ассигнований (открытая часть) в соответствии со сводной росписью с изменениями составляет </w:t>
      </w:r>
      <w:r w:rsidRPr="00213A5D">
        <w:rPr>
          <w:b/>
          <w:sz w:val="24"/>
          <w:szCs w:val="24"/>
        </w:rPr>
        <w:t>254 524,5 млн. рублей</w:t>
      </w:r>
      <w:r w:rsidRPr="00213A5D">
        <w:rPr>
          <w:sz w:val="24"/>
          <w:szCs w:val="24"/>
        </w:rPr>
        <w:t xml:space="preserve"> (из них резервный </w:t>
      </w:r>
      <w:r w:rsidRPr="00213A5D">
        <w:rPr>
          <w:b/>
          <w:sz w:val="24"/>
          <w:szCs w:val="24"/>
        </w:rPr>
        <w:t>фонд Правительства Российской Федерации</w:t>
      </w:r>
      <w:r w:rsidRPr="00213A5D">
        <w:rPr>
          <w:sz w:val="24"/>
          <w:szCs w:val="24"/>
        </w:rPr>
        <w:t xml:space="preserve"> – 64 455,6 млн. рублей, или 25,3 % общего объема зарезервированных бюджетных ассигнований, резервный фонд Президента Российской Федерации – 9 972,5 млн. рублей, или 3,9 %), что на </w:t>
      </w:r>
      <w:r w:rsidRPr="00213A5D">
        <w:rPr>
          <w:b/>
          <w:sz w:val="24"/>
          <w:szCs w:val="24"/>
        </w:rPr>
        <w:t>113 000,3 млн. рублей</w:t>
      </w:r>
      <w:r w:rsidRPr="00213A5D">
        <w:rPr>
          <w:sz w:val="24"/>
          <w:szCs w:val="24"/>
        </w:rPr>
        <w:t xml:space="preserve"> больше показателя аналогичного периода 2021 года (на 1 октября 2021 года – 141 524,8 млн. рублей) </w:t>
      </w:r>
      <w:r w:rsidR="00CF293A" w:rsidRPr="00213A5D">
        <w:rPr>
          <w:sz w:val="24"/>
          <w:szCs w:val="24"/>
        </w:rPr>
        <w:br/>
      </w:r>
      <w:r w:rsidRPr="00213A5D">
        <w:rPr>
          <w:sz w:val="24"/>
          <w:szCs w:val="24"/>
        </w:rPr>
        <w:t xml:space="preserve">и на </w:t>
      </w:r>
      <w:r w:rsidRPr="00213A5D">
        <w:rPr>
          <w:b/>
          <w:sz w:val="24"/>
          <w:szCs w:val="24"/>
        </w:rPr>
        <w:t>701 620,8 млн. рублей</w:t>
      </w:r>
      <w:r w:rsidRPr="00213A5D">
        <w:rPr>
          <w:sz w:val="24"/>
          <w:szCs w:val="24"/>
        </w:rPr>
        <w:t xml:space="preserve"> меньше зарезервированного объема бюджетных ассигнований </w:t>
      </w:r>
      <w:r w:rsidR="00CF293A" w:rsidRPr="00213A5D">
        <w:rPr>
          <w:sz w:val="24"/>
          <w:szCs w:val="24"/>
        </w:rPr>
        <w:br/>
      </w:r>
      <w:r w:rsidRPr="00213A5D">
        <w:rPr>
          <w:rFonts w:eastAsia="Times New Roman"/>
          <w:sz w:val="24"/>
          <w:szCs w:val="24"/>
        </w:rPr>
        <w:t>на 2022 год, утвержденного</w:t>
      </w:r>
      <w:r w:rsidRPr="00213A5D">
        <w:rPr>
          <w:sz w:val="24"/>
          <w:szCs w:val="24"/>
        </w:rPr>
        <w:t xml:space="preserve"> Федеральным законом № 390-ФЗ. </w:t>
      </w:r>
    </w:p>
    <w:p w14:paraId="46794F1B" w14:textId="77777777" w:rsidR="00A513A6" w:rsidRPr="00213A5D" w:rsidRDefault="00A513A6" w:rsidP="001A0B91">
      <w:pPr>
        <w:widowControl w:val="0"/>
        <w:spacing w:line="348" w:lineRule="auto"/>
        <w:ind w:left="0" w:right="0"/>
        <w:rPr>
          <w:rFonts w:eastAsia="Times New Roman"/>
          <w:sz w:val="24"/>
          <w:szCs w:val="24"/>
        </w:rPr>
      </w:pPr>
      <w:r w:rsidRPr="00213A5D">
        <w:rPr>
          <w:rFonts w:eastAsia="Times New Roman"/>
          <w:b/>
          <w:sz w:val="24"/>
          <w:szCs w:val="24"/>
        </w:rPr>
        <w:t>7.2.</w:t>
      </w:r>
      <w:r w:rsidRPr="00213A5D">
        <w:rPr>
          <w:rFonts w:eastAsia="Times New Roman"/>
          <w:sz w:val="24"/>
          <w:szCs w:val="24"/>
        </w:rPr>
        <w:t xml:space="preserve"> Федеральным законом № 390-ФЗ бюджетные ассигнования </w:t>
      </w:r>
      <w:r w:rsidRPr="00213A5D">
        <w:rPr>
          <w:rFonts w:eastAsia="Times New Roman"/>
          <w:b/>
          <w:sz w:val="24"/>
          <w:szCs w:val="24"/>
        </w:rPr>
        <w:t>резервного фонда Правительства Российской Федерации</w:t>
      </w:r>
      <w:r w:rsidRPr="00213A5D">
        <w:rPr>
          <w:rFonts w:eastAsia="Times New Roman"/>
          <w:sz w:val="24"/>
          <w:szCs w:val="24"/>
        </w:rPr>
        <w:t xml:space="preserve"> предусмотрены на 2022 год в объеме </w:t>
      </w:r>
      <w:r w:rsidRPr="00213A5D">
        <w:rPr>
          <w:rFonts w:eastAsia="Times New Roman"/>
          <w:b/>
          <w:sz w:val="24"/>
          <w:szCs w:val="24"/>
        </w:rPr>
        <w:t>291 857,3 млн. рублей</w:t>
      </w:r>
      <w:r w:rsidRPr="00213A5D">
        <w:rPr>
          <w:rFonts w:eastAsia="Times New Roman"/>
          <w:sz w:val="24"/>
          <w:szCs w:val="24"/>
        </w:rPr>
        <w:t>.</w:t>
      </w:r>
    </w:p>
    <w:p w14:paraId="36DC8E3C" w14:textId="77777777" w:rsidR="00A513A6" w:rsidRPr="00213A5D" w:rsidRDefault="00A513A6" w:rsidP="001A0B91">
      <w:pPr>
        <w:widowControl w:val="0"/>
        <w:spacing w:line="348" w:lineRule="auto"/>
        <w:ind w:left="0" w:right="0"/>
        <w:rPr>
          <w:rFonts w:eastAsia="Times New Roman"/>
          <w:b/>
          <w:sz w:val="24"/>
          <w:szCs w:val="24"/>
        </w:rPr>
      </w:pPr>
      <w:r w:rsidRPr="00213A5D">
        <w:rPr>
          <w:rFonts w:eastAsia="Times New Roman"/>
          <w:sz w:val="24"/>
          <w:szCs w:val="24"/>
        </w:rPr>
        <w:t xml:space="preserve">По состоянию на 1 октября 2022 года в соответствии с решениями Правительства Российской Федерации и Комиссии Федерального Собрания Российской Федерации </w:t>
      </w:r>
      <w:r w:rsidR="00CF293A" w:rsidRPr="00213A5D">
        <w:rPr>
          <w:rFonts w:eastAsia="Times New Roman"/>
          <w:sz w:val="24"/>
          <w:szCs w:val="24"/>
        </w:rPr>
        <w:br/>
      </w:r>
      <w:r w:rsidRPr="00213A5D">
        <w:rPr>
          <w:rFonts w:eastAsia="Times New Roman"/>
          <w:sz w:val="24"/>
          <w:szCs w:val="24"/>
        </w:rPr>
        <w:t xml:space="preserve">по перераспределению бюджетных ассигнований в текущем финансовом году и плановом периоде (далее – Комиссия по перераспределению) в сводную роспись внесены изменения, предусматривающие </w:t>
      </w:r>
      <w:r w:rsidRPr="00213A5D">
        <w:rPr>
          <w:rFonts w:eastAsia="Times New Roman"/>
          <w:b/>
          <w:sz w:val="24"/>
          <w:szCs w:val="24"/>
        </w:rPr>
        <w:t>увеличение на 4 044 000,8 млн. рублей</w:t>
      </w:r>
      <w:r w:rsidRPr="00213A5D">
        <w:rPr>
          <w:rFonts w:eastAsia="Times New Roman"/>
          <w:sz w:val="24"/>
          <w:szCs w:val="24"/>
        </w:rPr>
        <w:t xml:space="preserve"> и </w:t>
      </w:r>
      <w:r w:rsidRPr="00213A5D">
        <w:rPr>
          <w:rFonts w:eastAsia="Times New Roman"/>
          <w:b/>
          <w:sz w:val="24"/>
          <w:szCs w:val="24"/>
        </w:rPr>
        <w:t>уменьшение на 4 271 402,5 млн. рублей</w:t>
      </w:r>
      <w:r w:rsidRPr="00213A5D">
        <w:rPr>
          <w:rFonts w:eastAsia="Times New Roman"/>
          <w:sz w:val="24"/>
          <w:szCs w:val="24"/>
        </w:rPr>
        <w:t xml:space="preserve"> объема бюджетных ассигнований </w:t>
      </w:r>
      <w:r w:rsidRPr="00213A5D">
        <w:rPr>
          <w:rFonts w:eastAsia="Times New Roman"/>
          <w:b/>
          <w:sz w:val="24"/>
          <w:szCs w:val="24"/>
        </w:rPr>
        <w:t>резервного фонда Правительства Российской Федерации.</w:t>
      </w:r>
    </w:p>
    <w:p w14:paraId="46495BF4" w14:textId="77777777" w:rsidR="00A513A6" w:rsidRPr="00213A5D" w:rsidRDefault="00A513A6" w:rsidP="001A0B91">
      <w:pPr>
        <w:widowControl w:val="0"/>
        <w:overflowPunct/>
        <w:spacing w:line="348" w:lineRule="auto"/>
        <w:ind w:left="0" w:right="0"/>
        <w:textAlignment w:val="auto"/>
        <w:rPr>
          <w:rFonts w:eastAsia="Times New Roman"/>
          <w:sz w:val="24"/>
          <w:szCs w:val="24"/>
        </w:rPr>
      </w:pPr>
      <w:r w:rsidRPr="00213A5D">
        <w:rPr>
          <w:rFonts w:eastAsia="Times New Roman"/>
          <w:b/>
          <w:sz w:val="24"/>
          <w:szCs w:val="24"/>
        </w:rPr>
        <w:t>7.2.1.</w:t>
      </w:r>
      <w:r w:rsidRPr="00213A5D">
        <w:rPr>
          <w:rFonts w:eastAsia="Times New Roman"/>
          <w:sz w:val="24"/>
          <w:szCs w:val="24"/>
        </w:rPr>
        <w:t xml:space="preserve"> В соответствии с пунктом 7 статьи 217, пунктом 4 статьи 94, пунктом 4</w:t>
      </w:r>
      <w:r w:rsidRPr="00213A5D">
        <w:rPr>
          <w:rFonts w:eastAsia="Times New Roman"/>
          <w:sz w:val="24"/>
          <w:szCs w:val="24"/>
          <w:vertAlign w:val="superscript"/>
        </w:rPr>
        <w:t xml:space="preserve">2 </w:t>
      </w:r>
      <w:r w:rsidRPr="00213A5D">
        <w:rPr>
          <w:rFonts w:eastAsia="Times New Roman"/>
          <w:sz w:val="24"/>
          <w:szCs w:val="24"/>
        </w:rPr>
        <w:t>статьи 132, пунктом 3 статьи 132</w:t>
      </w:r>
      <w:r w:rsidRPr="00213A5D">
        <w:rPr>
          <w:rFonts w:eastAsia="Times New Roman"/>
          <w:sz w:val="24"/>
          <w:szCs w:val="24"/>
          <w:vertAlign w:val="superscript"/>
        </w:rPr>
        <w:t>1</w:t>
      </w:r>
      <w:r w:rsidRPr="00213A5D">
        <w:rPr>
          <w:rFonts w:eastAsia="Times New Roman"/>
          <w:sz w:val="24"/>
          <w:szCs w:val="24"/>
        </w:rPr>
        <w:t xml:space="preserve"> и пунктом 5</w:t>
      </w:r>
      <w:r w:rsidRPr="00213A5D">
        <w:rPr>
          <w:rFonts w:eastAsia="Times New Roman"/>
          <w:sz w:val="24"/>
          <w:szCs w:val="24"/>
          <w:vertAlign w:val="superscript"/>
        </w:rPr>
        <w:t>1</w:t>
      </w:r>
      <w:r w:rsidRPr="00213A5D">
        <w:rPr>
          <w:rFonts w:eastAsia="Times New Roman"/>
          <w:sz w:val="24"/>
          <w:szCs w:val="24"/>
        </w:rPr>
        <w:t xml:space="preserve"> статьи 242 Бюджетного кодекса Российской Федерации, пунктом 3 части 5, частями 22 и 23 статьи 10 Федерального закона № 384-ФЗ, </w:t>
      </w:r>
      <w:r w:rsidRPr="00213A5D">
        <w:rPr>
          <w:rFonts w:eastAsia="Times New Roman"/>
          <w:sz w:val="24"/>
          <w:szCs w:val="24"/>
        </w:rPr>
        <w:br/>
        <w:t xml:space="preserve">на основании распоряжений Правительства Российской Федерации, а также решений Комиссии по перераспределению и Правительственной комиссии по оптимизации внесены изменения в показатели сводной росписи федерального бюджета, предусматривающие </w:t>
      </w:r>
      <w:r w:rsidRPr="00213A5D">
        <w:rPr>
          <w:rFonts w:eastAsia="Times New Roman"/>
          <w:b/>
          <w:sz w:val="24"/>
          <w:szCs w:val="24"/>
        </w:rPr>
        <w:t xml:space="preserve">увеличение объема резервного фонда Правительства Российской Федерации </w:t>
      </w:r>
      <w:r w:rsidRPr="00213A5D">
        <w:rPr>
          <w:rFonts w:eastAsia="Times New Roman"/>
          <w:b/>
          <w:sz w:val="24"/>
          <w:szCs w:val="24"/>
        </w:rPr>
        <w:br/>
      </w:r>
      <w:r w:rsidRPr="00213A5D">
        <w:rPr>
          <w:rFonts w:eastAsia="Times New Roman"/>
          <w:b/>
          <w:sz w:val="24"/>
          <w:szCs w:val="24"/>
        </w:rPr>
        <w:lastRenderedPageBreak/>
        <w:t xml:space="preserve">на 4 044 000,8 млн. рублей. </w:t>
      </w:r>
      <w:r w:rsidRPr="00213A5D">
        <w:rPr>
          <w:rFonts w:eastAsia="Times New Roman"/>
          <w:sz w:val="24"/>
          <w:szCs w:val="24"/>
        </w:rPr>
        <w:t>Информация о поступлении в резервный фонд Правительства Российской Федерации приведена в следующей диаграмме.</w:t>
      </w:r>
    </w:p>
    <w:p w14:paraId="07597669" w14:textId="77777777" w:rsidR="000C6558" w:rsidRPr="00213A5D" w:rsidRDefault="00CD0E98" w:rsidP="001609ED">
      <w:pPr>
        <w:widowControl w:val="0"/>
        <w:overflowPunct/>
        <w:spacing w:line="240" w:lineRule="auto"/>
        <w:ind w:left="0" w:right="0" w:firstLine="0"/>
        <w:jc w:val="center"/>
        <w:textAlignment w:val="auto"/>
        <w:rPr>
          <w:rFonts w:eastAsia="Times New Roman"/>
          <w:sz w:val="16"/>
          <w:szCs w:val="16"/>
        </w:rPr>
      </w:pPr>
      <w:r w:rsidRPr="000F369D">
        <w:rPr>
          <w:noProof/>
        </w:rPr>
        <w:pict w14:anchorId="332BF984">
          <v:shape id="Рисунок 34" o:spid="_x0000_i1049" type="#_x0000_t75" style="width:452.4pt;height:220.75pt;visibility:visible" o:gfxdata="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">
            <v:imagedata r:id="rId54" o:title=""/>
            <o:lock v:ext="edit" aspectratio="f"/>
          </v:shape>
        </w:pict>
      </w:r>
    </w:p>
    <w:p w14:paraId="0E205AA9" w14:textId="77777777" w:rsidR="001A0B91" w:rsidRPr="00EB05B1" w:rsidRDefault="001A0B91" w:rsidP="001A0B91">
      <w:pPr>
        <w:overflowPunct/>
        <w:autoSpaceDE/>
        <w:autoSpaceDN/>
        <w:adjustRightInd/>
        <w:spacing w:line="324" w:lineRule="auto"/>
        <w:ind w:left="0" w:right="0"/>
        <w:textAlignment w:val="auto"/>
        <w:rPr>
          <w:rFonts w:eastAsia="Times New Roman"/>
          <w:b/>
          <w:sz w:val="24"/>
          <w:szCs w:val="24"/>
        </w:rPr>
      </w:pPr>
      <w:r w:rsidRPr="00F417D4">
        <w:rPr>
          <w:rFonts w:eastAsia="Times New Roman"/>
          <w:sz w:val="24"/>
          <w:szCs w:val="24"/>
        </w:rPr>
        <w:t xml:space="preserve">С учетом внесенных изменений в сводную роспись общий объем бюджетных ассигнований </w:t>
      </w:r>
      <w:r w:rsidRPr="00F417D4">
        <w:rPr>
          <w:rFonts w:eastAsia="Times New Roman"/>
          <w:b/>
          <w:sz w:val="24"/>
          <w:szCs w:val="24"/>
        </w:rPr>
        <w:t>резервного фонда Правительства Российской Федерации</w:t>
      </w:r>
      <w:r w:rsidRPr="00F417D4">
        <w:rPr>
          <w:rFonts w:eastAsia="Times New Roman"/>
          <w:sz w:val="24"/>
          <w:szCs w:val="24"/>
        </w:rPr>
        <w:t xml:space="preserve"> составил </w:t>
      </w:r>
      <w:r w:rsidRPr="001A0B91">
        <w:rPr>
          <w:rFonts w:eastAsia="Times New Roman"/>
          <w:b/>
          <w:sz w:val="24"/>
          <w:szCs w:val="24"/>
        </w:rPr>
        <w:t>4</w:t>
      </w:r>
      <w:r>
        <w:rPr>
          <w:rFonts w:eastAsia="Times New Roman"/>
          <w:b/>
          <w:sz w:val="24"/>
          <w:szCs w:val="24"/>
        </w:rPr>
        <w:t> </w:t>
      </w:r>
      <w:r w:rsidRPr="001A0B91">
        <w:rPr>
          <w:rFonts w:eastAsia="Times New Roman"/>
          <w:b/>
          <w:sz w:val="24"/>
          <w:szCs w:val="24"/>
        </w:rPr>
        <w:t>335</w:t>
      </w:r>
      <w:r>
        <w:rPr>
          <w:rFonts w:eastAsia="Times New Roman"/>
          <w:b/>
          <w:sz w:val="24"/>
          <w:szCs w:val="24"/>
        </w:rPr>
        <w:t> </w:t>
      </w:r>
      <w:r w:rsidRPr="001A0B91">
        <w:rPr>
          <w:rFonts w:eastAsia="Times New Roman"/>
          <w:b/>
          <w:sz w:val="24"/>
          <w:szCs w:val="24"/>
        </w:rPr>
        <w:t>858,1</w:t>
      </w:r>
      <w:r w:rsidRPr="00F417D4">
        <w:rPr>
          <w:rFonts w:eastAsia="Times New Roman"/>
          <w:b/>
          <w:sz w:val="24"/>
          <w:szCs w:val="24"/>
        </w:rPr>
        <w:t> млн. рублей.</w:t>
      </w:r>
    </w:p>
    <w:p w14:paraId="0A42C7EF" w14:textId="77777777" w:rsidR="00A513A6" w:rsidRPr="00213A5D" w:rsidRDefault="00A513A6" w:rsidP="001A0B91">
      <w:pPr>
        <w:widowControl w:val="0"/>
        <w:overflowPunct/>
        <w:spacing w:line="324" w:lineRule="auto"/>
        <w:ind w:left="0" w:right="0"/>
        <w:textAlignment w:val="auto"/>
        <w:rPr>
          <w:rFonts w:eastAsia="Times New Roman"/>
          <w:sz w:val="24"/>
          <w:szCs w:val="24"/>
        </w:rPr>
      </w:pPr>
      <w:r w:rsidRPr="00213A5D">
        <w:rPr>
          <w:rFonts w:eastAsia="Times New Roman"/>
          <w:b/>
          <w:sz w:val="24"/>
          <w:szCs w:val="24"/>
        </w:rPr>
        <w:t>7.2.2.</w:t>
      </w:r>
      <w:r w:rsidRPr="00213A5D">
        <w:rPr>
          <w:rFonts w:eastAsia="Times New Roman"/>
          <w:sz w:val="24"/>
          <w:szCs w:val="24"/>
        </w:rPr>
        <w:t xml:space="preserve"> В соответствии с пунктом 4 Положения об использовании бюджетных ассигнований резервного фонда Правительства Российской Федерации, утвержденного постановлением Правительства Российской Федерации от 26 декабря 2019 г. № 1846 (далее – Положение), на основании решений Правительства Российской Федерации в 2022 году внесены изменения в сводную роспись о </w:t>
      </w:r>
      <w:r w:rsidRPr="00213A5D">
        <w:rPr>
          <w:rFonts w:eastAsia="Times New Roman"/>
          <w:b/>
          <w:sz w:val="24"/>
          <w:szCs w:val="24"/>
        </w:rPr>
        <w:t xml:space="preserve">выделении </w:t>
      </w:r>
      <w:r w:rsidRPr="00213A5D">
        <w:rPr>
          <w:rFonts w:eastAsia="Times New Roman"/>
          <w:sz w:val="24"/>
          <w:szCs w:val="24"/>
        </w:rPr>
        <w:t xml:space="preserve">из </w:t>
      </w:r>
      <w:r w:rsidRPr="00213A5D">
        <w:rPr>
          <w:rFonts w:eastAsia="Times New Roman"/>
          <w:b/>
          <w:sz w:val="24"/>
          <w:szCs w:val="24"/>
        </w:rPr>
        <w:t>резервного фонда Правительства Российской Федерации</w:t>
      </w:r>
      <w:r w:rsidRPr="00213A5D">
        <w:rPr>
          <w:rFonts w:eastAsia="Times New Roman"/>
          <w:sz w:val="24"/>
          <w:szCs w:val="24"/>
        </w:rPr>
        <w:t xml:space="preserve"> бюджетных ассигнований на сумму </w:t>
      </w:r>
      <w:r w:rsidRPr="00213A5D">
        <w:rPr>
          <w:rFonts w:eastAsia="Times New Roman"/>
          <w:b/>
          <w:sz w:val="24"/>
          <w:szCs w:val="24"/>
        </w:rPr>
        <w:t>4 271 402,5 млн. рублей,</w:t>
      </w:r>
      <w:r w:rsidRPr="00213A5D">
        <w:rPr>
          <w:rFonts w:eastAsia="Times New Roman"/>
          <w:sz w:val="24"/>
          <w:szCs w:val="24"/>
        </w:rPr>
        <w:t xml:space="preserve"> </w:t>
      </w:r>
      <w:r w:rsidR="007C554B" w:rsidRPr="00213A5D">
        <w:rPr>
          <w:rFonts w:eastAsia="Times New Roman"/>
          <w:sz w:val="24"/>
          <w:szCs w:val="24"/>
        </w:rPr>
        <w:br/>
      </w:r>
      <w:r w:rsidRPr="00213A5D">
        <w:rPr>
          <w:rFonts w:eastAsia="Times New Roman"/>
          <w:sz w:val="24"/>
          <w:szCs w:val="24"/>
        </w:rPr>
        <w:t>что составляет 98,5 % объема бюджетных ассигнований резервного фонда Правительства Российской Федерации по состоянию на 1 октября 2022 года.</w:t>
      </w:r>
    </w:p>
    <w:p w14:paraId="3EFCDAB0" w14:textId="77777777" w:rsidR="00A513A6" w:rsidRPr="00213A5D" w:rsidRDefault="00A513A6" w:rsidP="001A0B91">
      <w:pPr>
        <w:widowControl w:val="0"/>
        <w:spacing w:line="324" w:lineRule="auto"/>
        <w:ind w:left="0" w:right="0"/>
        <w:rPr>
          <w:sz w:val="24"/>
          <w:szCs w:val="24"/>
          <w:lang w:bidi="en-US"/>
        </w:rPr>
      </w:pPr>
      <w:r w:rsidRPr="00213A5D">
        <w:rPr>
          <w:sz w:val="24"/>
          <w:szCs w:val="24"/>
          <w:lang w:bidi="en-US"/>
        </w:rPr>
        <w:t>Следует отметить, что за 9 месяцев 2022 года Правительством Российской Федерации принято 48</w:t>
      </w:r>
      <w:r w:rsidR="0010517E" w:rsidRPr="00213A5D">
        <w:rPr>
          <w:sz w:val="24"/>
          <w:szCs w:val="24"/>
          <w:lang w:bidi="en-US"/>
        </w:rPr>
        <w:t>2</w:t>
      </w:r>
      <w:r w:rsidRPr="00213A5D">
        <w:rPr>
          <w:sz w:val="24"/>
          <w:szCs w:val="24"/>
          <w:lang w:bidi="en-US"/>
        </w:rPr>
        <w:t> решени</w:t>
      </w:r>
      <w:r w:rsidR="0010517E" w:rsidRPr="00213A5D">
        <w:rPr>
          <w:sz w:val="24"/>
          <w:szCs w:val="24"/>
          <w:lang w:bidi="en-US"/>
        </w:rPr>
        <w:t>я</w:t>
      </w:r>
      <w:r w:rsidRPr="00213A5D">
        <w:rPr>
          <w:sz w:val="24"/>
          <w:szCs w:val="24"/>
          <w:lang w:bidi="en-US"/>
        </w:rPr>
        <w:t xml:space="preserve"> о выделении бюджетных ассигнований из резервного фонда Правительства Российской Федерации</w:t>
      </w:r>
      <w:r w:rsidRPr="00213A5D">
        <w:rPr>
          <w:color w:val="0000FF"/>
          <w:sz w:val="24"/>
          <w:szCs w:val="24"/>
          <w:lang w:bidi="en-US"/>
        </w:rPr>
        <w:t xml:space="preserve"> </w:t>
      </w:r>
      <w:r w:rsidRPr="00213A5D">
        <w:rPr>
          <w:sz w:val="24"/>
          <w:szCs w:val="24"/>
          <w:lang w:bidi="en-US"/>
        </w:rPr>
        <w:t>(5</w:t>
      </w:r>
      <w:r w:rsidR="0010517E" w:rsidRPr="00213A5D">
        <w:rPr>
          <w:sz w:val="24"/>
          <w:szCs w:val="24"/>
          <w:lang w:bidi="en-US"/>
        </w:rPr>
        <w:t>40</w:t>
      </w:r>
      <w:r w:rsidRPr="00213A5D">
        <w:rPr>
          <w:sz w:val="24"/>
          <w:szCs w:val="24"/>
          <w:lang w:bidi="en-US"/>
        </w:rPr>
        <w:t xml:space="preserve"> с учетом распоряжений о внесении изменений в ранее принятые решения</w:t>
      </w:r>
      <w:r w:rsidR="0010517E" w:rsidRPr="00213A5D">
        <w:rPr>
          <w:sz w:val="24"/>
          <w:szCs w:val="24"/>
          <w:lang w:bidi="en-US"/>
        </w:rPr>
        <w:t xml:space="preserve"> или признания их утратившими силу</w:t>
      </w:r>
      <w:r w:rsidRPr="00213A5D">
        <w:rPr>
          <w:sz w:val="24"/>
          <w:szCs w:val="24"/>
          <w:lang w:bidi="en-US"/>
        </w:rPr>
        <w:t>) в общем объеме 6 349 567,0</w:t>
      </w:r>
      <w:r w:rsidR="0010517E" w:rsidRPr="00213A5D">
        <w:rPr>
          <w:sz w:val="24"/>
          <w:szCs w:val="24"/>
          <w:lang w:bidi="en-US"/>
        </w:rPr>
        <w:t> </w:t>
      </w:r>
      <w:r w:rsidRPr="00213A5D">
        <w:rPr>
          <w:sz w:val="24"/>
          <w:szCs w:val="24"/>
          <w:lang w:bidi="en-US"/>
        </w:rPr>
        <w:t>млн. рублей</w:t>
      </w:r>
      <w:r w:rsidRPr="00213A5D">
        <w:rPr>
          <w:sz w:val="24"/>
          <w:szCs w:val="24"/>
          <w:vertAlign w:val="superscript"/>
          <w:lang w:bidi="en-US"/>
        </w:rPr>
        <w:footnoteReference w:id="33"/>
      </w:r>
      <w:r w:rsidRPr="00213A5D">
        <w:rPr>
          <w:sz w:val="24"/>
          <w:szCs w:val="24"/>
          <w:lang w:bidi="en-US"/>
        </w:rPr>
        <w:t xml:space="preserve">, </w:t>
      </w:r>
      <w:r w:rsidRPr="00213A5D">
        <w:rPr>
          <w:bCs/>
          <w:sz w:val="24"/>
          <w:szCs w:val="24"/>
          <w:lang w:bidi="en-US"/>
        </w:rPr>
        <w:t>что в 1,5 раза, или на 2 013 708,9 </w:t>
      </w:r>
      <w:r w:rsidRPr="00213A5D">
        <w:rPr>
          <w:sz w:val="24"/>
          <w:szCs w:val="24"/>
          <w:lang w:bidi="en-US"/>
        </w:rPr>
        <w:t>млн. рублей</w:t>
      </w:r>
      <w:r w:rsidRPr="00213A5D">
        <w:rPr>
          <w:sz w:val="24"/>
          <w:szCs w:val="24"/>
          <w:vertAlign w:val="superscript"/>
          <w:lang w:bidi="en-US"/>
        </w:rPr>
        <w:footnoteReference w:id="34"/>
      </w:r>
      <w:r w:rsidRPr="00213A5D">
        <w:rPr>
          <w:sz w:val="24"/>
          <w:szCs w:val="24"/>
          <w:lang w:bidi="en-US"/>
        </w:rPr>
        <w:t>, превышает законодательно установленный объем резервного фонда Правительства Российской Федерации с учетом изменений, внесенных в сводную роспись, предусматривающих его увеличение (4 335 858,1 млн. рублей).</w:t>
      </w:r>
    </w:p>
    <w:p w14:paraId="055E7AFE" w14:textId="77777777" w:rsidR="00A513A6" w:rsidRPr="00213A5D" w:rsidRDefault="00A513A6" w:rsidP="001A0B91">
      <w:pPr>
        <w:widowControl w:val="0"/>
        <w:spacing w:line="324" w:lineRule="auto"/>
        <w:ind w:left="0" w:right="0"/>
        <w:rPr>
          <w:sz w:val="24"/>
          <w:szCs w:val="24"/>
          <w:lang w:bidi="en-US"/>
        </w:rPr>
      </w:pPr>
      <w:r w:rsidRPr="00213A5D">
        <w:rPr>
          <w:sz w:val="24"/>
          <w:szCs w:val="24"/>
          <w:lang w:bidi="en-US"/>
        </w:rPr>
        <w:t xml:space="preserve">По </w:t>
      </w:r>
      <w:r w:rsidRPr="00213A5D">
        <w:rPr>
          <w:rFonts w:eastAsia="Times New Roman"/>
          <w:bCs/>
          <w:sz w:val="24"/>
          <w:szCs w:val="24"/>
        </w:rPr>
        <w:t>ряду распоряжений Правительства Российской Федерации</w:t>
      </w:r>
      <w:r w:rsidRPr="00213A5D">
        <w:rPr>
          <w:sz w:val="24"/>
          <w:szCs w:val="24"/>
          <w:lang w:bidi="en-US"/>
        </w:rPr>
        <w:t xml:space="preserve"> принимались решения о </w:t>
      </w:r>
      <w:r w:rsidRPr="00213A5D">
        <w:rPr>
          <w:rFonts w:eastAsia="Times New Roman"/>
          <w:bCs/>
          <w:sz w:val="24"/>
          <w:szCs w:val="24"/>
        </w:rPr>
        <w:t>признании их утратившим</w:t>
      </w:r>
      <w:r w:rsidR="00C04DF0" w:rsidRPr="00213A5D">
        <w:rPr>
          <w:rFonts w:eastAsia="Times New Roman"/>
          <w:bCs/>
          <w:sz w:val="24"/>
          <w:szCs w:val="24"/>
        </w:rPr>
        <w:t>и</w:t>
      </w:r>
      <w:r w:rsidRPr="00213A5D">
        <w:rPr>
          <w:rFonts w:eastAsia="Times New Roman"/>
          <w:bCs/>
          <w:sz w:val="24"/>
          <w:szCs w:val="24"/>
        </w:rPr>
        <w:t xml:space="preserve"> силу или об уменьшении объема первоначально зап</w:t>
      </w:r>
      <w:r w:rsidR="00C04DF0" w:rsidRPr="00213A5D">
        <w:rPr>
          <w:rFonts w:eastAsia="Times New Roman"/>
          <w:bCs/>
          <w:sz w:val="24"/>
          <w:szCs w:val="24"/>
        </w:rPr>
        <w:t xml:space="preserve">ланированных средств спустя 5 – </w:t>
      </w:r>
      <w:r w:rsidRPr="00213A5D">
        <w:rPr>
          <w:rFonts w:eastAsia="Times New Roman"/>
          <w:bCs/>
          <w:sz w:val="24"/>
          <w:szCs w:val="24"/>
        </w:rPr>
        <w:t>6 месяцев.</w:t>
      </w:r>
    </w:p>
    <w:p w14:paraId="14A108B7" w14:textId="77777777" w:rsidR="00A513A6" w:rsidRPr="00213A5D" w:rsidRDefault="00A513A6" w:rsidP="001609ED">
      <w:pPr>
        <w:widowControl w:val="0"/>
        <w:spacing w:line="336" w:lineRule="auto"/>
        <w:ind w:left="0" w:right="0"/>
        <w:rPr>
          <w:rFonts w:eastAsia="Times New Roman"/>
          <w:bCs/>
          <w:sz w:val="24"/>
          <w:szCs w:val="24"/>
        </w:rPr>
      </w:pPr>
      <w:r w:rsidRPr="00213A5D">
        <w:rPr>
          <w:rFonts w:eastAsia="Times New Roman"/>
          <w:bCs/>
          <w:sz w:val="24"/>
          <w:szCs w:val="24"/>
        </w:rPr>
        <w:lastRenderedPageBreak/>
        <w:t>Так, постановлениями Правительства Российской Федерации от</w:t>
      </w:r>
      <w:r w:rsidRPr="00213A5D">
        <w:rPr>
          <w:rFonts w:eastAsia="Times New Roman"/>
          <w:b/>
          <w:bCs/>
          <w:sz w:val="24"/>
          <w:szCs w:val="24"/>
        </w:rPr>
        <w:t xml:space="preserve"> 21 сентября 2022 г. </w:t>
      </w:r>
      <w:r w:rsidRPr="00213A5D">
        <w:rPr>
          <w:rFonts w:eastAsia="Times New Roman"/>
          <w:bCs/>
          <w:sz w:val="24"/>
          <w:szCs w:val="24"/>
        </w:rPr>
        <w:t xml:space="preserve">№ 1661 и от </w:t>
      </w:r>
      <w:r w:rsidRPr="00213A5D">
        <w:rPr>
          <w:rFonts w:eastAsia="Times New Roman"/>
          <w:b/>
          <w:bCs/>
          <w:sz w:val="24"/>
          <w:szCs w:val="24"/>
        </w:rPr>
        <w:t xml:space="preserve">23 сентября 2022 г. </w:t>
      </w:r>
      <w:r w:rsidRPr="00213A5D">
        <w:rPr>
          <w:rFonts w:eastAsia="Times New Roman"/>
          <w:bCs/>
          <w:sz w:val="24"/>
          <w:szCs w:val="24"/>
        </w:rPr>
        <w:t xml:space="preserve">№ 1682 признаны утратившим силу распоряжения Правительства Российской Федерации от </w:t>
      </w:r>
      <w:r w:rsidRPr="00213A5D">
        <w:rPr>
          <w:rFonts w:eastAsia="Times New Roman"/>
          <w:b/>
          <w:bCs/>
          <w:sz w:val="24"/>
          <w:szCs w:val="24"/>
        </w:rPr>
        <w:t xml:space="preserve">28 апреля 2022 г. </w:t>
      </w:r>
      <w:r w:rsidRPr="00213A5D">
        <w:rPr>
          <w:rFonts w:eastAsia="Times New Roman"/>
          <w:bCs/>
          <w:sz w:val="24"/>
          <w:szCs w:val="24"/>
        </w:rPr>
        <w:t xml:space="preserve">№ 1046-р и № 1047-р о выделении из резервного фонда Правительства Российской Федерации бюджетных ассигнований в размере 7 150,0 млн. рублей и 2 850,0 млн. рублей соответственно, то есть спустя </w:t>
      </w:r>
      <w:r w:rsidRPr="00213A5D">
        <w:rPr>
          <w:rFonts w:eastAsia="Times New Roman"/>
          <w:b/>
          <w:bCs/>
          <w:sz w:val="24"/>
          <w:szCs w:val="24"/>
        </w:rPr>
        <w:t>5 месяцев</w:t>
      </w:r>
      <w:r w:rsidRPr="00213A5D">
        <w:rPr>
          <w:rFonts w:eastAsia="Times New Roman"/>
          <w:bCs/>
          <w:sz w:val="24"/>
          <w:szCs w:val="24"/>
        </w:rPr>
        <w:t xml:space="preserve"> после первоначального принятия Правительством Российской Федерации решения о выделении Минстрою России</w:t>
      </w:r>
      <w:r w:rsidRPr="00213A5D">
        <w:rPr>
          <w:rFonts w:eastAsia="Times New Roman"/>
          <w:b/>
          <w:bCs/>
          <w:sz w:val="24"/>
          <w:szCs w:val="24"/>
        </w:rPr>
        <w:t xml:space="preserve"> </w:t>
      </w:r>
      <w:r w:rsidRPr="00213A5D">
        <w:rPr>
          <w:rFonts w:eastAsia="Times New Roman"/>
          <w:bCs/>
          <w:sz w:val="24"/>
          <w:szCs w:val="24"/>
        </w:rPr>
        <w:t>бюджетных ассигнований из резервного фонда Правительства Российской Федерации.</w:t>
      </w:r>
    </w:p>
    <w:p w14:paraId="00D80EEE" w14:textId="77777777" w:rsidR="00A513A6" w:rsidRPr="00213A5D" w:rsidRDefault="00A513A6" w:rsidP="001609ED">
      <w:pPr>
        <w:widowControl w:val="0"/>
        <w:spacing w:line="336" w:lineRule="auto"/>
        <w:ind w:left="0" w:right="0"/>
        <w:rPr>
          <w:rFonts w:eastAsia="Times New Roman"/>
          <w:bCs/>
          <w:sz w:val="24"/>
          <w:szCs w:val="24"/>
        </w:rPr>
      </w:pPr>
      <w:r w:rsidRPr="00213A5D">
        <w:rPr>
          <w:rFonts w:eastAsia="Times New Roman"/>
          <w:bCs/>
          <w:sz w:val="24"/>
          <w:szCs w:val="24"/>
        </w:rPr>
        <w:t>Распоряжением Правительства Российской Федерации от</w:t>
      </w:r>
      <w:r w:rsidRPr="00213A5D">
        <w:rPr>
          <w:rFonts w:eastAsia="Times New Roman"/>
          <w:b/>
          <w:bCs/>
          <w:sz w:val="24"/>
          <w:szCs w:val="24"/>
        </w:rPr>
        <w:t xml:space="preserve"> 22 сентября 2022 г. </w:t>
      </w:r>
      <w:r w:rsidRPr="00213A5D">
        <w:rPr>
          <w:rFonts w:eastAsia="Times New Roman"/>
          <w:bCs/>
          <w:sz w:val="24"/>
          <w:szCs w:val="24"/>
        </w:rPr>
        <w:t xml:space="preserve">№ 2736-р внесены изменения в части уменьшения на 97,8 % (на 16 328,9 млн. рублей) объема выделенных бюджетных ассигнований по распоряжению Правительства Российской Федерации от </w:t>
      </w:r>
      <w:r w:rsidRPr="00213A5D">
        <w:rPr>
          <w:rFonts w:eastAsia="Times New Roman"/>
          <w:b/>
          <w:bCs/>
          <w:sz w:val="24"/>
          <w:szCs w:val="24"/>
        </w:rPr>
        <w:t xml:space="preserve">28 апреля 2022 г. </w:t>
      </w:r>
      <w:r w:rsidRPr="00213A5D">
        <w:rPr>
          <w:rFonts w:eastAsia="Times New Roman"/>
          <w:bCs/>
          <w:sz w:val="24"/>
          <w:szCs w:val="24"/>
        </w:rPr>
        <w:t xml:space="preserve">№ 1048-р, то есть спустя </w:t>
      </w:r>
      <w:r w:rsidRPr="00213A5D">
        <w:rPr>
          <w:rFonts w:eastAsia="Times New Roman"/>
          <w:b/>
          <w:bCs/>
          <w:sz w:val="24"/>
          <w:szCs w:val="24"/>
        </w:rPr>
        <w:t>5 месяцев</w:t>
      </w:r>
      <w:r w:rsidRPr="00213A5D">
        <w:rPr>
          <w:rFonts w:eastAsia="Times New Roman"/>
          <w:bCs/>
          <w:sz w:val="24"/>
          <w:szCs w:val="24"/>
        </w:rPr>
        <w:t xml:space="preserve"> после первоначального принятия Правительством Российской Федерации решения о выделении Минтрансу России бюджетных ассигнований из резервного фонда Правительства Российской Федерации. </w:t>
      </w:r>
    </w:p>
    <w:p w14:paraId="7BC167A5" w14:textId="77777777" w:rsidR="00A513A6" w:rsidRPr="00213A5D" w:rsidRDefault="00A513A6" w:rsidP="001609ED">
      <w:pPr>
        <w:widowControl w:val="0"/>
        <w:spacing w:line="336" w:lineRule="auto"/>
        <w:ind w:left="0" w:right="0"/>
        <w:rPr>
          <w:rFonts w:eastAsia="Times New Roman"/>
          <w:bCs/>
          <w:sz w:val="24"/>
          <w:szCs w:val="24"/>
        </w:rPr>
      </w:pPr>
      <w:r w:rsidRPr="00213A5D">
        <w:rPr>
          <w:rFonts w:eastAsia="Times New Roman"/>
          <w:bCs/>
          <w:sz w:val="24"/>
          <w:szCs w:val="24"/>
        </w:rPr>
        <w:t>Распоряжением Правительства Российской Федерации от</w:t>
      </w:r>
      <w:r w:rsidRPr="00213A5D">
        <w:rPr>
          <w:rFonts w:eastAsia="Times New Roman"/>
          <w:b/>
          <w:bCs/>
          <w:sz w:val="24"/>
          <w:szCs w:val="24"/>
        </w:rPr>
        <w:t xml:space="preserve"> 19 сентября 2022 г. </w:t>
      </w:r>
      <w:r w:rsidRPr="00213A5D">
        <w:rPr>
          <w:rFonts w:eastAsia="Times New Roman"/>
          <w:bCs/>
          <w:sz w:val="24"/>
          <w:szCs w:val="24"/>
        </w:rPr>
        <w:t xml:space="preserve">№ 2702-р внесены изменения в части уменьшения на 72,2 % (на 18 816,0 млн. рублей) объема выделенных бюджетных ассигнований по распоряжению Правительства Российской Федерации от </w:t>
      </w:r>
      <w:r w:rsidRPr="00213A5D">
        <w:rPr>
          <w:rFonts w:eastAsia="Times New Roman"/>
          <w:b/>
          <w:bCs/>
          <w:sz w:val="24"/>
          <w:szCs w:val="24"/>
        </w:rPr>
        <w:t xml:space="preserve">18 марта 2022 г. </w:t>
      </w:r>
      <w:r w:rsidRPr="00213A5D">
        <w:rPr>
          <w:rFonts w:eastAsia="Times New Roman"/>
          <w:bCs/>
          <w:sz w:val="24"/>
          <w:szCs w:val="24"/>
        </w:rPr>
        <w:t xml:space="preserve">№ 532-р, то есть спустя </w:t>
      </w:r>
      <w:r w:rsidRPr="00213A5D">
        <w:rPr>
          <w:rFonts w:eastAsia="Times New Roman"/>
          <w:b/>
          <w:bCs/>
          <w:sz w:val="24"/>
          <w:szCs w:val="24"/>
        </w:rPr>
        <w:t>6 месяцев</w:t>
      </w:r>
      <w:r w:rsidRPr="00213A5D">
        <w:rPr>
          <w:rFonts w:eastAsia="Times New Roman"/>
          <w:bCs/>
          <w:sz w:val="24"/>
          <w:szCs w:val="24"/>
        </w:rPr>
        <w:t xml:space="preserve"> после первоначального принятия Правительством Российской Федерации решения о выделении Минсельхозу России бюджетных ассигнований из резервного фонда Правительства Российской Федерации.</w:t>
      </w:r>
    </w:p>
    <w:p w14:paraId="45B22512" w14:textId="77777777" w:rsidR="00A513A6" w:rsidRPr="00213A5D" w:rsidRDefault="00A513A6" w:rsidP="001609ED">
      <w:pPr>
        <w:widowControl w:val="0"/>
        <w:spacing w:line="336" w:lineRule="auto"/>
        <w:ind w:left="0" w:right="0"/>
        <w:rPr>
          <w:rFonts w:eastAsia="Times New Roman"/>
          <w:bCs/>
          <w:sz w:val="24"/>
          <w:szCs w:val="24"/>
        </w:rPr>
      </w:pPr>
      <w:r w:rsidRPr="00213A5D">
        <w:rPr>
          <w:rFonts w:eastAsia="Times New Roman"/>
          <w:bCs/>
          <w:sz w:val="24"/>
          <w:szCs w:val="24"/>
        </w:rPr>
        <w:t>Таким образом, установлено, что значительные объемы бюджетных ассигнований не были востребованы в течение финансового года до 6 месяцев, Счетная палата обращает внимание на необходимость принятия ответственными исполнителями более действенных мер по улучшению качества планирования, а также по обеспечению равномерного и эффективного использования бюджетных ассигнований.</w:t>
      </w:r>
    </w:p>
    <w:p w14:paraId="5E44F9C8" w14:textId="77777777" w:rsidR="00A513A6" w:rsidRPr="00213A5D" w:rsidRDefault="00A513A6" w:rsidP="001609ED">
      <w:pPr>
        <w:widowControl w:val="0"/>
        <w:spacing w:line="336" w:lineRule="auto"/>
        <w:ind w:left="0" w:right="0"/>
        <w:rPr>
          <w:sz w:val="24"/>
          <w:szCs w:val="24"/>
          <w:lang w:bidi="en-US"/>
        </w:rPr>
      </w:pPr>
      <w:r w:rsidRPr="00213A5D">
        <w:rPr>
          <w:rFonts w:eastAsia="Times New Roman"/>
          <w:bCs/>
          <w:sz w:val="24"/>
          <w:szCs w:val="24"/>
        </w:rPr>
        <w:t xml:space="preserve">Выборочный анализ </w:t>
      </w:r>
      <w:r w:rsidRPr="00213A5D">
        <w:rPr>
          <w:sz w:val="24"/>
          <w:szCs w:val="24"/>
        </w:rPr>
        <w:t xml:space="preserve">внесения изменений в сводную роспись </w:t>
      </w:r>
      <w:r w:rsidRPr="00213A5D">
        <w:rPr>
          <w:sz w:val="24"/>
          <w:szCs w:val="24"/>
          <w:lang w:bidi="en-US"/>
        </w:rPr>
        <w:t xml:space="preserve">о выделении бюджетных ассигнований из резервного фонда Правительства Российской Федерации по состоянию на 1 октября 2022 года </w:t>
      </w:r>
      <w:r w:rsidRPr="00213A5D">
        <w:rPr>
          <w:sz w:val="24"/>
          <w:szCs w:val="24"/>
        </w:rPr>
        <w:t xml:space="preserve">показал, что </w:t>
      </w:r>
      <w:r w:rsidRPr="00213A5D">
        <w:rPr>
          <w:b/>
          <w:sz w:val="24"/>
          <w:szCs w:val="24"/>
        </w:rPr>
        <w:t>п</w:t>
      </w:r>
      <w:r w:rsidRPr="00213A5D">
        <w:rPr>
          <w:b/>
          <w:sz w:val="24"/>
          <w:szCs w:val="24"/>
          <w:lang w:bidi="en-US"/>
        </w:rPr>
        <w:t xml:space="preserve">о 9 принятым </w:t>
      </w:r>
      <w:r w:rsidRPr="00213A5D">
        <w:rPr>
          <w:sz w:val="24"/>
          <w:szCs w:val="24"/>
          <w:lang w:bidi="en-US"/>
        </w:rPr>
        <w:t>в феврале – августе 2022 года</w:t>
      </w:r>
      <w:r w:rsidRPr="00213A5D">
        <w:rPr>
          <w:color w:val="0000FF"/>
          <w:sz w:val="24"/>
          <w:szCs w:val="24"/>
          <w:lang w:bidi="en-US"/>
        </w:rPr>
        <w:t xml:space="preserve"> </w:t>
      </w:r>
      <w:r w:rsidRPr="00213A5D">
        <w:rPr>
          <w:sz w:val="24"/>
          <w:szCs w:val="24"/>
          <w:lang w:bidi="en-US"/>
        </w:rPr>
        <w:t>решениям</w:t>
      </w:r>
      <w:r w:rsidRPr="00213A5D">
        <w:rPr>
          <w:b/>
          <w:sz w:val="24"/>
          <w:szCs w:val="24"/>
          <w:lang w:bidi="en-US"/>
        </w:rPr>
        <w:t xml:space="preserve"> изменения</w:t>
      </w:r>
      <w:r w:rsidRPr="00213A5D">
        <w:rPr>
          <w:sz w:val="24"/>
          <w:szCs w:val="24"/>
          <w:lang w:bidi="en-US"/>
        </w:rPr>
        <w:t xml:space="preserve"> в сводную роспись </w:t>
      </w:r>
      <w:r w:rsidRPr="00213A5D">
        <w:rPr>
          <w:b/>
          <w:sz w:val="24"/>
          <w:szCs w:val="24"/>
          <w:lang w:bidi="en-US"/>
        </w:rPr>
        <w:t>не внесены</w:t>
      </w:r>
      <w:r w:rsidRPr="00213A5D">
        <w:rPr>
          <w:sz w:val="24"/>
          <w:szCs w:val="24"/>
          <w:lang w:bidi="en-US"/>
        </w:rPr>
        <w:t xml:space="preserve">, в том числе по 1 решению, принятому в феврале 2022 года на сумму 76 514,1 млн. рублей, по 2 решениям, принятым в апреле 2022 года </w:t>
      </w:r>
      <w:r w:rsidR="007C554B" w:rsidRPr="00213A5D">
        <w:rPr>
          <w:sz w:val="24"/>
          <w:szCs w:val="24"/>
          <w:lang w:bidi="en-US"/>
        </w:rPr>
        <w:br/>
      </w:r>
      <w:r w:rsidRPr="00213A5D">
        <w:rPr>
          <w:sz w:val="24"/>
          <w:szCs w:val="24"/>
          <w:lang w:bidi="en-US"/>
        </w:rPr>
        <w:t xml:space="preserve">на общую сумму 7 000,0 млн. рублей, по 2 решениям, принятым в июне 2022 года </w:t>
      </w:r>
      <w:r w:rsidR="007C554B" w:rsidRPr="00213A5D">
        <w:rPr>
          <w:sz w:val="24"/>
          <w:szCs w:val="24"/>
          <w:lang w:bidi="en-US"/>
        </w:rPr>
        <w:br/>
      </w:r>
      <w:r w:rsidRPr="00213A5D">
        <w:rPr>
          <w:sz w:val="24"/>
          <w:szCs w:val="24"/>
          <w:lang w:bidi="en-US"/>
        </w:rPr>
        <w:t xml:space="preserve">на общую сумму 7 211,2 млн. рублей, и 1 решению, принятому в августе 2022 года </w:t>
      </w:r>
      <w:r w:rsidR="007C554B" w:rsidRPr="00213A5D">
        <w:rPr>
          <w:sz w:val="24"/>
          <w:szCs w:val="24"/>
          <w:lang w:bidi="en-US"/>
        </w:rPr>
        <w:br/>
      </w:r>
      <w:r w:rsidRPr="00213A5D">
        <w:rPr>
          <w:sz w:val="24"/>
          <w:szCs w:val="24"/>
          <w:lang w:bidi="en-US"/>
        </w:rPr>
        <w:t xml:space="preserve">на сумму 1 100,5 млн. рублей. </w:t>
      </w:r>
    </w:p>
    <w:p w14:paraId="172F4A1F" w14:textId="77777777" w:rsidR="00A513A6" w:rsidRPr="00213A5D" w:rsidRDefault="00A513A6" w:rsidP="001609ED">
      <w:pPr>
        <w:widowControl w:val="0"/>
        <w:spacing w:line="336" w:lineRule="auto"/>
        <w:ind w:left="0" w:right="0"/>
        <w:rPr>
          <w:sz w:val="24"/>
          <w:szCs w:val="24"/>
          <w:lang w:bidi="en-US"/>
        </w:rPr>
      </w:pPr>
      <w:r w:rsidRPr="00213A5D">
        <w:rPr>
          <w:sz w:val="24"/>
          <w:szCs w:val="24"/>
          <w:lang w:bidi="en-US"/>
        </w:rPr>
        <w:t xml:space="preserve">Кроме того, </w:t>
      </w:r>
      <w:r w:rsidRPr="00213A5D">
        <w:rPr>
          <w:b/>
          <w:sz w:val="24"/>
          <w:szCs w:val="24"/>
          <w:lang w:bidi="en-US"/>
        </w:rPr>
        <w:t>по 5 распоряжениям</w:t>
      </w:r>
      <w:r w:rsidRPr="00213A5D">
        <w:rPr>
          <w:sz w:val="24"/>
          <w:szCs w:val="24"/>
          <w:lang w:bidi="en-US"/>
        </w:rPr>
        <w:t xml:space="preserve"> Правительства Российской Федерации по которым </w:t>
      </w:r>
      <w:r w:rsidRPr="00213A5D">
        <w:rPr>
          <w:b/>
          <w:sz w:val="24"/>
          <w:szCs w:val="24"/>
          <w:lang w:bidi="en-US"/>
        </w:rPr>
        <w:t>прияты решения об уменьшении объема</w:t>
      </w:r>
      <w:r w:rsidRPr="00213A5D">
        <w:rPr>
          <w:sz w:val="24"/>
          <w:szCs w:val="24"/>
          <w:lang w:bidi="en-US"/>
        </w:rPr>
        <w:t xml:space="preserve"> выделенных бюджетных ассигнований из резервного фонда Правительства Российской Федерации, изменения в сводную роспись </w:t>
      </w:r>
      <w:r w:rsidR="007C554B" w:rsidRPr="00213A5D">
        <w:rPr>
          <w:sz w:val="24"/>
          <w:szCs w:val="24"/>
          <w:lang w:bidi="en-US"/>
        </w:rPr>
        <w:br/>
      </w:r>
      <w:r w:rsidRPr="00213A5D">
        <w:rPr>
          <w:b/>
          <w:sz w:val="24"/>
          <w:szCs w:val="24"/>
          <w:lang w:bidi="en-US"/>
        </w:rPr>
        <w:lastRenderedPageBreak/>
        <w:t xml:space="preserve">не внесены. </w:t>
      </w:r>
      <w:r w:rsidRPr="00213A5D">
        <w:rPr>
          <w:sz w:val="24"/>
          <w:szCs w:val="24"/>
          <w:lang w:bidi="en-US"/>
        </w:rPr>
        <w:t>В результате по состоянию на 1 октября 2022 года показатели сводной росписи превышают объемы, предусмотренные распоряжениями Правительства Российской Федерации с учетом изменений, на общую сумму 90 144,9 млн. рублей</w:t>
      </w:r>
      <w:r w:rsidRPr="00213A5D">
        <w:rPr>
          <w:rStyle w:val="aff2"/>
          <w:sz w:val="24"/>
          <w:szCs w:val="24"/>
          <w:lang w:bidi="en-US"/>
        </w:rPr>
        <w:footnoteReference w:id="35"/>
      </w:r>
      <w:r w:rsidRPr="00213A5D">
        <w:rPr>
          <w:sz w:val="24"/>
          <w:szCs w:val="24"/>
          <w:lang w:bidi="en-US"/>
        </w:rPr>
        <w:t>.</w:t>
      </w:r>
    </w:p>
    <w:p w14:paraId="0C3B4049" w14:textId="77777777" w:rsidR="00A513A6" w:rsidRPr="00213A5D" w:rsidRDefault="00A513A6" w:rsidP="00AF1852">
      <w:pPr>
        <w:widowControl w:val="0"/>
        <w:spacing w:line="336" w:lineRule="auto"/>
        <w:ind w:left="0" w:right="0"/>
        <w:rPr>
          <w:sz w:val="24"/>
          <w:szCs w:val="24"/>
          <w:lang w:bidi="en-US"/>
        </w:rPr>
      </w:pPr>
      <w:r w:rsidRPr="00213A5D">
        <w:rPr>
          <w:b/>
          <w:sz w:val="24"/>
          <w:szCs w:val="24"/>
          <w:lang w:bidi="en-US"/>
        </w:rPr>
        <w:t>По 8 принятым решениям</w:t>
      </w:r>
      <w:r w:rsidRPr="00213A5D">
        <w:rPr>
          <w:sz w:val="24"/>
          <w:szCs w:val="24"/>
          <w:lang w:bidi="en-US"/>
        </w:rPr>
        <w:t xml:space="preserve"> о выделении бюджетных ассигнований из резервного фонда Правительства Российской Федерации</w:t>
      </w:r>
      <w:r w:rsidRPr="00213A5D">
        <w:rPr>
          <w:b/>
          <w:sz w:val="24"/>
          <w:szCs w:val="24"/>
          <w:lang w:bidi="en-US"/>
        </w:rPr>
        <w:t xml:space="preserve"> </w:t>
      </w:r>
      <w:r w:rsidRPr="00213A5D">
        <w:rPr>
          <w:sz w:val="24"/>
          <w:szCs w:val="24"/>
          <w:lang w:bidi="en-US"/>
        </w:rPr>
        <w:t>изменения в сводную роспись</w:t>
      </w:r>
      <w:r w:rsidRPr="00213A5D">
        <w:rPr>
          <w:b/>
          <w:sz w:val="24"/>
          <w:szCs w:val="24"/>
          <w:lang w:bidi="en-US"/>
        </w:rPr>
        <w:t xml:space="preserve"> внесены </w:t>
      </w:r>
      <w:r w:rsidR="007C554B" w:rsidRPr="00213A5D">
        <w:rPr>
          <w:b/>
          <w:sz w:val="24"/>
          <w:szCs w:val="24"/>
          <w:lang w:bidi="en-US"/>
        </w:rPr>
        <w:br/>
      </w:r>
      <w:r w:rsidRPr="00213A5D">
        <w:rPr>
          <w:b/>
          <w:sz w:val="24"/>
          <w:szCs w:val="24"/>
          <w:lang w:bidi="en-US"/>
        </w:rPr>
        <w:t>не в полном объеме</w:t>
      </w:r>
      <w:r w:rsidRPr="00213A5D">
        <w:rPr>
          <w:sz w:val="24"/>
          <w:szCs w:val="24"/>
          <w:lang w:bidi="en-US"/>
        </w:rPr>
        <w:t>, в том числе по 1 решению, принятому в феврале 2022 года</w:t>
      </w:r>
      <w:r w:rsidRPr="00213A5D">
        <w:rPr>
          <w:rStyle w:val="aff2"/>
          <w:sz w:val="24"/>
          <w:szCs w:val="24"/>
          <w:lang w:bidi="en-US"/>
        </w:rPr>
        <w:footnoteReference w:id="36"/>
      </w:r>
      <w:r w:rsidRPr="00213A5D">
        <w:rPr>
          <w:sz w:val="24"/>
          <w:szCs w:val="24"/>
          <w:lang w:bidi="en-US"/>
        </w:rPr>
        <w:t xml:space="preserve"> </w:t>
      </w:r>
      <w:r w:rsidR="007C554B" w:rsidRPr="00213A5D">
        <w:rPr>
          <w:sz w:val="24"/>
          <w:szCs w:val="24"/>
          <w:lang w:bidi="en-US"/>
        </w:rPr>
        <w:br/>
      </w:r>
      <w:r w:rsidRPr="00213A5D">
        <w:rPr>
          <w:sz w:val="24"/>
          <w:szCs w:val="24"/>
          <w:lang w:bidi="en-US"/>
        </w:rPr>
        <w:t xml:space="preserve">на сумму 59 789,3 млн. рублей, по 1 решению, принятому в апреле 2022 года </w:t>
      </w:r>
      <w:r w:rsidR="007C554B" w:rsidRPr="00213A5D">
        <w:rPr>
          <w:sz w:val="24"/>
          <w:szCs w:val="24"/>
          <w:lang w:bidi="en-US"/>
        </w:rPr>
        <w:br/>
      </w:r>
      <w:r w:rsidRPr="00213A5D">
        <w:rPr>
          <w:sz w:val="24"/>
          <w:szCs w:val="24"/>
          <w:lang w:bidi="en-US"/>
        </w:rPr>
        <w:t xml:space="preserve">на сумму 20 000,0 млн. рублей, по 3 решениям, принятым в мае 2022 года на общую </w:t>
      </w:r>
      <w:r w:rsidR="007C554B" w:rsidRPr="00213A5D">
        <w:rPr>
          <w:sz w:val="24"/>
          <w:szCs w:val="24"/>
          <w:lang w:bidi="en-US"/>
        </w:rPr>
        <w:br/>
      </w:r>
      <w:r w:rsidRPr="00213A5D">
        <w:rPr>
          <w:sz w:val="24"/>
          <w:szCs w:val="24"/>
          <w:lang w:bidi="en-US"/>
        </w:rPr>
        <w:t>сумму 1 498 511,0 млн. рублей</w:t>
      </w:r>
      <w:r w:rsidRPr="00213A5D">
        <w:rPr>
          <w:rStyle w:val="aff2"/>
          <w:sz w:val="24"/>
          <w:szCs w:val="24"/>
          <w:lang w:bidi="en-US"/>
        </w:rPr>
        <w:footnoteReference w:id="37"/>
      </w:r>
      <w:r w:rsidRPr="00213A5D">
        <w:rPr>
          <w:sz w:val="24"/>
          <w:szCs w:val="24"/>
          <w:lang w:bidi="en-US"/>
        </w:rPr>
        <w:t xml:space="preserve">, по 1 решению, принятому в июне 2022 года </w:t>
      </w:r>
      <w:r w:rsidR="007C554B" w:rsidRPr="00213A5D">
        <w:rPr>
          <w:sz w:val="24"/>
          <w:szCs w:val="24"/>
          <w:lang w:bidi="en-US"/>
        </w:rPr>
        <w:br/>
      </w:r>
      <w:r w:rsidRPr="00213A5D">
        <w:rPr>
          <w:sz w:val="24"/>
          <w:szCs w:val="24"/>
          <w:lang w:bidi="en-US"/>
        </w:rPr>
        <w:t>на сумму 3 358,0 млн. рублей, и 1 решению, принятому в июле 2022 года на сумму 11,7 млн. рублей.</w:t>
      </w:r>
    </w:p>
    <w:p w14:paraId="581DECC3" w14:textId="77777777" w:rsidR="00A513A6" w:rsidRPr="00213A5D" w:rsidRDefault="00A513A6" w:rsidP="00AF1852">
      <w:pPr>
        <w:widowControl w:val="0"/>
        <w:spacing w:line="336" w:lineRule="auto"/>
        <w:ind w:left="0" w:right="0"/>
        <w:rPr>
          <w:sz w:val="24"/>
          <w:szCs w:val="24"/>
          <w:lang w:bidi="en-US"/>
        </w:rPr>
      </w:pPr>
      <w:r w:rsidRPr="00213A5D">
        <w:rPr>
          <w:b/>
          <w:sz w:val="24"/>
          <w:szCs w:val="24"/>
          <w:lang w:bidi="en-US"/>
        </w:rPr>
        <w:t>По 5 принятым решениям</w:t>
      </w:r>
      <w:r w:rsidRPr="00213A5D">
        <w:rPr>
          <w:color w:val="0000FF"/>
          <w:sz w:val="24"/>
          <w:szCs w:val="24"/>
          <w:lang w:bidi="en-US"/>
        </w:rPr>
        <w:t xml:space="preserve"> </w:t>
      </w:r>
      <w:r w:rsidRPr="00213A5D">
        <w:rPr>
          <w:sz w:val="24"/>
          <w:szCs w:val="24"/>
          <w:lang w:bidi="en-US"/>
        </w:rPr>
        <w:t xml:space="preserve">о выделении бюджетных ассигнований из резервного фонда Правительства Российской Федерации </w:t>
      </w:r>
      <w:r w:rsidRPr="00213A5D">
        <w:rPr>
          <w:b/>
          <w:sz w:val="24"/>
          <w:szCs w:val="24"/>
          <w:lang w:bidi="en-US"/>
        </w:rPr>
        <w:t>изменения</w:t>
      </w:r>
      <w:r w:rsidRPr="00213A5D">
        <w:rPr>
          <w:sz w:val="24"/>
          <w:szCs w:val="24"/>
          <w:lang w:bidi="en-US"/>
        </w:rPr>
        <w:t xml:space="preserve"> в сводную роспись </w:t>
      </w:r>
      <w:r w:rsidRPr="00213A5D">
        <w:rPr>
          <w:b/>
          <w:sz w:val="24"/>
          <w:szCs w:val="24"/>
          <w:lang w:bidi="en-US"/>
        </w:rPr>
        <w:t>внесены</w:t>
      </w:r>
      <w:r w:rsidRPr="00213A5D">
        <w:rPr>
          <w:sz w:val="24"/>
          <w:szCs w:val="24"/>
          <w:lang w:bidi="en-US"/>
        </w:rPr>
        <w:t xml:space="preserve"> </w:t>
      </w:r>
      <w:r w:rsidRPr="00213A5D">
        <w:rPr>
          <w:b/>
          <w:sz w:val="24"/>
          <w:szCs w:val="24"/>
          <w:lang w:bidi="en-US"/>
        </w:rPr>
        <w:t>спустя более чем 2 месяца</w:t>
      </w:r>
      <w:r w:rsidRPr="00213A5D">
        <w:rPr>
          <w:sz w:val="24"/>
          <w:szCs w:val="24"/>
          <w:lang w:bidi="en-US"/>
        </w:rPr>
        <w:t xml:space="preserve"> после принятия соответствующего решения.</w:t>
      </w:r>
    </w:p>
    <w:p w14:paraId="0F10D02E" w14:textId="77777777" w:rsidR="00A513A6" w:rsidRPr="00213A5D" w:rsidRDefault="00A513A6" w:rsidP="00AF1852">
      <w:pPr>
        <w:widowControl w:val="0"/>
        <w:spacing w:line="336" w:lineRule="auto"/>
        <w:ind w:left="0" w:right="0"/>
        <w:rPr>
          <w:sz w:val="24"/>
          <w:szCs w:val="24"/>
          <w:lang w:bidi="en-US"/>
        </w:rPr>
      </w:pPr>
      <w:r w:rsidRPr="00213A5D">
        <w:rPr>
          <w:sz w:val="24"/>
          <w:szCs w:val="24"/>
          <w:lang w:bidi="en-US"/>
        </w:rPr>
        <w:t xml:space="preserve">Так, распоряжением Правительства Российской Федерации от </w:t>
      </w:r>
      <w:r w:rsidRPr="00213A5D">
        <w:rPr>
          <w:b/>
          <w:sz w:val="24"/>
          <w:szCs w:val="24"/>
          <w:lang w:bidi="en-US"/>
        </w:rPr>
        <w:t>25 мая</w:t>
      </w:r>
      <w:r w:rsidRPr="00213A5D">
        <w:rPr>
          <w:sz w:val="24"/>
          <w:szCs w:val="24"/>
          <w:lang w:bidi="en-US"/>
        </w:rPr>
        <w:t xml:space="preserve"> 2022 г. </w:t>
      </w:r>
      <w:r w:rsidRPr="00213A5D">
        <w:rPr>
          <w:sz w:val="24"/>
          <w:szCs w:val="24"/>
          <w:lang w:bidi="en-US"/>
        </w:rPr>
        <w:br/>
        <w:t xml:space="preserve">№ 1297-р предусмотрено выделение Минсельхозу России бюджетных ассигнований из резервного фонда Правительства Российской Федерации в размере до 153 700,0 млн. рублей для предоставления субсидий российским кредитным организациям и государственной корпорации развития «ВЭБ.РФ» на возмещение недополученных ими доходов по кредитам, выданным сельскохозяйственным товаропроизводителям. Изменения в сводную роспись внесены </w:t>
      </w:r>
      <w:r w:rsidRPr="00213A5D">
        <w:rPr>
          <w:b/>
          <w:sz w:val="24"/>
          <w:szCs w:val="24"/>
          <w:lang w:bidi="en-US"/>
        </w:rPr>
        <w:t>24 августа</w:t>
      </w:r>
      <w:r w:rsidRPr="00213A5D">
        <w:rPr>
          <w:sz w:val="24"/>
          <w:szCs w:val="24"/>
          <w:lang w:bidi="en-US"/>
        </w:rPr>
        <w:t xml:space="preserve"> 2022 года (6 623,7 млн. рублей) и </w:t>
      </w:r>
      <w:r w:rsidRPr="00213A5D">
        <w:rPr>
          <w:b/>
          <w:sz w:val="24"/>
          <w:szCs w:val="24"/>
          <w:lang w:bidi="en-US"/>
        </w:rPr>
        <w:t>21 сентября</w:t>
      </w:r>
      <w:r w:rsidRPr="00213A5D">
        <w:rPr>
          <w:sz w:val="24"/>
          <w:szCs w:val="24"/>
          <w:lang w:bidi="en-US"/>
        </w:rPr>
        <w:t xml:space="preserve"> 2022 года (11 332,3 млн. рублей), или спустя </w:t>
      </w:r>
      <w:r w:rsidRPr="00213A5D">
        <w:rPr>
          <w:b/>
          <w:sz w:val="24"/>
          <w:szCs w:val="24"/>
          <w:lang w:bidi="en-US"/>
        </w:rPr>
        <w:t>2 и 3 месяца</w:t>
      </w:r>
      <w:r w:rsidRPr="00213A5D">
        <w:rPr>
          <w:sz w:val="24"/>
          <w:szCs w:val="24"/>
          <w:lang w:bidi="en-US"/>
        </w:rPr>
        <w:t xml:space="preserve"> соответственно после принятия решения. При этом </w:t>
      </w:r>
      <w:r w:rsidR="001609ED" w:rsidRPr="00213A5D">
        <w:rPr>
          <w:sz w:val="24"/>
          <w:szCs w:val="24"/>
          <w:lang w:bidi="en-US"/>
        </w:rPr>
        <w:br/>
      </w:r>
      <w:r w:rsidRPr="00213A5D">
        <w:rPr>
          <w:sz w:val="24"/>
          <w:szCs w:val="24"/>
          <w:lang w:bidi="en-US"/>
        </w:rPr>
        <w:t>по состоянию на 1 октября 2022 года объем внесенных изменений в сводную роспись составляет лишь 11,6 % общего объема бюджетных ассигнований, предусмотренных Минсельхозу России из резервного фонда Правительства Российской Федерации.</w:t>
      </w:r>
    </w:p>
    <w:p w14:paraId="130F384D" w14:textId="77777777" w:rsidR="00A513A6" w:rsidRPr="00213A5D" w:rsidRDefault="00A513A6" w:rsidP="00AF1852">
      <w:pPr>
        <w:widowControl w:val="0"/>
        <w:spacing w:line="336" w:lineRule="auto"/>
        <w:ind w:left="0" w:right="0"/>
        <w:rPr>
          <w:bCs/>
          <w:sz w:val="24"/>
          <w:szCs w:val="24"/>
        </w:rPr>
      </w:pPr>
      <w:r w:rsidRPr="00213A5D">
        <w:rPr>
          <w:sz w:val="24"/>
          <w:szCs w:val="24"/>
          <w:lang w:bidi="en-US"/>
        </w:rPr>
        <w:lastRenderedPageBreak/>
        <w:t xml:space="preserve">Информация по принятым решениям о выделении бюджетных ассигнований из резервного фонда Правительства Российской Федерации, по которым изменения в сводную роспись не внесены, внесены не в полном объеме или внесены спустя более чем 2 месяца после принятия соответствующего решения представлена </w:t>
      </w:r>
      <w:r w:rsidRPr="00213A5D">
        <w:rPr>
          <w:bCs/>
          <w:sz w:val="24"/>
          <w:szCs w:val="24"/>
        </w:rPr>
        <w:t>в таблице 1 приложения</w:t>
      </w:r>
      <w:r w:rsidRPr="00213A5D">
        <w:rPr>
          <w:bCs/>
          <w:color w:val="0000FF"/>
          <w:sz w:val="24"/>
          <w:szCs w:val="24"/>
        </w:rPr>
        <w:t xml:space="preserve"> </w:t>
      </w:r>
      <w:r w:rsidRPr="00213A5D">
        <w:rPr>
          <w:bCs/>
          <w:sz w:val="24"/>
          <w:szCs w:val="24"/>
        </w:rPr>
        <w:t>№ 4 к аналитической записке.</w:t>
      </w:r>
    </w:p>
    <w:p w14:paraId="49EF8F4E" w14:textId="77777777" w:rsidR="00A513A6" w:rsidRPr="00213A5D" w:rsidRDefault="00A513A6" w:rsidP="00AF1852">
      <w:pPr>
        <w:widowControl w:val="0"/>
        <w:spacing w:line="336" w:lineRule="auto"/>
        <w:ind w:left="0" w:right="0"/>
        <w:rPr>
          <w:bCs/>
          <w:sz w:val="24"/>
          <w:szCs w:val="24"/>
        </w:rPr>
      </w:pPr>
      <w:r w:rsidRPr="00213A5D">
        <w:rPr>
          <w:bCs/>
          <w:sz w:val="24"/>
          <w:szCs w:val="24"/>
        </w:rPr>
        <w:t xml:space="preserve">На основании решений Правительства Российской Федерации в </w:t>
      </w:r>
      <w:r w:rsidR="00C04DF0" w:rsidRPr="00213A5D">
        <w:rPr>
          <w:sz w:val="24"/>
          <w:szCs w:val="24"/>
          <w:lang w:bidi="en-US"/>
        </w:rPr>
        <w:t xml:space="preserve">январе – </w:t>
      </w:r>
      <w:r w:rsidRPr="00213A5D">
        <w:rPr>
          <w:sz w:val="24"/>
          <w:szCs w:val="24"/>
          <w:lang w:bidi="en-US"/>
        </w:rPr>
        <w:t>сентябре</w:t>
      </w:r>
      <w:r w:rsidRPr="00213A5D">
        <w:rPr>
          <w:bCs/>
          <w:sz w:val="24"/>
          <w:szCs w:val="24"/>
        </w:rPr>
        <w:t xml:space="preserve"> 2022 года внесены </w:t>
      </w:r>
      <w:r w:rsidRPr="00213A5D">
        <w:rPr>
          <w:b/>
          <w:bCs/>
          <w:sz w:val="24"/>
          <w:szCs w:val="24"/>
        </w:rPr>
        <w:t>изменения в сводную роспись</w:t>
      </w:r>
      <w:r w:rsidRPr="00213A5D">
        <w:rPr>
          <w:bCs/>
          <w:sz w:val="24"/>
          <w:szCs w:val="24"/>
        </w:rPr>
        <w:t xml:space="preserve"> (открытая часть) о </w:t>
      </w:r>
      <w:r w:rsidRPr="00213A5D">
        <w:rPr>
          <w:b/>
          <w:bCs/>
          <w:sz w:val="24"/>
          <w:szCs w:val="24"/>
        </w:rPr>
        <w:t xml:space="preserve">выделении </w:t>
      </w:r>
      <w:r w:rsidRPr="00213A5D">
        <w:rPr>
          <w:bCs/>
          <w:sz w:val="24"/>
          <w:szCs w:val="24"/>
        </w:rPr>
        <w:t>из</w:t>
      </w:r>
      <w:r w:rsidRPr="00213A5D">
        <w:rPr>
          <w:bCs/>
          <w:color w:val="0000FF"/>
          <w:sz w:val="24"/>
          <w:szCs w:val="24"/>
        </w:rPr>
        <w:t xml:space="preserve"> </w:t>
      </w:r>
      <w:r w:rsidRPr="00213A5D">
        <w:rPr>
          <w:b/>
          <w:bCs/>
          <w:sz w:val="24"/>
          <w:szCs w:val="24"/>
        </w:rPr>
        <w:t>резервного фонда Правительства Российской Федерации</w:t>
      </w:r>
      <w:r w:rsidRPr="00213A5D">
        <w:rPr>
          <w:bCs/>
          <w:sz w:val="24"/>
          <w:szCs w:val="24"/>
        </w:rPr>
        <w:t xml:space="preserve"> бюджетных ассигнований на сумму </w:t>
      </w:r>
      <w:r w:rsidRPr="00213A5D">
        <w:rPr>
          <w:b/>
          <w:bCs/>
          <w:sz w:val="24"/>
          <w:szCs w:val="24"/>
        </w:rPr>
        <w:t>2 150 332,7 млн. рублей</w:t>
      </w:r>
      <w:r w:rsidRPr="00213A5D">
        <w:rPr>
          <w:bCs/>
          <w:sz w:val="24"/>
          <w:szCs w:val="24"/>
          <w:vertAlign w:val="superscript"/>
        </w:rPr>
        <w:footnoteReference w:id="38"/>
      </w:r>
      <w:r w:rsidRPr="00213A5D">
        <w:rPr>
          <w:bCs/>
          <w:sz w:val="24"/>
          <w:szCs w:val="24"/>
        </w:rPr>
        <w:t>, направления распределения резервного фонда Правительства Российской Федерации представлены на следующей диаграмме.</w:t>
      </w:r>
    </w:p>
    <w:p w14:paraId="0659790F" w14:textId="77777777" w:rsidR="00CD12E8" w:rsidRPr="00213A5D" w:rsidRDefault="00CD0E98" w:rsidP="00AF1852">
      <w:pPr>
        <w:widowControl w:val="0"/>
        <w:spacing w:line="336" w:lineRule="auto"/>
        <w:ind w:left="0" w:right="0" w:firstLine="0"/>
        <w:jc w:val="center"/>
        <w:rPr>
          <w:bCs/>
          <w:sz w:val="24"/>
          <w:szCs w:val="24"/>
        </w:rPr>
      </w:pPr>
      <w:r w:rsidRPr="004A5088">
        <w:rPr>
          <w:noProof/>
        </w:rPr>
        <w:pict w14:anchorId="04BBB63F">
          <v:shape id="Диаграмма 2" o:spid="_x0000_i1048" type="#_x0000_t75" style="width:463.9pt;height:223.45pt;visibility:visible" o:gfxdata="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">
            <v:imagedata r:id="rId55" o:title=""/>
            <o:lock v:ext="edit" aspectratio="f"/>
          </v:shape>
        </w:pict>
      </w:r>
    </w:p>
    <w:p w14:paraId="3185E022" w14:textId="77777777" w:rsidR="00A513A6" w:rsidRPr="00213A5D" w:rsidRDefault="00A513A6" w:rsidP="00AF1852">
      <w:pPr>
        <w:widowControl w:val="0"/>
        <w:spacing w:line="372" w:lineRule="auto"/>
        <w:ind w:left="0" w:right="0"/>
        <w:rPr>
          <w:sz w:val="24"/>
          <w:szCs w:val="24"/>
          <w:lang w:bidi="en-US"/>
        </w:rPr>
      </w:pPr>
      <w:r w:rsidRPr="00213A5D">
        <w:rPr>
          <w:sz w:val="24"/>
          <w:szCs w:val="24"/>
          <w:lang w:bidi="en-US"/>
        </w:rPr>
        <w:t xml:space="preserve">Информация о бюджетных ассигнованиях, выделенных из </w:t>
      </w:r>
      <w:r w:rsidRPr="00213A5D">
        <w:rPr>
          <w:b/>
          <w:sz w:val="24"/>
          <w:szCs w:val="24"/>
          <w:lang w:bidi="en-US"/>
        </w:rPr>
        <w:t>резервного фонда Правительства Российской Федерации</w:t>
      </w:r>
      <w:r w:rsidRPr="00213A5D">
        <w:rPr>
          <w:sz w:val="24"/>
          <w:szCs w:val="24"/>
          <w:lang w:bidi="en-US"/>
        </w:rPr>
        <w:t xml:space="preserve"> в соответствии со сводной росписью (открытая часть) в разрезе главных распорядителей, приведена на следующей диаграмме.</w:t>
      </w:r>
    </w:p>
    <w:p w14:paraId="77F44E37" w14:textId="77777777" w:rsidR="00CD12E8" w:rsidRPr="00213A5D" w:rsidRDefault="00CD0E98" w:rsidP="00AF1852">
      <w:pPr>
        <w:widowControl w:val="0"/>
        <w:spacing w:line="372" w:lineRule="auto"/>
        <w:ind w:left="0" w:right="0" w:firstLine="0"/>
        <w:jc w:val="center"/>
        <w:rPr>
          <w:sz w:val="24"/>
          <w:szCs w:val="24"/>
          <w:lang w:bidi="en-US"/>
        </w:rPr>
      </w:pPr>
      <w:r w:rsidRPr="00191EFE">
        <w:rPr>
          <w:noProof/>
        </w:rPr>
        <w:pict w14:anchorId="2F29AE8D">
          <v:shape id="Диаграмма 3" o:spid="_x0000_i1047" type="#_x0000_t75" style="width:464.6pt;height:182.05pt;visibility:visible" o:gfxdata="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">
            <v:imagedata r:id="rId56" o:title=""/>
            <o:lock v:ext="edit" aspectratio="f"/>
          </v:shape>
        </w:pict>
      </w:r>
    </w:p>
    <w:p w14:paraId="72699A53" w14:textId="77777777" w:rsidR="00A513A6" w:rsidRPr="00213A5D" w:rsidRDefault="00A513A6" w:rsidP="00E63FA5">
      <w:pPr>
        <w:widowControl w:val="0"/>
        <w:spacing w:line="348" w:lineRule="auto"/>
        <w:ind w:left="0" w:right="0"/>
        <w:rPr>
          <w:sz w:val="24"/>
          <w:szCs w:val="24"/>
          <w:lang w:bidi="en-US"/>
        </w:rPr>
      </w:pPr>
      <w:r w:rsidRPr="00213A5D">
        <w:rPr>
          <w:sz w:val="24"/>
          <w:szCs w:val="24"/>
          <w:lang w:bidi="en-US"/>
        </w:rPr>
        <w:lastRenderedPageBreak/>
        <w:t xml:space="preserve">В соответствии с решениями Правительства Российской Федерации на реализацию </w:t>
      </w:r>
      <w:r w:rsidRPr="00213A5D">
        <w:rPr>
          <w:b/>
          <w:sz w:val="24"/>
          <w:szCs w:val="24"/>
          <w:lang w:bidi="en-US"/>
        </w:rPr>
        <w:t>мер государственной поддержки</w:t>
      </w:r>
      <w:r w:rsidRPr="00213A5D">
        <w:rPr>
          <w:sz w:val="24"/>
          <w:szCs w:val="24"/>
          <w:lang w:bidi="en-US"/>
        </w:rPr>
        <w:t>, направленных на стабилизацию экономической ситуации и устойчивое экономическое развитие в условиях санкционного давления со стороны иностранных государств</w:t>
      </w:r>
      <w:r w:rsidRPr="00213A5D">
        <w:rPr>
          <w:sz w:val="24"/>
          <w:szCs w:val="24"/>
          <w:vertAlign w:val="superscript"/>
          <w:lang w:bidi="en-US"/>
        </w:rPr>
        <w:footnoteReference w:id="39"/>
      </w:r>
      <w:r w:rsidRPr="00213A5D">
        <w:rPr>
          <w:sz w:val="24"/>
          <w:szCs w:val="24"/>
          <w:lang w:bidi="en-US"/>
        </w:rPr>
        <w:t>, за период с 24 февраля по 30 сентября 2022 года из резервного фонда Правительства Российской Федерации в соответствии со сводной росписью направлено 1 489 224,6 млн. рублей, из них основной объем направлен:</w:t>
      </w:r>
    </w:p>
    <w:p w14:paraId="58525637" w14:textId="77777777" w:rsidR="00A513A6" w:rsidRPr="00213A5D" w:rsidRDefault="00A513A6" w:rsidP="00E63FA5">
      <w:pPr>
        <w:widowControl w:val="0"/>
        <w:spacing w:line="348" w:lineRule="auto"/>
        <w:ind w:left="709" w:right="0" w:firstLine="0"/>
        <w:rPr>
          <w:bCs/>
          <w:sz w:val="24"/>
          <w:szCs w:val="24"/>
        </w:rPr>
      </w:pPr>
      <w:r w:rsidRPr="00213A5D">
        <w:rPr>
          <w:bCs/>
          <w:sz w:val="24"/>
          <w:szCs w:val="24"/>
        </w:rPr>
        <w:t>Минфину России – 779 725,2 млн. рублей;</w:t>
      </w:r>
    </w:p>
    <w:p w14:paraId="69C263C1" w14:textId="77777777" w:rsidR="00A513A6" w:rsidRPr="00213A5D" w:rsidRDefault="00A513A6" w:rsidP="00E63FA5">
      <w:pPr>
        <w:widowControl w:val="0"/>
        <w:spacing w:line="348" w:lineRule="auto"/>
        <w:ind w:left="709" w:right="0" w:firstLine="0"/>
        <w:rPr>
          <w:sz w:val="24"/>
          <w:szCs w:val="24"/>
          <w:lang w:bidi="en-US"/>
        </w:rPr>
      </w:pPr>
      <w:r w:rsidRPr="00213A5D">
        <w:rPr>
          <w:sz w:val="24"/>
          <w:szCs w:val="24"/>
          <w:lang w:bidi="en-US"/>
        </w:rPr>
        <w:t>Минпромторгу России – 196 600,0 млн. рублей;</w:t>
      </w:r>
    </w:p>
    <w:p w14:paraId="6179D2E8" w14:textId="77777777" w:rsidR="00A513A6" w:rsidRPr="00213A5D" w:rsidRDefault="00A513A6" w:rsidP="00E63FA5">
      <w:pPr>
        <w:widowControl w:val="0"/>
        <w:spacing w:line="348" w:lineRule="auto"/>
        <w:ind w:left="709" w:right="0" w:firstLine="0"/>
        <w:rPr>
          <w:bCs/>
          <w:sz w:val="24"/>
          <w:szCs w:val="24"/>
        </w:rPr>
      </w:pPr>
      <w:r w:rsidRPr="00213A5D">
        <w:rPr>
          <w:bCs/>
          <w:sz w:val="24"/>
          <w:szCs w:val="24"/>
        </w:rPr>
        <w:t xml:space="preserve">Росавиации – 110 134,1 млн. рублей; </w:t>
      </w:r>
    </w:p>
    <w:p w14:paraId="199CE86C" w14:textId="77777777" w:rsidR="00A513A6" w:rsidRPr="00213A5D" w:rsidRDefault="00A513A6" w:rsidP="00E63FA5">
      <w:pPr>
        <w:widowControl w:val="0"/>
        <w:spacing w:line="348" w:lineRule="auto"/>
        <w:ind w:left="709" w:right="0" w:firstLine="0"/>
        <w:rPr>
          <w:sz w:val="24"/>
          <w:szCs w:val="24"/>
          <w:lang w:bidi="en-US"/>
        </w:rPr>
      </w:pPr>
      <w:r w:rsidRPr="00213A5D">
        <w:rPr>
          <w:sz w:val="24"/>
          <w:szCs w:val="24"/>
          <w:lang w:bidi="en-US"/>
        </w:rPr>
        <w:t>Минсельхозу России – 94 860,4 млн. рублей;</w:t>
      </w:r>
    </w:p>
    <w:p w14:paraId="338D3E6B" w14:textId="77777777" w:rsidR="00A513A6" w:rsidRPr="00213A5D" w:rsidRDefault="00A513A6" w:rsidP="00E63FA5">
      <w:pPr>
        <w:widowControl w:val="0"/>
        <w:spacing w:line="348" w:lineRule="auto"/>
        <w:ind w:left="709" w:right="0" w:firstLine="0"/>
        <w:rPr>
          <w:sz w:val="24"/>
          <w:szCs w:val="24"/>
          <w:lang w:bidi="en-US"/>
        </w:rPr>
      </w:pPr>
      <w:r w:rsidRPr="00213A5D">
        <w:rPr>
          <w:sz w:val="24"/>
          <w:szCs w:val="24"/>
          <w:lang w:bidi="en-US"/>
        </w:rPr>
        <w:t>Минцифры России – 67 730,</w:t>
      </w:r>
      <w:r w:rsidR="00C04DF0" w:rsidRPr="00213A5D">
        <w:rPr>
          <w:sz w:val="24"/>
          <w:szCs w:val="24"/>
          <w:lang w:bidi="en-US"/>
        </w:rPr>
        <w:t>0</w:t>
      </w:r>
      <w:r w:rsidRPr="00213A5D">
        <w:rPr>
          <w:sz w:val="24"/>
          <w:szCs w:val="24"/>
          <w:lang w:bidi="en-US"/>
        </w:rPr>
        <w:t xml:space="preserve"> млн. рублей;</w:t>
      </w:r>
    </w:p>
    <w:p w14:paraId="4CA057C7" w14:textId="77777777" w:rsidR="00A513A6" w:rsidRPr="00213A5D" w:rsidRDefault="00A513A6" w:rsidP="00E63FA5">
      <w:pPr>
        <w:widowControl w:val="0"/>
        <w:spacing w:line="348" w:lineRule="auto"/>
        <w:ind w:left="709" w:right="0" w:firstLine="0"/>
        <w:rPr>
          <w:bCs/>
          <w:sz w:val="24"/>
          <w:szCs w:val="24"/>
        </w:rPr>
      </w:pPr>
      <w:r w:rsidRPr="00213A5D">
        <w:rPr>
          <w:bCs/>
          <w:sz w:val="24"/>
          <w:szCs w:val="24"/>
        </w:rPr>
        <w:t>Минстрою России – 45 939,1 млн. рублей;</w:t>
      </w:r>
    </w:p>
    <w:p w14:paraId="3E543D04" w14:textId="77777777" w:rsidR="00A513A6" w:rsidRPr="00213A5D" w:rsidRDefault="00A513A6" w:rsidP="00E63FA5">
      <w:pPr>
        <w:widowControl w:val="0"/>
        <w:spacing w:line="348" w:lineRule="auto"/>
        <w:ind w:left="709" w:right="0" w:firstLine="0"/>
        <w:rPr>
          <w:sz w:val="24"/>
          <w:szCs w:val="24"/>
          <w:lang w:bidi="en-US"/>
        </w:rPr>
      </w:pPr>
      <w:r w:rsidRPr="00213A5D">
        <w:rPr>
          <w:sz w:val="24"/>
          <w:szCs w:val="24"/>
          <w:lang w:bidi="en-US"/>
        </w:rPr>
        <w:t>Роструду – 39 016,2 млн. рублей;</w:t>
      </w:r>
    </w:p>
    <w:p w14:paraId="40B5A67C" w14:textId="77777777" w:rsidR="00A513A6" w:rsidRPr="00213A5D" w:rsidRDefault="00A513A6" w:rsidP="00E63FA5">
      <w:pPr>
        <w:widowControl w:val="0"/>
        <w:spacing w:line="348" w:lineRule="auto"/>
        <w:ind w:left="709" w:right="0" w:firstLine="0"/>
        <w:rPr>
          <w:sz w:val="24"/>
          <w:szCs w:val="24"/>
          <w:lang w:bidi="en-US"/>
        </w:rPr>
      </w:pPr>
      <w:r w:rsidRPr="00213A5D">
        <w:rPr>
          <w:sz w:val="24"/>
          <w:szCs w:val="24"/>
          <w:lang w:bidi="en-US"/>
        </w:rPr>
        <w:t>Минэкономразвития России – 25 863,8 млн. рублей;</w:t>
      </w:r>
    </w:p>
    <w:p w14:paraId="13C0A955" w14:textId="77777777" w:rsidR="00A513A6" w:rsidRPr="00213A5D" w:rsidRDefault="00A513A6" w:rsidP="00E63FA5">
      <w:pPr>
        <w:widowControl w:val="0"/>
        <w:spacing w:line="348" w:lineRule="auto"/>
        <w:ind w:left="709" w:right="0" w:firstLine="0"/>
        <w:rPr>
          <w:sz w:val="24"/>
          <w:szCs w:val="24"/>
          <w:lang w:bidi="en-US"/>
        </w:rPr>
      </w:pPr>
      <w:r w:rsidRPr="00213A5D">
        <w:rPr>
          <w:sz w:val="24"/>
          <w:szCs w:val="24"/>
          <w:lang w:bidi="en-US"/>
        </w:rPr>
        <w:t>Минтрансу России – 22 679,7 млн. рублей;</w:t>
      </w:r>
    </w:p>
    <w:p w14:paraId="612CE3E4" w14:textId="77777777" w:rsidR="00A513A6" w:rsidRPr="00213A5D" w:rsidRDefault="00A513A6" w:rsidP="00E63FA5">
      <w:pPr>
        <w:widowControl w:val="0"/>
        <w:spacing w:line="348" w:lineRule="auto"/>
        <w:ind w:left="709" w:right="0" w:firstLine="0"/>
        <w:rPr>
          <w:sz w:val="24"/>
          <w:szCs w:val="24"/>
          <w:lang w:bidi="en-US"/>
        </w:rPr>
      </w:pPr>
      <w:r w:rsidRPr="00213A5D">
        <w:rPr>
          <w:sz w:val="24"/>
          <w:szCs w:val="24"/>
          <w:lang w:bidi="en-US"/>
        </w:rPr>
        <w:t xml:space="preserve">Минпросвещения России – 22 360,5 млн. рублей; </w:t>
      </w:r>
    </w:p>
    <w:p w14:paraId="122F7CA5" w14:textId="77777777" w:rsidR="00A513A6" w:rsidRPr="00213A5D" w:rsidRDefault="00A513A6" w:rsidP="00E63FA5">
      <w:pPr>
        <w:widowControl w:val="0"/>
        <w:spacing w:line="348" w:lineRule="auto"/>
        <w:ind w:left="709" w:right="0" w:firstLine="0"/>
        <w:rPr>
          <w:sz w:val="24"/>
          <w:szCs w:val="24"/>
          <w:lang w:bidi="en-US"/>
        </w:rPr>
      </w:pPr>
      <w:r w:rsidRPr="00213A5D">
        <w:rPr>
          <w:sz w:val="24"/>
          <w:szCs w:val="24"/>
          <w:lang w:bidi="en-US"/>
        </w:rPr>
        <w:t>другим 29 главным распорядителям бюджетных средств (с объемом в соответствии со сводной росписью менее 15 000,0 млн. рублей) – 84 315,7 млн. рублей.</w:t>
      </w:r>
    </w:p>
    <w:p w14:paraId="42CD7F1D" w14:textId="77777777" w:rsidR="00A513A6" w:rsidRPr="00213A5D" w:rsidRDefault="00A513A6" w:rsidP="00E63FA5">
      <w:pPr>
        <w:widowControl w:val="0"/>
        <w:spacing w:line="348" w:lineRule="auto"/>
        <w:ind w:left="0" w:right="0"/>
        <w:rPr>
          <w:b/>
          <w:bCs/>
          <w:sz w:val="24"/>
          <w:szCs w:val="24"/>
        </w:rPr>
      </w:pPr>
      <w:r w:rsidRPr="00213A5D">
        <w:rPr>
          <w:bCs/>
          <w:sz w:val="24"/>
          <w:szCs w:val="24"/>
        </w:rPr>
        <w:t>Информация о наибольших объемах бюджетных ассигнований, выделенных из резервного фонда Правительства Российской Федерации, в соответствии со сводной росписью</w:t>
      </w:r>
      <w:r w:rsidRPr="00213A5D">
        <w:rPr>
          <w:b/>
          <w:bCs/>
          <w:sz w:val="24"/>
          <w:szCs w:val="24"/>
        </w:rPr>
        <w:t xml:space="preserve"> </w:t>
      </w:r>
      <w:r w:rsidRPr="00213A5D">
        <w:rPr>
          <w:bCs/>
          <w:sz w:val="24"/>
          <w:szCs w:val="24"/>
        </w:rPr>
        <w:t>по ряду главных распорядителей бюджетных средств представлена в таблице 2</w:t>
      </w:r>
      <w:r w:rsidRPr="00213A5D">
        <w:rPr>
          <w:bCs/>
          <w:color w:val="0000FF"/>
          <w:sz w:val="24"/>
          <w:szCs w:val="24"/>
        </w:rPr>
        <w:t xml:space="preserve"> </w:t>
      </w:r>
      <w:r w:rsidRPr="00213A5D">
        <w:rPr>
          <w:bCs/>
          <w:sz w:val="24"/>
          <w:szCs w:val="24"/>
        </w:rPr>
        <w:t>приложения № 4 к аналитической записке.</w:t>
      </w:r>
    </w:p>
    <w:p w14:paraId="609245B6" w14:textId="77777777" w:rsidR="00A513A6" w:rsidRPr="00213A5D" w:rsidRDefault="00A513A6" w:rsidP="00E63FA5">
      <w:pPr>
        <w:widowControl w:val="0"/>
        <w:ind w:left="0" w:right="0"/>
        <w:rPr>
          <w:rFonts w:eastAsia="Times New Roman"/>
          <w:bCs/>
          <w:sz w:val="24"/>
          <w:szCs w:val="24"/>
        </w:rPr>
      </w:pPr>
      <w:r w:rsidRPr="00213A5D">
        <w:rPr>
          <w:rFonts w:eastAsia="Times New Roman"/>
          <w:bCs/>
          <w:sz w:val="24"/>
          <w:szCs w:val="24"/>
        </w:rPr>
        <w:t xml:space="preserve">Согласно пункту 14 Положения </w:t>
      </w:r>
      <w:r w:rsidRPr="00213A5D">
        <w:rPr>
          <w:rFonts w:eastAsia="Times New Roman"/>
          <w:b/>
          <w:bCs/>
          <w:sz w:val="24"/>
          <w:szCs w:val="24"/>
        </w:rPr>
        <w:t>главные распорядители</w:t>
      </w:r>
      <w:r w:rsidRPr="00213A5D">
        <w:rPr>
          <w:rFonts w:eastAsia="Times New Roman"/>
          <w:bCs/>
          <w:sz w:val="24"/>
          <w:szCs w:val="24"/>
        </w:rPr>
        <w:t xml:space="preserve"> направляют в Федеральное казначейство сведения о результатах реализации мероприятий, источником финансового обеспечения которых в текущем финансовом году являются </w:t>
      </w:r>
      <w:r w:rsidRPr="00213A5D">
        <w:rPr>
          <w:rFonts w:eastAsia="Times New Roman"/>
          <w:b/>
          <w:bCs/>
          <w:sz w:val="24"/>
          <w:szCs w:val="24"/>
        </w:rPr>
        <w:t>бюджетные ассигнования резервного фонда Правительства Российской Федерации</w:t>
      </w:r>
      <w:r w:rsidRPr="00213A5D">
        <w:rPr>
          <w:rFonts w:eastAsia="Times New Roman"/>
          <w:bCs/>
          <w:sz w:val="24"/>
          <w:szCs w:val="24"/>
        </w:rPr>
        <w:t>.</w:t>
      </w:r>
    </w:p>
    <w:p w14:paraId="66895093" w14:textId="77777777" w:rsidR="00A513A6" w:rsidRPr="00213A5D" w:rsidRDefault="00A513A6" w:rsidP="00E63FA5">
      <w:pPr>
        <w:widowControl w:val="0"/>
        <w:ind w:left="0" w:right="0"/>
        <w:rPr>
          <w:rFonts w:eastAsia="Times New Roman"/>
          <w:bCs/>
          <w:sz w:val="24"/>
          <w:szCs w:val="24"/>
        </w:rPr>
      </w:pPr>
      <w:r w:rsidRPr="00213A5D">
        <w:rPr>
          <w:rFonts w:eastAsia="Times New Roman"/>
          <w:bCs/>
          <w:sz w:val="24"/>
          <w:szCs w:val="24"/>
        </w:rPr>
        <w:t xml:space="preserve">Во исполнение пункта 14 Положения Минфином России утверждена форма 0501118 «Сведения о результатах реализации мероприятий, источником финансового обеспечения которых в текущем финансовом году являются бюджетные ассигнования резервного фонда Правительства Российской Федерации» (приказ Минфина России от 4 февраля 2021 г. № 12н «Об утверждении форм и Порядка направления Сведений о результатах реализации мероприятий, источником финансового обеспечения которых в текущем финансовом году являются бюджетные ассигнования резервного фонда Правительства Российской Федерации, </w:t>
      </w:r>
      <w:r w:rsidRPr="00213A5D">
        <w:rPr>
          <w:rFonts w:eastAsia="Times New Roman"/>
          <w:bCs/>
          <w:sz w:val="24"/>
          <w:szCs w:val="24"/>
        </w:rPr>
        <w:lastRenderedPageBreak/>
        <w:t>формирования Сводных сведений») (далее – Сведения).</w:t>
      </w:r>
    </w:p>
    <w:p w14:paraId="3CE5021A" w14:textId="77777777" w:rsidR="00A513A6" w:rsidRPr="00213A5D" w:rsidRDefault="00A513A6" w:rsidP="00E63FA5">
      <w:pPr>
        <w:widowControl w:val="0"/>
        <w:ind w:left="0" w:right="0"/>
        <w:rPr>
          <w:rFonts w:eastAsia="Times New Roman"/>
          <w:bCs/>
          <w:sz w:val="24"/>
          <w:szCs w:val="24"/>
        </w:rPr>
      </w:pPr>
      <w:r w:rsidRPr="00213A5D">
        <w:rPr>
          <w:rFonts w:eastAsia="Times New Roman"/>
          <w:bCs/>
          <w:sz w:val="24"/>
          <w:szCs w:val="24"/>
        </w:rPr>
        <w:t>Выборочный анализ Сведений, представленных главными распорядителями в Федеральное казначейство и полученных по запросу</w:t>
      </w:r>
      <w:r w:rsidRPr="00213A5D">
        <w:rPr>
          <w:sz w:val="24"/>
          <w:szCs w:val="24"/>
        </w:rPr>
        <w:t xml:space="preserve"> </w:t>
      </w:r>
      <w:r w:rsidRPr="00213A5D">
        <w:rPr>
          <w:rFonts w:eastAsia="Times New Roman"/>
          <w:bCs/>
          <w:sz w:val="24"/>
          <w:szCs w:val="24"/>
        </w:rPr>
        <w:t xml:space="preserve">Счетной палаты, </w:t>
      </w:r>
      <w:r w:rsidRPr="00213A5D">
        <w:rPr>
          <w:sz w:val="24"/>
          <w:szCs w:val="24"/>
        </w:rPr>
        <w:t xml:space="preserve">показал, что </w:t>
      </w:r>
      <w:r w:rsidRPr="00213A5D">
        <w:rPr>
          <w:rFonts w:eastAsia="Times New Roman"/>
          <w:bCs/>
          <w:sz w:val="24"/>
          <w:szCs w:val="24"/>
        </w:rPr>
        <w:t xml:space="preserve">по отдельным главным распорядителям бюджетных средств исполнение бюджетных ассигнований, выделенных из </w:t>
      </w:r>
      <w:r w:rsidRPr="00213A5D">
        <w:rPr>
          <w:rFonts w:eastAsia="Times New Roman"/>
          <w:b/>
          <w:bCs/>
          <w:sz w:val="24"/>
          <w:szCs w:val="24"/>
        </w:rPr>
        <w:t>резервного фонда Правительства Российской Федерации</w:t>
      </w:r>
      <w:r w:rsidRPr="00213A5D">
        <w:rPr>
          <w:rFonts w:eastAsia="Times New Roman"/>
          <w:bCs/>
          <w:sz w:val="24"/>
          <w:szCs w:val="24"/>
        </w:rPr>
        <w:t xml:space="preserve">, </w:t>
      </w:r>
      <w:r w:rsidRPr="00213A5D">
        <w:rPr>
          <w:sz w:val="24"/>
          <w:szCs w:val="24"/>
        </w:rPr>
        <w:t xml:space="preserve">по состоянию на 1 октября 2022 года </w:t>
      </w:r>
      <w:r w:rsidRPr="00213A5D">
        <w:rPr>
          <w:rFonts w:eastAsia="Times New Roman"/>
          <w:b/>
          <w:bCs/>
          <w:sz w:val="24"/>
          <w:szCs w:val="24"/>
        </w:rPr>
        <w:t xml:space="preserve">не осуществлялось </w:t>
      </w:r>
      <w:r w:rsidRPr="00213A5D">
        <w:rPr>
          <w:rFonts w:eastAsia="Times New Roman"/>
          <w:bCs/>
          <w:sz w:val="24"/>
          <w:szCs w:val="24"/>
        </w:rPr>
        <w:t xml:space="preserve">либо осуществлялось </w:t>
      </w:r>
      <w:r w:rsidRPr="00213A5D">
        <w:rPr>
          <w:rFonts w:eastAsia="Times New Roman"/>
          <w:b/>
          <w:bCs/>
          <w:sz w:val="24"/>
          <w:szCs w:val="24"/>
        </w:rPr>
        <w:t>на низком уровне</w:t>
      </w:r>
      <w:r w:rsidRPr="00213A5D">
        <w:rPr>
          <w:rFonts w:eastAsia="Times New Roman"/>
          <w:bCs/>
          <w:sz w:val="24"/>
          <w:szCs w:val="24"/>
        </w:rPr>
        <w:t xml:space="preserve"> (таблица 3 приложения № 4 к аналитической записке).</w:t>
      </w:r>
    </w:p>
    <w:p w14:paraId="388E6C19" w14:textId="77777777" w:rsidR="00A513A6" w:rsidRPr="00213A5D" w:rsidRDefault="00A513A6" w:rsidP="00E63FA5">
      <w:pPr>
        <w:widowControl w:val="0"/>
        <w:ind w:left="0" w:right="0"/>
        <w:rPr>
          <w:rFonts w:eastAsia="Times New Roman"/>
          <w:sz w:val="24"/>
          <w:szCs w:val="24"/>
        </w:rPr>
      </w:pPr>
      <w:r w:rsidRPr="00213A5D">
        <w:rPr>
          <w:rFonts w:eastAsia="Times New Roman"/>
          <w:sz w:val="24"/>
          <w:szCs w:val="24"/>
        </w:rPr>
        <w:t xml:space="preserve">Подпунктом «з» пункта 5 Положения установлено, что проекты актов Правительства Российской Федерации об использовании бюджетных ассигнований резервного фонда должны содержать сведения об обязательстве главного распорядителя средств федерального бюджета, которому выделяются бюджетные ассигнования резервного фонда, по осуществлению контроля за целевым и эффективным использованием бюджетных ассигнований резервного фонда с представлением доклада в Правительство Российской Федерации. </w:t>
      </w:r>
    </w:p>
    <w:p w14:paraId="4AD5CDF4" w14:textId="77777777" w:rsidR="00A513A6" w:rsidRPr="00213A5D" w:rsidRDefault="00A513A6" w:rsidP="00E63FA5">
      <w:pPr>
        <w:widowControl w:val="0"/>
        <w:ind w:left="0" w:right="0"/>
        <w:rPr>
          <w:rFonts w:eastAsia="Times New Roman"/>
          <w:sz w:val="24"/>
          <w:szCs w:val="24"/>
        </w:rPr>
      </w:pPr>
      <w:r w:rsidRPr="00213A5D">
        <w:rPr>
          <w:rFonts w:eastAsia="Times New Roman"/>
          <w:sz w:val="24"/>
          <w:szCs w:val="24"/>
        </w:rPr>
        <w:t xml:space="preserve">Вместе с тем по результатам анализа установлено, что в отдельных распоряжениях Правительства Российской Федерации (от 20 июля 2022 г. № 1985-р, от 3 сентября 2022 г. № 2533-р и от 15 сентября 2022 г. № 2625-р) о выделении средств из резервного фонда Правительства Российской Федерации требования по осуществлению контроля за целевым и эффективным использованием бюджетных ассигнований резервного фонда с представлением к определенной дате доклада в Правительство Российской Федерации не содержатся. </w:t>
      </w:r>
    </w:p>
    <w:p w14:paraId="074ADF70" w14:textId="77777777" w:rsidR="00A513A6" w:rsidRPr="00213A5D" w:rsidRDefault="00A513A6" w:rsidP="00E63FA5">
      <w:pPr>
        <w:widowControl w:val="0"/>
        <w:ind w:left="0" w:right="0"/>
        <w:rPr>
          <w:rFonts w:eastAsia="Times New Roman"/>
          <w:sz w:val="24"/>
          <w:szCs w:val="24"/>
        </w:rPr>
      </w:pPr>
      <w:r w:rsidRPr="00213A5D">
        <w:rPr>
          <w:rFonts w:eastAsia="Times New Roman"/>
          <w:sz w:val="24"/>
          <w:szCs w:val="24"/>
        </w:rPr>
        <w:t xml:space="preserve">Таким образом, отсутствие в распоряжениях требований об осуществлении </w:t>
      </w:r>
      <w:r w:rsidRPr="00213A5D">
        <w:rPr>
          <w:rFonts w:eastAsia="Times New Roman"/>
          <w:b/>
          <w:sz w:val="24"/>
          <w:szCs w:val="24"/>
        </w:rPr>
        <w:t>контроля</w:t>
      </w:r>
      <w:r w:rsidRPr="00213A5D">
        <w:rPr>
          <w:rFonts w:eastAsia="Times New Roman"/>
          <w:sz w:val="24"/>
          <w:szCs w:val="24"/>
        </w:rPr>
        <w:t xml:space="preserve"> за целевым и эффективным использованием средств и представлении </w:t>
      </w:r>
      <w:r w:rsidRPr="00213A5D">
        <w:rPr>
          <w:rFonts w:eastAsia="Times New Roman"/>
          <w:b/>
          <w:sz w:val="24"/>
          <w:szCs w:val="24"/>
        </w:rPr>
        <w:t>доклада</w:t>
      </w:r>
      <w:r w:rsidRPr="00213A5D">
        <w:rPr>
          <w:rFonts w:eastAsia="Times New Roman"/>
          <w:sz w:val="24"/>
          <w:szCs w:val="24"/>
        </w:rPr>
        <w:t xml:space="preserve"> в Правительство Российской Федерации, по мнению Счетной палаты, свидетельствует о наличии </w:t>
      </w:r>
      <w:r w:rsidRPr="00213A5D">
        <w:rPr>
          <w:rFonts w:eastAsia="Times New Roman"/>
          <w:b/>
          <w:sz w:val="24"/>
          <w:szCs w:val="24"/>
        </w:rPr>
        <w:t>рисков неосуществления контроля</w:t>
      </w:r>
      <w:r w:rsidRPr="00213A5D">
        <w:rPr>
          <w:rFonts w:eastAsia="Times New Roman"/>
          <w:sz w:val="24"/>
          <w:szCs w:val="24"/>
        </w:rPr>
        <w:t xml:space="preserve"> за целевым и эффективным использованием средств.</w:t>
      </w:r>
    </w:p>
    <w:p w14:paraId="5E6A7E56" w14:textId="77777777" w:rsidR="00A513A6" w:rsidRPr="00213A5D" w:rsidRDefault="00A513A6" w:rsidP="00E63FA5">
      <w:pPr>
        <w:widowControl w:val="0"/>
        <w:ind w:left="0" w:right="0"/>
        <w:rPr>
          <w:rFonts w:eastAsia="Times New Roman"/>
          <w:sz w:val="24"/>
          <w:szCs w:val="24"/>
        </w:rPr>
      </w:pPr>
      <w:r w:rsidRPr="00213A5D">
        <w:rPr>
          <w:rFonts w:eastAsia="Times New Roman"/>
          <w:sz w:val="24"/>
          <w:szCs w:val="24"/>
        </w:rPr>
        <w:t xml:space="preserve">По состоянию на 1 октября 2022 года объем </w:t>
      </w:r>
      <w:r w:rsidRPr="00213A5D">
        <w:rPr>
          <w:rFonts w:eastAsia="Times New Roman"/>
          <w:b/>
          <w:sz w:val="24"/>
          <w:szCs w:val="24"/>
        </w:rPr>
        <w:t>резервного фонда Правительства Российской Федерации</w:t>
      </w:r>
      <w:r w:rsidRPr="00213A5D">
        <w:rPr>
          <w:rFonts w:eastAsia="Times New Roman"/>
          <w:sz w:val="24"/>
          <w:szCs w:val="24"/>
        </w:rPr>
        <w:t xml:space="preserve"> составляет </w:t>
      </w:r>
      <w:r w:rsidRPr="00213A5D">
        <w:rPr>
          <w:rFonts w:eastAsia="Times New Roman"/>
          <w:b/>
          <w:sz w:val="24"/>
          <w:szCs w:val="24"/>
        </w:rPr>
        <w:t>64 455,6 млн. рублей</w:t>
      </w:r>
      <w:r w:rsidRPr="00213A5D">
        <w:rPr>
          <w:rFonts w:eastAsia="Times New Roman"/>
          <w:sz w:val="24"/>
          <w:szCs w:val="24"/>
        </w:rPr>
        <w:t xml:space="preserve">, что на 53 328,2 млн. рублей, </w:t>
      </w:r>
      <w:r w:rsidRPr="00213A5D">
        <w:rPr>
          <w:rFonts w:eastAsia="Times New Roman"/>
          <w:sz w:val="24"/>
          <w:szCs w:val="24"/>
        </w:rPr>
        <w:br/>
        <w:t xml:space="preserve">или в 5,8 раза, больше, чем за аналогичный период 2021 года (на 1 октября 2021 года – 11 127,4 млн. рублей). </w:t>
      </w:r>
    </w:p>
    <w:p w14:paraId="367DA15A" w14:textId="77777777" w:rsidR="00E64941" w:rsidRPr="00213A5D" w:rsidRDefault="00E64941" w:rsidP="00AF1852">
      <w:pPr>
        <w:widowControl w:val="0"/>
        <w:overflowPunct/>
        <w:spacing w:line="240" w:lineRule="auto"/>
        <w:ind w:left="0" w:right="0"/>
        <w:textAlignment w:val="auto"/>
        <w:rPr>
          <w:rFonts w:eastAsia="Times New Roman"/>
          <w:sz w:val="16"/>
          <w:szCs w:val="16"/>
        </w:rPr>
      </w:pPr>
    </w:p>
    <w:p w14:paraId="0CA3DA0E" w14:textId="77777777" w:rsidR="00483088" w:rsidRPr="00213A5D" w:rsidRDefault="00E43C52" w:rsidP="00AF1852">
      <w:pPr>
        <w:widowControl w:val="0"/>
        <w:spacing w:line="240" w:lineRule="auto"/>
        <w:ind w:left="0" w:right="0"/>
        <w:jc w:val="center"/>
        <w:rPr>
          <w:b/>
          <w:bCs/>
          <w:sz w:val="24"/>
          <w:szCs w:val="24"/>
          <w:u w:val="single"/>
        </w:rPr>
      </w:pPr>
      <w:r w:rsidRPr="00213A5D">
        <w:rPr>
          <w:b/>
          <w:bCs/>
          <w:sz w:val="24"/>
          <w:szCs w:val="24"/>
        </w:rPr>
        <w:t>8</w:t>
      </w:r>
      <w:r w:rsidR="00483088" w:rsidRPr="00213A5D">
        <w:rPr>
          <w:b/>
          <w:bCs/>
          <w:sz w:val="24"/>
          <w:szCs w:val="24"/>
        </w:rPr>
        <w:t xml:space="preserve">. </w:t>
      </w:r>
      <w:r w:rsidR="00483088" w:rsidRPr="00213A5D">
        <w:rPr>
          <w:b/>
          <w:bCs/>
          <w:sz w:val="24"/>
          <w:szCs w:val="24"/>
          <w:u w:val="single"/>
        </w:rPr>
        <w:t>Анализ исполнения бюджетных ассигнований на предоставление межбюджетных трансфертов бюджетам субъектов Российской Федерации</w:t>
      </w:r>
    </w:p>
    <w:p w14:paraId="04F11532" w14:textId="77777777" w:rsidR="00231AB9" w:rsidRPr="00213A5D" w:rsidRDefault="00231AB9" w:rsidP="00AF1852">
      <w:pPr>
        <w:widowControl w:val="0"/>
        <w:ind w:left="0" w:right="0"/>
        <w:jc w:val="center"/>
        <w:rPr>
          <w:b/>
          <w:bCs/>
          <w:sz w:val="12"/>
          <w:szCs w:val="12"/>
          <w:u w:val="single"/>
        </w:rPr>
      </w:pPr>
    </w:p>
    <w:p w14:paraId="2FC6C4EE" w14:textId="77777777" w:rsidR="00700EC1" w:rsidRPr="00213A5D" w:rsidRDefault="00700EC1" w:rsidP="00E63FA5">
      <w:pPr>
        <w:widowControl w:val="0"/>
        <w:ind w:left="0" w:right="0"/>
        <w:contextualSpacing/>
        <w:rPr>
          <w:bCs/>
          <w:sz w:val="24"/>
          <w:szCs w:val="24"/>
        </w:rPr>
      </w:pPr>
      <w:r w:rsidRPr="00213A5D">
        <w:rPr>
          <w:b/>
          <w:bCs/>
          <w:sz w:val="24"/>
          <w:szCs w:val="24"/>
        </w:rPr>
        <w:t>8.1. Межбюджетные трансферты бюджетам субъектов Российской Федерации</w:t>
      </w:r>
      <w:r w:rsidRPr="00213A5D">
        <w:rPr>
          <w:bCs/>
          <w:sz w:val="24"/>
          <w:szCs w:val="24"/>
        </w:rPr>
        <w:br/>
        <w:t>(далее – межбюджетные трансферты) предусмотренные Федеральным законом № 390-ФЗ составляют</w:t>
      </w:r>
      <w:r w:rsidRPr="00213A5D">
        <w:rPr>
          <w:b/>
          <w:bCs/>
          <w:sz w:val="24"/>
          <w:szCs w:val="24"/>
        </w:rPr>
        <w:t xml:space="preserve"> 13,6 %</w:t>
      </w:r>
      <w:r w:rsidRPr="00213A5D">
        <w:rPr>
          <w:bCs/>
          <w:sz w:val="24"/>
          <w:szCs w:val="24"/>
        </w:rPr>
        <w:t xml:space="preserve"> общего объема расходов федерального бюджета. </w:t>
      </w:r>
    </w:p>
    <w:p w14:paraId="777DA6EA" w14:textId="77777777" w:rsidR="00700EC1" w:rsidRPr="00213A5D" w:rsidRDefault="00700EC1" w:rsidP="00E63FA5">
      <w:pPr>
        <w:widowControl w:val="0"/>
        <w:ind w:left="0" w:right="0"/>
        <w:contextualSpacing/>
        <w:rPr>
          <w:sz w:val="24"/>
          <w:szCs w:val="26"/>
        </w:rPr>
      </w:pPr>
      <w:r w:rsidRPr="00213A5D">
        <w:rPr>
          <w:sz w:val="24"/>
          <w:szCs w:val="26"/>
        </w:rPr>
        <w:t xml:space="preserve">Информация об исполнении межбюджетных трансфертов в разрезе форм за </w:t>
      </w:r>
      <w:r w:rsidRPr="00213A5D">
        <w:rPr>
          <w:sz w:val="24"/>
          <w:szCs w:val="24"/>
        </w:rPr>
        <w:t>январь</w:t>
      </w:r>
      <w:r w:rsidR="00407B20" w:rsidRPr="00213A5D">
        <w:rPr>
          <w:sz w:val="24"/>
          <w:szCs w:val="24"/>
        </w:rPr>
        <w:t xml:space="preserve"> – </w:t>
      </w:r>
      <w:r w:rsidRPr="00213A5D">
        <w:rPr>
          <w:sz w:val="24"/>
          <w:szCs w:val="24"/>
        </w:rPr>
        <w:lastRenderedPageBreak/>
        <w:t xml:space="preserve">сентябрь </w:t>
      </w:r>
      <w:r w:rsidRPr="00213A5D">
        <w:rPr>
          <w:sz w:val="24"/>
          <w:szCs w:val="26"/>
        </w:rPr>
        <w:t>2022 года представлена в следующей таблице.</w:t>
      </w:r>
    </w:p>
    <w:p w14:paraId="2A7951A6" w14:textId="77777777" w:rsidR="00BA0CAD" w:rsidRPr="00213A5D" w:rsidRDefault="00700EC1" w:rsidP="00AF1852">
      <w:pPr>
        <w:widowControl w:val="0"/>
        <w:spacing w:line="240" w:lineRule="auto"/>
        <w:ind w:left="0" w:right="0"/>
        <w:jc w:val="right"/>
        <w:rPr>
          <w:sz w:val="20"/>
          <w:szCs w:val="20"/>
        </w:rPr>
      </w:pPr>
      <w:r w:rsidRPr="00213A5D">
        <w:rPr>
          <w:sz w:val="20"/>
          <w:szCs w:val="20"/>
        </w:rPr>
        <w:t xml:space="preserve"> </w:t>
      </w:r>
      <w:r w:rsidR="00BA0CAD" w:rsidRPr="00213A5D">
        <w:rPr>
          <w:sz w:val="20"/>
          <w:szCs w:val="20"/>
        </w:rPr>
        <w:t>(млн. рублей)</w:t>
      </w:r>
    </w:p>
    <w:tbl>
      <w:tblPr>
        <w:tblW w:w="9644" w:type="dxa"/>
        <w:tblInd w:w="103" w:type="dxa"/>
        <w:tblLayout w:type="fixed"/>
        <w:tblLook w:val="04A0" w:firstRow="1" w:lastRow="0" w:firstColumn="1" w:lastColumn="0" w:noHBand="0" w:noVBand="1"/>
      </w:tblPr>
      <w:tblGrid>
        <w:gridCol w:w="1848"/>
        <w:gridCol w:w="1134"/>
        <w:gridCol w:w="851"/>
        <w:gridCol w:w="992"/>
        <w:gridCol w:w="850"/>
        <w:gridCol w:w="993"/>
        <w:gridCol w:w="850"/>
        <w:gridCol w:w="992"/>
        <w:gridCol w:w="1134"/>
      </w:tblGrid>
      <w:tr w:rsidR="00700EC1" w:rsidRPr="00213A5D" w14:paraId="3D706B18" w14:textId="77777777" w:rsidTr="00837B00">
        <w:tc>
          <w:tcPr>
            <w:tcW w:w="1848" w:type="dxa"/>
            <w:tcBorders>
              <w:top w:val="single" w:sz="4" w:space="0" w:color="auto"/>
              <w:left w:val="single" w:sz="4" w:space="0" w:color="auto"/>
              <w:bottom w:val="single" w:sz="4" w:space="0" w:color="auto"/>
              <w:right w:val="single" w:sz="4" w:space="0" w:color="auto"/>
            </w:tcBorders>
            <w:vAlign w:val="center"/>
            <w:hideMark/>
          </w:tcPr>
          <w:p w14:paraId="0B3E23D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20DCD"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Утверждено Федеральным</w:t>
            </w:r>
          </w:p>
          <w:p w14:paraId="060866BD"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законом</w:t>
            </w:r>
          </w:p>
          <w:p w14:paraId="0B5A1E68"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 390-ФЗ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B4D22AC"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 xml:space="preserve">Сводная </w:t>
            </w:r>
          </w:p>
          <w:p w14:paraId="7937DE5F"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роспись на 01.10.2022</w:t>
            </w:r>
          </w:p>
        </w:tc>
        <w:tc>
          <w:tcPr>
            <w:tcW w:w="992" w:type="dxa"/>
            <w:tcBorders>
              <w:top w:val="single" w:sz="4" w:space="0" w:color="auto"/>
              <w:left w:val="nil"/>
              <w:bottom w:val="single" w:sz="4" w:space="0" w:color="auto"/>
              <w:right w:val="single" w:sz="4" w:space="0" w:color="auto"/>
            </w:tcBorders>
            <w:vAlign w:val="center"/>
          </w:tcPr>
          <w:p w14:paraId="6F5AE40F"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Объем изменений</w:t>
            </w:r>
          </w:p>
        </w:tc>
        <w:tc>
          <w:tcPr>
            <w:tcW w:w="850" w:type="dxa"/>
            <w:tcBorders>
              <w:top w:val="single" w:sz="4" w:space="0" w:color="auto"/>
              <w:left w:val="single" w:sz="4" w:space="0" w:color="auto"/>
              <w:bottom w:val="single" w:sz="4" w:space="0" w:color="auto"/>
              <w:right w:val="single" w:sz="4" w:space="0" w:color="auto"/>
            </w:tcBorders>
            <w:vAlign w:val="center"/>
          </w:tcPr>
          <w:p w14:paraId="0CEC15E7"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 изменений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0FB89"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Кассовое исполнение на 01.10.2022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E8E8E96"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 исполне-ния  сводной росписи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00E5D6"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 к соответ-ствующему периоду прошлого года</w:t>
            </w:r>
          </w:p>
        </w:tc>
        <w:tc>
          <w:tcPr>
            <w:tcW w:w="1134" w:type="dxa"/>
            <w:tcBorders>
              <w:top w:val="single" w:sz="4" w:space="0" w:color="auto"/>
              <w:left w:val="nil"/>
              <w:bottom w:val="single" w:sz="4" w:space="0" w:color="auto"/>
              <w:right w:val="single" w:sz="4" w:space="0" w:color="auto"/>
            </w:tcBorders>
            <w:vAlign w:val="center"/>
          </w:tcPr>
          <w:p w14:paraId="637E184F"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u w:val="single"/>
              </w:rPr>
            </w:pPr>
            <w:r w:rsidRPr="00213A5D">
              <w:rPr>
                <w:rFonts w:eastAsia="Times New Roman"/>
                <w:bCs/>
                <w:sz w:val="16"/>
                <w:szCs w:val="16"/>
                <w:u w:val="single"/>
              </w:rPr>
              <w:t>Справочно:</w:t>
            </w:r>
          </w:p>
          <w:p w14:paraId="7777792B"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 исполнения  сводной росписи на 01.10.2021</w:t>
            </w:r>
          </w:p>
        </w:tc>
      </w:tr>
      <w:tr w:rsidR="00700EC1" w:rsidRPr="00213A5D" w14:paraId="592368E3"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1CC956F5"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b/>
                <w:bCs/>
                <w:sz w:val="18"/>
                <w:szCs w:val="18"/>
              </w:rPr>
            </w:pPr>
            <w:r w:rsidRPr="00213A5D">
              <w:rPr>
                <w:rFonts w:eastAsia="Times New Roman"/>
                <w:b/>
                <w:bCs/>
                <w:sz w:val="18"/>
                <w:szCs w:val="18"/>
              </w:rPr>
              <w:t>Межбюджетные трансферты (МБТ)</w:t>
            </w:r>
          </w:p>
        </w:tc>
        <w:tc>
          <w:tcPr>
            <w:tcW w:w="1134" w:type="dxa"/>
            <w:tcBorders>
              <w:top w:val="nil"/>
              <w:left w:val="nil"/>
              <w:bottom w:val="single" w:sz="4" w:space="0" w:color="auto"/>
              <w:right w:val="single" w:sz="4" w:space="0" w:color="auto"/>
            </w:tcBorders>
            <w:shd w:val="clear" w:color="auto" w:fill="auto"/>
            <w:vAlign w:val="center"/>
            <w:hideMark/>
          </w:tcPr>
          <w:p w14:paraId="7319A34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
                <w:bCs/>
                <w:sz w:val="17"/>
                <w:szCs w:val="17"/>
              </w:rPr>
            </w:pPr>
            <w:r w:rsidRPr="00213A5D">
              <w:rPr>
                <w:rFonts w:eastAsia="Times New Roman"/>
                <w:b/>
                <w:bCs/>
                <w:sz w:val="17"/>
                <w:szCs w:val="17"/>
              </w:rPr>
              <w:t>3 228 645,2</w:t>
            </w:r>
          </w:p>
        </w:tc>
        <w:tc>
          <w:tcPr>
            <w:tcW w:w="851" w:type="dxa"/>
            <w:tcBorders>
              <w:top w:val="nil"/>
              <w:left w:val="nil"/>
              <w:bottom w:val="single" w:sz="4" w:space="0" w:color="auto"/>
              <w:right w:val="single" w:sz="4" w:space="0" w:color="auto"/>
            </w:tcBorders>
            <w:shd w:val="clear" w:color="auto" w:fill="auto"/>
            <w:vAlign w:val="center"/>
            <w:hideMark/>
          </w:tcPr>
          <w:p w14:paraId="399AF148" w14:textId="77777777" w:rsidR="00700EC1" w:rsidRPr="00213A5D" w:rsidRDefault="00700EC1" w:rsidP="00837B00">
            <w:pPr>
              <w:widowControl w:val="0"/>
              <w:overflowPunct/>
              <w:autoSpaceDE/>
              <w:autoSpaceDN/>
              <w:adjustRightInd/>
              <w:spacing w:line="240" w:lineRule="auto"/>
              <w:ind w:left="0" w:right="-57" w:firstLine="0"/>
              <w:jc w:val="center"/>
              <w:textAlignment w:val="auto"/>
              <w:rPr>
                <w:rFonts w:eastAsia="Times New Roman"/>
                <w:b/>
                <w:bCs/>
                <w:sz w:val="17"/>
                <w:szCs w:val="17"/>
              </w:rPr>
            </w:pPr>
            <w:r w:rsidRPr="00213A5D">
              <w:rPr>
                <w:rFonts w:eastAsia="Times New Roman"/>
                <w:b/>
                <w:bCs/>
                <w:sz w:val="17"/>
                <w:szCs w:val="17"/>
              </w:rPr>
              <w:t>3 718 068,7</w:t>
            </w:r>
          </w:p>
        </w:tc>
        <w:tc>
          <w:tcPr>
            <w:tcW w:w="992" w:type="dxa"/>
            <w:tcBorders>
              <w:top w:val="single" w:sz="4" w:space="0" w:color="auto"/>
              <w:left w:val="nil"/>
              <w:bottom w:val="single" w:sz="4" w:space="0" w:color="auto"/>
              <w:right w:val="single" w:sz="4" w:space="0" w:color="auto"/>
            </w:tcBorders>
            <w:vAlign w:val="center"/>
          </w:tcPr>
          <w:p w14:paraId="08271A12" w14:textId="77777777" w:rsidR="00700EC1" w:rsidRPr="00213A5D" w:rsidRDefault="00700EC1" w:rsidP="00837B00">
            <w:pPr>
              <w:widowControl w:val="0"/>
              <w:overflowPunct/>
              <w:autoSpaceDE/>
              <w:autoSpaceDN/>
              <w:adjustRightInd/>
              <w:spacing w:line="240" w:lineRule="auto"/>
              <w:ind w:left="0" w:right="-57" w:firstLine="0"/>
              <w:jc w:val="center"/>
              <w:textAlignment w:val="auto"/>
              <w:rPr>
                <w:rFonts w:eastAsia="Times New Roman"/>
                <w:b/>
                <w:bCs/>
                <w:sz w:val="17"/>
                <w:szCs w:val="17"/>
              </w:rPr>
            </w:pPr>
            <w:r w:rsidRPr="00213A5D">
              <w:rPr>
                <w:rFonts w:eastAsia="Times New Roman"/>
                <w:b/>
                <w:bCs/>
                <w:sz w:val="17"/>
                <w:szCs w:val="17"/>
              </w:rPr>
              <w:t>489 423,5</w:t>
            </w:r>
          </w:p>
        </w:tc>
        <w:tc>
          <w:tcPr>
            <w:tcW w:w="850" w:type="dxa"/>
            <w:tcBorders>
              <w:top w:val="single" w:sz="4" w:space="0" w:color="auto"/>
              <w:left w:val="single" w:sz="4" w:space="0" w:color="auto"/>
              <w:bottom w:val="single" w:sz="4" w:space="0" w:color="auto"/>
              <w:right w:val="single" w:sz="4" w:space="0" w:color="auto"/>
            </w:tcBorders>
            <w:vAlign w:val="center"/>
          </w:tcPr>
          <w:p w14:paraId="5F1FDFE1" w14:textId="77777777" w:rsidR="00700EC1" w:rsidRPr="00213A5D" w:rsidRDefault="00700EC1" w:rsidP="00837B00">
            <w:pPr>
              <w:widowControl w:val="0"/>
              <w:overflowPunct/>
              <w:autoSpaceDE/>
              <w:autoSpaceDN/>
              <w:adjustRightInd/>
              <w:spacing w:line="240" w:lineRule="auto"/>
              <w:ind w:left="0" w:right="-57" w:firstLine="0"/>
              <w:jc w:val="center"/>
              <w:textAlignment w:val="auto"/>
              <w:rPr>
                <w:rFonts w:eastAsia="Times New Roman"/>
                <w:b/>
                <w:bCs/>
                <w:sz w:val="17"/>
                <w:szCs w:val="17"/>
              </w:rPr>
            </w:pPr>
            <w:r w:rsidRPr="00213A5D">
              <w:rPr>
                <w:rFonts w:eastAsia="Times New Roman"/>
                <w:b/>
                <w:bCs/>
                <w:sz w:val="17"/>
                <w:szCs w:val="17"/>
              </w:rPr>
              <w:t>115,2</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4DCB58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
                <w:bCs/>
                <w:sz w:val="17"/>
                <w:szCs w:val="17"/>
              </w:rPr>
            </w:pPr>
            <w:r w:rsidRPr="00213A5D">
              <w:rPr>
                <w:rFonts w:eastAsia="Times New Roman"/>
                <w:b/>
                <w:bCs/>
                <w:sz w:val="17"/>
                <w:szCs w:val="17"/>
              </w:rPr>
              <w:t>2 537 101,1</w:t>
            </w:r>
          </w:p>
        </w:tc>
        <w:tc>
          <w:tcPr>
            <w:tcW w:w="850" w:type="dxa"/>
            <w:tcBorders>
              <w:top w:val="nil"/>
              <w:left w:val="nil"/>
              <w:bottom w:val="single" w:sz="4" w:space="0" w:color="auto"/>
              <w:right w:val="single" w:sz="4" w:space="0" w:color="auto"/>
            </w:tcBorders>
            <w:shd w:val="clear" w:color="auto" w:fill="auto"/>
            <w:vAlign w:val="center"/>
            <w:hideMark/>
          </w:tcPr>
          <w:p w14:paraId="022D8A8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
                <w:bCs/>
                <w:sz w:val="17"/>
                <w:szCs w:val="17"/>
              </w:rPr>
            </w:pPr>
            <w:r w:rsidRPr="00213A5D">
              <w:rPr>
                <w:rFonts w:eastAsia="Times New Roman"/>
                <w:b/>
                <w:bCs/>
                <w:sz w:val="17"/>
                <w:szCs w:val="17"/>
              </w:rPr>
              <w:t>68,2</w:t>
            </w:r>
          </w:p>
        </w:tc>
        <w:tc>
          <w:tcPr>
            <w:tcW w:w="992" w:type="dxa"/>
            <w:tcBorders>
              <w:top w:val="nil"/>
              <w:left w:val="nil"/>
              <w:bottom w:val="single" w:sz="4" w:space="0" w:color="auto"/>
              <w:right w:val="single" w:sz="4" w:space="0" w:color="auto"/>
            </w:tcBorders>
            <w:shd w:val="clear" w:color="auto" w:fill="auto"/>
            <w:vAlign w:val="center"/>
            <w:hideMark/>
          </w:tcPr>
          <w:p w14:paraId="282878F8" w14:textId="77777777" w:rsidR="00700EC1" w:rsidRPr="00213A5D" w:rsidRDefault="00700EC1" w:rsidP="00987305">
            <w:pPr>
              <w:widowControl w:val="0"/>
              <w:overflowPunct/>
              <w:autoSpaceDE/>
              <w:autoSpaceDN/>
              <w:adjustRightInd/>
              <w:spacing w:line="240" w:lineRule="auto"/>
              <w:ind w:left="0" w:right="0" w:firstLine="0"/>
              <w:jc w:val="center"/>
              <w:textAlignment w:val="auto"/>
              <w:rPr>
                <w:rFonts w:eastAsia="Times New Roman"/>
                <w:b/>
                <w:bCs/>
                <w:sz w:val="17"/>
                <w:szCs w:val="17"/>
              </w:rPr>
            </w:pPr>
            <w:r w:rsidRPr="00213A5D">
              <w:rPr>
                <w:rFonts w:eastAsia="Times New Roman"/>
                <w:b/>
                <w:bCs/>
                <w:sz w:val="17"/>
                <w:szCs w:val="17"/>
              </w:rPr>
              <w:t>109</w:t>
            </w:r>
          </w:p>
        </w:tc>
        <w:tc>
          <w:tcPr>
            <w:tcW w:w="1134" w:type="dxa"/>
            <w:tcBorders>
              <w:top w:val="nil"/>
              <w:left w:val="nil"/>
              <w:bottom w:val="single" w:sz="4" w:space="0" w:color="auto"/>
              <w:right w:val="single" w:sz="4" w:space="0" w:color="auto"/>
            </w:tcBorders>
            <w:vAlign w:val="center"/>
          </w:tcPr>
          <w:p w14:paraId="33B59BB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
                <w:bCs/>
                <w:sz w:val="17"/>
                <w:szCs w:val="17"/>
              </w:rPr>
            </w:pPr>
            <w:r w:rsidRPr="00213A5D">
              <w:rPr>
                <w:rFonts w:eastAsia="Times New Roman"/>
                <w:b/>
                <w:bCs/>
                <w:sz w:val="17"/>
                <w:szCs w:val="17"/>
              </w:rPr>
              <w:t>65,8</w:t>
            </w:r>
          </w:p>
        </w:tc>
      </w:tr>
      <w:tr w:rsidR="00700EC1" w:rsidRPr="00213A5D" w14:paraId="2BB732E7"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3E7BA927"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4"/>
                <w:szCs w:val="16"/>
              </w:rPr>
            </w:pPr>
            <w:r w:rsidRPr="00213A5D">
              <w:rPr>
                <w:rFonts w:eastAsia="Times New Roman"/>
                <w:sz w:val="14"/>
                <w:szCs w:val="16"/>
              </w:rPr>
              <w:t>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29150B1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7"/>
                <w:szCs w:val="17"/>
              </w:rPr>
            </w:pPr>
          </w:p>
        </w:tc>
        <w:tc>
          <w:tcPr>
            <w:tcW w:w="851" w:type="dxa"/>
            <w:tcBorders>
              <w:top w:val="nil"/>
              <w:left w:val="nil"/>
              <w:bottom w:val="single" w:sz="4" w:space="0" w:color="auto"/>
              <w:right w:val="single" w:sz="4" w:space="0" w:color="auto"/>
            </w:tcBorders>
            <w:shd w:val="clear" w:color="auto" w:fill="auto"/>
            <w:vAlign w:val="center"/>
            <w:hideMark/>
          </w:tcPr>
          <w:p w14:paraId="27576DF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7"/>
                <w:szCs w:val="17"/>
              </w:rPr>
            </w:pPr>
          </w:p>
        </w:tc>
        <w:tc>
          <w:tcPr>
            <w:tcW w:w="992" w:type="dxa"/>
            <w:tcBorders>
              <w:top w:val="single" w:sz="4" w:space="0" w:color="auto"/>
              <w:left w:val="nil"/>
              <w:bottom w:val="single" w:sz="4" w:space="0" w:color="auto"/>
              <w:right w:val="single" w:sz="4" w:space="0" w:color="auto"/>
            </w:tcBorders>
            <w:vAlign w:val="center"/>
          </w:tcPr>
          <w:p w14:paraId="602252D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7"/>
                <w:szCs w:val="17"/>
              </w:rPr>
            </w:pPr>
          </w:p>
        </w:tc>
        <w:tc>
          <w:tcPr>
            <w:tcW w:w="850" w:type="dxa"/>
            <w:tcBorders>
              <w:top w:val="single" w:sz="4" w:space="0" w:color="auto"/>
              <w:left w:val="single" w:sz="4" w:space="0" w:color="auto"/>
              <w:bottom w:val="single" w:sz="4" w:space="0" w:color="auto"/>
              <w:right w:val="single" w:sz="4" w:space="0" w:color="auto"/>
            </w:tcBorders>
          </w:tcPr>
          <w:p w14:paraId="1FD06E6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7"/>
                <w:szCs w:val="17"/>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A2821A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7"/>
                <w:szCs w:val="17"/>
              </w:rPr>
            </w:pPr>
          </w:p>
        </w:tc>
        <w:tc>
          <w:tcPr>
            <w:tcW w:w="850" w:type="dxa"/>
            <w:tcBorders>
              <w:top w:val="nil"/>
              <w:left w:val="nil"/>
              <w:bottom w:val="single" w:sz="4" w:space="0" w:color="auto"/>
              <w:right w:val="single" w:sz="4" w:space="0" w:color="auto"/>
            </w:tcBorders>
            <w:shd w:val="clear" w:color="auto" w:fill="auto"/>
            <w:vAlign w:val="center"/>
            <w:hideMark/>
          </w:tcPr>
          <w:p w14:paraId="10A02BB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7"/>
                <w:szCs w:val="17"/>
              </w:rPr>
            </w:pPr>
          </w:p>
        </w:tc>
        <w:tc>
          <w:tcPr>
            <w:tcW w:w="992" w:type="dxa"/>
            <w:tcBorders>
              <w:top w:val="nil"/>
              <w:left w:val="nil"/>
              <w:bottom w:val="single" w:sz="4" w:space="0" w:color="auto"/>
              <w:right w:val="single" w:sz="4" w:space="0" w:color="auto"/>
            </w:tcBorders>
            <w:shd w:val="clear" w:color="auto" w:fill="auto"/>
            <w:vAlign w:val="center"/>
            <w:hideMark/>
          </w:tcPr>
          <w:p w14:paraId="6BBA8EE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7"/>
                <w:szCs w:val="17"/>
              </w:rPr>
            </w:pPr>
          </w:p>
        </w:tc>
        <w:tc>
          <w:tcPr>
            <w:tcW w:w="1134" w:type="dxa"/>
            <w:tcBorders>
              <w:top w:val="nil"/>
              <w:left w:val="nil"/>
              <w:bottom w:val="single" w:sz="4" w:space="0" w:color="auto"/>
              <w:right w:val="single" w:sz="4" w:space="0" w:color="auto"/>
            </w:tcBorders>
            <w:vAlign w:val="center"/>
          </w:tcPr>
          <w:p w14:paraId="6F0847C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7"/>
                <w:szCs w:val="17"/>
              </w:rPr>
            </w:pPr>
          </w:p>
        </w:tc>
      </w:tr>
      <w:tr w:rsidR="00700EC1" w:rsidRPr="00213A5D" w14:paraId="684083A5"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2E28A102"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bCs/>
                <w:sz w:val="18"/>
                <w:szCs w:val="18"/>
              </w:rPr>
            </w:pPr>
            <w:r w:rsidRPr="00213A5D">
              <w:rPr>
                <w:rFonts w:eastAsia="Times New Roman"/>
                <w:bCs/>
                <w:sz w:val="18"/>
                <w:szCs w:val="18"/>
              </w:rPr>
              <w:t>Дотации</w:t>
            </w:r>
          </w:p>
        </w:tc>
        <w:tc>
          <w:tcPr>
            <w:tcW w:w="1134" w:type="dxa"/>
            <w:tcBorders>
              <w:top w:val="nil"/>
              <w:left w:val="nil"/>
              <w:bottom w:val="single" w:sz="4" w:space="0" w:color="auto"/>
              <w:right w:val="single" w:sz="4" w:space="0" w:color="auto"/>
            </w:tcBorders>
            <w:shd w:val="clear" w:color="auto" w:fill="auto"/>
            <w:vAlign w:val="center"/>
            <w:hideMark/>
          </w:tcPr>
          <w:p w14:paraId="67B5A27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957 375,5</w:t>
            </w:r>
          </w:p>
        </w:tc>
        <w:tc>
          <w:tcPr>
            <w:tcW w:w="851" w:type="dxa"/>
            <w:tcBorders>
              <w:top w:val="nil"/>
              <w:left w:val="nil"/>
              <w:bottom w:val="single" w:sz="4" w:space="0" w:color="auto"/>
              <w:right w:val="single" w:sz="4" w:space="0" w:color="auto"/>
            </w:tcBorders>
            <w:shd w:val="clear" w:color="auto" w:fill="auto"/>
            <w:vAlign w:val="center"/>
            <w:hideMark/>
          </w:tcPr>
          <w:p w14:paraId="3E25A54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970 168,2</w:t>
            </w:r>
          </w:p>
        </w:tc>
        <w:tc>
          <w:tcPr>
            <w:tcW w:w="992" w:type="dxa"/>
            <w:tcBorders>
              <w:top w:val="single" w:sz="4" w:space="0" w:color="auto"/>
              <w:left w:val="nil"/>
              <w:bottom w:val="single" w:sz="4" w:space="0" w:color="auto"/>
              <w:right w:val="single" w:sz="4" w:space="0" w:color="auto"/>
            </w:tcBorders>
            <w:vAlign w:val="center"/>
          </w:tcPr>
          <w:p w14:paraId="4542D25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12 792,7</w:t>
            </w:r>
          </w:p>
        </w:tc>
        <w:tc>
          <w:tcPr>
            <w:tcW w:w="850" w:type="dxa"/>
            <w:tcBorders>
              <w:top w:val="single" w:sz="4" w:space="0" w:color="auto"/>
              <w:left w:val="single" w:sz="4" w:space="0" w:color="auto"/>
              <w:bottom w:val="single" w:sz="4" w:space="0" w:color="auto"/>
              <w:right w:val="single" w:sz="4" w:space="0" w:color="auto"/>
            </w:tcBorders>
            <w:vAlign w:val="center"/>
          </w:tcPr>
          <w:p w14:paraId="2F8D026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101,3</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FA1908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739 473,8</w:t>
            </w:r>
          </w:p>
        </w:tc>
        <w:tc>
          <w:tcPr>
            <w:tcW w:w="850" w:type="dxa"/>
            <w:tcBorders>
              <w:top w:val="nil"/>
              <w:left w:val="nil"/>
              <w:bottom w:val="single" w:sz="4" w:space="0" w:color="auto"/>
              <w:right w:val="single" w:sz="4" w:space="0" w:color="auto"/>
            </w:tcBorders>
            <w:shd w:val="clear" w:color="auto" w:fill="auto"/>
            <w:vAlign w:val="center"/>
            <w:hideMark/>
          </w:tcPr>
          <w:p w14:paraId="0432F2A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76,2</w:t>
            </w:r>
          </w:p>
        </w:tc>
        <w:tc>
          <w:tcPr>
            <w:tcW w:w="992" w:type="dxa"/>
            <w:tcBorders>
              <w:top w:val="nil"/>
              <w:left w:val="nil"/>
              <w:bottom w:val="single" w:sz="4" w:space="0" w:color="auto"/>
              <w:right w:val="single" w:sz="4" w:space="0" w:color="auto"/>
            </w:tcBorders>
            <w:shd w:val="clear" w:color="auto" w:fill="auto"/>
            <w:vAlign w:val="center"/>
            <w:hideMark/>
          </w:tcPr>
          <w:p w14:paraId="31938F1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100,3</w:t>
            </w:r>
          </w:p>
        </w:tc>
        <w:tc>
          <w:tcPr>
            <w:tcW w:w="1134" w:type="dxa"/>
            <w:tcBorders>
              <w:top w:val="nil"/>
              <w:left w:val="nil"/>
              <w:bottom w:val="single" w:sz="4" w:space="0" w:color="auto"/>
              <w:right w:val="single" w:sz="4" w:space="0" w:color="auto"/>
            </w:tcBorders>
            <w:vAlign w:val="center"/>
          </w:tcPr>
          <w:p w14:paraId="04E5357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73,3</w:t>
            </w:r>
          </w:p>
        </w:tc>
      </w:tr>
      <w:tr w:rsidR="00700EC1" w:rsidRPr="00213A5D" w14:paraId="06E12A3A"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0E074F59"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4"/>
                <w:szCs w:val="14"/>
              </w:rPr>
            </w:pPr>
            <w:r w:rsidRPr="00213A5D">
              <w:rPr>
                <w:rFonts w:eastAsia="Times New Roman"/>
                <w:sz w:val="14"/>
                <w:szCs w:val="14"/>
              </w:rPr>
              <w:t>доля в общем объеме МБТ</w:t>
            </w:r>
          </w:p>
        </w:tc>
        <w:tc>
          <w:tcPr>
            <w:tcW w:w="1134" w:type="dxa"/>
            <w:tcBorders>
              <w:top w:val="nil"/>
              <w:left w:val="nil"/>
              <w:bottom w:val="single" w:sz="4" w:space="0" w:color="auto"/>
              <w:right w:val="single" w:sz="4" w:space="0" w:color="auto"/>
            </w:tcBorders>
            <w:shd w:val="clear" w:color="auto" w:fill="auto"/>
            <w:vAlign w:val="center"/>
            <w:hideMark/>
          </w:tcPr>
          <w:p w14:paraId="497BCD3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29,7</w:t>
            </w:r>
          </w:p>
        </w:tc>
        <w:tc>
          <w:tcPr>
            <w:tcW w:w="851" w:type="dxa"/>
            <w:tcBorders>
              <w:top w:val="nil"/>
              <w:left w:val="nil"/>
              <w:bottom w:val="single" w:sz="4" w:space="0" w:color="auto"/>
              <w:right w:val="single" w:sz="4" w:space="0" w:color="auto"/>
            </w:tcBorders>
            <w:shd w:val="clear" w:color="auto" w:fill="auto"/>
            <w:vAlign w:val="center"/>
            <w:hideMark/>
          </w:tcPr>
          <w:p w14:paraId="2D7CA68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26,1</w:t>
            </w:r>
          </w:p>
        </w:tc>
        <w:tc>
          <w:tcPr>
            <w:tcW w:w="992" w:type="dxa"/>
            <w:tcBorders>
              <w:top w:val="single" w:sz="4" w:space="0" w:color="auto"/>
              <w:left w:val="nil"/>
              <w:bottom w:val="single" w:sz="4" w:space="0" w:color="auto"/>
              <w:right w:val="single" w:sz="4" w:space="0" w:color="auto"/>
            </w:tcBorders>
            <w:vAlign w:val="center"/>
          </w:tcPr>
          <w:p w14:paraId="220E347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FF400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C48FA80"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29,1</w:t>
            </w:r>
          </w:p>
        </w:tc>
        <w:tc>
          <w:tcPr>
            <w:tcW w:w="850" w:type="dxa"/>
            <w:tcBorders>
              <w:top w:val="nil"/>
              <w:left w:val="nil"/>
              <w:bottom w:val="single" w:sz="4" w:space="0" w:color="auto"/>
              <w:right w:val="single" w:sz="4" w:space="0" w:color="auto"/>
            </w:tcBorders>
            <w:shd w:val="clear" w:color="auto" w:fill="auto"/>
            <w:vAlign w:val="center"/>
            <w:hideMark/>
          </w:tcPr>
          <w:p w14:paraId="16BF012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14:paraId="389C0A5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c>
          <w:tcPr>
            <w:tcW w:w="1134" w:type="dxa"/>
            <w:tcBorders>
              <w:top w:val="nil"/>
              <w:left w:val="nil"/>
              <w:bottom w:val="single" w:sz="4" w:space="0" w:color="auto"/>
              <w:right w:val="single" w:sz="4" w:space="0" w:color="auto"/>
            </w:tcBorders>
            <w:vAlign w:val="center"/>
          </w:tcPr>
          <w:p w14:paraId="5546596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r>
      <w:tr w:rsidR="00700EC1" w:rsidRPr="00213A5D" w14:paraId="14DA5162"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071DAA12"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bCs/>
                <w:sz w:val="18"/>
                <w:szCs w:val="18"/>
              </w:rPr>
            </w:pPr>
            <w:r w:rsidRPr="00213A5D">
              <w:rPr>
                <w:rFonts w:eastAsia="Times New Roman"/>
                <w:bCs/>
                <w:sz w:val="18"/>
                <w:szCs w:val="18"/>
              </w:rPr>
              <w:t>Субсидии</w:t>
            </w:r>
          </w:p>
        </w:tc>
        <w:tc>
          <w:tcPr>
            <w:tcW w:w="1134" w:type="dxa"/>
            <w:tcBorders>
              <w:top w:val="nil"/>
              <w:left w:val="nil"/>
              <w:bottom w:val="single" w:sz="4" w:space="0" w:color="auto"/>
              <w:right w:val="single" w:sz="4" w:space="0" w:color="auto"/>
            </w:tcBorders>
            <w:shd w:val="clear" w:color="auto" w:fill="auto"/>
            <w:vAlign w:val="center"/>
            <w:hideMark/>
          </w:tcPr>
          <w:p w14:paraId="1812347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1 398 886,3</w:t>
            </w:r>
          </w:p>
        </w:tc>
        <w:tc>
          <w:tcPr>
            <w:tcW w:w="851" w:type="dxa"/>
            <w:tcBorders>
              <w:top w:val="nil"/>
              <w:left w:val="nil"/>
              <w:bottom w:val="single" w:sz="4" w:space="0" w:color="auto"/>
              <w:right w:val="single" w:sz="4" w:space="0" w:color="auto"/>
            </w:tcBorders>
            <w:shd w:val="clear" w:color="auto" w:fill="auto"/>
            <w:vAlign w:val="center"/>
            <w:hideMark/>
          </w:tcPr>
          <w:p w14:paraId="0D731DA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1 638 908,6</w:t>
            </w:r>
          </w:p>
        </w:tc>
        <w:tc>
          <w:tcPr>
            <w:tcW w:w="992" w:type="dxa"/>
            <w:tcBorders>
              <w:top w:val="single" w:sz="4" w:space="0" w:color="auto"/>
              <w:left w:val="nil"/>
              <w:bottom w:val="single" w:sz="4" w:space="0" w:color="auto"/>
              <w:right w:val="single" w:sz="4" w:space="0" w:color="auto"/>
            </w:tcBorders>
            <w:vAlign w:val="center"/>
          </w:tcPr>
          <w:p w14:paraId="144595DE"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240 022,2</w:t>
            </w:r>
          </w:p>
        </w:tc>
        <w:tc>
          <w:tcPr>
            <w:tcW w:w="850" w:type="dxa"/>
            <w:tcBorders>
              <w:top w:val="single" w:sz="4" w:space="0" w:color="auto"/>
              <w:left w:val="single" w:sz="4" w:space="0" w:color="auto"/>
              <w:bottom w:val="single" w:sz="4" w:space="0" w:color="auto"/>
              <w:right w:val="single" w:sz="4" w:space="0" w:color="auto"/>
            </w:tcBorders>
            <w:vAlign w:val="center"/>
          </w:tcPr>
          <w:p w14:paraId="4C93255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117,2</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40C3D3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1 071 296,1</w:t>
            </w:r>
          </w:p>
        </w:tc>
        <w:tc>
          <w:tcPr>
            <w:tcW w:w="850" w:type="dxa"/>
            <w:tcBorders>
              <w:top w:val="nil"/>
              <w:left w:val="nil"/>
              <w:bottom w:val="single" w:sz="4" w:space="0" w:color="auto"/>
              <w:right w:val="single" w:sz="4" w:space="0" w:color="auto"/>
            </w:tcBorders>
            <w:shd w:val="clear" w:color="auto" w:fill="auto"/>
            <w:vAlign w:val="center"/>
            <w:hideMark/>
          </w:tcPr>
          <w:p w14:paraId="2495532E"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65,4</w:t>
            </w:r>
          </w:p>
        </w:tc>
        <w:tc>
          <w:tcPr>
            <w:tcW w:w="992" w:type="dxa"/>
            <w:tcBorders>
              <w:top w:val="nil"/>
              <w:left w:val="nil"/>
              <w:bottom w:val="single" w:sz="4" w:space="0" w:color="auto"/>
              <w:right w:val="single" w:sz="4" w:space="0" w:color="auto"/>
            </w:tcBorders>
            <w:shd w:val="clear" w:color="auto" w:fill="auto"/>
            <w:vAlign w:val="center"/>
            <w:hideMark/>
          </w:tcPr>
          <w:p w14:paraId="0FA4CA4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147,4</w:t>
            </w:r>
          </w:p>
        </w:tc>
        <w:tc>
          <w:tcPr>
            <w:tcW w:w="1134" w:type="dxa"/>
            <w:tcBorders>
              <w:top w:val="nil"/>
              <w:left w:val="nil"/>
              <w:bottom w:val="single" w:sz="4" w:space="0" w:color="auto"/>
              <w:right w:val="single" w:sz="4" w:space="0" w:color="auto"/>
            </w:tcBorders>
            <w:vAlign w:val="center"/>
          </w:tcPr>
          <w:p w14:paraId="3FF0D2F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57,9</w:t>
            </w:r>
          </w:p>
        </w:tc>
      </w:tr>
      <w:tr w:rsidR="00700EC1" w:rsidRPr="00213A5D" w14:paraId="1EEB596D"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1670D58D"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4"/>
                <w:szCs w:val="14"/>
              </w:rPr>
            </w:pPr>
            <w:r w:rsidRPr="00213A5D">
              <w:rPr>
                <w:rFonts w:eastAsia="Times New Roman"/>
                <w:sz w:val="14"/>
                <w:szCs w:val="14"/>
              </w:rPr>
              <w:t>доля в общем объеме МБТ</w:t>
            </w:r>
          </w:p>
        </w:tc>
        <w:tc>
          <w:tcPr>
            <w:tcW w:w="1134" w:type="dxa"/>
            <w:tcBorders>
              <w:top w:val="nil"/>
              <w:left w:val="nil"/>
              <w:bottom w:val="single" w:sz="4" w:space="0" w:color="auto"/>
              <w:right w:val="single" w:sz="4" w:space="0" w:color="auto"/>
            </w:tcBorders>
            <w:shd w:val="clear" w:color="auto" w:fill="auto"/>
            <w:vAlign w:val="center"/>
            <w:hideMark/>
          </w:tcPr>
          <w:p w14:paraId="01BD3780"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43,3</w:t>
            </w:r>
          </w:p>
        </w:tc>
        <w:tc>
          <w:tcPr>
            <w:tcW w:w="851" w:type="dxa"/>
            <w:tcBorders>
              <w:top w:val="nil"/>
              <w:left w:val="nil"/>
              <w:bottom w:val="single" w:sz="4" w:space="0" w:color="auto"/>
              <w:right w:val="single" w:sz="4" w:space="0" w:color="auto"/>
            </w:tcBorders>
            <w:shd w:val="clear" w:color="auto" w:fill="auto"/>
            <w:vAlign w:val="center"/>
            <w:hideMark/>
          </w:tcPr>
          <w:p w14:paraId="5306E29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44,1</w:t>
            </w:r>
          </w:p>
        </w:tc>
        <w:tc>
          <w:tcPr>
            <w:tcW w:w="992" w:type="dxa"/>
            <w:tcBorders>
              <w:top w:val="single" w:sz="4" w:space="0" w:color="auto"/>
              <w:left w:val="nil"/>
              <w:bottom w:val="single" w:sz="4" w:space="0" w:color="auto"/>
              <w:right w:val="single" w:sz="4" w:space="0" w:color="auto"/>
            </w:tcBorders>
            <w:vAlign w:val="center"/>
          </w:tcPr>
          <w:p w14:paraId="4A2FCAC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83BBF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6CED3F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42,2</w:t>
            </w:r>
          </w:p>
        </w:tc>
        <w:tc>
          <w:tcPr>
            <w:tcW w:w="850" w:type="dxa"/>
            <w:tcBorders>
              <w:top w:val="nil"/>
              <w:left w:val="nil"/>
              <w:bottom w:val="single" w:sz="4" w:space="0" w:color="auto"/>
              <w:right w:val="single" w:sz="4" w:space="0" w:color="auto"/>
            </w:tcBorders>
            <w:shd w:val="clear" w:color="auto" w:fill="auto"/>
            <w:vAlign w:val="center"/>
            <w:hideMark/>
          </w:tcPr>
          <w:p w14:paraId="67A761E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14:paraId="1B63E8A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c>
          <w:tcPr>
            <w:tcW w:w="1134" w:type="dxa"/>
            <w:tcBorders>
              <w:top w:val="nil"/>
              <w:left w:val="nil"/>
              <w:bottom w:val="single" w:sz="4" w:space="0" w:color="auto"/>
              <w:right w:val="single" w:sz="4" w:space="0" w:color="auto"/>
            </w:tcBorders>
            <w:vAlign w:val="center"/>
          </w:tcPr>
          <w:p w14:paraId="62E24E8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r>
      <w:tr w:rsidR="00700EC1" w:rsidRPr="00213A5D" w14:paraId="168BA18A"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45D26FE8"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bCs/>
                <w:sz w:val="18"/>
                <w:szCs w:val="18"/>
              </w:rPr>
            </w:pPr>
            <w:r w:rsidRPr="00213A5D">
              <w:rPr>
                <w:rFonts w:eastAsia="Times New Roman"/>
                <w:bCs/>
                <w:sz w:val="18"/>
                <w:szCs w:val="18"/>
              </w:rPr>
              <w:t>Субвенции</w:t>
            </w:r>
          </w:p>
        </w:tc>
        <w:tc>
          <w:tcPr>
            <w:tcW w:w="1134" w:type="dxa"/>
            <w:tcBorders>
              <w:top w:val="nil"/>
              <w:left w:val="nil"/>
              <w:bottom w:val="single" w:sz="4" w:space="0" w:color="auto"/>
              <w:right w:val="single" w:sz="4" w:space="0" w:color="auto"/>
            </w:tcBorders>
            <w:shd w:val="clear" w:color="auto" w:fill="auto"/>
            <w:vAlign w:val="center"/>
            <w:hideMark/>
          </w:tcPr>
          <w:p w14:paraId="351BF1C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451 223,4</w:t>
            </w:r>
          </w:p>
        </w:tc>
        <w:tc>
          <w:tcPr>
            <w:tcW w:w="851" w:type="dxa"/>
            <w:tcBorders>
              <w:top w:val="nil"/>
              <w:left w:val="nil"/>
              <w:bottom w:val="single" w:sz="4" w:space="0" w:color="auto"/>
              <w:right w:val="single" w:sz="4" w:space="0" w:color="auto"/>
            </w:tcBorders>
            <w:shd w:val="clear" w:color="auto" w:fill="auto"/>
            <w:vAlign w:val="center"/>
            <w:hideMark/>
          </w:tcPr>
          <w:p w14:paraId="0C17E2C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452 358,9</w:t>
            </w:r>
          </w:p>
        </w:tc>
        <w:tc>
          <w:tcPr>
            <w:tcW w:w="992" w:type="dxa"/>
            <w:tcBorders>
              <w:top w:val="single" w:sz="4" w:space="0" w:color="auto"/>
              <w:left w:val="nil"/>
              <w:bottom w:val="single" w:sz="4" w:space="0" w:color="auto"/>
              <w:right w:val="single" w:sz="4" w:space="0" w:color="auto"/>
            </w:tcBorders>
            <w:vAlign w:val="center"/>
          </w:tcPr>
          <w:p w14:paraId="0B637A3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1 135,5</w:t>
            </w:r>
          </w:p>
        </w:tc>
        <w:tc>
          <w:tcPr>
            <w:tcW w:w="850" w:type="dxa"/>
            <w:tcBorders>
              <w:top w:val="single" w:sz="4" w:space="0" w:color="auto"/>
              <w:left w:val="single" w:sz="4" w:space="0" w:color="auto"/>
              <w:bottom w:val="single" w:sz="4" w:space="0" w:color="auto"/>
              <w:right w:val="single" w:sz="4" w:space="0" w:color="auto"/>
            </w:tcBorders>
            <w:vAlign w:val="center"/>
          </w:tcPr>
          <w:p w14:paraId="0254FB0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100,3</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112F345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319 337,3</w:t>
            </w:r>
          </w:p>
        </w:tc>
        <w:tc>
          <w:tcPr>
            <w:tcW w:w="850" w:type="dxa"/>
            <w:tcBorders>
              <w:top w:val="nil"/>
              <w:left w:val="nil"/>
              <w:bottom w:val="single" w:sz="4" w:space="0" w:color="auto"/>
              <w:right w:val="single" w:sz="4" w:space="0" w:color="auto"/>
            </w:tcBorders>
            <w:shd w:val="clear" w:color="auto" w:fill="auto"/>
            <w:vAlign w:val="center"/>
            <w:hideMark/>
          </w:tcPr>
          <w:p w14:paraId="5AF74CD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70,6</w:t>
            </w:r>
          </w:p>
        </w:tc>
        <w:tc>
          <w:tcPr>
            <w:tcW w:w="992" w:type="dxa"/>
            <w:tcBorders>
              <w:top w:val="nil"/>
              <w:left w:val="nil"/>
              <w:bottom w:val="single" w:sz="4" w:space="0" w:color="auto"/>
              <w:right w:val="single" w:sz="4" w:space="0" w:color="auto"/>
            </w:tcBorders>
            <w:shd w:val="clear" w:color="auto" w:fill="auto"/>
            <w:vAlign w:val="center"/>
            <w:hideMark/>
          </w:tcPr>
          <w:p w14:paraId="5C4C9CA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81,3</w:t>
            </w:r>
          </w:p>
        </w:tc>
        <w:tc>
          <w:tcPr>
            <w:tcW w:w="1134" w:type="dxa"/>
            <w:tcBorders>
              <w:top w:val="nil"/>
              <w:left w:val="nil"/>
              <w:bottom w:val="single" w:sz="4" w:space="0" w:color="auto"/>
              <w:right w:val="single" w:sz="4" w:space="0" w:color="auto"/>
            </w:tcBorders>
            <w:vAlign w:val="center"/>
          </w:tcPr>
          <w:p w14:paraId="0223128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71,3</w:t>
            </w:r>
          </w:p>
        </w:tc>
      </w:tr>
      <w:tr w:rsidR="00700EC1" w:rsidRPr="00213A5D" w14:paraId="644AC0AA"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05C0D759"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4"/>
                <w:szCs w:val="14"/>
              </w:rPr>
            </w:pPr>
            <w:r w:rsidRPr="00213A5D">
              <w:rPr>
                <w:rFonts w:eastAsia="Times New Roman"/>
                <w:sz w:val="14"/>
                <w:szCs w:val="14"/>
              </w:rPr>
              <w:t>доля в общем объеме МБТ</w:t>
            </w:r>
          </w:p>
        </w:tc>
        <w:tc>
          <w:tcPr>
            <w:tcW w:w="1134" w:type="dxa"/>
            <w:tcBorders>
              <w:top w:val="nil"/>
              <w:left w:val="nil"/>
              <w:bottom w:val="single" w:sz="4" w:space="0" w:color="auto"/>
              <w:right w:val="single" w:sz="4" w:space="0" w:color="auto"/>
            </w:tcBorders>
            <w:shd w:val="clear" w:color="auto" w:fill="auto"/>
            <w:vAlign w:val="center"/>
            <w:hideMark/>
          </w:tcPr>
          <w:p w14:paraId="52121BE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14,0</w:t>
            </w:r>
          </w:p>
        </w:tc>
        <w:tc>
          <w:tcPr>
            <w:tcW w:w="851" w:type="dxa"/>
            <w:tcBorders>
              <w:top w:val="nil"/>
              <w:left w:val="nil"/>
              <w:bottom w:val="single" w:sz="4" w:space="0" w:color="auto"/>
              <w:right w:val="single" w:sz="4" w:space="0" w:color="auto"/>
            </w:tcBorders>
            <w:shd w:val="clear" w:color="auto" w:fill="auto"/>
            <w:vAlign w:val="center"/>
            <w:hideMark/>
          </w:tcPr>
          <w:p w14:paraId="1BC4DA43"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12,2</w:t>
            </w:r>
          </w:p>
        </w:tc>
        <w:tc>
          <w:tcPr>
            <w:tcW w:w="992" w:type="dxa"/>
            <w:tcBorders>
              <w:top w:val="single" w:sz="4" w:space="0" w:color="auto"/>
              <w:left w:val="nil"/>
              <w:bottom w:val="single" w:sz="4" w:space="0" w:color="auto"/>
              <w:right w:val="single" w:sz="4" w:space="0" w:color="auto"/>
            </w:tcBorders>
            <w:vAlign w:val="center"/>
          </w:tcPr>
          <w:p w14:paraId="69F60D6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F6D638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428F87C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12,6</w:t>
            </w:r>
          </w:p>
        </w:tc>
        <w:tc>
          <w:tcPr>
            <w:tcW w:w="850" w:type="dxa"/>
            <w:tcBorders>
              <w:top w:val="nil"/>
              <w:left w:val="nil"/>
              <w:bottom w:val="single" w:sz="4" w:space="0" w:color="auto"/>
              <w:right w:val="single" w:sz="4" w:space="0" w:color="auto"/>
            </w:tcBorders>
            <w:shd w:val="clear" w:color="auto" w:fill="auto"/>
            <w:vAlign w:val="center"/>
            <w:hideMark/>
          </w:tcPr>
          <w:p w14:paraId="1758F2C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14:paraId="4A667E1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c>
          <w:tcPr>
            <w:tcW w:w="1134" w:type="dxa"/>
            <w:tcBorders>
              <w:top w:val="nil"/>
              <w:left w:val="nil"/>
              <w:bottom w:val="single" w:sz="4" w:space="0" w:color="auto"/>
              <w:right w:val="single" w:sz="4" w:space="0" w:color="auto"/>
            </w:tcBorders>
            <w:vAlign w:val="center"/>
          </w:tcPr>
          <w:p w14:paraId="58FFB18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p>
        </w:tc>
      </w:tr>
      <w:tr w:rsidR="00700EC1" w:rsidRPr="00213A5D" w14:paraId="1A324585"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22CE292E"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bCs/>
                <w:sz w:val="18"/>
                <w:szCs w:val="18"/>
              </w:rPr>
            </w:pPr>
            <w:r w:rsidRPr="00213A5D">
              <w:rPr>
                <w:rFonts w:eastAsia="Times New Roman"/>
                <w:bCs/>
                <w:sz w:val="18"/>
                <w:szCs w:val="18"/>
              </w:rPr>
              <w:t>Иные межбюджетные трансферты</w:t>
            </w:r>
          </w:p>
        </w:tc>
        <w:tc>
          <w:tcPr>
            <w:tcW w:w="1134" w:type="dxa"/>
            <w:tcBorders>
              <w:top w:val="nil"/>
              <w:left w:val="nil"/>
              <w:bottom w:val="single" w:sz="4" w:space="0" w:color="auto"/>
              <w:right w:val="single" w:sz="4" w:space="0" w:color="auto"/>
            </w:tcBorders>
            <w:shd w:val="clear" w:color="auto" w:fill="auto"/>
            <w:vAlign w:val="center"/>
            <w:hideMark/>
          </w:tcPr>
          <w:p w14:paraId="5A0E810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421 159,9</w:t>
            </w:r>
          </w:p>
        </w:tc>
        <w:tc>
          <w:tcPr>
            <w:tcW w:w="851" w:type="dxa"/>
            <w:tcBorders>
              <w:top w:val="nil"/>
              <w:left w:val="nil"/>
              <w:bottom w:val="single" w:sz="4" w:space="0" w:color="auto"/>
              <w:right w:val="single" w:sz="4" w:space="0" w:color="auto"/>
            </w:tcBorders>
            <w:shd w:val="clear" w:color="auto" w:fill="auto"/>
            <w:vAlign w:val="center"/>
            <w:hideMark/>
          </w:tcPr>
          <w:p w14:paraId="79780583"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656 633,0</w:t>
            </w:r>
          </w:p>
        </w:tc>
        <w:tc>
          <w:tcPr>
            <w:tcW w:w="992" w:type="dxa"/>
            <w:tcBorders>
              <w:top w:val="single" w:sz="4" w:space="0" w:color="auto"/>
              <w:left w:val="nil"/>
              <w:bottom w:val="single" w:sz="4" w:space="0" w:color="auto"/>
              <w:right w:val="single" w:sz="4" w:space="0" w:color="auto"/>
            </w:tcBorders>
            <w:vAlign w:val="center"/>
          </w:tcPr>
          <w:p w14:paraId="0C785FF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235 473,1</w:t>
            </w:r>
          </w:p>
        </w:tc>
        <w:tc>
          <w:tcPr>
            <w:tcW w:w="850" w:type="dxa"/>
            <w:tcBorders>
              <w:top w:val="single" w:sz="4" w:space="0" w:color="auto"/>
              <w:left w:val="single" w:sz="4" w:space="0" w:color="auto"/>
              <w:bottom w:val="single" w:sz="4" w:space="0" w:color="auto"/>
              <w:right w:val="single" w:sz="4" w:space="0" w:color="auto"/>
            </w:tcBorders>
            <w:vAlign w:val="center"/>
          </w:tcPr>
          <w:p w14:paraId="010727E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155,9</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A91BAB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406 993,9</w:t>
            </w:r>
          </w:p>
        </w:tc>
        <w:tc>
          <w:tcPr>
            <w:tcW w:w="850" w:type="dxa"/>
            <w:tcBorders>
              <w:top w:val="nil"/>
              <w:left w:val="nil"/>
              <w:bottom w:val="single" w:sz="4" w:space="0" w:color="auto"/>
              <w:right w:val="single" w:sz="4" w:space="0" w:color="auto"/>
            </w:tcBorders>
            <w:shd w:val="clear" w:color="auto" w:fill="auto"/>
            <w:vAlign w:val="center"/>
            <w:hideMark/>
          </w:tcPr>
          <w:p w14:paraId="13B46EAD" w14:textId="77777777" w:rsidR="00700EC1" w:rsidRPr="00213A5D" w:rsidRDefault="00700EC1" w:rsidP="00987305">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62</w:t>
            </w:r>
          </w:p>
        </w:tc>
        <w:tc>
          <w:tcPr>
            <w:tcW w:w="992" w:type="dxa"/>
            <w:tcBorders>
              <w:top w:val="nil"/>
              <w:left w:val="nil"/>
              <w:bottom w:val="single" w:sz="4" w:space="0" w:color="auto"/>
              <w:right w:val="single" w:sz="4" w:space="0" w:color="auto"/>
            </w:tcBorders>
            <w:shd w:val="clear" w:color="auto" w:fill="auto"/>
            <w:vAlign w:val="center"/>
            <w:hideMark/>
          </w:tcPr>
          <w:p w14:paraId="0C06955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86,6</w:t>
            </w:r>
          </w:p>
        </w:tc>
        <w:tc>
          <w:tcPr>
            <w:tcW w:w="1134" w:type="dxa"/>
            <w:tcBorders>
              <w:top w:val="nil"/>
              <w:left w:val="nil"/>
              <w:bottom w:val="single" w:sz="4" w:space="0" w:color="auto"/>
              <w:right w:val="single" w:sz="4" w:space="0" w:color="auto"/>
            </w:tcBorders>
            <w:vAlign w:val="center"/>
          </w:tcPr>
          <w:p w14:paraId="739AF19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64,9</w:t>
            </w:r>
          </w:p>
        </w:tc>
      </w:tr>
      <w:tr w:rsidR="00700EC1" w:rsidRPr="00213A5D" w14:paraId="1CACCEBB" w14:textId="77777777" w:rsidTr="00837B00">
        <w:tc>
          <w:tcPr>
            <w:tcW w:w="1848" w:type="dxa"/>
            <w:tcBorders>
              <w:top w:val="nil"/>
              <w:left w:val="single" w:sz="4" w:space="0" w:color="auto"/>
              <w:bottom w:val="single" w:sz="4" w:space="0" w:color="auto"/>
              <w:right w:val="single" w:sz="4" w:space="0" w:color="auto"/>
            </w:tcBorders>
            <w:shd w:val="clear" w:color="auto" w:fill="auto"/>
            <w:vAlign w:val="center"/>
            <w:hideMark/>
          </w:tcPr>
          <w:p w14:paraId="15A1C886"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4"/>
                <w:szCs w:val="14"/>
              </w:rPr>
            </w:pPr>
            <w:r w:rsidRPr="00213A5D">
              <w:rPr>
                <w:rFonts w:eastAsia="Times New Roman"/>
                <w:sz w:val="14"/>
                <w:szCs w:val="14"/>
              </w:rPr>
              <w:t>доля в общем объеме МБТ</w:t>
            </w:r>
          </w:p>
        </w:tc>
        <w:tc>
          <w:tcPr>
            <w:tcW w:w="1134" w:type="dxa"/>
            <w:tcBorders>
              <w:top w:val="nil"/>
              <w:left w:val="nil"/>
              <w:bottom w:val="single" w:sz="4" w:space="0" w:color="auto"/>
              <w:right w:val="single" w:sz="4" w:space="0" w:color="auto"/>
            </w:tcBorders>
            <w:shd w:val="clear" w:color="auto" w:fill="auto"/>
            <w:vAlign w:val="center"/>
            <w:hideMark/>
          </w:tcPr>
          <w:p w14:paraId="7A9681E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13,0</w:t>
            </w:r>
          </w:p>
        </w:tc>
        <w:tc>
          <w:tcPr>
            <w:tcW w:w="851" w:type="dxa"/>
            <w:tcBorders>
              <w:top w:val="nil"/>
              <w:left w:val="nil"/>
              <w:bottom w:val="single" w:sz="4" w:space="0" w:color="auto"/>
              <w:right w:val="single" w:sz="4" w:space="0" w:color="auto"/>
            </w:tcBorders>
            <w:shd w:val="clear" w:color="auto" w:fill="auto"/>
            <w:vAlign w:val="center"/>
            <w:hideMark/>
          </w:tcPr>
          <w:p w14:paraId="7B02C18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17,7</w:t>
            </w:r>
          </w:p>
        </w:tc>
        <w:tc>
          <w:tcPr>
            <w:tcW w:w="992" w:type="dxa"/>
            <w:tcBorders>
              <w:top w:val="single" w:sz="4" w:space="0" w:color="auto"/>
              <w:left w:val="nil"/>
              <w:bottom w:val="single" w:sz="4" w:space="0" w:color="auto"/>
              <w:right w:val="single" w:sz="4" w:space="0" w:color="auto"/>
            </w:tcBorders>
            <w:vAlign w:val="center"/>
          </w:tcPr>
          <w:p w14:paraId="33C82C7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15DCC63"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676A39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16"/>
              </w:rPr>
            </w:pPr>
            <w:r w:rsidRPr="00213A5D">
              <w:rPr>
                <w:rFonts w:eastAsia="Times New Roman"/>
                <w:sz w:val="16"/>
                <w:szCs w:val="16"/>
              </w:rPr>
              <w:t>16,0</w:t>
            </w:r>
          </w:p>
        </w:tc>
        <w:tc>
          <w:tcPr>
            <w:tcW w:w="850" w:type="dxa"/>
            <w:tcBorders>
              <w:top w:val="nil"/>
              <w:left w:val="nil"/>
              <w:bottom w:val="single" w:sz="4" w:space="0" w:color="auto"/>
              <w:right w:val="single" w:sz="4" w:space="0" w:color="auto"/>
            </w:tcBorders>
            <w:shd w:val="clear" w:color="auto" w:fill="auto"/>
            <w:vAlign w:val="center"/>
            <w:hideMark/>
          </w:tcPr>
          <w:p w14:paraId="306DD4F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
                <w:bCs/>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14:paraId="008F885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
                <w:bCs/>
                <w:sz w:val="16"/>
                <w:szCs w:val="16"/>
              </w:rPr>
            </w:pPr>
          </w:p>
        </w:tc>
        <w:tc>
          <w:tcPr>
            <w:tcW w:w="1134" w:type="dxa"/>
            <w:tcBorders>
              <w:top w:val="nil"/>
              <w:left w:val="nil"/>
              <w:bottom w:val="single" w:sz="4" w:space="0" w:color="auto"/>
              <w:right w:val="single" w:sz="4" w:space="0" w:color="auto"/>
            </w:tcBorders>
            <w:vAlign w:val="center"/>
          </w:tcPr>
          <w:p w14:paraId="1D6DE9BE"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
                <w:bCs/>
                <w:sz w:val="16"/>
                <w:szCs w:val="16"/>
              </w:rPr>
            </w:pPr>
          </w:p>
        </w:tc>
      </w:tr>
    </w:tbl>
    <w:p w14:paraId="2C839D76" w14:textId="77777777" w:rsidR="00BA0CAD" w:rsidRPr="00213A5D" w:rsidRDefault="00BA0CAD" w:rsidP="00AF1852">
      <w:pPr>
        <w:widowControl w:val="0"/>
        <w:spacing w:line="240" w:lineRule="auto"/>
        <w:ind w:left="0" w:right="-2"/>
        <w:jc w:val="right"/>
        <w:rPr>
          <w:sz w:val="16"/>
          <w:szCs w:val="16"/>
        </w:rPr>
      </w:pPr>
    </w:p>
    <w:p w14:paraId="503C7891" w14:textId="77777777" w:rsidR="00700EC1" w:rsidRPr="00213A5D" w:rsidRDefault="00700EC1" w:rsidP="00AF1852">
      <w:pPr>
        <w:widowControl w:val="0"/>
        <w:spacing w:before="120"/>
        <w:ind w:left="0" w:right="0"/>
        <w:rPr>
          <w:sz w:val="24"/>
          <w:szCs w:val="24"/>
        </w:rPr>
      </w:pPr>
      <w:r w:rsidRPr="00213A5D">
        <w:rPr>
          <w:sz w:val="24"/>
          <w:szCs w:val="24"/>
        </w:rPr>
        <w:t xml:space="preserve">Анализ исполнения межбюджетных трансфертов показал, что </w:t>
      </w:r>
      <w:r w:rsidRPr="00213A5D">
        <w:rPr>
          <w:b/>
          <w:sz w:val="24"/>
          <w:szCs w:val="24"/>
        </w:rPr>
        <w:t>ниже</w:t>
      </w:r>
      <w:r w:rsidRPr="00213A5D">
        <w:rPr>
          <w:sz w:val="24"/>
          <w:szCs w:val="24"/>
        </w:rPr>
        <w:t xml:space="preserve"> среднего уровня исполнения межбюджетных трансфертов (68,2 %) исполнены расходы на предоставление иных межбюджетных трансфертов и субсидий. Также </w:t>
      </w:r>
      <w:r w:rsidRPr="00213A5D">
        <w:rPr>
          <w:b/>
          <w:sz w:val="24"/>
          <w:szCs w:val="24"/>
        </w:rPr>
        <w:t>ниже</w:t>
      </w:r>
      <w:r w:rsidRPr="00213A5D">
        <w:rPr>
          <w:sz w:val="24"/>
          <w:szCs w:val="24"/>
        </w:rPr>
        <w:t xml:space="preserve"> уровня исполнения за соответствующий период 2021 года исполнены расходы по субвенциям и иным межбюджетным трансфертам.</w:t>
      </w:r>
    </w:p>
    <w:p w14:paraId="3AEA39D1" w14:textId="77777777" w:rsidR="00700EC1" w:rsidRPr="00213A5D" w:rsidRDefault="00700EC1" w:rsidP="00AF1852">
      <w:pPr>
        <w:widowControl w:val="0"/>
        <w:ind w:left="0" w:right="0"/>
        <w:rPr>
          <w:sz w:val="24"/>
          <w:szCs w:val="24"/>
          <w:lang w:eastAsia="en-US"/>
        </w:rPr>
      </w:pPr>
      <w:r w:rsidRPr="00213A5D">
        <w:rPr>
          <w:b/>
          <w:sz w:val="24"/>
          <w:szCs w:val="24"/>
          <w:lang w:eastAsia="en-US"/>
        </w:rPr>
        <w:t>8.2.</w:t>
      </w:r>
      <w:r w:rsidRPr="00213A5D">
        <w:rPr>
          <w:sz w:val="24"/>
          <w:szCs w:val="24"/>
          <w:lang w:eastAsia="en-US"/>
        </w:rPr>
        <w:t xml:space="preserve"> Информация об исполнении межбюджетных трансфертов в разрезе разделов классификации расходов бюджетов за январь – сентябрь 2022 года представлена в следующей таблице.</w:t>
      </w:r>
    </w:p>
    <w:p w14:paraId="46B8CEB5" w14:textId="77777777" w:rsidR="00700EC1" w:rsidRPr="00213A5D" w:rsidRDefault="00700EC1" w:rsidP="00AF1852">
      <w:pPr>
        <w:widowControl w:val="0"/>
        <w:spacing w:line="240" w:lineRule="auto"/>
        <w:ind w:left="0" w:right="0"/>
        <w:jc w:val="right"/>
        <w:rPr>
          <w:sz w:val="20"/>
          <w:szCs w:val="24"/>
          <w:lang w:eastAsia="en-US"/>
        </w:rPr>
      </w:pPr>
      <w:r w:rsidRPr="00213A5D">
        <w:rPr>
          <w:sz w:val="20"/>
          <w:szCs w:val="24"/>
          <w:lang w:eastAsia="en-US"/>
        </w:rPr>
        <w:t>(млн. рублей)</w:t>
      </w:r>
    </w:p>
    <w:tbl>
      <w:tblPr>
        <w:tblW w:w="9654" w:type="dxa"/>
        <w:tblInd w:w="93" w:type="dxa"/>
        <w:tblLayout w:type="fixed"/>
        <w:tblLook w:val="04A0" w:firstRow="1" w:lastRow="0" w:firstColumn="1" w:lastColumn="0" w:noHBand="0" w:noVBand="1"/>
      </w:tblPr>
      <w:tblGrid>
        <w:gridCol w:w="2567"/>
        <w:gridCol w:w="1134"/>
        <w:gridCol w:w="1134"/>
        <w:gridCol w:w="992"/>
        <w:gridCol w:w="851"/>
        <w:gridCol w:w="1275"/>
        <w:gridCol w:w="851"/>
        <w:gridCol w:w="850"/>
      </w:tblGrid>
      <w:tr w:rsidR="00700EC1" w:rsidRPr="00213A5D" w14:paraId="59EAFAE2" w14:textId="77777777" w:rsidTr="00CE07BB">
        <w:trPr>
          <w:tblHeader/>
        </w:trPr>
        <w:tc>
          <w:tcPr>
            <w:tcW w:w="2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ED00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6"/>
              </w:rPr>
            </w:pPr>
            <w:r w:rsidRPr="00213A5D">
              <w:rPr>
                <w:rFonts w:eastAsia="Times New Roman"/>
                <w:bCs/>
                <w:sz w:val="16"/>
                <w:szCs w:val="16"/>
              </w:rPr>
              <w:t>Наименование</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0E00B1E"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Утверждено Федеральным</w:t>
            </w:r>
          </w:p>
          <w:p w14:paraId="7E173E8F"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законом</w:t>
            </w:r>
          </w:p>
          <w:p w14:paraId="5CC7EAC9"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 390-ФЗ</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C86FE2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8"/>
              </w:rPr>
            </w:pPr>
            <w:r w:rsidRPr="00213A5D">
              <w:rPr>
                <w:rFonts w:eastAsia="Times New Roman"/>
                <w:bCs/>
                <w:sz w:val="16"/>
                <w:szCs w:val="18"/>
              </w:rPr>
              <w:t>Сводная роспись на 01.10.2022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1D115E7"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Объем изменений</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D4222F3" w14:textId="77777777" w:rsidR="00700EC1" w:rsidRPr="00213A5D" w:rsidRDefault="00700EC1" w:rsidP="00837B00">
            <w:pPr>
              <w:widowControl w:val="0"/>
              <w:overflowPunct/>
              <w:autoSpaceDE/>
              <w:autoSpaceDN/>
              <w:adjustRightInd/>
              <w:spacing w:line="240" w:lineRule="auto"/>
              <w:ind w:left="-57" w:right="-57" w:firstLine="0"/>
              <w:jc w:val="center"/>
              <w:textAlignment w:val="auto"/>
              <w:rPr>
                <w:rFonts w:eastAsia="Times New Roman"/>
                <w:bCs/>
                <w:sz w:val="16"/>
                <w:szCs w:val="16"/>
              </w:rPr>
            </w:pPr>
            <w:r w:rsidRPr="00213A5D">
              <w:rPr>
                <w:rFonts w:eastAsia="Times New Roman"/>
                <w:bCs/>
                <w:sz w:val="16"/>
                <w:szCs w:val="16"/>
              </w:rPr>
              <w:t>% изменений</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38A8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8"/>
              </w:rPr>
            </w:pPr>
            <w:r w:rsidRPr="00213A5D">
              <w:rPr>
                <w:rFonts w:eastAsia="Times New Roman"/>
                <w:bCs/>
                <w:sz w:val="16"/>
                <w:szCs w:val="18"/>
              </w:rPr>
              <w:t>Кассовое исполнение на 01.10.2022</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327785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8"/>
              </w:rPr>
            </w:pPr>
            <w:r w:rsidRPr="00213A5D">
              <w:rPr>
                <w:rFonts w:eastAsia="Times New Roman"/>
                <w:bCs/>
                <w:sz w:val="16"/>
                <w:szCs w:val="18"/>
              </w:rPr>
              <w:t xml:space="preserve">Струк-тура, </w:t>
            </w:r>
          </w:p>
          <w:p w14:paraId="1C3FE2F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8"/>
              </w:rPr>
            </w:pPr>
            <w:r w:rsidRPr="00213A5D">
              <w:rPr>
                <w:rFonts w:eastAsia="Times New Roman"/>
                <w:bCs/>
                <w:sz w:val="16"/>
                <w:szCs w:val="18"/>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59F2FD4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bCs/>
                <w:sz w:val="16"/>
                <w:szCs w:val="18"/>
              </w:rPr>
            </w:pPr>
            <w:r w:rsidRPr="00213A5D">
              <w:rPr>
                <w:rFonts w:eastAsia="Times New Roman"/>
                <w:bCs/>
                <w:sz w:val="16"/>
                <w:szCs w:val="18"/>
              </w:rPr>
              <w:t>% исполне-ния сводной росписи</w:t>
            </w:r>
          </w:p>
        </w:tc>
      </w:tr>
      <w:tr w:rsidR="00700EC1" w:rsidRPr="00213A5D" w14:paraId="62CF0E36"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26A7A07F"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Общегосударственные вопросы </w:t>
            </w:r>
          </w:p>
        </w:tc>
        <w:tc>
          <w:tcPr>
            <w:tcW w:w="1134" w:type="dxa"/>
            <w:tcBorders>
              <w:top w:val="nil"/>
              <w:left w:val="nil"/>
              <w:bottom w:val="single" w:sz="4" w:space="0" w:color="auto"/>
              <w:right w:val="single" w:sz="4" w:space="0" w:color="auto"/>
            </w:tcBorders>
            <w:shd w:val="clear" w:color="auto" w:fill="auto"/>
            <w:vAlign w:val="center"/>
            <w:hideMark/>
          </w:tcPr>
          <w:p w14:paraId="07C4ED4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18 234,1</w:t>
            </w:r>
          </w:p>
        </w:tc>
        <w:tc>
          <w:tcPr>
            <w:tcW w:w="1134" w:type="dxa"/>
            <w:tcBorders>
              <w:top w:val="nil"/>
              <w:left w:val="nil"/>
              <w:bottom w:val="single" w:sz="4" w:space="0" w:color="auto"/>
              <w:right w:val="single" w:sz="4" w:space="0" w:color="auto"/>
            </w:tcBorders>
            <w:shd w:val="clear" w:color="auto" w:fill="auto"/>
            <w:vAlign w:val="center"/>
            <w:hideMark/>
          </w:tcPr>
          <w:p w14:paraId="28D04930"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14 639,8</w:t>
            </w:r>
          </w:p>
        </w:tc>
        <w:tc>
          <w:tcPr>
            <w:tcW w:w="992" w:type="dxa"/>
            <w:tcBorders>
              <w:top w:val="single" w:sz="4" w:space="0" w:color="auto"/>
              <w:left w:val="nil"/>
              <w:bottom w:val="single" w:sz="4" w:space="0" w:color="auto"/>
              <w:right w:val="single" w:sz="4" w:space="0" w:color="auto"/>
            </w:tcBorders>
            <w:vAlign w:val="center"/>
          </w:tcPr>
          <w:p w14:paraId="5994825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-3 594,3</w:t>
            </w:r>
          </w:p>
        </w:tc>
        <w:tc>
          <w:tcPr>
            <w:tcW w:w="851" w:type="dxa"/>
            <w:tcBorders>
              <w:top w:val="single" w:sz="4" w:space="0" w:color="auto"/>
              <w:left w:val="single" w:sz="4" w:space="0" w:color="auto"/>
              <w:bottom w:val="single" w:sz="4" w:space="0" w:color="auto"/>
              <w:right w:val="single" w:sz="4" w:space="0" w:color="auto"/>
            </w:tcBorders>
            <w:vAlign w:val="center"/>
          </w:tcPr>
          <w:p w14:paraId="31591D8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80,3</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2CE4FF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10 196,8</w:t>
            </w:r>
          </w:p>
        </w:tc>
        <w:tc>
          <w:tcPr>
            <w:tcW w:w="851" w:type="dxa"/>
            <w:tcBorders>
              <w:top w:val="nil"/>
              <w:left w:val="nil"/>
              <w:bottom w:val="single" w:sz="4" w:space="0" w:color="auto"/>
              <w:right w:val="single" w:sz="4" w:space="0" w:color="auto"/>
            </w:tcBorders>
            <w:shd w:val="clear" w:color="auto" w:fill="auto"/>
            <w:vAlign w:val="center"/>
            <w:hideMark/>
          </w:tcPr>
          <w:p w14:paraId="7FDE3F45"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0,4</w:t>
            </w:r>
          </w:p>
        </w:tc>
        <w:tc>
          <w:tcPr>
            <w:tcW w:w="850" w:type="dxa"/>
            <w:tcBorders>
              <w:top w:val="nil"/>
              <w:left w:val="nil"/>
              <w:bottom w:val="single" w:sz="4" w:space="0" w:color="auto"/>
              <w:right w:val="single" w:sz="4" w:space="0" w:color="auto"/>
            </w:tcBorders>
            <w:shd w:val="clear" w:color="auto" w:fill="auto"/>
            <w:vAlign w:val="center"/>
            <w:hideMark/>
          </w:tcPr>
          <w:p w14:paraId="0C2E2F0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69,7</w:t>
            </w:r>
          </w:p>
        </w:tc>
      </w:tr>
      <w:tr w:rsidR="00700EC1" w:rsidRPr="00213A5D" w14:paraId="6572DB81"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3C611252"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Национальная оборона </w:t>
            </w:r>
          </w:p>
        </w:tc>
        <w:tc>
          <w:tcPr>
            <w:tcW w:w="1134" w:type="dxa"/>
            <w:tcBorders>
              <w:top w:val="nil"/>
              <w:left w:val="nil"/>
              <w:bottom w:val="single" w:sz="4" w:space="0" w:color="auto"/>
              <w:right w:val="single" w:sz="4" w:space="0" w:color="auto"/>
            </w:tcBorders>
            <w:shd w:val="clear" w:color="auto" w:fill="auto"/>
            <w:vAlign w:val="center"/>
            <w:hideMark/>
          </w:tcPr>
          <w:p w14:paraId="7308B26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3 320,0</w:t>
            </w:r>
          </w:p>
        </w:tc>
        <w:tc>
          <w:tcPr>
            <w:tcW w:w="1134" w:type="dxa"/>
            <w:tcBorders>
              <w:top w:val="nil"/>
              <w:left w:val="nil"/>
              <w:bottom w:val="single" w:sz="4" w:space="0" w:color="auto"/>
              <w:right w:val="single" w:sz="4" w:space="0" w:color="auto"/>
            </w:tcBorders>
            <w:shd w:val="clear" w:color="auto" w:fill="auto"/>
            <w:vAlign w:val="center"/>
            <w:hideMark/>
          </w:tcPr>
          <w:p w14:paraId="2FB1C2E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3 508,0</w:t>
            </w:r>
          </w:p>
        </w:tc>
        <w:tc>
          <w:tcPr>
            <w:tcW w:w="992" w:type="dxa"/>
            <w:tcBorders>
              <w:top w:val="single" w:sz="4" w:space="0" w:color="auto"/>
              <w:left w:val="nil"/>
              <w:bottom w:val="single" w:sz="4" w:space="0" w:color="auto"/>
              <w:right w:val="single" w:sz="4" w:space="0" w:color="auto"/>
            </w:tcBorders>
            <w:vAlign w:val="center"/>
          </w:tcPr>
          <w:p w14:paraId="518E366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188,0</w:t>
            </w:r>
          </w:p>
        </w:tc>
        <w:tc>
          <w:tcPr>
            <w:tcW w:w="851" w:type="dxa"/>
            <w:tcBorders>
              <w:top w:val="single" w:sz="4" w:space="0" w:color="auto"/>
              <w:left w:val="single" w:sz="4" w:space="0" w:color="auto"/>
              <w:bottom w:val="single" w:sz="4" w:space="0" w:color="auto"/>
              <w:right w:val="single" w:sz="4" w:space="0" w:color="auto"/>
            </w:tcBorders>
            <w:vAlign w:val="center"/>
          </w:tcPr>
          <w:p w14:paraId="57CB347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105,7</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29A8818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2 396,6</w:t>
            </w:r>
          </w:p>
        </w:tc>
        <w:tc>
          <w:tcPr>
            <w:tcW w:w="851" w:type="dxa"/>
            <w:tcBorders>
              <w:top w:val="nil"/>
              <w:left w:val="nil"/>
              <w:bottom w:val="single" w:sz="4" w:space="0" w:color="auto"/>
              <w:right w:val="single" w:sz="4" w:space="0" w:color="auto"/>
            </w:tcBorders>
            <w:shd w:val="clear" w:color="auto" w:fill="auto"/>
            <w:vAlign w:val="center"/>
            <w:hideMark/>
          </w:tcPr>
          <w:p w14:paraId="407E497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0,1</w:t>
            </w:r>
          </w:p>
        </w:tc>
        <w:tc>
          <w:tcPr>
            <w:tcW w:w="850" w:type="dxa"/>
            <w:tcBorders>
              <w:top w:val="nil"/>
              <w:left w:val="nil"/>
              <w:bottom w:val="single" w:sz="4" w:space="0" w:color="auto"/>
              <w:right w:val="single" w:sz="4" w:space="0" w:color="auto"/>
            </w:tcBorders>
            <w:shd w:val="clear" w:color="auto" w:fill="auto"/>
            <w:vAlign w:val="center"/>
            <w:hideMark/>
          </w:tcPr>
          <w:p w14:paraId="47D5859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68,3</w:t>
            </w:r>
          </w:p>
        </w:tc>
      </w:tr>
      <w:tr w:rsidR="00700EC1" w:rsidRPr="00213A5D" w14:paraId="6FB0168C"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025BC20D"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Национальная безопасность и правоохранительная деятельность </w:t>
            </w:r>
          </w:p>
        </w:tc>
        <w:tc>
          <w:tcPr>
            <w:tcW w:w="1134" w:type="dxa"/>
            <w:tcBorders>
              <w:top w:val="nil"/>
              <w:left w:val="nil"/>
              <w:bottom w:val="single" w:sz="4" w:space="0" w:color="auto"/>
              <w:right w:val="single" w:sz="4" w:space="0" w:color="auto"/>
            </w:tcBorders>
            <w:shd w:val="clear" w:color="auto" w:fill="auto"/>
            <w:vAlign w:val="center"/>
            <w:hideMark/>
          </w:tcPr>
          <w:p w14:paraId="15302C9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395,0</w:t>
            </w:r>
          </w:p>
        </w:tc>
        <w:tc>
          <w:tcPr>
            <w:tcW w:w="1134" w:type="dxa"/>
            <w:tcBorders>
              <w:top w:val="nil"/>
              <w:left w:val="nil"/>
              <w:bottom w:val="single" w:sz="4" w:space="0" w:color="auto"/>
              <w:right w:val="single" w:sz="4" w:space="0" w:color="auto"/>
            </w:tcBorders>
            <w:shd w:val="clear" w:color="auto" w:fill="auto"/>
            <w:vAlign w:val="center"/>
            <w:hideMark/>
          </w:tcPr>
          <w:p w14:paraId="742A60D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6 093,2</w:t>
            </w:r>
          </w:p>
        </w:tc>
        <w:tc>
          <w:tcPr>
            <w:tcW w:w="992" w:type="dxa"/>
            <w:tcBorders>
              <w:top w:val="single" w:sz="4" w:space="0" w:color="auto"/>
              <w:left w:val="nil"/>
              <w:bottom w:val="single" w:sz="4" w:space="0" w:color="auto"/>
              <w:right w:val="single" w:sz="4" w:space="0" w:color="auto"/>
            </w:tcBorders>
            <w:vAlign w:val="center"/>
          </w:tcPr>
          <w:p w14:paraId="18D2D2E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5 698,2</w:t>
            </w:r>
          </w:p>
        </w:tc>
        <w:tc>
          <w:tcPr>
            <w:tcW w:w="851" w:type="dxa"/>
            <w:tcBorders>
              <w:top w:val="single" w:sz="4" w:space="0" w:color="auto"/>
              <w:left w:val="single" w:sz="4" w:space="0" w:color="auto"/>
              <w:bottom w:val="single" w:sz="4" w:space="0" w:color="auto"/>
              <w:right w:val="single" w:sz="4" w:space="0" w:color="auto"/>
            </w:tcBorders>
            <w:vAlign w:val="center"/>
          </w:tcPr>
          <w:p w14:paraId="6AF0DE6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в 15,4 раза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3591C98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5 727,4</w:t>
            </w:r>
          </w:p>
        </w:tc>
        <w:tc>
          <w:tcPr>
            <w:tcW w:w="851" w:type="dxa"/>
            <w:tcBorders>
              <w:top w:val="nil"/>
              <w:left w:val="nil"/>
              <w:bottom w:val="single" w:sz="4" w:space="0" w:color="auto"/>
              <w:right w:val="single" w:sz="4" w:space="0" w:color="auto"/>
            </w:tcBorders>
            <w:shd w:val="clear" w:color="auto" w:fill="auto"/>
            <w:vAlign w:val="center"/>
            <w:hideMark/>
          </w:tcPr>
          <w:p w14:paraId="34ECEFE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0,2</w:t>
            </w:r>
          </w:p>
        </w:tc>
        <w:tc>
          <w:tcPr>
            <w:tcW w:w="850" w:type="dxa"/>
            <w:tcBorders>
              <w:top w:val="nil"/>
              <w:left w:val="nil"/>
              <w:bottom w:val="single" w:sz="4" w:space="0" w:color="auto"/>
              <w:right w:val="single" w:sz="4" w:space="0" w:color="auto"/>
            </w:tcBorders>
            <w:shd w:val="clear" w:color="auto" w:fill="auto"/>
            <w:vAlign w:val="center"/>
            <w:hideMark/>
          </w:tcPr>
          <w:p w14:paraId="00BD0D33" w14:textId="77777777" w:rsidR="00700EC1" w:rsidRPr="00213A5D" w:rsidRDefault="00987305"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94</w:t>
            </w:r>
          </w:p>
        </w:tc>
      </w:tr>
      <w:tr w:rsidR="00700EC1" w:rsidRPr="00213A5D" w14:paraId="7AF15B80"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515DDB77"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Национальная экономика </w:t>
            </w:r>
          </w:p>
        </w:tc>
        <w:tc>
          <w:tcPr>
            <w:tcW w:w="1134" w:type="dxa"/>
            <w:tcBorders>
              <w:top w:val="nil"/>
              <w:left w:val="nil"/>
              <w:bottom w:val="single" w:sz="4" w:space="0" w:color="auto"/>
              <w:right w:val="single" w:sz="4" w:space="0" w:color="auto"/>
            </w:tcBorders>
            <w:shd w:val="clear" w:color="auto" w:fill="auto"/>
            <w:vAlign w:val="center"/>
            <w:hideMark/>
          </w:tcPr>
          <w:p w14:paraId="18B94B1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581 809,1</w:t>
            </w:r>
          </w:p>
        </w:tc>
        <w:tc>
          <w:tcPr>
            <w:tcW w:w="1134" w:type="dxa"/>
            <w:tcBorders>
              <w:top w:val="nil"/>
              <w:left w:val="nil"/>
              <w:bottom w:val="single" w:sz="4" w:space="0" w:color="auto"/>
              <w:right w:val="single" w:sz="4" w:space="0" w:color="auto"/>
            </w:tcBorders>
            <w:shd w:val="clear" w:color="auto" w:fill="auto"/>
            <w:vAlign w:val="center"/>
            <w:hideMark/>
          </w:tcPr>
          <w:p w14:paraId="178333B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756 163,0</w:t>
            </w:r>
          </w:p>
        </w:tc>
        <w:tc>
          <w:tcPr>
            <w:tcW w:w="992" w:type="dxa"/>
            <w:tcBorders>
              <w:top w:val="single" w:sz="4" w:space="0" w:color="auto"/>
              <w:left w:val="nil"/>
              <w:bottom w:val="single" w:sz="4" w:space="0" w:color="auto"/>
              <w:right w:val="single" w:sz="4" w:space="0" w:color="auto"/>
            </w:tcBorders>
            <w:vAlign w:val="center"/>
          </w:tcPr>
          <w:p w14:paraId="1F638BF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174 353,9</w:t>
            </w:r>
          </w:p>
        </w:tc>
        <w:tc>
          <w:tcPr>
            <w:tcW w:w="851" w:type="dxa"/>
            <w:tcBorders>
              <w:top w:val="single" w:sz="4" w:space="0" w:color="auto"/>
              <w:left w:val="single" w:sz="4" w:space="0" w:color="auto"/>
              <w:bottom w:val="single" w:sz="4" w:space="0" w:color="auto"/>
              <w:right w:val="single" w:sz="4" w:space="0" w:color="auto"/>
            </w:tcBorders>
            <w:vAlign w:val="center"/>
          </w:tcPr>
          <w:p w14:paraId="48FE053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130</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41B9B9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479 628,5</w:t>
            </w:r>
          </w:p>
        </w:tc>
        <w:tc>
          <w:tcPr>
            <w:tcW w:w="851" w:type="dxa"/>
            <w:tcBorders>
              <w:top w:val="nil"/>
              <w:left w:val="nil"/>
              <w:bottom w:val="single" w:sz="4" w:space="0" w:color="auto"/>
              <w:right w:val="single" w:sz="4" w:space="0" w:color="auto"/>
            </w:tcBorders>
            <w:shd w:val="clear" w:color="auto" w:fill="auto"/>
            <w:vAlign w:val="center"/>
            <w:hideMark/>
          </w:tcPr>
          <w:p w14:paraId="422D1D6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18,9</w:t>
            </w:r>
          </w:p>
        </w:tc>
        <w:tc>
          <w:tcPr>
            <w:tcW w:w="850" w:type="dxa"/>
            <w:tcBorders>
              <w:top w:val="nil"/>
              <w:left w:val="nil"/>
              <w:bottom w:val="single" w:sz="4" w:space="0" w:color="auto"/>
              <w:right w:val="single" w:sz="4" w:space="0" w:color="auto"/>
            </w:tcBorders>
            <w:shd w:val="clear" w:color="auto" w:fill="auto"/>
            <w:vAlign w:val="center"/>
            <w:hideMark/>
          </w:tcPr>
          <w:p w14:paraId="57CD52E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63,4</w:t>
            </w:r>
          </w:p>
        </w:tc>
      </w:tr>
      <w:tr w:rsidR="00700EC1" w:rsidRPr="00213A5D" w14:paraId="2C2E3648"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18502E92"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Жилищно-коммунальное хозяйство </w:t>
            </w:r>
          </w:p>
        </w:tc>
        <w:tc>
          <w:tcPr>
            <w:tcW w:w="1134" w:type="dxa"/>
            <w:tcBorders>
              <w:top w:val="nil"/>
              <w:left w:val="nil"/>
              <w:bottom w:val="single" w:sz="4" w:space="0" w:color="auto"/>
              <w:right w:val="single" w:sz="4" w:space="0" w:color="auto"/>
            </w:tcBorders>
            <w:shd w:val="clear" w:color="auto" w:fill="auto"/>
            <w:vAlign w:val="center"/>
            <w:hideMark/>
          </w:tcPr>
          <w:p w14:paraId="57174E43"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105 205,7</w:t>
            </w:r>
          </w:p>
        </w:tc>
        <w:tc>
          <w:tcPr>
            <w:tcW w:w="1134" w:type="dxa"/>
            <w:tcBorders>
              <w:top w:val="nil"/>
              <w:left w:val="nil"/>
              <w:bottom w:val="single" w:sz="4" w:space="0" w:color="auto"/>
              <w:right w:val="single" w:sz="4" w:space="0" w:color="auto"/>
            </w:tcBorders>
            <w:shd w:val="clear" w:color="auto" w:fill="auto"/>
            <w:vAlign w:val="center"/>
            <w:hideMark/>
          </w:tcPr>
          <w:p w14:paraId="3422352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125 733,7</w:t>
            </w:r>
          </w:p>
        </w:tc>
        <w:tc>
          <w:tcPr>
            <w:tcW w:w="992" w:type="dxa"/>
            <w:tcBorders>
              <w:top w:val="single" w:sz="4" w:space="0" w:color="auto"/>
              <w:left w:val="nil"/>
              <w:bottom w:val="single" w:sz="4" w:space="0" w:color="auto"/>
              <w:right w:val="single" w:sz="4" w:space="0" w:color="auto"/>
            </w:tcBorders>
            <w:vAlign w:val="center"/>
          </w:tcPr>
          <w:p w14:paraId="1F5E310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20 528,0</w:t>
            </w:r>
          </w:p>
        </w:tc>
        <w:tc>
          <w:tcPr>
            <w:tcW w:w="851" w:type="dxa"/>
            <w:tcBorders>
              <w:top w:val="single" w:sz="4" w:space="0" w:color="auto"/>
              <w:left w:val="single" w:sz="4" w:space="0" w:color="auto"/>
              <w:bottom w:val="single" w:sz="4" w:space="0" w:color="auto"/>
              <w:right w:val="single" w:sz="4" w:space="0" w:color="auto"/>
            </w:tcBorders>
            <w:vAlign w:val="center"/>
          </w:tcPr>
          <w:p w14:paraId="7B8C7A50"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119,5</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73D50E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77 181,4</w:t>
            </w:r>
          </w:p>
        </w:tc>
        <w:tc>
          <w:tcPr>
            <w:tcW w:w="851" w:type="dxa"/>
            <w:tcBorders>
              <w:top w:val="nil"/>
              <w:left w:val="nil"/>
              <w:bottom w:val="single" w:sz="4" w:space="0" w:color="auto"/>
              <w:right w:val="single" w:sz="4" w:space="0" w:color="auto"/>
            </w:tcBorders>
            <w:shd w:val="clear" w:color="auto" w:fill="auto"/>
            <w:vAlign w:val="center"/>
            <w:hideMark/>
          </w:tcPr>
          <w:p w14:paraId="6655F29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0A48F6BC"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61,4</w:t>
            </w:r>
          </w:p>
        </w:tc>
      </w:tr>
      <w:tr w:rsidR="00700EC1" w:rsidRPr="00213A5D" w14:paraId="45862ED0"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03E5338A"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Охрана окружающей среды </w:t>
            </w:r>
          </w:p>
        </w:tc>
        <w:tc>
          <w:tcPr>
            <w:tcW w:w="1134" w:type="dxa"/>
            <w:tcBorders>
              <w:top w:val="nil"/>
              <w:left w:val="nil"/>
              <w:bottom w:val="single" w:sz="4" w:space="0" w:color="auto"/>
              <w:right w:val="single" w:sz="4" w:space="0" w:color="auto"/>
            </w:tcBorders>
            <w:shd w:val="clear" w:color="000000" w:fill="FFFFFF"/>
            <w:vAlign w:val="center"/>
            <w:hideMark/>
          </w:tcPr>
          <w:p w14:paraId="0AF6DE4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39 868,4</w:t>
            </w:r>
          </w:p>
        </w:tc>
        <w:tc>
          <w:tcPr>
            <w:tcW w:w="1134" w:type="dxa"/>
            <w:tcBorders>
              <w:top w:val="nil"/>
              <w:left w:val="nil"/>
              <w:bottom w:val="single" w:sz="4" w:space="0" w:color="auto"/>
              <w:right w:val="single" w:sz="4" w:space="0" w:color="auto"/>
            </w:tcBorders>
            <w:shd w:val="clear" w:color="000000" w:fill="FFFFFF"/>
            <w:vAlign w:val="center"/>
            <w:hideMark/>
          </w:tcPr>
          <w:p w14:paraId="3BB9CC3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65 871,3</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1DB467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26 002,9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342A6AA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в 1,6 раза</w:t>
            </w:r>
          </w:p>
        </w:tc>
        <w:tc>
          <w:tcPr>
            <w:tcW w:w="1275" w:type="dxa"/>
            <w:tcBorders>
              <w:top w:val="nil"/>
              <w:left w:val="single" w:sz="4" w:space="0" w:color="auto"/>
              <w:bottom w:val="single" w:sz="4" w:space="0" w:color="auto"/>
              <w:right w:val="single" w:sz="4" w:space="0" w:color="auto"/>
            </w:tcBorders>
            <w:shd w:val="clear" w:color="000000" w:fill="FFFFFF"/>
            <w:vAlign w:val="center"/>
            <w:hideMark/>
          </w:tcPr>
          <w:p w14:paraId="5A4AE12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30 261,1</w:t>
            </w:r>
          </w:p>
        </w:tc>
        <w:tc>
          <w:tcPr>
            <w:tcW w:w="851" w:type="dxa"/>
            <w:tcBorders>
              <w:top w:val="nil"/>
              <w:left w:val="nil"/>
              <w:bottom w:val="single" w:sz="4" w:space="0" w:color="auto"/>
              <w:right w:val="single" w:sz="4" w:space="0" w:color="auto"/>
            </w:tcBorders>
            <w:shd w:val="clear" w:color="auto" w:fill="auto"/>
            <w:vAlign w:val="center"/>
            <w:hideMark/>
          </w:tcPr>
          <w:p w14:paraId="05ABCC5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1,2</w:t>
            </w:r>
          </w:p>
        </w:tc>
        <w:tc>
          <w:tcPr>
            <w:tcW w:w="850" w:type="dxa"/>
            <w:tcBorders>
              <w:top w:val="nil"/>
              <w:left w:val="nil"/>
              <w:bottom w:val="single" w:sz="4" w:space="0" w:color="auto"/>
              <w:right w:val="single" w:sz="4" w:space="0" w:color="auto"/>
            </w:tcBorders>
            <w:shd w:val="clear" w:color="auto" w:fill="auto"/>
            <w:vAlign w:val="center"/>
            <w:hideMark/>
          </w:tcPr>
          <w:p w14:paraId="2ACAEA2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45,9</w:t>
            </w:r>
          </w:p>
        </w:tc>
      </w:tr>
      <w:tr w:rsidR="00700EC1" w:rsidRPr="00213A5D" w14:paraId="0F7ECBC3"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47BECE6F"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Образование </w:t>
            </w:r>
          </w:p>
        </w:tc>
        <w:tc>
          <w:tcPr>
            <w:tcW w:w="1134" w:type="dxa"/>
            <w:tcBorders>
              <w:top w:val="nil"/>
              <w:left w:val="nil"/>
              <w:bottom w:val="single" w:sz="4" w:space="0" w:color="auto"/>
              <w:right w:val="single" w:sz="4" w:space="0" w:color="auto"/>
            </w:tcBorders>
            <w:shd w:val="clear" w:color="auto" w:fill="auto"/>
            <w:vAlign w:val="center"/>
            <w:hideMark/>
          </w:tcPr>
          <w:p w14:paraId="7E024F3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278 807,8</w:t>
            </w:r>
          </w:p>
        </w:tc>
        <w:tc>
          <w:tcPr>
            <w:tcW w:w="1134" w:type="dxa"/>
            <w:tcBorders>
              <w:top w:val="nil"/>
              <w:left w:val="nil"/>
              <w:bottom w:val="single" w:sz="4" w:space="0" w:color="auto"/>
              <w:right w:val="single" w:sz="4" w:space="0" w:color="auto"/>
            </w:tcBorders>
            <w:shd w:val="clear" w:color="auto" w:fill="auto"/>
            <w:vAlign w:val="center"/>
            <w:hideMark/>
          </w:tcPr>
          <w:p w14:paraId="39A6CBF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392 258,7</w:t>
            </w:r>
          </w:p>
        </w:tc>
        <w:tc>
          <w:tcPr>
            <w:tcW w:w="992" w:type="dxa"/>
            <w:tcBorders>
              <w:top w:val="single" w:sz="4" w:space="0" w:color="auto"/>
              <w:left w:val="nil"/>
              <w:bottom w:val="single" w:sz="4" w:space="0" w:color="auto"/>
              <w:right w:val="single" w:sz="4" w:space="0" w:color="auto"/>
            </w:tcBorders>
            <w:vAlign w:val="center"/>
          </w:tcPr>
          <w:p w14:paraId="4EEBF030"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113 450,9</w:t>
            </w:r>
          </w:p>
        </w:tc>
        <w:tc>
          <w:tcPr>
            <w:tcW w:w="851" w:type="dxa"/>
            <w:tcBorders>
              <w:top w:val="single" w:sz="4" w:space="0" w:color="auto"/>
              <w:left w:val="single" w:sz="4" w:space="0" w:color="auto"/>
              <w:bottom w:val="single" w:sz="4" w:space="0" w:color="auto"/>
              <w:right w:val="single" w:sz="4" w:space="0" w:color="auto"/>
            </w:tcBorders>
            <w:vAlign w:val="center"/>
          </w:tcPr>
          <w:p w14:paraId="4C6A4E6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140,7</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254DE37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245 212,3</w:t>
            </w:r>
          </w:p>
        </w:tc>
        <w:tc>
          <w:tcPr>
            <w:tcW w:w="851" w:type="dxa"/>
            <w:tcBorders>
              <w:top w:val="nil"/>
              <w:left w:val="nil"/>
              <w:bottom w:val="single" w:sz="4" w:space="0" w:color="auto"/>
              <w:right w:val="single" w:sz="4" w:space="0" w:color="auto"/>
            </w:tcBorders>
            <w:shd w:val="clear" w:color="auto" w:fill="auto"/>
            <w:vAlign w:val="center"/>
            <w:hideMark/>
          </w:tcPr>
          <w:p w14:paraId="381CFCB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9,7</w:t>
            </w:r>
          </w:p>
        </w:tc>
        <w:tc>
          <w:tcPr>
            <w:tcW w:w="850" w:type="dxa"/>
            <w:tcBorders>
              <w:top w:val="nil"/>
              <w:left w:val="nil"/>
              <w:bottom w:val="single" w:sz="4" w:space="0" w:color="auto"/>
              <w:right w:val="single" w:sz="4" w:space="0" w:color="auto"/>
            </w:tcBorders>
            <w:shd w:val="clear" w:color="auto" w:fill="auto"/>
            <w:vAlign w:val="center"/>
            <w:hideMark/>
          </w:tcPr>
          <w:p w14:paraId="4B18BFB1"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62,5</w:t>
            </w:r>
          </w:p>
        </w:tc>
      </w:tr>
      <w:tr w:rsidR="00700EC1" w:rsidRPr="00213A5D" w14:paraId="28901AD6"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0E5B9EE1"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Культура, кинематография </w:t>
            </w:r>
          </w:p>
        </w:tc>
        <w:tc>
          <w:tcPr>
            <w:tcW w:w="1134" w:type="dxa"/>
            <w:tcBorders>
              <w:top w:val="nil"/>
              <w:left w:val="nil"/>
              <w:bottom w:val="single" w:sz="4" w:space="0" w:color="auto"/>
              <w:right w:val="single" w:sz="4" w:space="0" w:color="auto"/>
            </w:tcBorders>
            <w:shd w:val="clear" w:color="auto" w:fill="auto"/>
            <w:vAlign w:val="center"/>
            <w:hideMark/>
          </w:tcPr>
          <w:p w14:paraId="6BEAE990"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32 655,4</w:t>
            </w:r>
          </w:p>
        </w:tc>
        <w:tc>
          <w:tcPr>
            <w:tcW w:w="1134" w:type="dxa"/>
            <w:tcBorders>
              <w:top w:val="nil"/>
              <w:left w:val="nil"/>
              <w:bottom w:val="single" w:sz="4" w:space="0" w:color="auto"/>
              <w:right w:val="single" w:sz="4" w:space="0" w:color="auto"/>
            </w:tcBorders>
            <w:shd w:val="clear" w:color="auto" w:fill="auto"/>
            <w:vAlign w:val="center"/>
            <w:hideMark/>
          </w:tcPr>
          <w:p w14:paraId="2E0F329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34 272,1</w:t>
            </w:r>
          </w:p>
        </w:tc>
        <w:tc>
          <w:tcPr>
            <w:tcW w:w="992" w:type="dxa"/>
            <w:tcBorders>
              <w:top w:val="single" w:sz="4" w:space="0" w:color="auto"/>
              <w:left w:val="nil"/>
              <w:bottom w:val="single" w:sz="4" w:space="0" w:color="auto"/>
              <w:right w:val="single" w:sz="4" w:space="0" w:color="auto"/>
            </w:tcBorders>
            <w:vAlign w:val="center"/>
          </w:tcPr>
          <w:p w14:paraId="1815DA9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1 616,7</w:t>
            </w:r>
          </w:p>
        </w:tc>
        <w:tc>
          <w:tcPr>
            <w:tcW w:w="851" w:type="dxa"/>
            <w:tcBorders>
              <w:top w:val="single" w:sz="4" w:space="0" w:color="auto"/>
              <w:left w:val="single" w:sz="4" w:space="0" w:color="auto"/>
              <w:bottom w:val="single" w:sz="4" w:space="0" w:color="auto"/>
              <w:right w:val="single" w:sz="4" w:space="0" w:color="auto"/>
            </w:tcBorders>
            <w:vAlign w:val="center"/>
          </w:tcPr>
          <w:p w14:paraId="196FFB7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105</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780E126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24 452,1</w:t>
            </w:r>
          </w:p>
        </w:tc>
        <w:tc>
          <w:tcPr>
            <w:tcW w:w="851" w:type="dxa"/>
            <w:tcBorders>
              <w:top w:val="nil"/>
              <w:left w:val="nil"/>
              <w:bottom w:val="single" w:sz="4" w:space="0" w:color="auto"/>
              <w:right w:val="single" w:sz="4" w:space="0" w:color="auto"/>
            </w:tcBorders>
            <w:shd w:val="clear" w:color="auto" w:fill="auto"/>
            <w:vAlign w:val="center"/>
            <w:hideMark/>
          </w:tcPr>
          <w:p w14:paraId="4EE549B8"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4D49F02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71,3</w:t>
            </w:r>
          </w:p>
        </w:tc>
      </w:tr>
      <w:tr w:rsidR="00700EC1" w:rsidRPr="00213A5D" w14:paraId="4945947E"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3B623C77"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Здравоохранение </w:t>
            </w:r>
          </w:p>
        </w:tc>
        <w:tc>
          <w:tcPr>
            <w:tcW w:w="1134" w:type="dxa"/>
            <w:tcBorders>
              <w:top w:val="nil"/>
              <w:left w:val="nil"/>
              <w:bottom w:val="single" w:sz="4" w:space="0" w:color="auto"/>
              <w:right w:val="single" w:sz="4" w:space="0" w:color="auto"/>
            </w:tcBorders>
            <w:shd w:val="clear" w:color="auto" w:fill="auto"/>
            <w:vAlign w:val="center"/>
            <w:hideMark/>
          </w:tcPr>
          <w:p w14:paraId="42B667F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261 891,3</w:t>
            </w:r>
          </w:p>
        </w:tc>
        <w:tc>
          <w:tcPr>
            <w:tcW w:w="1134" w:type="dxa"/>
            <w:tcBorders>
              <w:top w:val="nil"/>
              <w:left w:val="nil"/>
              <w:bottom w:val="single" w:sz="4" w:space="0" w:color="auto"/>
              <w:right w:val="single" w:sz="4" w:space="0" w:color="auto"/>
            </w:tcBorders>
            <w:shd w:val="clear" w:color="auto" w:fill="auto"/>
            <w:vAlign w:val="center"/>
            <w:hideMark/>
          </w:tcPr>
          <w:p w14:paraId="6ABF3430"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322 591,9</w:t>
            </w:r>
          </w:p>
        </w:tc>
        <w:tc>
          <w:tcPr>
            <w:tcW w:w="992" w:type="dxa"/>
            <w:tcBorders>
              <w:top w:val="single" w:sz="4" w:space="0" w:color="auto"/>
              <w:left w:val="nil"/>
              <w:bottom w:val="single" w:sz="4" w:space="0" w:color="auto"/>
              <w:right w:val="single" w:sz="4" w:space="0" w:color="auto"/>
            </w:tcBorders>
            <w:vAlign w:val="center"/>
          </w:tcPr>
          <w:p w14:paraId="4441FDE3"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60 700,7</w:t>
            </w:r>
          </w:p>
        </w:tc>
        <w:tc>
          <w:tcPr>
            <w:tcW w:w="851" w:type="dxa"/>
            <w:tcBorders>
              <w:top w:val="single" w:sz="4" w:space="0" w:color="auto"/>
              <w:left w:val="single" w:sz="4" w:space="0" w:color="auto"/>
              <w:bottom w:val="single" w:sz="4" w:space="0" w:color="auto"/>
              <w:right w:val="single" w:sz="4" w:space="0" w:color="auto"/>
            </w:tcBorders>
            <w:vAlign w:val="center"/>
          </w:tcPr>
          <w:p w14:paraId="32B5CF3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123,2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3DC7F4E"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192 884,6</w:t>
            </w:r>
          </w:p>
        </w:tc>
        <w:tc>
          <w:tcPr>
            <w:tcW w:w="851" w:type="dxa"/>
            <w:tcBorders>
              <w:top w:val="nil"/>
              <w:left w:val="nil"/>
              <w:bottom w:val="single" w:sz="4" w:space="0" w:color="auto"/>
              <w:right w:val="single" w:sz="4" w:space="0" w:color="auto"/>
            </w:tcBorders>
            <w:shd w:val="clear" w:color="auto" w:fill="auto"/>
            <w:vAlign w:val="center"/>
            <w:hideMark/>
          </w:tcPr>
          <w:p w14:paraId="3D0C778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7,6</w:t>
            </w:r>
          </w:p>
        </w:tc>
        <w:tc>
          <w:tcPr>
            <w:tcW w:w="850" w:type="dxa"/>
            <w:tcBorders>
              <w:top w:val="nil"/>
              <w:left w:val="nil"/>
              <w:bottom w:val="single" w:sz="4" w:space="0" w:color="auto"/>
              <w:right w:val="single" w:sz="4" w:space="0" w:color="auto"/>
            </w:tcBorders>
            <w:shd w:val="clear" w:color="auto" w:fill="auto"/>
            <w:vAlign w:val="center"/>
            <w:hideMark/>
          </w:tcPr>
          <w:p w14:paraId="2252459E"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59,8</w:t>
            </w:r>
          </w:p>
        </w:tc>
      </w:tr>
      <w:tr w:rsidR="00700EC1" w:rsidRPr="00213A5D" w14:paraId="24BB7881"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0D5E744D"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Социальная политика </w:t>
            </w:r>
          </w:p>
        </w:tc>
        <w:tc>
          <w:tcPr>
            <w:tcW w:w="1134" w:type="dxa"/>
            <w:tcBorders>
              <w:top w:val="nil"/>
              <w:left w:val="nil"/>
              <w:bottom w:val="single" w:sz="4" w:space="0" w:color="auto"/>
              <w:right w:val="single" w:sz="4" w:space="0" w:color="auto"/>
            </w:tcBorders>
            <w:shd w:val="clear" w:color="auto" w:fill="auto"/>
            <w:vAlign w:val="center"/>
            <w:hideMark/>
          </w:tcPr>
          <w:p w14:paraId="7BA06F3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823 976,7</w:t>
            </w:r>
          </w:p>
        </w:tc>
        <w:tc>
          <w:tcPr>
            <w:tcW w:w="1134" w:type="dxa"/>
            <w:tcBorders>
              <w:top w:val="nil"/>
              <w:left w:val="nil"/>
              <w:bottom w:val="single" w:sz="4" w:space="0" w:color="auto"/>
              <w:right w:val="single" w:sz="4" w:space="0" w:color="auto"/>
            </w:tcBorders>
            <w:shd w:val="clear" w:color="auto" w:fill="auto"/>
            <w:vAlign w:val="center"/>
            <w:hideMark/>
          </w:tcPr>
          <w:p w14:paraId="54D832A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867 888,9</w:t>
            </w:r>
          </w:p>
        </w:tc>
        <w:tc>
          <w:tcPr>
            <w:tcW w:w="992" w:type="dxa"/>
            <w:tcBorders>
              <w:top w:val="single" w:sz="4" w:space="0" w:color="auto"/>
              <w:left w:val="nil"/>
              <w:bottom w:val="single" w:sz="4" w:space="0" w:color="auto"/>
              <w:right w:val="single" w:sz="4" w:space="0" w:color="auto"/>
            </w:tcBorders>
            <w:vAlign w:val="center"/>
          </w:tcPr>
          <w:p w14:paraId="051C1334"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43 912,2</w:t>
            </w:r>
          </w:p>
        </w:tc>
        <w:tc>
          <w:tcPr>
            <w:tcW w:w="851" w:type="dxa"/>
            <w:tcBorders>
              <w:top w:val="single" w:sz="4" w:space="0" w:color="auto"/>
              <w:left w:val="single" w:sz="4" w:space="0" w:color="auto"/>
              <w:bottom w:val="single" w:sz="4" w:space="0" w:color="auto"/>
              <w:right w:val="single" w:sz="4" w:space="0" w:color="auto"/>
            </w:tcBorders>
            <w:vAlign w:val="center"/>
          </w:tcPr>
          <w:p w14:paraId="21195FE6"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105,3</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580C24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645 295,9</w:t>
            </w:r>
          </w:p>
        </w:tc>
        <w:tc>
          <w:tcPr>
            <w:tcW w:w="851" w:type="dxa"/>
            <w:tcBorders>
              <w:top w:val="nil"/>
              <w:left w:val="nil"/>
              <w:bottom w:val="single" w:sz="4" w:space="0" w:color="auto"/>
              <w:right w:val="single" w:sz="4" w:space="0" w:color="auto"/>
            </w:tcBorders>
            <w:shd w:val="clear" w:color="auto" w:fill="auto"/>
            <w:vAlign w:val="center"/>
            <w:hideMark/>
          </w:tcPr>
          <w:p w14:paraId="17A957AA"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25,4</w:t>
            </w:r>
          </w:p>
        </w:tc>
        <w:tc>
          <w:tcPr>
            <w:tcW w:w="850" w:type="dxa"/>
            <w:tcBorders>
              <w:top w:val="nil"/>
              <w:left w:val="nil"/>
              <w:bottom w:val="single" w:sz="4" w:space="0" w:color="auto"/>
              <w:right w:val="single" w:sz="4" w:space="0" w:color="auto"/>
            </w:tcBorders>
            <w:shd w:val="clear" w:color="auto" w:fill="auto"/>
            <w:vAlign w:val="center"/>
            <w:hideMark/>
          </w:tcPr>
          <w:p w14:paraId="5694C7A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74,4</w:t>
            </w:r>
          </w:p>
        </w:tc>
      </w:tr>
      <w:tr w:rsidR="00700EC1" w:rsidRPr="00213A5D" w14:paraId="1C59A9E5"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470AC0DC"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Физическая культура и спорт </w:t>
            </w:r>
          </w:p>
        </w:tc>
        <w:tc>
          <w:tcPr>
            <w:tcW w:w="1134" w:type="dxa"/>
            <w:tcBorders>
              <w:top w:val="nil"/>
              <w:left w:val="nil"/>
              <w:bottom w:val="single" w:sz="4" w:space="0" w:color="auto"/>
              <w:right w:val="single" w:sz="4" w:space="0" w:color="auto"/>
            </w:tcBorders>
            <w:shd w:val="clear" w:color="auto" w:fill="auto"/>
            <w:vAlign w:val="center"/>
            <w:hideMark/>
          </w:tcPr>
          <w:p w14:paraId="0295832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35 516,2</w:t>
            </w:r>
          </w:p>
        </w:tc>
        <w:tc>
          <w:tcPr>
            <w:tcW w:w="1134" w:type="dxa"/>
            <w:tcBorders>
              <w:top w:val="nil"/>
              <w:left w:val="nil"/>
              <w:bottom w:val="single" w:sz="4" w:space="0" w:color="auto"/>
              <w:right w:val="single" w:sz="4" w:space="0" w:color="auto"/>
            </w:tcBorders>
            <w:shd w:val="clear" w:color="auto" w:fill="auto"/>
            <w:vAlign w:val="center"/>
            <w:hideMark/>
          </w:tcPr>
          <w:p w14:paraId="3CD530BB"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45 589,0</w:t>
            </w:r>
          </w:p>
        </w:tc>
        <w:tc>
          <w:tcPr>
            <w:tcW w:w="992" w:type="dxa"/>
            <w:tcBorders>
              <w:top w:val="single" w:sz="4" w:space="0" w:color="auto"/>
              <w:left w:val="nil"/>
              <w:bottom w:val="single" w:sz="4" w:space="0" w:color="auto"/>
              <w:right w:val="single" w:sz="4" w:space="0" w:color="auto"/>
            </w:tcBorders>
            <w:vAlign w:val="center"/>
          </w:tcPr>
          <w:p w14:paraId="59BB4D4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10 072,8</w:t>
            </w:r>
          </w:p>
        </w:tc>
        <w:tc>
          <w:tcPr>
            <w:tcW w:w="851" w:type="dxa"/>
            <w:tcBorders>
              <w:top w:val="single" w:sz="4" w:space="0" w:color="auto"/>
              <w:left w:val="single" w:sz="4" w:space="0" w:color="auto"/>
              <w:bottom w:val="single" w:sz="4" w:space="0" w:color="auto"/>
              <w:right w:val="single" w:sz="4" w:space="0" w:color="auto"/>
            </w:tcBorders>
            <w:vAlign w:val="center"/>
          </w:tcPr>
          <w:p w14:paraId="01916BE0"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128,4</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2E42F3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25 361,1</w:t>
            </w:r>
          </w:p>
        </w:tc>
        <w:tc>
          <w:tcPr>
            <w:tcW w:w="851" w:type="dxa"/>
            <w:tcBorders>
              <w:top w:val="nil"/>
              <w:left w:val="nil"/>
              <w:bottom w:val="single" w:sz="4" w:space="0" w:color="auto"/>
              <w:right w:val="single" w:sz="4" w:space="0" w:color="auto"/>
            </w:tcBorders>
            <w:shd w:val="clear" w:color="auto" w:fill="auto"/>
            <w:vAlign w:val="center"/>
            <w:hideMark/>
          </w:tcPr>
          <w:p w14:paraId="46F52036" w14:textId="77777777" w:rsidR="00700EC1" w:rsidRPr="00213A5D" w:rsidRDefault="00987305"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44E18FE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55,6</w:t>
            </w:r>
          </w:p>
        </w:tc>
      </w:tr>
      <w:tr w:rsidR="00700EC1" w:rsidRPr="00213A5D" w14:paraId="79B00BEB" w14:textId="77777777" w:rsidTr="00CE07BB">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36D77309" w14:textId="77777777" w:rsidR="00700EC1" w:rsidRPr="00213A5D" w:rsidRDefault="00700EC1" w:rsidP="00837B00">
            <w:pPr>
              <w:widowControl w:val="0"/>
              <w:overflowPunct/>
              <w:autoSpaceDE/>
              <w:autoSpaceDN/>
              <w:adjustRightInd/>
              <w:spacing w:line="240" w:lineRule="auto"/>
              <w:ind w:left="0" w:right="0" w:firstLine="0"/>
              <w:textAlignment w:val="auto"/>
              <w:rPr>
                <w:rFonts w:eastAsia="Times New Roman"/>
                <w:sz w:val="18"/>
                <w:szCs w:val="20"/>
              </w:rPr>
            </w:pPr>
            <w:r w:rsidRPr="00213A5D">
              <w:rPr>
                <w:rFonts w:eastAsia="Times New Roman"/>
                <w:sz w:val="18"/>
                <w:szCs w:val="20"/>
              </w:rPr>
              <w:t xml:space="preserve">Межбюджетные трансферты общего характера бюджетам бюджетной системы Российской Федерации </w:t>
            </w:r>
          </w:p>
        </w:tc>
        <w:tc>
          <w:tcPr>
            <w:tcW w:w="1134" w:type="dxa"/>
            <w:tcBorders>
              <w:top w:val="nil"/>
              <w:left w:val="nil"/>
              <w:bottom w:val="single" w:sz="4" w:space="0" w:color="auto"/>
              <w:right w:val="single" w:sz="4" w:space="0" w:color="auto"/>
            </w:tcBorders>
            <w:shd w:val="clear" w:color="auto" w:fill="auto"/>
            <w:vAlign w:val="center"/>
            <w:hideMark/>
          </w:tcPr>
          <w:p w14:paraId="0264E6A2"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1 046 965,4</w:t>
            </w:r>
          </w:p>
        </w:tc>
        <w:tc>
          <w:tcPr>
            <w:tcW w:w="1134" w:type="dxa"/>
            <w:tcBorders>
              <w:top w:val="nil"/>
              <w:left w:val="nil"/>
              <w:bottom w:val="single" w:sz="4" w:space="0" w:color="auto"/>
              <w:right w:val="single" w:sz="4" w:space="0" w:color="auto"/>
            </w:tcBorders>
            <w:shd w:val="clear" w:color="auto" w:fill="auto"/>
            <w:vAlign w:val="center"/>
            <w:hideMark/>
          </w:tcPr>
          <w:p w14:paraId="73F07777"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1 083 459,1</w:t>
            </w:r>
          </w:p>
        </w:tc>
        <w:tc>
          <w:tcPr>
            <w:tcW w:w="992" w:type="dxa"/>
            <w:tcBorders>
              <w:top w:val="single" w:sz="4" w:space="0" w:color="auto"/>
              <w:left w:val="nil"/>
              <w:bottom w:val="single" w:sz="4" w:space="0" w:color="auto"/>
              <w:right w:val="single" w:sz="4" w:space="0" w:color="auto"/>
            </w:tcBorders>
            <w:vAlign w:val="center"/>
          </w:tcPr>
          <w:p w14:paraId="6B240D49"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36 493,7</w:t>
            </w:r>
          </w:p>
        </w:tc>
        <w:tc>
          <w:tcPr>
            <w:tcW w:w="851" w:type="dxa"/>
            <w:tcBorders>
              <w:top w:val="single" w:sz="4" w:space="0" w:color="auto"/>
              <w:left w:val="single" w:sz="4" w:space="0" w:color="auto"/>
              <w:bottom w:val="single" w:sz="4" w:space="0" w:color="auto"/>
              <w:right w:val="single" w:sz="4" w:space="0" w:color="auto"/>
            </w:tcBorders>
            <w:vAlign w:val="center"/>
          </w:tcPr>
          <w:p w14:paraId="611EA06E"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103,5</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EFD7FF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798 503,5</w:t>
            </w:r>
          </w:p>
        </w:tc>
        <w:tc>
          <w:tcPr>
            <w:tcW w:w="851" w:type="dxa"/>
            <w:tcBorders>
              <w:top w:val="nil"/>
              <w:left w:val="nil"/>
              <w:bottom w:val="single" w:sz="4" w:space="0" w:color="auto"/>
              <w:right w:val="single" w:sz="4" w:space="0" w:color="auto"/>
            </w:tcBorders>
            <w:shd w:val="clear" w:color="auto" w:fill="auto"/>
            <w:vAlign w:val="center"/>
            <w:hideMark/>
          </w:tcPr>
          <w:p w14:paraId="0E23F98F"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31,5</w:t>
            </w:r>
          </w:p>
        </w:tc>
        <w:tc>
          <w:tcPr>
            <w:tcW w:w="850" w:type="dxa"/>
            <w:tcBorders>
              <w:top w:val="nil"/>
              <w:left w:val="nil"/>
              <w:bottom w:val="single" w:sz="4" w:space="0" w:color="auto"/>
              <w:right w:val="single" w:sz="4" w:space="0" w:color="auto"/>
            </w:tcBorders>
            <w:shd w:val="clear" w:color="auto" w:fill="auto"/>
            <w:vAlign w:val="center"/>
            <w:hideMark/>
          </w:tcPr>
          <w:p w14:paraId="1529A51D" w14:textId="77777777" w:rsidR="00700EC1" w:rsidRPr="00213A5D" w:rsidRDefault="00700EC1" w:rsidP="00837B00">
            <w:pPr>
              <w:widowControl w:val="0"/>
              <w:overflowPunct/>
              <w:autoSpaceDE/>
              <w:autoSpaceDN/>
              <w:adjustRightInd/>
              <w:spacing w:line="240" w:lineRule="auto"/>
              <w:ind w:left="0" w:right="0" w:firstLine="0"/>
              <w:jc w:val="center"/>
              <w:textAlignment w:val="auto"/>
              <w:rPr>
                <w:rFonts w:eastAsia="Times New Roman"/>
                <w:sz w:val="16"/>
                <w:szCs w:val="20"/>
              </w:rPr>
            </w:pPr>
            <w:r w:rsidRPr="00213A5D">
              <w:rPr>
                <w:rFonts w:eastAsia="Times New Roman"/>
                <w:sz w:val="16"/>
                <w:szCs w:val="20"/>
              </w:rPr>
              <w:t>73,7</w:t>
            </w:r>
          </w:p>
        </w:tc>
      </w:tr>
    </w:tbl>
    <w:p w14:paraId="71C63406" w14:textId="77777777" w:rsidR="00700EC1" w:rsidRPr="00213A5D" w:rsidRDefault="00700EC1" w:rsidP="00CE07BB">
      <w:pPr>
        <w:widowControl w:val="0"/>
        <w:spacing w:line="240" w:lineRule="auto"/>
        <w:ind w:left="0" w:right="0"/>
        <w:rPr>
          <w:sz w:val="12"/>
          <w:szCs w:val="12"/>
        </w:rPr>
      </w:pPr>
    </w:p>
    <w:p w14:paraId="5BC6BB8B" w14:textId="77777777" w:rsidR="00700EC1" w:rsidRPr="00213A5D" w:rsidRDefault="00700EC1" w:rsidP="001711E8">
      <w:pPr>
        <w:widowControl w:val="0"/>
        <w:spacing w:line="331" w:lineRule="auto"/>
        <w:ind w:left="0" w:right="0"/>
        <w:rPr>
          <w:sz w:val="24"/>
          <w:szCs w:val="24"/>
        </w:rPr>
      </w:pPr>
      <w:r w:rsidRPr="00213A5D">
        <w:rPr>
          <w:sz w:val="24"/>
          <w:szCs w:val="24"/>
        </w:rPr>
        <w:t xml:space="preserve">Основной объем перечисленных межбюджетных трансфертов (85,5 %) приходится </w:t>
      </w:r>
      <w:r w:rsidR="00CE07BB" w:rsidRPr="00213A5D">
        <w:rPr>
          <w:sz w:val="24"/>
          <w:szCs w:val="24"/>
        </w:rPr>
        <w:br/>
      </w:r>
      <w:r w:rsidRPr="00213A5D">
        <w:rPr>
          <w:sz w:val="24"/>
          <w:szCs w:val="24"/>
        </w:rPr>
        <w:t xml:space="preserve">на разделы «Межбюджетные трансферты общего характера бюджетам бюджетной системы </w:t>
      </w:r>
      <w:r w:rsidRPr="00213A5D">
        <w:rPr>
          <w:sz w:val="24"/>
          <w:szCs w:val="24"/>
        </w:rPr>
        <w:lastRenderedPageBreak/>
        <w:t>Российской Федерации», «Образование» и «Национальная экономика». Ниже уровня исполнения за соответствующий период 2021 года исполнены расходы по разделам «Национальная оборона» и «Здравоохранение».</w:t>
      </w:r>
    </w:p>
    <w:p w14:paraId="7215BCF4" w14:textId="77777777" w:rsidR="00700EC1" w:rsidRPr="00213A5D" w:rsidRDefault="00700EC1" w:rsidP="001711E8">
      <w:pPr>
        <w:widowControl w:val="0"/>
        <w:spacing w:line="331" w:lineRule="auto"/>
        <w:ind w:left="0" w:right="-2"/>
        <w:rPr>
          <w:sz w:val="24"/>
          <w:szCs w:val="24"/>
        </w:rPr>
      </w:pPr>
      <w:r w:rsidRPr="00213A5D">
        <w:rPr>
          <w:b/>
          <w:sz w:val="24"/>
          <w:szCs w:val="24"/>
          <w:lang w:eastAsia="en-US"/>
        </w:rPr>
        <w:t>8.3.</w:t>
      </w:r>
      <w:r w:rsidRPr="00213A5D">
        <w:rPr>
          <w:sz w:val="24"/>
          <w:szCs w:val="24"/>
          <w:lang w:eastAsia="en-US"/>
        </w:rPr>
        <w:t xml:space="preserve"> </w:t>
      </w:r>
      <w:r w:rsidR="002D1A90" w:rsidRPr="00213A5D">
        <w:rPr>
          <w:sz w:val="24"/>
          <w:szCs w:val="24"/>
        </w:rPr>
        <w:t xml:space="preserve">В январе – </w:t>
      </w:r>
      <w:r w:rsidRPr="00213A5D">
        <w:rPr>
          <w:sz w:val="24"/>
          <w:szCs w:val="24"/>
        </w:rPr>
        <w:t xml:space="preserve">сентябре 2022 года межбюджетные трансферты увеличены в основном за счет выделения дополнительных средств на финансирование дорожной деятельности в отношении автомобильных дорог общего пользования регионального или межмуниципального местного значения (68 920,5 млн. рублей), реализацию мероприятий по модернизации школьных систем образования (66 880,0 млн. рублей), </w:t>
      </w:r>
      <w:r w:rsidRPr="00213A5D">
        <w:rPr>
          <w:sz w:val="24"/>
          <w:szCs w:val="24"/>
          <w:shd w:val="clear" w:color="auto" w:fill="FFFFFF"/>
        </w:rPr>
        <w:t xml:space="preserve">реализацию мероприятия федерального проекта «Содействие субъектам Российской Федерации в реализации адресной социальной поддержки граждан» (42 013,0 млн. рублей), </w:t>
      </w:r>
      <w:r w:rsidRPr="00213A5D">
        <w:rPr>
          <w:sz w:val="24"/>
          <w:szCs w:val="24"/>
        </w:rPr>
        <w:t>развитие инфраструктуры дорожного хозяйства (35 005,2 млн. рублей), реализацию комплекса процессных мероприятий «Активная политика занятости населения и социальная поддержка безработных граждан» (33 058,2 млн. рублей), поддержку мер по обеспечению сбалансированности бюджетов (24 562,7 млн. рублей), создание новых мест в общеобразовательных организациях (16 452,2 млн. рублей), а также за счет неиспользованных остатков бюджетных ассигнований, предусмотренных на предоставление межбюджетных трансфертов в 2021 году</w:t>
      </w:r>
      <w:r w:rsidRPr="00213A5D">
        <w:t xml:space="preserve"> </w:t>
      </w:r>
      <w:r w:rsidRPr="00213A5D">
        <w:rPr>
          <w:sz w:val="24"/>
          <w:szCs w:val="24"/>
        </w:rPr>
        <w:t>на оплату заключенных государственных (муниципальных) контрактов (50 855,5 млн. рублей).</w:t>
      </w:r>
    </w:p>
    <w:p w14:paraId="46FEC757" w14:textId="77777777" w:rsidR="00700EC1" w:rsidRPr="00213A5D" w:rsidRDefault="00700EC1" w:rsidP="001711E8">
      <w:pPr>
        <w:widowControl w:val="0"/>
        <w:spacing w:line="331" w:lineRule="auto"/>
        <w:ind w:left="0" w:right="-2"/>
        <w:rPr>
          <w:sz w:val="24"/>
          <w:szCs w:val="24"/>
          <w:shd w:val="clear" w:color="auto" w:fill="FFFFFF"/>
        </w:rPr>
      </w:pPr>
      <w:r w:rsidRPr="00213A5D">
        <w:rPr>
          <w:sz w:val="24"/>
          <w:szCs w:val="24"/>
          <w:shd w:val="clear" w:color="auto" w:fill="FFFFFF"/>
        </w:rPr>
        <w:t xml:space="preserve">В соответствии с общими подходами </w:t>
      </w:r>
      <w:r w:rsidR="002827E4" w:rsidRPr="00213A5D">
        <w:rPr>
          <w:sz w:val="24"/>
          <w:szCs w:val="24"/>
          <w:shd w:val="clear" w:color="auto" w:fill="FFFFFF"/>
        </w:rPr>
        <w:t>к</w:t>
      </w:r>
      <w:r w:rsidRPr="00213A5D">
        <w:rPr>
          <w:sz w:val="24"/>
          <w:szCs w:val="24"/>
          <w:shd w:val="clear" w:color="auto" w:fill="FFFFFF"/>
        </w:rPr>
        <w:t xml:space="preserve"> оптимизации и перераспределению расходов сводной росписью </w:t>
      </w:r>
      <w:r w:rsidRPr="00213A5D">
        <w:rPr>
          <w:b/>
          <w:sz w:val="24"/>
          <w:szCs w:val="24"/>
          <w:shd w:val="clear" w:color="auto" w:fill="FFFFFF"/>
        </w:rPr>
        <w:t>в полном объеме сокращены</w:t>
      </w:r>
      <w:r w:rsidRPr="00213A5D">
        <w:rPr>
          <w:sz w:val="24"/>
          <w:szCs w:val="24"/>
          <w:shd w:val="clear" w:color="auto" w:fill="FFFFFF"/>
        </w:rPr>
        <w:t xml:space="preserve"> бюджетные ассигнования на предоставление дотаций в целях частичной компенсации выпадающих доходов бюджетов субъектов Российской Федерации от применения инвестиционного налогового вычета (5 000,0 млн. рублей), в целях обеспечения сбалансированности бюджета Красноярского края (1 800,0 млн. рублей), на премирование победителей Всероссийского конкурса «Лучшая муниципальная практика» (1 000,0 млн. рублей).</w:t>
      </w:r>
    </w:p>
    <w:p w14:paraId="37322142" w14:textId="77777777" w:rsidR="00700EC1" w:rsidRPr="00213A5D" w:rsidRDefault="00700EC1" w:rsidP="001711E8">
      <w:pPr>
        <w:widowControl w:val="0"/>
        <w:spacing w:line="331" w:lineRule="auto"/>
        <w:ind w:left="0" w:right="-2"/>
        <w:rPr>
          <w:sz w:val="24"/>
          <w:szCs w:val="24"/>
          <w:shd w:val="clear" w:color="auto" w:fill="FFFFFF"/>
        </w:rPr>
      </w:pPr>
      <w:r w:rsidRPr="00213A5D">
        <w:rPr>
          <w:sz w:val="24"/>
          <w:szCs w:val="24"/>
          <w:shd w:val="clear" w:color="auto" w:fill="FFFFFF"/>
        </w:rPr>
        <w:t xml:space="preserve">Вместе с тем в соответствии с распоряжением Правительства Российской Федерации от 25 мая 2022 г. № 1287-р Минфину России </w:t>
      </w:r>
      <w:r w:rsidRPr="00213A5D">
        <w:rPr>
          <w:b/>
          <w:sz w:val="24"/>
          <w:szCs w:val="24"/>
          <w:shd w:val="clear" w:color="auto" w:fill="FFFFFF"/>
        </w:rPr>
        <w:t>вновь выделены</w:t>
      </w:r>
      <w:r w:rsidRPr="00213A5D">
        <w:rPr>
          <w:sz w:val="24"/>
          <w:szCs w:val="24"/>
          <w:shd w:val="clear" w:color="auto" w:fill="FFFFFF"/>
        </w:rPr>
        <w:t xml:space="preserve"> дотации на премирование победителей Всероссийского конкурса «Лучшая муниципальная практика» в объеме 900,0 млн. рублей.</w:t>
      </w:r>
    </w:p>
    <w:p w14:paraId="1932B3DA" w14:textId="77777777" w:rsidR="00700EC1" w:rsidRPr="00213A5D" w:rsidRDefault="00700EC1" w:rsidP="001711E8">
      <w:pPr>
        <w:widowControl w:val="0"/>
        <w:spacing w:line="331" w:lineRule="auto"/>
        <w:ind w:left="0" w:right="-2"/>
        <w:rPr>
          <w:sz w:val="24"/>
          <w:szCs w:val="24"/>
          <w:shd w:val="clear" w:color="auto" w:fill="FFFFFF"/>
        </w:rPr>
      </w:pPr>
      <w:r w:rsidRPr="00213A5D">
        <w:rPr>
          <w:sz w:val="24"/>
          <w:szCs w:val="24"/>
          <w:shd w:val="clear" w:color="auto" w:fill="FFFFFF"/>
        </w:rPr>
        <w:t>Следует отметить, что кассовое исполнение по дотации на поддержку мер по обеспечению сбалансированности бюджетов в отчетном периоде составило 2 128,6 млн. рублей, или 21,5 % показателя сводной росписи (1 830,6 млн. рублей перечислено бюджету Республики Ингушетия, 298,0 млн. рублей – бюджету Саратовской области).</w:t>
      </w:r>
    </w:p>
    <w:p w14:paraId="492A61A0" w14:textId="77777777" w:rsidR="00700EC1" w:rsidRPr="00213A5D" w:rsidRDefault="00700EC1" w:rsidP="001711E8">
      <w:pPr>
        <w:widowControl w:val="0"/>
        <w:spacing w:line="331" w:lineRule="auto"/>
        <w:ind w:left="0" w:right="-2"/>
        <w:rPr>
          <w:sz w:val="24"/>
          <w:lang w:eastAsia="en-US"/>
        </w:rPr>
      </w:pPr>
      <w:r w:rsidRPr="00213A5D">
        <w:rPr>
          <w:sz w:val="24"/>
        </w:rPr>
        <w:t xml:space="preserve">В отчетном периоде в соответствии постановлением Правительства </w:t>
      </w:r>
      <w:r w:rsidRPr="00213A5D">
        <w:rPr>
          <w:sz w:val="24"/>
          <w:lang w:eastAsia="en-US"/>
        </w:rPr>
        <w:t>Российской Федерации от 17 марта 2022 г. № 391</w:t>
      </w:r>
      <w:r w:rsidRPr="00213A5D">
        <w:rPr>
          <w:sz w:val="24"/>
          <w:vertAlign w:val="superscript"/>
          <w:lang w:eastAsia="en-US"/>
        </w:rPr>
        <w:t xml:space="preserve"> </w:t>
      </w:r>
      <w:r w:rsidRPr="00213A5D">
        <w:rPr>
          <w:sz w:val="24"/>
          <w:lang w:eastAsia="en-US"/>
        </w:rPr>
        <w:t xml:space="preserve">в сводную роспись внесены изменения </w:t>
      </w:r>
      <w:r w:rsidRPr="00213A5D">
        <w:rPr>
          <w:b/>
          <w:sz w:val="24"/>
          <w:lang w:eastAsia="en-US"/>
        </w:rPr>
        <w:t>по перераспределению</w:t>
      </w:r>
      <w:r w:rsidRPr="00213A5D">
        <w:rPr>
          <w:sz w:val="24"/>
          <w:lang w:eastAsia="en-US"/>
        </w:rPr>
        <w:t xml:space="preserve"> бюджетных ассигнований </w:t>
      </w:r>
      <w:r w:rsidRPr="00213A5D">
        <w:rPr>
          <w:b/>
          <w:sz w:val="24"/>
          <w:lang w:eastAsia="en-US"/>
        </w:rPr>
        <w:t xml:space="preserve">на финансовое обеспечение мероприятий, связанных </w:t>
      </w:r>
      <w:r w:rsidR="002D1A90" w:rsidRPr="00213A5D">
        <w:rPr>
          <w:b/>
          <w:sz w:val="24"/>
          <w:lang w:eastAsia="en-US"/>
        </w:rPr>
        <w:t xml:space="preserve">с </w:t>
      </w:r>
      <w:r w:rsidRPr="00213A5D">
        <w:rPr>
          <w:b/>
          <w:sz w:val="24"/>
          <w:lang w:eastAsia="en-US"/>
        </w:rPr>
        <w:t>предотвращением влияния ухудшения геополитической и экономической ситуации на развитие отраслей экономики</w:t>
      </w:r>
      <w:r w:rsidRPr="00213A5D">
        <w:rPr>
          <w:sz w:val="24"/>
          <w:lang w:eastAsia="en-US"/>
        </w:rPr>
        <w:t xml:space="preserve">. В результате перераспределения бюджетные </w:t>
      </w:r>
      <w:r w:rsidRPr="00213A5D">
        <w:rPr>
          <w:sz w:val="24"/>
          <w:lang w:eastAsia="en-US"/>
        </w:rPr>
        <w:lastRenderedPageBreak/>
        <w:t>ассигнования, предусмотренные сводной росписью на предоставление межбюджетных трансфертов сократились на 5 684,7 млн. рублей, при этом положительные изменения составили (+)11 962,5 млн. рублей, отрицательные – (-)17 647,2 млн. рублей.</w:t>
      </w:r>
    </w:p>
    <w:p w14:paraId="79F01023" w14:textId="77777777" w:rsidR="00700EC1" w:rsidRPr="00213A5D" w:rsidRDefault="00700EC1" w:rsidP="001711E8">
      <w:pPr>
        <w:widowControl w:val="0"/>
        <w:spacing w:line="331" w:lineRule="auto"/>
        <w:ind w:left="0" w:right="0"/>
        <w:rPr>
          <w:sz w:val="24"/>
          <w:szCs w:val="24"/>
        </w:rPr>
      </w:pPr>
      <w:r w:rsidRPr="00213A5D">
        <w:rPr>
          <w:b/>
          <w:sz w:val="24"/>
          <w:szCs w:val="26"/>
        </w:rPr>
        <w:t>8.4. И</w:t>
      </w:r>
      <w:r w:rsidRPr="00213A5D">
        <w:rPr>
          <w:b/>
          <w:sz w:val="24"/>
          <w:szCs w:val="24"/>
        </w:rPr>
        <w:t>сполнение</w:t>
      </w:r>
      <w:r w:rsidRPr="00213A5D">
        <w:rPr>
          <w:sz w:val="24"/>
          <w:szCs w:val="24"/>
        </w:rPr>
        <w:t xml:space="preserve"> межбюджетных трансфертов в январе – сентябре</w:t>
      </w:r>
      <w:r w:rsidRPr="00213A5D">
        <w:rPr>
          <w:bCs/>
          <w:sz w:val="24"/>
          <w:szCs w:val="24"/>
        </w:rPr>
        <w:t xml:space="preserve"> </w:t>
      </w:r>
      <w:r w:rsidRPr="00213A5D">
        <w:rPr>
          <w:sz w:val="24"/>
          <w:szCs w:val="24"/>
        </w:rPr>
        <w:t xml:space="preserve">2022 года </w:t>
      </w:r>
      <w:r w:rsidRPr="00213A5D">
        <w:rPr>
          <w:b/>
          <w:sz w:val="24"/>
          <w:szCs w:val="24"/>
        </w:rPr>
        <w:t>осуществлено по 40 из 41 главного распорядителя</w:t>
      </w:r>
      <w:r w:rsidRPr="00213A5D">
        <w:rPr>
          <w:sz w:val="24"/>
          <w:szCs w:val="24"/>
        </w:rPr>
        <w:t xml:space="preserve">, которым предусмотрены межбюджетные трансферты сводной росписью по состоянию на 1 октября 2022 года. Уровень исполнения расходов </w:t>
      </w:r>
      <w:r w:rsidRPr="00213A5D">
        <w:rPr>
          <w:b/>
          <w:sz w:val="24"/>
          <w:szCs w:val="24"/>
        </w:rPr>
        <w:t>по 7</w:t>
      </w:r>
      <w:r w:rsidRPr="00213A5D">
        <w:rPr>
          <w:b/>
          <w:sz w:val="24"/>
          <w:szCs w:val="24"/>
          <w:lang w:val="en-US"/>
        </w:rPr>
        <w:t> </w:t>
      </w:r>
      <w:r w:rsidRPr="00213A5D">
        <w:rPr>
          <w:b/>
          <w:sz w:val="24"/>
          <w:szCs w:val="24"/>
        </w:rPr>
        <w:t xml:space="preserve">главным распорядителям </w:t>
      </w:r>
      <w:r w:rsidRPr="00213A5D">
        <w:rPr>
          <w:sz w:val="24"/>
          <w:szCs w:val="24"/>
        </w:rPr>
        <w:t>составил менее 40 % показателя сводной росписи с изменениями (за январь – сентябрь</w:t>
      </w:r>
      <w:r w:rsidRPr="00213A5D">
        <w:rPr>
          <w:bCs/>
          <w:sz w:val="24"/>
          <w:szCs w:val="24"/>
        </w:rPr>
        <w:t xml:space="preserve"> </w:t>
      </w:r>
      <w:r w:rsidRPr="00213A5D">
        <w:rPr>
          <w:sz w:val="24"/>
          <w:szCs w:val="24"/>
        </w:rPr>
        <w:t>2021 года по 11 главным распорядителям). Информация представлена на следующей диаграмме.</w:t>
      </w:r>
    </w:p>
    <w:p w14:paraId="09A806D4" w14:textId="77777777" w:rsidR="00700EC1" w:rsidRPr="00213A5D" w:rsidRDefault="00CD0E98" w:rsidP="00AF1852">
      <w:pPr>
        <w:widowControl w:val="0"/>
        <w:ind w:left="0" w:right="-2" w:firstLine="0"/>
        <w:jc w:val="center"/>
        <w:rPr>
          <w:sz w:val="24"/>
        </w:rPr>
      </w:pPr>
      <w:r w:rsidRPr="00367C8F">
        <w:rPr>
          <w:noProof/>
        </w:rPr>
        <w:pict w14:anchorId="1A04FBA9">
          <v:shape id="Рисунок 37" o:spid="_x0000_i1046" type="#_x0000_t75" style="width:469.35pt;height:165.05pt;visibility:visible" o:gfxdata="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">
            <v:imagedata r:id="rId57" o:title="" croptop="-2048f" cropleft="-5461f" cropright="-250f"/>
            <o:lock v:ext="edit" aspectratio="f"/>
          </v:shape>
        </w:pict>
      </w:r>
    </w:p>
    <w:p w14:paraId="0E1AAD17" w14:textId="77777777" w:rsidR="00700EC1" w:rsidRPr="00213A5D" w:rsidRDefault="00700EC1" w:rsidP="00EB2DCA">
      <w:pPr>
        <w:widowControl w:val="0"/>
        <w:spacing w:line="331" w:lineRule="auto"/>
        <w:ind w:left="0" w:right="0"/>
        <w:rPr>
          <w:sz w:val="24"/>
          <w:szCs w:val="24"/>
        </w:rPr>
      </w:pPr>
      <w:r w:rsidRPr="00213A5D">
        <w:rPr>
          <w:b/>
          <w:sz w:val="24"/>
          <w:szCs w:val="24"/>
        </w:rPr>
        <w:t>Не осуществлялось перечисление</w:t>
      </w:r>
      <w:r w:rsidRPr="00213A5D">
        <w:rPr>
          <w:sz w:val="24"/>
          <w:szCs w:val="24"/>
        </w:rPr>
        <w:t xml:space="preserve"> межбюджетных трансфертов ФАС России по субсидии территориальным сетевым организациям, функционирующим в Республике Тыва, на компенсацию выпадающих доходов, образованных вследствие установления тарифов на услуги по передаче электрической энергии ниже экономически обоснованного уровня в сумме 492,4 млн. рублей.</w:t>
      </w:r>
    </w:p>
    <w:p w14:paraId="306EF611" w14:textId="77777777" w:rsidR="00700EC1" w:rsidRPr="00213A5D" w:rsidRDefault="00700EC1" w:rsidP="00EB2DCA">
      <w:pPr>
        <w:widowControl w:val="0"/>
        <w:spacing w:line="331" w:lineRule="auto"/>
        <w:ind w:left="0" w:right="0"/>
        <w:rPr>
          <w:rFonts w:eastAsia="Times New Roman"/>
          <w:spacing w:val="-2"/>
          <w:sz w:val="24"/>
          <w:szCs w:val="24"/>
        </w:rPr>
      </w:pPr>
      <w:r w:rsidRPr="00213A5D">
        <w:rPr>
          <w:b/>
          <w:sz w:val="24"/>
          <w:szCs w:val="24"/>
        </w:rPr>
        <w:t xml:space="preserve">8.5. </w:t>
      </w:r>
      <w:r w:rsidRPr="00213A5D">
        <w:rPr>
          <w:rFonts w:eastAsia="Times New Roman"/>
          <w:spacing w:val="-2"/>
          <w:sz w:val="24"/>
          <w:szCs w:val="24"/>
        </w:rPr>
        <w:t xml:space="preserve">Основными </w:t>
      </w:r>
      <w:r w:rsidRPr="00213A5D">
        <w:rPr>
          <w:rFonts w:eastAsia="Times New Roman"/>
          <w:b/>
          <w:spacing w:val="-2"/>
          <w:sz w:val="24"/>
          <w:szCs w:val="24"/>
        </w:rPr>
        <w:t>причинами</w:t>
      </w:r>
      <w:r w:rsidRPr="00213A5D">
        <w:rPr>
          <w:rFonts w:eastAsia="Times New Roman"/>
          <w:spacing w:val="-2"/>
          <w:sz w:val="24"/>
          <w:szCs w:val="24"/>
        </w:rPr>
        <w:t xml:space="preserve"> неосуществления или низкого уровня исполнения межбюджетных трансфертов являются: </w:t>
      </w:r>
    </w:p>
    <w:p w14:paraId="2BE2B22F"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предоставление средств под фактическую потребность (</w:t>
      </w:r>
      <w:r w:rsidRPr="00213A5D">
        <w:rPr>
          <w:sz w:val="24"/>
          <w:szCs w:val="24"/>
          <w:lang w:eastAsia="en-US"/>
        </w:rPr>
        <w:t>Минсельхоз России, Минэкономразвития России, Минэнерго России, Росрыболовство, Роструд, Ростуризм, Росавиация</w:t>
      </w:r>
      <w:r w:rsidRPr="00213A5D">
        <w:rPr>
          <w:rFonts w:eastAsia="Times New Roman"/>
          <w:spacing w:val="-2"/>
          <w:sz w:val="24"/>
          <w:szCs w:val="24"/>
        </w:rPr>
        <w:t xml:space="preserve">); </w:t>
      </w:r>
    </w:p>
    <w:p w14:paraId="32DA7DE8"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позднее внесение изменений в правила предоставления межбюджетных трансфертов (Минприроды России, Минпромторг России), а также отсутствие утвержденных правил предоставления субсидий (Минцифры России);</w:t>
      </w:r>
    </w:p>
    <w:p w14:paraId="031CF60A"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отсутствие правового акта Правительства Российской Федерации о распределении межбюджетных трансфертов, а также позднее внесение изменений в распределение межбюджетных трансфертов (Минсельхоз России, Минвостокразвития России, Минприроды России, Минэнерго России, Росрыболовство, Роструд);</w:t>
      </w:r>
    </w:p>
    <w:p w14:paraId="09179F6C"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незаключение или позднее заключение соглашений (дополнительных соглашений) о предоставлении межбюджетных трансфертов (Минприроды России, Минпросвещени</w:t>
      </w:r>
      <w:r w:rsidR="00E66078" w:rsidRPr="00213A5D">
        <w:rPr>
          <w:rFonts w:eastAsia="Times New Roman"/>
          <w:spacing w:val="-2"/>
          <w:sz w:val="24"/>
          <w:szCs w:val="24"/>
        </w:rPr>
        <w:t>я</w:t>
      </w:r>
      <w:r w:rsidRPr="00213A5D">
        <w:rPr>
          <w:rFonts w:eastAsia="Times New Roman"/>
          <w:spacing w:val="-2"/>
          <w:sz w:val="24"/>
          <w:szCs w:val="24"/>
        </w:rPr>
        <w:t xml:space="preserve"> России, Минобрнауки России, Минтранс России, Росавтодор);  </w:t>
      </w:r>
    </w:p>
    <w:p w14:paraId="6A4BB824"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lastRenderedPageBreak/>
        <w:t>отсутствие, корректировка или длительные сроки разработки проектно-сметной документации, а также позднее получение положительных заключений государственной экспертизы проектно-сметной документации (Минтранс России, Минпросвещени</w:t>
      </w:r>
      <w:r w:rsidR="00E66078" w:rsidRPr="00213A5D">
        <w:rPr>
          <w:rFonts w:eastAsia="Times New Roman"/>
          <w:spacing w:val="-2"/>
          <w:sz w:val="24"/>
          <w:szCs w:val="24"/>
        </w:rPr>
        <w:t>я</w:t>
      </w:r>
      <w:r w:rsidRPr="00213A5D">
        <w:rPr>
          <w:rFonts w:eastAsia="Times New Roman"/>
          <w:spacing w:val="-2"/>
          <w:sz w:val="24"/>
          <w:szCs w:val="24"/>
        </w:rPr>
        <w:t xml:space="preserve"> России, Минэкономразвития России, Минсельхоз России, Росавиация);</w:t>
      </w:r>
    </w:p>
    <w:p w14:paraId="75E43FF7" w14:textId="77777777" w:rsidR="00700EC1" w:rsidRPr="00213A5D" w:rsidRDefault="00700EC1" w:rsidP="00EB2DCA">
      <w:pPr>
        <w:widowControl w:val="0"/>
        <w:spacing w:line="331" w:lineRule="auto"/>
        <w:ind w:left="0" w:right="0"/>
        <w:rPr>
          <w:sz w:val="24"/>
          <w:szCs w:val="24"/>
          <w:lang w:eastAsia="en-US"/>
        </w:rPr>
      </w:pPr>
      <w:r w:rsidRPr="00213A5D">
        <w:rPr>
          <w:sz w:val="24"/>
          <w:szCs w:val="24"/>
          <w:lang w:eastAsia="en-US"/>
        </w:rPr>
        <w:t xml:space="preserve">увеличение цен на строительные ресурсы и необходимость изменения цен заключенных контрактов и сроков исполнения контрактов (Минстрой России, Минпросвещения России, Минтруд России, Минэкономразвития России, Минприроды России, Минкультуры России, Минздрав России, Минспорт России, Минсельхоз России, Росавтодор); </w:t>
      </w:r>
    </w:p>
    <w:p w14:paraId="5076E429"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длительные сроки проведения конкурсного отбора субъектов Российской Федерации (Минприроды России, Минэкономразвития России, Минсельхоз России);</w:t>
      </w:r>
    </w:p>
    <w:p w14:paraId="7C1BD56D"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отсутствие или позднее заключение контрактов на выполнение работ (Минпросвещение России, Минстрой России, Росводресурсы, Росавиация);</w:t>
      </w:r>
    </w:p>
    <w:p w14:paraId="52D7C350"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невыполнение графика производства работ подрядными организациями, завершение этапов работ в IV квартале 2022 года (Росавтодор);</w:t>
      </w:r>
    </w:p>
    <w:p w14:paraId="3A6CB2B3"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невыполнение субъектами Российской Федерации условий предоставления субсидии (Росреестр);</w:t>
      </w:r>
    </w:p>
    <w:p w14:paraId="7710404F" w14:textId="77777777" w:rsidR="00700EC1" w:rsidRPr="00213A5D" w:rsidRDefault="00700EC1" w:rsidP="00EB2DCA">
      <w:pPr>
        <w:widowControl w:val="0"/>
        <w:spacing w:line="331" w:lineRule="auto"/>
        <w:ind w:left="0" w:right="0"/>
        <w:rPr>
          <w:rFonts w:eastAsia="Times New Roman"/>
          <w:spacing w:val="-2"/>
          <w:sz w:val="24"/>
          <w:szCs w:val="24"/>
        </w:rPr>
      </w:pPr>
      <w:r w:rsidRPr="00213A5D">
        <w:rPr>
          <w:rFonts w:eastAsia="Times New Roman"/>
          <w:spacing w:val="-2"/>
          <w:sz w:val="24"/>
          <w:szCs w:val="24"/>
        </w:rPr>
        <w:t xml:space="preserve">специфика реализации мелиоративных мероприятий, активная фаза завершения которых приходится на второе полугодие (Минсельхоз России); </w:t>
      </w:r>
    </w:p>
    <w:p w14:paraId="45801B3F" w14:textId="77777777" w:rsidR="00700EC1" w:rsidRPr="00213A5D" w:rsidRDefault="00700EC1" w:rsidP="00EB2DCA">
      <w:pPr>
        <w:widowControl w:val="0"/>
        <w:spacing w:line="331" w:lineRule="auto"/>
        <w:ind w:left="0" w:right="0"/>
        <w:rPr>
          <w:spacing w:val="-2"/>
          <w:sz w:val="24"/>
          <w:szCs w:val="24"/>
        </w:rPr>
      </w:pPr>
      <w:r w:rsidRPr="00213A5D">
        <w:rPr>
          <w:spacing w:val="-2"/>
          <w:sz w:val="24"/>
          <w:szCs w:val="24"/>
        </w:rPr>
        <w:t xml:space="preserve">проведение судебных разбирательств (Минприроды России); </w:t>
      </w:r>
    </w:p>
    <w:p w14:paraId="5EA2262A" w14:textId="77777777" w:rsidR="00700EC1" w:rsidRPr="00213A5D" w:rsidRDefault="00700EC1" w:rsidP="00EB2DCA">
      <w:pPr>
        <w:widowControl w:val="0"/>
        <w:spacing w:line="331" w:lineRule="auto"/>
        <w:ind w:left="0" w:right="0"/>
        <w:rPr>
          <w:sz w:val="24"/>
          <w:szCs w:val="24"/>
          <w:lang w:eastAsia="en-US"/>
        </w:rPr>
      </w:pPr>
      <w:r w:rsidRPr="00213A5D">
        <w:rPr>
          <w:sz w:val="24"/>
          <w:szCs w:val="24"/>
          <w:lang w:eastAsia="en-US"/>
        </w:rPr>
        <w:t>отсутствие сведений в Едином государственном реестре недвижимости о границах населенных пунктов и границе между субъектами Российской Федерации (Рослесхоз).</w:t>
      </w:r>
    </w:p>
    <w:p w14:paraId="0D9EF0C7" w14:textId="77777777" w:rsidR="00700EC1" w:rsidRPr="00213A5D" w:rsidRDefault="00700EC1" w:rsidP="00EB2DCA">
      <w:pPr>
        <w:widowControl w:val="0"/>
        <w:spacing w:line="331" w:lineRule="auto"/>
        <w:ind w:left="0" w:right="0"/>
        <w:rPr>
          <w:sz w:val="24"/>
          <w:szCs w:val="24"/>
        </w:rPr>
      </w:pPr>
      <w:r w:rsidRPr="00213A5D">
        <w:rPr>
          <w:b/>
          <w:sz w:val="24"/>
          <w:szCs w:val="24"/>
        </w:rPr>
        <w:t xml:space="preserve">8.6. </w:t>
      </w:r>
      <w:r w:rsidRPr="00213A5D">
        <w:rPr>
          <w:sz w:val="24"/>
          <w:szCs w:val="24"/>
        </w:rPr>
        <w:t xml:space="preserve">В </w:t>
      </w:r>
      <w:r w:rsidR="00F3108D" w:rsidRPr="00213A5D">
        <w:rPr>
          <w:sz w:val="24"/>
          <w:szCs w:val="24"/>
        </w:rPr>
        <w:t xml:space="preserve">январе – </w:t>
      </w:r>
      <w:r w:rsidRPr="00213A5D">
        <w:rPr>
          <w:sz w:val="24"/>
          <w:szCs w:val="24"/>
        </w:rPr>
        <w:t>сентябре 2022 года 70 распоряжениями Правительства Российской Федерации были внесены изменения в распределение объемов межбюджетных трансфертов бюджетам субъектов Российской Федерации на 2022 год, утвержденное приложением 33 к Федеральному закону от 6 декабря 2021 г. № 390-ФЗ</w:t>
      </w:r>
      <w:r w:rsidRPr="00213A5D">
        <w:rPr>
          <w:sz w:val="24"/>
          <w:szCs w:val="24"/>
          <w:vertAlign w:val="superscript"/>
        </w:rPr>
        <w:footnoteReference w:id="40"/>
      </w:r>
      <w:r w:rsidRPr="00213A5D">
        <w:rPr>
          <w:sz w:val="24"/>
          <w:szCs w:val="24"/>
        </w:rPr>
        <w:t>, из них 22 распоряжения Правительства Российской Федерации приняты в августе</w:t>
      </w:r>
      <w:r w:rsidR="00F3108D" w:rsidRPr="00213A5D">
        <w:rPr>
          <w:sz w:val="24"/>
          <w:szCs w:val="24"/>
        </w:rPr>
        <w:t xml:space="preserve"> – </w:t>
      </w:r>
      <w:r w:rsidRPr="00213A5D">
        <w:rPr>
          <w:sz w:val="24"/>
          <w:szCs w:val="24"/>
        </w:rPr>
        <w:t>сентябре 2022 года (15 распоряжений приняты в сентябре 2022 года).</w:t>
      </w:r>
    </w:p>
    <w:p w14:paraId="2587BBC4" w14:textId="77777777" w:rsidR="00700EC1" w:rsidRPr="00213A5D" w:rsidRDefault="00700EC1" w:rsidP="00EB2DCA">
      <w:pPr>
        <w:widowControl w:val="0"/>
        <w:spacing w:line="331" w:lineRule="auto"/>
        <w:ind w:left="0" w:right="-1"/>
        <w:rPr>
          <w:sz w:val="24"/>
          <w:szCs w:val="24"/>
        </w:rPr>
      </w:pPr>
      <w:r w:rsidRPr="00213A5D">
        <w:rPr>
          <w:sz w:val="24"/>
          <w:szCs w:val="24"/>
        </w:rPr>
        <w:t>Низкое исполнение межбюджетных трансфертов обусловлено в том числе изданием решений Правительства Российской Федерации об изменении (</w:t>
      </w:r>
      <w:r w:rsidR="005C4614" w:rsidRPr="00213A5D">
        <w:rPr>
          <w:sz w:val="24"/>
          <w:szCs w:val="24"/>
        </w:rPr>
        <w:t xml:space="preserve">о </w:t>
      </w:r>
      <w:r w:rsidRPr="00213A5D">
        <w:rPr>
          <w:sz w:val="24"/>
          <w:szCs w:val="24"/>
        </w:rPr>
        <w:t xml:space="preserve">перераспределении) объемов финансирования субъектов Российской Федерации в конце </w:t>
      </w:r>
      <w:r w:rsidRPr="00213A5D">
        <w:rPr>
          <w:sz w:val="24"/>
          <w:szCs w:val="24"/>
          <w:lang w:val="en-US"/>
        </w:rPr>
        <w:t>III</w:t>
      </w:r>
      <w:r w:rsidRPr="00213A5D">
        <w:rPr>
          <w:sz w:val="24"/>
          <w:szCs w:val="24"/>
        </w:rPr>
        <w:t xml:space="preserve"> квартала 2022 года. </w:t>
      </w:r>
    </w:p>
    <w:p w14:paraId="633B0DE4" w14:textId="77777777" w:rsidR="00700EC1" w:rsidRPr="00213A5D" w:rsidRDefault="00700EC1" w:rsidP="00EB2DCA">
      <w:pPr>
        <w:widowControl w:val="0"/>
        <w:spacing w:line="331" w:lineRule="auto"/>
        <w:ind w:left="0" w:right="-1"/>
        <w:rPr>
          <w:sz w:val="24"/>
          <w:szCs w:val="24"/>
        </w:rPr>
      </w:pPr>
      <w:r w:rsidRPr="00213A5D">
        <w:rPr>
          <w:sz w:val="24"/>
          <w:szCs w:val="24"/>
        </w:rPr>
        <w:t xml:space="preserve">Так, распоряжением Правительства Российской Федерации от 17 сентября 2022 г. № 2676-р внесены изменения в распределение субсидий на поддержку мероприятий по развитию заправочной инфраструктуры компримированного природного газа (17 регионам </w:t>
      </w:r>
      <w:r w:rsidRPr="00213A5D">
        <w:rPr>
          <w:sz w:val="24"/>
          <w:szCs w:val="24"/>
        </w:rPr>
        <w:lastRenderedPageBreak/>
        <w:t xml:space="preserve">субсидии увеличены, 12 регионам – уменьшены), исполнение по указанной субсидии </w:t>
      </w:r>
      <w:r w:rsidR="00C96865" w:rsidRPr="00213A5D">
        <w:rPr>
          <w:sz w:val="24"/>
          <w:szCs w:val="24"/>
        </w:rPr>
        <w:br/>
      </w:r>
      <w:r w:rsidR="005C4614" w:rsidRPr="00213A5D">
        <w:rPr>
          <w:sz w:val="24"/>
          <w:szCs w:val="24"/>
        </w:rPr>
        <w:t xml:space="preserve">за январь – </w:t>
      </w:r>
      <w:r w:rsidRPr="00213A5D">
        <w:rPr>
          <w:sz w:val="24"/>
          <w:szCs w:val="24"/>
        </w:rPr>
        <w:t xml:space="preserve">сентябрь 2022 года составило 7,8 %; </w:t>
      </w:r>
    </w:p>
    <w:p w14:paraId="6B90CCCD" w14:textId="77777777" w:rsidR="00700EC1" w:rsidRPr="00213A5D" w:rsidRDefault="00700EC1" w:rsidP="00EB2DCA">
      <w:pPr>
        <w:widowControl w:val="0"/>
        <w:spacing w:line="331" w:lineRule="auto"/>
        <w:ind w:left="0" w:right="-1"/>
        <w:rPr>
          <w:sz w:val="24"/>
          <w:szCs w:val="24"/>
        </w:rPr>
      </w:pPr>
      <w:r w:rsidRPr="00213A5D">
        <w:rPr>
          <w:sz w:val="24"/>
          <w:szCs w:val="24"/>
        </w:rPr>
        <w:t>распоряжением Правительства Российской Федерации от 2 сентября 2022 г. № 2512-р внесены изменения в распределение субсидий на реализацию мероприятий по ликвидации несанкционированных свалок в границах городов и наиболее опасных объектов накопленного экологического вреда окружающей среде (18 регионам субсидии увеличены, 3 регионам – уменьшены),</w:t>
      </w:r>
      <w:r w:rsidRPr="00213A5D">
        <w:t xml:space="preserve"> </w:t>
      </w:r>
      <w:r w:rsidR="005C4614" w:rsidRPr="00213A5D">
        <w:rPr>
          <w:sz w:val="24"/>
          <w:szCs w:val="24"/>
        </w:rPr>
        <w:t xml:space="preserve">исполнение составило </w:t>
      </w:r>
      <w:r w:rsidRPr="00213A5D">
        <w:rPr>
          <w:sz w:val="24"/>
          <w:szCs w:val="24"/>
        </w:rPr>
        <w:t>49,3 %;</w:t>
      </w:r>
    </w:p>
    <w:p w14:paraId="2D0DC0AC" w14:textId="77777777" w:rsidR="00700EC1" w:rsidRPr="00213A5D" w:rsidRDefault="00700EC1" w:rsidP="00EB2DCA">
      <w:pPr>
        <w:widowControl w:val="0"/>
        <w:spacing w:line="331" w:lineRule="auto"/>
        <w:ind w:left="0" w:right="-1"/>
        <w:rPr>
          <w:sz w:val="24"/>
          <w:szCs w:val="24"/>
        </w:rPr>
      </w:pPr>
      <w:r w:rsidRPr="00213A5D">
        <w:rPr>
          <w:sz w:val="24"/>
          <w:szCs w:val="24"/>
        </w:rPr>
        <w:t xml:space="preserve">распоряжениями Правительства Российской Федерации от 27 августа 2022 г. </w:t>
      </w:r>
      <w:r w:rsidR="005C4614" w:rsidRPr="00213A5D">
        <w:rPr>
          <w:sz w:val="24"/>
          <w:szCs w:val="24"/>
        </w:rPr>
        <w:br/>
      </w:r>
      <w:r w:rsidRPr="00213A5D">
        <w:rPr>
          <w:sz w:val="24"/>
          <w:szCs w:val="24"/>
        </w:rPr>
        <w:t xml:space="preserve">№ 2450-р и от 24 сентября 2022 г. № 2469-р 4 субъектам Российской Федерации увеличены субсидии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 исполнение составило 28,9 %; также указанными распоряжениями внесены изменения </w:t>
      </w:r>
      <w:r w:rsidR="005C4614" w:rsidRPr="00213A5D">
        <w:rPr>
          <w:sz w:val="24"/>
          <w:szCs w:val="24"/>
        </w:rPr>
        <w:br/>
      </w:r>
      <w:r w:rsidRPr="00213A5D">
        <w:rPr>
          <w:sz w:val="24"/>
          <w:szCs w:val="24"/>
        </w:rPr>
        <w:t>в распределение субсидий на стимулирование программ развития жилищного строительства субъектов Российской Федерации (12 регионам субсидии увеличены, 7 регионам – уменьшены), исполнение составило 51,3 %.</w:t>
      </w:r>
    </w:p>
    <w:p w14:paraId="03A5450E" w14:textId="77777777" w:rsidR="00700EC1" w:rsidRPr="00213A5D" w:rsidRDefault="00700EC1" w:rsidP="00AF1852">
      <w:pPr>
        <w:widowControl w:val="0"/>
        <w:spacing w:line="240" w:lineRule="auto"/>
        <w:ind w:left="0" w:right="0"/>
        <w:rPr>
          <w:rFonts w:eastAsia="Times New Roman"/>
          <w:spacing w:val="-2"/>
          <w:sz w:val="16"/>
          <w:szCs w:val="16"/>
        </w:rPr>
      </w:pPr>
    </w:p>
    <w:p w14:paraId="7656D0E5" w14:textId="77777777" w:rsidR="00292562" w:rsidRPr="00213A5D" w:rsidRDefault="00E43C52" w:rsidP="00AF1852">
      <w:pPr>
        <w:widowControl w:val="0"/>
        <w:spacing w:line="240" w:lineRule="auto"/>
        <w:ind w:left="0" w:right="0" w:firstLine="0"/>
        <w:jc w:val="center"/>
        <w:rPr>
          <w:b/>
          <w:sz w:val="24"/>
          <w:szCs w:val="24"/>
          <w:u w:val="single"/>
        </w:rPr>
      </w:pPr>
      <w:r w:rsidRPr="00213A5D">
        <w:rPr>
          <w:b/>
          <w:sz w:val="24"/>
          <w:szCs w:val="24"/>
        </w:rPr>
        <w:t>9</w:t>
      </w:r>
      <w:r w:rsidR="00ED171D" w:rsidRPr="00213A5D">
        <w:rPr>
          <w:b/>
          <w:sz w:val="24"/>
          <w:szCs w:val="24"/>
        </w:rPr>
        <w:t xml:space="preserve">. </w:t>
      </w:r>
      <w:r w:rsidR="005639BC" w:rsidRPr="00213A5D">
        <w:rPr>
          <w:b/>
          <w:sz w:val="24"/>
          <w:szCs w:val="24"/>
          <w:u w:val="single"/>
        </w:rPr>
        <w:t xml:space="preserve">Анализ </w:t>
      </w:r>
      <w:r w:rsidR="00524DF2" w:rsidRPr="00213A5D">
        <w:rPr>
          <w:b/>
          <w:sz w:val="24"/>
          <w:szCs w:val="24"/>
          <w:u w:val="single"/>
        </w:rPr>
        <w:t>Ф</w:t>
      </w:r>
      <w:r w:rsidR="005639BC" w:rsidRPr="00213A5D">
        <w:rPr>
          <w:b/>
          <w:sz w:val="24"/>
          <w:szCs w:val="24"/>
          <w:u w:val="single"/>
        </w:rPr>
        <w:t>едеральной адресной</w:t>
      </w:r>
      <w:r w:rsidR="002B4B56" w:rsidRPr="00213A5D">
        <w:rPr>
          <w:b/>
          <w:sz w:val="24"/>
          <w:szCs w:val="24"/>
          <w:u w:val="single"/>
        </w:rPr>
        <w:t xml:space="preserve"> </w:t>
      </w:r>
      <w:r w:rsidR="005639BC" w:rsidRPr="00213A5D">
        <w:rPr>
          <w:b/>
          <w:sz w:val="24"/>
          <w:szCs w:val="24"/>
          <w:u w:val="single"/>
        </w:rPr>
        <w:t>инвестиционной программы</w:t>
      </w:r>
      <w:r w:rsidR="00C912BA" w:rsidRPr="00213A5D">
        <w:rPr>
          <w:b/>
          <w:sz w:val="24"/>
          <w:szCs w:val="24"/>
          <w:u w:val="single"/>
        </w:rPr>
        <w:t xml:space="preserve"> </w:t>
      </w:r>
    </w:p>
    <w:p w14:paraId="7B98E4D6" w14:textId="77777777" w:rsidR="002B4B56" w:rsidRPr="00213A5D" w:rsidRDefault="00C912BA" w:rsidP="00AF1852">
      <w:pPr>
        <w:widowControl w:val="0"/>
        <w:spacing w:line="264" w:lineRule="auto"/>
        <w:ind w:left="0" w:right="0" w:firstLine="0"/>
        <w:jc w:val="center"/>
        <w:rPr>
          <w:b/>
          <w:sz w:val="24"/>
          <w:szCs w:val="24"/>
          <w:u w:val="single"/>
        </w:rPr>
      </w:pPr>
      <w:r w:rsidRPr="00213A5D">
        <w:rPr>
          <w:b/>
          <w:sz w:val="24"/>
          <w:szCs w:val="24"/>
          <w:u w:val="single"/>
        </w:rPr>
        <w:t>на 20</w:t>
      </w:r>
      <w:r w:rsidR="0015701F" w:rsidRPr="00213A5D">
        <w:rPr>
          <w:b/>
          <w:sz w:val="24"/>
          <w:szCs w:val="24"/>
          <w:u w:val="single"/>
        </w:rPr>
        <w:t>2</w:t>
      </w:r>
      <w:r w:rsidR="003A0A28" w:rsidRPr="00213A5D">
        <w:rPr>
          <w:b/>
          <w:sz w:val="24"/>
          <w:szCs w:val="24"/>
          <w:u w:val="single"/>
        </w:rPr>
        <w:t>2</w:t>
      </w:r>
      <w:r w:rsidRPr="00213A5D">
        <w:rPr>
          <w:b/>
          <w:sz w:val="24"/>
          <w:szCs w:val="24"/>
          <w:u w:val="single"/>
        </w:rPr>
        <w:t> год и на плановый период 202</w:t>
      </w:r>
      <w:r w:rsidR="003A0A28" w:rsidRPr="00213A5D">
        <w:rPr>
          <w:b/>
          <w:sz w:val="24"/>
          <w:szCs w:val="24"/>
          <w:u w:val="single"/>
        </w:rPr>
        <w:t>3</w:t>
      </w:r>
      <w:r w:rsidRPr="00213A5D">
        <w:rPr>
          <w:b/>
          <w:sz w:val="24"/>
          <w:szCs w:val="24"/>
          <w:u w:val="single"/>
        </w:rPr>
        <w:t xml:space="preserve"> и 202</w:t>
      </w:r>
      <w:r w:rsidR="003A0A28" w:rsidRPr="00213A5D">
        <w:rPr>
          <w:b/>
          <w:sz w:val="24"/>
          <w:szCs w:val="24"/>
          <w:u w:val="single"/>
        </w:rPr>
        <w:t>4</w:t>
      </w:r>
      <w:r w:rsidR="002B4B56" w:rsidRPr="00213A5D">
        <w:rPr>
          <w:b/>
          <w:sz w:val="24"/>
          <w:szCs w:val="24"/>
          <w:u w:val="single"/>
        </w:rPr>
        <w:t xml:space="preserve"> годов</w:t>
      </w:r>
      <w:r w:rsidR="00E63208" w:rsidRPr="00213A5D">
        <w:rPr>
          <w:b/>
          <w:sz w:val="24"/>
          <w:szCs w:val="24"/>
          <w:u w:val="single"/>
        </w:rPr>
        <w:t xml:space="preserve"> </w:t>
      </w:r>
    </w:p>
    <w:p w14:paraId="338FEB7E" w14:textId="77777777" w:rsidR="00736F76" w:rsidRPr="00213A5D" w:rsidRDefault="00736F76" w:rsidP="00AF1852">
      <w:pPr>
        <w:widowControl w:val="0"/>
        <w:spacing w:line="240" w:lineRule="auto"/>
        <w:ind w:left="0" w:right="0"/>
        <w:jc w:val="center"/>
        <w:rPr>
          <w:b/>
          <w:sz w:val="16"/>
          <w:szCs w:val="16"/>
          <w:u w:val="single"/>
        </w:rPr>
      </w:pPr>
    </w:p>
    <w:p w14:paraId="3349FD18" w14:textId="77777777" w:rsidR="00736F76" w:rsidRPr="00213A5D" w:rsidRDefault="00736F76" w:rsidP="00EB2DCA">
      <w:pPr>
        <w:pStyle w:val="24"/>
        <w:widowControl w:val="0"/>
        <w:spacing w:after="0" w:line="331" w:lineRule="auto"/>
        <w:ind w:left="0" w:right="0"/>
        <w:rPr>
          <w:sz w:val="24"/>
          <w:szCs w:val="24"/>
        </w:rPr>
      </w:pPr>
      <w:r w:rsidRPr="00213A5D">
        <w:rPr>
          <w:b/>
          <w:sz w:val="24"/>
          <w:szCs w:val="24"/>
        </w:rPr>
        <w:t>9.1.</w:t>
      </w:r>
      <w:r w:rsidRPr="00213A5D">
        <w:rPr>
          <w:sz w:val="24"/>
          <w:szCs w:val="24"/>
        </w:rPr>
        <w:t xml:space="preserve"> Объем бюджетных ассигнований на реализацию </w:t>
      </w:r>
      <w:r w:rsidRPr="00213A5D">
        <w:rPr>
          <w:b/>
          <w:sz w:val="24"/>
          <w:szCs w:val="24"/>
        </w:rPr>
        <w:t>Федеральной адресной инвестиционной программы на 2022 год и на плановый период 2023 и 2024 годов</w:t>
      </w:r>
      <w:r w:rsidRPr="00213A5D">
        <w:rPr>
          <w:sz w:val="24"/>
          <w:szCs w:val="24"/>
        </w:rPr>
        <w:t xml:space="preserve"> </w:t>
      </w:r>
      <w:r w:rsidR="00325054" w:rsidRPr="00213A5D">
        <w:rPr>
          <w:sz w:val="24"/>
          <w:szCs w:val="24"/>
        </w:rPr>
        <w:br/>
      </w:r>
      <w:r w:rsidRPr="00213A5D">
        <w:rPr>
          <w:sz w:val="24"/>
          <w:szCs w:val="24"/>
        </w:rPr>
        <w:t>(далее</w:t>
      </w:r>
      <w:r w:rsidR="00325054" w:rsidRPr="00213A5D">
        <w:rPr>
          <w:sz w:val="24"/>
          <w:szCs w:val="24"/>
        </w:rPr>
        <w:t xml:space="preserve"> – </w:t>
      </w:r>
      <w:r w:rsidRPr="00213A5D">
        <w:rPr>
          <w:sz w:val="24"/>
          <w:szCs w:val="24"/>
        </w:rPr>
        <w:t xml:space="preserve">ФАИП) с учетом изменений на 1 октября 2022 года составил </w:t>
      </w:r>
      <w:r w:rsidRPr="00213A5D">
        <w:rPr>
          <w:b/>
          <w:sz w:val="24"/>
          <w:szCs w:val="24"/>
        </w:rPr>
        <w:t>1 036 008,3 млн. рублей</w:t>
      </w:r>
      <w:r w:rsidRPr="00213A5D">
        <w:rPr>
          <w:sz w:val="24"/>
          <w:szCs w:val="24"/>
        </w:rPr>
        <w:t xml:space="preserve"> (без учета специальных работ, входящих в государственный оборонный заказ </w:t>
      </w:r>
      <w:r w:rsidR="00325054" w:rsidRPr="00213A5D">
        <w:rPr>
          <w:sz w:val="24"/>
          <w:szCs w:val="24"/>
        </w:rPr>
        <w:br/>
      </w:r>
      <w:r w:rsidRPr="00213A5D">
        <w:rPr>
          <w:sz w:val="24"/>
          <w:szCs w:val="24"/>
        </w:rPr>
        <w:t xml:space="preserve">(далее </w:t>
      </w:r>
      <w:r w:rsidR="00325054" w:rsidRPr="00213A5D">
        <w:rPr>
          <w:sz w:val="24"/>
          <w:szCs w:val="24"/>
        </w:rPr>
        <w:t>–</w:t>
      </w:r>
      <w:r w:rsidRPr="00213A5D">
        <w:rPr>
          <w:sz w:val="24"/>
          <w:szCs w:val="24"/>
        </w:rPr>
        <w:t xml:space="preserve"> ГОЗ), что</w:t>
      </w:r>
      <w:r w:rsidRPr="00213A5D">
        <w:rPr>
          <w:b/>
          <w:sz w:val="24"/>
          <w:szCs w:val="24"/>
        </w:rPr>
        <w:t xml:space="preserve"> на 151 791,5 млн. рублей, или на 17,2 %, больше, </w:t>
      </w:r>
      <w:r w:rsidRPr="00213A5D">
        <w:rPr>
          <w:sz w:val="24"/>
          <w:szCs w:val="24"/>
        </w:rPr>
        <w:t>чем в</w:t>
      </w:r>
      <w:r w:rsidRPr="00213A5D">
        <w:rPr>
          <w:b/>
          <w:sz w:val="24"/>
          <w:szCs w:val="24"/>
        </w:rPr>
        <w:t xml:space="preserve"> утвержденной ФАИП </w:t>
      </w:r>
      <w:r w:rsidRPr="00213A5D">
        <w:rPr>
          <w:sz w:val="24"/>
          <w:szCs w:val="24"/>
        </w:rPr>
        <w:t>(884 216,8 млн. рублей).</w:t>
      </w:r>
    </w:p>
    <w:p w14:paraId="387F3DAA" w14:textId="77777777" w:rsidR="005E426E" w:rsidRPr="00213A5D" w:rsidRDefault="00736F76" w:rsidP="00EB2DCA">
      <w:pPr>
        <w:pStyle w:val="24"/>
        <w:widowControl w:val="0"/>
        <w:spacing w:after="0" w:line="331" w:lineRule="auto"/>
        <w:ind w:left="0" w:right="0"/>
        <w:rPr>
          <w:sz w:val="24"/>
          <w:szCs w:val="24"/>
        </w:rPr>
      </w:pPr>
      <w:r w:rsidRPr="00213A5D">
        <w:rPr>
          <w:b/>
          <w:sz w:val="24"/>
          <w:szCs w:val="24"/>
        </w:rPr>
        <w:t>9.2.</w:t>
      </w:r>
      <w:r w:rsidRPr="00213A5D">
        <w:rPr>
          <w:sz w:val="24"/>
          <w:szCs w:val="24"/>
        </w:rPr>
        <w:t xml:space="preserve"> Данные об объеме </w:t>
      </w:r>
      <w:r w:rsidRPr="00213A5D">
        <w:rPr>
          <w:b/>
          <w:sz w:val="24"/>
          <w:szCs w:val="24"/>
        </w:rPr>
        <w:t xml:space="preserve">ограничений на финансирование и выполнение работ </w:t>
      </w:r>
      <w:r w:rsidRPr="00213A5D">
        <w:rPr>
          <w:sz w:val="24"/>
          <w:szCs w:val="24"/>
        </w:rPr>
        <w:t xml:space="preserve">(далее – ограничения), установленных в ФАИП в 2022 году, и их доле в общем объеме ФАИП (без учета ГОЗ) представлены на следующей диаграмме. </w:t>
      </w:r>
      <w:r w:rsidR="005E426E" w:rsidRPr="00213A5D">
        <w:rPr>
          <w:sz w:val="24"/>
          <w:szCs w:val="24"/>
        </w:rPr>
        <w:t xml:space="preserve"> </w:t>
      </w:r>
    </w:p>
    <w:p w14:paraId="046D623A" w14:textId="77777777" w:rsidR="005E426E" w:rsidRPr="00213A5D" w:rsidRDefault="00CD0E98" w:rsidP="001D184D">
      <w:pPr>
        <w:pStyle w:val="24"/>
        <w:widowControl w:val="0"/>
        <w:spacing w:after="0" w:line="240" w:lineRule="auto"/>
        <w:ind w:left="0" w:right="0" w:firstLine="0"/>
        <w:jc w:val="center"/>
        <w:rPr>
          <w:sz w:val="16"/>
          <w:szCs w:val="16"/>
        </w:rPr>
      </w:pPr>
      <w:r w:rsidRPr="00FB6667">
        <w:rPr>
          <w:noProof/>
        </w:rPr>
        <w:pict w14:anchorId="1EE623EC">
          <v:shape id="Рисунок 38" o:spid="_x0000_i1045" type="#_x0000_t75" style="width:352.55pt;height:175.25pt;visibility:visible" o:gfxdata="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">
            <v:imagedata r:id="rId58" o:title=""/>
            <o:lock v:ext="edit" aspectratio="f"/>
          </v:shape>
        </w:pict>
      </w:r>
    </w:p>
    <w:p w14:paraId="735DF8C6" w14:textId="77777777" w:rsidR="00736F76" w:rsidRPr="00213A5D" w:rsidRDefault="00736F76" w:rsidP="00AF1852">
      <w:pPr>
        <w:pStyle w:val="24"/>
        <w:widowControl w:val="0"/>
        <w:spacing w:after="0" w:line="360" w:lineRule="auto"/>
        <w:ind w:left="0" w:right="0"/>
        <w:rPr>
          <w:sz w:val="24"/>
          <w:szCs w:val="24"/>
        </w:rPr>
      </w:pPr>
      <w:r w:rsidRPr="00213A5D">
        <w:rPr>
          <w:sz w:val="24"/>
          <w:szCs w:val="24"/>
        </w:rPr>
        <w:t xml:space="preserve">В ФАИП с учетом изменений </w:t>
      </w:r>
      <w:r w:rsidRPr="00213A5D">
        <w:rPr>
          <w:b/>
          <w:sz w:val="24"/>
          <w:szCs w:val="24"/>
        </w:rPr>
        <w:t>на 1 октября 2022 года</w:t>
      </w:r>
      <w:r w:rsidRPr="00213A5D">
        <w:rPr>
          <w:sz w:val="24"/>
          <w:szCs w:val="24"/>
        </w:rPr>
        <w:t xml:space="preserve"> общий объем ограничений (9 346,9 млн. рублей) </w:t>
      </w:r>
      <w:r w:rsidRPr="00213A5D">
        <w:rPr>
          <w:b/>
          <w:sz w:val="24"/>
          <w:szCs w:val="24"/>
        </w:rPr>
        <w:t xml:space="preserve">меньше объема </w:t>
      </w:r>
      <w:r w:rsidRPr="00213A5D">
        <w:rPr>
          <w:sz w:val="24"/>
          <w:szCs w:val="24"/>
        </w:rPr>
        <w:t xml:space="preserve">ограничений соответствующего периода прошлого </w:t>
      </w:r>
      <w:r w:rsidRPr="00213A5D">
        <w:rPr>
          <w:sz w:val="24"/>
          <w:szCs w:val="24"/>
        </w:rPr>
        <w:lastRenderedPageBreak/>
        <w:t>года на 1 648,8 млн. рублей, или </w:t>
      </w:r>
      <w:r w:rsidRPr="00213A5D">
        <w:rPr>
          <w:b/>
          <w:sz w:val="24"/>
          <w:szCs w:val="24"/>
        </w:rPr>
        <w:t>на 0,4 процентного пункта</w:t>
      </w:r>
      <w:r w:rsidRPr="00213A5D">
        <w:rPr>
          <w:sz w:val="24"/>
          <w:szCs w:val="24"/>
        </w:rPr>
        <w:t xml:space="preserve"> (на 1 октября 2021 года – 10 995,7 млн. рублей, или 1,3 % объема ФАИП).</w:t>
      </w:r>
    </w:p>
    <w:p w14:paraId="771DBC7C" w14:textId="77777777" w:rsidR="00736F76" w:rsidRPr="00213A5D" w:rsidRDefault="00736F76" w:rsidP="00AF1852">
      <w:pPr>
        <w:pStyle w:val="24"/>
        <w:widowControl w:val="0"/>
        <w:spacing w:after="0" w:line="360" w:lineRule="auto"/>
        <w:ind w:left="0" w:right="0"/>
        <w:rPr>
          <w:sz w:val="24"/>
          <w:szCs w:val="24"/>
        </w:rPr>
      </w:pPr>
      <w:r w:rsidRPr="00213A5D">
        <w:rPr>
          <w:sz w:val="24"/>
          <w:szCs w:val="24"/>
        </w:rPr>
        <w:t xml:space="preserve">Объем ограничений за январь – сентябрь 2022 года </w:t>
      </w:r>
      <w:r w:rsidRPr="00213A5D">
        <w:rPr>
          <w:b/>
          <w:sz w:val="24"/>
          <w:szCs w:val="24"/>
        </w:rPr>
        <w:t>уменьшился</w:t>
      </w:r>
      <w:r w:rsidRPr="00213A5D">
        <w:rPr>
          <w:sz w:val="24"/>
          <w:szCs w:val="24"/>
        </w:rPr>
        <w:t xml:space="preserve"> </w:t>
      </w:r>
      <w:r w:rsidRPr="00213A5D">
        <w:rPr>
          <w:b/>
          <w:sz w:val="24"/>
          <w:szCs w:val="24"/>
        </w:rPr>
        <w:t>на 82 746,8 млн. рублей</w:t>
      </w:r>
      <w:r w:rsidRPr="00213A5D">
        <w:rPr>
          <w:sz w:val="24"/>
          <w:szCs w:val="24"/>
        </w:rPr>
        <w:t xml:space="preserve">, или на </w:t>
      </w:r>
      <w:r w:rsidRPr="00213A5D">
        <w:rPr>
          <w:b/>
          <w:sz w:val="24"/>
          <w:szCs w:val="24"/>
        </w:rPr>
        <w:t>89,9 </w:t>
      </w:r>
      <w:r w:rsidRPr="00213A5D">
        <w:rPr>
          <w:sz w:val="24"/>
          <w:szCs w:val="24"/>
        </w:rPr>
        <w:t xml:space="preserve">%, за счет принятия необходимых правовых актов (актов, решений) </w:t>
      </w:r>
      <w:r w:rsidR="00233CDF" w:rsidRPr="00213A5D">
        <w:rPr>
          <w:sz w:val="24"/>
          <w:szCs w:val="24"/>
        </w:rPr>
        <w:br/>
      </w:r>
      <w:r w:rsidRPr="00213A5D">
        <w:rPr>
          <w:sz w:val="24"/>
          <w:szCs w:val="24"/>
        </w:rPr>
        <w:t xml:space="preserve">и проведения пообъектной детализации мероприятий. </w:t>
      </w:r>
    </w:p>
    <w:p w14:paraId="4AD4EB4A" w14:textId="77777777" w:rsidR="00736F76" w:rsidRPr="00213A5D" w:rsidRDefault="00736F76" w:rsidP="00AF1852">
      <w:pPr>
        <w:pStyle w:val="24"/>
        <w:widowControl w:val="0"/>
        <w:spacing w:after="0" w:line="360" w:lineRule="auto"/>
        <w:ind w:left="0" w:right="0"/>
        <w:rPr>
          <w:sz w:val="24"/>
          <w:szCs w:val="24"/>
        </w:rPr>
      </w:pPr>
      <w:r w:rsidRPr="00213A5D">
        <w:rPr>
          <w:sz w:val="24"/>
          <w:szCs w:val="24"/>
        </w:rPr>
        <w:t xml:space="preserve">По состоянию </w:t>
      </w:r>
      <w:r w:rsidRPr="00213A5D">
        <w:rPr>
          <w:b/>
          <w:sz w:val="24"/>
          <w:szCs w:val="24"/>
        </w:rPr>
        <w:t>на 1 октября 2022 года</w:t>
      </w:r>
      <w:r w:rsidRPr="00213A5D">
        <w:rPr>
          <w:sz w:val="24"/>
          <w:szCs w:val="24"/>
        </w:rPr>
        <w:t xml:space="preserve"> в ФАИП </w:t>
      </w:r>
      <w:r w:rsidRPr="00213A5D">
        <w:rPr>
          <w:b/>
          <w:sz w:val="24"/>
          <w:szCs w:val="24"/>
        </w:rPr>
        <w:t>не сняты ограничения</w:t>
      </w:r>
      <w:r w:rsidRPr="00213A5D">
        <w:rPr>
          <w:sz w:val="24"/>
          <w:szCs w:val="24"/>
        </w:rPr>
        <w:t xml:space="preserve"> с объектов </w:t>
      </w:r>
      <w:r w:rsidR="00233CDF" w:rsidRPr="00213A5D">
        <w:rPr>
          <w:sz w:val="24"/>
          <w:szCs w:val="24"/>
        </w:rPr>
        <w:br/>
      </w:r>
      <w:r w:rsidRPr="00213A5D">
        <w:rPr>
          <w:sz w:val="24"/>
          <w:szCs w:val="24"/>
        </w:rPr>
        <w:t xml:space="preserve">и мероприятий </w:t>
      </w:r>
      <w:r w:rsidRPr="00213A5D">
        <w:rPr>
          <w:b/>
          <w:sz w:val="24"/>
          <w:szCs w:val="24"/>
        </w:rPr>
        <w:t>9 главных распорядителей средств федерального бюджета, в том числе:</w:t>
      </w:r>
      <w:r w:rsidRPr="00213A5D">
        <w:rPr>
          <w:sz w:val="24"/>
          <w:szCs w:val="24"/>
        </w:rPr>
        <w:t xml:space="preserve"> </w:t>
      </w:r>
    </w:p>
    <w:p w14:paraId="655354AA"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Управления делами Президента Российской Федерации (3 758,8 млн. рублей);</w:t>
      </w:r>
    </w:p>
    <w:p w14:paraId="48E3F558"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Минтранса России (2 553,4 млн. рублей);</w:t>
      </w:r>
    </w:p>
    <w:p w14:paraId="6C4806E9"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 xml:space="preserve">Судебного департамента при Верховном Суде Российской Федерации </w:t>
      </w:r>
      <w:r w:rsidRPr="00213A5D">
        <w:rPr>
          <w:sz w:val="24"/>
          <w:szCs w:val="24"/>
        </w:rPr>
        <w:br/>
        <w:t>(1 238,6 млн. рублей);</w:t>
      </w:r>
    </w:p>
    <w:p w14:paraId="223DFF99"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Росавтодора (500,0 млн. рублей);</w:t>
      </w:r>
    </w:p>
    <w:p w14:paraId="3F835A3D"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Минобрнауки России (493,9 млн. рублей);</w:t>
      </w:r>
    </w:p>
    <w:p w14:paraId="2D299ED8"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Минэнерго России (318,8 млн. рублей);</w:t>
      </w:r>
    </w:p>
    <w:p w14:paraId="30BF7F4A"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Минэкономразвития России (209,4 млн. рублей);</w:t>
      </w:r>
    </w:p>
    <w:p w14:paraId="3D8303EA"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Минздрава России (1 430,0 млн. рублей);</w:t>
      </w:r>
    </w:p>
    <w:p w14:paraId="6639ED2A" w14:textId="77777777" w:rsidR="00736F76" w:rsidRPr="00213A5D" w:rsidRDefault="00736F76" w:rsidP="00AF1852">
      <w:pPr>
        <w:pStyle w:val="24"/>
        <w:widowControl w:val="0"/>
        <w:spacing w:after="0" w:line="360" w:lineRule="auto"/>
        <w:ind w:left="1069" w:right="0" w:firstLine="0"/>
        <w:rPr>
          <w:sz w:val="24"/>
          <w:szCs w:val="24"/>
        </w:rPr>
      </w:pPr>
      <w:r w:rsidRPr="00213A5D">
        <w:rPr>
          <w:sz w:val="24"/>
          <w:szCs w:val="24"/>
        </w:rPr>
        <w:t>ППК «Единый заказчик в сфере строительства» (130,9 млн. рублей).</w:t>
      </w:r>
    </w:p>
    <w:p w14:paraId="574C5732" w14:textId="77777777" w:rsidR="00736F76" w:rsidRPr="00213A5D" w:rsidRDefault="00736F76" w:rsidP="00AF1852">
      <w:pPr>
        <w:pStyle w:val="24"/>
        <w:widowControl w:val="0"/>
        <w:spacing w:after="0" w:line="360" w:lineRule="auto"/>
        <w:ind w:left="0" w:right="0"/>
        <w:rPr>
          <w:sz w:val="24"/>
          <w:szCs w:val="24"/>
        </w:rPr>
      </w:pPr>
      <w:r w:rsidRPr="00213A5D">
        <w:rPr>
          <w:sz w:val="24"/>
          <w:szCs w:val="24"/>
        </w:rPr>
        <w:t>Следует отметить, что в ФАИП на 1 октября 2022 года</w:t>
      </w:r>
      <w:r w:rsidRPr="00213A5D">
        <w:rPr>
          <w:b/>
          <w:sz w:val="24"/>
          <w:szCs w:val="24"/>
        </w:rPr>
        <w:t xml:space="preserve"> </w:t>
      </w:r>
      <w:r w:rsidRPr="00213A5D">
        <w:rPr>
          <w:sz w:val="24"/>
          <w:szCs w:val="24"/>
        </w:rPr>
        <w:t xml:space="preserve">по </w:t>
      </w:r>
      <w:r w:rsidRPr="00213A5D">
        <w:rPr>
          <w:b/>
          <w:sz w:val="24"/>
          <w:szCs w:val="24"/>
        </w:rPr>
        <w:t xml:space="preserve">Минтрансу России </w:t>
      </w:r>
      <w:r w:rsidRPr="00213A5D">
        <w:rPr>
          <w:sz w:val="24"/>
          <w:szCs w:val="24"/>
        </w:rPr>
        <w:t xml:space="preserve">включена позиция </w:t>
      </w:r>
      <w:r w:rsidRPr="00213A5D">
        <w:rPr>
          <w:b/>
          <w:sz w:val="24"/>
          <w:szCs w:val="24"/>
        </w:rPr>
        <w:t xml:space="preserve">«нераспределенные средства» </w:t>
      </w:r>
      <w:r w:rsidRPr="00213A5D">
        <w:rPr>
          <w:sz w:val="24"/>
          <w:szCs w:val="24"/>
        </w:rPr>
        <w:t xml:space="preserve">(с установленными ограничениями </w:t>
      </w:r>
      <w:r w:rsidR="00980560" w:rsidRPr="00213A5D">
        <w:rPr>
          <w:sz w:val="24"/>
          <w:szCs w:val="24"/>
        </w:rPr>
        <w:br/>
      </w:r>
      <w:r w:rsidRPr="00213A5D">
        <w:rPr>
          <w:sz w:val="24"/>
          <w:szCs w:val="24"/>
        </w:rPr>
        <w:t xml:space="preserve">на финансирование и выполнение работ) с объемом бюджетных ассигнований на 2022 год </w:t>
      </w:r>
      <w:r w:rsidRPr="00213A5D">
        <w:rPr>
          <w:b/>
          <w:sz w:val="24"/>
          <w:szCs w:val="24"/>
        </w:rPr>
        <w:t>2 553,4 млн. рублей</w:t>
      </w:r>
      <w:r w:rsidRPr="00213A5D">
        <w:rPr>
          <w:sz w:val="24"/>
          <w:szCs w:val="24"/>
        </w:rPr>
        <w:t xml:space="preserve"> (в утвержденной ФАИП – по Минтрансу России, Росавиации и Росморречфлоту в объеме 3 483,2 млн. рублей). </w:t>
      </w:r>
    </w:p>
    <w:p w14:paraId="26BA0B6E"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Счетная палата неоднократно отмечала, что Правилами формирования и реализации федеральной адресной инвестиционной программы, утвержденными постановлением Правительства Российской Федерации от 13 сентября 2010 г. № 716, </w:t>
      </w:r>
      <w:r w:rsidRPr="00213A5D">
        <w:rPr>
          <w:b/>
          <w:sz w:val="24"/>
          <w:szCs w:val="24"/>
        </w:rPr>
        <w:t xml:space="preserve">включение в ФАИП </w:t>
      </w:r>
      <w:r w:rsidRPr="00213A5D">
        <w:rPr>
          <w:sz w:val="24"/>
          <w:szCs w:val="24"/>
        </w:rPr>
        <w:t>позиции</w:t>
      </w:r>
      <w:r w:rsidRPr="00213A5D">
        <w:rPr>
          <w:b/>
          <w:sz w:val="24"/>
          <w:szCs w:val="24"/>
        </w:rPr>
        <w:t xml:space="preserve"> «нераспределенные средства» не предусмотрено</w:t>
      </w:r>
      <w:r w:rsidRPr="00213A5D">
        <w:rPr>
          <w:sz w:val="24"/>
          <w:szCs w:val="24"/>
        </w:rPr>
        <w:t>.</w:t>
      </w:r>
    </w:p>
    <w:p w14:paraId="4A5554E0" w14:textId="77777777" w:rsidR="00736F76" w:rsidRPr="00213A5D" w:rsidRDefault="00736F76" w:rsidP="00AF1852">
      <w:pPr>
        <w:pStyle w:val="24"/>
        <w:widowControl w:val="0"/>
        <w:spacing w:after="0" w:line="348" w:lineRule="auto"/>
        <w:ind w:left="0" w:right="0"/>
        <w:rPr>
          <w:sz w:val="24"/>
          <w:szCs w:val="24"/>
        </w:rPr>
      </w:pPr>
      <w:r w:rsidRPr="00213A5D">
        <w:rPr>
          <w:b/>
          <w:sz w:val="24"/>
          <w:szCs w:val="24"/>
        </w:rPr>
        <w:t>9.3.</w:t>
      </w:r>
      <w:r w:rsidRPr="00213A5D">
        <w:rPr>
          <w:sz w:val="24"/>
          <w:szCs w:val="24"/>
        </w:rPr>
        <w:t xml:space="preserve"> По данным Минстроя России, в ФАИП </w:t>
      </w:r>
      <w:r w:rsidRPr="00213A5D">
        <w:rPr>
          <w:b/>
          <w:sz w:val="24"/>
          <w:szCs w:val="24"/>
        </w:rPr>
        <w:t>на 1 октября 2022 года</w:t>
      </w:r>
      <w:r w:rsidRPr="00213A5D">
        <w:rPr>
          <w:sz w:val="24"/>
          <w:szCs w:val="24"/>
        </w:rPr>
        <w:t xml:space="preserve"> включено </w:t>
      </w:r>
      <w:r w:rsidRPr="00213A5D">
        <w:rPr>
          <w:b/>
          <w:sz w:val="24"/>
          <w:szCs w:val="24"/>
        </w:rPr>
        <w:t>46 объектов</w:t>
      </w:r>
      <w:r w:rsidRPr="00213A5D">
        <w:rPr>
          <w:sz w:val="24"/>
          <w:szCs w:val="24"/>
        </w:rPr>
        <w:t xml:space="preserve"> (по 15 главным распорядителям средств федерального бюджета), по которым отсутствует </w:t>
      </w:r>
      <w:r w:rsidRPr="00213A5D">
        <w:rPr>
          <w:b/>
          <w:sz w:val="24"/>
          <w:szCs w:val="24"/>
        </w:rPr>
        <w:t xml:space="preserve">проектная документация с положительным заключением государственной экспертизы, </w:t>
      </w:r>
      <w:r w:rsidRPr="00213A5D">
        <w:rPr>
          <w:sz w:val="24"/>
          <w:szCs w:val="24"/>
        </w:rPr>
        <w:t xml:space="preserve">с объемом бюджетных ассигнований на 2022 год в сумме </w:t>
      </w:r>
      <w:r w:rsidRPr="00213A5D">
        <w:rPr>
          <w:b/>
          <w:sz w:val="24"/>
          <w:szCs w:val="24"/>
        </w:rPr>
        <w:t>26 249,9 млн. рублей</w:t>
      </w:r>
      <w:r w:rsidRPr="00213A5D">
        <w:rPr>
          <w:sz w:val="24"/>
          <w:szCs w:val="24"/>
        </w:rPr>
        <w:t>, или</w:t>
      </w:r>
      <w:r w:rsidRPr="00213A5D">
        <w:rPr>
          <w:b/>
          <w:sz w:val="24"/>
          <w:szCs w:val="24"/>
        </w:rPr>
        <w:t xml:space="preserve"> 2,5 %</w:t>
      </w:r>
      <w:r w:rsidRPr="00213A5D">
        <w:rPr>
          <w:sz w:val="24"/>
          <w:szCs w:val="24"/>
        </w:rPr>
        <w:t xml:space="preserve"> объема ФАИП без учета ГОЗ. </w:t>
      </w:r>
    </w:p>
    <w:p w14:paraId="46A5EE04"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Так, по состоянию на 1 октября 2022 года отсутствует проектная документация </w:t>
      </w:r>
      <w:r w:rsidR="00980560" w:rsidRPr="00213A5D">
        <w:rPr>
          <w:sz w:val="24"/>
          <w:szCs w:val="24"/>
        </w:rPr>
        <w:br/>
      </w:r>
      <w:r w:rsidRPr="00213A5D">
        <w:rPr>
          <w:sz w:val="24"/>
          <w:szCs w:val="24"/>
        </w:rPr>
        <w:t xml:space="preserve">с положительным заключением государственной экспертизы </w:t>
      </w:r>
      <w:r w:rsidRPr="00213A5D">
        <w:rPr>
          <w:b/>
          <w:sz w:val="24"/>
          <w:szCs w:val="24"/>
        </w:rPr>
        <w:t>по 9 объектам Минтранса России</w:t>
      </w:r>
      <w:r w:rsidRPr="00213A5D">
        <w:rPr>
          <w:sz w:val="24"/>
          <w:szCs w:val="24"/>
        </w:rPr>
        <w:t xml:space="preserve"> (на общую сумму 4 826,6 млн. рублей), </w:t>
      </w:r>
      <w:r w:rsidRPr="00213A5D">
        <w:rPr>
          <w:b/>
          <w:sz w:val="24"/>
          <w:szCs w:val="24"/>
        </w:rPr>
        <w:t>8 – Минздрава России</w:t>
      </w:r>
      <w:r w:rsidRPr="00213A5D">
        <w:rPr>
          <w:sz w:val="24"/>
          <w:szCs w:val="24"/>
        </w:rPr>
        <w:t xml:space="preserve"> (4 933,9 млн. рублей), </w:t>
      </w:r>
      <w:r w:rsidRPr="00213A5D">
        <w:rPr>
          <w:sz w:val="24"/>
          <w:szCs w:val="24"/>
        </w:rPr>
        <w:br/>
      </w:r>
      <w:r w:rsidRPr="00213A5D">
        <w:rPr>
          <w:b/>
          <w:sz w:val="24"/>
          <w:szCs w:val="24"/>
        </w:rPr>
        <w:t>6 – Росжелдора</w:t>
      </w:r>
      <w:r w:rsidRPr="00213A5D">
        <w:rPr>
          <w:sz w:val="24"/>
          <w:szCs w:val="24"/>
        </w:rPr>
        <w:t xml:space="preserve"> (3 572,7 млн. рублей), </w:t>
      </w:r>
      <w:r w:rsidRPr="00213A5D">
        <w:rPr>
          <w:b/>
          <w:sz w:val="24"/>
          <w:szCs w:val="24"/>
        </w:rPr>
        <w:t xml:space="preserve">6 – ППК «Единый заказчик в сфере </w:t>
      </w:r>
      <w:r w:rsidRPr="00213A5D">
        <w:rPr>
          <w:b/>
          <w:sz w:val="24"/>
          <w:szCs w:val="24"/>
        </w:rPr>
        <w:lastRenderedPageBreak/>
        <w:t>строительства»</w:t>
      </w:r>
      <w:r w:rsidRPr="00213A5D">
        <w:rPr>
          <w:sz w:val="24"/>
          <w:szCs w:val="24"/>
        </w:rPr>
        <w:t xml:space="preserve"> (5 678,5 млн. рублей).</w:t>
      </w:r>
    </w:p>
    <w:p w14:paraId="66A8E4B8"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Таким образом, по состоянию на 1 октября 2022 года </w:t>
      </w:r>
      <w:r w:rsidRPr="00213A5D">
        <w:rPr>
          <w:b/>
          <w:sz w:val="24"/>
          <w:szCs w:val="24"/>
        </w:rPr>
        <w:t>35 596,8 млн. рублей, или 3,4 %</w:t>
      </w:r>
      <w:r w:rsidRPr="00213A5D">
        <w:rPr>
          <w:sz w:val="24"/>
          <w:szCs w:val="24"/>
        </w:rPr>
        <w:t xml:space="preserve"> объема бюджетных ассигнований на реализацию ФАИП без учета ГОЗ (1 036 008,3 млн. рублей), </w:t>
      </w:r>
      <w:r w:rsidRPr="00213A5D">
        <w:rPr>
          <w:b/>
          <w:sz w:val="24"/>
          <w:szCs w:val="24"/>
        </w:rPr>
        <w:t xml:space="preserve">зарезервированы, работы не начаты </w:t>
      </w:r>
      <w:r w:rsidRPr="00213A5D">
        <w:rPr>
          <w:sz w:val="24"/>
          <w:szCs w:val="24"/>
        </w:rPr>
        <w:t xml:space="preserve">по причине </w:t>
      </w:r>
      <w:r w:rsidRPr="00213A5D">
        <w:rPr>
          <w:b/>
          <w:sz w:val="24"/>
          <w:szCs w:val="24"/>
        </w:rPr>
        <w:t>отсутствия необходимых правовых актов (актов, решений), пообъектной детализации или проектной документации</w:t>
      </w:r>
      <w:r w:rsidRPr="00213A5D">
        <w:rPr>
          <w:sz w:val="24"/>
          <w:szCs w:val="24"/>
        </w:rPr>
        <w:t>.</w:t>
      </w:r>
    </w:p>
    <w:p w14:paraId="785B5BCE" w14:textId="77777777" w:rsidR="00736F76" w:rsidRPr="00213A5D" w:rsidRDefault="00736F76" w:rsidP="00AF1852">
      <w:pPr>
        <w:pStyle w:val="24"/>
        <w:widowControl w:val="0"/>
        <w:spacing w:after="0" w:line="348" w:lineRule="auto"/>
        <w:ind w:left="0" w:right="0"/>
        <w:rPr>
          <w:sz w:val="24"/>
          <w:szCs w:val="24"/>
        </w:rPr>
      </w:pPr>
      <w:r w:rsidRPr="00213A5D">
        <w:rPr>
          <w:b/>
          <w:sz w:val="24"/>
          <w:szCs w:val="24"/>
        </w:rPr>
        <w:t>9.4. </w:t>
      </w:r>
      <w:r w:rsidRPr="00213A5D">
        <w:rPr>
          <w:sz w:val="24"/>
          <w:szCs w:val="24"/>
        </w:rPr>
        <w:t xml:space="preserve">Положением о мерах по обеспечению исполнения федерального бюджета, утвержденным постановлением Правительства Российской Федерации от 9 декабря 2017 г. № 1496, и постановлением Правительства Российской Федерации от 24 декабря 2021 г. № 2460 </w:t>
      </w:r>
      <w:r w:rsidRPr="00213A5D">
        <w:rPr>
          <w:b/>
          <w:sz w:val="24"/>
          <w:szCs w:val="24"/>
        </w:rPr>
        <w:t>предусмотрено</w:t>
      </w:r>
      <w:r w:rsidRPr="00213A5D">
        <w:rPr>
          <w:sz w:val="24"/>
          <w:szCs w:val="24"/>
        </w:rPr>
        <w:t xml:space="preserve"> </w:t>
      </w:r>
      <w:r w:rsidRPr="00213A5D">
        <w:rPr>
          <w:b/>
          <w:sz w:val="24"/>
          <w:szCs w:val="24"/>
        </w:rPr>
        <w:t>перераспределение</w:t>
      </w:r>
      <w:r w:rsidRPr="00213A5D">
        <w:rPr>
          <w:sz w:val="24"/>
          <w:szCs w:val="24"/>
        </w:rPr>
        <w:t xml:space="preserve"> на иные направления расходов федерального бюджета или на другие объекты капитальных вложений бюджетных ассигнований</w:t>
      </w:r>
      <w:r w:rsidRPr="00213A5D">
        <w:rPr>
          <w:rStyle w:val="aff2"/>
          <w:sz w:val="24"/>
          <w:szCs w:val="24"/>
        </w:rPr>
        <w:footnoteReference w:id="41"/>
      </w:r>
      <w:r w:rsidRPr="00213A5D">
        <w:rPr>
          <w:sz w:val="24"/>
          <w:szCs w:val="24"/>
        </w:rPr>
        <w:t xml:space="preserve"> в случае отсутствия по состоянию </w:t>
      </w:r>
      <w:r w:rsidRPr="00213A5D">
        <w:rPr>
          <w:b/>
          <w:sz w:val="24"/>
          <w:szCs w:val="24"/>
        </w:rPr>
        <w:t>на 1 сентября</w:t>
      </w:r>
      <w:r w:rsidRPr="00213A5D">
        <w:rPr>
          <w:sz w:val="24"/>
          <w:szCs w:val="24"/>
        </w:rPr>
        <w:t xml:space="preserve"> текущего финансового года:</w:t>
      </w:r>
    </w:p>
    <w:p w14:paraId="63DDDC6E" w14:textId="77777777" w:rsidR="00390C14" w:rsidRPr="00213A5D" w:rsidRDefault="00736F76" w:rsidP="00AF1852">
      <w:pPr>
        <w:pStyle w:val="24"/>
        <w:widowControl w:val="0"/>
        <w:spacing w:after="0" w:line="348" w:lineRule="auto"/>
        <w:ind w:left="0" w:right="0"/>
        <w:rPr>
          <w:sz w:val="24"/>
          <w:szCs w:val="24"/>
        </w:rPr>
      </w:pPr>
      <w:r w:rsidRPr="00213A5D">
        <w:rPr>
          <w:b/>
          <w:sz w:val="24"/>
          <w:szCs w:val="24"/>
        </w:rPr>
        <w:t>детализации мероприятий</w:t>
      </w:r>
      <w:r w:rsidRPr="00213A5D">
        <w:rPr>
          <w:sz w:val="24"/>
          <w:szCs w:val="24"/>
        </w:rPr>
        <w:t xml:space="preserve"> до объектов государственной соб</w:t>
      </w:r>
      <w:r w:rsidR="00390C14" w:rsidRPr="00213A5D">
        <w:rPr>
          <w:sz w:val="24"/>
          <w:szCs w:val="24"/>
        </w:rPr>
        <w:t>ственности Российской Федерации;</w:t>
      </w:r>
    </w:p>
    <w:p w14:paraId="515E45B2" w14:textId="77777777" w:rsidR="00736F76" w:rsidRPr="00213A5D" w:rsidRDefault="00736F76" w:rsidP="00AF1852">
      <w:pPr>
        <w:pStyle w:val="24"/>
        <w:widowControl w:val="0"/>
        <w:spacing w:after="0" w:line="348" w:lineRule="auto"/>
        <w:ind w:left="0" w:right="0"/>
        <w:rPr>
          <w:sz w:val="24"/>
          <w:szCs w:val="24"/>
        </w:rPr>
      </w:pPr>
      <w:r w:rsidRPr="00213A5D">
        <w:rPr>
          <w:b/>
          <w:sz w:val="24"/>
          <w:szCs w:val="24"/>
        </w:rPr>
        <w:t>проектной документации</w:t>
      </w:r>
      <w:r w:rsidRPr="00213A5D">
        <w:rPr>
          <w:sz w:val="24"/>
          <w:szCs w:val="24"/>
        </w:rPr>
        <w:t xml:space="preserve"> по объектам капитального строительства, по которым </w:t>
      </w:r>
      <w:r w:rsidRPr="00213A5D">
        <w:rPr>
          <w:b/>
          <w:sz w:val="24"/>
          <w:szCs w:val="24"/>
        </w:rPr>
        <w:t xml:space="preserve">срок ее утверждения был продлен </w:t>
      </w:r>
      <w:r w:rsidRPr="00213A5D">
        <w:rPr>
          <w:sz w:val="24"/>
          <w:szCs w:val="24"/>
        </w:rPr>
        <w:t xml:space="preserve">в соответствии с </w:t>
      </w:r>
      <w:r w:rsidRPr="00213A5D">
        <w:rPr>
          <w:b/>
          <w:sz w:val="24"/>
          <w:szCs w:val="24"/>
        </w:rPr>
        <w:t>актами Президента Российской Федерации или Правительства Российской Федерации</w:t>
      </w:r>
      <w:r w:rsidRPr="00213A5D">
        <w:rPr>
          <w:rStyle w:val="aff2"/>
          <w:sz w:val="24"/>
          <w:szCs w:val="24"/>
        </w:rPr>
        <w:footnoteReference w:id="42"/>
      </w:r>
      <w:r w:rsidRPr="00213A5D">
        <w:rPr>
          <w:sz w:val="24"/>
          <w:szCs w:val="24"/>
        </w:rPr>
        <w:t xml:space="preserve">. </w:t>
      </w:r>
    </w:p>
    <w:p w14:paraId="28A4A06C"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Правительством Российской Федерации в 2022 году приняты решения </w:t>
      </w:r>
      <w:r w:rsidRPr="00213A5D">
        <w:rPr>
          <w:b/>
          <w:sz w:val="24"/>
          <w:szCs w:val="24"/>
        </w:rPr>
        <w:t>о продлении срока утверждения проектной документации до</w:t>
      </w:r>
      <w:r w:rsidRPr="00213A5D">
        <w:rPr>
          <w:b/>
          <w:sz w:val="24"/>
          <w:szCs w:val="24"/>
          <w:lang w:val="en-US"/>
        </w:rPr>
        <w:t> </w:t>
      </w:r>
      <w:r w:rsidRPr="00213A5D">
        <w:rPr>
          <w:b/>
          <w:sz w:val="24"/>
          <w:szCs w:val="24"/>
        </w:rPr>
        <w:t xml:space="preserve">1 сентября 2022 года </w:t>
      </w:r>
      <w:r w:rsidRPr="00213A5D">
        <w:rPr>
          <w:sz w:val="24"/>
          <w:szCs w:val="24"/>
        </w:rPr>
        <w:t>по 80 объектам капитального строительства.</w:t>
      </w:r>
    </w:p>
    <w:p w14:paraId="4EAB1225"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По данным Минстроя России, общий </w:t>
      </w:r>
      <w:r w:rsidRPr="00213A5D">
        <w:rPr>
          <w:b/>
          <w:sz w:val="24"/>
          <w:szCs w:val="24"/>
        </w:rPr>
        <w:t>объем бюджетных ассигнований</w:t>
      </w:r>
      <w:r w:rsidRPr="00213A5D">
        <w:rPr>
          <w:sz w:val="24"/>
          <w:szCs w:val="24"/>
        </w:rPr>
        <w:t xml:space="preserve"> по позициям ФАИП, по которым по состоянию</w:t>
      </w:r>
      <w:r w:rsidRPr="00213A5D">
        <w:rPr>
          <w:b/>
          <w:sz w:val="24"/>
          <w:szCs w:val="24"/>
        </w:rPr>
        <w:t xml:space="preserve"> на 1 сентября 2022 года</w:t>
      </w:r>
      <w:r w:rsidRPr="00213A5D">
        <w:rPr>
          <w:sz w:val="24"/>
          <w:szCs w:val="24"/>
        </w:rPr>
        <w:t xml:space="preserve"> отсутствовала</w:t>
      </w:r>
      <w:r w:rsidRPr="00213A5D">
        <w:rPr>
          <w:b/>
          <w:sz w:val="24"/>
          <w:szCs w:val="24"/>
        </w:rPr>
        <w:t xml:space="preserve"> утвержденная проектная документация </w:t>
      </w:r>
      <w:r w:rsidRPr="00213A5D">
        <w:rPr>
          <w:sz w:val="24"/>
          <w:szCs w:val="24"/>
        </w:rPr>
        <w:t xml:space="preserve">по объектам капитального строительства, по которым срок утверждения проектной документации продлен до 1 сентября 2022 года, составил </w:t>
      </w:r>
      <w:r w:rsidRPr="00213A5D">
        <w:rPr>
          <w:b/>
          <w:sz w:val="24"/>
          <w:szCs w:val="24"/>
        </w:rPr>
        <w:t>15 844,9 млн. рублей</w:t>
      </w:r>
      <w:r w:rsidRPr="00213A5D">
        <w:rPr>
          <w:sz w:val="24"/>
          <w:szCs w:val="24"/>
        </w:rPr>
        <w:t>, из которых не подлежат перераспределению 246,0 млн. рублей, отсутствовала</w:t>
      </w:r>
      <w:r w:rsidRPr="00213A5D">
        <w:rPr>
          <w:b/>
          <w:sz w:val="24"/>
          <w:szCs w:val="24"/>
        </w:rPr>
        <w:t xml:space="preserve"> детализация мероприятий</w:t>
      </w:r>
      <w:r w:rsidRPr="00213A5D">
        <w:rPr>
          <w:sz w:val="24"/>
          <w:szCs w:val="24"/>
        </w:rPr>
        <w:t xml:space="preserve"> – </w:t>
      </w:r>
      <w:r w:rsidRPr="00213A5D">
        <w:rPr>
          <w:b/>
          <w:sz w:val="24"/>
          <w:szCs w:val="24"/>
        </w:rPr>
        <w:t>4 263,8 млн. рублей</w:t>
      </w:r>
      <w:r w:rsidRPr="00213A5D">
        <w:rPr>
          <w:sz w:val="24"/>
          <w:szCs w:val="24"/>
        </w:rPr>
        <w:t>, из которых не подлежат перераспределению 318,8 млн. рублей.</w:t>
      </w:r>
    </w:p>
    <w:p w14:paraId="13E3F727"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По информации Минстроя России, одобрено перераспределение бюджетных ассигнований в сумме </w:t>
      </w:r>
      <w:r w:rsidRPr="00213A5D">
        <w:rPr>
          <w:b/>
          <w:sz w:val="24"/>
          <w:szCs w:val="24"/>
        </w:rPr>
        <w:t>10 211,7 млн. рублей</w:t>
      </w:r>
      <w:r w:rsidRPr="00213A5D">
        <w:rPr>
          <w:sz w:val="24"/>
          <w:szCs w:val="24"/>
        </w:rPr>
        <w:t xml:space="preserve">. </w:t>
      </w:r>
    </w:p>
    <w:p w14:paraId="2B8D4140" w14:textId="77777777" w:rsidR="00736F76" w:rsidRPr="00213A5D" w:rsidRDefault="00736F76" w:rsidP="00AF1852">
      <w:pPr>
        <w:pStyle w:val="24"/>
        <w:widowControl w:val="0"/>
        <w:spacing w:after="0" w:line="348" w:lineRule="auto"/>
        <w:ind w:left="0" w:right="0"/>
        <w:rPr>
          <w:sz w:val="24"/>
          <w:szCs w:val="24"/>
        </w:rPr>
      </w:pPr>
      <w:r w:rsidRPr="00213A5D">
        <w:rPr>
          <w:b/>
          <w:sz w:val="24"/>
          <w:szCs w:val="24"/>
        </w:rPr>
        <w:t>9.4.1. </w:t>
      </w:r>
      <w:r w:rsidRPr="00213A5D">
        <w:rPr>
          <w:sz w:val="24"/>
          <w:szCs w:val="24"/>
        </w:rPr>
        <w:t xml:space="preserve">По состоянию на 1 сентября 2022 года </w:t>
      </w:r>
      <w:r w:rsidRPr="00213A5D">
        <w:rPr>
          <w:b/>
          <w:sz w:val="24"/>
          <w:szCs w:val="24"/>
        </w:rPr>
        <w:t>из 80 объектов</w:t>
      </w:r>
      <w:r w:rsidRPr="00213A5D">
        <w:rPr>
          <w:sz w:val="24"/>
          <w:szCs w:val="24"/>
        </w:rPr>
        <w:t xml:space="preserve"> капитального </w:t>
      </w:r>
      <w:r w:rsidRPr="00213A5D">
        <w:rPr>
          <w:sz w:val="24"/>
          <w:szCs w:val="24"/>
        </w:rPr>
        <w:lastRenderedPageBreak/>
        <w:t xml:space="preserve">строительства, </w:t>
      </w:r>
      <w:r w:rsidRPr="00213A5D">
        <w:rPr>
          <w:b/>
          <w:sz w:val="24"/>
          <w:szCs w:val="24"/>
        </w:rPr>
        <w:t>по которым срок утверждения проектной документации</w:t>
      </w:r>
      <w:r w:rsidRPr="00213A5D">
        <w:rPr>
          <w:sz w:val="24"/>
          <w:szCs w:val="24"/>
        </w:rPr>
        <w:t xml:space="preserve"> </w:t>
      </w:r>
      <w:r w:rsidRPr="00213A5D">
        <w:rPr>
          <w:b/>
          <w:sz w:val="24"/>
          <w:szCs w:val="24"/>
        </w:rPr>
        <w:t>был продлен</w:t>
      </w:r>
      <w:r w:rsidRPr="00213A5D">
        <w:rPr>
          <w:sz w:val="24"/>
          <w:szCs w:val="24"/>
        </w:rPr>
        <w:t xml:space="preserve"> до</w:t>
      </w:r>
      <w:r w:rsidRPr="00213A5D">
        <w:rPr>
          <w:sz w:val="24"/>
          <w:szCs w:val="24"/>
          <w:lang w:val="en-US"/>
        </w:rPr>
        <w:t> </w:t>
      </w:r>
      <w:r w:rsidRPr="00213A5D">
        <w:rPr>
          <w:sz w:val="24"/>
          <w:szCs w:val="24"/>
        </w:rPr>
        <w:t>1 сентября 2022 года, по 29 объектам или 36,2 %, положительное заключение государственной экспертизы получено</w:t>
      </w:r>
      <w:bookmarkStart w:id="9" w:name="_Ref118919467"/>
      <w:r w:rsidRPr="00213A5D">
        <w:rPr>
          <w:rStyle w:val="aff2"/>
          <w:sz w:val="24"/>
          <w:szCs w:val="24"/>
        </w:rPr>
        <w:footnoteReference w:id="43"/>
      </w:r>
      <w:bookmarkEnd w:id="9"/>
      <w:r w:rsidRPr="00213A5D">
        <w:rPr>
          <w:sz w:val="24"/>
          <w:szCs w:val="24"/>
        </w:rPr>
        <w:t xml:space="preserve">, </w:t>
      </w:r>
      <w:r w:rsidRPr="00213A5D">
        <w:rPr>
          <w:b/>
          <w:sz w:val="24"/>
          <w:szCs w:val="24"/>
        </w:rPr>
        <w:t>по 46 объектам, или 57,5 % количества, положительное заключение государственной экспертизы не получено</w:t>
      </w:r>
      <w:r w:rsidRPr="00213A5D">
        <w:rPr>
          <w:sz w:val="24"/>
          <w:szCs w:val="24"/>
        </w:rPr>
        <w:t>, по 1 объекту (1,3 %) бюджетные ассигнования на 2022 год не предусматривались (положительное заключение государственной экспертизы не получено).</w:t>
      </w:r>
    </w:p>
    <w:p w14:paraId="650D02EC"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По 4 из 80 указанных объектов, или 5 % количества положительное заключение государственной экспертизы получено в сентябре 2022 года</w:t>
      </w:r>
      <w:r w:rsidRPr="00213A5D">
        <w:rPr>
          <w:sz w:val="24"/>
          <w:szCs w:val="24"/>
        </w:rPr>
        <w:fldChar w:fldCharType="begin"/>
      </w:r>
      <w:r w:rsidRPr="00213A5D">
        <w:rPr>
          <w:sz w:val="24"/>
          <w:szCs w:val="24"/>
        </w:rPr>
        <w:instrText xml:space="preserve"> NOTEREF _Ref118919467 \f  \* MERGEFORMAT </w:instrText>
      </w:r>
      <w:r w:rsidRPr="00213A5D">
        <w:rPr>
          <w:sz w:val="24"/>
          <w:szCs w:val="24"/>
        </w:rPr>
        <w:fldChar w:fldCharType="separate"/>
      </w:r>
      <w:r w:rsidR="00CB0409" w:rsidRPr="00213A5D">
        <w:rPr>
          <w:rStyle w:val="aff2"/>
        </w:rPr>
        <w:t>43</w:t>
      </w:r>
      <w:r w:rsidRPr="00213A5D">
        <w:rPr>
          <w:sz w:val="24"/>
          <w:szCs w:val="24"/>
        </w:rPr>
        <w:fldChar w:fldCharType="end"/>
      </w:r>
      <w:r w:rsidRPr="00213A5D">
        <w:rPr>
          <w:sz w:val="24"/>
          <w:szCs w:val="24"/>
        </w:rPr>
        <w:t>.</w:t>
      </w:r>
    </w:p>
    <w:p w14:paraId="3F360D4C"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Информация о наличии либо отсутствии перераспределения бюджетных ассигнований по объектам капитального строительства, срок утверждения проектной документации по которым был продлен до 1 сентября 2022 года, представлена на следующей диаграмме.</w:t>
      </w:r>
    </w:p>
    <w:p w14:paraId="17A8F63A" w14:textId="77777777" w:rsidR="005E426E" w:rsidRPr="00213A5D" w:rsidRDefault="00CD0E98" w:rsidP="00980560">
      <w:pPr>
        <w:pStyle w:val="24"/>
        <w:widowControl w:val="0"/>
        <w:spacing w:after="0" w:line="240" w:lineRule="auto"/>
        <w:ind w:left="0" w:right="0" w:firstLine="0"/>
        <w:jc w:val="center"/>
        <w:rPr>
          <w:b/>
          <w:sz w:val="16"/>
          <w:szCs w:val="16"/>
        </w:rPr>
      </w:pPr>
      <w:r w:rsidRPr="00F263A1">
        <w:rPr>
          <w:noProof/>
        </w:rPr>
        <w:pict w14:anchorId="0A31A77D">
          <v:shape id="Рисунок 39" o:spid="_x0000_i1044" type="#_x0000_t75" alt="Название: 80 объектов" style="width:349.15pt;height:194.95pt;visibility:visible" o:gfxdata="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">
            <v:imagedata r:id="rId59" o:title="" cropright="-19f"/>
            <o:lock v:ext="edit" aspectratio="f"/>
          </v:shape>
        </w:pict>
      </w:r>
    </w:p>
    <w:p w14:paraId="47FACBD6" w14:textId="77777777" w:rsidR="00736F76" w:rsidRPr="00213A5D" w:rsidRDefault="00736F76" w:rsidP="00AF1852">
      <w:pPr>
        <w:pStyle w:val="24"/>
        <w:widowControl w:val="0"/>
        <w:spacing w:after="0" w:line="360" w:lineRule="auto"/>
        <w:ind w:left="0" w:right="0"/>
        <w:rPr>
          <w:sz w:val="24"/>
          <w:szCs w:val="24"/>
        </w:rPr>
      </w:pPr>
      <w:r w:rsidRPr="00213A5D">
        <w:rPr>
          <w:sz w:val="24"/>
          <w:szCs w:val="24"/>
        </w:rPr>
        <w:t xml:space="preserve">По 41 из 80 объектов, срок утверждения проектной документации по которым продлевался до 1 сентября 2022 года, объем бюджетных ассигнований в </w:t>
      </w:r>
      <w:r w:rsidRPr="00213A5D">
        <w:rPr>
          <w:sz w:val="24"/>
          <w:szCs w:val="24"/>
          <w:lang w:val="en-US"/>
        </w:rPr>
        <w:t>III</w:t>
      </w:r>
      <w:r w:rsidRPr="00213A5D">
        <w:rPr>
          <w:sz w:val="24"/>
          <w:szCs w:val="24"/>
        </w:rPr>
        <w:t xml:space="preserve"> квартале 2022 года уменьшен на 3 143,8 млн. рублей, или на 27,3 %.</w:t>
      </w:r>
    </w:p>
    <w:p w14:paraId="7B6AB67E" w14:textId="77777777" w:rsidR="00736F76" w:rsidRPr="00213A5D" w:rsidRDefault="00736F76" w:rsidP="00AF1852">
      <w:pPr>
        <w:pStyle w:val="24"/>
        <w:widowControl w:val="0"/>
        <w:spacing w:after="0" w:line="360" w:lineRule="auto"/>
        <w:ind w:left="0" w:right="0"/>
        <w:rPr>
          <w:sz w:val="24"/>
          <w:szCs w:val="24"/>
        </w:rPr>
      </w:pPr>
      <w:r w:rsidRPr="00213A5D">
        <w:rPr>
          <w:sz w:val="24"/>
          <w:szCs w:val="24"/>
        </w:rPr>
        <w:t xml:space="preserve">По состоянию на 1 октября 2022 года </w:t>
      </w:r>
      <w:r w:rsidRPr="00213A5D">
        <w:rPr>
          <w:b/>
          <w:sz w:val="24"/>
          <w:szCs w:val="24"/>
        </w:rPr>
        <w:t>по</w:t>
      </w:r>
      <w:r w:rsidRPr="00213A5D">
        <w:rPr>
          <w:sz w:val="24"/>
          <w:szCs w:val="24"/>
        </w:rPr>
        <w:t xml:space="preserve"> </w:t>
      </w:r>
      <w:r w:rsidRPr="00213A5D">
        <w:rPr>
          <w:b/>
          <w:sz w:val="24"/>
          <w:szCs w:val="24"/>
        </w:rPr>
        <w:t>34 из 46 объектов</w:t>
      </w:r>
      <w:r w:rsidRPr="00213A5D">
        <w:rPr>
          <w:sz w:val="24"/>
          <w:szCs w:val="24"/>
        </w:rPr>
        <w:t xml:space="preserve"> капитального строительства, или </w:t>
      </w:r>
      <w:r w:rsidRPr="00213A5D">
        <w:rPr>
          <w:b/>
          <w:sz w:val="24"/>
          <w:szCs w:val="24"/>
        </w:rPr>
        <w:t>73,9 %</w:t>
      </w:r>
      <w:r w:rsidRPr="00213A5D">
        <w:rPr>
          <w:sz w:val="24"/>
          <w:szCs w:val="24"/>
        </w:rPr>
        <w:t xml:space="preserve"> количества, </w:t>
      </w:r>
      <w:r w:rsidRPr="00213A5D">
        <w:rPr>
          <w:b/>
          <w:sz w:val="24"/>
          <w:szCs w:val="24"/>
        </w:rPr>
        <w:t>по которым положительное заключение государственной экспертизы не получено</w:t>
      </w:r>
      <w:r w:rsidRPr="00213A5D">
        <w:rPr>
          <w:sz w:val="24"/>
          <w:szCs w:val="24"/>
        </w:rPr>
        <w:t xml:space="preserve">, ФАИП </w:t>
      </w:r>
      <w:r w:rsidRPr="00213A5D">
        <w:rPr>
          <w:b/>
          <w:sz w:val="24"/>
          <w:szCs w:val="24"/>
        </w:rPr>
        <w:t>предусмотрены бюджетные ассигнования</w:t>
      </w:r>
      <w:r w:rsidRPr="00213A5D">
        <w:rPr>
          <w:sz w:val="24"/>
          <w:szCs w:val="24"/>
        </w:rPr>
        <w:t xml:space="preserve"> на выполнение </w:t>
      </w:r>
      <w:r w:rsidRPr="00213A5D">
        <w:rPr>
          <w:b/>
          <w:sz w:val="24"/>
          <w:szCs w:val="24"/>
        </w:rPr>
        <w:t>работ по строительству (реконструкци</w:t>
      </w:r>
      <w:r w:rsidR="00F05C3F" w:rsidRPr="00213A5D">
        <w:rPr>
          <w:b/>
          <w:sz w:val="24"/>
          <w:szCs w:val="24"/>
        </w:rPr>
        <w:t>и</w:t>
      </w:r>
      <w:r w:rsidRPr="00213A5D">
        <w:rPr>
          <w:b/>
          <w:sz w:val="24"/>
          <w:szCs w:val="24"/>
        </w:rPr>
        <w:t>)</w:t>
      </w:r>
      <w:r w:rsidRPr="00213A5D">
        <w:rPr>
          <w:sz w:val="24"/>
          <w:szCs w:val="24"/>
        </w:rPr>
        <w:t xml:space="preserve"> в общей </w:t>
      </w:r>
      <w:r w:rsidR="006029F3" w:rsidRPr="00213A5D">
        <w:rPr>
          <w:sz w:val="24"/>
          <w:szCs w:val="24"/>
        </w:rPr>
        <w:br/>
      </w:r>
      <w:r w:rsidRPr="00213A5D">
        <w:rPr>
          <w:sz w:val="24"/>
          <w:szCs w:val="24"/>
        </w:rPr>
        <w:t xml:space="preserve">сумме </w:t>
      </w:r>
      <w:r w:rsidRPr="00213A5D">
        <w:rPr>
          <w:b/>
          <w:sz w:val="24"/>
          <w:szCs w:val="24"/>
        </w:rPr>
        <w:t>14 383,7 млн. рублей</w:t>
      </w:r>
      <w:r w:rsidRPr="00213A5D">
        <w:rPr>
          <w:b/>
          <w:bCs/>
          <w:sz w:val="24"/>
          <w:szCs w:val="24"/>
          <w:lang w:eastAsia="en-US"/>
        </w:rPr>
        <w:t>.</w:t>
      </w:r>
      <w:r w:rsidRPr="00213A5D">
        <w:rPr>
          <w:sz w:val="24"/>
          <w:szCs w:val="24"/>
        </w:rPr>
        <w:t xml:space="preserve"> </w:t>
      </w:r>
    </w:p>
    <w:p w14:paraId="47E7F33D" w14:textId="77777777" w:rsidR="00736F76" w:rsidRPr="00213A5D" w:rsidRDefault="00736F76" w:rsidP="00AF1852">
      <w:pPr>
        <w:widowControl w:val="0"/>
        <w:ind w:left="0" w:right="0"/>
        <w:rPr>
          <w:sz w:val="24"/>
          <w:szCs w:val="24"/>
        </w:rPr>
      </w:pPr>
      <w:r w:rsidRPr="00213A5D">
        <w:rPr>
          <w:b/>
          <w:sz w:val="24"/>
          <w:szCs w:val="24"/>
        </w:rPr>
        <w:t>9.5.</w:t>
      </w:r>
      <w:r w:rsidRPr="00213A5D">
        <w:rPr>
          <w:sz w:val="24"/>
          <w:szCs w:val="24"/>
        </w:rPr>
        <w:t> </w:t>
      </w:r>
      <w:r w:rsidRPr="00213A5D">
        <w:rPr>
          <w:b/>
          <w:sz w:val="24"/>
          <w:szCs w:val="24"/>
        </w:rPr>
        <w:t xml:space="preserve">Кассовое исполнение расходов </w:t>
      </w:r>
      <w:r w:rsidRPr="00213A5D">
        <w:rPr>
          <w:sz w:val="24"/>
          <w:szCs w:val="24"/>
        </w:rPr>
        <w:t>на реализацию</w:t>
      </w:r>
      <w:r w:rsidRPr="00213A5D">
        <w:rPr>
          <w:b/>
          <w:sz w:val="24"/>
          <w:szCs w:val="24"/>
        </w:rPr>
        <w:t xml:space="preserve"> </w:t>
      </w:r>
      <w:r w:rsidRPr="00213A5D">
        <w:rPr>
          <w:sz w:val="24"/>
          <w:szCs w:val="24"/>
        </w:rPr>
        <w:t>ФАИП за январь – сентябрь 2022 года, по данным Минфина России, составило</w:t>
      </w:r>
      <w:r w:rsidRPr="00213A5D">
        <w:rPr>
          <w:b/>
          <w:sz w:val="24"/>
          <w:szCs w:val="24"/>
        </w:rPr>
        <w:t xml:space="preserve"> 715 128,4 млн. рублей</w:t>
      </w:r>
      <w:r w:rsidRPr="00213A5D">
        <w:rPr>
          <w:sz w:val="24"/>
          <w:szCs w:val="24"/>
        </w:rPr>
        <w:t xml:space="preserve">, или </w:t>
      </w:r>
      <w:r w:rsidRPr="00213A5D">
        <w:rPr>
          <w:b/>
          <w:sz w:val="24"/>
          <w:szCs w:val="24"/>
        </w:rPr>
        <w:t>58,6 %</w:t>
      </w:r>
      <w:r w:rsidRPr="00213A5D">
        <w:rPr>
          <w:sz w:val="24"/>
          <w:szCs w:val="24"/>
        </w:rPr>
        <w:t xml:space="preserve"> объема бюджетных ассигнований на ФАИП, предусмотренных сводной росписью </w:t>
      </w:r>
      <w:r w:rsidR="00980560" w:rsidRPr="00213A5D">
        <w:rPr>
          <w:sz w:val="24"/>
          <w:szCs w:val="24"/>
        </w:rPr>
        <w:br/>
      </w:r>
      <w:r w:rsidRPr="00213A5D">
        <w:rPr>
          <w:sz w:val="24"/>
          <w:szCs w:val="24"/>
        </w:rPr>
        <w:t xml:space="preserve">с изменениями (1 219 549,9 млн. рублей), что </w:t>
      </w:r>
      <w:r w:rsidRPr="00213A5D">
        <w:rPr>
          <w:b/>
          <w:sz w:val="24"/>
          <w:szCs w:val="24"/>
        </w:rPr>
        <w:t xml:space="preserve">на 222 399,2 млн. рублей, или </w:t>
      </w:r>
      <w:r w:rsidR="00980560" w:rsidRPr="00213A5D">
        <w:rPr>
          <w:b/>
          <w:sz w:val="24"/>
          <w:szCs w:val="24"/>
        </w:rPr>
        <w:br/>
      </w:r>
      <w:r w:rsidRPr="00213A5D">
        <w:rPr>
          <w:b/>
          <w:sz w:val="24"/>
          <w:szCs w:val="24"/>
        </w:rPr>
        <w:lastRenderedPageBreak/>
        <w:t>на 8,8 процентного пункта, выше</w:t>
      </w:r>
      <w:r w:rsidRPr="00213A5D">
        <w:rPr>
          <w:sz w:val="24"/>
          <w:szCs w:val="24"/>
        </w:rPr>
        <w:t>, чем за аналогичный период 2021 года (492 729,2 млн. рублей</w:t>
      </w:r>
      <w:r w:rsidRPr="00213A5D">
        <w:rPr>
          <w:sz w:val="24"/>
        </w:rPr>
        <w:t>,</w:t>
      </w:r>
      <w:r w:rsidRPr="00213A5D">
        <w:rPr>
          <w:sz w:val="24"/>
          <w:szCs w:val="24"/>
        </w:rPr>
        <w:t xml:space="preserve"> или 49,8 %). </w:t>
      </w:r>
    </w:p>
    <w:p w14:paraId="286B418E" w14:textId="77777777" w:rsidR="00736F76" w:rsidRPr="00213A5D" w:rsidRDefault="00736F76" w:rsidP="00AF1852">
      <w:pPr>
        <w:widowControl w:val="0"/>
        <w:ind w:left="0" w:right="0"/>
        <w:rPr>
          <w:b/>
          <w:sz w:val="24"/>
          <w:szCs w:val="24"/>
        </w:rPr>
      </w:pPr>
      <w:r w:rsidRPr="00213A5D">
        <w:rPr>
          <w:b/>
          <w:sz w:val="24"/>
          <w:szCs w:val="24"/>
        </w:rPr>
        <w:t>9.5.1.</w:t>
      </w:r>
      <w:r w:rsidRPr="00213A5D">
        <w:rPr>
          <w:sz w:val="24"/>
          <w:szCs w:val="24"/>
        </w:rPr>
        <w:t xml:space="preserve"> В 2022 году бюджетные ассигнования на реализацию ФАИП предусмотрены в рамках </w:t>
      </w:r>
      <w:r w:rsidRPr="00213A5D">
        <w:rPr>
          <w:b/>
          <w:sz w:val="24"/>
          <w:szCs w:val="24"/>
        </w:rPr>
        <w:t>36 </w:t>
      </w:r>
      <w:r w:rsidRPr="00213A5D">
        <w:rPr>
          <w:sz w:val="24"/>
          <w:szCs w:val="24"/>
        </w:rPr>
        <w:t>государственных программ Российской Федерации (далее – госпрограмма, ГП) и </w:t>
      </w:r>
      <w:r w:rsidRPr="00213A5D">
        <w:rPr>
          <w:b/>
          <w:sz w:val="24"/>
          <w:szCs w:val="24"/>
        </w:rPr>
        <w:t xml:space="preserve">4 непрограммных направлений </w:t>
      </w:r>
      <w:r w:rsidRPr="00213A5D">
        <w:rPr>
          <w:sz w:val="24"/>
          <w:szCs w:val="24"/>
        </w:rPr>
        <w:t>деятельности.</w:t>
      </w:r>
      <w:r w:rsidRPr="00213A5D">
        <w:rPr>
          <w:b/>
          <w:sz w:val="24"/>
          <w:szCs w:val="24"/>
        </w:rPr>
        <w:t xml:space="preserve"> </w:t>
      </w:r>
    </w:p>
    <w:p w14:paraId="35BEA89F" w14:textId="77777777" w:rsidR="00736F76" w:rsidRPr="00213A5D" w:rsidRDefault="00736F76" w:rsidP="00AF1852">
      <w:pPr>
        <w:widowControl w:val="0"/>
        <w:ind w:left="0" w:right="0"/>
        <w:rPr>
          <w:sz w:val="24"/>
          <w:szCs w:val="24"/>
        </w:rPr>
      </w:pPr>
      <w:r w:rsidRPr="00213A5D">
        <w:rPr>
          <w:sz w:val="24"/>
          <w:szCs w:val="24"/>
        </w:rPr>
        <w:t xml:space="preserve">Структура уровня исполнения расходов на ФАИП в разрезе </w:t>
      </w:r>
      <w:r w:rsidRPr="00213A5D">
        <w:rPr>
          <w:b/>
          <w:sz w:val="24"/>
          <w:szCs w:val="24"/>
        </w:rPr>
        <w:t>госпрограмм</w:t>
      </w:r>
      <w:r w:rsidRPr="00213A5D">
        <w:rPr>
          <w:sz w:val="24"/>
          <w:szCs w:val="24"/>
        </w:rPr>
        <w:t xml:space="preserve"> за январь</w:t>
      </w:r>
      <w:r w:rsidR="00A62843" w:rsidRPr="00213A5D">
        <w:rPr>
          <w:sz w:val="24"/>
          <w:szCs w:val="24"/>
        </w:rPr>
        <w:t xml:space="preserve"> – </w:t>
      </w:r>
      <w:r w:rsidRPr="00213A5D">
        <w:rPr>
          <w:sz w:val="24"/>
          <w:szCs w:val="24"/>
        </w:rPr>
        <w:t xml:space="preserve">сентябрь 2022 годы представлена на следующей диаграмме. </w:t>
      </w:r>
    </w:p>
    <w:p w14:paraId="6E57B2E7" w14:textId="77777777" w:rsidR="005E426E" w:rsidRPr="00213A5D" w:rsidRDefault="00CD0E98" w:rsidP="00BC250C">
      <w:pPr>
        <w:pStyle w:val="24"/>
        <w:widowControl w:val="0"/>
        <w:spacing w:after="0" w:line="240" w:lineRule="auto"/>
        <w:ind w:left="0" w:right="0" w:firstLine="0"/>
        <w:jc w:val="center"/>
        <w:rPr>
          <w:b/>
          <w:sz w:val="16"/>
          <w:szCs w:val="16"/>
        </w:rPr>
      </w:pPr>
      <w:r w:rsidRPr="00213A5D">
        <w:rPr>
          <w:noProof/>
        </w:rPr>
        <w:object w:dxaOrig="7172" w:dyaOrig="3408" w14:anchorId="75C39619">
          <v:shape id="Объект 104" o:spid="_x0000_i1043" type="#_x0000_t75" alt="" style="width:5in;height:171.15pt;visibility:visible;mso-width-percent:0;mso-height-percent:0;mso-width-percent:0;mso-height-percent:0" o:ole="">
            <v:imagedata r:id="rId60" o:title="" cropbottom="-77f"/>
            <o:lock v:ext="edit" aspectratio="f"/>
          </v:shape>
          <o:OLEObject Type="Embed" ProgID="Excel.Sheet.8" ShapeID="Объект 104" DrawAspect="Content" ObjectID="_1731305711" r:id="rId61">
            <o:FieldCodes>\s</o:FieldCodes>
          </o:OLEObject>
        </w:object>
      </w:r>
    </w:p>
    <w:p w14:paraId="35772B46" w14:textId="77777777" w:rsidR="00736F76" w:rsidRPr="00213A5D" w:rsidRDefault="00736F76" w:rsidP="00C57FE7">
      <w:pPr>
        <w:widowControl w:val="0"/>
        <w:spacing w:line="343" w:lineRule="auto"/>
        <w:ind w:left="0" w:right="0"/>
        <w:rPr>
          <w:sz w:val="24"/>
          <w:szCs w:val="24"/>
        </w:rPr>
      </w:pPr>
      <w:r w:rsidRPr="00213A5D">
        <w:rPr>
          <w:sz w:val="24"/>
          <w:szCs w:val="24"/>
        </w:rPr>
        <w:t xml:space="preserve">По состоянию на 1 октября 2022 года на уровне </w:t>
      </w:r>
      <w:r w:rsidRPr="00213A5D">
        <w:rPr>
          <w:b/>
          <w:sz w:val="24"/>
          <w:szCs w:val="24"/>
        </w:rPr>
        <w:t>менее 30 %</w:t>
      </w:r>
      <w:r w:rsidRPr="00213A5D">
        <w:rPr>
          <w:sz w:val="24"/>
          <w:szCs w:val="24"/>
        </w:rPr>
        <w:t xml:space="preserve"> показателя сводной росписи с изменениями исполнены расходы на ФАИП по 6 госпрограммам:</w:t>
      </w:r>
    </w:p>
    <w:p w14:paraId="37C3F0E0" w14:textId="77777777" w:rsidR="00736F76" w:rsidRPr="00213A5D" w:rsidRDefault="00736F76" w:rsidP="00C57FE7">
      <w:pPr>
        <w:widowControl w:val="0"/>
        <w:spacing w:line="343" w:lineRule="auto"/>
        <w:ind w:left="1069" w:right="0" w:firstLine="0"/>
        <w:rPr>
          <w:sz w:val="24"/>
          <w:szCs w:val="24"/>
        </w:rPr>
      </w:pPr>
      <w:r w:rsidRPr="00213A5D">
        <w:rPr>
          <w:sz w:val="24"/>
          <w:szCs w:val="24"/>
        </w:rPr>
        <w:t>«Развитие электронной и радиоэлектронной промышленности» (14,9 %);</w:t>
      </w:r>
    </w:p>
    <w:p w14:paraId="72FC900C" w14:textId="77777777" w:rsidR="00736F76" w:rsidRPr="00213A5D" w:rsidRDefault="00736F76" w:rsidP="00C57FE7">
      <w:pPr>
        <w:widowControl w:val="0"/>
        <w:spacing w:line="343" w:lineRule="auto"/>
        <w:ind w:left="1069" w:right="0" w:firstLine="0"/>
        <w:rPr>
          <w:sz w:val="24"/>
          <w:szCs w:val="24"/>
        </w:rPr>
      </w:pPr>
      <w:r w:rsidRPr="00213A5D">
        <w:rPr>
          <w:sz w:val="24"/>
          <w:szCs w:val="24"/>
        </w:rPr>
        <w:t>«Развитие промышленности и повышение ее конкурентоспособности» (21,2 %);</w:t>
      </w:r>
    </w:p>
    <w:p w14:paraId="5E2F11EC" w14:textId="77777777" w:rsidR="00736F76" w:rsidRPr="00213A5D" w:rsidRDefault="00736F76" w:rsidP="00C57FE7">
      <w:pPr>
        <w:widowControl w:val="0"/>
        <w:spacing w:line="343" w:lineRule="auto"/>
        <w:ind w:left="1069" w:right="0" w:firstLine="0"/>
        <w:rPr>
          <w:sz w:val="24"/>
          <w:szCs w:val="24"/>
        </w:rPr>
      </w:pPr>
      <w:r w:rsidRPr="00213A5D">
        <w:rPr>
          <w:sz w:val="24"/>
          <w:szCs w:val="24"/>
        </w:rPr>
        <w:t>«Социально-экономическое развитие Дальневосточного федерального округа» (23,5 %);</w:t>
      </w:r>
    </w:p>
    <w:p w14:paraId="4ECF646C" w14:textId="77777777" w:rsidR="00736F76" w:rsidRPr="00213A5D" w:rsidRDefault="00736F76" w:rsidP="00C57FE7">
      <w:pPr>
        <w:widowControl w:val="0"/>
        <w:spacing w:line="343" w:lineRule="auto"/>
        <w:ind w:left="1069" w:right="0" w:firstLine="0"/>
        <w:rPr>
          <w:sz w:val="24"/>
          <w:szCs w:val="24"/>
        </w:rPr>
      </w:pPr>
      <w:r w:rsidRPr="00213A5D">
        <w:rPr>
          <w:sz w:val="24"/>
          <w:szCs w:val="24"/>
        </w:rPr>
        <w:t>«Информационное общество» (24,9 %);</w:t>
      </w:r>
    </w:p>
    <w:p w14:paraId="054C6D56" w14:textId="77777777" w:rsidR="00736F76" w:rsidRPr="00213A5D" w:rsidRDefault="00736F76" w:rsidP="00C57FE7">
      <w:pPr>
        <w:widowControl w:val="0"/>
        <w:spacing w:line="343" w:lineRule="auto"/>
        <w:ind w:left="1069" w:right="0" w:firstLine="0"/>
        <w:rPr>
          <w:sz w:val="24"/>
          <w:szCs w:val="24"/>
        </w:rPr>
      </w:pPr>
      <w:r w:rsidRPr="00213A5D">
        <w:rPr>
          <w:sz w:val="24"/>
          <w:szCs w:val="24"/>
        </w:rPr>
        <w:t>«Юстиция» (27,5 %);</w:t>
      </w:r>
    </w:p>
    <w:p w14:paraId="600B3782" w14:textId="77777777" w:rsidR="00736F76" w:rsidRPr="00213A5D" w:rsidRDefault="00736F76" w:rsidP="00C57FE7">
      <w:pPr>
        <w:widowControl w:val="0"/>
        <w:spacing w:line="343" w:lineRule="auto"/>
        <w:ind w:left="1069" w:right="0" w:firstLine="0"/>
        <w:rPr>
          <w:sz w:val="24"/>
          <w:szCs w:val="24"/>
        </w:rPr>
      </w:pPr>
      <w:r w:rsidRPr="00213A5D">
        <w:rPr>
          <w:sz w:val="24"/>
          <w:szCs w:val="24"/>
        </w:rPr>
        <w:t>«Экономическое развитие и инновационная экономика» (29,5 %).</w:t>
      </w:r>
    </w:p>
    <w:p w14:paraId="295D6A11" w14:textId="77777777" w:rsidR="00736F76" w:rsidRPr="00213A5D" w:rsidRDefault="00736F76" w:rsidP="00C57FE7">
      <w:pPr>
        <w:pStyle w:val="24"/>
        <w:widowControl w:val="0"/>
        <w:spacing w:after="0" w:line="343" w:lineRule="auto"/>
        <w:ind w:left="0" w:right="0"/>
        <w:rPr>
          <w:sz w:val="24"/>
          <w:szCs w:val="24"/>
        </w:rPr>
      </w:pPr>
      <w:r w:rsidRPr="00213A5D">
        <w:rPr>
          <w:sz w:val="24"/>
          <w:szCs w:val="24"/>
        </w:rPr>
        <w:t xml:space="preserve">По непрограммному направлению деятельности </w:t>
      </w:r>
      <w:r w:rsidRPr="00213A5D">
        <w:rPr>
          <w:b/>
          <w:sz w:val="24"/>
          <w:szCs w:val="24"/>
        </w:rPr>
        <w:t>«Обеспечение деятельности отдельных федеральных государственных органов»</w:t>
      </w:r>
      <w:r w:rsidRPr="00213A5D">
        <w:rPr>
          <w:sz w:val="24"/>
          <w:szCs w:val="24"/>
        </w:rPr>
        <w:t xml:space="preserve"> уровень исполнения расходов составил </w:t>
      </w:r>
      <w:r w:rsidRPr="00213A5D">
        <w:rPr>
          <w:b/>
          <w:sz w:val="24"/>
          <w:szCs w:val="24"/>
        </w:rPr>
        <w:t>18,6 %</w:t>
      </w:r>
      <w:r w:rsidRPr="00213A5D">
        <w:rPr>
          <w:sz w:val="24"/>
          <w:szCs w:val="24"/>
        </w:rPr>
        <w:t xml:space="preserve">, </w:t>
      </w:r>
      <w:r w:rsidRPr="00213A5D">
        <w:rPr>
          <w:b/>
          <w:sz w:val="24"/>
          <w:szCs w:val="24"/>
        </w:rPr>
        <w:t>«Реализация функций иных федеральных органов государственной власти»</w:t>
      </w:r>
      <w:r w:rsidR="00DA148B" w:rsidRPr="00213A5D">
        <w:rPr>
          <w:sz w:val="24"/>
          <w:szCs w:val="24"/>
        </w:rPr>
        <w:t xml:space="preserve"> – </w:t>
      </w:r>
      <w:r w:rsidRPr="00213A5D">
        <w:rPr>
          <w:b/>
          <w:sz w:val="24"/>
          <w:szCs w:val="24"/>
        </w:rPr>
        <w:t>50 %</w:t>
      </w:r>
      <w:r w:rsidRPr="00213A5D">
        <w:rPr>
          <w:sz w:val="24"/>
          <w:szCs w:val="24"/>
        </w:rPr>
        <w:t xml:space="preserve">, </w:t>
      </w:r>
      <w:r w:rsidRPr="00213A5D">
        <w:rPr>
          <w:b/>
          <w:sz w:val="24"/>
          <w:szCs w:val="24"/>
        </w:rPr>
        <w:t>«Прокуратура Российской Федерации»</w:t>
      </w:r>
      <w:r w:rsidR="00F05C3F" w:rsidRPr="00213A5D">
        <w:rPr>
          <w:sz w:val="24"/>
          <w:szCs w:val="24"/>
        </w:rPr>
        <w:t xml:space="preserve"> – </w:t>
      </w:r>
      <w:r w:rsidRPr="00213A5D">
        <w:rPr>
          <w:b/>
          <w:sz w:val="24"/>
          <w:szCs w:val="24"/>
        </w:rPr>
        <w:t>50,2 %</w:t>
      </w:r>
      <w:r w:rsidRPr="00213A5D">
        <w:rPr>
          <w:sz w:val="24"/>
          <w:szCs w:val="24"/>
        </w:rPr>
        <w:t xml:space="preserve">, </w:t>
      </w:r>
      <w:r w:rsidRPr="00213A5D">
        <w:rPr>
          <w:b/>
          <w:sz w:val="24"/>
          <w:szCs w:val="24"/>
        </w:rPr>
        <w:t>«Следственный комитет Российской Федерации»</w:t>
      </w:r>
      <w:r w:rsidR="00F05C3F" w:rsidRPr="00213A5D">
        <w:rPr>
          <w:sz w:val="24"/>
          <w:szCs w:val="24"/>
        </w:rPr>
        <w:t xml:space="preserve"> – </w:t>
      </w:r>
      <w:r w:rsidRPr="00213A5D">
        <w:rPr>
          <w:b/>
          <w:sz w:val="24"/>
          <w:szCs w:val="24"/>
        </w:rPr>
        <w:t>60,3 %</w:t>
      </w:r>
      <w:r w:rsidRPr="00213A5D">
        <w:rPr>
          <w:sz w:val="24"/>
          <w:szCs w:val="24"/>
        </w:rPr>
        <w:t>.</w:t>
      </w:r>
    </w:p>
    <w:p w14:paraId="7FBAE0F8" w14:textId="77777777" w:rsidR="00736F76" w:rsidRPr="00213A5D" w:rsidRDefault="00736F76" w:rsidP="00C57FE7">
      <w:pPr>
        <w:widowControl w:val="0"/>
        <w:tabs>
          <w:tab w:val="left" w:pos="10065"/>
          <w:tab w:val="left" w:pos="10206"/>
        </w:tabs>
        <w:spacing w:line="343" w:lineRule="auto"/>
        <w:ind w:left="0" w:right="-2"/>
        <w:contextualSpacing/>
        <w:rPr>
          <w:sz w:val="24"/>
          <w:szCs w:val="24"/>
        </w:rPr>
      </w:pPr>
      <w:r w:rsidRPr="00213A5D">
        <w:rPr>
          <w:sz w:val="24"/>
          <w:szCs w:val="24"/>
        </w:rPr>
        <w:t xml:space="preserve">По состоянию на 1 октября 2022 года в рамках госпрограммы </w:t>
      </w:r>
      <w:r w:rsidRPr="00213A5D">
        <w:rPr>
          <w:b/>
          <w:sz w:val="24"/>
          <w:szCs w:val="24"/>
        </w:rPr>
        <w:t xml:space="preserve">«Социально-экономическое развитие Республики Крым и г. Севастополя» Минэнерго России </w:t>
      </w:r>
      <w:r w:rsidRPr="00213A5D">
        <w:rPr>
          <w:sz w:val="24"/>
          <w:szCs w:val="24"/>
        </w:rPr>
        <w:t xml:space="preserve">не осуществлялось исполнение расходов на мероприятия по модернизации и развитию сетевого комплекса на территории Крымского полуострова (3 065,6 млн. рублей) в связи с поздним получением заключения государственной экспертизы по ряду объектов капитального строительства, а также </w:t>
      </w:r>
      <w:r w:rsidR="00F76AC5" w:rsidRPr="00213A5D">
        <w:rPr>
          <w:sz w:val="24"/>
          <w:szCs w:val="24"/>
        </w:rPr>
        <w:t xml:space="preserve">с </w:t>
      </w:r>
      <w:r w:rsidRPr="00213A5D">
        <w:rPr>
          <w:sz w:val="24"/>
          <w:szCs w:val="24"/>
        </w:rPr>
        <w:t xml:space="preserve">необходимостью внесения изменений в приказ Минэнерго России от 8 июня 2022 г. №  512  в части уточнения мощности и стоимости объектов в соответствии </w:t>
      </w:r>
      <w:r w:rsidRPr="00213A5D">
        <w:rPr>
          <w:sz w:val="24"/>
          <w:szCs w:val="24"/>
        </w:rPr>
        <w:lastRenderedPageBreak/>
        <w:t xml:space="preserve">с данными полученных положительных заключений государственной экспертизы. Расходы </w:t>
      </w:r>
      <w:r w:rsidRPr="00213A5D">
        <w:rPr>
          <w:b/>
          <w:sz w:val="24"/>
          <w:szCs w:val="24"/>
        </w:rPr>
        <w:t>ППК «Единый заказчик в сфере строительства»</w:t>
      </w:r>
      <w:r w:rsidRPr="00213A5D">
        <w:rPr>
          <w:sz w:val="24"/>
          <w:szCs w:val="24"/>
        </w:rPr>
        <w:t xml:space="preserve"> в рамках указанной госпрограммы на предоставление бюджетных инвестиций в объекты капитального строительства государственной (муниципальной) собственности исполнены в сумме 2 289,0 млн. рублей, или </w:t>
      </w:r>
      <w:r w:rsidRPr="00213A5D">
        <w:rPr>
          <w:b/>
          <w:sz w:val="24"/>
          <w:szCs w:val="24"/>
        </w:rPr>
        <w:t>44,5 %</w:t>
      </w:r>
      <w:r w:rsidRPr="00213A5D">
        <w:rPr>
          <w:sz w:val="24"/>
          <w:szCs w:val="24"/>
        </w:rPr>
        <w:t xml:space="preserve"> показателя сводной росписи с изменениями.</w:t>
      </w:r>
    </w:p>
    <w:p w14:paraId="3F557F48" w14:textId="77777777" w:rsidR="00736F76" w:rsidRPr="00213A5D" w:rsidRDefault="00736F76" w:rsidP="00C57FE7">
      <w:pPr>
        <w:widowControl w:val="0"/>
        <w:tabs>
          <w:tab w:val="left" w:pos="10065"/>
          <w:tab w:val="left" w:pos="10206"/>
        </w:tabs>
        <w:spacing w:line="348" w:lineRule="auto"/>
        <w:ind w:left="0" w:right="0"/>
        <w:contextualSpacing/>
        <w:rPr>
          <w:rFonts w:eastAsia="Times New Roman"/>
          <w:sz w:val="24"/>
          <w:szCs w:val="24"/>
        </w:rPr>
      </w:pPr>
      <w:r w:rsidRPr="00213A5D">
        <w:rPr>
          <w:rFonts w:eastAsia="Times New Roman"/>
          <w:sz w:val="24"/>
          <w:szCs w:val="24"/>
        </w:rPr>
        <w:t xml:space="preserve">В рамках госпрограммы </w:t>
      </w:r>
      <w:r w:rsidRPr="00213A5D">
        <w:rPr>
          <w:rFonts w:eastAsia="Times New Roman"/>
          <w:b/>
          <w:sz w:val="24"/>
          <w:szCs w:val="24"/>
        </w:rPr>
        <w:t>«Развитие туризма»</w:t>
      </w:r>
      <w:r w:rsidRPr="00213A5D">
        <w:rPr>
          <w:rFonts w:eastAsia="Times New Roman"/>
          <w:sz w:val="24"/>
          <w:szCs w:val="24"/>
        </w:rPr>
        <w:t xml:space="preserve"> </w:t>
      </w:r>
      <w:r w:rsidRPr="00213A5D">
        <w:rPr>
          <w:rFonts w:eastAsia="Times New Roman"/>
          <w:b/>
          <w:sz w:val="24"/>
          <w:szCs w:val="24"/>
        </w:rPr>
        <w:t>Минстроем России</w:t>
      </w:r>
      <w:r w:rsidR="001C429A" w:rsidRPr="00213A5D">
        <w:rPr>
          <w:rFonts w:eastAsia="Times New Roman"/>
          <w:sz w:val="24"/>
          <w:szCs w:val="24"/>
        </w:rPr>
        <w:t xml:space="preserve"> в январе – </w:t>
      </w:r>
      <w:r w:rsidRPr="00213A5D">
        <w:rPr>
          <w:rFonts w:eastAsia="Times New Roman"/>
          <w:sz w:val="24"/>
          <w:szCs w:val="24"/>
        </w:rPr>
        <w:t>сентябре 2022 года не осуществлялись кассовые расходы на реализацию ФАИП, предусмотренные на поддержку субъектов Российской Федерации для создания объектов инженерной и транспортной инфраструктуры в целях развития туристических кластеров (объем финансирования на 2022 год – 3 252,5 млн. рублей).</w:t>
      </w:r>
    </w:p>
    <w:p w14:paraId="4E00CA4B" w14:textId="77777777" w:rsidR="00736F76" w:rsidRPr="00213A5D" w:rsidRDefault="00736F76" w:rsidP="00C57FE7">
      <w:pPr>
        <w:widowControl w:val="0"/>
        <w:tabs>
          <w:tab w:val="left" w:pos="10065"/>
          <w:tab w:val="left" w:pos="10206"/>
        </w:tabs>
        <w:spacing w:line="348" w:lineRule="auto"/>
        <w:ind w:left="0" w:right="-2"/>
        <w:contextualSpacing/>
        <w:rPr>
          <w:rFonts w:eastAsia="Times New Roman"/>
          <w:sz w:val="24"/>
          <w:szCs w:val="24"/>
        </w:rPr>
      </w:pPr>
      <w:r w:rsidRPr="00213A5D">
        <w:rPr>
          <w:rFonts w:eastAsia="Times New Roman"/>
          <w:sz w:val="24"/>
          <w:szCs w:val="24"/>
        </w:rPr>
        <w:t xml:space="preserve">По госпрограмме </w:t>
      </w:r>
      <w:r w:rsidRPr="00213A5D">
        <w:rPr>
          <w:rFonts w:eastAsia="Times New Roman"/>
          <w:b/>
          <w:sz w:val="24"/>
          <w:szCs w:val="24"/>
        </w:rPr>
        <w:t>«Обеспечение доступным и комфортным жильем и коммунальными услугами граждан Российской Федерации»</w:t>
      </w:r>
      <w:r w:rsidRPr="00213A5D">
        <w:rPr>
          <w:rFonts w:eastAsia="Times New Roman"/>
          <w:sz w:val="24"/>
          <w:szCs w:val="24"/>
        </w:rPr>
        <w:t xml:space="preserve"> </w:t>
      </w:r>
      <w:r w:rsidRPr="00213A5D">
        <w:rPr>
          <w:rFonts w:eastAsia="Times New Roman"/>
          <w:b/>
          <w:sz w:val="24"/>
          <w:szCs w:val="24"/>
        </w:rPr>
        <w:t>Минстроем России</w:t>
      </w:r>
      <w:r w:rsidRPr="00213A5D">
        <w:rPr>
          <w:rFonts w:eastAsia="Times New Roman"/>
          <w:sz w:val="24"/>
          <w:szCs w:val="24"/>
        </w:rPr>
        <w:t xml:space="preserve"> расходы исполнены в объеме 63 441,7 млн. рублей, или 54,3 % объема бюджетных ассигнований на ФАИП, предусмотренных сводной росписью с изменениями.</w:t>
      </w:r>
    </w:p>
    <w:p w14:paraId="0F5D709F" w14:textId="77777777" w:rsidR="00736F76" w:rsidRPr="00213A5D" w:rsidRDefault="00736F76" w:rsidP="00C57FE7">
      <w:pPr>
        <w:widowControl w:val="0"/>
        <w:tabs>
          <w:tab w:val="left" w:pos="10065"/>
          <w:tab w:val="left" w:pos="10206"/>
        </w:tabs>
        <w:spacing w:line="348" w:lineRule="auto"/>
        <w:ind w:left="0" w:right="-2"/>
        <w:contextualSpacing/>
        <w:rPr>
          <w:rFonts w:eastAsia="Times New Roman"/>
          <w:sz w:val="24"/>
          <w:szCs w:val="24"/>
        </w:rPr>
      </w:pPr>
      <w:r w:rsidRPr="00213A5D">
        <w:rPr>
          <w:rFonts w:eastAsia="Times New Roman"/>
          <w:sz w:val="24"/>
          <w:szCs w:val="24"/>
        </w:rPr>
        <w:t xml:space="preserve">В рамках госпрограммы </w:t>
      </w:r>
      <w:r w:rsidRPr="00213A5D">
        <w:rPr>
          <w:rFonts w:eastAsia="Times New Roman"/>
          <w:b/>
          <w:sz w:val="24"/>
          <w:szCs w:val="24"/>
        </w:rPr>
        <w:t>«Развитие Северо-Кавказского федерального округа»</w:t>
      </w:r>
      <w:r w:rsidRPr="00213A5D">
        <w:rPr>
          <w:rFonts w:eastAsia="Times New Roman"/>
          <w:sz w:val="24"/>
          <w:szCs w:val="24"/>
        </w:rPr>
        <w:t xml:space="preserve"> </w:t>
      </w:r>
      <w:r w:rsidRPr="00213A5D">
        <w:rPr>
          <w:rFonts w:eastAsia="Times New Roman"/>
          <w:b/>
          <w:sz w:val="24"/>
          <w:szCs w:val="24"/>
        </w:rPr>
        <w:t>Минэкономразвития России</w:t>
      </w:r>
      <w:r w:rsidRPr="00213A5D">
        <w:rPr>
          <w:rFonts w:eastAsia="Times New Roman"/>
          <w:sz w:val="24"/>
          <w:szCs w:val="24"/>
        </w:rPr>
        <w:t xml:space="preserve"> в полном объеме (9 451,7 млн. рублей) осуществило взнос в уставный капитал акционерного общества «КАВКАЗ.РФ» для участия в проекте создания туристического кластера в Северо-Кавказском федеральном округе.</w:t>
      </w:r>
    </w:p>
    <w:p w14:paraId="0EB64148" w14:textId="77777777" w:rsidR="00736F76" w:rsidRPr="00213A5D" w:rsidRDefault="00736F76" w:rsidP="00C57FE7">
      <w:pPr>
        <w:widowControl w:val="0"/>
        <w:spacing w:line="348" w:lineRule="auto"/>
        <w:ind w:left="0" w:right="0"/>
        <w:rPr>
          <w:sz w:val="24"/>
          <w:szCs w:val="24"/>
        </w:rPr>
      </w:pPr>
      <w:r w:rsidRPr="00213A5D">
        <w:rPr>
          <w:sz w:val="24"/>
          <w:szCs w:val="24"/>
        </w:rPr>
        <w:t xml:space="preserve">По </w:t>
      </w:r>
      <w:r w:rsidRPr="00213A5D">
        <w:rPr>
          <w:b/>
          <w:sz w:val="24"/>
          <w:szCs w:val="24"/>
        </w:rPr>
        <w:t>ФЦП «Развитие Республики Карелия на период до 2023 года»</w:t>
      </w:r>
      <w:r w:rsidRPr="00213A5D">
        <w:rPr>
          <w:sz w:val="24"/>
          <w:szCs w:val="24"/>
        </w:rPr>
        <w:t xml:space="preserve">, реализуемой в рамках непрограммного направления деятельности, уровень исполнения расходов на ФАИП за январь – октябрь 2022 года составил 2 057,5 млн. рублей, или </w:t>
      </w:r>
      <w:r w:rsidRPr="00213A5D">
        <w:rPr>
          <w:b/>
          <w:sz w:val="24"/>
          <w:szCs w:val="24"/>
        </w:rPr>
        <w:t>77,5 %</w:t>
      </w:r>
      <w:r w:rsidRPr="00213A5D">
        <w:rPr>
          <w:sz w:val="24"/>
          <w:szCs w:val="24"/>
        </w:rPr>
        <w:t xml:space="preserve"> показателя сводной росписи с изменениями (по Росавтодору – 245,2 млн. рублей, или 31,6 %, по Минэкономразвития России – 1 812,3 млн. рублей, или 96,5 %).</w:t>
      </w:r>
    </w:p>
    <w:p w14:paraId="00F31F82" w14:textId="77777777" w:rsidR="00736F76" w:rsidRPr="00213A5D" w:rsidRDefault="00736F76" w:rsidP="00C57FE7">
      <w:pPr>
        <w:pStyle w:val="24"/>
        <w:widowControl w:val="0"/>
        <w:spacing w:after="0" w:line="348" w:lineRule="auto"/>
        <w:ind w:left="0" w:right="0"/>
        <w:rPr>
          <w:sz w:val="24"/>
          <w:szCs w:val="24"/>
        </w:rPr>
      </w:pPr>
      <w:r w:rsidRPr="00213A5D">
        <w:rPr>
          <w:b/>
          <w:sz w:val="24"/>
          <w:szCs w:val="24"/>
        </w:rPr>
        <w:t>9.5.2.</w:t>
      </w:r>
      <w:r w:rsidRPr="00213A5D">
        <w:rPr>
          <w:sz w:val="24"/>
          <w:szCs w:val="24"/>
        </w:rPr>
        <w:t> Структура уровня исполнения расходов на ФАИП в разрезе главных распорядителей средств федерального бюджета за январь – сентябрь 2022 года представлена на следующей диаграмме.</w:t>
      </w:r>
    </w:p>
    <w:p w14:paraId="0A0C621F" w14:textId="77777777" w:rsidR="005E426E" w:rsidRPr="00213A5D" w:rsidRDefault="00CD0E98" w:rsidP="00BC250C">
      <w:pPr>
        <w:pStyle w:val="24"/>
        <w:widowControl w:val="0"/>
        <w:spacing w:after="0" w:line="240" w:lineRule="auto"/>
        <w:ind w:left="0" w:right="0" w:firstLine="0"/>
        <w:jc w:val="center"/>
        <w:rPr>
          <w:b/>
          <w:sz w:val="16"/>
          <w:szCs w:val="16"/>
        </w:rPr>
      </w:pPr>
      <w:r w:rsidRPr="0020578C">
        <w:rPr>
          <w:noProof/>
        </w:rPr>
        <w:pict w14:anchorId="35359F01">
          <v:shape id="Рисунок 41" o:spid="_x0000_i1042" type="#_x0000_t75" style="width:341.65pt;height:158.95pt;visibility:visible" o:gfxdata="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">
            <v:imagedata r:id="rId62" o:title="" cropbottom="-20f"/>
            <o:lock v:ext="edit" aspectratio="f"/>
          </v:shape>
        </w:pict>
      </w:r>
    </w:p>
    <w:p w14:paraId="181CF2F7" w14:textId="77777777" w:rsidR="00736F76" w:rsidRPr="00E11BAB" w:rsidRDefault="00736F76" w:rsidP="00AF1852">
      <w:pPr>
        <w:pStyle w:val="24"/>
        <w:widowControl w:val="0"/>
        <w:spacing w:after="0" w:line="348" w:lineRule="auto"/>
        <w:ind w:left="0" w:right="0"/>
        <w:rPr>
          <w:sz w:val="24"/>
          <w:szCs w:val="24"/>
        </w:rPr>
      </w:pPr>
      <w:r w:rsidRPr="00213A5D">
        <w:rPr>
          <w:sz w:val="24"/>
          <w:szCs w:val="24"/>
        </w:rPr>
        <w:t xml:space="preserve">По состоянию на 1 октября 2022 года </w:t>
      </w:r>
      <w:r w:rsidRPr="00213A5D">
        <w:rPr>
          <w:b/>
          <w:sz w:val="24"/>
          <w:szCs w:val="24"/>
        </w:rPr>
        <w:t>не осуществлялись расходы на ФАИП</w:t>
      </w:r>
      <w:r w:rsidRPr="00213A5D">
        <w:rPr>
          <w:sz w:val="24"/>
          <w:szCs w:val="24"/>
        </w:rPr>
        <w:t xml:space="preserve"> </w:t>
      </w:r>
      <w:r w:rsidRPr="00213A5D">
        <w:rPr>
          <w:sz w:val="24"/>
          <w:szCs w:val="24"/>
        </w:rPr>
        <w:br/>
      </w:r>
      <w:r w:rsidRPr="00213A5D">
        <w:rPr>
          <w:b/>
          <w:sz w:val="24"/>
          <w:szCs w:val="24"/>
        </w:rPr>
        <w:t>по 2 главным распорядителям</w:t>
      </w:r>
      <w:r w:rsidR="00E11BAB">
        <w:rPr>
          <w:b/>
          <w:sz w:val="24"/>
          <w:szCs w:val="24"/>
        </w:rPr>
        <w:t xml:space="preserve"> </w:t>
      </w:r>
      <w:r w:rsidR="00E11BAB" w:rsidRPr="00E11BAB">
        <w:rPr>
          <w:sz w:val="24"/>
          <w:szCs w:val="24"/>
        </w:rPr>
        <w:t>в общем объеме 3</w:t>
      </w:r>
      <w:r w:rsidR="00E11BAB">
        <w:rPr>
          <w:sz w:val="24"/>
          <w:szCs w:val="24"/>
        </w:rPr>
        <w:t> </w:t>
      </w:r>
      <w:r w:rsidR="00E11BAB" w:rsidRPr="00E11BAB">
        <w:rPr>
          <w:sz w:val="24"/>
          <w:szCs w:val="24"/>
        </w:rPr>
        <w:t>776,4</w:t>
      </w:r>
      <w:r w:rsidR="00E11BAB">
        <w:rPr>
          <w:sz w:val="24"/>
          <w:szCs w:val="24"/>
        </w:rPr>
        <w:t> млн. рублей</w:t>
      </w:r>
      <w:r w:rsidRPr="00E11BAB">
        <w:rPr>
          <w:sz w:val="24"/>
          <w:szCs w:val="24"/>
        </w:rPr>
        <w:t>:</w:t>
      </w:r>
    </w:p>
    <w:p w14:paraId="29A1B972" w14:textId="77777777" w:rsidR="00736F76" w:rsidRPr="00213A5D" w:rsidRDefault="00736F76" w:rsidP="00AF1852">
      <w:pPr>
        <w:pStyle w:val="24"/>
        <w:widowControl w:val="0"/>
        <w:spacing w:after="0" w:line="348" w:lineRule="auto"/>
        <w:ind w:left="709" w:right="0" w:firstLine="0"/>
        <w:rPr>
          <w:sz w:val="24"/>
          <w:szCs w:val="24"/>
        </w:rPr>
      </w:pPr>
      <w:r w:rsidRPr="00213A5D">
        <w:rPr>
          <w:b/>
          <w:sz w:val="24"/>
          <w:szCs w:val="24"/>
        </w:rPr>
        <w:lastRenderedPageBreak/>
        <w:t>Росжелдору</w:t>
      </w:r>
      <w:r w:rsidRPr="00213A5D">
        <w:rPr>
          <w:sz w:val="24"/>
          <w:szCs w:val="24"/>
        </w:rPr>
        <w:t xml:space="preserve"> (объем бюджетных ассигнований на 2022 год – 3 572,7 млн. рублей);</w:t>
      </w:r>
    </w:p>
    <w:p w14:paraId="3C542617" w14:textId="77777777" w:rsidR="00736F76" w:rsidRPr="00213A5D" w:rsidRDefault="00736F76" w:rsidP="00AF1852">
      <w:pPr>
        <w:pStyle w:val="24"/>
        <w:widowControl w:val="0"/>
        <w:spacing w:after="0" w:line="348" w:lineRule="auto"/>
        <w:ind w:left="709" w:right="0" w:firstLine="0"/>
        <w:rPr>
          <w:sz w:val="24"/>
          <w:szCs w:val="24"/>
        </w:rPr>
      </w:pPr>
      <w:r w:rsidRPr="00213A5D">
        <w:rPr>
          <w:b/>
          <w:sz w:val="24"/>
          <w:szCs w:val="24"/>
        </w:rPr>
        <w:t>ФГБОУ ВО «МГУ им. М.В.Ломоносова»</w:t>
      </w:r>
      <w:r w:rsidR="00E11BAB">
        <w:rPr>
          <w:sz w:val="24"/>
          <w:szCs w:val="24"/>
        </w:rPr>
        <w:t xml:space="preserve"> </w:t>
      </w:r>
      <w:r w:rsidRPr="00213A5D">
        <w:rPr>
          <w:sz w:val="24"/>
          <w:szCs w:val="24"/>
        </w:rPr>
        <w:t>(203,7 млн. рублей).</w:t>
      </w:r>
    </w:p>
    <w:p w14:paraId="0346101F"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Так, </w:t>
      </w:r>
      <w:r w:rsidRPr="00213A5D">
        <w:rPr>
          <w:b/>
          <w:sz w:val="24"/>
          <w:szCs w:val="24"/>
        </w:rPr>
        <w:t>Росжелдором</w:t>
      </w:r>
      <w:r w:rsidRPr="00213A5D">
        <w:rPr>
          <w:sz w:val="24"/>
          <w:szCs w:val="24"/>
        </w:rPr>
        <w:t xml:space="preserve"> в январе – сентябре 2022 года не осуществлялось исполнение расходов, предусмотренных ФАИП на предоставление субсидий ФГУП «Крымская железная дорога» (3 572,7 млн. рублей) в связи с отсутствием положительного заключения государственной экспертизы (по 5 объектам), отсутствием заявок участников электронных аукционов и необходимостью заключения соглашения о выделении субсидии (по 1 объекту).</w:t>
      </w:r>
    </w:p>
    <w:p w14:paraId="31E52345"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По состоянию на 1 октября 2022 года отсутствуют кассовые расходы </w:t>
      </w:r>
      <w:r w:rsidRPr="00213A5D">
        <w:rPr>
          <w:b/>
          <w:sz w:val="24"/>
          <w:szCs w:val="24"/>
        </w:rPr>
        <w:t xml:space="preserve">ФГБОУ ВО «МГУ им. М.В.Ломоносова» </w:t>
      </w:r>
      <w:r w:rsidRPr="00213A5D">
        <w:rPr>
          <w:sz w:val="24"/>
          <w:szCs w:val="24"/>
        </w:rPr>
        <w:t>(203,7 млн. рублей)</w:t>
      </w:r>
      <w:r w:rsidR="001C429A" w:rsidRPr="00213A5D">
        <w:rPr>
          <w:sz w:val="24"/>
          <w:szCs w:val="24"/>
        </w:rPr>
        <w:t xml:space="preserve"> </w:t>
      </w:r>
      <w:r w:rsidRPr="00213A5D">
        <w:rPr>
          <w:sz w:val="24"/>
          <w:szCs w:val="24"/>
        </w:rPr>
        <w:t>по строительству новых корпусов Специализированного учебн</w:t>
      </w:r>
      <w:r w:rsidR="001C429A" w:rsidRPr="00213A5D">
        <w:rPr>
          <w:sz w:val="24"/>
          <w:szCs w:val="24"/>
        </w:rPr>
        <w:t xml:space="preserve">о-научного центра (факультет) – </w:t>
      </w:r>
      <w:r w:rsidRPr="00213A5D">
        <w:rPr>
          <w:sz w:val="24"/>
          <w:szCs w:val="24"/>
        </w:rPr>
        <w:t xml:space="preserve">школы-интерната имени А.Н. Колмогорова МГУ имени М.В. Ломоносова,  подлежащих вводу в эксплуатацию </w:t>
      </w:r>
      <w:r w:rsidR="00BC250C" w:rsidRPr="00213A5D">
        <w:rPr>
          <w:sz w:val="24"/>
          <w:szCs w:val="24"/>
        </w:rPr>
        <w:br/>
      </w:r>
      <w:r w:rsidRPr="00213A5D">
        <w:rPr>
          <w:sz w:val="24"/>
          <w:szCs w:val="24"/>
        </w:rPr>
        <w:t xml:space="preserve">в 2022 году, в связи с внесением изменений в проектную документацию по причине существенного увеличения цен на строительные материалы. </w:t>
      </w:r>
    </w:p>
    <w:p w14:paraId="3E86D5C7" w14:textId="77777777" w:rsidR="00736F76" w:rsidRPr="00213A5D" w:rsidRDefault="001C429A" w:rsidP="00AF1852">
      <w:pPr>
        <w:widowControl w:val="0"/>
        <w:spacing w:line="348" w:lineRule="auto"/>
        <w:ind w:left="0" w:right="0"/>
        <w:rPr>
          <w:sz w:val="24"/>
          <w:szCs w:val="24"/>
        </w:rPr>
      </w:pPr>
      <w:r w:rsidRPr="00213A5D">
        <w:rPr>
          <w:sz w:val="24"/>
          <w:szCs w:val="24"/>
        </w:rPr>
        <w:t xml:space="preserve">В январе – </w:t>
      </w:r>
      <w:r w:rsidR="00736F76" w:rsidRPr="00213A5D">
        <w:rPr>
          <w:sz w:val="24"/>
          <w:szCs w:val="24"/>
        </w:rPr>
        <w:t xml:space="preserve">сентябре 2022 года </w:t>
      </w:r>
      <w:r w:rsidR="00736F76" w:rsidRPr="00213A5D">
        <w:rPr>
          <w:b/>
          <w:sz w:val="24"/>
          <w:szCs w:val="24"/>
        </w:rPr>
        <w:t xml:space="preserve">на уровне менее 30 % </w:t>
      </w:r>
      <w:r w:rsidR="00736F76" w:rsidRPr="00213A5D">
        <w:rPr>
          <w:sz w:val="24"/>
          <w:szCs w:val="24"/>
        </w:rPr>
        <w:t xml:space="preserve">исполнены расходы на ФАИП </w:t>
      </w:r>
      <w:r w:rsidR="00736F76" w:rsidRPr="00213A5D">
        <w:rPr>
          <w:sz w:val="24"/>
          <w:szCs w:val="24"/>
        </w:rPr>
        <w:br/>
        <w:t>по следующим главным распорядителям:</w:t>
      </w:r>
    </w:p>
    <w:p w14:paraId="55C3F740" w14:textId="77777777" w:rsidR="00736F76" w:rsidRPr="00213A5D" w:rsidRDefault="00736F76" w:rsidP="00AF1852">
      <w:pPr>
        <w:widowControl w:val="0"/>
        <w:spacing w:line="348" w:lineRule="auto"/>
        <w:ind w:left="709" w:right="0" w:firstLine="0"/>
        <w:rPr>
          <w:sz w:val="24"/>
          <w:szCs w:val="24"/>
        </w:rPr>
      </w:pPr>
      <w:r w:rsidRPr="00213A5D">
        <w:rPr>
          <w:sz w:val="24"/>
          <w:szCs w:val="24"/>
        </w:rPr>
        <w:t>Минцифры России (0,04 %);</w:t>
      </w:r>
    </w:p>
    <w:p w14:paraId="59F148C9" w14:textId="77777777" w:rsidR="00736F76" w:rsidRPr="00213A5D" w:rsidRDefault="00736F76" w:rsidP="00AF1852">
      <w:pPr>
        <w:widowControl w:val="0"/>
        <w:spacing w:line="348" w:lineRule="auto"/>
        <w:ind w:left="709" w:right="0" w:firstLine="0"/>
        <w:rPr>
          <w:sz w:val="24"/>
          <w:szCs w:val="24"/>
        </w:rPr>
      </w:pPr>
      <w:r w:rsidRPr="00213A5D">
        <w:rPr>
          <w:sz w:val="24"/>
          <w:szCs w:val="24"/>
        </w:rPr>
        <w:t>Минфину России (13,9 %);</w:t>
      </w:r>
    </w:p>
    <w:p w14:paraId="18822E80" w14:textId="77777777" w:rsidR="00736F76" w:rsidRPr="00213A5D" w:rsidRDefault="00736F76" w:rsidP="00AF1852">
      <w:pPr>
        <w:widowControl w:val="0"/>
        <w:spacing w:line="348" w:lineRule="auto"/>
        <w:ind w:left="709" w:right="0" w:firstLine="0"/>
        <w:rPr>
          <w:sz w:val="24"/>
          <w:szCs w:val="24"/>
        </w:rPr>
      </w:pPr>
      <w:r w:rsidRPr="00213A5D">
        <w:rPr>
          <w:sz w:val="24"/>
          <w:szCs w:val="24"/>
        </w:rPr>
        <w:t>ФНС России (15,1 %);</w:t>
      </w:r>
    </w:p>
    <w:p w14:paraId="553E920E" w14:textId="77777777" w:rsidR="00736F76" w:rsidRPr="00213A5D" w:rsidRDefault="00736F76" w:rsidP="00AF1852">
      <w:pPr>
        <w:widowControl w:val="0"/>
        <w:spacing w:line="348" w:lineRule="auto"/>
        <w:ind w:left="709" w:right="0" w:firstLine="0"/>
        <w:rPr>
          <w:sz w:val="24"/>
          <w:szCs w:val="24"/>
        </w:rPr>
      </w:pPr>
      <w:r w:rsidRPr="00213A5D">
        <w:rPr>
          <w:sz w:val="24"/>
          <w:szCs w:val="24"/>
        </w:rPr>
        <w:t>Росморречфлоту (22,3 %);</w:t>
      </w:r>
    </w:p>
    <w:p w14:paraId="5C760DB5" w14:textId="77777777" w:rsidR="00736F76" w:rsidRPr="00213A5D" w:rsidRDefault="00736F76" w:rsidP="00AF1852">
      <w:pPr>
        <w:widowControl w:val="0"/>
        <w:spacing w:line="348" w:lineRule="auto"/>
        <w:ind w:left="709" w:right="0" w:firstLine="0"/>
        <w:rPr>
          <w:sz w:val="24"/>
          <w:szCs w:val="24"/>
        </w:rPr>
      </w:pPr>
      <w:r w:rsidRPr="00213A5D">
        <w:rPr>
          <w:sz w:val="24"/>
          <w:szCs w:val="24"/>
        </w:rPr>
        <w:t>ФСИН России (22,4 %);</w:t>
      </w:r>
    </w:p>
    <w:p w14:paraId="37F8C4CD" w14:textId="77777777" w:rsidR="00736F76" w:rsidRPr="00213A5D" w:rsidRDefault="00736F76" w:rsidP="00AF1852">
      <w:pPr>
        <w:widowControl w:val="0"/>
        <w:spacing w:line="348" w:lineRule="auto"/>
        <w:ind w:left="709" w:right="0" w:firstLine="0"/>
        <w:rPr>
          <w:sz w:val="24"/>
          <w:szCs w:val="24"/>
        </w:rPr>
      </w:pPr>
      <w:r w:rsidRPr="00213A5D">
        <w:rPr>
          <w:sz w:val="24"/>
          <w:szCs w:val="24"/>
        </w:rPr>
        <w:t>ФТС России (25,6 %);</w:t>
      </w:r>
    </w:p>
    <w:p w14:paraId="5DA2C377" w14:textId="77777777" w:rsidR="00736F76" w:rsidRPr="00213A5D" w:rsidRDefault="00736F76" w:rsidP="00AF1852">
      <w:pPr>
        <w:widowControl w:val="0"/>
        <w:spacing w:line="348" w:lineRule="auto"/>
        <w:ind w:left="709" w:right="0" w:firstLine="0"/>
        <w:rPr>
          <w:sz w:val="24"/>
          <w:szCs w:val="24"/>
        </w:rPr>
      </w:pPr>
      <w:r w:rsidRPr="00213A5D">
        <w:rPr>
          <w:sz w:val="24"/>
          <w:szCs w:val="24"/>
        </w:rPr>
        <w:t>Минпромторгу России (26,9 %);</w:t>
      </w:r>
    </w:p>
    <w:p w14:paraId="483181A6" w14:textId="77777777" w:rsidR="00736F76" w:rsidRPr="00213A5D" w:rsidRDefault="00736F76" w:rsidP="00AF1852">
      <w:pPr>
        <w:widowControl w:val="0"/>
        <w:spacing w:line="348" w:lineRule="auto"/>
        <w:ind w:left="709" w:right="0" w:firstLine="0"/>
        <w:rPr>
          <w:sz w:val="24"/>
          <w:szCs w:val="24"/>
        </w:rPr>
      </w:pPr>
      <w:r w:rsidRPr="00213A5D">
        <w:rPr>
          <w:sz w:val="24"/>
          <w:szCs w:val="24"/>
        </w:rPr>
        <w:t>Минэнерго России (29 %).</w:t>
      </w:r>
    </w:p>
    <w:p w14:paraId="2E4799D8" w14:textId="77777777" w:rsidR="00736F76" w:rsidRPr="00213A5D" w:rsidRDefault="00736F76" w:rsidP="00AF1852">
      <w:pPr>
        <w:widowControl w:val="0"/>
        <w:spacing w:line="348" w:lineRule="auto"/>
        <w:ind w:left="0" w:right="0"/>
        <w:rPr>
          <w:sz w:val="24"/>
          <w:szCs w:val="24"/>
        </w:rPr>
      </w:pPr>
      <w:r w:rsidRPr="00213A5D">
        <w:rPr>
          <w:sz w:val="24"/>
          <w:szCs w:val="24"/>
        </w:rPr>
        <w:t>Так,</w:t>
      </w:r>
      <w:r w:rsidRPr="00213A5D">
        <w:rPr>
          <w:b/>
          <w:sz w:val="24"/>
          <w:szCs w:val="24"/>
        </w:rPr>
        <w:t xml:space="preserve"> Минэнерго России </w:t>
      </w:r>
      <w:r w:rsidRPr="00213A5D">
        <w:rPr>
          <w:sz w:val="24"/>
          <w:szCs w:val="24"/>
        </w:rPr>
        <w:t>в январе – сентябре 2022 года не осуществлялось кассовое исполнение расходов на реконструкцию объекта «Многоэтажные нежилые общественные здания, расположенные в г. Москве, ул. Большая Пироговская, д. 23, строение 2» (объем финансирования на 2022 год – 893,4 млн. рублей) в связи с его передачей в ведение Минстроя России и планируемым перераспределением бюджетных ассигнований.</w:t>
      </w:r>
    </w:p>
    <w:p w14:paraId="0BE5B376" w14:textId="77777777" w:rsidR="00736F76" w:rsidRPr="00213A5D" w:rsidRDefault="00736F76" w:rsidP="00AF1852">
      <w:pPr>
        <w:widowControl w:val="0"/>
        <w:spacing w:line="348" w:lineRule="auto"/>
        <w:ind w:left="0" w:right="0"/>
        <w:rPr>
          <w:sz w:val="24"/>
          <w:szCs w:val="24"/>
        </w:rPr>
      </w:pPr>
      <w:r w:rsidRPr="00213A5D">
        <w:rPr>
          <w:b/>
          <w:sz w:val="24"/>
          <w:szCs w:val="24"/>
        </w:rPr>
        <w:t xml:space="preserve">ГК «Росатом» </w:t>
      </w:r>
      <w:r w:rsidRPr="00213A5D">
        <w:rPr>
          <w:sz w:val="24"/>
          <w:szCs w:val="24"/>
        </w:rPr>
        <w:t>по состоянию на 1 октября 2022 года</w:t>
      </w:r>
      <w:r w:rsidRPr="00213A5D">
        <w:rPr>
          <w:b/>
          <w:sz w:val="24"/>
          <w:szCs w:val="24"/>
        </w:rPr>
        <w:t xml:space="preserve"> </w:t>
      </w:r>
      <w:r w:rsidRPr="00213A5D">
        <w:rPr>
          <w:sz w:val="24"/>
          <w:szCs w:val="24"/>
        </w:rPr>
        <w:t xml:space="preserve">не осуществлялись расходы </w:t>
      </w:r>
      <w:r w:rsidR="00AE7F9F" w:rsidRPr="00213A5D">
        <w:rPr>
          <w:sz w:val="24"/>
          <w:szCs w:val="24"/>
        </w:rPr>
        <w:br/>
      </w:r>
      <w:r w:rsidRPr="00213A5D">
        <w:rPr>
          <w:sz w:val="24"/>
          <w:szCs w:val="24"/>
        </w:rPr>
        <w:t>на строительство зданий и сооружений Национального центра физики и математики (объем финансирования на 2022 год – 1 007,0 млн. рублей). Положительное заключение государственной экспертизы по проектной документации по данному объекту получено 30 августа 2022 года.</w:t>
      </w:r>
    </w:p>
    <w:p w14:paraId="06226DFE" w14:textId="77777777" w:rsidR="00736F76" w:rsidRPr="00213A5D" w:rsidRDefault="001C429A" w:rsidP="00AF1852">
      <w:pPr>
        <w:widowControl w:val="0"/>
        <w:spacing w:line="348" w:lineRule="auto"/>
        <w:ind w:left="0" w:right="0"/>
        <w:rPr>
          <w:sz w:val="24"/>
          <w:szCs w:val="24"/>
        </w:rPr>
      </w:pPr>
      <w:r w:rsidRPr="00213A5D">
        <w:rPr>
          <w:sz w:val="24"/>
          <w:szCs w:val="24"/>
        </w:rPr>
        <w:t xml:space="preserve">В январе – </w:t>
      </w:r>
      <w:r w:rsidR="00736F76" w:rsidRPr="00213A5D">
        <w:rPr>
          <w:sz w:val="24"/>
          <w:szCs w:val="24"/>
        </w:rPr>
        <w:t xml:space="preserve">сентябре 2022 года по </w:t>
      </w:r>
      <w:r w:rsidR="00736F76" w:rsidRPr="00213A5D">
        <w:rPr>
          <w:b/>
          <w:sz w:val="24"/>
          <w:szCs w:val="24"/>
        </w:rPr>
        <w:t>Минэкономразвития России</w:t>
      </w:r>
      <w:r w:rsidR="00736F76" w:rsidRPr="00213A5D">
        <w:rPr>
          <w:sz w:val="24"/>
          <w:szCs w:val="24"/>
        </w:rPr>
        <w:t xml:space="preserve"> отсутствовало кассовое исполнение расходов на предоставление субсидии бюджету Кемеровской области – Кузбасса на реализацию мероприятий программы социально-экономического развития </w:t>
      </w:r>
      <w:r w:rsidR="00736F76" w:rsidRPr="00213A5D">
        <w:rPr>
          <w:sz w:val="24"/>
          <w:szCs w:val="24"/>
        </w:rPr>
        <w:lastRenderedPageBreak/>
        <w:t xml:space="preserve">Кемеровской области – Кузбасса в целях софинансирования строительства объектов инфраструктуры, необходимых для снятия инфраструктурных ограничений в муниципальных образованиях Кузбасса при реализации новых инвестиционных проектов (объем финансирования на 2022 год – 200,0 млн. рублей). В соответствии с прогнозом кассовых выплат начало исполнения запланировано на ноябрь 2022 года в связи </w:t>
      </w:r>
      <w:r w:rsidR="00AE7F9F" w:rsidRPr="00213A5D">
        <w:rPr>
          <w:sz w:val="24"/>
          <w:szCs w:val="24"/>
        </w:rPr>
        <w:br/>
      </w:r>
      <w:r w:rsidR="00736F76" w:rsidRPr="00213A5D">
        <w:rPr>
          <w:sz w:val="24"/>
          <w:szCs w:val="24"/>
        </w:rPr>
        <w:t>с уточнением сметной стоимости одного из объектов капитального строительства.</w:t>
      </w:r>
    </w:p>
    <w:p w14:paraId="71E25E9F" w14:textId="77777777" w:rsidR="00736F76" w:rsidRPr="00213A5D" w:rsidRDefault="00736F76" w:rsidP="00AF1852">
      <w:pPr>
        <w:widowControl w:val="0"/>
        <w:spacing w:line="348" w:lineRule="auto"/>
        <w:ind w:left="0" w:right="0"/>
        <w:rPr>
          <w:sz w:val="24"/>
          <w:szCs w:val="24"/>
        </w:rPr>
      </w:pPr>
      <w:r w:rsidRPr="00213A5D">
        <w:rPr>
          <w:sz w:val="24"/>
          <w:szCs w:val="24"/>
        </w:rPr>
        <w:t xml:space="preserve">По состоянию на 1 октября 2022 года в полном объеме отсутствует исполнение расходов по объекту </w:t>
      </w:r>
      <w:r w:rsidRPr="00213A5D">
        <w:rPr>
          <w:b/>
          <w:sz w:val="24"/>
          <w:szCs w:val="24"/>
        </w:rPr>
        <w:t>Минздрава России</w:t>
      </w:r>
      <w:r w:rsidRPr="00213A5D">
        <w:rPr>
          <w:sz w:val="24"/>
          <w:szCs w:val="24"/>
        </w:rPr>
        <w:t xml:space="preserve"> «Учебный корпус ГОУ ВПО Кировская ГМА Росздрава (спортивно-физкультурный комплекс и аудиторный блок), проектные и изыскательские работы» (об</w:t>
      </w:r>
      <w:r w:rsidR="00EE5FFA" w:rsidRPr="00213A5D">
        <w:rPr>
          <w:sz w:val="24"/>
          <w:szCs w:val="24"/>
        </w:rPr>
        <w:t xml:space="preserve">ъем финансирования на 2022 год – </w:t>
      </w:r>
      <w:r w:rsidRPr="00213A5D">
        <w:rPr>
          <w:sz w:val="24"/>
          <w:szCs w:val="24"/>
        </w:rPr>
        <w:t xml:space="preserve">5,2 млн. рублей) и объекту </w:t>
      </w:r>
      <w:r w:rsidRPr="00213A5D">
        <w:rPr>
          <w:b/>
          <w:sz w:val="24"/>
          <w:szCs w:val="24"/>
        </w:rPr>
        <w:t>ФМБА России</w:t>
      </w:r>
      <w:r w:rsidRPr="00213A5D">
        <w:rPr>
          <w:sz w:val="24"/>
          <w:szCs w:val="24"/>
        </w:rPr>
        <w:t xml:space="preserve"> «Проектирование и строительство объектов недвижимого имущества в целях создания специализированного жилищного фонда для обеспечения деятельности многопрофильного медицинского центра ФГБУЗ «Северо-Западный окружной научно-клинический центр имени Л.Г. Соколова ФМБА России» (53,9 млн. рублей).</w:t>
      </w:r>
    </w:p>
    <w:p w14:paraId="1454E031" w14:textId="77777777" w:rsidR="00736F76" w:rsidRPr="00213A5D" w:rsidRDefault="00736F76" w:rsidP="00AF1852">
      <w:pPr>
        <w:widowControl w:val="0"/>
        <w:spacing w:line="348" w:lineRule="auto"/>
        <w:ind w:left="0" w:right="0"/>
        <w:rPr>
          <w:sz w:val="24"/>
          <w:szCs w:val="24"/>
        </w:rPr>
      </w:pPr>
      <w:r w:rsidRPr="00213A5D">
        <w:rPr>
          <w:sz w:val="24"/>
          <w:szCs w:val="24"/>
        </w:rPr>
        <w:t>По состоянию на 1 октября 2022 года</w:t>
      </w:r>
      <w:r w:rsidRPr="00213A5D">
        <w:rPr>
          <w:b/>
          <w:sz w:val="24"/>
          <w:szCs w:val="24"/>
        </w:rPr>
        <w:t xml:space="preserve"> Управлением делами Президента Российской Федерации</w:t>
      </w:r>
      <w:r w:rsidRPr="00213A5D">
        <w:rPr>
          <w:sz w:val="24"/>
          <w:szCs w:val="24"/>
        </w:rPr>
        <w:t xml:space="preserve"> не осуществлен имущественный взнос в ГК «Ростех» на приобретение самолетов (21 072,4 млн. рублей).</w:t>
      </w:r>
    </w:p>
    <w:p w14:paraId="172976F8" w14:textId="77777777" w:rsidR="00736F76" w:rsidRPr="00213A5D" w:rsidRDefault="00736F76" w:rsidP="00AF1852">
      <w:pPr>
        <w:widowControl w:val="0"/>
        <w:spacing w:line="348" w:lineRule="auto"/>
        <w:ind w:left="0" w:right="0"/>
        <w:rPr>
          <w:sz w:val="24"/>
          <w:szCs w:val="24"/>
        </w:rPr>
      </w:pPr>
      <w:r w:rsidRPr="00213A5D">
        <w:rPr>
          <w:sz w:val="24"/>
          <w:szCs w:val="24"/>
        </w:rPr>
        <w:t xml:space="preserve">По состоянию на 1 октября 2022 года отсутствуют кассовые расходы </w:t>
      </w:r>
      <w:r w:rsidRPr="00213A5D">
        <w:rPr>
          <w:b/>
          <w:sz w:val="24"/>
          <w:szCs w:val="24"/>
        </w:rPr>
        <w:t xml:space="preserve">Минцифры России </w:t>
      </w:r>
      <w:r w:rsidRPr="00213A5D">
        <w:rPr>
          <w:sz w:val="24"/>
          <w:szCs w:val="24"/>
        </w:rPr>
        <w:t>по строительству плавательного бассейна ФГБОУ ВО «Поволжский государственный университет телекоммуникаций и информатики» (194,0 млн. рублей). Исполнение расходов</w:t>
      </w:r>
      <w:r w:rsidRPr="00213A5D">
        <w:rPr>
          <w:b/>
          <w:sz w:val="24"/>
          <w:szCs w:val="24"/>
        </w:rPr>
        <w:t xml:space="preserve"> Минцифры России </w:t>
      </w:r>
      <w:r w:rsidRPr="00213A5D">
        <w:rPr>
          <w:sz w:val="24"/>
          <w:szCs w:val="24"/>
        </w:rPr>
        <w:t>по реконструкции объектов инфраструктуры (объектов капитального строительства «Бекасово») за январь – сентябрь 2022 года составило 0,3 млн. рублей, или 0,05 % показателя сводной росписи с изменениями. В связи с увеличением стоимости строительных материалов выполнен пересчет сметной стоимости данного инвестиционного проекта без изменений физических объемов работ, конструктивных, организационно-технологических и других решений, предусмотренных проектной документацией, который проходит проверку в ФАУ «Главгосэкспертиза России».  Срок ввода объектов в эксплуатацию перенесен с 2022 года на 2023 год.</w:t>
      </w:r>
    </w:p>
    <w:p w14:paraId="2CC5C04B" w14:textId="77777777" w:rsidR="00736F76" w:rsidRPr="00213A5D" w:rsidRDefault="00736F76" w:rsidP="00AF1852">
      <w:pPr>
        <w:widowControl w:val="0"/>
        <w:spacing w:line="348" w:lineRule="auto"/>
        <w:ind w:left="0" w:right="0"/>
        <w:rPr>
          <w:sz w:val="24"/>
          <w:szCs w:val="24"/>
        </w:rPr>
      </w:pPr>
      <w:r w:rsidRPr="00213A5D">
        <w:rPr>
          <w:sz w:val="24"/>
          <w:szCs w:val="24"/>
        </w:rPr>
        <w:t xml:space="preserve">Исполнение расходов </w:t>
      </w:r>
      <w:r w:rsidRPr="00213A5D">
        <w:rPr>
          <w:b/>
          <w:sz w:val="24"/>
          <w:szCs w:val="24"/>
        </w:rPr>
        <w:t>ФСИН России</w:t>
      </w:r>
      <w:r w:rsidRPr="00213A5D">
        <w:rPr>
          <w:sz w:val="24"/>
          <w:szCs w:val="24"/>
        </w:rPr>
        <w:t xml:space="preserve">, предусмотренных на проектирование и строительство 10 жилых домов для постоянного проживания сотрудников федеральных органов исполнительной власти, за январь – сентябрь 2022 года составило 24,6 млн. рублей, или 2,5 % показателя сводной росписи с изменениями, в связи с остановкой строительных работ по техническим причинам по 2 жилым домам в Оренбургской и Иркутской областях. </w:t>
      </w:r>
    </w:p>
    <w:p w14:paraId="396EB990" w14:textId="77777777" w:rsidR="00736F76" w:rsidRPr="00213A5D" w:rsidRDefault="00736F76" w:rsidP="00AF1852">
      <w:pPr>
        <w:widowControl w:val="0"/>
        <w:spacing w:line="348" w:lineRule="auto"/>
        <w:ind w:left="0" w:right="0"/>
        <w:rPr>
          <w:sz w:val="24"/>
          <w:szCs w:val="24"/>
        </w:rPr>
      </w:pPr>
      <w:r w:rsidRPr="00213A5D">
        <w:rPr>
          <w:b/>
          <w:sz w:val="24"/>
          <w:szCs w:val="24"/>
        </w:rPr>
        <w:t>Минстроем России</w:t>
      </w:r>
      <w:r w:rsidRPr="00213A5D">
        <w:rPr>
          <w:sz w:val="24"/>
          <w:szCs w:val="24"/>
        </w:rPr>
        <w:t xml:space="preserve"> по состоянию на 1 октября 2022 года на низком уровне исполнены расходы на реализацию ФАИП по госпрограмме «Развитие культуры» (24,5 % объема бюджетных ассигнований на ФАИП, предусмотренных сводной росписью с </w:t>
      </w:r>
      <w:r w:rsidRPr="00213A5D">
        <w:rPr>
          <w:sz w:val="24"/>
          <w:szCs w:val="24"/>
        </w:rPr>
        <w:lastRenderedPageBreak/>
        <w:t>изменениями), госпрограмме «Охрана окружающей среды» (26,1 %).</w:t>
      </w:r>
    </w:p>
    <w:p w14:paraId="67D1AB9E" w14:textId="77777777" w:rsidR="00736F76" w:rsidRPr="00213A5D" w:rsidRDefault="00736F76" w:rsidP="00AF1852">
      <w:pPr>
        <w:widowControl w:val="0"/>
        <w:spacing w:line="348" w:lineRule="auto"/>
        <w:ind w:left="0" w:right="0"/>
        <w:rPr>
          <w:sz w:val="24"/>
          <w:szCs w:val="24"/>
        </w:rPr>
      </w:pPr>
      <w:r w:rsidRPr="00213A5D">
        <w:rPr>
          <w:b/>
          <w:sz w:val="24"/>
          <w:szCs w:val="24"/>
        </w:rPr>
        <w:t>ППК «Единый заказчик в сфере строительства»</w:t>
      </w:r>
      <w:r w:rsidRPr="00213A5D">
        <w:rPr>
          <w:sz w:val="24"/>
          <w:szCs w:val="24"/>
        </w:rPr>
        <w:t xml:space="preserve"> в январе – сентябре 2022 года </w:t>
      </w:r>
      <w:r w:rsidR="00AE7F9F" w:rsidRPr="00213A5D">
        <w:rPr>
          <w:sz w:val="24"/>
          <w:szCs w:val="24"/>
        </w:rPr>
        <w:br/>
      </w:r>
      <w:r w:rsidRPr="00213A5D">
        <w:rPr>
          <w:sz w:val="24"/>
          <w:szCs w:val="24"/>
        </w:rPr>
        <w:t>на низком уровне осуществлены расходы на реализацию ФАИП по госпрограмме «Развитие образования» (31,8 % объема бюджетных ассигнований на ФАИП, предусмотренных сводной росписью с изменениями) и госпрограмме «Развитие культуры» (45,5 %).</w:t>
      </w:r>
    </w:p>
    <w:p w14:paraId="71B1B239" w14:textId="77777777" w:rsidR="00736F76" w:rsidRPr="00213A5D" w:rsidRDefault="00736F76" w:rsidP="00AF1852">
      <w:pPr>
        <w:pStyle w:val="24"/>
        <w:widowControl w:val="0"/>
        <w:spacing w:after="0" w:line="348" w:lineRule="auto"/>
        <w:ind w:left="0" w:right="0"/>
        <w:rPr>
          <w:sz w:val="24"/>
          <w:szCs w:val="24"/>
        </w:rPr>
      </w:pPr>
      <w:r w:rsidRPr="00213A5D">
        <w:rPr>
          <w:sz w:val="24"/>
          <w:szCs w:val="24"/>
        </w:rPr>
        <w:t xml:space="preserve">По состоянию на 1 октября 2022 года в полном объеме отсутствует исполнение расходов по подлежащему вводу в эксплуатацию в 2022 году объекту </w:t>
      </w:r>
      <w:r w:rsidRPr="00213A5D">
        <w:rPr>
          <w:b/>
          <w:sz w:val="24"/>
          <w:szCs w:val="24"/>
        </w:rPr>
        <w:t>Росавиации</w:t>
      </w:r>
      <w:r w:rsidRPr="00213A5D">
        <w:rPr>
          <w:sz w:val="24"/>
          <w:szCs w:val="24"/>
        </w:rPr>
        <w:t xml:space="preserve"> «Строительство ВПП пос. Палана, Камчатский край 2 этап» (170,4 млн. рублей)  в связи с  поздним получением положительного заключения государственной экспертизы.</w:t>
      </w:r>
    </w:p>
    <w:p w14:paraId="490F2F24" w14:textId="77777777" w:rsidR="00736F76" w:rsidRPr="00213A5D" w:rsidRDefault="00736F76" w:rsidP="00AF1852">
      <w:pPr>
        <w:widowControl w:val="0"/>
        <w:spacing w:line="348" w:lineRule="auto"/>
        <w:ind w:left="0" w:right="0"/>
        <w:rPr>
          <w:sz w:val="24"/>
          <w:szCs w:val="24"/>
        </w:rPr>
      </w:pPr>
      <w:r w:rsidRPr="00213A5D">
        <w:rPr>
          <w:b/>
          <w:sz w:val="24"/>
          <w:szCs w:val="24"/>
        </w:rPr>
        <w:t>9.6.</w:t>
      </w:r>
      <w:r w:rsidRPr="00213A5D">
        <w:rPr>
          <w:sz w:val="24"/>
          <w:szCs w:val="24"/>
        </w:rPr>
        <w:t>  По ряду главных распорядителей отмечается существенное уменьшение расходов на реализацию ФАИП.</w:t>
      </w:r>
    </w:p>
    <w:p w14:paraId="66904A6C" w14:textId="77777777" w:rsidR="00736F76" w:rsidRPr="00213A5D" w:rsidRDefault="00736F76" w:rsidP="00AF1852">
      <w:pPr>
        <w:widowControl w:val="0"/>
        <w:spacing w:line="348" w:lineRule="auto"/>
        <w:ind w:left="0" w:right="0"/>
        <w:rPr>
          <w:sz w:val="24"/>
          <w:szCs w:val="24"/>
        </w:rPr>
      </w:pPr>
      <w:r w:rsidRPr="00213A5D">
        <w:rPr>
          <w:sz w:val="24"/>
          <w:szCs w:val="24"/>
        </w:rPr>
        <w:t xml:space="preserve">По </w:t>
      </w:r>
      <w:r w:rsidRPr="00213A5D">
        <w:rPr>
          <w:b/>
          <w:sz w:val="24"/>
          <w:szCs w:val="24"/>
        </w:rPr>
        <w:t>Минсельхозу России</w:t>
      </w:r>
      <w:r w:rsidRPr="00213A5D">
        <w:rPr>
          <w:sz w:val="24"/>
          <w:szCs w:val="24"/>
        </w:rPr>
        <w:t xml:space="preserve"> в III квартале 2022 года расходы на ФАИП  уменьшены </w:t>
      </w:r>
      <w:r w:rsidR="00AE7F9F" w:rsidRPr="00213A5D">
        <w:rPr>
          <w:sz w:val="24"/>
          <w:szCs w:val="24"/>
        </w:rPr>
        <w:br/>
      </w:r>
      <w:r w:rsidRPr="00213A5D">
        <w:rPr>
          <w:sz w:val="24"/>
          <w:szCs w:val="24"/>
        </w:rPr>
        <w:t xml:space="preserve">на 3 682,3 млн. рублей, или на 12,9 %, по сравнению с объемом на конец </w:t>
      </w:r>
      <w:r w:rsidRPr="00213A5D">
        <w:rPr>
          <w:sz w:val="24"/>
          <w:szCs w:val="24"/>
          <w:lang w:val="en-US"/>
        </w:rPr>
        <w:t>II</w:t>
      </w:r>
      <w:r w:rsidRPr="00213A5D">
        <w:rPr>
          <w:sz w:val="24"/>
          <w:szCs w:val="24"/>
        </w:rPr>
        <w:t xml:space="preserve"> квартала 2022 года (по сравнению с утвержденной ФАИП – на 2 499,2 млн. рублей, или на 9,1 %), количество объектов уменьшилось на 35 единиц, или на 32,1 %. </w:t>
      </w:r>
    </w:p>
    <w:p w14:paraId="488402FA" w14:textId="77777777" w:rsidR="00736F76" w:rsidRPr="00213A5D" w:rsidRDefault="00736F76" w:rsidP="00AF1852">
      <w:pPr>
        <w:widowControl w:val="0"/>
        <w:spacing w:line="348" w:lineRule="auto"/>
        <w:ind w:left="0" w:right="0"/>
        <w:rPr>
          <w:sz w:val="24"/>
          <w:szCs w:val="24"/>
        </w:rPr>
      </w:pPr>
      <w:r w:rsidRPr="00213A5D">
        <w:rPr>
          <w:sz w:val="24"/>
          <w:szCs w:val="24"/>
        </w:rPr>
        <w:t xml:space="preserve">Объем расходов на реализацию ФАИП в рамках государственной программы эффективного вовлечения в оборот земель сельскохозяйственного назначения и развития мелиоративного комплекса Российской Федерации  (ГП-53), ответственным исполнителем которой является </w:t>
      </w:r>
      <w:r w:rsidRPr="00213A5D">
        <w:rPr>
          <w:b/>
          <w:sz w:val="24"/>
          <w:szCs w:val="24"/>
        </w:rPr>
        <w:t>Минсельхоз России</w:t>
      </w:r>
      <w:r w:rsidRPr="00213A5D">
        <w:rPr>
          <w:sz w:val="24"/>
          <w:szCs w:val="24"/>
        </w:rPr>
        <w:t xml:space="preserve">, в III квартале 2022 года уменьшен на 4 474,6 млн. рублей, или на 44,2 %, по сравнению с объемом на конец </w:t>
      </w:r>
      <w:r w:rsidRPr="00213A5D">
        <w:rPr>
          <w:sz w:val="24"/>
          <w:szCs w:val="24"/>
          <w:lang w:val="en-US"/>
        </w:rPr>
        <w:t>II</w:t>
      </w:r>
      <w:r w:rsidRPr="00213A5D">
        <w:rPr>
          <w:sz w:val="24"/>
          <w:szCs w:val="24"/>
        </w:rPr>
        <w:t xml:space="preserve"> квартала 2022 года (по сравнению с утвержденной ФАИП – на 4 286,0 млн. рублей, или на 43,2 %) в связи с отказом от финансирования в 2022 году проектно-изыскательских работ по новым объектам, срок окончания которых запланирован на 2023 год, а также </w:t>
      </w:r>
      <w:r w:rsidR="002C193A" w:rsidRPr="00213A5D">
        <w:rPr>
          <w:sz w:val="24"/>
          <w:szCs w:val="24"/>
        </w:rPr>
        <w:t xml:space="preserve">от </w:t>
      </w:r>
      <w:r w:rsidRPr="00213A5D">
        <w:rPr>
          <w:sz w:val="24"/>
          <w:szCs w:val="24"/>
        </w:rPr>
        <w:t>уменьшения или сокращения в полном объеме финансирования объектов, по которым имеется существенный риск неисполнения бюджетных ассигнований (по причине расторжения контрактов в связи с невыполнением подрядчиками обязательств, необходимости корректировки проектно-сметной документации и другим).</w:t>
      </w:r>
    </w:p>
    <w:p w14:paraId="0B730053" w14:textId="77777777" w:rsidR="00736F76" w:rsidRPr="00213A5D" w:rsidRDefault="00736F76" w:rsidP="00AF1852">
      <w:pPr>
        <w:widowControl w:val="0"/>
        <w:spacing w:line="348" w:lineRule="auto"/>
        <w:ind w:left="0" w:right="0"/>
        <w:rPr>
          <w:sz w:val="24"/>
          <w:szCs w:val="24"/>
        </w:rPr>
      </w:pPr>
      <w:r w:rsidRPr="00213A5D">
        <w:rPr>
          <w:sz w:val="24"/>
          <w:szCs w:val="24"/>
        </w:rPr>
        <w:t xml:space="preserve">По </w:t>
      </w:r>
      <w:r w:rsidRPr="00213A5D">
        <w:rPr>
          <w:b/>
          <w:sz w:val="24"/>
          <w:szCs w:val="24"/>
        </w:rPr>
        <w:t>Росводресурсам</w:t>
      </w:r>
      <w:r w:rsidRPr="00213A5D">
        <w:rPr>
          <w:sz w:val="24"/>
          <w:szCs w:val="24"/>
        </w:rPr>
        <w:t xml:space="preserve"> объем бюджетных ассигнований на реализацию ФАИП в III квартале 2022 года по сравнению с объемом на конец </w:t>
      </w:r>
      <w:r w:rsidRPr="00213A5D">
        <w:rPr>
          <w:sz w:val="24"/>
          <w:szCs w:val="24"/>
          <w:lang w:val="en-US"/>
        </w:rPr>
        <w:t>II</w:t>
      </w:r>
      <w:r w:rsidRPr="00213A5D">
        <w:rPr>
          <w:sz w:val="24"/>
          <w:szCs w:val="24"/>
        </w:rPr>
        <w:t xml:space="preserve"> квартала 2022 года сократился на 1 257,2 млн. рублей, или на 14,2 % (по сравнению с утвержденной ФАИП расходы уменьшены на треть от первоначального объема</w:t>
      </w:r>
      <w:r w:rsidRPr="00213A5D">
        <w:rPr>
          <w:vertAlign w:val="superscript"/>
        </w:rPr>
        <w:footnoteReference w:id="44"/>
      </w:r>
      <w:r w:rsidRPr="00213A5D">
        <w:rPr>
          <w:sz w:val="24"/>
          <w:szCs w:val="24"/>
        </w:rPr>
        <w:t xml:space="preserve">). Так, по объекту «Строительство защитной дамбы с придамбовым дренажем для защиты района Российского центра программирования в г. Дубна Московской области (корректировка)» в III квартале 2022 года </w:t>
      </w:r>
      <w:r w:rsidRPr="00213A5D">
        <w:rPr>
          <w:sz w:val="24"/>
          <w:szCs w:val="24"/>
        </w:rPr>
        <w:lastRenderedPageBreak/>
        <w:t>на 1 348,4 млн. рублей,  или на 93,1 %, уменьшены расходы на проведение строительных работ в связи с увеличением стоимости строительства по результатам проектно-изыскательских работ и отсутствием достаточного объема средств, предусмотренных ФАИП.</w:t>
      </w:r>
    </w:p>
    <w:p w14:paraId="55E018EA" w14:textId="77777777" w:rsidR="00736F76" w:rsidRPr="00213A5D" w:rsidRDefault="00736F76" w:rsidP="00AF1852">
      <w:pPr>
        <w:widowControl w:val="0"/>
        <w:spacing w:line="348" w:lineRule="auto"/>
        <w:ind w:left="0" w:right="0"/>
        <w:rPr>
          <w:sz w:val="24"/>
          <w:szCs w:val="24"/>
        </w:rPr>
      </w:pPr>
      <w:r w:rsidRPr="00213A5D">
        <w:rPr>
          <w:sz w:val="24"/>
          <w:szCs w:val="24"/>
        </w:rPr>
        <w:t xml:space="preserve">По объектам </w:t>
      </w:r>
      <w:r w:rsidRPr="00213A5D">
        <w:rPr>
          <w:b/>
          <w:sz w:val="24"/>
          <w:szCs w:val="24"/>
        </w:rPr>
        <w:t xml:space="preserve">Росрыболовства </w:t>
      </w:r>
      <w:r w:rsidRPr="00213A5D">
        <w:rPr>
          <w:sz w:val="24"/>
          <w:szCs w:val="24"/>
        </w:rPr>
        <w:t xml:space="preserve">объем бюджетных ассигнований в III квартале </w:t>
      </w:r>
      <w:r w:rsidR="002C193A" w:rsidRPr="00213A5D">
        <w:rPr>
          <w:sz w:val="24"/>
          <w:szCs w:val="24"/>
        </w:rPr>
        <w:br/>
      </w:r>
      <w:r w:rsidRPr="00213A5D">
        <w:rPr>
          <w:sz w:val="24"/>
          <w:szCs w:val="24"/>
        </w:rPr>
        <w:t xml:space="preserve">2022 года по сравнению с объемом на конец </w:t>
      </w:r>
      <w:r w:rsidRPr="00213A5D">
        <w:rPr>
          <w:sz w:val="24"/>
          <w:szCs w:val="24"/>
          <w:lang w:val="en-US"/>
        </w:rPr>
        <w:t>II</w:t>
      </w:r>
      <w:r w:rsidRPr="00213A5D">
        <w:rPr>
          <w:sz w:val="24"/>
          <w:szCs w:val="24"/>
        </w:rPr>
        <w:t xml:space="preserve"> квартала 2022 года уменьшен на 1 082,9 млн. рублей, или на 22,7 % (по сравнению с</w:t>
      </w:r>
      <w:r w:rsidR="002C193A" w:rsidRPr="00213A5D">
        <w:rPr>
          <w:sz w:val="24"/>
          <w:szCs w:val="24"/>
        </w:rPr>
        <w:t xml:space="preserve"> утвержденной ФАИП – </w:t>
      </w:r>
      <w:r w:rsidRPr="00213A5D">
        <w:rPr>
          <w:sz w:val="24"/>
          <w:szCs w:val="24"/>
        </w:rPr>
        <w:t xml:space="preserve">на 1 046,0 млн. рублей, </w:t>
      </w:r>
      <w:r w:rsidR="002C193A" w:rsidRPr="00213A5D">
        <w:rPr>
          <w:sz w:val="24"/>
          <w:szCs w:val="24"/>
        </w:rPr>
        <w:br/>
      </w:r>
      <w:r w:rsidRPr="00213A5D">
        <w:rPr>
          <w:sz w:val="24"/>
          <w:szCs w:val="24"/>
        </w:rPr>
        <w:t xml:space="preserve">или на 22,1 %. Так, в полном объеме уменьшены бюджетные ассигнования по объекту </w:t>
      </w:r>
      <w:r w:rsidRPr="00213A5D">
        <w:rPr>
          <w:b/>
          <w:sz w:val="24"/>
          <w:szCs w:val="24"/>
        </w:rPr>
        <w:t xml:space="preserve">Росрыболовства </w:t>
      </w:r>
      <w:r w:rsidRPr="00213A5D">
        <w:rPr>
          <w:sz w:val="24"/>
          <w:szCs w:val="24"/>
        </w:rPr>
        <w:t xml:space="preserve">«Реконструкция Селенгинского рыбоводного завода, с. Лиственичное, Прибайкальский район, Республика Бурятия» (445,4 млн. рублей) в связи с дефицитом средств ввиду увеличения сметной стоимости строительства. Также по состоянию на 1 октября 2022 года уменьшены бюджетные ассигнования  по объекту </w:t>
      </w:r>
      <w:r w:rsidRPr="00213A5D">
        <w:rPr>
          <w:b/>
          <w:sz w:val="24"/>
          <w:szCs w:val="24"/>
        </w:rPr>
        <w:t xml:space="preserve">Росрыболовства </w:t>
      </w:r>
      <w:r w:rsidRPr="00213A5D">
        <w:rPr>
          <w:sz w:val="24"/>
          <w:szCs w:val="24"/>
        </w:rPr>
        <w:t>«Строительство морского крупнотоннажного научно-исследовательского судна пр. 23460 № 1» на 744,9 млн. рублей, или на 82,8 %.</w:t>
      </w:r>
    </w:p>
    <w:p w14:paraId="11289BA8" w14:textId="77777777" w:rsidR="00736F76" w:rsidRPr="00213A5D" w:rsidRDefault="00736F76" w:rsidP="00AE7F9F">
      <w:pPr>
        <w:widowControl w:val="0"/>
        <w:ind w:left="0" w:right="0"/>
        <w:rPr>
          <w:sz w:val="24"/>
          <w:szCs w:val="24"/>
        </w:rPr>
      </w:pPr>
      <w:r w:rsidRPr="00213A5D">
        <w:rPr>
          <w:b/>
          <w:sz w:val="24"/>
          <w:szCs w:val="24"/>
        </w:rPr>
        <w:t>9.7.</w:t>
      </w:r>
      <w:r w:rsidRPr="00213A5D">
        <w:rPr>
          <w:sz w:val="24"/>
          <w:szCs w:val="24"/>
        </w:rPr>
        <w:t xml:space="preserve"> </w:t>
      </w:r>
      <w:r w:rsidRPr="00213A5D">
        <w:rPr>
          <w:b/>
          <w:sz w:val="24"/>
          <w:szCs w:val="24"/>
        </w:rPr>
        <w:t>Минтрансом России</w:t>
      </w:r>
      <w:r w:rsidRPr="00213A5D">
        <w:rPr>
          <w:sz w:val="24"/>
          <w:szCs w:val="24"/>
        </w:rPr>
        <w:t xml:space="preserve"> в рамках ведомственного проекта «Строительство, реконструкция и техническое перевооружение пунктов пропуска через государственную границу Российской Федерации» из ФАИП </w:t>
      </w:r>
      <w:r w:rsidR="0039348D" w:rsidRPr="00213A5D">
        <w:rPr>
          <w:sz w:val="24"/>
          <w:szCs w:val="24"/>
        </w:rPr>
        <w:t xml:space="preserve">исключено </w:t>
      </w:r>
      <w:r w:rsidRPr="00213A5D">
        <w:rPr>
          <w:sz w:val="24"/>
          <w:szCs w:val="24"/>
        </w:rPr>
        <w:t xml:space="preserve">4 мероприятия с объемом финансирования на 2022 год 204,2 млн. рублей в связи с расторжением государственных контрактов на выполнение проектных и изыскательских работ, а также </w:t>
      </w:r>
      <w:r w:rsidR="00814F97" w:rsidRPr="00213A5D">
        <w:rPr>
          <w:sz w:val="24"/>
          <w:szCs w:val="24"/>
        </w:rPr>
        <w:t xml:space="preserve">с </w:t>
      </w:r>
      <w:r w:rsidRPr="00213A5D">
        <w:rPr>
          <w:sz w:val="24"/>
          <w:szCs w:val="24"/>
        </w:rPr>
        <w:t xml:space="preserve">отсутствием правоустанавливающих документов на земельные участки, в том числе: на морских пунктах пропуска Холмск (Сахалинская область) (53,6 млн. рублей), Петропавловск-Камчатский (Камчатский край) (63,0 млн. рублей), Невельск (Сахалинская область) (73,2 млн. рублей), а также на железнодорожном пункте пропуска Нижнеленинское (14,4 млн. рублей). </w:t>
      </w:r>
    </w:p>
    <w:p w14:paraId="5DE83CEB" w14:textId="77777777" w:rsidR="00736F76" w:rsidRPr="00213A5D" w:rsidRDefault="00736F76" w:rsidP="00AE7F9F">
      <w:pPr>
        <w:widowControl w:val="0"/>
        <w:ind w:left="0" w:right="0"/>
        <w:rPr>
          <w:sz w:val="24"/>
          <w:szCs w:val="24"/>
        </w:rPr>
      </w:pPr>
      <w:r w:rsidRPr="00213A5D">
        <w:rPr>
          <w:sz w:val="24"/>
          <w:szCs w:val="24"/>
        </w:rPr>
        <w:t xml:space="preserve">Кроме того, </w:t>
      </w:r>
      <w:r w:rsidRPr="00213A5D">
        <w:rPr>
          <w:b/>
          <w:sz w:val="24"/>
          <w:szCs w:val="24"/>
        </w:rPr>
        <w:t>Минтрансом России</w:t>
      </w:r>
      <w:r w:rsidRPr="00213A5D">
        <w:rPr>
          <w:sz w:val="24"/>
          <w:szCs w:val="24"/>
        </w:rPr>
        <w:t xml:space="preserve"> в рамках ведомственного проекта «Строительство и реконструкция объектов многофункционального технологического кластера «Образцово» в полном объеме перераспределены средства федерального бюджета, предусмотренные на 3 объекта капитального строительства</w:t>
      </w:r>
      <w:r w:rsidRPr="00213A5D">
        <w:rPr>
          <w:sz w:val="24"/>
          <w:szCs w:val="24"/>
          <w:vertAlign w:val="superscript"/>
        </w:rPr>
        <w:footnoteReference w:id="45"/>
      </w:r>
      <w:r w:rsidRPr="00213A5D">
        <w:rPr>
          <w:sz w:val="24"/>
          <w:szCs w:val="24"/>
        </w:rPr>
        <w:t xml:space="preserve"> со сроком ввода в эксплуатацию в 2024 году (2 213,6 млн. рублей) в связи с отсутствием проектной документации.</w:t>
      </w:r>
    </w:p>
    <w:p w14:paraId="3175E8C0" w14:textId="77777777" w:rsidR="00736F76" w:rsidRPr="00213A5D" w:rsidRDefault="00736F76" w:rsidP="00AE7F9F">
      <w:pPr>
        <w:widowControl w:val="0"/>
        <w:ind w:left="0" w:right="0"/>
        <w:contextualSpacing/>
        <w:rPr>
          <w:sz w:val="24"/>
          <w:szCs w:val="24"/>
        </w:rPr>
      </w:pPr>
      <w:r w:rsidRPr="00213A5D">
        <w:rPr>
          <w:b/>
          <w:sz w:val="24"/>
          <w:szCs w:val="24"/>
        </w:rPr>
        <w:t>9.8.</w:t>
      </w:r>
      <w:r w:rsidRPr="00213A5D">
        <w:rPr>
          <w:sz w:val="24"/>
          <w:szCs w:val="24"/>
        </w:rPr>
        <w:t xml:space="preserve"> В соответствии с распоряжением Правительства Российской Федерации от 18 февраля 2022 г. № 292-р в связи с ростом цен на строительные материалы из резервного фонда Правительства Российской Федерации ряду главных распорядителей выделены средства на увеличение стоимости контрактов, предметом которых является выполнение работ по строительству, реконструкции, капитальному ремонту, сносу объектов </w:t>
      </w:r>
      <w:r w:rsidRPr="00213A5D">
        <w:rPr>
          <w:sz w:val="24"/>
          <w:szCs w:val="24"/>
        </w:rPr>
        <w:lastRenderedPageBreak/>
        <w:t>государственной собственности Российской Федерации, в том числе Минсельхозу России (1 120,7 млн. рублей, из них на 2022 год – 962,2 млн. рублей), Россельхознадзору (399,0 млн. рублей, из них на 2022 год – 163,2 млн. рублей), Росгидромету и Минприроды России (30,9 млн. рублей и 16,4 млн. рублей на 2022 год соответственно).  По указанным главным распорядителям максимальный объем выделенных средств из федерального бюджета по объекту составил 188,4  млн. рублей (Россельхознадзор), в то время как по объектам, бюджетные ассигнования по которым на 2022 год сокращены в полном объеме из-за увеличения сметной стоимости строительства, дефицит средств федерального бюджета существенно превышает указанный объем (например, по объекту Росводресурсов – на 960,0 млн. рублей, объекту Росрыболовства – на 612,1 млн. рублей).</w:t>
      </w:r>
    </w:p>
    <w:p w14:paraId="136EDE60" w14:textId="77777777" w:rsidR="005E426E" w:rsidRPr="00213A5D" w:rsidRDefault="00736F76" w:rsidP="00AE7F9F">
      <w:pPr>
        <w:widowControl w:val="0"/>
        <w:ind w:left="0" w:right="0"/>
        <w:contextualSpacing/>
        <w:rPr>
          <w:sz w:val="24"/>
          <w:szCs w:val="24"/>
        </w:rPr>
      </w:pPr>
      <w:r w:rsidRPr="00213A5D">
        <w:rPr>
          <w:b/>
          <w:sz w:val="24"/>
          <w:szCs w:val="24"/>
        </w:rPr>
        <w:t>9.9. </w:t>
      </w:r>
      <w:r w:rsidRPr="00213A5D">
        <w:rPr>
          <w:sz w:val="24"/>
          <w:szCs w:val="24"/>
        </w:rPr>
        <w:t xml:space="preserve">Данные о вводе в эксплуатацию объектов ФАИП, а также </w:t>
      </w:r>
      <w:r w:rsidR="00EC4E2C" w:rsidRPr="00213A5D">
        <w:rPr>
          <w:sz w:val="24"/>
          <w:szCs w:val="24"/>
        </w:rPr>
        <w:t xml:space="preserve">о </w:t>
      </w:r>
      <w:r w:rsidRPr="00213A5D">
        <w:rPr>
          <w:sz w:val="24"/>
          <w:szCs w:val="24"/>
        </w:rPr>
        <w:t>динамике кассовых расходов в 2022 году представлены на следующей диаграмме.</w:t>
      </w:r>
    </w:p>
    <w:p w14:paraId="1F55CD70" w14:textId="77777777" w:rsidR="0010291A" w:rsidRPr="00213A5D" w:rsidRDefault="00CD0E98" w:rsidP="00AE7F9F">
      <w:pPr>
        <w:widowControl w:val="0"/>
        <w:spacing w:line="276" w:lineRule="auto"/>
        <w:ind w:left="0" w:right="0" w:firstLine="0"/>
        <w:contextualSpacing/>
        <w:jc w:val="center"/>
        <w:rPr>
          <w:sz w:val="24"/>
          <w:szCs w:val="24"/>
        </w:rPr>
      </w:pPr>
      <w:r>
        <w:rPr>
          <w:noProof/>
        </w:rPr>
        <w:pict w14:anchorId="67567243">
          <v:shape id="_x0000_i1041" type="#_x0000_t75" alt="" style="width:359.3pt;height:201.05pt;visibility:visible;mso-width-percent:0;mso-height-percent:0;mso-width-percent:0;mso-height-percent:0">
            <v:imagedata r:id="rId63" o:title="" croptop="5718f" cropbottom="-27f" cropleft="2354f"/>
            <o:lock v:ext="edit" aspectratio="f"/>
          </v:shape>
        </w:pict>
      </w:r>
    </w:p>
    <w:p w14:paraId="39B6FCE2" w14:textId="77777777" w:rsidR="00736F76" w:rsidRPr="00213A5D" w:rsidRDefault="00736F76" w:rsidP="00AE7F9F">
      <w:pPr>
        <w:widowControl w:val="0"/>
        <w:ind w:left="0" w:right="0"/>
        <w:contextualSpacing/>
        <w:rPr>
          <w:sz w:val="24"/>
          <w:szCs w:val="24"/>
        </w:rPr>
      </w:pPr>
      <w:r w:rsidRPr="00213A5D">
        <w:rPr>
          <w:b/>
          <w:sz w:val="24"/>
          <w:szCs w:val="24"/>
        </w:rPr>
        <w:t>Уровень ввода</w:t>
      </w:r>
      <w:r w:rsidRPr="00213A5D">
        <w:rPr>
          <w:sz w:val="24"/>
          <w:szCs w:val="24"/>
        </w:rPr>
        <w:t xml:space="preserve"> объектов в эксплуатацию по состоянию на 1 октября 2022 года (28 объектов, или 11,8 %) </w:t>
      </w:r>
      <w:r w:rsidRPr="00213A5D">
        <w:rPr>
          <w:b/>
          <w:sz w:val="24"/>
          <w:szCs w:val="24"/>
        </w:rPr>
        <w:t>ниже</w:t>
      </w:r>
      <w:r w:rsidRPr="00213A5D">
        <w:rPr>
          <w:sz w:val="24"/>
          <w:szCs w:val="24"/>
        </w:rPr>
        <w:t xml:space="preserve"> аналогичного показателя 2021 года (57 объектов, или 19,2 %) </w:t>
      </w:r>
      <w:r w:rsidRPr="00213A5D">
        <w:rPr>
          <w:b/>
          <w:sz w:val="24"/>
          <w:szCs w:val="24"/>
        </w:rPr>
        <w:t>на 7,4 процентн</w:t>
      </w:r>
      <w:r w:rsidR="00EC4E2C" w:rsidRPr="00213A5D">
        <w:rPr>
          <w:b/>
          <w:sz w:val="24"/>
          <w:szCs w:val="24"/>
        </w:rPr>
        <w:t>ого</w:t>
      </w:r>
      <w:r w:rsidRPr="00213A5D">
        <w:rPr>
          <w:b/>
          <w:sz w:val="24"/>
          <w:szCs w:val="24"/>
        </w:rPr>
        <w:t xml:space="preserve"> пункта</w:t>
      </w:r>
      <w:r w:rsidRPr="00213A5D">
        <w:rPr>
          <w:sz w:val="24"/>
          <w:szCs w:val="24"/>
        </w:rPr>
        <w:t xml:space="preserve"> </w:t>
      </w:r>
      <w:r w:rsidRPr="00213A5D">
        <w:rPr>
          <w:b/>
          <w:sz w:val="24"/>
          <w:szCs w:val="24"/>
        </w:rPr>
        <w:t>при росте</w:t>
      </w:r>
      <w:r w:rsidRPr="00213A5D">
        <w:rPr>
          <w:sz w:val="24"/>
          <w:szCs w:val="24"/>
        </w:rPr>
        <w:t xml:space="preserve"> уровня кассовых расходов на </w:t>
      </w:r>
      <w:r w:rsidRPr="00213A5D">
        <w:rPr>
          <w:b/>
          <w:sz w:val="24"/>
          <w:szCs w:val="24"/>
        </w:rPr>
        <w:t>8,8 процентного пункта.</w:t>
      </w:r>
    </w:p>
    <w:p w14:paraId="3C10309C" w14:textId="77777777" w:rsidR="00736F76" w:rsidRPr="00213A5D" w:rsidRDefault="00736F76" w:rsidP="00AE7F9F">
      <w:pPr>
        <w:widowControl w:val="0"/>
        <w:spacing w:line="336" w:lineRule="auto"/>
        <w:ind w:left="0" w:right="0"/>
        <w:rPr>
          <w:sz w:val="24"/>
          <w:szCs w:val="24"/>
        </w:rPr>
      </w:pPr>
      <w:r w:rsidRPr="00213A5D">
        <w:rPr>
          <w:sz w:val="24"/>
          <w:szCs w:val="24"/>
        </w:rPr>
        <w:t xml:space="preserve">Отмечается </w:t>
      </w:r>
      <w:r w:rsidRPr="00213A5D">
        <w:rPr>
          <w:b/>
          <w:sz w:val="24"/>
          <w:szCs w:val="24"/>
        </w:rPr>
        <w:t>высокий риск неввода в эксплуатацию</w:t>
      </w:r>
      <w:r w:rsidRPr="00213A5D">
        <w:rPr>
          <w:sz w:val="24"/>
          <w:szCs w:val="24"/>
        </w:rPr>
        <w:t xml:space="preserve"> в установленные сроки в 2022 году ряда объектов. </w:t>
      </w:r>
    </w:p>
    <w:p w14:paraId="5425A796" w14:textId="77777777" w:rsidR="00736F76" w:rsidRPr="00213A5D" w:rsidRDefault="00736F76" w:rsidP="00AE7F9F">
      <w:pPr>
        <w:widowControl w:val="0"/>
        <w:spacing w:line="336" w:lineRule="auto"/>
        <w:ind w:left="0" w:right="0"/>
        <w:rPr>
          <w:sz w:val="24"/>
          <w:szCs w:val="24"/>
        </w:rPr>
      </w:pPr>
      <w:r w:rsidRPr="00213A5D">
        <w:rPr>
          <w:sz w:val="24"/>
          <w:szCs w:val="24"/>
        </w:rPr>
        <w:t xml:space="preserve">Так, из 19 объектов </w:t>
      </w:r>
      <w:r w:rsidRPr="00213A5D">
        <w:rPr>
          <w:b/>
          <w:sz w:val="24"/>
          <w:szCs w:val="24"/>
        </w:rPr>
        <w:t>Минздрава России</w:t>
      </w:r>
      <w:r w:rsidRPr="00213A5D">
        <w:rPr>
          <w:sz w:val="24"/>
          <w:szCs w:val="24"/>
        </w:rPr>
        <w:t>, подлежащих вводу в эксплуатацию в 2022 году, существует риск срыва установленного срока ввода в эксплуатацию 11 объектов, или 60 % количества, в том числе 4 детских клинических больниц, 3 диспансеров и 1 больницы онкологического профиля, 1 инфекционной больницы, 2 многопрофильных больниц.</w:t>
      </w:r>
    </w:p>
    <w:p w14:paraId="439B1A4E" w14:textId="77777777" w:rsidR="00736F76" w:rsidRPr="00213A5D" w:rsidRDefault="00736F76" w:rsidP="00AE7F9F">
      <w:pPr>
        <w:widowControl w:val="0"/>
        <w:ind w:left="0" w:right="0"/>
        <w:rPr>
          <w:sz w:val="24"/>
          <w:szCs w:val="24"/>
        </w:rPr>
      </w:pPr>
      <w:r w:rsidRPr="00213A5D">
        <w:rPr>
          <w:b/>
          <w:sz w:val="24"/>
          <w:szCs w:val="24"/>
        </w:rPr>
        <w:t>Роспотребнадзором</w:t>
      </w:r>
      <w:r w:rsidRPr="00213A5D">
        <w:rPr>
          <w:sz w:val="24"/>
          <w:szCs w:val="24"/>
        </w:rPr>
        <w:t xml:space="preserve"> по 2 из 3 объектов, подлежащих вводу в эксплуатацию </w:t>
      </w:r>
      <w:r w:rsidR="00AE7F9F" w:rsidRPr="00213A5D">
        <w:rPr>
          <w:sz w:val="24"/>
          <w:szCs w:val="24"/>
        </w:rPr>
        <w:br/>
      </w:r>
      <w:r w:rsidRPr="00213A5D">
        <w:rPr>
          <w:sz w:val="24"/>
          <w:szCs w:val="24"/>
        </w:rPr>
        <w:t>в 2022 году,  планируется перенос срока ввода в эксплуатацию на 2023 год.</w:t>
      </w:r>
    </w:p>
    <w:p w14:paraId="304D02FF" w14:textId="77777777" w:rsidR="00736F76" w:rsidRPr="00213A5D" w:rsidRDefault="00736F76" w:rsidP="00AE7F9F">
      <w:pPr>
        <w:widowControl w:val="0"/>
        <w:ind w:left="0" w:right="0"/>
        <w:rPr>
          <w:sz w:val="24"/>
          <w:szCs w:val="24"/>
        </w:rPr>
      </w:pPr>
      <w:r w:rsidRPr="00213A5D">
        <w:rPr>
          <w:sz w:val="24"/>
          <w:szCs w:val="24"/>
        </w:rPr>
        <w:t xml:space="preserve">По объекту </w:t>
      </w:r>
      <w:r w:rsidRPr="00213A5D">
        <w:rPr>
          <w:b/>
          <w:sz w:val="24"/>
          <w:szCs w:val="24"/>
        </w:rPr>
        <w:t>ФМБА России</w:t>
      </w:r>
      <w:r w:rsidRPr="00213A5D">
        <w:rPr>
          <w:sz w:val="24"/>
          <w:szCs w:val="24"/>
        </w:rPr>
        <w:t xml:space="preserve"> «Проектирование и строительство детской поликлиники </w:t>
      </w:r>
      <w:r w:rsidRPr="00213A5D">
        <w:rPr>
          <w:sz w:val="24"/>
          <w:szCs w:val="24"/>
        </w:rPr>
        <w:lastRenderedPageBreak/>
        <w:t xml:space="preserve">федерального государственного бюджетного учреждения здравоохранения «Клиническая больница № 50 ФМБА России», срок ввода в эксплуатацию которого был перенесен </w:t>
      </w:r>
      <w:r w:rsidR="003537C3" w:rsidRPr="00213A5D">
        <w:rPr>
          <w:sz w:val="24"/>
          <w:szCs w:val="24"/>
        </w:rPr>
        <w:br/>
      </w:r>
      <w:r w:rsidRPr="00213A5D">
        <w:rPr>
          <w:sz w:val="24"/>
          <w:szCs w:val="24"/>
        </w:rPr>
        <w:t>с 2021 на 2022 год, уровень технической готовности составляет 70 %.</w:t>
      </w:r>
    </w:p>
    <w:p w14:paraId="1578B041" w14:textId="77777777" w:rsidR="00736F76" w:rsidRPr="00213A5D" w:rsidRDefault="00736F76" w:rsidP="00AE7F9F">
      <w:pPr>
        <w:widowControl w:val="0"/>
        <w:ind w:left="0" w:right="0"/>
        <w:rPr>
          <w:sz w:val="24"/>
          <w:szCs w:val="24"/>
        </w:rPr>
      </w:pPr>
      <w:r w:rsidRPr="00213A5D">
        <w:rPr>
          <w:sz w:val="24"/>
          <w:szCs w:val="24"/>
        </w:rPr>
        <w:t xml:space="preserve">По подлежащим вводу в эксплуатацию в 2022 году объектам </w:t>
      </w:r>
      <w:r w:rsidRPr="00213A5D">
        <w:rPr>
          <w:b/>
          <w:sz w:val="24"/>
          <w:szCs w:val="24"/>
        </w:rPr>
        <w:t>Минпросвещения России</w:t>
      </w:r>
      <w:r w:rsidRPr="00213A5D">
        <w:rPr>
          <w:sz w:val="24"/>
          <w:szCs w:val="24"/>
        </w:rPr>
        <w:t xml:space="preserve"> «Реконструкция спорткомплекса Оренбургского государственного педагогического университета» и «Бассейн ФГБОУ ВО «Новосибирский государственный педагогический университет, строительство» с общим объемом бюджетных ассигнований на 2022 год в сумме 64,6 млн. рублей по состоянию на 1 октября 2022 года не заключены государственные контракты, планируется перераспределение указанных средств. </w:t>
      </w:r>
    </w:p>
    <w:p w14:paraId="520E6941" w14:textId="77777777" w:rsidR="00736F76" w:rsidRPr="00213A5D" w:rsidRDefault="00736F76" w:rsidP="00AE7F9F">
      <w:pPr>
        <w:widowControl w:val="0"/>
        <w:ind w:left="0" w:right="0"/>
        <w:rPr>
          <w:sz w:val="24"/>
          <w:szCs w:val="24"/>
        </w:rPr>
      </w:pPr>
      <w:r w:rsidRPr="00213A5D">
        <w:rPr>
          <w:sz w:val="24"/>
          <w:szCs w:val="24"/>
        </w:rPr>
        <w:t xml:space="preserve">По объекту </w:t>
      </w:r>
      <w:r w:rsidRPr="00213A5D">
        <w:rPr>
          <w:b/>
          <w:sz w:val="24"/>
          <w:szCs w:val="24"/>
        </w:rPr>
        <w:t>Росжелдора</w:t>
      </w:r>
      <w:r w:rsidRPr="00213A5D">
        <w:rPr>
          <w:sz w:val="24"/>
          <w:szCs w:val="24"/>
        </w:rPr>
        <w:t xml:space="preserve"> «Оборудование железнодорожных переездов на 1537 км перегона Инкерман-1- Севастополь и станции Азовская (20 км)», предусмотренному к вводу в эксплуатацию в 2022 году (объем бюджетных ассигнований на 2022 год – 60,0 млн. рублей), по состоянию на 1 октября 2022 года не заключено соглашение о выделении субсидии и государственные контракты. </w:t>
      </w:r>
    </w:p>
    <w:p w14:paraId="0DE8D2EF" w14:textId="77777777" w:rsidR="00736F76" w:rsidRPr="00213A5D" w:rsidRDefault="00736F76" w:rsidP="00AE7F9F">
      <w:pPr>
        <w:widowControl w:val="0"/>
        <w:ind w:left="0" w:right="0"/>
        <w:rPr>
          <w:sz w:val="24"/>
          <w:szCs w:val="24"/>
        </w:rPr>
      </w:pPr>
      <w:r w:rsidRPr="00213A5D">
        <w:rPr>
          <w:sz w:val="24"/>
          <w:szCs w:val="24"/>
        </w:rPr>
        <w:t xml:space="preserve">По </w:t>
      </w:r>
      <w:r w:rsidRPr="00213A5D">
        <w:rPr>
          <w:b/>
          <w:sz w:val="24"/>
          <w:szCs w:val="24"/>
        </w:rPr>
        <w:t>Минкультуры России</w:t>
      </w:r>
      <w:r w:rsidRPr="00213A5D">
        <w:rPr>
          <w:sz w:val="24"/>
          <w:szCs w:val="24"/>
        </w:rPr>
        <w:t xml:space="preserve"> по объекту «Сохранение объекта культурного наследия регионального значения «Театр оперы и балета. 1864 г., 1959-1961 гг.» </w:t>
      </w:r>
      <w:r w:rsidRPr="00213A5D">
        <w:rPr>
          <w:b/>
          <w:sz w:val="24"/>
          <w:szCs w:val="24"/>
        </w:rPr>
        <w:t>уровень технической готовности составляет 36 %</w:t>
      </w:r>
      <w:r w:rsidRPr="00213A5D">
        <w:rPr>
          <w:sz w:val="24"/>
          <w:szCs w:val="24"/>
        </w:rPr>
        <w:t>; по объектам «Комплексная реконструкция, реставрация и приспособление здания под научно-информационный центр» и «Комплексная реконструкция, реставрация и приспособление зданий бывшей городской усадьбы XVIII–XIX веков под музейно-административные здания» ФГБУК «Государственный музей изобразительных искусств им. А.С. Пушкина»</w:t>
      </w:r>
      <w:r w:rsidR="000F796A" w:rsidRPr="00213A5D">
        <w:rPr>
          <w:sz w:val="24"/>
          <w:szCs w:val="24"/>
        </w:rPr>
        <w:t xml:space="preserve"> – </w:t>
      </w:r>
      <w:r w:rsidRPr="00213A5D">
        <w:rPr>
          <w:b/>
          <w:sz w:val="24"/>
          <w:szCs w:val="24"/>
        </w:rPr>
        <w:t>не превышает 43,9 %</w:t>
      </w:r>
      <w:r w:rsidRPr="00213A5D">
        <w:rPr>
          <w:sz w:val="24"/>
          <w:szCs w:val="24"/>
        </w:rPr>
        <w:t xml:space="preserve">. </w:t>
      </w:r>
    </w:p>
    <w:p w14:paraId="37F0D904" w14:textId="77777777" w:rsidR="00736F76" w:rsidRPr="00213A5D" w:rsidRDefault="00736F76" w:rsidP="00AE7F9F">
      <w:pPr>
        <w:widowControl w:val="0"/>
        <w:ind w:left="0" w:right="0"/>
        <w:rPr>
          <w:sz w:val="24"/>
          <w:szCs w:val="24"/>
        </w:rPr>
      </w:pPr>
      <w:r w:rsidRPr="00213A5D">
        <w:rPr>
          <w:sz w:val="24"/>
          <w:szCs w:val="24"/>
        </w:rPr>
        <w:t xml:space="preserve">Кроме того, отмечается </w:t>
      </w:r>
      <w:r w:rsidRPr="00213A5D">
        <w:rPr>
          <w:b/>
          <w:sz w:val="24"/>
          <w:szCs w:val="24"/>
        </w:rPr>
        <w:t>риск неввода в эксплуатацию в 2022 году</w:t>
      </w:r>
      <w:r w:rsidRPr="00213A5D">
        <w:rPr>
          <w:sz w:val="24"/>
          <w:szCs w:val="24"/>
        </w:rPr>
        <w:t xml:space="preserve"> объектов Минкультуры России, </w:t>
      </w:r>
      <w:r w:rsidRPr="00213A5D">
        <w:rPr>
          <w:b/>
          <w:sz w:val="24"/>
          <w:szCs w:val="24"/>
        </w:rPr>
        <w:t>подлежавших вводу в эксплуатацию, но не введенных в 2021 году</w:t>
      </w:r>
      <w:r w:rsidRPr="00213A5D">
        <w:rPr>
          <w:sz w:val="24"/>
          <w:szCs w:val="24"/>
        </w:rPr>
        <w:t xml:space="preserve">: </w:t>
      </w:r>
    </w:p>
    <w:p w14:paraId="2DC23F27" w14:textId="77777777" w:rsidR="00736F76" w:rsidRPr="00213A5D" w:rsidRDefault="00736F76" w:rsidP="00AE7F9F">
      <w:pPr>
        <w:widowControl w:val="0"/>
        <w:ind w:left="0" w:right="0"/>
        <w:rPr>
          <w:sz w:val="24"/>
          <w:szCs w:val="24"/>
        </w:rPr>
      </w:pPr>
      <w:r w:rsidRPr="00213A5D">
        <w:rPr>
          <w:sz w:val="24"/>
          <w:szCs w:val="24"/>
        </w:rPr>
        <w:t xml:space="preserve">реконструкция, реставрация и приспособление к современным функциональным и инженерно-техническим требованиям комплекса зданий ФГБОУ ВПО «Московская государственная консерватория (университет) имени П.И.Чайковского»; </w:t>
      </w:r>
    </w:p>
    <w:p w14:paraId="0FFD86B3" w14:textId="77777777" w:rsidR="00736F76" w:rsidRPr="00213A5D" w:rsidRDefault="00736F76" w:rsidP="00AE7F9F">
      <w:pPr>
        <w:widowControl w:val="0"/>
        <w:ind w:left="0" w:right="0"/>
        <w:rPr>
          <w:sz w:val="24"/>
          <w:szCs w:val="24"/>
        </w:rPr>
      </w:pPr>
      <w:r w:rsidRPr="00213A5D">
        <w:rPr>
          <w:sz w:val="24"/>
          <w:szCs w:val="24"/>
        </w:rPr>
        <w:t>реконструкция Пензенского государственного цирка.</w:t>
      </w:r>
    </w:p>
    <w:p w14:paraId="0C25381A" w14:textId="77777777" w:rsidR="00736F76" w:rsidRPr="00213A5D" w:rsidRDefault="00736F76" w:rsidP="00AE7F9F">
      <w:pPr>
        <w:widowControl w:val="0"/>
        <w:ind w:left="0" w:right="-2"/>
        <w:rPr>
          <w:iCs/>
          <w:sz w:val="24"/>
          <w:szCs w:val="24"/>
        </w:rPr>
      </w:pPr>
      <w:r w:rsidRPr="00213A5D">
        <w:rPr>
          <w:b/>
          <w:sz w:val="24"/>
          <w:szCs w:val="24"/>
        </w:rPr>
        <w:t>9.10.</w:t>
      </w:r>
      <w:r w:rsidRPr="00213A5D">
        <w:rPr>
          <w:sz w:val="24"/>
          <w:szCs w:val="24"/>
        </w:rPr>
        <w:t xml:space="preserve"> В январе – сентябре 2022 года </w:t>
      </w:r>
      <w:r w:rsidRPr="00213A5D">
        <w:rPr>
          <w:iCs/>
          <w:sz w:val="24"/>
          <w:szCs w:val="24"/>
        </w:rPr>
        <w:t xml:space="preserve">по 17 из 21 объекта </w:t>
      </w:r>
      <w:r w:rsidRPr="00213A5D">
        <w:rPr>
          <w:b/>
          <w:iCs/>
          <w:sz w:val="24"/>
          <w:szCs w:val="24"/>
        </w:rPr>
        <w:t>Минсельхоза России</w:t>
      </w:r>
      <w:r w:rsidRPr="00213A5D">
        <w:rPr>
          <w:iCs/>
          <w:sz w:val="24"/>
          <w:szCs w:val="24"/>
        </w:rPr>
        <w:t xml:space="preserve">, </w:t>
      </w:r>
      <w:r w:rsidR="00DE3E36" w:rsidRPr="00213A5D">
        <w:rPr>
          <w:iCs/>
          <w:sz w:val="24"/>
          <w:szCs w:val="24"/>
        </w:rPr>
        <w:br/>
      </w:r>
      <w:r w:rsidRPr="00213A5D">
        <w:rPr>
          <w:iCs/>
          <w:sz w:val="24"/>
          <w:szCs w:val="24"/>
        </w:rPr>
        <w:t>по которым предусмотрено завершение проектных и изыскательских работ в 2022 году, не получены положительные заключения государственной экспертизы, что создает риски неисполнения бюджетных ассигнований и переноса завершения ПИР на следующий год.</w:t>
      </w:r>
    </w:p>
    <w:p w14:paraId="0AE60455" w14:textId="77777777" w:rsidR="00736F76" w:rsidRPr="00213A5D" w:rsidRDefault="00736F76" w:rsidP="00AE7F9F">
      <w:pPr>
        <w:widowControl w:val="0"/>
        <w:ind w:left="0" w:right="0"/>
        <w:rPr>
          <w:sz w:val="24"/>
          <w:szCs w:val="24"/>
        </w:rPr>
      </w:pPr>
      <w:r w:rsidRPr="00213A5D">
        <w:rPr>
          <w:b/>
          <w:sz w:val="24"/>
          <w:szCs w:val="24"/>
        </w:rPr>
        <w:t>9.11.</w:t>
      </w:r>
      <w:r w:rsidRPr="00213A5D">
        <w:rPr>
          <w:sz w:val="24"/>
          <w:szCs w:val="24"/>
        </w:rPr>
        <w:t xml:space="preserve"> По состоянию на 1 октября 2022 года в ФАИП включено </w:t>
      </w:r>
      <w:r w:rsidRPr="00213A5D">
        <w:rPr>
          <w:b/>
          <w:sz w:val="24"/>
          <w:szCs w:val="24"/>
        </w:rPr>
        <w:t xml:space="preserve">36 объектов </w:t>
      </w:r>
      <w:r w:rsidRPr="00213A5D">
        <w:rPr>
          <w:sz w:val="24"/>
          <w:szCs w:val="24"/>
        </w:rPr>
        <w:t xml:space="preserve">капитального строительства (мероприятий) </w:t>
      </w:r>
      <w:r w:rsidRPr="00213A5D">
        <w:rPr>
          <w:b/>
          <w:sz w:val="24"/>
          <w:szCs w:val="24"/>
        </w:rPr>
        <w:t>Минтранса России, Росавиации, Росавтодора, Росжелдора</w:t>
      </w:r>
      <w:r w:rsidRPr="00213A5D">
        <w:rPr>
          <w:sz w:val="24"/>
          <w:szCs w:val="24"/>
        </w:rPr>
        <w:t xml:space="preserve"> с общим объемом бюджетных ассигнований на 2022 год в сумме 19 456,3 млн. рублей, которым не присвоен </w:t>
      </w:r>
      <w:r w:rsidRPr="00213A5D">
        <w:rPr>
          <w:b/>
          <w:sz w:val="24"/>
          <w:szCs w:val="24"/>
        </w:rPr>
        <w:t>код учетной единицы</w:t>
      </w:r>
      <w:r w:rsidRPr="00213A5D">
        <w:rPr>
          <w:sz w:val="24"/>
          <w:szCs w:val="24"/>
        </w:rPr>
        <w:t>.</w:t>
      </w:r>
    </w:p>
    <w:p w14:paraId="3540DDE9" w14:textId="77777777" w:rsidR="00CD30FE" w:rsidRPr="00213A5D" w:rsidRDefault="00CD30FE" w:rsidP="00CD30FE">
      <w:pPr>
        <w:widowControl w:val="0"/>
        <w:spacing w:line="240" w:lineRule="auto"/>
        <w:ind w:left="0" w:right="0" w:firstLine="0"/>
        <w:jc w:val="center"/>
        <w:rPr>
          <w:sz w:val="16"/>
          <w:szCs w:val="16"/>
        </w:rPr>
      </w:pPr>
    </w:p>
    <w:p w14:paraId="148E13DB" w14:textId="77777777" w:rsidR="003C5A2F" w:rsidRPr="00213A5D" w:rsidRDefault="00E43C52" w:rsidP="00AF1852">
      <w:pPr>
        <w:widowControl w:val="0"/>
        <w:spacing w:line="240" w:lineRule="auto"/>
        <w:ind w:left="0" w:right="0" w:firstLine="0"/>
        <w:jc w:val="center"/>
        <w:rPr>
          <w:b/>
          <w:sz w:val="24"/>
          <w:szCs w:val="24"/>
          <w:u w:val="single"/>
        </w:rPr>
      </w:pPr>
      <w:r w:rsidRPr="00213A5D">
        <w:rPr>
          <w:b/>
          <w:sz w:val="24"/>
          <w:szCs w:val="24"/>
        </w:rPr>
        <w:t>10</w:t>
      </w:r>
      <w:r w:rsidR="003C5A2F" w:rsidRPr="00213A5D">
        <w:rPr>
          <w:b/>
          <w:sz w:val="24"/>
          <w:szCs w:val="24"/>
        </w:rPr>
        <w:t>. </w:t>
      </w:r>
      <w:r w:rsidR="00AC67A7" w:rsidRPr="00213A5D">
        <w:rPr>
          <w:b/>
          <w:sz w:val="24"/>
          <w:szCs w:val="24"/>
          <w:u w:val="single"/>
        </w:rPr>
        <w:t>Анализ исполнения бюджетных ассигнований на предоставление в</w:t>
      </w:r>
      <w:r w:rsidR="003C5A2F" w:rsidRPr="00213A5D">
        <w:rPr>
          <w:b/>
          <w:sz w:val="24"/>
          <w:szCs w:val="24"/>
          <w:u w:val="single"/>
        </w:rPr>
        <w:t>зн</w:t>
      </w:r>
      <w:r w:rsidR="00AC67A7" w:rsidRPr="00213A5D">
        <w:rPr>
          <w:b/>
          <w:sz w:val="24"/>
          <w:szCs w:val="24"/>
          <w:u w:val="single"/>
        </w:rPr>
        <w:t>осов</w:t>
      </w:r>
      <w:r w:rsidR="003C5A2F" w:rsidRPr="00213A5D">
        <w:rPr>
          <w:b/>
          <w:sz w:val="24"/>
          <w:szCs w:val="24"/>
          <w:u w:val="single"/>
        </w:rPr>
        <w:t xml:space="preserve"> в уставные капиталы, имущественные взносы</w:t>
      </w:r>
      <w:r w:rsidR="00451EB6" w:rsidRPr="00213A5D">
        <w:rPr>
          <w:b/>
          <w:sz w:val="24"/>
          <w:szCs w:val="24"/>
          <w:u w:val="single"/>
        </w:rPr>
        <w:t xml:space="preserve"> Российской Федерации, субсидии </w:t>
      </w:r>
      <w:r w:rsidR="003C5A2F" w:rsidRPr="00213A5D">
        <w:rPr>
          <w:b/>
          <w:sz w:val="24"/>
          <w:szCs w:val="24"/>
          <w:u w:val="single"/>
        </w:rPr>
        <w:t>юридическим лицам</w:t>
      </w:r>
    </w:p>
    <w:p w14:paraId="299C74BA" w14:textId="77777777" w:rsidR="005C3861" w:rsidRPr="00213A5D" w:rsidRDefault="005C3861" w:rsidP="00AF1852">
      <w:pPr>
        <w:widowControl w:val="0"/>
        <w:spacing w:line="240" w:lineRule="auto"/>
        <w:ind w:left="0" w:right="0"/>
        <w:jc w:val="center"/>
        <w:rPr>
          <w:b/>
          <w:sz w:val="16"/>
          <w:szCs w:val="16"/>
          <w:u w:val="single"/>
        </w:rPr>
      </w:pPr>
    </w:p>
    <w:p w14:paraId="7236D7F0" w14:textId="77777777" w:rsidR="001328DC" w:rsidRPr="00213A5D" w:rsidRDefault="001E0D26" w:rsidP="00AF1852">
      <w:pPr>
        <w:widowControl w:val="0"/>
        <w:spacing w:line="348" w:lineRule="auto"/>
        <w:ind w:left="0" w:right="0"/>
        <w:rPr>
          <w:rFonts w:eastAsia="Times New Roman"/>
          <w:sz w:val="24"/>
          <w:szCs w:val="24"/>
        </w:rPr>
      </w:pPr>
      <w:r w:rsidRPr="00213A5D">
        <w:rPr>
          <w:b/>
          <w:sz w:val="24"/>
          <w:szCs w:val="24"/>
        </w:rPr>
        <w:t>10.1.</w:t>
      </w:r>
      <w:r w:rsidRPr="00213A5D">
        <w:rPr>
          <w:rFonts w:eastAsia="Times New Roman"/>
          <w:sz w:val="24"/>
          <w:szCs w:val="24"/>
        </w:rPr>
        <w:t> </w:t>
      </w:r>
      <w:r w:rsidR="001328DC" w:rsidRPr="00213A5D">
        <w:rPr>
          <w:rFonts w:eastAsia="Times New Roman"/>
          <w:sz w:val="24"/>
          <w:szCs w:val="24"/>
        </w:rPr>
        <w:t xml:space="preserve">Распределение бюджетных ассигнований, предусмотренных сводной росписью, на предоставление 30 </w:t>
      </w:r>
      <w:r w:rsidR="001328DC" w:rsidRPr="00213A5D">
        <w:rPr>
          <w:rFonts w:eastAsia="Times New Roman"/>
          <w:b/>
          <w:sz w:val="24"/>
          <w:szCs w:val="24"/>
        </w:rPr>
        <w:t>взносов в уставные капиталы</w:t>
      </w:r>
      <w:r w:rsidR="001328DC" w:rsidRPr="00213A5D">
        <w:rPr>
          <w:rFonts w:eastAsia="Times New Roman"/>
          <w:sz w:val="24"/>
          <w:szCs w:val="24"/>
        </w:rPr>
        <w:t xml:space="preserve"> 24 акционерных обществ (далее – АО), 29 </w:t>
      </w:r>
      <w:r w:rsidR="001328DC" w:rsidRPr="00213A5D">
        <w:rPr>
          <w:rFonts w:eastAsia="Times New Roman"/>
          <w:b/>
          <w:sz w:val="24"/>
          <w:szCs w:val="24"/>
        </w:rPr>
        <w:t xml:space="preserve">имущественных взносов </w:t>
      </w:r>
      <w:r w:rsidR="001328DC" w:rsidRPr="00213A5D">
        <w:rPr>
          <w:rFonts w:eastAsia="Times New Roman"/>
          <w:sz w:val="24"/>
          <w:szCs w:val="24"/>
        </w:rPr>
        <w:t xml:space="preserve">Российской Федерации в государственные корпорации (ВЭБ.РФ, Фонд содействия реформированию жилищно-коммунального хозяйства, «Ростех», «Роскосмос»), публично-правовые компании («Фонд развития территорий», «Российский экологический оператор», «Единый заказчик в сфере строительства»), государственную компанию «Российские автомобильные дороги» и 6 субсидий на выполнение возложенных полномочий и осуществление деятельности </w:t>
      </w:r>
      <w:r w:rsidR="001328DC" w:rsidRPr="00213A5D">
        <w:rPr>
          <w:rFonts w:eastAsia="Times New Roman"/>
          <w:bCs/>
          <w:sz w:val="24"/>
          <w:szCs w:val="24"/>
        </w:rPr>
        <w:t xml:space="preserve">государственных корпораций («ВЭБ.РФ») и </w:t>
      </w:r>
      <w:r w:rsidR="001328DC" w:rsidRPr="00213A5D">
        <w:rPr>
          <w:rFonts w:eastAsia="Times New Roman"/>
          <w:sz w:val="24"/>
          <w:szCs w:val="24"/>
        </w:rPr>
        <w:t>Госкомпании</w:t>
      </w:r>
      <w:r w:rsidR="001328DC" w:rsidRPr="00213A5D">
        <w:rPr>
          <w:rFonts w:eastAsia="Times New Roman"/>
          <w:sz w:val="24"/>
          <w:szCs w:val="24"/>
          <w:lang w:val="en-US"/>
        </w:rPr>
        <w:t> </w:t>
      </w:r>
      <w:r w:rsidR="001328DC" w:rsidRPr="00213A5D">
        <w:rPr>
          <w:rFonts w:eastAsia="Times New Roman"/>
          <w:sz w:val="24"/>
          <w:szCs w:val="24"/>
        </w:rPr>
        <w:t>«Автодор» на 2022 год в общей сумме</w:t>
      </w:r>
      <w:r w:rsidR="001328DC" w:rsidRPr="00213A5D">
        <w:rPr>
          <w:rFonts w:eastAsia="Times New Roman"/>
          <w:b/>
          <w:sz w:val="24"/>
          <w:szCs w:val="24"/>
        </w:rPr>
        <w:t xml:space="preserve"> 730 100,7 млн. рублей</w:t>
      </w:r>
      <w:r w:rsidR="001328DC" w:rsidRPr="00213A5D">
        <w:rPr>
          <w:rFonts w:eastAsia="Times New Roman"/>
          <w:sz w:val="24"/>
          <w:szCs w:val="24"/>
        </w:rPr>
        <w:t xml:space="preserve"> представлено на следующей диаграмме.</w:t>
      </w:r>
    </w:p>
    <w:p w14:paraId="3D070042" w14:textId="77777777" w:rsidR="001E0D26" w:rsidRPr="00213A5D" w:rsidRDefault="00CD0E98" w:rsidP="00CD30FE">
      <w:pPr>
        <w:widowControl w:val="0"/>
        <w:spacing w:line="240" w:lineRule="auto"/>
        <w:ind w:left="0" w:right="0" w:firstLine="0"/>
        <w:jc w:val="center"/>
        <w:rPr>
          <w:rFonts w:eastAsia="Times New Roman"/>
          <w:sz w:val="16"/>
          <w:szCs w:val="16"/>
        </w:rPr>
      </w:pPr>
      <w:r w:rsidRPr="00CD0E98">
        <w:rPr>
          <w:b/>
          <w:noProof/>
          <w:color w:val="000000"/>
          <w:sz w:val="24"/>
          <w:szCs w:val="24"/>
        </w:rPr>
        <w:pict w14:anchorId="60988F15">
          <v:shape id="_x0000_i1040" type="#_x0000_t75" alt="" style="width:393.95pt;height:158.95pt;mso-width-percent:0;mso-height-percent:0;mso-width-percent:0;mso-height-percent:0">
            <v:imagedata r:id="rId64" o:title=""/>
          </v:shape>
        </w:pict>
      </w:r>
    </w:p>
    <w:p w14:paraId="50A1B75F" w14:textId="77777777" w:rsidR="001328DC" w:rsidRPr="00213A5D" w:rsidRDefault="001328DC" w:rsidP="00AF1852">
      <w:pPr>
        <w:widowControl w:val="0"/>
        <w:ind w:left="0" w:right="0"/>
        <w:rPr>
          <w:sz w:val="24"/>
          <w:szCs w:val="24"/>
        </w:rPr>
      </w:pPr>
      <w:r w:rsidRPr="00213A5D">
        <w:rPr>
          <w:sz w:val="24"/>
          <w:szCs w:val="24"/>
        </w:rPr>
        <w:t>По состоянию на 1 октября 2022 года кассовое</w:t>
      </w:r>
      <w:r w:rsidRPr="00213A5D">
        <w:rPr>
          <w:b/>
          <w:sz w:val="24"/>
          <w:szCs w:val="24"/>
        </w:rPr>
        <w:t xml:space="preserve"> исполнение расходов на взносы в уставные капиталы АО, имущественные взносы и субсидии госкорпорациям (госкомпании)</w:t>
      </w:r>
      <w:r w:rsidRPr="00213A5D">
        <w:rPr>
          <w:rFonts w:eastAsia="Times New Roman"/>
          <w:sz w:val="24"/>
          <w:szCs w:val="24"/>
        </w:rPr>
        <w:t xml:space="preserve"> (далее – ГК)</w:t>
      </w:r>
      <w:r w:rsidRPr="00213A5D">
        <w:rPr>
          <w:b/>
          <w:sz w:val="24"/>
          <w:szCs w:val="24"/>
        </w:rPr>
        <w:t xml:space="preserve">, публично-правовым компаниям </w:t>
      </w:r>
      <w:r w:rsidRPr="00213A5D">
        <w:rPr>
          <w:rFonts w:eastAsia="Times New Roman"/>
          <w:sz w:val="24"/>
          <w:szCs w:val="24"/>
        </w:rPr>
        <w:t>(далее – ППК)</w:t>
      </w:r>
      <w:r w:rsidRPr="00213A5D">
        <w:rPr>
          <w:b/>
          <w:sz w:val="24"/>
          <w:szCs w:val="24"/>
        </w:rPr>
        <w:t xml:space="preserve"> в целом составило 517 640,0 млн. рублей</w:t>
      </w:r>
      <w:r w:rsidRPr="00213A5D">
        <w:rPr>
          <w:sz w:val="24"/>
          <w:szCs w:val="24"/>
        </w:rPr>
        <w:t>, или</w:t>
      </w:r>
      <w:r w:rsidRPr="00213A5D">
        <w:rPr>
          <w:b/>
          <w:sz w:val="24"/>
          <w:szCs w:val="24"/>
        </w:rPr>
        <w:t xml:space="preserve"> 70,9 % </w:t>
      </w:r>
      <w:r w:rsidRPr="00213A5D">
        <w:rPr>
          <w:sz w:val="24"/>
          <w:szCs w:val="24"/>
        </w:rPr>
        <w:t>показателя сводной росписи (с изменениями),</w:t>
      </w:r>
      <w:r w:rsidRPr="00213A5D">
        <w:rPr>
          <w:bCs/>
          <w:color w:val="000000"/>
          <w:sz w:val="24"/>
          <w:szCs w:val="24"/>
          <w:lang w:bidi="en-US"/>
        </w:rPr>
        <w:t xml:space="preserve"> </w:t>
      </w:r>
      <w:r w:rsidRPr="00213A5D">
        <w:rPr>
          <w:bCs/>
          <w:sz w:val="24"/>
          <w:szCs w:val="24"/>
        </w:rPr>
        <w:t xml:space="preserve">что </w:t>
      </w:r>
      <w:r w:rsidRPr="00213A5D">
        <w:rPr>
          <w:b/>
          <w:bCs/>
          <w:sz w:val="24"/>
          <w:szCs w:val="24"/>
        </w:rPr>
        <w:t xml:space="preserve">выше </w:t>
      </w:r>
      <w:r w:rsidRPr="00213A5D">
        <w:rPr>
          <w:bCs/>
          <w:sz w:val="24"/>
          <w:szCs w:val="24"/>
        </w:rPr>
        <w:t xml:space="preserve">уровня исполнения соответствующих расходов за аналогичный период прошлого года </w:t>
      </w:r>
      <w:r w:rsidRPr="00213A5D">
        <w:rPr>
          <w:b/>
          <w:bCs/>
          <w:sz w:val="24"/>
          <w:szCs w:val="24"/>
        </w:rPr>
        <w:t>в 1,5 раза,</w:t>
      </w:r>
      <w:r w:rsidRPr="00213A5D">
        <w:rPr>
          <w:bCs/>
          <w:sz w:val="24"/>
          <w:szCs w:val="24"/>
        </w:rPr>
        <w:t xml:space="preserve"> или на 182 595,0 млн. рублей.</w:t>
      </w:r>
    </w:p>
    <w:p w14:paraId="670497B8" w14:textId="77777777" w:rsidR="001328DC" w:rsidRPr="00213A5D" w:rsidRDefault="001328DC" w:rsidP="00AF1852">
      <w:pPr>
        <w:widowControl w:val="0"/>
        <w:ind w:left="0" w:right="0"/>
        <w:rPr>
          <w:sz w:val="24"/>
          <w:szCs w:val="24"/>
        </w:rPr>
      </w:pPr>
      <w:r w:rsidRPr="00213A5D">
        <w:rPr>
          <w:sz w:val="24"/>
          <w:szCs w:val="24"/>
        </w:rPr>
        <w:t>Кассовое исполнение бюджетных ассигнований на указанные цели в разрезе организаций представлено в следующей таблице.</w:t>
      </w:r>
    </w:p>
    <w:p w14:paraId="363D5060" w14:textId="77777777" w:rsidR="00A47E93" w:rsidRPr="00213A5D" w:rsidRDefault="00A47E93" w:rsidP="00AF1852">
      <w:pPr>
        <w:widowControl w:val="0"/>
        <w:tabs>
          <w:tab w:val="left" w:pos="9639"/>
        </w:tabs>
        <w:spacing w:line="240" w:lineRule="auto"/>
        <w:ind w:right="-2"/>
        <w:jc w:val="right"/>
        <w:rPr>
          <w:sz w:val="20"/>
          <w:szCs w:val="20"/>
        </w:rPr>
      </w:pPr>
      <w:r w:rsidRPr="00213A5D">
        <w:rPr>
          <w:sz w:val="20"/>
          <w:szCs w:val="20"/>
        </w:rPr>
        <w:t>(мл</w:t>
      </w:r>
      <w:r w:rsidR="001328DC" w:rsidRPr="00213A5D">
        <w:rPr>
          <w:sz w:val="20"/>
          <w:szCs w:val="20"/>
        </w:rPr>
        <w:t>н</w:t>
      </w:r>
      <w:r w:rsidRPr="00213A5D">
        <w:rPr>
          <w:sz w:val="20"/>
          <w:szCs w:val="20"/>
        </w:rPr>
        <w:t>. рублей)</w:t>
      </w:r>
    </w:p>
    <w:tbl>
      <w:tblPr>
        <w:tblW w:w="9660" w:type="dxa"/>
        <w:tblInd w:w="93" w:type="dxa"/>
        <w:tblLayout w:type="fixed"/>
        <w:tblLook w:val="04A0" w:firstRow="1" w:lastRow="0" w:firstColumn="1" w:lastColumn="0" w:noHBand="0" w:noVBand="1"/>
      </w:tblPr>
      <w:tblGrid>
        <w:gridCol w:w="3984"/>
        <w:gridCol w:w="1563"/>
        <w:gridCol w:w="1276"/>
        <w:gridCol w:w="1561"/>
        <w:gridCol w:w="1276"/>
      </w:tblGrid>
      <w:tr w:rsidR="001328DC" w:rsidRPr="00213A5D" w14:paraId="4674D45F" w14:textId="77777777" w:rsidTr="007139AD">
        <w:trPr>
          <w:trHeight w:val="56"/>
          <w:tblHeader/>
        </w:trPr>
        <w:tc>
          <w:tcPr>
            <w:tcW w:w="3984" w:type="dxa"/>
            <w:vMerge w:val="restart"/>
            <w:tcBorders>
              <w:top w:val="single" w:sz="4" w:space="0" w:color="auto"/>
              <w:left w:val="single" w:sz="4" w:space="0" w:color="auto"/>
              <w:bottom w:val="single" w:sz="4" w:space="0" w:color="auto"/>
              <w:right w:val="single" w:sz="4" w:space="0" w:color="auto"/>
            </w:tcBorders>
            <w:vAlign w:val="center"/>
            <w:hideMark/>
          </w:tcPr>
          <w:p w14:paraId="6941473E" w14:textId="77777777" w:rsidR="001328DC" w:rsidRPr="00213A5D" w:rsidRDefault="001328DC" w:rsidP="00AF1852">
            <w:pPr>
              <w:widowControl w:val="0"/>
              <w:overflowPunct/>
              <w:autoSpaceDE/>
              <w:adjustRightInd/>
              <w:spacing w:line="240" w:lineRule="auto"/>
              <w:ind w:left="0" w:right="0" w:firstLine="0"/>
              <w:jc w:val="center"/>
              <w:rPr>
                <w:rFonts w:eastAsia="Times New Roman"/>
                <w:bCs/>
                <w:sz w:val="16"/>
                <w:szCs w:val="16"/>
              </w:rPr>
            </w:pPr>
            <w:r w:rsidRPr="00213A5D">
              <w:rPr>
                <w:rFonts w:eastAsia="Times New Roman"/>
                <w:bCs/>
                <w:sz w:val="16"/>
                <w:szCs w:val="16"/>
                <w:lang w:eastAsia="en-US"/>
              </w:rPr>
              <w:t>Наименование</w:t>
            </w:r>
          </w:p>
        </w:tc>
        <w:tc>
          <w:tcPr>
            <w:tcW w:w="2839" w:type="dxa"/>
            <w:gridSpan w:val="2"/>
            <w:tcBorders>
              <w:top w:val="single" w:sz="4" w:space="0" w:color="auto"/>
              <w:left w:val="nil"/>
              <w:bottom w:val="single" w:sz="4" w:space="0" w:color="auto"/>
              <w:right w:val="single" w:sz="4" w:space="0" w:color="auto"/>
            </w:tcBorders>
            <w:vAlign w:val="center"/>
            <w:hideMark/>
          </w:tcPr>
          <w:p w14:paraId="08570399" w14:textId="77777777" w:rsidR="001328DC" w:rsidRPr="00213A5D" w:rsidRDefault="001328DC" w:rsidP="00AF1852">
            <w:pPr>
              <w:widowControl w:val="0"/>
              <w:overflowPunct/>
              <w:autoSpaceDE/>
              <w:adjustRightInd/>
              <w:spacing w:line="240" w:lineRule="auto"/>
              <w:ind w:left="0" w:right="0" w:firstLine="0"/>
              <w:jc w:val="center"/>
              <w:rPr>
                <w:rFonts w:eastAsia="Times New Roman"/>
                <w:bCs/>
                <w:sz w:val="16"/>
                <w:szCs w:val="16"/>
                <w:lang w:eastAsia="en-US"/>
              </w:rPr>
            </w:pPr>
            <w:r w:rsidRPr="00213A5D">
              <w:rPr>
                <w:rFonts w:eastAsia="Times New Roman"/>
                <w:bCs/>
                <w:sz w:val="16"/>
                <w:szCs w:val="16"/>
                <w:lang w:eastAsia="en-US"/>
              </w:rPr>
              <w:t>Сводная роспись с изменениями</w:t>
            </w:r>
          </w:p>
        </w:tc>
        <w:tc>
          <w:tcPr>
            <w:tcW w:w="2837" w:type="dxa"/>
            <w:gridSpan w:val="2"/>
            <w:tcBorders>
              <w:top w:val="single" w:sz="4" w:space="0" w:color="auto"/>
              <w:left w:val="nil"/>
              <w:bottom w:val="single" w:sz="4" w:space="0" w:color="auto"/>
              <w:right w:val="single" w:sz="4" w:space="0" w:color="auto"/>
            </w:tcBorders>
            <w:vAlign w:val="center"/>
            <w:hideMark/>
          </w:tcPr>
          <w:p w14:paraId="0D31B18B" w14:textId="77777777" w:rsidR="001328DC" w:rsidRPr="00213A5D" w:rsidRDefault="001328DC" w:rsidP="00AF1852">
            <w:pPr>
              <w:widowControl w:val="0"/>
              <w:overflowPunct/>
              <w:autoSpaceDE/>
              <w:adjustRightInd/>
              <w:spacing w:line="240" w:lineRule="auto"/>
              <w:ind w:left="0" w:right="0" w:firstLine="0"/>
              <w:jc w:val="center"/>
              <w:rPr>
                <w:rFonts w:eastAsia="Times New Roman"/>
                <w:bCs/>
                <w:sz w:val="16"/>
                <w:szCs w:val="16"/>
                <w:lang w:eastAsia="en-US"/>
              </w:rPr>
            </w:pPr>
            <w:r w:rsidRPr="00213A5D">
              <w:rPr>
                <w:rFonts w:eastAsia="Times New Roman"/>
                <w:bCs/>
                <w:sz w:val="16"/>
                <w:szCs w:val="16"/>
                <w:lang w:eastAsia="en-US"/>
              </w:rPr>
              <w:t>Кассовое исполнение</w:t>
            </w:r>
          </w:p>
        </w:tc>
      </w:tr>
      <w:tr w:rsidR="001328DC" w:rsidRPr="00213A5D" w14:paraId="32FD2354" w14:textId="77777777" w:rsidTr="00C01B0D">
        <w:trPr>
          <w:trHeight w:val="262"/>
          <w:tblHeader/>
        </w:trPr>
        <w:tc>
          <w:tcPr>
            <w:tcW w:w="3984" w:type="dxa"/>
            <w:vMerge/>
            <w:tcBorders>
              <w:top w:val="single" w:sz="4" w:space="0" w:color="auto"/>
              <w:left w:val="single" w:sz="4" w:space="0" w:color="auto"/>
              <w:bottom w:val="single" w:sz="4" w:space="0" w:color="auto"/>
              <w:right w:val="single" w:sz="4" w:space="0" w:color="auto"/>
            </w:tcBorders>
            <w:vAlign w:val="center"/>
            <w:hideMark/>
          </w:tcPr>
          <w:p w14:paraId="0B04272B" w14:textId="77777777" w:rsidR="001328DC" w:rsidRPr="00213A5D" w:rsidRDefault="001328DC" w:rsidP="00AF1852">
            <w:pPr>
              <w:widowControl w:val="0"/>
              <w:overflowPunct/>
              <w:autoSpaceDE/>
              <w:autoSpaceDN/>
              <w:adjustRightInd/>
              <w:spacing w:line="240" w:lineRule="auto"/>
              <w:ind w:left="0" w:right="0" w:firstLine="0"/>
              <w:jc w:val="left"/>
              <w:rPr>
                <w:rFonts w:eastAsia="Times New Roman"/>
                <w:bCs/>
                <w:sz w:val="16"/>
                <w:szCs w:val="16"/>
              </w:rPr>
            </w:pPr>
          </w:p>
        </w:tc>
        <w:tc>
          <w:tcPr>
            <w:tcW w:w="1563" w:type="dxa"/>
            <w:tcBorders>
              <w:top w:val="single" w:sz="4" w:space="0" w:color="auto"/>
              <w:left w:val="nil"/>
              <w:bottom w:val="single" w:sz="4" w:space="0" w:color="auto"/>
              <w:right w:val="single" w:sz="4" w:space="0" w:color="auto"/>
            </w:tcBorders>
            <w:vAlign w:val="center"/>
            <w:hideMark/>
          </w:tcPr>
          <w:p w14:paraId="395F4A41" w14:textId="77777777" w:rsidR="001328DC" w:rsidRPr="00213A5D" w:rsidRDefault="001328DC" w:rsidP="00AF1852">
            <w:pPr>
              <w:widowControl w:val="0"/>
              <w:overflowPunct/>
              <w:autoSpaceDE/>
              <w:adjustRightInd/>
              <w:spacing w:line="240" w:lineRule="auto"/>
              <w:ind w:left="0" w:right="0" w:firstLine="0"/>
              <w:jc w:val="center"/>
              <w:rPr>
                <w:rFonts w:eastAsia="Times New Roman"/>
                <w:bCs/>
                <w:sz w:val="16"/>
                <w:szCs w:val="16"/>
              </w:rPr>
            </w:pPr>
            <w:r w:rsidRPr="00213A5D">
              <w:rPr>
                <w:rFonts w:eastAsia="Times New Roman"/>
                <w:bCs/>
                <w:sz w:val="16"/>
                <w:szCs w:val="16"/>
                <w:lang w:eastAsia="en-US"/>
              </w:rPr>
              <w:t>сумма</w:t>
            </w:r>
          </w:p>
        </w:tc>
        <w:tc>
          <w:tcPr>
            <w:tcW w:w="1276" w:type="dxa"/>
            <w:tcBorders>
              <w:top w:val="single" w:sz="4" w:space="0" w:color="auto"/>
              <w:left w:val="nil"/>
              <w:bottom w:val="single" w:sz="4" w:space="0" w:color="auto"/>
              <w:right w:val="single" w:sz="4" w:space="0" w:color="auto"/>
            </w:tcBorders>
            <w:vAlign w:val="center"/>
            <w:hideMark/>
          </w:tcPr>
          <w:p w14:paraId="17B06AD8" w14:textId="77777777" w:rsidR="001328DC" w:rsidRPr="00213A5D" w:rsidRDefault="001328DC" w:rsidP="00AF1852">
            <w:pPr>
              <w:widowControl w:val="0"/>
              <w:overflowPunct/>
              <w:autoSpaceDE/>
              <w:adjustRightInd/>
              <w:spacing w:line="240" w:lineRule="auto"/>
              <w:ind w:left="0" w:right="0" w:firstLine="0"/>
              <w:jc w:val="center"/>
              <w:rPr>
                <w:rFonts w:eastAsia="Times New Roman"/>
                <w:bCs/>
                <w:sz w:val="16"/>
                <w:szCs w:val="16"/>
              </w:rPr>
            </w:pPr>
            <w:r w:rsidRPr="00213A5D">
              <w:rPr>
                <w:rFonts w:eastAsia="Times New Roman"/>
                <w:bCs/>
                <w:sz w:val="16"/>
                <w:szCs w:val="16"/>
                <w:lang w:eastAsia="en-US"/>
              </w:rPr>
              <w:t>структура, в %</w:t>
            </w:r>
          </w:p>
        </w:tc>
        <w:tc>
          <w:tcPr>
            <w:tcW w:w="1561" w:type="dxa"/>
            <w:tcBorders>
              <w:top w:val="single" w:sz="4" w:space="0" w:color="auto"/>
              <w:left w:val="nil"/>
              <w:bottom w:val="single" w:sz="4" w:space="0" w:color="auto"/>
              <w:right w:val="single" w:sz="4" w:space="0" w:color="auto"/>
            </w:tcBorders>
            <w:vAlign w:val="center"/>
            <w:hideMark/>
          </w:tcPr>
          <w:p w14:paraId="65FFA207" w14:textId="77777777" w:rsidR="001328DC" w:rsidRPr="00213A5D" w:rsidRDefault="001328DC" w:rsidP="00AF1852">
            <w:pPr>
              <w:widowControl w:val="0"/>
              <w:overflowPunct/>
              <w:autoSpaceDE/>
              <w:adjustRightInd/>
              <w:spacing w:line="240" w:lineRule="auto"/>
              <w:ind w:left="0" w:right="0" w:firstLine="0"/>
              <w:jc w:val="center"/>
              <w:rPr>
                <w:rFonts w:eastAsia="Times New Roman"/>
                <w:bCs/>
                <w:sz w:val="16"/>
                <w:szCs w:val="16"/>
              </w:rPr>
            </w:pPr>
            <w:r w:rsidRPr="00213A5D">
              <w:rPr>
                <w:rFonts w:eastAsia="Times New Roman"/>
                <w:bCs/>
                <w:sz w:val="16"/>
                <w:szCs w:val="16"/>
                <w:lang w:eastAsia="en-US"/>
              </w:rPr>
              <w:t>сумма</w:t>
            </w:r>
          </w:p>
        </w:tc>
        <w:tc>
          <w:tcPr>
            <w:tcW w:w="1276" w:type="dxa"/>
            <w:tcBorders>
              <w:top w:val="single" w:sz="4" w:space="0" w:color="auto"/>
              <w:left w:val="nil"/>
              <w:bottom w:val="single" w:sz="4" w:space="0" w:color="auto"/>
              <w:right w:val="single" w:sz="4" w:space="0" w:color="auto"/>
            </w:tcBorders>
            <w:vAlign w:val="center"/>
            <w:hideMark/>
          </w:tcPr>
          <w:p w14:paraId="1AF7E446" w14:textId="77777777" w:rsidR="001328DC" w:rsidRPr="00213A5D" w:rsidRDefault="001328DC" w:rsidP="00AF1852">
            <w:pPr>
              <w:widowControl w:val="0"/>
              <w:overflowPunct/>
              <w:autoSpaceDE/>
              <w:adjustRightInd/>
              <w:spacing w:line="240" w:lineRule="auto"/>
              <w:ind w:left="0" w:right="0" w:firstLine="0"/>
              <w:jc w:val="center"/>
              <w:rPr>
                <w:rFonts w:eastAsia="Times New Roman"/>
                <w:bCs/>
                <w:sz w:val="16"/>
                <w:szCs w:val="16"/>
              </w:rPr>
            </w:pPr>
            <w:r w:rsidRPr="00213A5D">
              <w:rPr>
                <w:rFonts w:eastAsia="Times New Roman"/>
                <w:bCs/>
                <w:sz w:val="16"/>
                <w:szCs w:val="16"/>
                <w:lang w:eastAsia="en-US"/>
              </w:rPr>
              <w:t>% сводной росписи с изменениями</w:t>
            </w:r>
          </w:p>
        </w:tc>
      </w:tr>
      <w:tr w:rsidR="001328DC" w:rsidRPr="00213A5D" w14:paraId="59F5C19C" w14:textId="77777777" w:rsidTr="00C01B0D">
        <w:trPr>
          <w:trHeight w:val="70"/>
          <w:tblHeader/>
        </w:trPr>
        <w:tc>
          <w:tcPr>
            <w:tcW w:w="3984" w:type="dxa"/>
            <w:tcBorders>
              <w:top w:val="single" w:sz="4" w:space="0" w:color="auto"/>
              <w:left w:val="single" w:sz="4" w:space="0" w:color="auto"/>
              <w:bottom w:val="single" w:sz="4" w:space="0" w:color="auto"/>
              <w:right w:val="single" w:sz="4" w:space="0" w:color="auto"/>
            </w:tcBorders>
            <w:vAlign w:val="center"/>
            <w:hideMark/>
          </w:tcPr>
          <w:p w14:paraId="34411573" w14:textId="77777777" w:rsidR="001328DC" w:rsidRPr="00213A5D" w:rsidRDefault="001328DC" w:rsidP="00AF1852">
            <w:pPr>
              <w:widowControl w:val="0"/>
              <w:overflowPunct/>
              <w:autoSpaceDE/>
              <w:adjustRightInd/>
              <w:spacing w:line="240" w:lineRule="auto"/>
              <w:ind w:left="0" w:right="0" w:firstLine="0"/>
              <w:jc w:val="center"/>
              <w:rPr>
                <w:rFonts w:eastAsia="Times New Roman"/>
                <w:sz w:val="14"/>
                <w:szCs w:val="14"/>
              </w:rPr>
            </w:pPr>
            <w:r w:rsidRPr="00213A5D">
              <w:rPr>
                <w:rFonts w:eastAsia="Times New Roman"/>
                <w:sz w:val="14"/>
                <w:szCs w:val="14"/>
                <w:lang w:eastAsia="en-US"/>
              </w:rPr>
              <w:t>1</w:t>
            </w:r>
          </w:p>
        </w:tc>
        <w:tc>
          <w:tcPr>
            <w:tcW w:w="1563" w:type="dxa"/>
            <w:tcBorders>
              <w:top w:val="single" w:sz="4" w:space="0" w:color="auto"/>
              <w:left w:val="nil"/>
              <w:bottom w:val="single" w:sz="4" w:space="0" w:color="auto"/>
              <w:right w:val="single" w:sz="4" w:space="0" w:color="auto"/>
            </w:tcBorders>
            <w:vAlign w:val="center"/>
            <w:hideMark/>
          </w:tcPr>
          <w:p w14:paraId="3FE09EA4" w14:textId="77777777" w:rsidR="001328DC" w:rsidRPr="00213A5D" w:rsidRDefault="001328DC" w:rsidP="00AF1852">
            <w:pPr>
              <w:widowControl w:val="0"/>
              <w:overflowPunct/>
              <w:autoSpaceDE/>
              <w:adjustRightInd/>
              <w:spacing w:line="240" w:lineRule="auto"/>
              <w:ind w:left="0" w:right="0" w:firstLine="0"/>
              <w:jc w:val="center"/>
              <w:rPr>
                <w:rFonts w:eastAsia="Times New Roman"/>
                <w:sz w:val="14"/>
                <w:szCs w:val="14"/>
              </w:rPr>
            </w:pPr>
            <w:r w:rsidRPr="00213A5D">
              <w:rPr>
                <w:rFonts w:eastAsia="Times New Roman"/>
                <w:sz w:val="14"/>
                <w:szCs w:val="14"/>
                <w:lang w:eastAsia="en-US"/>
              </w:rPr>
              <w:t>2</w:t>
            </w:r>
          </w:p>
        </w:tc>
        <w:tc>
          <w:tcPr>
            <w:tcW w:w="1276" w:type="dxa"/>
            <w:tcBorders>
              <w:top w:val="single" w:sz="4" w:space="0" w:color="auto"/>
              <w:left w:val="nil"/>
              <w:bottom w:val="single" w:sz="4" w:space="0" w:color="auto"/>
              <w:right w:val="single" w:sz="4" w:space="0" w:color="auto"/>
            </w:tcBorders>
            <w:vAlign w:val="center"/>
            <w:hideMark/>
          </w:tcPr>
          <w:p w14:paraId="2732C675" w14:textId="77777777" w:rsidR="001328DC" w:rsidRPr="00213A5D" w:rsidRDefault="001328DC" w:rsidP="00AF1852">
            <w:pPr>
              <w:widowControl w:val="0"/>
              <w:overflowPunct/>
              <w:autoSpaceDE/>
              <w:adjustRightInd/>
              <w:spacing w:line="240" w:lineRule="auto"/>
              <w:ind w:left="0" w:right="0" w:firstLine="0"/>
              <w:jc w:val="center"/>
              <w:rPr>
                <w:rFonts w:eastAsia="Times New Roman"/>
                <w:sz w:val="14"/>
                <w:szCs w:val="14"/>
              </w:rPr>
            </w:pPr>
            <w:r w:rsidRPr="00213A5D">
              <w:rPr>
                <w:rFonts w:eastAsia="Times New Roman"/>
                <w:sz w:val="14"/>
                <w:szCs w:val="14"/>
                <w:lang w:eastAsia="en-US"/>
              </w:rPr>
              <w:t>3</w:t>
            </w:r>
          </w:p>
        </w:tc>
        <w:tc>
          <w:tcPr>
            <w:tcW w:w="1561" w:type="dxa"/>
            <w:tcBorders>
              <w:top w:val="single" w:sz="4" w:space="0" w:color="auto"/>
              <w:left w:val="nil"/>
              <w:bottom w:val="single" w:sz="4" w:space="0" w:color="auto"/>
              <w:right w:val="single" w:sz="4" w:space="0" w:color="auto"/>
            </w:tcBorders>
            <w:vAlign w:val="center"/>
            <w:hideMark/>
          </w:tcPr>
          <w:p w14:paraId="61F437EA" w14:textId="77777777" w:rsidR="001328DC" w:rsidRPr="00213A5D" w:rsidRDefault="001328DC" w:rsidP="00AF1852">
            <w:pPr>
              <w:widowControl w:val="0"/>
              <w:overflowPunct/>
              <w:autoSpaceDE/>
              <w:adjustRightInd/>
              <w:spacing w:line="240" w:lineRule="auto"/>
              <w:ind w:left="0" w:right="0" w:firstLine="0"/>
              <w:jc w:val="center"/>
              <w:rPr>
                <w:rFonts w:eastAsia="Times New Roman"/>
                <w:sz w:val="14"/>
                <w:szCs w:val="14"/>
              </w:rPr>
            </w:pPr>
            <w:r w:rsidRPr="00213A5D">
              <w:rPr>
                <w:rFonts w:eastAsia="Times New Roman"/>
                <w:sz w:val="14"/>
                <w:szCs w:val="14"/>
                <w:lang w:eastAsia="en-US"/>
              </w:rPr>
              <w:t>4</w:t>
            </w:r>
          </w:p>
        </w:tc>
        <w:tc>
          <w:tcPr>
            <w:tcW w:w="1276" w:type="dxa"/>
            <w:tcBorders>
              <w:top w:val="single" w:sz="4" w:space="0" w:color="auto"/>
              <w:left w:val="nil"/>
              <w:bottom w:val="single" w:sz="4" w:space="0" w:color="auto"/>
              <w:right w:val="single" w:sz="4" w:space="0" w:color="auto"/>
            </w:tcBorders>
            <w:vAlign w:val="center"/>
            <w:hideMark/>
          </w:tcPr>
          <w:p w14:paraId="7111FBCC" w14:textId="77777777" w:rsidR="001328DC" w:rsidRPr="00213A5D" w:rsidRDefault="001328DC" w:rsidP="00AF1852">
            <w:pPr>
              <w:widowControl w:val="0"/>
              <w:overflowPunct/>
              <w:autoSpaceDE/>
              <w:adjustRightInd/>
              <w:spacing w:line="240" w:lineRule="auto"/>
              <w:ind w:left="0" w:right="0" w:firstLine="0"/>
              <w:jc w:val="center"/>
              <w:rPr>
                <w:rFonts w:eastAsia="Times New Roman"/>
                <w:sz w:val="14"/>
                <w:szCs w:val="14"/>
              </w:rPr>
            </w:pPr>
            <w:r w:rsidRPr="00213A5D">
              <w:rPr>
                <w:rFonts w:eastAsia="Times New Roman"/>
                <w:sz w:val="14"/>
                <w:szCs w:val="14"/>
                <w:lang w:eastAsia="en-US"/>
              </w:rPr>
              <w:t>5</w:t>
            </w:r>
          </w:p>
        </w:tc>
      </w:tr>
      <w:tr w:rsidR="001328DC" w:rsidRPr="00213A5D" w14:paraId="73739678" w14:textId="77777777" w:rsidTr="00C01B0D">
        <w:trPr>
          <w:trHeight w:val="276"/>
        </w:trPr>
        <w:tc>
          <w:tcPr>
            <w:tcW w:w="3984" w:type="dxa"/>
            <w:tcBorders>
              <w:top w:val="single" w:sz="4" w:space="0" w:color="auto"/>
              <w:left w:val="single" w:sz="4" w:space="0" w:color="auto"/>
              <w:bottom w:val="single" w:sz="4" w:space="0" w:color="auto"/>
              <w:right w:val="single" w:sz="4" w:space="0" w:color="auto"/>
            </w:tcBorders>
            <w:vAlign w:val="center"/>
            <w:hideMark/>
          </w:tcPr>
          <w:p w14:paraId="44116B4B" w14:textId="77777777" w:rsidR="001328DC" w:rsidRPr="00213A5D" w:rsidRDefault="001328DC" w:rsidP="00AF1852">
            <w:pPr>
              <w:widowControl w:val="0"/>
              <w:spacing w:line="240" w:lineRule="auto"/>
              <w:ind w:left="0" w:right="0" w:firstLine="0"/>
              <w:rPr>
                <w:b/>
                <w:bCs/>
                <w:sz w:val="20"/>
                <w:szCs w:val="20"/>
              </w:rPr>
            </w:pPr>
            <w:r w:rsidRPr="00213A5D">
              <w:rPr>
                <w:b/>
                <w:bCs/>
                <w:sz w:val="20"/>
                <w:szCs w:val="20"/>
              </w:rPr>
              <w:t>Всего</w:t>
            </w:r>
          </w:p>
        </w:tc>
        <w:tc>
          <w:tcPr>
            <w:tcW w:w="1563" w:type="dxa"/>
            <w:tcBorders>
              <w:top w:val="single" w:sz="4" w:space="0" w:color="auto"/>
              <w:left w:val="nil"/>
              <w:bottom w:val="single" w:sz="4" w:space="0" w:color="auto"/>
              <w:right w:val="single" w:sz="4" w:space="0" w:color="auto"/>
            </w:tcBorders>
            <w:vAlign w:val="center"/>
            <w:hideMark/>
          </w:tcPr>
          <w:p w14:paraId="6B4DEC1E" w14:textId="77777777" w:rsidR="001328DC" w:rsidRPr="00D633AA" w:rsidRDefault="001328DC" w:rsidP="00AF1852">
            <w:pPr>
              <w:widowControl w:val="0"/>
              <w:spacing w:line="240" w:lineRule="auto"/>
              <w:ind w:left="0" w:right="0" w:firstLine="0"/>
              <w:jc w:val="center"/>
              <w:rPr>
                <w:b/>
                <w:sz w:val="20"/>
                <w:szCs w:val="20"/>
              </w:rPr>
            </w:pPr>
            <w:r w:rsidRPr="00D633AA">
              <w:rPr>
                <w:b/>
                <w:sz w:val="20"/>
                <w:szCs w:val="20"/>
              </w:rPr>
              <w:t>730 100,7</w:t>
            </w:r>
          </w:p>
        </w:tc>
        <w:tc>
          <w:tcPr>
            <w:tcW w:w="1276" w:type="dxa"/>
            <w:tcBorders>
              <w:top w:val="single" w:sz="4" w:space="0" w:color="auto"/>
              <w:left w:val="nil"/>
              <w:bottom w:val="single" w:sz="4" w:space="0" w:color="auto"/>
              <w:right w:val="single" w:sz="4" w:space="0" w:color="auto"/>
            </w:tcBorders>
            <w:vAlign w:val="center"/>
            <w:hideMark/>
          </w:tcPr>
          <w:p w14:paraId="27682CDE" w14:textId="77777777" w:rsidR="001328DC" w:rsidRPr="00213A5D" w:rsidRDefault="001328DC" w:rsidP="00AF1852">
            <w:pPr>
              <w:widowControl w:val="0"/>
              <w:spacing w:line="240" w:lineRule="auto"/>
              <w:ind w:left="0" w:right="0" w:firstLine="0"/>
              <w:jc w:val="center"/>
              <w:rPr>
                <w:b/>
                <w:bCs/>
                <w:sz w:val="20"/>
                <w:szCs w:val="20"/>
              </w:rPr>
            </w:pPr>
            <w:r w:rsidRPr="00213A5D">
              <w:rPr>
                <w:b/>
                <w:bCs/>
                <w:sz w:val="20"/>
                <w:szCs w:val="20"/>
              </w:rPr>
              <w:t>100</w:t>
            </w:r>
          </w:p>
        </w:tc>
        <w:tc>
          <w:tcPr>
            <w:tcW w:w="1561" w:type="dxa"/>
            <w:tcBorders>
              <w:top w:val="single" w:sz="4" w:space="0" w:color="auto"/>
              <w:left w:val="nil"/>
              <w:bottom w:val="single" w:sz="4" w:space="0" w:color="auto"/>
              <w:right w:val="single" w:sz="4" w:space="0" w:color="auto"/>
            </w:tcBorders>
            <w:vAlign w:val="center"/>
            <w:hideMark/>
          </w:tcPr>
          <w:p w14:paraId="628DFEC3" w14:textId="77777777" w:rsidR="001328DC" w:rsidRPr="00D633AA" w:rsidRDefault="001328DC" w:rsidP="00AF1852">
            <w:pPr>
              <w:widowControl w:val="0"/>
              <w:spacing w:line="240" w:lineRule="auto"/>
              <w:ind w:left="0" w:right="0" w:firstLine="0"/>
              <w:jc w:val="center"/>
              <w:rPr>
                <w:b/>
                <w:sz w:val="20"/>
                <w:szCs w:val="20"/>
              </w:rPr>
            </w:pPr>
            <w:r w:rsidRPr="00D633AA">
              <w:rPr>
                <w:b/>
                <w:sz w:val="20"/>
                <w:szCs w:val="20"/>
              </w:rPr>
              <w:t>517 640,0</w:t>
            </w:r>
          </w:p>
        </w:tc>
        <w:tc>
          <w:tcPr>
            <w:tcW w:w="1276" w:type="dxa"/>
            <w:tcBorders>
              <w:top w:val="single" w:sz="4" w:space="0" w:color="auto"/>
              <w:left w:val="nil"/>
              <w:bottom w:val="single" w:sz="4" w:space="0" w:color="auto"/>
              <w:right w:val="single" w:sz="4" w:space="0" w:color="auto"/>
            </w:tcBorders>
            <w:vAlign w:val="center"/>
            <w:hideMark/>
          </w:tcPr>
          <w:p w14:paraId="7C736EEE" w14:textId="77777777" w:rsidR="001328DC" w:rsidRPr="00213A5D" w:rsidRDefault="001328DC" w:rsidP="00AF1852">
            <w:pPr>
              <w:widowControl w:val="0"/>
              <w:spacing w:line="240" w:lineRule="auto"/>
              <w:ind w:left="0" w:right="0" w:firstLine="0"/>
              <w:jc w:val="center"/>
              <w:rPr>
                <w:b/>
                <w:bCs/>
                <w:sz w:val="20"/>
                <w:szCs w:val="20"/>
              </w:rPr>
            </w:pPr>
            <w:r w:rsidRPr="00213A5D">
              <w:rPr>
                <w:b/>
                <w:bCs/>
                <w:sz w:val="20"/>
                <w:szCs w:val="20"/>
              </w:rPr>
              <w:t>70,9</w:t>
            </w:r>
          </w:p>
        </w:tc>
      </w:tr>
      <w:tr w:rsidR="001328DC" w:rsidRPr="00213A5D" w14:paraId="1D8A91C5" w14:textId="77777777" w:rsidTr="00C01B0D">
        <w:trPr>
          <w:trHeight w:val="212"/>
        </w:trPr>
        <w:tc>
          <w:tcPr>
            <w:tcW w:w="3984" w:type="dxa"/>
            <w:tcBorders>
              <w:top w:val="nil"/>
              <w:left w:val="single" w:sz="4" w:space="0" w:color="auto"/>
              <w:bottom w:val="single" w:sz="4" w:space="0" w:color="auto"/>
              <w:right w:val="single" w:sz="4" w:space="0" w:color="auto"/>
            </w:tcBorders>
            <w:vAlign w:val="center"/>
            <w:hideMark/>
          </w:tcPr>
          <w:p w14:paraId="34607D18" w14:textId="77777777" w:rsidR="001328DC" w:rsidRPr="00213A5D" w:rsidRDefault="001328DC" w:rsidP="00AF1852">
            <w:pPr>
              <w:widowControl w:val="0"/>
              <w:spacing w:line="240" w:lineRule="auto"/>
              <w:ind w:left="0" w:right="0" w:firstLine="0"/>
              <w:rPr>
                <w:sz w:val="20"/>
                <w:szCs w:val="20"/>
              </w:rPr>
            </w:pPr>
            <w:r w:rsidRPr="00213A5D">
              <w:rPr>
                <w:sz w:val="20"/>
                <w:szCs w:val="20"/>
              </w:rPr>
              <w:t>Госкомпания «Автодор»</w:t>
            </w:r>
          </w:p>
        </w:tc>
        <w:tc>
          <w:tcPr>
            <w:tcW w:w="1563" w:type="dxa"/>
            <w:tcBorders>
              <w:top w:val="nil"/>
              <w:left w:val="nil"/>
              <w:bottom w:val="single" w:sz="4" w:space="0" w:color="auto"/>
              <w:right w:val="single" w:sz="4" w:space="0" w:color="auto"/>
            </w:tcBorders>
            <w:vAlign w:val="center"/>
            <w:hideMark/>
          </w:tcPr>
          <w:p w14:paraId="74ABD32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321 618,4</w:t>
            </w:r>
          </w:p>
        </w:tc>
        <w:tc>
          <w:tcPr>
            <w:tcW w:w="1276" w:type="dxa"/>
            <w:tcBorders>
              <w:top w:val="nil"/>
              <w:left w:val="nil"/>
              <w:bottom w:val="single" w:sz="4" w:space="0" w:color="auto"/>
              <w:right w:val="single" w:sz="4" w:space="0" w:color="auto"/>
            </w:tcBorders>
            <w:vAlign w:val="center"/>
            <w:hideMark/>
          </w:tcPr>
          <w:p w14:paraId="7ED0DD1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44,1</w:t>
            </w:r>
          </w:p>
        </w:tc>
        <w:tc>
          <w:tcPr>
            <w:tcW w:w="1561" w:type="dxa"/>
            <w:tcBorders>
              <w:top w:val="nil"/>
              <w:left w:val="nil"/>
              <w:bottom w:val="single" w:sz="4" w:space="0" w:color="auto"/>
              <w:right w:val="single" w:sz="4" w:space="0" w:color="auto"/>
            </w:tcBorders>
            <w:vAlign w:val="center"/>
            <w:hideMark/>
          </w:tcPr>
          <w:p w14:paraId="2DBF2F8C"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286 495,8</w:t>
            </w:r>
          </w:p>
        </w:tc>
        <w:tc>
          <w:tcPr>
            <w:tcW w:w="1276" w:type="dxa"/>
            <w:tcBorders>
              <w:top w:val="nil"/>
              <w:left w:val="nil"/>
              <w:bottom w:val="single" w:sz="4" w:space="0" w:color="auto"/>
              <w:right w:val="single" w:sz="4" w:space="0" w:color="auto"/>
            </w:tcBorders>
            <w:vAlign w:val="center"/>
            <w:hideMark/>
          </w:tcPr>
          <w:p w14:paraId="1A8FE681"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89,1</w:t>
            </w:r>
          </w:p>
        </w:tc>
      </w:tr>
      <w:tr w:rsidR="001328DC" w:rsidRPr="00213A5D" w14:paraId="320A0736" w14:textId="77777777" w:rsidTr="007139AD">
        <w:trPr>
          <w:trHeight w:val="56"/>
        </w:trPr>
        <w:tc>
          <w:tcPr>
            <w:tcW w:w="3984" w:type="dxa"/>
            <w:tcBorders>
              <w:top w:val="nil"/>
              <w:left w:val="single" w:sz="4" w:space="0" w:color="auto"/>
              <w:bottom w:val="single" w:sz="4" w:space="0" w:color="auto"/>
              <w:right w:val="single" w:sz="4" w:space="0" w:color="auto"/>
            </w:tcBorders>
            <w:vAlign w:val="center"/>
            <w:hideMark/>
          </w:tcPr>
          <w:p w14:paraId="6807012A" w14:textId="77777777" w:rsidR="001328DC" w:rsidRPr="00213A5D" w:rsidRDefault="001328DC" w:rsidP="00AF1852">
            <w:pPr>
              <w:widowControl w:val="0"/>
              <w:spacing w:line="240" w:lineRule="auto"/>
              <w:ind w:left="0" w:right="0" w:firstLine="0"/>
              <w:rPr>
                <w:sz w:val="20"/>
                <w:szCs w:val="20"/>
              </w:rPr>
            </w:pPr>
            <w:r w:rsidRPr="00213A5D">
              <w:rPr>
                <w:sz w:val="20"/>
                <w:szCs w:val="20"/>
              </w:rPr>
              <w:t>Госкорпорация «Фонд содействия реформированию жилищно-коммунального хозяйства» (далее </w:t>
            </w:r>
            <w:r w:rsidRPr="00213A5D">
              <w:t>–</w:t>
            </w:r>
            <w:r w:rsidRPr="00213A5D">
              <w:rPr>
                <w:sz w:val="20"/>
                <w:szCs w:val="20"/>
              </w:rPr>
              <w:t> ГК «Фонд ЖКХ»)</w:t>
            </w:r>
          </w:p>
        </w:tc>
        <w:tc>
          <w:tcPr>
            <w:tcW w:w="1563" w:type="dxa"/>
            <w:tcBorders>
              <w:top w:val="nil"/>
              <w:left w:val="nil"/>
              <w:bottom w:val="single" w:sz="4" w:space="0" w:color="auto"/>
              <w:right w:val="single" w:sz="4" w:space="0" w:color="auto"/>
            </w:tcBorders>
            <w:vAlign w:val="center"/>
            <w:hideMark/>
          </w:tcPr>
          <w:p w14:paraId="6FC496D9"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71 095,9</w:t>
            </w:r>
          </w:p>
        </w:tc>
        <w:tc>
          <w:tcPr>
            <w:tcW w:w="1276" w:type="dxa"/>
            <w:tcBorders>
              <w:top w:val="nil"/>
              <w:left w:val="nil"/>
              <w:bottom w:val="single" w:sz="4" w:space="0" w:color="auto"/>
              <w:right w:val="single" w:sz="4" w:space="0" w:color="auto"/>
            </w:tcBorders>
            <w:vAlign w:val="center"/>
            <w:hideMark/>
          </w:tcPr>
          <w:p w14:paraId="63DC06E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9,7</w:t>
            </w:r>
          </w:p>
        </w:tc>
        <w:tc>
          <w:tcPr>
            <w:tcW w:w="1561" w:type="dxa"/>
            <w:tcBorders>
              <w:top w:val="nil"/>
              <w:left w:val="nil"/>
              <w:bottom w:val="single" w:sz="4" w:space="0" w:color="auto"/>
              <w:right w:val="single" w:sz="4" w:space="0" w:color="auto"/>
            </w:tcBorders>
            <w:vAlign w:val="center"/>
            <w:hideMark/>
          </w:tcPr>
          <w:p w14:paraId="0B02BB4B"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71 095,9</w:t>
            </w:r>
          </w:p>
        </w:tc>
        <w:tc>
          <w:tcPr>
            <w:tcW w:w="1276" w:type="dxa"/>
            <w:tcBorders>
              <w:top w:val="nil"/>
              <w:left w:val="nil"/>
              <w:bottom w:val="single" w:sz="4" w:space="0" w:color="auto"/>
              <w:right w:val="single" w:sz="4" w:space="0" w:color="auto"/>
            </w:tcBorders>
            <w:vAlign w:val="center"/>
            <w:hideMark/>
          </w:tcPr>
          <w:p w14:paraId="02D7F621"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100</w:t>
            </w:r>
          </w:p>
        </w:tc>
      </w:tr>
      <w:tr w:rsidR="001328DC" w:rsidRPr="00213A5D" w14:paraId="3DA746C3" w14:textId="77777777" w:rsidTr="00C01B0D">
        <w:trPr>
          <w:trHeight w:val="116"/>
        </w:trPr>
        <w:tc>
          <w:tcPr>
            <w:tcW w:w="3984" w:type="dxa"/>
            <w:tcBorders>
              <w:top w:val="nil"/>
              <w:left w:val="single" w:sz="4" w:space="0" w:color="auto"/>
              <w:bottom w:val="single" w:sz="4" w:space="0" w:color="auto"/>
              <w:right w:val="single" w:sz="4" w:space="0" w:color="auto"/>
            </w:tcBorders>
            <w:vAlign w:val="center"/>
            <w:hideMark/>
          </w:tcPr>
          <w:p w14:paraId="45C37770" w14:textId="77777777" w:rsidR="001328DC" w:rsidRPr="00213A5D" w:rsidRDefault="001328DC" w:rsidP="00AF1852">
            <w:pPr>
              <w:widowControl w:val="0"/>
              <w:spacing w:line="240" w:lineRule="auto"/>
              <w:ind w:left="0" w:right="0" w:firstLine="0"/>
              <w:rPr>
                <w:sz w:val="20"/>
                <w:szCs w:val="20"/>
              </w:rPr>
            </w:pPr>
            <w:r w:rsidRPr="00213A5D">
              <w:rPr>
                <w:sz w:val="20"/>
                <w:szCs w:val="20"/>
              </w:rPr>
              <w:t>ППК «Единый заказчик</w:t>
            </w:r>
            <w:r w:rsidRPr="00213A5D">
              <w:t xml:space="preserve"> </w:t>
            </w:r>
            <w:r w:rsidRPr="00213A5D">
              <w:rPr>
                <w:sz w:val="20"/>
                <w:szCs w:val="20"/>
              </w:rPr>
              <w:t xml:space="preserve">в сфере </w:t>
            </w:r>
            <w:r w:rsidRPr="00213A5D">
              <w:rPr>
                <w:sz w:val="20"/>
                <w:szCs w:val="20"/>
              </w:rPr>
              <w:lastRenderedPageBreak/>
              <w:t>строительства»</w:t>
            </w:r>
          </w:p>
        </w:tc>
        <w:tc>
          <w:tcPr>
            <w:tcW w:w="1563" w:type="dxa"/>
            <w:tcBorders>
              <w:top w:val="nil"/>
              <w:left w:val="nil"/>
              <w:bottom w:val="single" w:sz="4" w:space="0" w:color="auto"/>
              <w:right w:val="single" w:sz="4" w:space="0" w:color="auto"/>
            </w:tcBorders>
            <w:vAlign w:val="center"/>
            <w:hideMark/>
          </w:tcPr>
          <w:p w14:paraId="76C9E5D7"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lastRenderedPageBreak/>
              <w:t>64 532,2</w:t>
            </w:r>
          </w:p>
        </w:tc>
        <w:tc>
          <w:tcPr>
            <w:tcW w:w="1276" w:type="dxa"/>
            <w:tcBorders>
              <w:top w:val="nil"/>
              <w:left w:val="nil"/>
              <w:bottom w:val="single" w:sz="4" w:space="0" w:color="auto"/>
              <w:right w:val="single" w:sz="4" w:space="0" w:color="auto"/>
            </w:tcBorders>
            <w:vAlign w:val="center"/>
            <w:hideMark/>
          </w:tcPr>
          <w:p w14:paraId="3A83675C"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8,8</w:t>
            </w:r>
          </w:p>
        </w:tc>
        <w:tc>
          <w:tcPr>
            <w:tcW w:w="1561" w:type="dxa"/>
            <w:tcBorders>
              <w:top w:val="nil"/>
              <w:left w:val="nil"/>
              <w:bottom w:val="single" w:sz="4" w:space="0" w:color="auto"/>
              <w:right w:val="single" w:sz="4" w:space="0" w:color="auto"/>
            </w:tcBorders>
            <w:vAlign w:val="center"/>
            <w:hideMark/>
          </w:tcPr>
          <w:p w14:paraId="5E2110CF"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29 109,1</w:t>
            </w:r>
          </w:p>
        </w:tc>
        <w:tc>
          <w:tcPr>
            <w:tcW w:w="1276" w:type="dxa"/>
            <w:tcBorders>
              <w:top w:val="nil"/>
              <w:left w:val="nil"/>
              <w:bottom w:val="single" w:sz="4" w:space="0" w:color="auto"/>
              <w:right w:val="single" w:sz="4" w:space="0" w:color="auto"/>
            </w:tcBorders>
            <w:vAlign w:val="center"/>
            <w:hideMark/>
          </w:tcPr>
          <w:p w14:paraId="358EAD9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45,1</w:t>
            </w:r>
          </w:p>
        </w:tc>
      </w:tr>
      <w:tr w:rsidR="001328DC" w:rsidRPr="00213A5D" w14:paraId="537EC9B0" w14:textId="77777777" w:rsidTr="00C01B0D">
        <w:trPr>
          <w:trHeight w:val="161"/>
        </w:trPr>
        <w:tc>
          <w:tcPr>
            <w:tcW w:w="3984" w:type="dxa"/>
            <w:tcBorders>
              <w:top w:val="nil"/>
              <w:left w:val="single" w:sz="4" w:space="0" w:color="auto"/>
              <w:bottom w:val="single" w:sz="4" w:space="0" w:color="auto"/>
              <w:right w:val="single" w:sz="4" w:space="0" w:color="auto"/>
            </w:tcBorders>
            <w:vAlign w:val="center"/>
            <w:hideMark/>
          </w:tcPr>
          <w:p w14:paraId="555281CD" w14:textId="77777777" w:rsidR="001328DC" w:rsidRPr="00213A5D" w:rsidRDefault="001328DC" w:rsidP="00AF1852">
            <w:pPr>
              <w:widowControl w:val="0"/>
              <w:spacing w:line="240" w:lineRule="auto"/>
              <w:ind w:left="0" w:right="0" w:firstLine="0"/>
              <w:rPr>
                <w:sz w:val="20"/>
                <w:szCs w:val="20"/>
              </w:rPr>
            </w:pPr>
            <w:r w:rsidRPr="00213A5D">
              <w:rPr>
                <w:sz w:val="20"/>
                <w:szCs w:val="20"/>
              </w:rPr>
              <w:t>ПАО «Промсвязьбанк»</w:t>
            </w:r>
          </w:p>
        </w:tc>
        <w:tc>
          <w:tcPr>
            <w:tcW w:w="1563" w:type="dxa"/>
            <w:tcBorders>
              <w:top w:val="nil"/>
              <w:left w:val="nil"/>
              <w:bottom w:val="single" w:sz="4" w:space="0" w:color="auto"/>
              <w:right w:val="single" w:sz="4" w:space="0" w:color="auto"/>
            </w:tcBorders>
            <w:vAlign w:val="center"/>
            <w:hideMark/>
          </w:tcPr>
          <w:p w14:paraId="594A82F1"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59 731,0</w:t>
            </w:r>
          </w:p>
        </w:tc>
        <w:tc>
          <w:tcPr>
            <w:tcW w:w="1276" w:type="dxa"/>
            <w:tcBorders>
              <w:top w:val="nil"/>
              <w:left w:val="nil"/>
              <w:bottom w:val="single" w:sz="4" w:space="0" w:color="auto"/>
              <w:right w:val="single" w:sz="4" w:space="0" w:color="auto"/>
            </w:tcBorders>
            <w:vAlign w:val="center"/>
            <w:hideMark/>
          </w:tcPr>
          <w:p w14:paraId="1A8E3FDB"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8,2</w:t>
            </w:r>
          </w:p>
        </w:tc>
        <w:tc>
          <w:tcPr>
            <w:tcW w:w="1561" w:type="dxa"/>
            <w:tcBorders>
              <w:top w:val="nil"/>
              <w:left w:val="nil"/>
              <w:bottom w:val="single" w:sz="4" w:space="0" w:color="auto"/>
              <w:right w:val="single" w:sz="4" w:space="0" w:color="auto"/>
            </w:tcBorders>
            <w:vAlign w:val="center"/>
            <w:hideMark/>
          </w:tcPr>
          <w:p w14:paraId="5E34620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13 731,0</w:t>
            </w:r>
          </w:p>
        </w:tc>
        <w:tc>
          <w:tcPr>
            <w:tcW w:w="1276" w:type="dxa"/>
            <w:tcBorders>
              <w:top w:val="nil"/>
              <w:left w:val="nil"/>
              <w:bottom w:val="single" w:sz="4" w:space="0" w:color="auto"/>
              <w:right w:val="single" w:sz="4" w:space="0" w:color="auto"/>
            </w:tcBorders>
            <w:vAlign w:val="center"/>
            <w:hideMark/>
          </w:tcPr>
          <w:p w14:paraId="1AA1FD4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23</w:t>
            </w:r>
          </w:p>
        </w:tc>
      </w:tr>
      <w:tr w:rsidR="001328DC" w:rsidRPr="00213A5D" w14:paraId="09E3DA22"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420C3B8E" w14:textId="77777777" w:rsidR="001328DC" w:rsidRPr="00213A5D" w:rsidRDefault="001328DC" w:rsidP="00AF1852">
            <w:pPr>
              <w:widowControl w:val="0"/>
              <w:spacing w:line="240" w:lineRule="auto"/>
              <w:ind w:left="0" w:right="0" w:firstLine="0"/>
              <w:rPr>
                <w:sz w:val="20"/>
                <w:szCs w:val="20"/>
              </w:rPr>
            </w:pPr>
            <w:r w:rsidRPr="00213A5D">
              <w:rPr>
                <w:sz w:val="20"/>
                <w:szCs w:val="20"/>
              </w:rPr>
              <w:t>Госкорпорация «Ростех»</w:t>
            </w:r>
          </w:p>
        </w:tc>
        <w:tc>
          <w:tcPr>
            <w:tcW w:w="1563" w:type="dxa"/>
            <w:tcBorders>
              <w:top w:val="nil"/>
              <w:left w:val="nil"/>
              <w:bottom w:val="single" w:sz="4" w:space="0" w:color="auto"/>
              <w:right w:val="single" w:sz="4" w:space="0" w:color="auto"/>
            </w:tcBorders>
            <w:vAlign w:val="center"/>
            <w:hideMark/>
          </w:tcPr>
          <w:p w14:paraId="6A558F86"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45 368,3</w:t>
            </w:r>
          </w:p>
        </w:tc>
        <w:tc>
          <w:tcPr>
            <w:tcW w:w="1276" w:type="dxa"/>
            <w:tcBorders>
              <w:top w:val="nil"/>
              <w:left w:val="nil"/>
              <w:bottom w:val="single" w:sz="4" w:space="0" w:color="auto"/>
              <w:right w:val="single" w:sz="4" w:space="0" w:color="auto"/>
            </w:tcBorders>
            <w:vAlign w:val="center"/>
            <w:hideMark/>
          </w:tcPr>
          <w:p w14:paraId="6F6FF8D2"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6,2</w:t>
            </w:r>
          </w:p>
        </w:tc>
        <w:tc>
          <w:tcPr>
            <w:tcW w:w="1561" w:type="dxa"/>
            <w:tcBorders>
              <w:top w:val="nil"/>
              <w:left w:val="nil"/>
              <w:bottom w:val="single" w:sz="4" w:space="0" w:color="auto"/>
              <w:right w:val="single" w:sz="4" w:space="0" w:color="auto"/>
            </w:tcBorders>
            <w:vAlign w:val="center"/>
            <w:hideMark/>
          </w:tcPr>
          <w:p w14:paraId="35A974C5"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0,0</w:t>
            </w:r>
          </w:p>
        </w:tc>
        <w:tc>
          <w:tcPr>
            <w:tcW w:w="1276" w:type="dxa"/>
            <w:tcBorders>
              <w:top w:val="nil"/>
              <w:left w:val="nil"/>
              <w:bottom w:val="single" w:sz="4" w:space="0" w:color="auto"/>
              <w:right w:val="single" w:sz="4" w:space="0" w:color="auto"/>
            </w:tcBorders>
            <w:vAlign w:val="center"/>
            <w:hideMark/>
          </w:tcPr>
          <w:p w14:paraId="40F1735F"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w:t>
            </w:r>
          </w:p>
        </w:tc>
      </w:tr>
      <w:tr w:rsidR="001328DC" w:rsidRPr="00213A5D" w14:paraId="52327F64"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0533FCEF" w14:textId="77777777" w:rsidR="001328DC" w:rsidRPr="00213A5D" w:rsidRDefault="001328DC" w:rsidP="00AF1852">
            <w:pPr>
              <w:widowControl w:val="0"/>
              <w:spacing w:line="240" w:lineRule="auto"/>
              <w:ind w:left="0" w:right="0" w:firstLine="0"/>
              <w:rPr>
                <w:sz w:val="20"/>
                <w:szCs w:val="20"/>
              </w:rPr>
            </w:pPr>
            <w:r w:rsidRPr="00213A5D">
              <w:rPr>
                <w:sz w:val="20"/>
                <w:szCs w:val="20"/>
              </w:rPr>
              <w:t>ППК «Фонд развития территорий»</w:t>
            </w:r>
          </w:p>
        </w:tc>
        <w:tc>
          <w:tcPr>
            <w:tcW w:w="1563" w:type="dxa"/>
            <w:tcBorders>
              <w:top w:val="nil"/>
              <w:left w:val="nil"/>
              <w:bottom w:val="single" w:sz="4" w:space="0" w:color="auto"/>
              <w:right w:val="single" w:sz="4" w:space="0" w:color="auto"/>
            </w:tcBorders>
            <w:vAlign w:val="center"/>
            <w:hideMark/>
          </w:tcPr>
          <w:p w14:paraId="367B013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29 500,0</w:t>
            </w:r>
          </w:p>
        </w:tc>
        <w:tc>
          <w:tcPr>
            <w:tcW w:w="1276" w:type="dxa"/>
            <w:tcBorders>
              <w:top w:val="nil"/>
              <w:left w:val="nil"/>
              <w:bottom w:val="single" w:sz="4" w:space="0" w:color="auto"/>
              <w:right w:val="single" w:sz="4" w:space="0" w:color="auto"/>
            </w:tcBorders>
            <w:vAlign w:val="center"/>
            <w:hideMark/>
          </w:tcPr>
          <w:p w14:paraId="27EB65A4"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w:t>
            </w:r>
          </w:p>
        </w:tc>
        <w:tc>
          <w:tcPr>
            <w:tcW w:w="1561" w:type="dxa"/>
            <w:tcBorders>
              <w:top w:val="nil"/>
              <w:left w:val="nil"/>
              <w:bottom w:val="single" w:sz="4" w:space="0" w:color="auto"/>
              <w:right w:val="single" w:sz="4" w:space="0" w:color="auto"/>
            </w:tcBorders>
            <w:vAlign w:val="center"/>
            <w:hideMark/>
          </w:tcPr>
          <w:p w14:paraId="0CA70E50"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28 167,4</w:t>
            </w:r>
          </w:p>
        </w:tc>
        <w:tc>
          <w:tcPr>
            <w:tcW w:w="1276" w:type="dxa"/>
            <w:tcBorders>
              <w:top w:val="nil"/>
              <w:left w:val="nil"/>
              <w:bottom w:val="single" w:sz="4" w:space="0" w:color="auto"/>
              <w:right w:val="single" w:sz="4" w:space="0" w:color="auto"/>
            </w:tcBorders>
            <w:vAlign w:val="center"/>
            <w:hideMark/>
          </w:tcPr>
          <w:p w14:paraId="7FDCBC58"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95,5</w:t>
            </w:r>
          </w:p>
        </w:tc>
      </w:tr>
      <w:tr w:rsidR="001328DC" w:rsidRPr="00213A5D" w14:paraId="0E625568" w14:textId="77777777" w:rsidTr="00C01B0D">
        <w:trPr>
          <w:trHeight w:val="144"/>
        </w:trPr>
        <w:tc>
          <w:tcPr>
            <w:tcW w:w="3984" w:type="dxa"/>
            <w:tcBorders>
              <w:top w:val="nil"/>
              <w:left w:val="single" w:sz="4" w:space="0" w:color="auto"/>
              <w:bottom w:val="single" w:sz="4" w:space="0" w:color="auto"/>
              <w:right w:val="single" w:sz="4" w:space="0" w:color="auto"/>
            </w:tcBorders>
            <w:vAlign w:val="center"/>
            <w:hideMark/>
          </w:tcPr>
          <w:p w14:paraId="764E103E" w14:textId="77777777" w:rsidR="001328DC" w:rsidRPr="00213A5D" w:rsidRDefault="001328DC" w:rsidP="00AF1852">
            <w:pPr>
              <w:widowControl w:val="0"/>
              <w:spacing w:line="240" w:lineRule="auto"/>
              <w:ind w:left="0" w:right="0" w:firstLine="0"/>
              <w:rPr>
                <w:sz w:val="20"/>
                <w:szCs w:val="20"/>
              </w:rPr>
            </w:pPr>
            <w:r w:rsidRPr="00213A5D">
              <w:rPr>
                <w:sz w:val="20"/>
                <w:szCs w:val="20"/>
              </w:rPr>
              <w:t>Госкорпорация ВЭБ.РФ</w:t>
            </w:r>
          </w:p>
        </w:tc>
        <w:tc>
          <w:tcPr>
            <w:tcW w:w="1563" w:type="dxa"/>
            <w:tcBorders>
              <w:top w:val="nil"/>
              <w:left w:val="nil"/>
              <w:bottom w:val="single" w:sz="4" w:space="0" w:color="auto"/>
              <w:right w:val="single" w:sz="4" w:space="0" w:color="auto"/>
            </w:tcBorders>
            <w:vAlign w:val="center"/>
            <w:hideMark/>
          </w:tcPr>
          <w:p w14:paraId="2BD21076"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25 433,2</w:t>
            </w:r>
          </w:p>
        </w:tc>
        <w:tc>
          <w:tcPr>
            <w:tcW w:w="1276" w:type="dxa"/>
            <w:tcBorders>
              <w:top w:val="nil"/>
              <w:left w:val="nil"/>
              <w:bottom w:val="single" w:sz="4" w:space="0" w:color="auto"/>
              <w:right w:val="single" w:sz="4" w:space="0" w:color="auto"/>
            </w:tcBorders>
            <w:vAlign w:val="center"/>
            <w:hideMark/>
          </w:tcPr>
          <w:p w14:paraId="34CE551C"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3,5</w:t>
            </w:r>
          </w:p>
        </w:tc>
        <w:tc>
          <w:tcPr>
            <w:tcW w:w="1561" w:type="dxa"/>
            <w:tcBorders>
              <w:top w:val="nil"/>
              <w:left w:val="nil"/>
              <w:bottom w:val="single" w:sz="4" w:space="0" w:color="auto"/>
              <w:right w:val="single" w:sz="4" w:space="0" w:color="auto"/>
            </w:tcBorders>
            <w:vAlign w:val="center"/>
            <w:hideMark/>
          </w:tcPr>
          <w:p w14:paraId="6AA3EFA2"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11 500,9</w:t>
            </w:r>
          </w:p>
        </w:tc>
        <w:tc>
          <w:tcPr>
            <w:tcW w:w="1276" w:type="dxa"/>
            <w:tcBorders>
              <w:top w:val="nil"/>
              <w:left w:val="nil"/>
              <w:bottom w:val="single" w:sz="4" w:space="0" w:color="auto"/>
              <w:right w:val="single" w:sz="4" w:space="0" w:color="auto"/>
            </w:tcBorders>
            <w:vAlign w:val="center"/>
            <w:hideMark/>
          </w:tcPr>
          <w:p w14:paraId="2E2CF93D"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45,2</w:t>
            </w:r>
          </w:p>
        </w:tc>
      </w:tr>
      <w:tr w:rsidR="001328DC" w:rsidRPr="00213A5D" w14:paraId="5BBAD088" w14:textId="77777777" w:rsidTr="007139AD">
        <w:trPr>
          <w:trHeight w:val="56"/>
        </w:trPr>
        <w:tc>
          <w:tcPr>
            <w:tcW w:w="3984" w:type="dxa"/>
            <w:tcBorders>
              <w:top w:val="nil"/>
              <w:left w:val="single" w:sz="4" w:space="0" w:color="auto"/>
              <w:bottom w:val="single" w:sz="4" w:space="0" w:color="auto"/>
              <w:right w:val="single" w:sz="4" w:space="0" w:color="auto"/>
            </w:tcBorders>
            <w:vAlign w:val="center"/>
            <w:hideMark/>
          </w:tcPr>
          <w:p w14:paraId="6D732BC1" w14:textId="77777777" w:rsidR="001328DC" w:rsidRPr="00213A5D" w:rsidRDefault="001328DC" w:rsidP="00AF1852">
            <w:pPr>
              <w:widowControl w:val="0"/>
              <w:spacing w:line="240" w:lineRule="auto"/>
              <w:ind w:left="0" w:right="0" w:firstLine="0"/>
              <w:rPr>
                <w:sz w:val="20"/>
                <w:szCs w:val="20"/>
              </w:rPr>
            </w:pPr>
            <w:r w:rsidRPr="00213A5D">
              <w:rPr>
                <w:sz w:val="20"/>
                <w:szCs w:val="20"/>
              </w:rPr>
              <w:t>ОАО «РЖД»</w:t>
            </w:r>
          </w:p>
        </w:tc>
        <w:tc>
          <w:tcPr>
            <w:tcW w:w="1563" w:type="dxa"/>
            <w:tcBorders>
              <w:top w:val="nil"/>
              <w:left w:val="nil"/>
              <w:bottom w:val="single" w:sz="4" w:space="0" w:color="auto"/>
              <w:right w:val="single" w:sz="4" w:space="0" w:color="auto"/>
            </w:tcBorders>
            <w:vAlign w:val="center"/>
            <w:hideMark/>
          </w:tcPr>
          <w:p w14:paraId="7662750F"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17 841,3</w:t>
            </w:r>
          </w:p>
        </w:tc>
        <w:tc>
          <w:tcPr>
            <w:tcW w:w="1276" w:type="dxa"/>
            <w:tcBorders>
              <w:top w:val="nil"/>
              <w:left w:val="nil"/>
              <w:bottom w:val="single" w:sz="4" w:space="0" w:color="auto"/>
              <w:right w:val="single" w:sz="4" w:space="0" w:color="auto"/>
            </w:tcBorders>
            <w:vAlign w:val="center"/>
            <w:hideMark/>
          </w:tcPr>
          <w:p w14:paraId="3A31BAA8"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2,4</w:t>
            </w:r>
          </w:p>
        </w:tc>
        <w:tc>
          <w:tcPr>
            <w:tcW w:w="1561" w:type="dxa"/>
            <w:tcBorders>
              <w:top w:val="nil"/>
              <w:left w:val="nil"/>
              <w:bottom w:val="single" w:sz="4" w:space="0" w:color="auto"/>
              <w:right w:val="single" w:sz="4" w:space="0" w:color="auto"/>
            </w:tcBorders>
            <w:vAlign w:val="center"/>
            <w:hideMark/>
          </w:tcPr>
          <w:p w14:paraId="20D2A2C3"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14 261,3</w:t>
            </w:r>
          </w:p>
        </w:tc>
        <w:tc>
          <w:tcPr>
            <w:tcW w:w="1276" w:type="dxa"/>
            <w:tcBorders>
              <w:top w:val="nil"/>
              <w:left w:val="nil"/>
              <w:bottom w:val="single" w:sz="4" w:space="0" w:color="auto"/>
              <w:right w:val="single" w:sz="4" w:space="0" w:color="auto"/>
            </w:tcBorders>
            <w:vAlign w:val="center"/>
            <w:hideMark/>
          </w:tcPr>
          <w:p w14:paraId="4BBAE39D"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79,9</w:t>
            </w:r>
          </w:p>
        </w:tc>
      </w:tr>
      <w:tr w:rsidR="001328DC" w:rsidRPr="00213A5D" w14:paraId="79E68DFB"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28DECAB9" w14:textId="77777777" w:rsidR="001328DC" w:rsidRPr="00213A5D" w:rsidRDefault="001328DC" w:rsidP="00AF1852">
            <w:pPr>
              <w:widowControl w:val="0"/>
              <w:spacing w:line="240" w:lineRule="auto"/>
              <w:ind w:left="0" w:right="0" w:firstLine="0"/>
              <w:rPr>
                <w:sz w:val="20"/>
                <w:szCs w:val="20"/>
              </w:rPr>
            </w:pPr>
            <w:r w:rsidRPr="00213A5D">
              <w:rPr>
                <w:sz w:val="20"/>
                <w:szCs w:val="20"/>
              </w:rPr>
              <w:t>АО «Корпорация Туризм.РФ»</w:t>
            </w:r>
          </w:p>
        </w:tc>
        <w:tc>
          <w:tcPr>
            <w:tcW w:w="1563" w:type="dxa"/>
            <w:tcBorders>
              <w:top w:val="nil"/>
              <w:left w:val="nil"/>
              <w:bottom w:val="single" w:sz="4" w:space="0" w:color="auto"/>
              <w:right w:val="single" w:sz="4" w:space="0" w:color="auto"/>
            </w:tcBorders>
            <w:vAlign w:val="center"/>
            <w:hideMark/>
          </w:tcPr>
          <w:p w14:paraId="0613E278"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15 978,2</w:t>
            </w:r>
          </w:p>
        </w:tc>
        <w:tc>
          <w:tcPr>
            <w:tcW w:w="1276" w:type="dxa"/>
            <w:tcBorders>
              <w:top w:val="nil"/>
              <w:left w:val="nil"/>
              <w:bottom w:val="single" w:sz="4" w:space="0" w:color="auto"/>
              <w:right w:val="single" w:sz="4" w:space="0" w:color="auto"/>
            </w:tcBorders>
            <w:vAlign w:val="center"/>
            <w:hideMark/>
          </w:tcPr>
          <w:p w14:paraId="43E3BF1B"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2,2</w:t>
            </w:r>
          </w:p>
        </w:tc>
        <w:tc>
          <w:tcPr>
            <w:tcW w:w="1561" w:type="dxa"/>
            <w:tcBorders>
              <w:top w:val="nil"/>
              <w:left w:val="nil"/>
              <w:bottom w:val="single" w:sz="4" w:space="0" w:color="auto"/>
              <w:right w:val="single" w:sz="4" w:space="0" w:color="auto"/>
            </w:tcBorders>
            <w:vAlign w:val="center"/>
            <w:hideMark/>
          </w:tcPr>
          <w:p w14:paraId="13273A6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15 978,2</w:t>
            </w:r>
          </w:p>
        </w:tc>
        <w:tc>
          <w:tcPr>
            <w:tcW w:w="1276" w:type="dxa"/>
            <w:tcBorders>
              <w:top w:val="nil"/>
              <w:left w:val="nil"/>
              <w:bottom w:val="single" w:sz="4" w:space="0" w:color="auto"/>
              <w:right w:val="single" w:sz="4" w:space="0" w:color="auto"/>
            </w:tcBorders>
            <w:vAlign w:val="center"/>
            <w:hideMark/>
          </w:tcPr>
          <w:p w14:paraId="62F8B28C"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100</w:t>
            </w:r>
          </w:p>
        </w:tc>
      </w:tr>
      <w:tr w:rsidR="001328DC" w:rsidRPr="00213A5D" w14:paraId="7310A5F8" w14:textId="77777777" w:rsidTr="007139AD">
        <w:trPr>
          <w:trHeight w:val="217"/>
        </w:trPr>
        <w:tc>
          <w:tcPr>
            <w:tcW w:w="3984" w:type="dxa"/>
            <w:tcBorders>
              <w:top w:val="nil"/>
              <w:left w:val="single" w:sz="4" w:space="0" w:color="auto"/>
              <w:bottom w:val="single" w:sz="4" w:space="0" w:color="auto"/>
              <w:right w:val="single" w:sz="4" w:space="0" w:color="auto"/>
            </w:tcBorders>
            <w:vAlign w:val="center"/>
            <w:hideMark/>
          </w:tcPr>
          <w:p w14:paraId="1CE1D052" w14:textId="77777777" w:rsidR="001328DC" w:rsidRPr="00213A5D" w:rsidRDefault="001328DC" w:rsidP="00AF1852">
            <w:pPr>
              <w:widowControl w:val="0"/>
              <w:spacing w:line="240" w:lineRule="auto"/>
              <w:ind w:left="0" w:right="0" w:firstLine="0"/>
              <w:rPr>
                <w:sz w:val="20"/>
                <w:szCs w:val="20"/>
              </w:rPr>
            </w:pPr>
            <w:r w:rsidRPr="00213A5D">
              <w:rPr>
                <w:sz w:val="20"/>
                <w:szCs w:val="20"/>
              </w:rPr>
              <w:t>ППК «Российский экологический оператор»</w:t>
            </w:r>
          </w:p>
        </w:tc>
        <w:tc>
          <w:tcPr>
            <w:tcW w:w="1563" w:type="dxa"/>
            <w:tcBorders>
              <w:top w:val="nil"/>
              <w:left w:val="nil"/>
              <w:bottom w:val="single" w:sz="4" w:space="0" w:color="auto"/>
              <w:right w:val="single" w:sz="4" w:space="0" w:color="auto"/>
            </w:tcBorders>
            <w:vAlign w:val="center"/>
            <w:hideMark/>
          </w:tcPr>
          <w:p w14:paraId="1E019044"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15 071,9</w:t>
            </w:r>
          </w:p>
        </w:tc>
        <w:tc>
          <w:tcPr>
            <w:tcW w:w="1276" w:type="dxa"/>
            <w:tcBorders>
              <w:top w:val="nil"/>
              <w:left w:val="nil"/>
              <w:bottom w:val="single" w:sz="4" w:space="0" w:color="auto"/>
              <w:right w:val="single" w:sz="4" w:space="0" w:color="auto"/>
            </w:tcBorders>
            <w:vAlign w:val="center"/>
            <w:hideMark/>
          </w:tcPr>
          <w:p w14:paraId="3D083634"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2,1</w:t>
            </w:r>
          </w:p>
        </w:tc>
        <w:tc>
          <w:tcPr>
            <w:tcW w:w="1561" w:type="dxa"/>
            <w:tcBorders>
              <w:top w:val="nil"/>
              <w:left w:val="nil"/>
              <w:bottom w:val="single" w:sz="4" w:space="0" w:color="auto"/>
              <w:right w:val="single" w:sz="4" w:space="0" w:color="auto"/>
            </w:tcBorders>
            <w:vAlign w:val="center"/>
            <w:hideMark/>
          </w:tcPr>
          <w:p w14:paraId="7F1436E3"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3 673,8</w:t>
            </w:r>
          </w:p>
        </w:tc>
        <w:tc>
          <w:tcPr>
            <w:tcW w:w="1276" w:type="dxa"/>
            <w:tcBorders>
              <w:top w:val="nil"/>
              <w:left w:val="nil"/>
              <w:bottom w:val="single" w:sz="4" w:space="0" w:color="auto"/>
              <w:right w:val="single" w:sz="4" w:space="0" w:color="auto"/>
            </w:tcBorders>
            <w:vAlign w:val="center"/>
            <w:hideMark/>
          </w:tcPr>
          <w:p w14:paraId="458AA60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24,4</w:t>
            </w:r>
          </w:p>
        </w:tc>
      </w:tr>
      <w:tr w:rsidR="001328DC" w:rsidRPr="00213A5D" w14:paraId="4E055EB6"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60BC2137" w14:textId="77777777" w:rsidR="001328DC" w:rsidRPr="00213A5D" w:rsidRDefault="001328DC" w:rsidP="00AF1852">
            <w:pPr>
              <w:widowControl w:val="0"/>
              <w:spacing w:line="240" w:lineRule="auto"/>
              <w:ind w:left="0" w:right="0" w:firstLine="0"/>
              <w:rPr>
                <w:sz w:val="20"/>
                <w:szCs w:val="20"/>
              </w:rPr>
            </w:pPr>
            <w:r w:rsidRPr="00213A5D">
              <w:rPr>
                <w:sz w:val="20"/>
                <w:szCs w:val="20"/>
              </w:rPr>
              <w:t>Госкорпорация «Роскосмос»</w:t>
            </w:r>
          </w:p>
        </w:tc>
        <w:tc>
          <w:tcPr>
            <w:tcW w:w="1563" w:type="dxa"/>
            <w:tcBorders>
              <w:top w:val="nil"/>
              <w:left w:val="nil"/>
              <w:bottom w:val="single" w:sz="4" w:space="0" w:color="auto"/>
              <w:right w:val="single" w:sz="4" w:space="0" w:color="auto"/>
            </w:tcBorders>
            <w:vAlign w:val="center"/>
            <w:hideMark/>
          </w:tcPr>
          <w:p w14:paraId="2C531A37"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13 828,7</w:t>
            </w:r>
          </w:p>
        </w:tc>
        <w:tc>
          <w:tcPr>
            <w:tcW w:w="1276" w:type="dxa"/>
            <w:tcBorders>
              <w:top w:val="nil"/>
              <w:left w:val="nil"/>
              <w:bottom w:val="single" w:sz="4" w:space="0" w:color="auto"/>
              <w:right w:val="single" w:sz="4" w:space="0" w:color="auto"/>
            </w:tcBorders>
            <w:vAlign w:val="center"/>
            <w:hideMark/>
          </w:tcPr>
          <w:p w14:paraId="0B2184A7"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1,9</w:t>
            </w:r>
          </w:p>
        </w:tc>
        <w:tc>
          <w:tcPr>
            <w:tcW w:w="1561" w:type="dxa"/>
            <w:tcBorders>
              <w:top w:val="nil"/>
              <w:left w:val="nil"/>
              <w:bottom w:val="single" w:sz="4" w:space="0" w:color="auto"/>
              <w:right w:val="single" w:sz="4" w:space="0" w:color="auto"/>
            </w:tcBorders>
            <w:vAlign w:val="center"/>
            <w:hideMark/>
          </w:tcPr>
          <w:p w14:paraId="1FEAB7E3"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2 712,0</w:t>
            </w:r>
          </w:p>
        </w:tc>
        <w:tc>
          <w:tcPr>
            <w:tcW w:w="1276" w:type="dxa"/>
            <w:tcBorders>
              <w:top w:val="nil"/>
              <w:left w:val="nil"/>
              <w:bottom w:val="single" w:sz="4" w:space="0" w:color="auto"/>
              <w:right w:val="single" w:sz="4" w:space="0" w:color="auto"/>
            </w:tcBorders>
            <w:vAlign w:val="center"/>
            <w:hideMark/>
          </w:tcPr>
          <w:p w14:paraId="0A9D424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19,6</w:t>
            </w:r>
          </w:p>
        </w:tc>
      </w:tr>
      <w:tr w:rsidR="001328DC" w:rsidRPr="00213A5D" w14:paraId="689B338F"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3F0F44AF" w14:textId="77777777" w:rsidR="001328DC" w:rsidRPr="00213A5D" w:rsidRDefault="001328DC" w:rsidP="00AF1852">
            <w:pPr>
              <w:widowControl w:val="0"/>
              <w:spacing w:line="240" w:lineRule="auto"/>
              <w:ind w:left="0" w:right="0" w:firstLine="0"/>
              <w:rPr>
                <w:sz w:val="20"/>
                <w:szCs w:val="20"/>
              </w:rPr>
            </w:pPr>
            <w:r w:rsidRPr="00213A5D">
              <w:rPr>
                <w:sz w:val="20"/>
                <w:szCs w:val="20"/>
              </w:rPr>
              <w:t>АО «Росагролизинг»</w:t>
            </w:r>
          </w:p>
        </w:tc>
        <w:tc>
          <w:tcPr>
            <w:tcW w:w="1563" w:type="dxa"/>
            <w:tcBorders>
              <w:top w:val="nil"/>
              <w:left w:val="nil"/>
              <w:bottom w:val="single" w:sz="4" w:space="0" w:color="auto"/>
              <w:right w:val="single" w:sz="4" w:space="0" w:color="auto"/>
            </w:tcBorders>
            <w:vAlign w:val="center"/>
            <w:hideMark/>
          </w:tcPr>
          <w:p w14:paraId="47CABBE0"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12 000,0</w:t>
            </w:r>
          </w:p>
        </w:tc>
        <w:tc>
          <w:tcPr>
            <w:tcW w:w="1276" w:type="dxa"/>
            <w:tcBorders>
              <w:top w:val="nil"/>
              <w:left w:val="nil"/>
              <w:bottom w:val="single" w:sz="4" w:space="0" w:color="auto"/>
              <w:right w:val="single" w:sz="4" w:space="0" w:color="auto"/>
            </w:tcBorders>
            <w:vAlign w:val="center"/>
            <w:hideMark/>
          </w:tcPr>
          <w:p w14:paraId="47965318"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1,6</w:t>
            </w:r>
          </w:p>
        </w:tc>
        <w:tc>
          <w:tcPr>
            <w:tcW w:w="1561" w:type="dxa"/>
            <w:tcBorders>
              <w:top w:val="nil"/>
              <w:left w:val="nil"/>
              <w:bottom w:val="single" w:sz="4" w:space="0" w:color="auto"/>
              <w:right w:val="single" w:sz="4" w:space="0" w:color="auto"/>
            </w:tcBorders>
            <w:vAlign w:val="center"/>
            <w:hideMark/>
          </w:tcPr>
          <w:p w14:paraId="6CFEADF0"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12 000,0</w:t>
            </w:r>
          </w:p>
        </w:tc>
        <w:tc>
          <w:tcPr>
            <w:tcW w:w="1276" w:type="dxa"/>
            <w:tcBorders>
              <w:top w:val="nil"/>
              <w:left w:val="nil"/>
              <w:bottom w:val="single" w:sz="4" w:space="0" w:color="auto"/>
              <w:right w:val="single" w:sz="4" w:space="0" w:color="auto"/>
            </w:tcBorders>
            <w:vAlign w:val="center"/>
            <w:hideMark/>
          </w:tcPr>
          <w:p w14:paraId="0163B173"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100</w:t>
            </w:r>
          </w:p>
        </w:tc>
      </w:tr>
      <w:tr w:rsidR="001328DC" w:rsidRPr="00213A5D" w14:paraId="4E6F6022" w14:textId="77777777" w:rsidTr="00C01B0D">
        <w:trPr>
          <w:trHeight w:val="435"/>
        </w:trPr>
        <w:tc>
          <w:tcPr>
            <w:tcW w:w="3984" w:type="dxa"/>
            <w:tcBorders>
              <w:top w:val="nil"/>
              <w:left w:val="single" w:sz="4" w:space="0" w:color="auto"/>
              <w:bottom w:val="single" w:sz="4" w:space="0" w:color="auto"/>
              <w:right w:val="single" w:sz="4" w:space="0" w:color="auto"/>
            </w:tcBorders>
            <w:vAlign w:val="center"/>
            <w:hideMark/>
          </w:tcPr>
          <w:p w14:paraId="2515EA4A" w14:textId="77777777" w:rsidR="001328DC" w:rsidRPr="00213A5D" w:rsidRDefault="001328DC" w:rsidP="00AF1852">
            <w:pPr>
              <w:widowControl w:val="0"/>
              <w:spacing w:line="240" w:lineRule="auto"/>
              <w:ind w:left="0" w:right="0" w:firstLine="0"/>
              <w:rPr>
                <w:sz w:val="20"/>
                <w:szCs w:val="20"/>
              </w:rPr>
            </w:pPr>
            <w:r w:rsidRPr="00213A5D">
              <w:rPr>
                <w:sz w:val="20"/>
                <w:szCs w:val="20"/>
              </w:rPr>
              <w:t>АО «Федеральная корпорация по развитию малого и среднего предпринимательства»</w:t>
            </w:r>
          </w:p>
        </w:tc>
        <w:tc>
          <w:tcPr>
            <w:tcW w:w="1563" w:type="dxa"/>
            <w:tcBorders>
              <w:top w:val="nil"/>
              <w:left w:val="nil"/>
              <w:bottom w:val="single" w:sz="4" w:space="0" w:color="auto"/>
              <w:right w:val="single" w:sz="4" w:space="0" w:color="auto"/>
            </w:tcBorders>
            <w:vAlign w:val="center"/>
            <w:hideMark/>
          </w:tcPr>
          <w:p w14:paraId="54C9E90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10 105,5</w:t>
            </w:r>
          </w:p>
        </w:tc>
        <w:tc>
          <w:tcPr>
            <w:tcW w:w="1276" w:type="dxa"/>
            <w:tcBorders>
              <w:top w:val="nil"/>
              <w:left w:val="nil"/>
              <w:bottom w:val="single" w:sz="4" w:space="0" w:color="auto"/>
              <w:right w:val="single" w:sz="4" w:space="0" w:color="auto"/>
            </w:tcBorders>
            <w:vAlign w:val="center"/>
            <w:hideMark/>
          </w:tcPr>
          <w:p w14:paraId="60FEA58F"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1,4</w:t>
            </w:r>
          </w:p>
        </w:tc>
        <w:tc>
          <w:tcPr>
            <w:tcW w:w="1561" w:type="dxa"/>
            <w:tcBorders>
              <w:top w:val="nil"/>
              <w:left w:val="nil"/>
              <w:bottom w:val="single" w:sz="4" w:space="0" w:color="auto"/>
              <w:right w:val="single" w:sz="4" w:space="0" w:color="auto"/>
            </w:tcBorders>
            <w:vAlign w:val="center"/>
            <w:hideMark/>
          </w:tcPr>
          <w:p w14:paraId="2422593C"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9 000,0</w:t>
            </w:r>
          </w:p>
        </w:tc>
        <w:tc>
          <w:tcPr>
            <w:tcW w:w="1276" w:type="dxa"/>
            <w:tcBorders>
              <w:top w:val="nil"/>
              <w:left w:val="nil"/>
              <w:bottom w:val="single" w:sz="4" w:space="0" w:color="auto"/>
              <w:right w:val="single" w:sz="4" w:space="0" w:color="auto"/>
            </w:tcBorders>
            <w:vAlign w:val="center"/>
            <w:hideMark/>
          </w:tcPr>
          <w:p w14:paraId="54C6170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89,1</w:t>
            </w:r>
          </w:p>
        </w:tc>
      </w:tr>
      <w:tr w:rsidR="001328DC" w:rsidRPr="00213A5D" w14:paraId="70D599EC" w14:textId="77777777" w:rsidTr="00C01B0D">
        <w:trPr>
          <w:trHeight w:val="223"/>
        </w:trPr>
        <w:tc>
          <w:tcPr>
            <w:tcW w:w="3984" w:type="dxa"/>
            <w:tcBorders>
              <w:top w:val="nil"/>
              <w:left w:val="single" w:sz="4" w:space="0" w:color="auto"/>
              <w:bottom w:val="single" w:sz="4" w:space="0" w:color="auto"/>
              <w:right w:val="single" w:sz="4" w:space="0" w:color="auto"/>
            </w:tcBorders>
            <w:vAlign w:val="center"/>
            <w:hideMark/>
          </w:tcPr>
          <w:p w14:paraId="21C7CF58" w14:textId="77777777" w:rsidR="001328DC" w:rsidRPr="00213A5D" w:rsidRDefault="001328DC" w:rsidP="00AF1852">
            <w:pPr>
              <w:widowControl w:val="0"/>
              <w:spacing w:line="240" w:lineRule="auto"/>
              <w:ind w:left="0" w:right="0" w:firstLine="0"/>
              <w:rPr>
                <w:sz w:val="20"/>
                <w:szCs w:val="20"/>
              </w:rPr>
            </w:pPr>
            <w:r w:rsidRPr="00213A5D">
              <w:rPr>
                <w:sz w:val="20"/>
                <w:szCs w:val="20"/>
              </w:rPr>
              <w:t>АО «КАВКАЗ.РФ»</w:t>
            </w:r>
          </w:p>
        </w:tc>
        <w:tc>
          <w:tcPr>
            <w:tcW w:w="1563" w:type="dxa"/>
            <w:tcBorders>
              <w:top w:val="nil"/>
              <w:left w:val="nil"/>
              <w:bottom w:val="single" w:sz="4" w:space="0" w:color="auto"/>
              <w:right w:val="single" w:sz="4" w:space="0" w:color="auto"/>
            </w:tcBorders>
            <w:vAlign w:val="center"/>
            <w:hideMark/>
          </w:tcPr>
          <w:p w14:paraId="096A3864"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9 451,7</w:t>
            </w:r>
          </w:p>
        </w:tc>
        <w:tc>
          <w:tcPr>
            <w:tcW w:w="1276" w:type="dxa"/>
            <w:tcBorders>
              <w:top w:val="nil"/>
              <w:left w:val="nil"/>
              <w:bottom w:val="single" w:sz="4" w:space="0" w:color="auto"/>
              <w:right w:val="single" w:sz="4" w:space="0" w:color="auto"/>
            </w:tcBorders>
            <w:vAlign w:val="center"/>
            <w:hideMark/>
          </w:tcPr>
          <w:p w14:paraId="4B020A80"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1,3</w:t>
            </w:r>
          </w:p>
        </w:tc>
        <w:tc>
          <w:tcPr>
            <w:tcW w:w="1561" w:type="dxa"/>
            <w:tcBorders>
              <w:top w:val="nil"/>
              <w:left w:val="nil"/>
              <w:bottom w:val="single" w:sz="4" w:space="0" w:color="auto"/>
              <w:right w:val="single" w:sz="4" w:space="0" w:color="auto"/>
            </w:tcBorders>
            <w:vAlign w:val="center"/>
            <w:hideMark/>
          </w:tcPr>
          <w:p w14:paraId="2859B6DB"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9 451,7</w:t>
            </w:r>
          </w:p>
        </w:tc>
        <w:tc>
          <w:tcPr>
            <w:tcW w:w="1276" w:type="dxa"/>
            <w:tcBorders>
              <w:top w:val="nil"/>
              <w:left w:val="nil"/>
              <w:bottom w:val="single" w:sz="4" w:space="0" w:color="auto"/>
              <w:right w:val="single" w:sz="4" w:space="0" w:color="auto"/>
            </w:tcBorders>
            <w:vAlign w:val="center"/>
            <w:hideMark/>
          </w:tcPr>
          <w:p w14:paraId="14C8A7AF"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100</w:t>
            </w:r>
          </w:p>
        </w:tc>
      </w:tr>
      <w:tr w:rsidR="001328DC" w:rsidRPr="00213A5D" w14:paraId="22A20CC0"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4D7ED929" w14:textId="77777777" w:rsidR="001328DC" w:rsidRPr="00213A5D" w:rsidRDefault="001328DC" w:rsidP="00AF1852">
            <w:pPr>
              <w:widowControl w:val="0"/>
              <w:spacing w:line="240" w:lineRule="auto"/>
              <w:ind w:left="0" w:right="0" w:firstLine="0"/>
              <w:rPr>
                <w:sz w:val="20"/>
                <w:szCs w:val="20"/>
              </w:rPr>
            </w:pPr>
            <w:r w:rsidRPr="00213A5D">
              <w:rPr>
                <w:sz w:val="20"/>
                <w:szCs w:val="20"/>
              </w:rPr>
              <w:t>АО, взносы которым предоставляются Госкорпорацией «Росатом»</w:t>
            </w:r>
          </w:p>
        </w:tc>
        <w:tc>
          <w:tcPr>
            <w:tcW w:w="1563" w:type="dxa"/>
            <w:tcBorders>
              <w:top w:val="nil"/>
              <w:left w:val="nil"/>
              <w:bottom w:val="single" w:sz="4" w:space="0" w:color="auto"/>
              <w:right w:val="single" w:sz="4" w:space="0" w:color="auto"/>
            </w:tcBorders>
            <w:vAlign w:val="center"/>
            <w:hideMark/>
          </w:tcPr>
          <w:p w14:paraId="165DDF6D"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4 793,1</w:t>
            </w:r>
          </w:p>
        </w:tc>
        <w:tc>
          <w:tcPr>
            <w:tcW w:w="1276" w:type="dxa"/>
            <w:tcBorders>
              <w:top w:val="nil"/>
              <w:left w:val="nil"/>
              <w:bottom w:val="single" w:sz="4" w:space="0" w:color="auto"/>
              <w:right w:val="single" w:sz="4" w:space="0" w:color="auto"/>
            </w:tcBorders>
            <w:vAlign w:val="center"/>
            <w:hideMark/>
          </w:tcPr>
          <w:p w14:paraId="2A5110CC"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0,7</w:t>
            </w:r>
          </w:p>
        </w:tc>
        <w:tc>
          <w:tcPr>
            <w:tcW w:w="1561" w:type="dxa"/>
            <w:tcBorders>
              <w:top w:val="nil"/>
              <w:left w:val="nil"/>
              <w:bottom w:val="single" w:sz="4" w:space="0" w:color="auto"/>
              <w:right w:val="single" w:sz="4" w:space="0" w:color="auto"/>
            </w:tcBorders>
            <w:vAlign w:val="center"/>
            <w:hideMark/>
          </w:tcPr>
          <w:p w14:paraId="02FE1E6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4 793,1</w:t>
            </w:r>
          </w:p>
        </w:tc>
        <w:tc>
          <w:tcPr>
            <w:tcW w:w="1276" w:type="dxa"/>
            <w:tcBorders>
              <w:top w:val="nil"/>
              <w:left w:val="nil"/>
              <w:bottom w:val="single" w:sz="4" w:space="0" w:color="auto"/>
              <w:right w:val="single" w:sz="4" w:space="0" w:color="auto"/>
            </w:tcBorders>
            <w:vAlign w:val="center"/>
            <w:hideMark/>
          </w:tcPr>
          <w:p w14:paraId="69E21DE7"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100</w:t>
            </w:r>
          </w:p>
        </w:tc>
      </w:tr>
      <w:tr w:rsidR="001328DC" w:rsidRPr="00213A5D" w14:paraId="58ED7A12"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3DCFE676" w14:textId="77777777" w:rsidR="001328DC" w:rsidRPr="00213A5D" w:rsidRDefault="001328DC" w:rsidP="00AF1852">
            <w:pPr>
              <w:widowControl w:val="0"/>
              <w:spacing w:line="240" w:lineRule="auto"/>
              <w:ind w:left="0" w:right="0" w:firstLine="0"/>
              <w:rPr>
                <w:sz w:val="20"/>
                <w:szCs w:val="20"/>
              </w:rPr>
            </w:pPr>
            <w:r w:rsidRPr="00213A5D">
              <w:rPr>
                <w:sz w:val="20"/>
                <w:szCs w:val="20"/>
              </w:rPr>
              <w:t>АО «Росгеология»</w:t>
            </w:r>
          </w:p>
        </w:tc>
        <w:tc>
          <w:tcPr>
            <w:tcW w:w="1563" w:type="dxa"/>
            <w:tcBorders>
              <w:top w:val="nil"/>
              <w:left w:val="nil"/>
              <w:bottom w:val="single" w:sz="4" w:space="0" w:color="auto"/>
              <w:right w:val="single" w:sz="4" w:space="0" w:color="auto"/>
            </w:tcBorders>
            <w:vAlign w:val="center"/>
            <w:hideMark/>
          </w:tcPr>
          <w:p w14:paraId="6BC905FF"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4 000,0</w:t>
            </w:r>
          </w:p>
        </w:tc>
        <w:tc>
          <w:tcPr>
            <w:tcW w:w="1276" w:type="dxa"/>
            <w:tcBorders>
              <w:top w:val="nil"/>
              <w:left w:val="nil"/>
              <w:bottom w:val="single" w:sz="4" w:space="0" w:color="auto"/>
              <w:right w:val="single" w:sz="4" w:space="0" w:color="auto"/>
            </w:tcBorders>
            <w:vAlign w:val="center"/>
            <w:hideMark/>
          </w:tcPr>
          <w:p w14:paraId="19F7EC45"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0,5</w:t>
            </w:r>
          </w:p>
        </w:tc>
        <w:tc>
          <w:tcPr>
            <w:tcW w:w="1561" w:type="dxa"/>
            <w:tcBorders>
              <w:top w:val="nil"/>
              <w:left w:val="nil"/>
              <w:bottom w:val="single" w:sz="4" w:space="0" w:color="auto"/>
              <w:right w:val="single" w:sz="4" w:space="0" w:color="auto"/>
            </w:tcBorders>
            <w:vAlign w:val="center"/>
            <w:hideMark/>
          </w:tcPr>
          <w:p w14:paraId="572FC471"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4 000,0</w:t>
            </w:r>
          </w:p>
        </w:tc>
        <w:tc>
          <w:tcPr>
            <w:tcW w:w="1276" w:type="dxa"/>
            <w:tcBorders>
              <w:top w:val="nil"/>
              <w:left w:val="nil"/>
              <w:bottom w:val="single" w:sz="4" w:space="0" w:color="auto"/>
              <w:right w:val="single" w:sz="4" w:space="0" w:color="auto"/>
            </w:tcBorders>
            <w:vAlign w:val="center"/>
            <w:hideMark/>
          </w:tcPr>
          <w:p w14:paraId="5E9017C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100</w:t>
            </w:r>
          </w:p>
        </w:tc>
      </w:tr>
      <w:tr w:rsidR="001328DC" w:rsidRPr="00213A5D" w14:paraId="20557B3B"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2970EEA4" w14:textId="77777777" w:rsidR="001328DC" w:rsidRPr="00213A5D" w:rsidRDefault="001328DC" w:rsidP="00AF1852">
            <w:pPr>
              <w:widowControl w:val="0"/>
              <w:spacing w:line="240" w:lineRule="auto"/>
              <w:ind w:left="0" w:right="0" w:firstLine="0"/>
              <w:rPr>
                <w:sz w:val="20"/>
                <w:szCs w:val="20"/>
              </w:rPr>
            </w:pPr>
            <w:r w:rsidRPr="00213A5D">
              <w:rPr>
                <w:sz w:val="20"/>
                <w:szCs w:val="20"/>
              </w:rPr>
              <w:t>АО «ИТМО Хайпарк»</w:t>
            </w:r>
          </w:p>
        </w:tc>
        <w:tc>
          <w:tcPr>
            <w:tcW w:w="1563" w:type="dxa"/>
            <w:tcBorders>
              <w:top w:val="nil"/>
              <w:left w:val="nil"/>
              <w:bottom w:val="single" w:sz="4" w:space="0" w:color="auto"/>
              <w:right w:val="single" w:sz="4" w:space="0" w:color="auto"/>
            </w:tcBorders>
            <w:vAlign w:val="center"/>
            <w:hideMark/>
          </w:tcPr>
          <w:p w14:paraId="6C7FC4D8"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3 400,0</w:t>
            </w:r>
          </w:p>
        </w:tc>
        <w:tc>
          <w:tcPr>
            <w:tcW w:w="1276" w:type="dxa"/>
            <w:tcBorders>
              <w:top w:val="nil"/>
              <w:left w:val="nil"/>
              <w:bottom w:val="single" w:sz="4" w:space="0" w:color="auto"/>
              <w:right w:val="single" w:sz="4" w:space="0" w:color="auto"/>
            </w:tcBorders>
            <w:vAlign w:val="center"/>
            <w:hideMark/>
          </w:tcPr>
          <w:p w14:paraId="7CAF864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0,5</w:t>
            </w:r>
          </w:p>
        </w:tc>
        <w:tc>
          <w:tcPr>
            <w:tcW w:w="1561" w:type="dxa"/>
            <w:tcBorders>
              <w:top w:val="nil"/>
              <w:left w:val="nil"/>
              <w:bottom w:val="single" w:sz="4" w:space="0" w:color="auto"/>
              <w:right w:val="single" w:sz="4" w:space="0" w:color="auto"/>
            </w:tcBorders>
            <w:vAlign w:val="center"/>
            <w:hideMark/>
          </w:tcPr>
          <w:p w14:paraId="74C057A4"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0,0</w:t>
            </w:r>
          </w:p>
        </w:tc>
        <w:tc>
          <w:tcPr>
            <w:tcW w:w="1276" w:type="dxa"/>
            <w:tcBorders>
              <w:top w:val="nil"/>
              <w:left w:val="nil"/>
              <w:bottom w:val="single" w:sz="4" w:space="0" w:color="auto"/>
              <w:right w:val="single" w:sz="4" w:space="0" w:color="auto"/>
            </w:tcBorders>
            <w:vAlign w:val="center"/>
            <w:hideMark/>
          </w:tcPr>
          <w:p w14:paraId="11EF31C8"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w:t>
            </w:r>
          </w:p>
        </w:tc>
      </w:tr>
      <w:tr w:rsidR="001328DC" w:rsidRPr="00213A5D" w14:paraId="438680E4" w14:textId="77777777" w:rsidTr="007139AD">
        <w:trPr>
          <w:trHeight w:val="56"/>
        </w:trPr>
        <w:tc>
          <w:tcPr>
            <w:tcW w:w="3984" w:type="dxa"/>
            <w:tcBorders>
              <w:top w:val="nil"/>
              <w:left w:val="single" w:sz="4" w:space="0" w:color="auto"/>
              <w:bottom w:val="single" w:sz="4" w:space="0" w:color="auto"/>
              <w:right w:val="single" w:sz="4" w:space="0" w:color="auto"/>
            </w:tcBorders>
            <w:vAlign w:val="center"/>
            <w:hideMark/>
          </w:tcPr>
          <w:p w14:paraId="0A655B68" w14:textId="77777777" w:rsidR="001328DC" w:rsidRPr="00213A5D" w:rsidRDefault="001328DC" w:rsidP="00AF1852">
            <w:pPr>
              <w:widowControl w:val="0"/>
              <w:spacing w:line="240" w:lineRule="auto"/>
              <w:ind w:left="0" w:right="0" w:firstLine="0"/>
              <w:rPr>
                <w:sz w:val="20"/>
                <w:szCs w:val="20"/>
              </w:rPr>
            </w:pPr>
            <w:r w:rsidRPr="00213A5D">
              <w:rPr>
                <w:sz w:val="20"/>
                <w:szCs w:val="20"/>
              </w:rPr>
              <w:t>АО «Крымэнерго»</w:t>
            </w:r>
          </w:p>
        </w:tc>
        <w:tc>
          <w:tcPr>
            <w:tcW w:w="1563" w:type="dxa"/>
            <w:tcBorders>
              <w:top w:val="nil"/>
              <w:left w:val="nil"/>
              <w:bottom w:val="single" w:sz="4" w:space="0" w:color="auto"/>
              <w:right w:val="single" w:sz="4" w:space="0" w:color="auto"/>
            </w:tcBorders>
            <w:vAlign w:val="center"/>
            <w:hideMark/>
          </w:tcPr>
          <w:p w14:paraId="6D705781"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3 065,6</w:t>
            </w:r>
          </w:p>
        </w:tc>
        <w:tc>
          <w:tcPr>
            <w:tcW w:w="1276" w:type="dxa"/>
            <w:tcBorders>
              <w:top w:val="nil"/>
              <w:left w:val="nil"/>
              <w:bottom w:val="single" w:sz="4" w:space="0" w:color="auto"/>
              <w:right w:val="single" w:sz="4" w:space="0" w:color="auto"/>
            </w:tcBorders>
            <w:vAlign w:val="center"/>
            <w:hideMark/>
          </w:tcPr>
          <w:p w14:paraId="09D9EEF2"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0,4</w:t>
            </w:r>
          </w:p>
        </w:tc>
        <w:tc>
          <w:tcPr>
            <w:tcW w:w="1561" w:type="dxa"/>
            <w:tcBorders>
              <w:top w:val="nil"/>
              <w:left w:val="nil"/>
              <w:bottom w:val="single" w:sz="4" w:space="0" w:color="auto"/>
              <w:right w:val="single" w:sz="4" w:space="0" w:color="auto"/>
            </w:tcBorders>
            <w:vAlign w:val="center"/>
            <w:hideMark/>
          </w:tcPr>
          <w:p w14:paraId="08B06FCB"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0,0</w:t>
            </w:r>
          </w:p>
        </w:tc>
        <w:tc>
          <w:tcPr>
            <w:tcW w:w="1276" w:type="dxa"/>
            <w:tcBorders>
              <w:top w:val="nil"/>
              <w:left w:val="nil"/>
              <w:bottom w:val="single" w:sz="4" w:space="0" w:color="auto"/>
              <w:right w:val="single" w:sz="4" w:space="0" w:color="auto"/>
            </w:tcBorders>
            <w:vAlign w:val="center"/>
            <w:hideMark/>
          </w:tcPr>
          <w:p w14:paraId="73BD62DC"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w:t>
            </w:r>
          </w:p>
        </w:tc>
      </w:tr>
      <w:tr w:rsidR="001328DC" w:rsidRPr="00213A5D" w14:paraId="3912ECC1"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1A0B851F" w14:textId="77777777" w:rsidR="001328DC" w:rsidRPr="00213A5D" w:rsidRDefault="001328DC" w:rsidP="00AF1852">
            <w:pPr>
              <w:widowControl w:val="0"/>
              <w:spacing w:line="240" w:lineRule="auto"/>
              <w:ind w:left="0" w:right="0" w:firstLine="0"/>
              <w:rPr>
                <w:sz w:val="20"/>
                <w:szCs w:val="20"/>
              </w:rPr>
            </w:pPr>
            <w:r w:rsidRPr="00213A5D">
              <w:rPr>
                <w:sz w:val="20"/>
                <w:szCs w:val="20"/>
              </w:rPr>
              <w:t>ПАО «Объединенная авиастроительная корпорация» (далее – ПАО «ОАК»)</w:t>
            </w:r>
          </w:p>
        </w:tc>
        <w:tc>
          <w:tcPr>
            <w:tcW w:w="1563" w:type="dxa"/>
            <w:tcBorders>
              <w:top w:val="nil"/>
              <w:left w:val="nil"/>
              <w:bottom w:val="single" w:sz="4" w:space="0" w:color="auto"/>
              <w:right w:val="single" w:sz="4" w:space="0" w:color="auto"/>
            </w:tcBorders>
            <w:vAlign w:val="center"/>
            <w:hideMark/>
          </w:tcPr>
          <w:p w14:paraId="46FEA504"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1 616,0</w:t>
            </w:r>
          </w:p>
        </w:tc>
        <w:tc>
          <w:tcPr>
            <w:tcW w:w="1276" w:type="dxa"/>
            <w:tcBorders>
              <w:top w:val="nil"/>
              <w:left w:val="nil"/>
              <w:bottom w:val="single" w:sz="4" w:space="0" w:color="auto"/>
              <w:right w:val="single" w:sz="4" w:space="0" w:color="auto"/>
            </w:tcBorders>
            <w:vAlign w:val="center"/>
            <w:hideMark/>
          </w:tcPr>
          <w:p w14:paraId="320D717B"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0,2</w:t>
            </w:r>
          </w:p>
        </w:tc>
        <w:tc>
          <w:tcPr>
            <w:tcW w:w="1561" w:type="dxa"/>
            <w:tcBorders>
              <w:top w:val="nil"/>
              <w:left w:val="nil"/>
              <w:bottom w:val="single" w:sz="4" w:space="0" w:color="auto"/>
              <w:right w:val="single" w:sz="4" w:space="0" w:color="auto"/>
            </w:tcBorders>
            <w:vAlign w:val="center"/>
            <w:hideMark/>
          </w:tcPr>
          <w:p w14:paraId="48C74C28"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0,0</w:t>
            </w:r>
          </w:p>
        </w:tc>
        <w:tc>
          <w:tcPr>
            <w:tcW w:w="1276" w:type="dxa"/>
            <w:tcBorders>
              <w:top w:val="nil"/>
              <w:left w:val="nil"/>
              <w:bottom w:val="single" w:sz="4" w:space="0" w:color="auto"/>
              <w:right w:val="single" w:sz="4" w:space="0" w:color="auto"/>
            </w:tcBorders>
            <w:vAlign w:val="center"/>
            <w:hideMark/>
          </w:tcPr>
          <w:p w14:paraId="20C17785"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w:t>
            </w:r>
          </w:p>
        </w:tc>
      </w:tr>
      <w:tr w:rsidR="001328DC" w:rsidRPr="00213A5D" w14:paraId="73CA68F7" w14:textId="77777777" w:rsidTr="00C01B0D">
        <w:trPr>
          <w:trHeight w:val="70"/>
        </w:trPr>
        <w:tc>
          <w:tcPr>
            <w:tcW w:w="3984" w:type="dxa"/>
            <w:tcBorders>
              <w:top w:val="nil"/>
              <w:left w:val="single" w:sz="4" w:space="0" w:color="auto"/>
              <w:bottom w:val="single" w:sz="4" w:space="0" w:color="auto"/>
              <w:right w:val="single" w:sz="4" w:space="0" w:color="auto"/>
            </w:tcBorders>
            <w:vAlign w:val="center"/>
            <w:hideMark/>
          </w:tcPr>
          <w:p w14:paraId="26116DE0" w14:textId="77777777" w:rsidR="001328DC" w:rsidRPr="00213A5D" w:rsidRDefault="001328DC" w:rsidP="00AF1852">
            <w:pPr>
              <w:widowControl w:val="0"/>
              <w:spacing w:line="240" w:lineRule="auto"/>
              <w:ind w:left="0" w:right="0" w:firstLine="0"/>
              <w:rPr>
                <w:sz w:val="20"/>
                <w:szCs w:val="20"/>
              </w:rPr>
            </w:pPr>
            <w:r w:rsidRPr="00213A5D">
              <w:rPr>
                <w:sz w:val="20"/>
                <w:szCs w:val="20"/>
              </w:rPr>
              <w:t>АО «Онежский судостроительно-судоремонтный завод»</w:t>
            </w:r>
          </w:p>
        </w:tc>
        <w:tc>
          <w:tcPr>
            <w:tcW w:w="1563" w:type="dxa"/>
            <w:tcBorders>
              <w:top w:val="nil"/>
              <w:left w:val="nil"/>
              <w:bottom w:val="single" w:sz="4" w:space="0" w:color="auto"/>
              <w:right w:val="single" w:sz="4" w:space="0" w:color="auto"/>
            </w:tcBorders>
            <w:vAlign w:val="center"/>
            <w:hideMark/>
          </w:tcPr>
          <w:p w14:paraId="05B0E1F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1 253,1</w:t>
            </w:r>
          </w:p>
        </w:tc>
        <w:tc>
          <w:tcPr>
            <w:tcW w:w="1276" w:type="dxa"/>
            <w:tcBorders>
              <w:top w:val="nil"/>
              <w:left w:val="nil"/>
              <w:bottom w:val="single" w:sz="4" w:space="0" w:color="auto"/>
              <w:right w:val="single" w:sz="4" w:space="0" w:color="auto"/>
            </w:tcBorders>
            <w:vAlign w:val="center"/>
            <w:hideMark/>
          </w:tcPr>
          <w:p w14:paraId="6DD9DEC0"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0,2</w:t>
            </w:r>
          </w:p>
        </w:tc>
        <w:tc>
          <w:tcPr>
            <w:tcW w:w="1561" w:type="dxa"/>
            <w:tcBorders>
              <w:top w:val="nil"/>
              <w:left w:val="nil"/>
              <w:bottom w:val="single" w:sz="4" w:space="0" w:color="auto"/>
              <w:right w:val="single" w:sz="4" w:space="0" w:color="auto"/>
            </w:tcBorders>
            <w:vAlign w:val="center"/>
            <w:hideMark/>
          </w:tcPr>
          <w:p w14:paraId="5A436F06"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1 253,1</w:t>
            </w:r>
          </w:p>
        </w:tc>
        <w:tc>
          <w:tcPr>
            <w:tcW w:w="1276" w:type="dxa"/>
            <w:tcBorders>
              <w:top w:val="nil"/>
              <w:left w:val="nil"/>
              <w:bottom w:val="single" w:sz="4" w:space="0" w:color="auto"/>
              <w:right w:val="single" w:sz="4" w:space="0" w:color="auto"/>
            </w:tcBorders>
            <w:vAlign w:val="center"/>
            <w:hideMark/>
          </w:tcPr>
          <w:p w14:paraId="68071C02"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100</w:t>
            </w:r>
          </w:p>
        </w:tc>
      </w:tr>
      <w:tr w:rsidR="001328DC" w:rsidRPr="00213A5D" w14:paraId="16DD2E1C" w14:textId="77777777" w:rsidTr="007139AD">
        <w:trPr>
          <w:trHeight w:val="56"/>
        </w:trPr>
        <w:tc>
          <w:tcPr>
            <w:tcW w:w="3984" w:type="dxa"/>
            <w:tcBorders>
              <w:top w:val="nil"/>
              <w:left w:val="single" w:sz="4" w:space="0" w:color="auto"/>
              <w:bottom w:val="single" w:sz="4" w:space="0" w:color="auto"/>
              <w:right w:val="single" w:sz="4" w:space="0" w:color="auto"/>
            </w:tcBorders>
            <w:vAlign w:val="center"/>
            <w:hideMark/>
          </w:tcPr>
          <w:p w14:paraId="3729CFAE" w14:textId="77777777" w:rsidR="001328DC" w:rsidRPr="00213A5D" w:rsidRDefault="001328DC" w:rsidP="00AF1852">
            <w:pPr>
              <w:widowControl w:val="0"/>
              <w:spacing w:line="240" w:lineRule="auto"/>
              <w:ind w:left="0" w:right="0" w:firstLine="0"/>
              <w:rPr>
                <w:sz w:val="20"/>
                <w:szCs w:val="20"/>
              </w:rPr>
            </w:pPr>
            <w:r w:rsidRPr="00213A5D">
              <w:rPr>
                <w:sz w:val="20"/>
                <w:szCs w:val="20"/>
              </w:rPr>
              <w:t>Иные</w:t>
            </w:r>
          </w:p>
        </w:tc>
        <w:tc>
          <w:tcPr>
            <w:tcW w:w="1563" w:type="dxa"/>
            <w:tcBorders>
              <w:top w:val="nil"/>
              <w:left w:val="nil"/>
              <w:bottom w:val="single" w:sz="4" w:space="0" w:color="auto"/>
              <w:right w:val="single" w:sz="4" w:space="0" w:color="auto"/>
            </w:tcBorders>
            <w:vAlign w:val="center"/>
            <w:hideMark/>
          </w:tcPr>
          <w:p w14:paraId="5A111B1A"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416,7</w:t>
            </w:r>
          </w:p>
        </w:tc>
        <w:tc>
          <w:tcPr>
            <w:tcW w:w="1276" w:type="dxa"/>
            <w:tcBorders>
              <w:top w:val="nil"/>
              <w:left w:val="nil"/>
              <w:bottom w:val="single" w:sz="4" w:space="0" w:color="auto"/>
              <w:right w:val="single" w:sz="4" w:space="0" w:color="auto"/>
            </w:tcBorders>
            <w:vAlign w:val="center"/>
            <w:hideMark/>
          </w:tcPr>
          <w:p w14:paraId="5D49ACEE"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0,1</w:t>
            </w:r>
          </w:p>
        </w:tc>
        <w:tc>
          <w:tcPr>
            <w:tcW w:w="1561" w:type="dxa"/>
            <w:tcBorders>
              <w:top w:val="nil"/>
              <w:left w:val="nil"/>
              <w:bottom w:val="single" w:sz="4" w:space="0" w:color="auto"/>
              <w:right w:val="single" w:sz="4" w:space="0" w:color="auto"/>
            </w:tcBorders>
            <w:vAlign w:val="center"/>
            <w:hideMark/>
          </w:tcPr>
          <w:p w14:paraId="6E7C034B"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416,7</w:t>
            </w:r>
          </w:p>
        </w:tc>
        <w:tc>
          <w:tcPr>
            <w:tcW w:w="1276" w:type="dxa"/>
            <w:tcBorders>
              <w:top w:val="nil"/>
              <w:left w:val="nil"/>
              <w:bottom w:val="single" w:sz="4" w:space="0" w:color="auto"/>
              <w:right w:val="single" w:sz="4" w:space="0" w:color="auto"/>
            </w:tcBorders>
            <w:vAlign w:val="center"/>
            <w:hideMark/>
          </w:tcPr>
          <w:p w14:paraId="26975679" w14:textId="77777777" w:rsidR="001328DC" w:rsidRPr="00213A5D" w:rsidRDefault="001328DC" w:rsidP="00AF1852">
            <w:pPr>
              <w:widowControl w:val="0"/>
              <w:spacing w:line="240" w:lineRule="auto"/>
              <w:ind w:left="0" w:right="0" w:firstLine="0"/>
              <w:jc w:val="center"/>
              <w:rPr>
                <w:sz w:val="20"/>
                <w:szCs w:val="20"/>
              </w:rPr>
            </w:pPr>
            <w:r w:rsidRPr="00213A5D">
              <w:rPr>
                <w:sz w:val="20"/>
                <w:szCs w:val="20"/>
              </w:rPr>
              <w:t>100</w:t>
            </w:r>
          </w:p>
        </w:tc>
      </w:tr>
    </w:tbl>
    <w:p w14:paraId="3E3EACF5" w14:textId="77777777" w:rsidR="00A47E93" w:rsidRPr="00213A5D" w:rsidRDefault="00A47E93" w:rsidP="00AF1852">
      <w:pPr>
        <w:widowControl w:val="0"/>
        <w:spacing w:line="240" w:lineRule="auto"/>
        <w:ind w:firstLine="0"/>
        <w:jc w:val="center"/>
        <w:rPr>
          <w:sz w:val="12"/>
          <w:szCs w:val="12"/>
        </w:rPr>
      </w:pPr>
    </w:p>
    <w:p w14:paraId="057E031B" w14:textId="77777777" w:rsidR="00AD0893" w:rsidRPr="00213A5D" w:rsidRDefault="00AD0893" w:rsidP="00DC11AB">
      <w:pPr>
        <w:widowControl w:val="0"/>
        <w:spacing w:line="343" w:lineRule="auto"/>
        <w:ind w:left="0" w:right="0"/>
        <w:rPr>
          <w:sz w:val="24"/>
          <w:szCs w:val="24"/>
        </w:rPr>
      </w:pPr>
      <w:r w:rsidRPr="00213A5D">
        <w:rPr>
          <w:sz w:val="24"/>
          <w:szCs w:val="24"/>
        </w:rPr>
        <w:t>По состоянию на 1 октября 2022 года кассовое исполнение расходов на осуществление</w:t>
      </w:r>
      <w:r w:rsidRPr="00213A5D">
        <w:rPr>
          <w:b/>
          <w:sz w:val="24"/>
          <w:szCs w:val="24"/>
        </w:rPr>
        <w:t xml:space="preserve"> взносов в уставные капиталы АО</w:t>
      </w:r>
      <w:r w:rsidRPr="00213A5D">
        <w:rPr>
          <w:sz w:val="24"/>
          <w:szCs w:val="24"/>
        </w:rPr>
        <w:t xml:space="preserve"> составило </w:t>
      </w:r>
      <w:r w:rsidRPr="00213A5D">
        <w:rPr>
          <w:b/>
          <w:sz w:val="24"/>
          <w:szCs w:val="24"/>
        </w:rPr>
        <w:t>87 597,1 млн. рублей,</w:t>
      </w:r>
      <w:r w:rsidRPr="00213A5D">
        <w:rPr>
          <w:sz w:val="24"/>
          <w:szCs w:val="24"/>
        </w:rPr>
        <w:t xml:space="preserve"> или 59,8 % показателя сводной росписи с изменениями.</w:t>
      </w:r>
    </w:p>
    <w:p w14:paraId="4E49DCF4" w14:textId="77777777" w:rsidR="00AD0893" w:rsidRPr="00213A5D" w:rsidRDefault="00AD0893" w:rsidP="00DC11AB">
      <w:pPr>
        <w:widowControl w:val="0"/>
        <w:spacing w:line="343" w:lineRule="auto"/>
        <w:ind w:left="0" w:right="0"/>
        <w:rPr>
          <w:sz w:val="24"/>
          <w:szCs w:val="24"/>
        </w:rPr>
      </w:pPr>
      <w:r w:rsidRPr="00213A5D">
        <w:rPr>
          <w:sz w:val="24"/>
          <w:szCs w:val="24"/>
        </w:rPr>
        <w:t>По взносам в уставный капитал АО, предусмотренным сводной росписью</w:t>
      </w:r>
      <w:r w:rsidRPr="00213A5D">
        <w:rPr>
          <w:bCs/>
          <w:sz w:val="24"/>
          <w:szCs w:val="24"/>
        </w:rPr>
        <w:t xml:space="preserve"> Минпромторгу России (ПАО «ОАК»), Минэнерго России (АО «Крымэнерго») и Минобрнауки России (АО «ИТМО Хайпарк»)</w:t>
      </w:r>
      <w:r w:rsidRPr="00213A5D">
        <w:rPr>
          <w:sz w:val="24"/>
          <w:szCs w:val="24"/>
        </w:rPr>
        <w:t xml:space="preserve">, по состоянию на 1 октября 2022 года </w:t>
      </w:r>
      <w:r w:rsidRPr="00213A5D">
        <w:rPr>
          <w:b/>
          <w:sz w:val="24"/>
          <w:szCs w:val="24"/>
        </w:rPr>
        <w:t>кассовое исполнение отсутствовало</w:t>
      </w:r>
      <w:r w:rsidRPr="00213A5D">
        <w:rPr>
          <w:sz w:val="24"/>
          <w:szCs w:val="24"/>
        </w:rPr>
        <w:t>.</w:t>
      </w:r>
    </w:p>
    <w:p w14:paraId="02AE54AF" w14:textId="77777777" w:rsidR="00AD0893" w:rsidRPr="00213A5D" w:rsidRDefault="00AD0893" w:rsidP="00DC11AB">
      <w:pPr>
        <w:widowControl w:val="0"/>
        <w:spacing w:line="343" w:lineRule="auto"/>
        <w:ind w:left="0" w:right="0"/>
        <w:rPr>
          <w:sz w:val="24"/>
          <w:szCs w:val="24"/>
        </w:rPr>
      </w:pPr>
      <w:r w:rsidRPr="00213A5D">
        <w:rPr>
          <w:sz w:val="24"/>
          <w:szCs w:val="24"/>
        </w:rPr>
        <w:t>Так, по информации Минпромторга России кассовое исполнение бюджетных ассигнований на предоставление взносов в уставный капитал ПАО «ОАК», предусмотренных Федеральным законом № 390-ФЗ на общую сумму 1 616,0 млн. рублей, не осуществлялось, что обусловлено проведением реорганизационных мероприятий ПАО «ОАК» и отсутствием до настоящего времени заключенных соглашений о предоставлении бюджетных инвестиций. Указанные бюджетные инвестиции планируется осуществить в IV квартале 2022 года после открытия дополнительной эмиссии акций акционерного общества.</w:t>
      </w:r>
    </w:p>
    <w:p w14:paraId="74F38175" w14:textId="77777777" w:rsidR="00AD0893" w:rsidRPr="00213A5D" w:rsidRDefault="00AD0893" w:rsidP="00DC11AB">
      <w:pPr>
        <w:widowControl w:val="0"/>
        <w:spacing w:line="341" w:lineRule="auto"/>
        <w:ind w:left="0" w:right="0"/>
        <w:rPr>
          <w:sz w:val="24"/>
          <w:szCs w:val="24"/>
        </w:rPr>
      </w:pPr>
      <w:r w:rsidRPr="00213A5D">
        <w:rPr>
          <w:sz w:val="24"/>
          <w:szCs w:val="24"/>
        </w:rPr>
        <w:t>По информации Минэнерго России предоставление бюджетных инвестиций для осуществления взноса в уставный капитал АО «Крымэнерго» в сумме 3 065,6 млн. рублей не осуществлялось в связи с корректировкой соответствующей ФЦП и изменением объемов финансирования по укрупненному мероприятию.</w:t>
      </w:r>
    </w:p>
    <w:p w14:paraId="3CBA5513" w14:textId="77777777" w:rsidR="00AD0893" w:rsidRPr="00213A5D" w:rsidRDefault="00AD0893" w:rsidP="00A82452">
      <w:pPr>
        <w:widowControl w:val="0"/>
        <w:spacing w:line="324" w:lineRule="auto"/>
        <w:ind w:left="0" w:right="-2"/>
        <w:rPr>
          <w:sz w:val="24"/>
          <w:szCs w:val="24"/>
        </w:rPr>
      </w:pPr>
      <w:r w:rsidRPr="00213A5D">
        <w:rPr>
          <w:bCs/>
          <w:iCs/>
          <w:sz w:val="24"/>
          <w:szCs w:val="24"/>
        </w:rPr>
        <w:t xml:space="preserve">Кассовое исполнение бюджетных ассигнований на предоставление взноса в уставный </w:t>
      </w:r>
      <w:r w:rsidRPr="00213A5D">
        <w:rPr>
          <w:bCs/>
          <w:iCs/>
          <w:sz w:val="24"/>
          <w:szCs w:val="24"/>
        </w:rPr>
        <w:lastRenderedPageBreak/>
        <w:t>капитал</w:t>
      </w:r>
      <w:r w:rsidRPr="00213A5D">
        <w:rPr>
          <w:sz w:val="24"/>
          <w:szCs w:val="24"/>
        </w:rPr>
        <w:t xml:space="preserve"> АО «ИТМО Хайпарк» на реализацию комплексного проекта, предусматривающего в том числе создание и развитие университетского кампуса ФГАОУ ВО «Санкт-Петербургский национальный исследовательский университет информационных технологий, механики и оптики» (далее – Общество), в сумме 3 400,0 млн. рублей не осуществлялось, поскольку по состоянию на 1 октября 2022 года проект акта Правительства Российской Федерации о предост</w:t>
      </w:r>
      <w:r w:rsidR="006A53A1" w:rsidRPr="00213A5D">
        <w:rPr>
          <w:sz w:val="24"/>
          <w:szCs w:val="24"/>
        </w:rPr>
        <w:t>авлении в 2022–</w:t>
      </w:r>
      <w:r w:rsidRPr="00213A5D">
        <w:rPr>
          <w:sz w:val="24"/>
          <w:szCs w:val="24"/>
        </w:rPr>
        <w:t>2024 годах из федерального бюджета бюджетных инвестиций Обществу не внесен. Кроме того, изменения в договор от 13 августа 2019 г. № 071-19-2019-001, заключенный между Минцифры России, Росимуществом и АО «ИТМО Хайпарк», предусматривающие замену стороны договора – Минобрнауки России вместо Минцифры России, не внесены.</w:t>
      </w:r>
    </w:p>
    <w:p w14:paraId="535E9623" w14:textId="77777777" w:rsidR="00AD0893" w:rsidRPr="00213A5D" w:rsidRDefault="00AD0893" w:rsidP="00A82452">
      <w:pPr>
        <w:widowControl w:val="0"/>
        <w:spacing w:line="324" w:lineRule="auto"/>
        <w:ind w:left="0" w:right="-2"/>
        <w:rPr>
          <w:sz w:val="24"/>
          <w:szCs w:val="24"/>
        </w:rPr>
      </w:pPr>
      <w:r w:rsidRPr="00213A5D">
        <w:rPr>
          <w:sz w:val="24"/>
          <w:szCs w:val="24"/>
        </w:rPr>
        <w:t xml:space="preserve">По состоянию на 1 октября 2022 года </w:t>
      </w:r>
      <w:r w:rsidRPr="00213A5D">
        <w:rPr>
          <w:b/>
          <w:sz w:val="24"/>
          <w:szCs w:val="24"/>
        </w:rPr>
        <w:t>перечислено 20 из 29 имущественных взносов Российской Федерации</w:t>
      </w:r>
      <w:r w:rsidRPr="00213A5D">
        <w:rPr>
          <w:sz w:val="24"/>
          <w:szCs w:val="24"/>
        </w:rPr>
        <w:t xml:space="preserve"> на общую сумму </w:t>
      </w:r>
      <w:r w:rsidRPr="00213A5D">
        <w:rPr>
          <w:b/>
          <w:bCs/>
          <w:sz w:val="24"/>
          <w:szCs w:val="24"/>
        </w:rPr>
        <w:t>145 062,0</w:t>
      </w:r>
      <w:r w:rsidRPr="00213A5D">
        <w:rPr>
          <w:b/>
          <w:sz w:val="24"/>
          <w:szCs w:val="24"/>
        </w:rPr>
        <w:t> млн. рублей</w:t>
      </w:r>
      <w:r w:rsidRPr="00213A5D">
        <w:rPr>
          <w:sz w:val="24"/>
          <w:szCs w:val="24"/>
        </w:rPr>
        <w:t>, или 55 %</w:t>
      </w:r>
      <w:r w:rsidRPr="00213A5D">
        <w:t xml:space="preserve"> </w:t>
      </w:r>
      <w:bookmarkStart w:id="10" w:name="_Hlk42550274"/>
      <w:r w:rsidRPr="00213A5D">
        <w:rPr>
          <w:sz w:val="24"/>
          <w:szCs w:val="24"/>
        </w:rPr>
        <w:t>показателя сводной росписи с изменениями</w:t>
      </w:r>
      <w:bookmarkEnd w:id="10"/>
      <w:r w:rsidRPr="00213A5D">
        <w:rPr>
          <w:sz w:val="24"/>
          <w:szCs w:val="24"/>
        </w:rPr>
        <w:t>.</w:t>
      </w:r>
    </w:p>
    <w:p w14:paraId="6EB2AD8E" w14:textId="77777777" w:rsidR="00AD0893" w:rsidRPr="00213A5D" w:rsidRDefault="00AD0893" w:rsidP="00A82452">
      <w:pPr>
        <w:widowControl w:val="0"/>
        <w:spacing w:line="324" w:lineRule="auto"/>
        <w:ind w:left="0" w:right="-2"/>
        <w:rPr>
          <w:sz w:val="24"/>
          <w:szCs w:val="24"/>
        </w:rPr>
      </w:pPr>
      <w:r w:rsidRPr="00213A5D">
        <w:rPr>
          <w:sz w:val="24"/>
          <w:szCs w:val="24"/>
        </w:rPr>
        <w:t>Следует отметить, что по состоянию на 1 октября 2022 года заблокированы бюджетные ассигнования на предоставление имущественных взносов в ППК «Российский экологический оператор» на создание инфраструктуры обращения с вторичными ресурсами в сумме 1 109,0 млн. рублей</w:t>
      </w:r>
      <w:r w:rsidRPr="00213A5D">
        <w:rPr>
          <w:iCs/>
          <w:sz w:val="24"/>
          <w:szCs w:val="24"/>
        </w:rPr>
        <w:t xml:space="preserve"> и </w:t>
      </w:r>
      <w:r w:rsidRPr="00213A5D">
        <w:rPr>
          <w:sz w:val="24"/>
          <w:szCs w:val="24"/>
        </w:rPr>
        <w:t xml:space="preserve">популяризацию принципов экономики замкнутого цикла в сумме 300,0 млн. рублей, поскольку </w:t>
      </w:r>
      <w:r w:rsidRPr="00213A5D">
        <w:rPr>
          <w:iCs/>
          <w:sz w:val="24"/>
          <w:szCs w:val="24"/>
        </w:rPr>
        <w:t>Правила предоставления из федерального бюджета субсидии в виде имущественного взноса на обеспечение достижения отдельных результатов федерального проекта «Экономика замкнутого цикла» публично-правовой компании по формированию комплексной системы обращения с твердыми коммунальными отходами «Российский экологический оператор» утверждены постановлением Правительства Российской Федерации от 5 октября 2022 г. № 1762 со сроком вступления в силу 13 октября 2022 года</w:t>
      </w:r>
      <w:r w:rsidRPr="00213A5D">
        <w:rPr>
          <w:sz w:val="24"/>
          <w:szCs w:val="24"/>
        </w:rPr>
        <w:t>.</w:t>
      </w:r>
    </w:p>
    <w:p w14:paraId="57B90F8E" w14:textId="77777777" w:rsidR="00AD0893" w:rsidRPr="00213A5D" w:rsidRDefault="00AD0893" w:rsidP="00A82452">
      <w:pPr>
        <w:widowControl w:val="0"/>
        <w:spacing w:line="324" w:lineRule="auto"/>
        <w:ind w:left="0" w:right="-2"/>
        <w:rPr>
          <w:sz w:val="24"/>
          <w:szCs w:val="24"/>
        </w:rPr>
      </w:pPr>
      <w:r w:rsidRPr="00213A5D">
        <w:rPr>
          <w:sz w:val="24"/>
          <w:szCs w:val="24"/>
        </w:rPr>
        <w:t xml:space="preserve">В связи с проведением реорганизационных мероприятий ПАО «ОАК» по состоянию на 1 октября 2022 года не заключены соглашения о предоставлении бюджетных инвестиций указанному АО, предусмотренных сводной росписью в виде имущественных взносов Российской Федерации в ГК «Ростех» на общую сумму 15 295,9 млн. рублей, которые планируется осуществить в IV квартале текущего года после открытия дополнительной эмиссии акций </w:t>
      </w:r>
      <w:r w:rsidR="006A53A1" w:rsidRPr="00213A5D">
        <w:rPr>
          <w:sz w:val="24"/>
          <w:szCs w:val="24"/>
        </w:rPr>
        <w:t>АО</w:t>
      </w:r>
      <w:r w:rsidRPr="00213A5D">
        <w:rPr>
          <w:sz w:val="24"/>
          <w:szCs w:val="24"/>
        </w:rPr>
        <w:t>.</w:t>
      </w:r>
    </w:p>
    <w:p w14:paraId="719694DF" w14:textId="77777777" w:rsidR="00AD0893" w:rsidRPr="00213A5D" w:rsidRDefault="00AD0893" w:rsidP="00A82452">
      <w:pPr>
        <w:widowControl w:val="0"/>
        <w:spacing w:line="324" w:lineRule="auto"/>
        <w:ind w:left="0" w:right="-2"/>
        <w:rPr>
          <w:sz w:val="24"/>
          <w:szCs w:val="24"/>
        </w:rPr>
      </w:pPr>
      <w:r w:rsidRPr="00213A5D">
        <w:rPr>
          <w:sz w:val="24"/>
          <w:szCs w:val="24"/>
        </w:rPr>
        <w:t>Следует также отметить, что по имущественным взносам Российской Федерации в ГК «Ростех» в целях разработки системного проекта по производству высокотехнологичной телекоммуникационной продукции для сетей связи 5G/IMT-2020, предусмотренному Федеральным законом № 390-ФЗ в сумме 9 000,0 млн. рублей, и для обеспечения особо важных и специальных полетов воздушных судов, предусмотренному сводной росписью на общую сумму 21 072,4 млн. рублей в пределах остатка неиспользованных в 2021 году лимитов бюджетных обязательств на указанные цели, кассовое исполнение расходов на 1 октября 2022 года отсутствовало.</w:t>
      </w:r>
    </w:p>
    <w:p w14:paraId="38DA2A7F" w14:textId="77777777" w:rsidR="00AD0893" w:rsidRPr="00213A5D" w:rsidRDefault="00AD0893" w:rsidP="00A82452">
      <w:pPr>
        <w:widowControl w:val="0"/>
        <w:spacing w:line="324" w:lineRule="auto"/>
        <w:ind w:left="0" w:right="-2"/>
        <w:rPr>
          <w:color w:val="000000"/>
          <w:sz w:val="24"/>
          <w:szCs w:val="24"/>
        </w:rPr>
      </w:pPr>
      <w:r w:rsidRPr="00213A5D">
        <w:rPr>
          <w:rFonts w:eastAsia="Times New Roman"/>
          <w:bCs/>
          <w:color w:val="000000"/>
          <w:sz w:val="24"/>
          <w:szCs w:val="24"/>
        </w:rPr>
        <w:t xml:space="preserve">Результаты контрольных и экспертно-аналитических мероприятий Счетной палаты </w:t>
      </w:r>
      <w:r w:rsidRPr="00213A5D">
        <w:rPr>
          <w:rFonts w:eastAsia="Times New Roman"/>
          <w:bCs/>
          <w:color w:val="000000"/>
          <w:sz w:val="24"/>
          <w:szCs w:val="24"/>
        </w:rPr>
        <w:lastRenderedPageBreak/>
        <w:t>показывают, что значительные объемы средств, предоставленны</w:t>
      </w:r>
      <w:r w:rsidR="006A53A1" w:rsidRPr="00213A5D">
        <w:rPr>
          <w:rFonts w:eastAsia="Times New Roman"/>
          <w:bCs/>
          <w:color w:val="000000"/>
          <w:sz w:val="24"/>
          <w:szCs w:val="24"/>
        </w:rPr>
        <w:t>х</w:t>
      </w:r>
      <w:r w:rsidRPr="00213A5D">
        <w:rPr>
          <w:rFonts w:eastAsia="Times New Roman"/>
          <w:bCs/>
          <w:color w:val="000000"/>
          <w:sz w:val="24"/>
          <w:szCs w:val="24"/>
        </w:rPr>
        <w:t xml:space="preserve"> государственным корпорациям, государственной компании и публично-правовым компаниям в прошлые годы (отчетные периоды), используются не в полном объеме и размещаются на депозитах и счетах в кредитных организациях, по которым государственные корпорации, государственная компания и публично-правовые компании получают проценты по неснижаемому остатку средств на счете.</w:t>
      </w:r>
    </w:p>
    <w:p w14:paraId="249D0ACD" w14:textId="77777777" w:rsidR="00AD0893" w:rsidRPr="00213A5D" w:rsidRDefault="00AD0893" w:rsidP="00A82452">
      <w:pPr>
        <w:widowControl w:val="0"/>
        <w:spacing w:line="324" w:lineRule="auto"/>
        <w:ind w:left="0" w:right="-2"/>
        <w:rPr>
          <w:bCs/>
          <w:sz w:val="24"/>
          <w:szCs w:val="24"/>
        </w:rPr>
      </w:pPr>
      <w:r w:rsidRPr="00213A5D">
        <w:rPr>
          <w:b/>
          <w:color w:val="000000"/>
          <w:sz w:val="24"/>
          <w:szCs w:val="24"/>
        </w:rPr>
        <w:t>Общий объем временно свободных средств</w:t>
      </w:r>
      <w:r w:rsidRPr="00213A5D">
        <w:rPr>
          <w:color w:val="000000"/>
          <w:sz w:val="24"/>
          <w:szCs w:val="24"/>
        </w:rPr>
        <w:t xml:space="preserve"> государственных корпораций, государственной компании и публично-правовых компаний по состоянию </w:t>
      </w:r>
      <w:r w:rsidRPr="00213A5D">
        <w:rPr>
          <w:b/>
          <w:color w:val="000000"/>
          <w:sz w:val="24"/>
          <w:szCs w:val="24"/>
        </w:rPr>
        <w:t xml:space="preserve">на 1 октября </w:t>
      </w:r>
      <w:r w:rsidR="006A53A1" w:rsidRPr="00213A5D">
        <w:rPr>
          <w:b/>
          <w:color w:val="000000"/>
          <w:sz w:val="24"/>
          <w:szCs w:val="24"/>
        </w:rPr>
        <w:br/>
      </w:r>
      <w:r w:rsidRPr="00213A5D">
        <w:rPr>
          <w:b/>
          <w:color w:val="000000"/>
          <w:sz w:val="24"/>
          <w:szCs w:val="24"/>
        </w:rPr>
        <w:t>2022 года</w:t>
      </w:r>
      <w:r w:rsidRPr="00213A5D">
        <w:rPr>
          <w:color w:val="000000"/>
          <w:sz w:val="24"/>
          <w:szCs w:val="24"/>
        </w:rPr>
        <w:t xml:space="preserve"> составил </w:t>
      </w:r>
      <w:r w:rsidRPr="00213A5D">
        <w:rPr>
          <w:b/>
          <w:color w:val="000000"/>
          <w:sz w:val="24"/>
          <w:szCs w:val="24"/>
        </w:rPr>
        <w:t>порядка 262,0 млрд. рублей</w:t>
      </w:r>
      <w:r w:rsidRPr="00213A5D">
        <w:rPr>
          <w:color w:val="000000"/>
          <w:sz w:val="24"/>
          <w:szCs w:val="24"/>
        </w:rPr>
        <w:t xml:space="preserve">. При этом </w:t>
      </w:r>
      <w:r w:rsidRPr="00213A5D">
        <w:rPr>
          <w:b/>
          <w:color w:val="000000"/>
          <w:sz w:val="24"/>
          <w:szCs w:val="24"/>
        </w:rPr>
        <w:t>доходы</w:t>
      </w:r>
      <w:r w:rsidRPr="00213A5D">
        <w:rPr>
          <w:color w:val="000000"/>
          <w:sz w:val="24"/>
          <w:szCs w:val="24"/>
        </w:rPr>
        <w:t xml:space="preserve"> государственных корпораций, государственной компании и публично-правовых компаний от инвестирования временно свободных средств по состоянию на 1 октября 2022 года за январь – сентябрь </w:t>
      </w:r>
      <w:r w:rsidR="006A53A1" w:rsidRPr="00213A5D">
        <w:rPr>
          <w:color w:val="000000"/>
          <w:sz w:val="24"/>
          <w:szCs w:val="24"/>
        </w:rPr>
        <w:br/>
      </w:r>
      <w:r w:rsidRPr="00213A5D">
        <w:rPr>
          <w:color w:val="000000"/>
          <w:sz w:val="24"/>
          <w:szCs w:val="24"/>
        </w:rPr>
        <w:t xml:space="preserve">2022 года составили </w:t>
      </w:r>
      <w:r w:rsidRPr="00213A5D">
        <w:rPr>
          <w:b/>
          <w:color w:val="000000"/>
          <w:sz w:val="24"/>
          <w:szCs w:val="24"/>
        </w:rPr>
        <w:t>около 25,2 млрд. рублей</w:t>
      </w:r>
      <w:r w:rsidRPr="00213A5D">
        <w:rPr>
          <w:color w:val="000000"/>
          <w:sz w:val="24"/>
          <w:szCs w:val="24"/>
        </w:rPr>
        <w:t>.</w:t>
      </w:r>
    </w:p>
    <w:p w14:paraId="37B42AF2" w14:textId="77777777" w:rsidR="0051094C" w:rsidRPr="00213A5D" w:rsidRDefault="00FC6D92" w:rsidP="00A82452">
      <w:pPr>
        <w:widowControl w:val="0"/>
        <w:spacing w:line="324" w:lineRule="auto"/>
        <w:ind w:left="0" w:right="0"/>
        <w:rPr>
          <w:sz w:val="24"/>
          <w:szCs w:val="24"/>
        </w:rPr>
      </w:pPr>
      <w:r w:rsidRPr="00213A5D">
        <w:rPr>
          <w:b/>
          <w:sz w:val="24"/>
          <w:szCs w:val="24"/>
        </w:rPr>
        <w:t>1</w:t>
      </w:r>
      <w:r w:rsidR="00E43C52" w:rsidRPr="00213A5D">
        <w:rPr>
          <w:b/>
          <w:sz w:val="24"/>
          <w:szCs w:val="24"/>
        </w:rPr>
        <w:t>0</w:t>
      </w:r>
      <w:r w:rsidRPr="00213A5D">
        <w:rPr>
          <w:b/>
          <w:sz w:val="24"/>
          <w:szCs w:val="24"/>
        </w:rPr>
        <w:t>.2.</w:t>
      </w:r>
      <w:r w:rsidR="00505176" w:rsidRPr="00213A5D">
        <w:rPr>
          <w:b/>
          <w:sz w:val="24"/>
          <w:szCs w:val="24"/>
        </w:rPr>
        <w:t> </w:t>
      </w:r>
      <w:r w:rsidR="0051094C" w:rsidRPr="00213A5D">
        <w:rPr>
          <w:sz w:val="24"/>
          <w:szCs w:val="24"/>
        </w:rPr>
        <w:t xml:space="preserve">Информация об исполнении кассовых расходов на предоставление </w:t>
      </w:r>
      <w:r w:rsidR="0051094C" w:rsidRPr="00213A5D">
        <w:rPr>
          <w:b/>
          <w:sz w:val="24"/>
          <w:szCs w:val="24"/>
        </w:rPr>
        <w:t xml:space="preserve">субсидий юридическим лицам, за исключением федеральных бюджетных и автономных учреждений, государственных корпораций (компаний), публично-правовых компаний </w:t>
      </w:r>
      <w:r w:rsidR="0051094C" w:rsidRPr="00213A5D">
        <w:rPr>
          <w:sz w:val="24"/>
          <w:szCs w:val="24"/>
        </w:rPr>
        <w:t>(далее – субсидии юридическим лицам), в январе – сентябре 2021 и 2022 годов (открытая часть) представлена в следующей таблице.</w:t>
      </w:r>
    </w:p>
    <w:p w14:paraId="15E062E7" w14:textId="77777777" w:rsidR="00860FBF" w:rsidRPr="00213A5D" w:rsidRDefault="0051094C" w:rsidP="00AF1852">
      <w:pPr>
        <w:widowControl w:val="0"/>
        <w:spacing w:line="350" w:lineRule="auto"/>
        <w:ind w:left="0" w:right="0"/>
        <w:jc w:val="right"/>
        <w:rPr>
          <w:sz w:val="20"/>
          <w:szCs w:val="20"/>
        </w:rPr>
      </w:pPr>
      <w:r w:rsidRPr="00213A5D">
        <w:rPr>
          <w:sz w:val="20"/>
          <w:szCs w:val="20"/>
        </w:rPr>
        <w:t xml:space="preserve"> </w:t>
      </w:r>
      <w:r w:rsidR="00860FBF" w:rsidRPr="00213A5D">
        <w:rPr>
          <w:sz w:val="20"/>
          <w:szCs w:val="20"/>
        </w:rPr>
        <w:t>(млн. рублей)</w:t>
      </w:r>
    </w:p>
    <w:tbl>
      <w:tblPr>
        <w:tblW w:w="9654" w:type="dxa"/>
        <w:tblInd w:w="93" w:type="dxa"/>
        <w:tblLook w:val="04A0" w:firstRow="1" w:lastRow="0" w:firstColumn="1" w:lastColumn="0" w:noHBand="0" w:noVBand="1"/>
      </w:tblPr>
      <w:tblGrid>
        <w:gridCol w:w="3417"/>
        <w:gridCol w:w="1701"/>
        <w:gridCol w:w="1560"/>
        <w:gridCol w:w="1559"/>
        <w:gridCol w:w="1417"/>
      </w:tblGrid>
      <w:tr w:rsidR="0051094C" w:rsidRPr="00213A5D" w14:paraId="35C28C5D" w14:textId="77777777" w:rsidTr="001F7856">
        <w:trPr>
          <w:tblHeader/>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EFB5A"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xml:space="preserve">Наименование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73D97D0"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Сводная роспись с изменениями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0F60AE4"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Кассовое исполнение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A0C77E9"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сводной росписи с изменениями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61107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изменения к 2021 году</w:t>
            </w:r>
          </w:p>
        </w:tc>
      </w:tr>
      <w:tr w:rsidR="0051094C" w:rsidRPr="00213A5D" w14:paraId="70A59BFD" w14:textId="77777777" w:rsidTr="001F7856">
        <w:tc>
          <w:tcPr>
            <w:tcW w:w="3417" w:type="dxa"/>
            <w:tcBorders>
              <w:top w:val="nil"/>
              <w:left w:val="single" w:sz="4" w:space="0" w:color="auto"/>
              <w:bottom w:val="single" w:sz="4" w:space="0" w:color="auto"/>
              <w:right w:val="single" w:sz="4" w:space="0" w:color="auto"/>
            </w:tcBorders>
            <w:shd w:val="clear" w:color="auto" w:fill="auto"/>
            <w:vAlign w:val="center"/>
            <w:hideMark/>
          </w:tcPr>
          <w:p w14:paraId="038F966B"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 xml:space="preserve">Субсидии юридическим лицам, индивидуальным предпринимателям, физическим лицам – производителям товаров, работ, услуг </w:t>
            </w:r>
          </w:p>
        </w:tc>
        <w:tc>
          <w:tcPr>
            <w:tcW w:w="1701" w:type="dxa"/>
            <w:tcBorders>
              <w:top w:val="nil"/>
              <w:left w:val="nil"/>
              <w:bottom w:val="single" w:sz="4" w:space="0" w:color="auto"/>
              <w:right w:val="single" w:sz="4" w:space="0" w:color="auto"/>
            </w:tcBorders>
            <w:shd w:val="clear" w:color="auto" w:fill="auto"/>
            <w:vAlign w:val="center"/>
          </w:tcPr>
          <w:p w14:paraId="368A370D"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371 083,8</w:t>
            </w:r>
          </w:p>
        </w:tc>
        <w:tc>
          <w:tcPr>
            <w:tcW w:w="1560" w:type="dxa"/>
            <w:tcBorders>
              <w:top w:val="nil"/>
              <w:left w:val="nil"/>
              <w:bottom w:val="single" w:sz="4" w:space="0" w:color="auto"/>
              <w:right w:val="single" w:sz="4" w:space="0" w:color="auto"/>
            </w:tcBorders>
            <w:shd w:val="clear" w:color="auto" w:fill="auto"/>
            <w:vAlign w:val="center"/>
          </w:tcPr>
          <w:p w14:paraId="6F6EBFB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190 198,3</w:t>
            </w:r>
          </w:p>
        </w:tc>
        <w:tc>
          <w:tcPr>
            <w:tcW w:w="1559" w:type="dxa"/>
            <w:tcBorders>
              <w:top w:val="nil"/>
              <w:left w:val="nil"/>
              <w:bottom w:val="single" w:sz="4" w:space="0" w:color="auto"/>
              <w:right w:val="single" w:sz="4" w:space="0" w:color="auto"/>
            </w:tcBorders>
            <w:shd w:val="clear" w:color="auto" w:fill="auto"/>
            <w:vAlign w:val="center"/>
          </w:tcPr>
          <w:p w14:paraId="06BCDE9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51,3</w:t>
            </w:r>
          </w:p>
        </w:tc>
        <w:tc>
          <w:tcPr>
            <w:tcW w:w="1417" w:type="dxa"/>
            <w:tcBorders>
              <w:top w:val="nil"/>
              <w:left w:val="nil"/>
              <w:bottom w:val="single" w:sz="4" w:space="0" w:color="auto"/>
              <w:right w:val="single" w:sz="4" w:space="0" w:color="auto"/>
            </w:tcBorders>
            <w:shd w:val="clear" w:color="auto" w:fill="auto"/>
            <w:noWrap/>
            <w:vAlign w:val="center"/>
          </w:tcPr>
          <w:p w14:paraId="16B31E7F"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66,6</w:t>
            </w:r>
          </w:p>
        </w:tc>
      </w:tr>
      <w:tr w:rsidR="0051094C" w:rsidRPr="00213A5D" w14:paraId="496CEC5D" w14:textId="77777777" w:rsidTr="001F7856">
        <w:tc>
          <w:tcPr>
            <w:tcW w:w="3417" w:type="dxa"/>
            <w:tcBorders>
              <w:top w:val="nil"/>
              <w:left w:val="single" w:sz="4" w:space="0" w:color="auto"/>
              <w:bottom w:val="single" w:sz="4" w:space="0" w:color="auto"/>
              <w:right w:val="single" w:sz="4" w:space="0" w:color="auto"/>
            </w:tcBorders>
            <w:shd w:val="clear" w:color="auto" w:fill="auto"/>
            <w:vAlign w:val="center"/>
            <w:hideMark/>
          </w:tcPr>
          <w:p w14:paraId="1C5E3F69"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 xml:space="preserve">Субсидии некоммерческим организациям </w:t>
            </w:r>
          </w:p>
        </w:tc>
        <w:tc>
          <w:tcPr>
            <w:tcW w:w="1701" w:type="dxa"/>
            <w:tcBorders>
              <w:top w:val="nil"/>
              <w:left w:val="nil"/>
              <w:bottom w:val="single" w:sz="4" w:space="0" w:color="auto"/>
              <w:right w:val="single" w:sz="4" w:space="0" w:color="auto"/>
            </w:tcBorders>
            <w:shd w:val="clear" w:color="auto" w:fill="auto"/>
            <w:vAlign w:val="center"/>
          </w:tcPr>
          <w:p w14:paraId="66B3546B"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1 849 021,0</w:t>
            </w:r>
          </w:p>
        </w:tc>
        <w:tc>
          <w:tcPr>
            <w:tcW w:w="1560" w:type="dxa"/>
            <w:tcBorders>
              <w:top w:val="nil"/>
              <w:left w:val="nil"/>
              <w:bottom w:val="single" w:sz="4" w:space="0" w:color="auto"/>
              <w:right w:val="single" w:sz="4" w:space="0" w:color="auto"/>
            </w:tcBorders>
            <w:shd w:val="clear" w:color="auto" w:fill="auto"/>
            <w:vAlign w:val="center"/>
          </w:tcPr>
          <w:p w14:paraId="08BA6C55"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1 078 724,4</w:t>
            </w:r>
          </w:p>
        </w:tc>
        <w:tc>
          <w:tcPr>
            <w:tcW w:w="1559" w:type="dxa"/>
            <w:tcBorders>
              <w:top w:val="nil"/>
              <w:left w:val="nil"/>
              <w:bottom w:val="single" w:sz="4" w:space="0" w:color="auto"/>
              <w:right w:val="single" w:sz="4" w:space="0" w:color="auto"/>
            </w:tcBorders>
            <w:shd w:val="clear" w:color="auto" w:fill="auto"/>
            <w:vAlign w:val="center"/>
          </w:tcPr>
          <w:p w14:paraId="72DABC16"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58,3</w:t>
            </w:r>
          </w:p>
        </w:tc>
        <w:tc>
          <w:tcPr>
            <w:tcW w:w="1417" w:type="dxa"/>
            <w:tcBorders>
              <w:top w:val="nil"/>
              <w:left w:val="nil"/>
              <w:bottom w:val="single" w:sz="4" w:space="0" w:color="auto"/>
              <w:right w:val="single" w:sz="4" w:space="0" w:color="auto"/>
            </w:tcBorders>
            <w:shd w:val="clear" w:color="auto" w:fill="auto"/>
            <w:noWrap/>
            <w:vAlign w:val="center"/>
          </w:tcPr>
          <w:p w14:paraId="4C6E9592"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-9,9</w:t>
            </w:r>
          </w:p>
        </w:tc>
      </w:tr>
      <w:tr w:rsidR="0051094C" w:rsidRPr="00213A5D" w14:paraId="1B21C367" w14:textId="77777777" w:rsidTr="001F7856">
        <w:tc>
          <w:tcPr>
            <w:tcW w:w="3417" w:type="dxa"/>
            <w:tcBorders>
              <w:top w:val="nil"/>
              <w:left w:val="single" w:sz="4" w:space="0" w:color="auto"/>
              <w:bottom w:val="single" w:sz="4" w:space="0" w:color="auto"/>
              <w:right w:val="single" w:sz="4" w:space="0" w:color="auto"/>
            </w:tcBorders>
            <w:shd w:val="clear" w:color="auto" w:fill="auto"/>
            <w:vAlign w:val="center"/>
            <w:hideMark/>
          </w:tcPr>
          <w:p w14:paraId="72B47BF5"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Итого</w:t>
            </w:r>
          </w:p>
        </w:tc>
        <w:tc>
          <w:tcPr>
            <w:tcW w:w="1701" w:type="dxa"/>
            <w:tcBorders>
              <w:top w:val="nil"/>
              <w:left w:val="nil"/>
              <w:bottom w:val="single" w:sz="4" w:space="0" w:color="auto"/>
              <w:right w:val="single" w:sz="4" w:space="0" w:color="auto"/>
            </w:tcBorders>
            <w:shd w:val="clear" w:color="auto" w:fill="auto"/>
            <w:vAlign w:val="center"/>
          </w:tcPr>
          <w:p w14:paraId="11044D7C"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2 220 104,8</w:t>
            </w:r>
          </w:p>
        </w:tc>
        <w:tc>
          <w:tcPr>
            <w:tcW w:w="1560" w:type="dxa"/>
            <w:tcBorders>
              <w:top w:val="nil"/>
              <w:left w:val="nil"/>
              <w:bottom w:val="single" w:sz="4" w:space="0" w:color="auto"/>
              <w:right w:val="single" w:sz="4" w:space="0" w:color="auto"/>
            </w:tcBorders>
            <w:shd w:val="clear" w:color="auto" w:fill="auto"/>
            <w:vAlign w:val="center"/>
          </w:tcPr>
          <w:p w14:paraId="6D1D3BAD"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1 268 922,7</w:t>
            </w:r>
          </w:p>
        </w:tc>
        <w:tc>
          <w:tcPr>
            <w:tcW w:w="1559" w:type="dxa"/>
            <w:tcBorders>
              <w:top w:val="nil"/>
              <w:left w:val="nil"/>
              <w:bottom w:val="single" w:sz="4" w:space="0" w:color="auto"/>
              <w:right w:val="single" w:sz="4" w:space="0" w:color="auto"/>
            </w:tcBorders>
            <w:shd w:val="clear" w:color="auto" w:fill="auto"/>
            <w:vAlign w:val="center"/>
          </w:tcPr>
          <w:p w14:paraId="15874D7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57,2</w:t>
            </w:r>
          </w:p>
        </w:tc>
        <w:tc>
          <w:tcPr>
            <w:tcW w:w="1417" w:type="dxa"/>
            <w:tcBorders>
              <w:top w:val="nil"/>
              <w:left w:val="nil"/>
              <w:bottom w:val="single" w:sz="4" w:space="0" w:color="auto"/>
              <w:right w:val="single" w:sz="4" w:space="0" w:color="auto"/>
            </w:tcBorders>
            <w:shd w:val="clear" w:color="auto" w:fill="auto"/>
            <w:noWrap/>
            <w:vAlign w:val="center"/>
          </w:tcPr>
          <w:p w14:paraId="02B2A99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-3,3</w:t>
            </w:r>
          </w:p>
        </w:tc>
      </w:tr>
    </w:tbl>
    <w:p w14:paraId="79521850" w14:textId="77777777" w:rsidR="00974D37" w:rsidRPr="00213A5D" w:rsidRDefault="00974D37" w:rsidP="00AF1852">
      <w:pPr>
        <w:widowControl w:val="0"/>
        <w:spacing w:line="240" w:lineRule="auto"/>
        <w:ind w:left="0" w:right="0"/>
        <w:rPr>
          <w:sz w:val="16"/>
          <w:szCs w:val="16"/>
        </w:rPr>
      </w:pPr>
    </w:p>
    <w:p w14:paraId="5D7BBA5C" w14:textId="77777777" w:rsidR="0051094C" w:rsidRPr="00213A5D" w:rsidRDefault="0051094C" w:rsidP="00A82452">
      <w:pPr>
        <w:widowControl w:val="0"/>
        <w:spacing w:line="324" w:lineRule="auto"/>
        <w:ind w:left="0" w:right="0"/>
        <w:rPr>
          <w:sz w:val="24"/>
          <w:szCs w:val="24"/>
        </w:rPr>
      </w:pPr>
      <w:r w:rsidRPr="00213A5D">
        <w:rPr>
          <w:sz w:val="24"/>
          <w:szCs w:val="24"/>
        </w:rPr>
        <w:t xml:space="preserve">Сводной росписью с изменениями бюджетные ассигнования на предоставление </w:t>
      </w:r>
      <w:r w:rsidRPr="00213A5D">
        <w:rPr>
          <w:b/>
          <w:sz w:val="24"/>
          <w:szCs w:val="24"/>
        </w:rPr>
        <w:t>593 субсидий юридическим лицам предусмотрены</w:t>
      </w:r>
      <w:r w:rsidRPr="00213A5D">
        <w:rPr>
          <w:sz w:val="24"/>
          <w:szCs w:val="24"/>
        </w:rPr>
        <w:t xml:space="preserve"> по 41 главному распорядителю.</w:t>
      </w:r>
    </w:p>
    <w:p w14:paraId="6EA93AA7" w14:textId="77777777" w:rsidR="0051094C" w:rsidRPr="00213A5D" w:rsidRDefault="0051094C" w:rsidP="00A82452">
      <w:pPr>
        <w:widowControl w:val="0"/>
        <w:spacing w:line="324" w:lineRule="auto"/>
        <w:ind w:left="0" w:right="0"/>
        <w:rPr>
          <w:sz w:val="24"/>
          <w:szCs w:val="24"/>
        </w:rPr>
      </w:pPr>
      <w:r w:rsidRPr="00213A5D">
        <w:rPr>
          <w:sz w:val="24"/>
          <w:szCs w:val="24"/>
        </w:rPr>
        <w:t xml:space="preserve">В феврале – сентябре 2022 года в рамках мер государственной поддержки, направленных на стабилизацию экономической ситуации и устойчивое экономическое развитие в условиях санкционного давления со стороны иностранных государств, на предоставление субсидий юридическим лицам сводной росписью с изменениями предусмотрено </w:t>
      </w:r>
      <w:r w:rsidR="000878BE" w:rsidRPr="00213A5D">
        <w:rPr>
          <w:sz w:val="24"/>
          <w:szCs w:val="24"/>
        </w:rPr>
        <w:t>608 </w:t>
      </w:r>
      <w:r w:rsidRPr="00213A5D">
        <w:rPr>
          <w:sz w:val="24"/>
          <w:szCs w:val="24"/>
        </w:rPr>
        <w:t>0</w:t>
      </w:r>
      <w:r w:rsidR="000878BE" w:rsidRPr="00213A5D">
        <w:rPr>
          <w:sz w:val="24"/>
          <w:szCs w:val="24"/>
        </w:rPr>
        <w:t>21,5 млн</w:t>
      </w:r>
      <w:r w:rsidRPr="00213A5D">
        <w:rPr>
          <w:sz w:val="24"/>
          <w:szCs w:val="24"/>
        </w:rPr>
        <w:t>. рублей</w:t>
      </w:r>
      <w:r w:rsidRPr="00213A5D">
        <w:rPr>
          <w:rStyle w:val="aff2"/>
          <w:sz w:val="24"/>
          <w:szCs w:val="24"/>
        </w:rPr>
        <w:footnoteReference w:id="46"/>
      </w:r>
      <w:r w:rsidRPr="00213A5D">
        <w:rPr>
          <w:sz w:val="24"/>
          <w:szCs w:val="24"/>
        </w:rPr>
        <w:t xml:space="preserve"> (27,4 % общего объема бюджетных ассигнований на субсидии юридическим лицам, предусмотренного сводной росписью с изменениями). По состоянию на 1 октября 2022 года бюджетные обязательства по указанным субсидиям приняты в сумме 491</w:t>
      </w:r>
      <w:r w:rsidR="000878BE" w:rsidRPr="00213A5D">
        <w:rPr>
          <w:sz w:val="24"/>
          <w:szCs w:val="24"/>
        </w:rPr>
        <w:t> </w:t>
      </w:r>
      <w:r w:rsidRPr="00213A5D">
        <w:rPr>
          <w:sz w:val="24"/>
          <w:szCs w:val="24"/>
        </w:rPr>
        <w:t>6</w:t>
      </w:r>
      <w:r w:rsidR="000878BE" w:rsidRPr="00213A5D">
        <w:rPr>
          <w:sz w:val="24"/>
          <w:szCs w:val="24"/>
        </w:rPr>
        <w:t>32,9</w:t>
      </w:r>
      <w:r w:rsidRPr="00213A5D">
        <w:rPr>
          <w:sz w:val="24"/>
          <w:szCs w:val="24"/>
        </w:rPr>
        <w:t> мл</w:t>
      </w:r>
      <w:r w:rsidR="000878BE" w:rsidRPr="00213A5D">
        <w:rPr>
          <w:sz w:val="24"/>
          <w:szCs w:val="24"/>
        </w:rPr>
        <w:t>н</w:t>
      </w:r>
      <w:r w:rsidRPr="00213A5D">
        <w:rPr>
          <w:sz w:val="24"/>
          <w:szCs w:val="24"/>
        </w:rPr>
        <w:t>. рублей (80,8 %).</w:t>
      </w:r>
    </w:p>
    <w:p w14:paraId="6D3C13B3" w14:textId="77777777" w:rsidR="0051094C" w:rsidRPr="00213A5D" w:rsidRDefault="0051094C" w:rsidP="00A82452">
      <w:pPr>
        <w:widowControl w:val="0"/>
        <w:spacing w:line="324" w:lineRule="auto"/>
        <w:ind w:left="0" w:right="0"/>
        <w:rPr>
          <w:bCs/>
          <w:sz w:val="24"/>
          <w:szCs w:val="24"/>
        </w:rPr>
      </w:pPr>
      <w:r w:rsidRPr="00213A5D">
        <w:rPr>
          <w:b/>
          <w:sz w:val="24"/>
          <w:szCs w:val="24"/>
        </w:rPr>
        <w:t>Объем заблокированных лимитов на предоставление субсидий</w:t>
      </w:r>
      <w:r w:rsidRPr="00213A5D">
        <w:rPr>
          <w:sz w:val="24"/>
          <w:szCs w:val="24"/>
        </w:rPr>
        <w:t xml:space="preserve"> юридическим лицам по состоянию на 1 октября 2022 года уменьшился по сравнению с аналогичным показателем на 1 января 2022 года на </w:t>
      </w:r>
      <w:r w:rsidR="00F21143" w:rsidRPr="00213A5D">
        <w:rPr>
          <w:sz w:val="24"/>
          <w:szCs w:val="24"/>
        </w:rPr>
        <w:t>204 197,6</w:t>
      </w:r>
      <w:r w:rsidRPr="00213A5D">
        <w:rPr>
          <w:sz w:val="24"/>
          <w:szCs w:val="24"/>
        </w:rPr>
        <w:t> мл</w:t>
      </w:r>
      <w:r w:rsidR="00F21143" w:rsidRPr="00213A5D">
        <w:rPr>
          <w:sz w:val="24"/>
          <w:szCs w:val="24"/>
        </w:rPr>
        <w:t>н</w:t>
      </w:r>
      <w:r w:rsidRPr="00213A5D">
        <w:rPr>
          <w:sz w:val="24"/>
          <w:szCs w:val="24"/>
        </w:rPr>
        <w:t>. рублей, или в 12,5 раз</w:t>
      </w:r>
      <w:r w:rsidR="006A53A1" w:rsidRPr="00213A5D">
        <w:rPr>
          <w:sz w:val="24"/>
          <w:szCs w:val="24"/>
        </w:rPr>
        <w:t>а</w:t>
      </w:r>
      <w:r w:rsidRPr="00213A5D">
        <w:rPr>
          <w:sz w:val="24"/>
          <w:szCs w:val="24"/>
        </w:rPr>
        <w:t xml:space="preserve">, и составил </w:t>
      </w:r>
      <w:r w:rsidRPr="00213A5D">
        <w:rPr>
          <w:b/>
          <w:sz w:val="24"/>
          <w:szCs w:val="24"/>
        </w:rPr>
        <w:lastRenderedPageBreak/>
        <w:t>17</w:t>
      </w:r>
      <w:r w:rsidR="00821588" w:rsidRPr="00213A5D">
        <w:rPr>
          <w:b/>
          <w:sz w:val="24"/>
          <w:szCs w:val="24"/>
        </w:rPr>
        <w:t> 791,0</w:t>
      </w:r>
      <w:r w:rsidRPr="00213A5D">
        <w:rPr>
          <w:b/>
          <w:sz w:val="24"/>
          <w:szCs w:val="24"/>
        </w:rPr>
        <w:t> мл</w:t>
      </w:r>
      <w:r w:rsidR="00821588" w:rsidRPr="00213A5D">
        <w:rPr>
          <w:b/>
          <w:sz w:val="24"/>
          <w:szCs w:val="24"/>
        </w:rPr>
        <w:t>н</w:t>
      </w:r>
      <w:r w:rsidRPr="00213A5D">
        <w:rPr>
          <w:b/>
          <w:sz w:val="24"/>
          <w:szCs w:val="24"/>
        </w:rPr>
        <w:t>. рублей</w:t>
      </w:r>
      <w:r w:rsidRPr="00213A5D">
        <w:rPr>
          <w:sz w:val="24"/>
          <w:szCs w:val="24"/>
        </w:rPr>
        <w:t xml:space="preserve"> (0,8 % объема утвержденных бюджетных назначений на предоставление субсидий юридическим лицам)</w:t>
      </w:r>
      <w:r w:rsidRPr="00213A5D">
        <w:rPr>
          <w:bCs/>
          <w:sz w:val="24"/>
          <w:szCs w:val="24"/>
        </w:rPr>
        <w:t>.</w:t>
      </w:r>
    </w:p>
    <w:p w14:paraId="34CC9DC2" w14:textId="77777777" w:rsidR="0051094C" w:rsidRPr="00213A5D" w:rsidRDefault="0051094C" w:rsidP="00A82452">
      <w:pPr>
        <w:widowControl w:val="0"/>
        <w:spacing w:line="324" w:lineRule="auto"/>
        <w:ind w:left="0" w:right="0"/>
        <w:rPr>
          <w:sz w:val="24"/>
          <w:szCs w:val="24"/>
        </w:rPr>
      </w:pPr>
      <w:r w:rsidRPr="00213A5D">
        <w:rPr>
          <w:sz w:val="24"/>
          <w:szCs w:val="24"/>
        </w:rPr>
        <w:t>Сведения о главных распорядителях средств федерального бюджета, по которым по состоянию на 1 октября 2022 года установлены заблокированные лимиты бюджетных обязательств на предоставление субсидий юридическим лицам (более 1</w:t>
      </w:r>
      <w:r w:rsidR="00CB28D0" w:rsidRPr="00213A5D">
        <w:rPr>
          <w:sz w:val="24"/>
          <w:szCs w:val="24"/>
        </w:rPr>
        <w:t> </w:t>
      </w:r>
      <w:r w:rsidRPr="00213A5D">
        <w:rPr>
          <w:sz w:val="24"/>
          <w:szCs w:val="24"/>
        </w:rPr>
        <w:t>0</w:t>
      </w:r>
      <w:r w:rsidR="00CB28D0" w:rsidRPr="00213A5D">
        <w:rPr>
          <w:sz w:val="24"/>
          <w:szCs w:val="24"/>
        </w:rPr>
        <w:t>00,0</w:t>
      </w:r>
      <w:r w:rsidRPr="00213A5D">
        <w:rPr>
          <w:sz w:val="24"/>
          <w:szCs w:val="24"/>
        </w:rPr>
        <w:t> мл</w:t>
      </w:r>
      <w:r w:rsidR="00CB28D0" w:rsidRPr="00213A5D">
        <w:rPr>
          <w:sz w:val="24"/>
          <w:szCs w:val="24"/>
        </w:rPr>
        <w:t>н</w:t>
      </w:r>
      <w:r w:rsidRPr="00213A5D">
        <w:rPr>
          <w:sz w:val="24"/>
          <w:szCs w:val="24"/>
        </w:rPr>
        <w:t>. рублей), и об объемах заблокированных лимитов представлены на следующей диаграмме.</w:t>
      </w:r>
    </w:p>
    <w:p w14:paraId="28CCEC53" w14:textId="77777777" w:rsidR="0051094C" w:rsidRPr="00213A5D" w:rsidRDefault="00CD0E98" w:rsidP="00AF1852">
      <w:pPr>
        <w:widowControl w:val="0"/>
        <w:spacing w:line="350" w:lineRule="auto"/>
        <w:ind w:left="0" w:right="0" w:firstLine="0"/>
        <w:jc w:val="center"/>
        <w:rPr>
          <w:sz w:val="24"/>
          <w:szCs w:val="24"/>
        </w:rPr>
      </w:pPr>
      <w:r>
        <w:rPr>
          <w:noProof/>
        </w:rPr>
        <w:pict w14:anchorId="7A8B329B">
          <v:shape id="_x0000_i1039" type="#_x0000_t75" alt="" style="width:311.1pt;height:156.25pt;mso-width-percent:0;mso-height-percent:0;mso-position-horizontal-relative:char;mso-position-vertical-relative:line;mso-width-percent:0;mso-height-percent:0">
            <v:imagedata r:id="rId65" o:title=""/>
          </v:shape>
        </w:pict>
      </w:r>
    </w:p>
    <w:p w14:paraId="5893059E" w14:textId="77777777" w:rsidR="0051094C" w:rsidRPr="00213A5D" w:rsidRDefault="0051094C" w:rsidP="00A82452">
      <w:pPr>
        <w:widowControl w:val="0"/>
        <w:spacing w:line="324" w:lineRule="auto"/>
        <w:ind w:left="0" w:right="0"/>
        <w:rPr>
          <w:b/>
          <w:sz w:val="24"/>
          <w:szCs w:val="24"/>
        </w:rPr>
      </w:pPr>
      <w:r w:rsidRPr="00213A5D">
        <w:rPr>
          <w:sz w:val="24"/>
          <w:szCs w:val="24"/>
        </w:rPr>
        <w:t xml:space="preserve">По результатам анализа заблокированных лимитов бюджетных обязательств на предоставление субсидий юридическим лицам установлено отсутствие по состоянию на 1 октября 2021 года нормативных правовых актов, устанавливающих правила (порядки) предоставления 10 субсидий в общей сумме </w:t>
      </w:r>
      <w:r w:rsidR="002E2907" w:rsidRPr="00213A5D">
        <w:rPr>
          <w:sz w:val="24"/>
          <w:szCs w:val="24"/>
        </w:rPr>
        <w:t>6 553,0</w:t>
      </w:r>
      <w:r w:rsidRPr="00213A5D">
        <w:rPr>
          <w:sz w:val="24"/>
          <w:szCs w:val="24"/>
        </w:rPr>
        <w:t> мл</w:t>
      </w:r>
      <w:r w:rsidR="002E2907" w:rsidRPr="00213A5D">
        <w:rPr>
          <w:sz w:val="24"/>
          <w:szCs w:val="24"/>
        </w:rPr>
        <w:t>н</w:t>
      </w:r>
      <w:r w:rsidRPr="00213A5D">
        <w:rPr>
          <w:sz w:val="24"/>
          <w:szCs w:val="24"/>
        </w:rPr>
        <w:t>. рублей, из которых по 3 субсидиям в общей сумме 3</w:t>
      </w:r>
      <w:r w:rsidR="002E2907" w:rsidRPr="00213A5D">
        <w:rPr>
          <w:sz w:val="24"/>
          <w:szCs w:val="24"/>
        </w:rPr>
        <w:t> </w:t>
      </w:r>
      <w:r w:rsidRPr="00213A5D">
        <w:rPr>
          <w:sz w:val="24"/>
          <w:szCs w:val="24"/>
        </w:rPr>
        <w:t>7</w:t>
      </w:r>
      <w:r w:rsidR="002E2907" w:rsidRPr="00213A5D">
        <w:rPr>
          <w:sz w:val="24"/>
          <w:szCs w:val="24"/>
        </w:rPr>
        <w:t>18,0</w:t>
      </w:r>
      <w:r w:rsidRPr="00213A5D">
        <w:rPr>
          <w:sz w:val="24"/>
          <w:szCs w:val="24"/>
        </w:rPr>
        <w:t> мл</w:t>
      </w:r>
      <w:r w:rsidR="002E2907" w:rsidRPr="00213A5D">
        <w:rPr>
          <w:sz w:val="24"/>
          <w:szCs w:val="24"/>
        </w:rPr>
        <w:t>н</w:t>
      </w:r>
      <w:r w:rsidRPr="00213A5D">
        <w:rPr>
          <w:sz w:val="24"/>
          <w:szCs w:val="24"/>
        </w:rPr>
        <w:t xml:space="preserve">. рублей бюджетные ассигнования предусмотрены сводной росписью с изменениями (решения о внесении соответствующих изменений в сводную роспись утверждены </w:t>
      </w:r>
      <w:r w:rsidRPr="00213A5D">
        <w:rPr>
          <w:b/>
          <w:sz w:val="24"/>
          <w:szCs w:val="24"/>
        </w:rPr>
        <w:t>в период с 29 августа по 14 сентября 2022 года).</w:t>
      </w:r>
    </w:p>
    <w:p w14:paraId="1B4B5398" w14:textId="77777777" w:rsidR="0051094C" w:rsidRPr="00213A5D" w:rsidRDefault="0051094C" w:rsidP="00A82452">
      <w:pPr>
        <w:widowControl w:val="0"/>
        <w:spacing w:line="324" w:lineRule="auto"/>
        <w:ind w:left="0" w:right="0"/>
        <w:rPr>
          <w:sz w:val="24"/>
          <w:szCs w:val="24"/>
        </w:rPr>
      </w:pPr>
      <w:r w:rsidRPr="00213A5D">
        <w:rPr>
          <w:sz w:val="24"/>
          <w:szCs w:val="24"/>
        </w:rPr>
        <w:t>Указанные субсидии с наибольшими объемами бюджетных ассигнований (более 500,0 млн. рублей) представлены в следующей таблице.</w:t>
      </w:r>
    </w:p>
    <w:p w14:paraId="33D2B5DA" w14:textId="77777777" w:rsidR="006F7A04" w:rsidRPr="00213A5D" w:rsidRDefault="0051094C" w:rsidP="00AF1852">
      <w:pPr>
        <w:widowControl w:val="0"/>
        <w:spacing w:line="240" w:lineRule="auto"/>
        <w:ind w:left="0" w:right="0"/>
        <w:jc w:val="right"/>
        <w:rPr>
          <w:sz w:val="20"/>
          <w:szCs w:val="20"/>
        </w:rPr>
      </w:pPr>
      <w:r w:rsidRPr="00213A5D">
        <w:rPr>
          <w:sz w:val="20"/>
          <w:szCs w:val="20"/>
        </w:rPr>
        <w:t xml:space="preserve"> </w:t>
      </w:r>
      <w:r w:rsidR="006F7A04" w:rsidRPr="00213A5D">
        <w:rPr>
          <w:sz w:val="20"/>
          <w:szCs w:val="20"/>
        </w:rPr>
        <w:t>(млн. рублей)</w:t>
      </w:r>
    </w:p>
    <w:tbl>
      <w:tblPr>
        <w:tblW w:w="9666" w:type="dxa"/>
        <w:tblInd w:w="93" w:type="dxa"/>
        <w:tblLook w:val="04A0" w:firstRow="1" w:lastRow="0" w:firstColumn="1" w:lastColumn="0" w:noHBand="0" w:noVBand="1"/>
      </w:tblPr>
      <w:tblGrid>
        <w:gridCol w:w="2000"/>
        <w:gridCol w:w="6095"/>
        <w:gridCol w:w="1571"/>
      </w:tblGrid>
      <w:tr w:rsidR="0051094C" w:rsidRPr="00213A5D" w14:paraId="649B3D47" w14:textId="77777777" w:rsidTr="001B1D86">
        <w:trPr>
          <w:tblHeader/>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388C"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Главный распорядитель</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05613039"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Наименование субсидии</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7C83BA9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Объем заблокированных лимитов бюджетных обязательств</w:t>
            </w:r>
          </w:p>
        </w:tc>
      </w:tr>
      <w:tr w:rsidR="0051094C" w:rsidRPr="00213A5D" w14:paraId="1C701CFD" w14:textId="77777777" w:rsidTr="001B1D86">
        <w:tc>
          <w:tcPr>
            <w:tcW w:w="2000" w:type="dxa"/>
            <w:tcBorders>
              <w:top w:val="nil"/>
              <w:left w:val="single" w:sz="4" w:space="0" w:color="auto"/>
              <w:bottom w:val="single" w:sz="4" w:space="0" w:color="auto"/>
              <w:right w:val="single" w:sz="4" w:space="0" w:color="auto"/>
            </w:tcBorders>
            <w:shd w:val="clear" w:color="auto" w:fill="auto"/>
            <w:vAlign w:val="center"/>
            <w:hideMark/>
          </w:tcPr>
          <w:p w14:paraId="328AACA1" w14:textId="77777777" w:rsidR="0051094C" w:rsidRPr="00213A5D" w:rsidRDefault="0051094C"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Росжелдор</w:t>
            </w:r>
          </w:p>
        </w:tc>
        <w:tc>
          <w:tcPr>
            <w:tcW w:w="6095" w:type="dxa"/>
            <w:tcBorders>
              <w:top w:val="nil"/>
              <w:left w:val="nil"/>
              <w:bottom w:val="single" w:sz="4" w:space="0" w:color="auto"/>
              <w:right w:val="single" w:sz="4" w:space="0" w:color="auto"/>
            </w:tcBorders>
            <w:shd w:val="clear" w:color="auto" w:fill="auto"/>
            <w:vAlign w:val="center"/>
            <w:hideMark/>
          </w:tcPr>
          <w:p w14:paraId="0D0D5C2E"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Субсидия на реализацию мероприятий в рамках специального инфраструктурного проекта в части железнодорожного транспорта за счет средств резервного фонда Правительства Российской Федерации</w:t>
            </w:r>
          </w:p>
        </w:tc>
        <w:tc>
          <w:tcPr>
            <w:tcW w:w="1571" w:type="dxa"/>
            <w:tcBorders>
              <w:top w:val="nil"/>
              <w:left w:val="nil"/>
              <w:bottom w:val="single" w:sz="4" w:space="0" w:color="auto"/>
              <w:right w:val="single" w:sz="4" w:space="0" w:color="auto"/>
            </w:tcBorders>
            <w:shd w:val="clear" w:color="auto" w:fill="auto"/>
            <w:noWrap/>
            <w:vAlign w:val="center"/>
            <w:hideMark/>
          </w:tcPr>
          <w:p w14:paraId="54961352"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3 200,0</w:t>
            </w:r>
          </w:p>
        </w:tc>
      </w:tr>
      <w:tr w:rsidR="0051094C" w:rsidRPr="00213A5D" w14:paraId="00A1E09F" w14:textId="77777777" w:rsidTr="001B1D86">
        <w:tc>
          <w:tcPr>
            <w:tcW w:w="2000" w:type="dxa"/>
            <w:tcBorders>
              <w:top w:val="nil"/>
              <w:left w:val="single" w:sz="4" w:space="0" w:color="auto"/>
              <w:bottom w:val="single" w:sz="4" w:space="0" w:color="auto"/>
              <w:right w:val="single" w:sz="4" w:space="0" w:color="auto"/>
            </w:tcBorders>
            <w:shd w:val="clear" w:color="auto" w:fill="auto"/>
            <w:vAlign w:val="center"/>
          </w:tcPr>
          <w:p w14:paraId="1414D47A" w14:textId="77777777" w:rsidR="0051094C" w:rsidRPr="00213A5D" w:rsidRDefault="0051094C"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Минэнерго России</w:t>
            </w:r>
          </w:p>
        </w:tc>
        <w:tc>
          <w:tcPr>
            <w:tcW w:w="6095" w:type="dxa"/>
            <w:tcBorders>
              <w:top w:val="nil"/>
              <w:left w:val="nil"/>
              <w:bottom w:val="single" w:sz="4" w:space="0" w:color="auto"/>
              <w:right w:val="single" w:sz="4" w:space="0" w:color="auto"/>
            </w:tcBorders>
            <w:shd w:val="clear" w:color="auto" w:fill="auto"/>
            <w:vAlign w:val="center"/>
          </w:tcPr>
          <w:p w14:paraId="7E28197E"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Субсидии на компенсацию части затрат на реализацию проектов в сфере технологий производства, транспортировки и хранения водорода для крупных экспортно ориентированных проектов</w:t>
            </w:r>
            <w:r w:rsidRPr="00213A5D">
              <w:rPr>
                <w:rStyle w:val="aff2"/>
                <w:rFonts w:eastAsia="Times New Roman"/>
                <w:color w:val="000000"/>
                <w:sz w:val="18"/>
                <w:szCs w:val="18"/>
              </w:rPr>
              <w:footnoteReference w:id="47"/>
            </w:r>
          </w:p>
        </w:tc>
        <w:tc>
          <w:tcPr>
            <w:tcW w:w="1571" w:type="dxa"/>
            <w:tcBorders>
              <w:top w:val="nil"/>
              <w:left w:val="nil"/>
              <w:bottom w:val="single" w:sz="4" w:space="0" w:color="auto"/>
              <w:right w:val="single" w:sz="4" w:space="0" w:color="auto"/>
            </w:tcBorders>
            <w:shd w:val="clear" w:color="auto" w:fill="auto"/>
            <w:noWrap/>
            <w:vAlign w:val="center"/>
          </w:tcPr>
          <w:p w14:paraId="6366FA6C"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1 550,0</w:t>
            </w:r>
          </w:p>
        </w:tc>
      </w:tr>
      <w:tr w:rsidR="0051094C" w:rsidRPr="00213A5D" w14:paraId="63B2DBBA" w14:textId="77777777" w:rsidTr="001B1D86">
        <w:tc>
          <w:tcPr>
            <w:tcW w:w="2000" w:type="dxa"/>
            <w:tcBorders>
              <w:top w:val="nil"/>
              <w:left w:val="single" w:sz="4" w:space="0" w:color="auto"/>
              <w:bottom w:val="single" w:sz="4" w:space="0" w:color="auto"/>
              <w:right w:val="single" w:sz="4" w:space="0" w:color="auto"/>
            </w:tcBorders>
            <w:shd w:val="clear" w:color="auto" w:fill="auto"/>
            <w:vAlign w:val="center"/>
          </w:tcPr>
          <w:p w14:paraId="5D32F001" w14:textId="77777777" w:rsidR="0051094C" w:rsidRPr="00213A5D" w:rsidRDefault="0051094C" w:rsidP="00AF1852">
            <w:pPr>
              <w:widowControl w:val="0"/>
              <w:overflowPunct/>
              <w:autoSpaceDE/>
              <w:autoSpaceDN/>
              <w:adjustRightInd/>
              <w:spacing w:line="240" w:lineRule="auto"/>
              <w:ind w:left="0" w:right="0" w:firstLine="0"/>
              <w:jc w:val="left"/>
              <w:textAlignment w:val="auto"/>
              <w:rPr>
                <w:rFonts w:eastAsia="Times New Roman"/>
                <w:color w:val="000000"/>
                <w:sz w:val="18"/>
                <w:szCs w:val="18"/>
              </w:rPr>
            </w:pPr>
            <w:r w:rsidRPr="00213A5D">
              <w:rPr>
                <w:rFonts w:eastAsia="Times New Roman"/>
                <w:color w:val="000000"/>
                <w:sz w:val="18"/>
                <w:szCs w:val="18"/>
              </w:rPr>
              <w:t>Ростуризм</w:t>
            </w:r>
          </w:p>
        </w:tc>
        <w:tc>
          <w:tcPr>
            <w:tcW w:w="6095" w:type="dxa"/>
            <w:tcBorders>
              <w:top w:val="nil"/>
              <w:left w:val="nil"/>
              <w:bottom w:val="single" w:sz="4" w:space="0" w:color="auto"/>
              <w:right w:val="single" w:sz="4" w:space="0" w:color="auto"/>
            </w:tcBorders>
            <w:shd w:val="clear" w:color="auto" w:fill="auto"/>
            <w:vAlign w:val="center"/>
          </w:tcPr>
          <w:p w14:paraId="062E31B5"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Государственная поддержка автономной некоммерческой организации «Развитие туризма» в целях создания и реализации программы продвижения, направленной на популяризацию Российской Федерации как туристского направления</w:t>
            </w:r>
          </w:p>
        </w:tc>
        <w:tc>
          <w:tcPr>
            <w:tcW w:w="1571" w:type="dxa"/>
            <w:tcBorders>
              <w:top w:val="nil"/>
              <w:left w:val="nil"/>
              <w:bottom w:val="single" w:sz="4" w:space="0" w:color="auto"/>
              <w:right w:val="single" w:sz="4" w:space="0" w:color="auto"/>
            </w:tcBorders>
            <w:shd w:val="clear" w:color="auto" w:fill="auto"/>
            <w:noWrap/>
            <w:vAlign w:val="center"/>
          </w:tcPr>
          <w:p w14:paraId="3535957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548,5</w:t>
            </w:r>
          </w:p>
        </w:tc>
      </w:tr>
    </w:tbl>
    <w:p w14:paraId="5FA459F1" w14:textId="77777777" w:rsidR="0051094C" w:rsidRPr="00213A5D" w:rsidRDefault="0051094C" w:rsidP="00AF1852">
      <w:pPr>
        <w:widowControl w:val="0"/>
        <w:spacing w:line="336" w:lineRule="auto"/>
        <w:ind w:left="0" w:right="0"/>
        <w:rPr>
          <w:sz w:val="24"/>
          <w:szCs w:val="24"/>
        </w:rPr>
      </w:pPr>
      <w:r w:rsidRPr="00213A5D">
        <w:rPr>
          <w:sz w:val="24"/>
          <w:szCs w:val="24"/>
        </w:rPr>
        <w:t xml:space="preserve">В соответствии с пунктом 25 Положения о мерах по обеспечению исполнения федерального бюджета предоставление из федерального бюджета субсидий </w:t>
      </w:r>
      <w:r w:rsidRPr="00213A5D">
        <w:rPr>
          <w:sz w:val="24"/>
          <w:szCs w:val="24"/>
        </w:rPr>
        <w:br/>
        <w:t xml:space="preserve">юридическим лицам осуществляется в соответствии с договорами (соглашениями) об их </w:t>
      </w:r>
      <w:r w:rsidRPr="00213A5D">
        <w:rPr>
          <w:sz w:val="24"/>
          <w:szCs w:val="24"/>
        </w:rPr>
        <w:lastRenderedPageBreak/>
        <w:t>предоставлении. На основании договоров (соглашений) осуществляется принятие бюджетных обязательств. По состоянию на 1 октября 2022 года объем принятых бюджетных обязательств по расходам на предоставление субсидий юридическим лицам составляет 1</w:t>
      </w:r>
      <w:r w:rsidR="000E7AE5" w:rsidRPr="00213A5D">
        <w:rPr>
          <w:sz w:val="24"/>
          <w:szCs w:val="24"/>
        </w:rPr>
        <w:t> </w:t>
      </w:r>
      <w:r w:rsidRPr="00213A5D">
        <w:rPr>
          <w:sz w:val="24"/>
          <w:szCs w:val="24"/>
        </w:rPr>
        <w:t>911</w:t>
      </w:r>
      <w:r w:rsidR="000E7AE5" w:rsidRPr="00213A5D">
        <w:rPr>
          <w:sz w:val="24"/>
          <w:szCs w:val="24"/>
        </w:rPr>
        <w:t> 252,1 млн</w:t>
      </w:r>
      <w:r w:rsidRPr="00213A5D">
        <w:rPr>
          <w:sz w:val="24"/>
          <w:szCs w:val="24"/>
        </w:rPr>
        <w:t>. рублей, или 86,1 % объема лимитов бюджетных обязательств, предусмот</w:t>
      </w:r>
      <w:r w:rsidR="000E7AE5" w:rsidRPr="00213A5D">
        <w:rPr>
          <w:sz w:val="24"/>
          <w:szCs w:val="24"/>
        </w:rPr>
        <w:t>ренных на указанные цели (2 220 </w:t>
      </w:r>
      <w:r w:rsidRPr="00213A5D">
        <w:rPr>
          <w:sz w:val="24"/>
          <w:szCs w:val="24"/>
        </w:rPr>
        <w:t>1</w:t>
      </w:r>
      <w:r w:rsidR="000E7AE5" w:rsidRPr="00213A5D">
        <w:rPr>
          <w:sz w:val="24"/>
          <w:szCs w:val="24"/>
        </w:rPr>
        <w:t>04,8</w:t>
      </w:r>
      <w:r w:rsidRPr="00213A5D">
        <w:rPr>
          <w:sz w:val="24"/>
          <w:szCs w:val="24"/>
        </w:rPr>
        <w:t> мл</w:t>
      </w:r>
      <w:r w:rsidR="000E7AE5" w:rsidRPr="00213A5D">
        <w:rPr>
          <w:sz w:val="24"/>
          <w:szCs w:val="24"/>
        </w:rPr>
        <w:t>н</w:t>
      </w:r>
      <w:r w:rsidRPr="00213A5D">
        <w:rPr>
          <w:sz w:val="24"/>
          <w:szCs w:val="24"/>
        </w:rPr>
        <w:t>. рублей).</w:t>
      </w:r>
    </w:p>
    <w:p w14:paraId="3F1B578E" w14:textId="77777777" w:rsidR="0051094C" w:rsidRPr="00213A5D" w:rsidRDefault="0051094C" w:rsidP="00AF1852">
      <w:pPr>
        <w:widowControl w:val="0"/>
        <w:spacing w:line="336" w:lineRule="auto"/>
        <w:ind w:left="0" w:right="0"/>
        <w:rPr>
          <w:b/>
          <w:bCs/>
          <w:sz w:val="24"/>
          <w:szCs w:val="24"/>
        </w:rPr>
      </w:pPr>
      <w:r w:rsidRPr="00213A5D">
        <w:rPr>
          <w:bCs/>
          <w:sz w:val="24"/>
          <w:szCs w:val="24"/>
        </w:rPr>
        <w:t xml:space="preserve">Согласно Типовому графику по состоянию на 1 октября 2022 года рекомендуемое значение показателя «Перечислены субсидии юр.лицам (ИП)» – </w:t>
      </w:r>
      <w:r w:rsidRPr="00213A5D">
        <w:rPr>
          <w:b/>
          <w:bCs/>
          <w:sz w:val="24"/>
          <w:szCs w:val="24"/>
        </w:rPr>
        <w:t>75 %.</w:t>
      </w:r>
    </w:p>
    <w:p w14:paraId="16FAB6BC" w14:textId="77777777" w:rsidR="0051094C" w:rsidRPr="00213A5D" w:rsidRDefault="0051094C" w:rsidP="00AF1852">
      <w:pPr>
        <w:widowControl w:val="0"/>
        <w:spacing w:line="336" w:lineRule="auto"/>
        <w:ind w:left="0" w:right="0"/>
        <w:rPr>
          <w:sz w:val="24"/>
          <w:szCs w:val="24"/>
        </w:rPr>
      </w:pPr>
      <w:r w:rsidRPr="00213A5D">
        <w:rPr>
          <w:sz w:val="24"/>
          <w:szCs w:val="24"/>
        </w:rPr>
        <w:t>На уровне ниже 75 % приняты бюджетные обязательства на предоставление субсидий на указанные цели по:</w:t>
      </w:r>
    </w:p>
    <w:p w14:paraId="2B40FD1A" w14:textId="77777777" w:rsidR="0051094C" w:rsidRPr="00213A5D" w:rsidRDefault="0051094C" w:rsidP="00AF1852">
      <w:pPr>
        <w:widowControl w:val="0"/>
        <w:spacing w:line="336" w:lineRule="auto"/>
        <w:ind w:left="1069" w:right="0" w:firstLine="0"/>
        <w:rPr>
          <w:sz w:val="24"/>
          <w:szCs w:val="24"/>
        </w:rPr>
      </w:pPr>
      <w:r w:rsidRPr="00213A5D">
        <w:rPr>
          <w:sz w:val="24"/>
          <w:szCs w:val="24"/>
        </w:rPr>
        <w:t>Минприроды России (0,9 % объема предусмотренных ЛБО на предоставление субсидий юридическим лицам);</w:t>
      </w:r>
    </w:p>
    <w:p w14:paraId="773A87C3" w14:textId="77777777" w:rsidR="0051094C" w:rsidRPr="00213A5D" w:rsidRDefault="0051094C" w:rsidP="00AF1852">
      <w:pPr>
        <w:widowControl w:val="0"/>
        <w:spacing w:line="336" w:lineRule="auto"/>
        <w:ind w:left="1069" w:right="0" w:firstLine="0"/>
        <w:rPr>
          <w:sz w:val="24"/>
          <w:szCs w:val="24"/>
        </w:rPr>
      </w:pPr>
      <w:r w:rsidRPr="00213A5D">
        <w:rPr>
          <w:sz w:val="24"/>
          <w:szCs w:val="24"/>
        </w:rPr>
        <w:t>Минвостокразвития России (54,3 %);</w:t>
      </w:r>
    </w:p>
    <w:p w14:paraId="1B774252" w14:textId="77777777" w:rsidR="0051094C" w:rsidRPr="00213A5D" w:rsidRDefault="0051094C" w:rsidP="00AF1852">
      <w:pPr>
        <w:widowControl w:val="0"/>
        <w:spacing w:line="336" w:lineRule="auto"/>
        <w:ind w:left="1069" w:right="0" w:firstLine="0"/>
        <w:rPr>
          <w:sz w:val="24"/>
          <w:szCs w:val="24"/>
        </w:rPr>
      </w:pPr>
      <w:r w:rsidRPr="00213A5D">
        <w:rPr>
          <w:sz w:val="24"/>
          <w:szCs w:val="24"/>
        </w:rPr>
        <w:t>Росморречфлоту (64,9 %);</w:t>
      </w:r>
    </w:p>
    <w:p w14:paraId="49380EA4" w14:textId="77777777" w:rsidR="0051094C" w:rsidRPr="00213A5D" w:rsidRDefault="0051094C" w:rsidP="00AF1852">
      <w:pPr>
        <w:widowControl w:val="0"/>
        <w:spacing w:line="336" w:lineRule="auto"/>
        <w:ind w:left="1069" w:right="0" w:firstLine="0"/>
        <w:rPr>
          <w:sz w:val="24"/>
          <w:szCs w:val="24"/>
        </w:rPr>
      </w:pPr>
      <w:r w:rsidRPr="00213A5D">
        <w:rPr>
          <w:sz w:val="24"/>
          <w:szCs w:val="24"/>
        </w:rPr>
        <w:t>Минпромторгу России (68,5 %).</w:t>
      </w:r>
    </w:p>
    <w:p w14:paraId="06969507" w14:textId="77777777" w:rsidR="0051094C" w:rsidRPr="00213A5D" w:rsidRDefault="0051094C" w:rsidP="00AF1852">
      <w:pPr>
        <w:widowControl w:val="0"/>
        <w:spacing w:line="336" w:lineRule="auto"/>
        <w:ind w:left="0" w:right="0"/>
        <w:rPr>
          <w:sz w:val="24"/>
          <w:szCs w:val="24"/>
        </w:rPr>
      </w:pPr>
      <w:r w:rsidRPr="00213A5D">
        <w:rPr>
          <w:b/>
          <w:sz w:val="24"/>
          <w:szCs w:val="24"/>
        </w:rPr>
        <w:t>Исполнение</w:t>
      </w:r>
      <w:r w:rsidRPr="00213A5D">
        <w:rPr>
          <w:sz w:val="24"/>
          <w:szCs w:val="24"/>
        </w:rPr>
        <w:t xml:space="preserve"> расходов на предоставление субсидий юридическим лицам за январь – сентябрь 2022 года </w:t>
      </w:r>
      <w:r w:rsidRPr="00213A5D">
        <w:rPr>
          <w:b/>
          <w:sz w:val="24"/>
          <w:szCs w:val="24"/>
        </w:rPr>
        <w:t>на 42</w:t>
      </w:r>
      <w:r w:rsidR="00E651C1" w:rsidRPr="00213A5D">
        <w:rPr>
          <w:b/>
          <w:sz w:val="24"/>
          <w:szCs w:val="24"/>
        </w:rPr>
        <w:t> 78</w:t>
      </w:r>
      <w:r w:rsidRPr="00213A5D">
        <w:rPr>
          <w:b/>
          <w:sz w:val="24"/>
          <w:szCs w:val="24"/>
        </w:rPr>
        <w:t>8</w:t>
      </w:r>
      <w:r w:rsidR="00E651C1" w:rsidRPr="00213A5D">
        <w:rPr>
          <w:b/>
          <w:sz w:val="24"/>
          <w:szCs w:val="24"/>
        </w:rPr>
        <w:t>,5</w:t>
      </w:r>
      <w:r w:rsidRPr="00213A5D">
        <w:rPr>
          <w:b/>
          <w:sz w:val="24"/>
          <w:szCs w:val="24"/>
        </w:rPr>
        <w:t> мл</w:t>
      </w:r>
      <w:r w:rsidR="00E651C1" w:rsidRPr="00213A5D">
        <w:rPr>
          <w:b/>
          <w:sz w:val="24"/>
          <w:szCs w:val="24"/>
        </w:rPr>
        <w:t>н</w:t>
      </w:r>
      <w:r w:rsidRPr="00213A5D">
        <w:rPr>
          <w:b/>
          <w:sz w:val="24"/>
          <w:szCs w:val="24"/>
        </w:rPr>
        <w:t>. рублей, или на 3,3 %, меньше</w:t>
      </w:r>
      <w:r w:rsidRPr="00213A5D">
        <w:rPr>
          <w:sz w:val="24"/>
          <w:szCs w:val="24"/>
        </w:rPr>
        <w:t xml:space="preserve"> аналогичного периода предыдущего года. </w:t>
      </w:r>
      <w:r w:rsidRPr="00213A5D">
        <w:rPr>
          <w:b/>
          <w:sz w:val="24"/>
          <w:szCs w:val="24"/>
        </w:rPr>
        <w:t>Уровень</w:t>
      </w:r>
      <w:r w:rsidRPr="00213A5D">
        <w:rPr>
          <w:sz w:val="24"/>
          <w:szCs w:val="24"/>
        </w:rPr>
        <w:t xml:space="preserve"> исполнения расходов на указанные цели </w:t>
      </w:r>
      <w:r w:rsidRPr="00213A5D">
        <w:rPr>
          <w:b/>
          <w:sz w:val="24"/>
          <w:szCs w:val="24"/>
        </w:rPr>
        <w:t>на 17 процентных пункт</w:t>
      </w:r>
      <w:r w:rsidR="00DF774B" w:rsidRPr="00213A5D">
        <w:rPr>
          <w:b/>
          <w:sz w:val="24"/>
          <w:szCs w:val="24"/>
        </w:rPr>
        <w:t>ов</w:t>
      </w:r>
      <w:r w:rsidRPr="00213A5D">
        <w:rPr>
          <w:b/>
          <w:sz w:val="24"/>
          <w:szCs w:val="24"/>
        </w:rPr>
        <w:t xml:space="preserve"> ниже </w:t>
      </w:r>
      <w:r w:rsidRPr="00213A5D">
        <w:rPr>
          <w:sz w:val="24"/>
          <w:szCs w:val="24"/>
        </w:rPr>
        <w:t>аналогичного периода предыдущего года.</w:t>
      </w:r>
    </w:p>
    <w:p w14:paraId="59DFF326" w14:textId="77777777" w:rsidR="0051094C" w:rsidRPr="00213A5D" w:rsidRDefault="0051094C" w:rsidP="00AF1852">
      <w:pPr>
        <w:widowControl w:val="0"/>
        <w:spacing w:line="336" w:lineRule="auto"/>
        <w:ind w:left="0" w:right="0"/>
        <w:rPr>
          <w:sz w:val="24"/>
          <w:szCs w:val="24"/>
        </w:rPr>
      </w:pPr>
      <w:r w:rsidRPr="00213A5D">
        <w:rPr>
          <w:sz w:val="24"/>
          <w:szCs w:val="24"/>
        </w:rPr>
        <w:t>Анализ исполнения расходов федерального бюджета на предоставление субсидий юридическим лицам по состоянию на 1 октября 2022 года по главным распорядителям средств федерального бюджета представлен на следующей диаграмме.</w:t>
      </w:r>
    </w:p>
    <w:p w14:paraId="7F7FEF30" w14:textId="77777777" w:rsidR="0051094C" w:rsidRPr="00213A5D" w:rsidRDefault="00CD0E98" w:rsidP="00AF1852">
      <w:pPr>
        <w:widowControl w:val="0"/>
        <w:spacing w:line="350" w:lineRule="auto"/>
        <w:ind w:left="0" w:right="0" w:firstLine="0"/>
        <w:jc w:val="center"/>
        <w:rPr>
          <w:sz w:val="24"/>
          <w:szCs w:val="24"/>
        </w:rPr>
      </w:pPr>
      <w:r w:rsidRPr="00CD0E98">
        <w:rPr>
          <w:noProof/>
          <w:sz w:val="24"/>
          <w:szCs w:val="24"/>
        </w:rPr>
        <w:pict w14:anchorId="21CBFF52">
          <v:shape id="_x0000_i1038" type="#_x0000_t75" alt="" style="width:205.8pt;height:198.35pt;mso-width-percent:0;mso-height-percent:0;mso-position-horizontal-relative:char;mso-position-vertical-relative:line;mso-width-percent:0;mso-height-percent:0">
            <v:imagedata r:id="rId66" o:title="" cropleft="16462f" cropright="22426f"/>
          </v:shape>
        </w:pict>
      </w:r>
    </w:p>
    <w:p w14:paraId="6A080456" w14:textId="77777777" w:rsidR="0051094C" w:rsidRPr="00213A5D" w:rsidRDefault="0051094C" w:rsidP="00AF1852">
      <w:pPr>
        <w:widowControl w:val="0"/>
        <w:ind w:left="0" w:right="0"/>
        <w:rPr>
          <w:sz w:val="24"/>
          <w:szCs w:val="24"/>
        </w:rPr>
      </w:pPr>
      <w:r w:rsidRPr="00213A5D">
        <w:rPr>
          <w:b/>
          <w:bCs/>
          <w:sz w:val="24"/>
          <w:szCs w:val="24"/>
        </w:rPr>
        <w:t>Не осуществлялось исполнение</w:t>
      </w:r>
      <w:r w:rsidRPr="00213A5D">
        <w:rPr>
          <w:bCs/>
          <w:sz w:val="24"/>
          <w:szCs w:val="24"/>
        </w:rPr>
        <w:t xml:space="preserve"> расходов </w:t>
      </w:r>
      <w:r w:rsidRPr="00213A5D">
        <w:rPr>
          <w:sz w:val="24"/>
          <w:szCs w:val="24"/>
        </w:rPr>
        <w:t xml:space="preserve">на предоставление субсидий юридическим лицам по МВД России в связи с </w:t>
      </w:r>
      <w:r w:rsidRPr="00213A5D">
        <w:rPr>
          <w:rFonts w:eastAsia="Times New Roman"/>
          <w:bCs/>
          <w:sz w:val="24"/>
          <w:szCs w:val="24"/>
        </w:rPr>
        <w:t>отсутствием соглашений о предоставлении субсидий на государственную поддержку отдельных общественных и иных некоммерческих организаций</w:t>
      </w:r>
      <w:r w:rsidRPr="00213A5D">
        <w:rPr>
          <w:sz w:val="24"/>
          <w:szCs w:val="24"/>
        </w:rPr>
        <w:t>.</w:t>
      </w:r>
    </w:p>
    <w:p w14:paraId="509B59D7" w14:textId="77777777" w:rsidR="0051094C" w:rsidRPr="00213A5D" w:rsidRDefault="0051094C" w:rsidP="00AF1852">
      <w:pPr>
        <w:widowControl w:val="0"/>
        <w:ind w:left="0" w:right="0"/>
        <w:rPr>
          <w:bCs/>
          <w:sz w:val="24"/>
          <w:szCs w:val="24"/>
        </w:rPr>
      </w:pPr>
      <w:r w:rsidRPr="00213A5D">
        <w:rPr>
          <w:bCs/>
          <w:sz w:val="24"/>
          <w:szCs w:val="24"/>
        </w:rPr>
        <w:t xml:space="preserve">По состоянию на 1 октября 2022 года по 28 главным распорядителям расходы на предоставление субсидий юридическим лицам исполнены на уровне от 0,2 % до 75 %, из них по 7 главным распорядителям (Росморречфлот, Минприроды России, Федеральное </w:t>
      </w:r>
      <w:r w:rsidRPr="00213A5D">
        <w:rPr>
          <w:bCs/>
          <w:sz w:val="24"/>
          <w:szCs w:val="24"/>
        </w:rPr>
        <w:lastRenderedPageBreak/>
        <w:t>казначейство, Минвостокразвития России, Минэнерго России, Минздрав России, Минтранс России) – от 0,2 % до 25 %, что существенно ниже рекомендуемого Типовым графиком значения показателя «Перечислены субсидии юр. лицам (ИП)» (75 %).</w:t>
      </w:r>
    </w:p>
    <w:p w14:paraId="72D27DF2" w14:textId="77777777" w:rsidR="0051094C" w:rsidRPr="00213A5D" w:rsidRDefault="0051094C" w:rsidP="00AF1852">
      <w:pPr>
        <w:widowControl w:val="0"/>
        <w:ind w:left="0" w:right="0"/>
        <w:rPr>
          <w:bCs/>
          <w:sz w:val="24"/>
          <w:szCs w:val="24"/>
        </w:rPr>
      </w:pPr>
      <w:r w:rsidRPr="00213A5D">
        <w:rPr>
          <w:bCs/>
          <w:sz w:val="24"/>
          <w:szCs w:val="24"/>
        </w:rPr>
        <w:t xml:space="preserve">Счетной палатой отмечается, что в январе – сентябре 2022 года сводной росписью </w:t>
      </w:r>
      <w:r w:rsidR="00A82452" w:rsidRPr="00213A5D">
        <w:rPr>
          <w:bCs/>
          <w:sz w:val="24"/>
          <w:szCs w:val="24"/>
        </w:rPr>
        <w:br/>
      </w:r>
      <w:r w:rsidRPr="00213A5D">
        <w:rPr>
          <w:bCs/>
          <w:sz w:val="24"/>
          <w:szCs w:val="24"/>
        </w:rPr>
        <w:t xml:space="preserve">с изменениями осуществлено уменьшение объемов бюджетных ассигнований </w:t>
      </w:r>
      <w:r w:rsidR="00A82452" w:rsidRPr="00213A5D">
        <w:rPr>
          <w:bCs/>
          <w:sz w:val="24"/>
          <w:szCs w:val="24"/>
        </w:rPr>
        <w:br/>
      </w:r>
      <w:r w:rsidRPr="00213A5D">
        <w:rPr>
          <w:bCs/>
          <w:sz w:val="24"/>
          <w:szCs w:val="24"/>
        </w:rPr>
        <w:t xml:space="preserve">на предоставление субсидий юридическим лицам на </w:t>
      </w:r>
      <w:r w:rsidR="00895669" w:rsidRPr="00213A5D">
        <w:rPr>
          <w:bCs/>
          <w:sz w:val="24"/>
          <w:szCs w:val="24"/>
        </w:rPr>
        <w:t>45 777,6</w:t>
      </w:r>
      <w:r w:rsidRPr="00213A5D">
        <w:rPr>
          <w:bCs/>
          <w:sz w:val="24"/>
          <w:szCs w:val="24"/>
        </w:rPr>
        <w:t> мл</w:t>
      </w:r>
      <w:r w:rsidR="00895669" w:rsidRPr="00213A5D">
        <w:rPr>
          <w:bCs/>
          <w:sz w:val="24"/>
          <w:szCs w:val="24"/>
        </w:rPr>
        <w:t>н</w:t>
      </w:r>
      <w:r w:rsidRPr="00213A5D">
        <w:rPr>
          <w:bCs/>
          <w:sz w:val="24"/>
          <w:szCs w:val="24"/>
        </w:rPr>
        <w:t xml:space="preserve">. рублей, или на 43,4 % </w:t>
      </w:r>
      <w:r w:rsidR="00A82452" w:rsidRPr="00213A5D">
        <w:rPr>
          <w:bCs/>
          <w:sz w:val="24"/>
          <w:szCs w:val="24"/>
        </w:rPr>
        <w:br/>
      </w:r>
      <w:r w:rsidRPr="00213A5D">
        <w:rPr>
          <w:bCs/>
          <w:sz w:val="24"/>
          <w:szCs w:val="24"/>
        </w:rPr>
        <w:t xml:space="preserve">по сравнению с Федеральным законом № 390-ФЗ, при этом по указанным субсидиям </w:t>
      </w:r>
      <w:r w:rsidR="00A82452" w:rsidRPr="00213A5D">
        <w:rPr>
          <w:bCs/>
          <w:sz w:val="24"/>
          <w:szCs w:val="24"/>
        </w:rPr>
        <w:br/>
      </w:r>
      <w:r w:rsidRPr="00213A5D">
        <w:rPr>
          <w:bCs/>
          <w:sz w:val="24"/>
          <w:szCs w:val="24"/>
        </w:rPr>
        <w:t>по состоянию на 1 октября 2022 года исполнение расходов либо не осуществлялось либо составило менее 50 % показателя сводной росписи с изменениями.</w:t>
      </w:r>
    </w:p>
    <w:p w14:paraId="10369BE3" w14:textId="77777777" w:rsidR="0051094C" w:rsidRPr="00213A5D" w:rsidRDefault="0051094C" w:rsidP="00AF1852">
      <w:pPr>
        <w:widowControl w:val="0"/>
        <w:ind w:left="0" w:right="0"/>
        <w:rPr>
          <w:bCs/>
          <w:sz w:val="24"/>
          <w:szCs w:val="24"/>
        </w:rPr>
      </w:pPr>
      <w:r w:rsidRPr="00213A5D">
        <w:rPr>
          <w:bCs/>
          <w:sz w:val="24"/>
          <w:szCs w:val="24"/>
        </w:rPr>
        <w:t xml:space="preserve">Перечень субсидий, по которым осуществлено уменьшение расходов более чем </w:t>
      </w:r>
      <w:r w:rsidR="00A82452" w:rsidRPr="00213A5D">
        <w:rPr>
          <w:bCs/>
          <w:sz w:val="24"/>
          <w:szCs w:val="24"/>
        </w:rPr>
        <w:br/>
      </w:r>
      <w:r w:rsidRPr="00213A5D">
        <w:rPr>
          <w:bCs/>
          <w:sz w:val="24"/>
          <w:szCs w:val="24"/>
        </w:rPr>
        <w:t>на 1</w:t>
      </w:r>
      <w:r w:rsidR="00895669" w:rsidRPr="00213A5D">
        <w:rPr>
          <w:bCs/>
          <w:sz w:val="24"/>
          <w:szCs w:val="24"/>
        </w:rPr>
        <w:t> 00</w:t>
      </w:r>
      <w:r w:rsidRPr="00213A5D">
        <w:rPr>
          <w:bCs/>
          <w:sz w:val="24"/>
          <w:szCs w:val="24"/>
        </w:rPr>
        <w:t>0</w:t>
      </w:r>
      <w:r w:rsidR="00895669" w:rsidRPr="00213A5D">
        <w:rPr>
          <w:bCs/>
          <w:sz w:val="24"/>
          <w:szCs w:val="24"/>
        </w:rPr>
        <w:t>,0</w:t>
      </w:r>
      <w:r w:rsidRPr="00213A5D">
        <w:rPr>
          <w:bCs/>
          <w:sz w:val="24"/>
          <w:szCs w:val="24"/>
        </w:rPr>
        <w:t> мл</w:t>
      </w:r>
      <w:r w:rsidR="00895669" w:rsidRPr="00213A5D">
        <w:rPr>
          <w:bCs/>
          <w:sz w:val="24"/>
          <w:szCs w:val="24"/>
        </w:rPr>
        <w:t>н</w:t>
      </w:r>
      <w:r w:rsidRPr="00213A5D">
        <w:rPr>
          <w:bCs/>
          <w:sz w:val="24"/>
          <w:szCs w:val="24"/>
        </w:rPr>
        <w:t>. рублей и сложился низкий уровень исполнения (менее 50 %), представлен в следующей таблице.</w:t>
      </w:r>
    </w:p>
    <w:p w14:paraId="1A070765" w14:textId="77777777" w:rsidR="0051094C" w:rsidRPr="00213A5D" w:rsidRDefault="0051094C" w:rsidP="00AF1852">
      <w:pPr>
        <w:widowControl w:val="0"/>
        <w:spacing w:line="240" w:lineRule="auto"/>
        <w:ind w:left="0" w:right="0"/>
        <w:jc w:val="right"/>
        <w:rPr>
          <w:bCs/>
          <w:sz w:val="18"/>
          <w:szCs w:val="18"/>
        </w:rPr>
      </w:pPr>
      <w:r w:rsidRPr="00213A5D">
        <w:rPr>
          <w:bCs/>
          <w:sz w:val="18"/>
          <w:szCs w:val="18"/>
        </w:rPr>
        <w:t>(млн. рублей)</w:t>
      </w:r>
    </w:p>
    <w:tbl>
      <w:tblPr>
        <w:tblW w:w="9654" w:type="dxa"/>
        <w:tblInd w:w="93" w:type="dxa"/>
        <w:tblLayout w:type="fixed"/>
        <w:tblLook w:val="04A0" w:firstRow="1" w:lastRow="0" w:firstColumn="1" w:lastColumn="0" w:noHBand="0" w:noVBand="1"/>
      </w:tblPr>
      <w:tblGrid>
        <w:gridCol w:w="5260"/>
        <w:gridCol w:w="1276"/>
        <w:gridCol w:w="992"/>
        <w:gridCol w:w="709"/>
        <w:gridCol w:w="850"/>
        <w:gridCol w:w="567"/>
      </w:tblGrid>
      <w:tr w:rsidR="0051094C" w:rsidRPr="00213A5D" w14:paraId="3A2FAF60" w14:textId="77777777" w:rsidTr="00A82452">
        <w:trPr>
          <w:tblHeader/>
        </w:trPr>
        <w:tc>
          <w:tcPr>
            <w:tcW w:w="5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B35C73"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Направление субсидии и главного распорядителя</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EE6870"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Сводная роспись с изменениями</w:t>
            </w:r>
            <w:r w:rsidRPr="00213A5D">
              <w:rPr>
                <w:rFonts w:eastAsia="Times New Roman"/>
                <w:sz w:val="18"/>
                <w:szCs w:val="18"/>
              </w:rPr>
              <w:br/>
              <w:t>на 1 октября 2022 года</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14:paraId="6E298785"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Отклонение от Федерального закона</w:t>
            </w:r>
            <w:r w:rsidRPr="00213A5D">
              <w:rPr>
                <w:rFonts w:eastAsia="Times New Roman"/>
                <w:sz w:val="18"/>
                <w:szCs w:val="18"/>
              </w:rPr>
              <w:br/>
              <w:t>№ 390-ФЗ</w:t>
            </w:r>
          </w:p>
        </w:tc>
        <w:tc>
          <w:tcPr>
            <w:tcW w:w="1417" w:type="dxa"/>
            <w:gridSpan w:val="2"/>
            <w:tcBorders>
              <w:top w:val="single" w:sz="4" w:space="0" w:color="auto"/>
              <w:left w:val="nil"/>
              <w:bottom w:val="nil"/>
              <w:right w:val="single" w:sz="4" w:space="0" w:color="000000"/>
            </w:tcBorders>
            <w:shd w:val="clear" w:color="auto" w:fill="auto"/>
            <w:vAlign w:val="center"/>
            <w:hideMark/>
          </w:tcPr>
          <w:p w14:paraId="4A40FCD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Исполнено</w:t>
            </w:r>
            <w:r w:rsidRPr="00213A5D">
              <w:rPr>
                <w:rFonts w:eastAsia="Times New Roman"/>
                <w:sz w:val="18"/>
                <w:szCs w:val="18"/>
              </w:rPr>
              <w:br/>
              <w:t>на 1 октября 2022 года</w:t>
            </w:r>
          </w:p>
        </w:tc>
      </w:tr>
      <w:tr w:rsidR="0051094C" w:rsidRPr="00213A5D" w14:paraId="36FA7EFD" w14:textId="77777777" w:rsidTr="00A82452">
        <w:trPr>
          <w:tblHeader/>
        </w:trPr>
        <w:tc>
          <w:tcPr>
            <w:tcW w:w="5260" w:type="dxa"/>
            <w:vMerge/>
            <w:tcBorders>
              <w:top w:val="single" w:sz="4" w:space="0" w:color="auto"/>
              <w:left w:val="single" w:sz="4" w:space="0" w:color="auto"/>
              <w:bottom w:val="single" w:sz="4" w:space="0" w:color="000000"/>
              <w:right w:val="single" w:sz="4" w:space="0" w:color="auto"/>
            </w:tcBorders>
            <w:vAlign w:val="center"/>
            <w:hideMark/>
          </w:tcPr>
          <w:p w14:paraId="5267BA5C" w14:textId="77777777" w:rsidR="0051094C" w:rsidRPr="00213A5D" w:rsidRDefault="0051094C" w:rsidP="00AF1852">
            <w:pPr>
              <w:widowControl w:val="0"/>
              <w:overflowPunct/>
              <w:autoSpaceDE/>
              <w:autoSpaceDN/>
              <w:adjustRightInd/>
              <w:spacing w:line="240" w:lineRule="auto"/>
              <w:ind w:left="0" w:right="0" w:firstLine="0"/>
              <w:jc w:val="left"/>
              <w:textAlignment w:val="auto"/>
              <w:rPr>
                <w:rFonts w:eastAsia="Times New Roman"/>
                <w:sz w:val="18"/>
                <w:szCs w:val="18"/>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0653602" w14:textId="77777777" w:rsidR="0051094C" w:rsidRPr="00213A5D" w:rsidRDefault="0051094C" w:rsidP="00AF1852">
            <w:pPr>
              <w:widowControl w:val="0"/>
              <w:overflowPunct/>
              <w:autoSpaceDE/>
              <w:autoSpaceDN/>
              <w:adjustRightInd/>
              <w:spacing w:line="240" w:lineRule="auto"/>
              <w:ind w:left="0" w:right="0" w:firstLine="0"/>
              <w:jc w:val="left"/>
              <w:textAlignment w:val="auto"/>
              <w:rPr>
                <w:rFonts w:eastAsia="Times New Roman"/>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75D5DBB7"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млн. рублей</w:t>
            </w:r>
          </w:p>
        </w:tc>
        <w:tc>
          <w:tcPr>
            <w:tcW w:w="709" w:type="dxa"/>
            <w:tcBorders>
              <w:top w:val="nil"/>
              <w:left w:val="nil"/>
              <w:bottom w:val="single" w:sz="4" w:space="0" w:color="auto"/>
              <w:right w:val="single" w:sz="4" w:space="0" w:color="auto"/>
            </w:tcBorders>
            <w:shd w:val="clear" w:color="auto" w:fill="auto"/>
            <w:vAlign w:val="center"/>
            <w:hideMark/>
          </w:tcPr>
          <w:p w14:paraId="285AF863"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4F7C003"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млн. рублей</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F8E08F5"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w:t>
            </w:r>
          </w:p>
        </w:tc>
      </w:tr>
      <w:tr w:rsidR="0051094C" w:rsidRPr="00213A5D" w14:paraId="31E0E2FA"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tcPr>
          <w:p w14:paraId="42E67D9C" w14:textId="77777777" w:rsidR="0051094C" w:rsidRPr="00213A5D" w:rsidRDefault="0051094C" w:rsidP="00AF1852">
            <w:pPr>
              <w:widowControl w:val="0"/>
              <w:overflowPunct/>
              <w:autoSpaceDE/>
              <w:autoSpaceDN/>
              <w:adjustRightInd/>
              <w:spacing w:line="240" w:lineRule="auto"/>
              <w:ind w:left="0" w:right="0" w:firstLine="0"/>
              <w:jc w:val="left"/>
              <w:textAlignment w:val="auto"/>
              <w:rPr>
                <w:rFonts w:eastAsia="Times New Roman"/>
                <w:b/>
                <w:sz w:val="18"/>
                <w:szCs w:val="18"/>
              </w:rPr>
            </w:pPr>
            <w:r w:rsidRPr="00213A5D">
              <w:rPr>
                <w:rFonts w:eastAsia="Times New Roman"/>
                <w:b/>
                <w:sz w:val="18"/>
                <w:szCs w:val="18"/>
              </w:rPr>
              <w:t>Всего</w:t>
            </w:r>
          </w:p>
        </w:tc>
        <w:tc>
          <w:tcPr>
            <w:tcW w:w="1276" w:type="dxa"/>
            <w:tcBorders>
              <w:top w:val="nil"/>
              <w:left w:val="nil"/>
              <w:bottom w:val="single" w:sz="4" w:space="0" w:color="auto"/>
              <w:right w:val="single" w:sz="4" w:space="0" w:color="auto"/>
            </w:tcBorders>
            <w:shd w:val="clear" w:color="auto" w:fill="auto"/>
            <w:noWrap/>
            <w:vAlign w:val="center"/>
          </w:tcPr>
          <w:p w14:paraId="1F6DB160"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sz w:val="18"/>
                <w:szCs w:val="18"/>
              </w:rPr>
            </w:pPr>
            <w:r w:rsidRPr="00213A5D">
              <w:rPr>
                <w:rFonts w:eastAsia="Times New Roman"/>
                <w:b/>
                <w:sz w:val="18"/>
                <w:szCs w:val="18"/>
              </w:rPr>
              <w:t>59 580,6</w:t>
            </w:r>
          </w:p>
        </w:tc>
        <w:tc>
          <w:tcPr>
            <w:tcW w:w="992" w:type="dxa"/>
            <w:tcBorders>
              <w:top w:val="nil"/>
              <w:left w:val="nil"/>
              <w:bottom w:val="single" w:sz="4" w:space="0" w:color="auto"/>
              <w:right w:val="single" w:sz="4" w:space="0" w:color="auto"/>
            </w:tcBorders>
            <w:shd w:val="clear" w:color="auto" w:fill="auto"/>
            <w:noWrap/>
            <w:vAlign w:val="center"/>
          </w:tcPr>
          <w:p w14:paraId="4E3A7256"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sz w:val="18"/>
                <w:szCs w:val="18"/>
              </w:rPr>
            </w:pPr>
            <w:r w:rsidRPr="00213A5D">
              <w:rPr>
                <w:rFonts w:eastAsia="Times New Roman"/>
                <w:b/>
                <w:sz w:val="18"/>
                <w:szCs w:val="18"/>
              </w:rPr>
              <w:t>- 45 777,6</w:t>
            </w:r>
          </w:p>
        </w:tc>
        <w:tc>
          <w:tcPr>
            <w:tcW w:w="709" w:type="dxa"/>
            <w:tcBorders>
              <w:top w:val="nil"/>
              <w:left w:val="nil"/>
              <w:bottom w:val="single" w:sz="4" w:space="0" w:color="auto"/>
              <w:right w:val="single" w:sz="4" w:space="0" w:color="auto"/>
            </w:tcBorders>
            <w:shd w:val="clear" w:color="auto" w:fill="auto"/>
            <w:noWrap/>
            <w:vAlign w:val="center"/>
          </w:tcPr>
          <w:p w14:paraId="33412B8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sz w:val="18"/>
                <w:szCs w:val="18"/>
              </w:rPr>
            </w:pPr>
            <w:r w:rsidRPr="00213A5D">
              <w:rPr>
                <w:rFonts w:eastAsia="Times New Roman"/>
                <w:b/>
                <w:sz w:val="18"/>
                <w:szCs w:val="18"/>
              </w:rPr>
              <w:t>-43,4</w:t>
            </w:r>
          </w:p>
        </w:tc>
        <w:tc>
          <w:tcPr>
            <w:tcW w:w="850" w:type="dxa"/>
            <w:tcBorders>
              <w:top w:val="nil"/>
              <w:left w:val="nil"/>
              <w:bottom w:val="single" w:sz="4" w:space="0" w:color="auto"/>
              <w:right w:val="single" w:sz="4" w:space="0" w:color="auto"/>
            </w:tcBorders>
            <w:shd w:val="clear" w:color="auto" w:fill="auto"/>
            <w:noWrap/>
            <w:vAlign w:val="center"/>
          </w:tcPr>
          <w:p w14:paraId="662EBAAB"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sz w:val="18"/>
                <w:szCs w:val="18"/>
              </w:rPr>
            </w:pPr>
            <w:r w:rsidRPr="00213A5D">
              <w:rPr>
                <w:rFonts w:eastAsia="Times New Roman"/>
                <w:b/>
                <w:sz w:val="18"/>
                <w:szCs w:val="18"/>
              </w:rPr>
              <w:t>13 136,0</w:t>
            </w:r>
          </w:p>
        </w:tc>
        <w:tc>
          <w:tcPr>
            <w:tcW w:w="567" w:type="dxa"/>
            <w:tcBorders>
              <w:top w:val="nil"/>
              <w:left w:val="nil"/>
              <w:bottom w:val="single" w:sz="4" w:space="0" w:color="auto"/>
              <w:right w:val="single" w:sz="4" w:space="0" w:color="auto"/>
            </w:tcBorders>
            <w:shd w:val="clear" w:color="auto" w:fill="auto"/>
            <w:noWrap/>
            <w:vAlign w:val="center"/>
          </w:tcPr>
          <w:p w14:paraId="29BC24EA"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b/>
                <w:sz w:val="18"/>
                <w:szCs w:val="18"/>
              </w:rPr>
            </w:pPr>
            <w:r w:rsidRPr="00213A5D">
              <w:rPr>
                <w:rFonts w:eastAsia="Times New Roman"/>
                <w:b/>
                <w:sz w:val="18"/>
                <w:szCs w:val="18"/>
              </w:rPr>
              <w:t>22,0</w:t>
            </w:r>
          </w:p>
        </w:tc>
      </w:tr>
      <w:tr w:rsidR="0051094C" w:rsidRPr="00213A5D" w14:paraId="7AC2C4CF" w14:textId="77777777" w:rsidTr="00A82452">
        <w:tc>
          <w:tcPr>
            <w:tcW w:w="5260" w:type="dxa"/>
            <w:tcBorders>
              <w:top w:val="nil"/>
              <w:left w:val="single" w:sz="4" w:space="0" w:color="auto"/>
              <w:right w:val="single" w:sz="4" w:space="0" w:color="auto"/>
            </w:tcBorders>
            <w:shd w:val="clear" w:color="auto" w:fill="auto"/>
            <w:vAlign w:val="center"/>
          </w:tcPr>
          <w:p w14:paraId="1B704C9E" w14:textId="77777777" w:rsidR="0051094C" w:rsidRPr="00213A5D" w:rsidRDefault="0051094C" w:rsidP="00AF1852">
            <w:pPr>
              <w:widowControl w:val="0"/>
              <w:overflowPunct/>
              <w:autoSpaceDE/>
              <w:autoSpaceDN/>
              <w:adjustRightInd/>
              <w:spacing w:line="240" w:lineRule="auto"/>
              <w:ind w:left="0" w:right="0" w:firstLine="0"/>
              <w:jc w:val="left"/>
              <w:textAlignment w:val="auto"/>
              <w:rPr>
                <w:rFonts w:eastAsia="Times New Roman"/>
                <w:sz w:val="18"/>
                <w:szCs w:val="18"/>
              </w:rPr>
            </w:pPr>
            <w:r w:rsidRPr="00213A5D">
              <w:rPr>
                <w:rFonts w:eastAsia="Times New Roman"/>
                <w:sz w:val="18"/>
                <w:szCs w:val="18"/>
              </w:rPr>
              <w:t>из них:</w:t>
            </w:r>
          </w:p>
        </w:tc>
        <w:tc>
          <w:tcPr>
            <w:tcW w:w="1276" w:type="dxa"/>
            <w:tcBorders>
              <w:top w:val="nil"/>
              <w:left w:val="nil"/>
              <w:right w:val="single" w:sz="4" w:space="0" w:color="auto"/>
            </w:tcBorders>
            <w:shd w:val="clear" w:color="auto" w:fill="auto"/>
            <w:noWrap/>
            <w:vAlign w:val="center"/>
          </w:tcPr>
          <w:p w14:paraId="3E37FAED"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p>
        </w:tc>
        <w:tc>
          <w:tcPr>
            <w:tcW w:w="992" w:type="dxa"/>
            <w:tcBorders>
              <w:top w:val="nil"/>
              <w:left w:val="nil"/>
              <w:right w:val="single" w:sz="4" w:space="0" w:color="auto"/>
            </w:tcBorders>
            <w:shd w:val="clear" w:color="auto" w:fill="auto"/>
            <w:noWrap/>
            <w:vAlign w:val="center"/>
          </w:tcPr>
          <w:p w14:paraId="04A2326A"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p>
        </w:tc>
        <w:tc>
          <w:tcPr>
            <w:tcW w:w="709" w:type="dxa"/>
            <w:tcBorders>
              <w:top w:val="nil"/>
              <w:left w:val="nil"/>
              <w:right w:val="single" w:sz="4" w:space="0" w:color="auto"/>
            </w:tcBorders>
            <w:shd w:val="clear" w:color="auto" w:fill="auto"/>
            <w:noWrap/>
            <w:vAlign w:val="center"/>
          </w:tcPr>
          <w:p w14:paraId="5D74B797"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p>
        </w:tc>
        <w:tc>
          <w:tcPr>
            <w:tcW w:w="850" w:type="dxa"/>
            <w:tcBorders>
              <w:top w:val="nil"/>
              <w:left w:val="nil"/>
              <w:right w:val="single" w:sz="4" w:space="0" w:color="auto"/>
            </w:tcBorders>
            <w:shd w:val="clear" w:color="auto" w:fill="auto"/>
            <w:noWrap/>
            <w:vAlign w:val="center"/>
          </w:tcPr>
          <w:p w14:paraId="61B406B4"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p>
        </w:tc>
        <w:tc>
          <w:tcPr>
            <w:tcW w:w="567" w:type="dxa"/>
            <w:tcBorders>
              <w:top w:val="nil"/>
              <w:left w:val="nil"/>
              <w:right w:val="single" w:sz="4" w:space="0" w:color="auto"/>
            </w:tcBorders>
            <w:shd w:val="clear" w:color="auto" w:fill="auto"/>
            <w:noWrap/>
            <w:vAlign w:val="center"/>
          </w:tcPr>
          <w:p w14:paraId="527201FA"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p>
        </w:tc>
      </w:tr>
      <w:tr w:rsidR="0051094C" w:rsidRPr="00213A5D" w14:paraId="08C635EA"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1D05361B"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Субсидии на развитие инфраструктуры территорий опережающего социально-экономического развития резидентам и управляющей компании, осуществляющей функции по управлению Арктической зоной Российской Федерации, а также территориями опережающего социально-экономического развития в субъектах Российской Федерации, входящих в состав Дальневосточного федерального округа, Арктической зоне Российской Федерации и свободным портом Владивосток</w:t>
            </w:r>
          </w:p>
          <w:p w14:paraId="6BF97BDA"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(Минвостокразвития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5D11566D"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2 572,0</w:t>
            </w:r>
          </w:p>
        </w:tc>
        <w:tc>
          <w:tcPr>
            <w:tcW w:w="992" w:type="dxa"/>
            <w:tcBorders>
              <w:top w:val="nil"/>
              <w:left w:val="nil"/>
              <w:bottom w:val="single" w:sz="4" w:space="0" w:color="auto"/>
              <w:right w:val="single" w:sz="4" w:space="0" w:color="auto"/>
            </w:tcBorders>
            <w:shd w:val="clear" w:color="auto" w:fill="auto"/>
            <w:noWrap/>
            <w:vAlign w:val="center"/>
            <w:hideMark/>
          </w:tcPr>
          <w:p w14:paraId="7D2D73BA"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-16 223,3</w:t>
            </w:r>
          </w:p>
        </w:tc>
        <w:tc>
          <w:tcPr>
            <w:tcW w:w="709" w:type="dxa"/>
            <w:tcBorders>
              <w:top w:val="nil"/>
              <w:left w:val="nil"/>
              <w:bottom w:val="single" w:sz="4" w:space="0" w:color="auto"/>
              <w:right w:val="single" w:sz="4" w:space="0" w:color="auto"/>
            </w:tcBorders>
            <w:shd w:val="clear" w:color="auto" w:fill="auto"/>
            <w:noWrap/>
            <w:vAlign w:val="center"/>
            <w:hideMark/>
          </w:tcPr>
          <w:p w14:paraId="53BDA87F"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-86,3</w:t>
            </w:r>
          </w:p>
        </w:tc>
        <w:tc>
          <w:tcPr>
            <w:tcW w:w="850" w:type="dxa"/>
            <w:tcBorders>
              <w:top w:val="nil"/>
              <w:left w:val="nil"/>
              <w:bottom w:val="single" w:sz="4" w:space="0" w:color="auto"/>
              <w:right w:val="single" w:sz="4" w:space="0" w:color="auto"/>
            </w:tcBorders>
            <w:shd w:val="clear" w:color="auto" w:fill="auto"/>
            <w:noWrap/>
            <w:vAlign w:val="center"/>
            <w:hideMark/>
          </w:tcPr>
          <w:p w14:paraId="2DF5E8C7"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853,7</w:t>
            </w:r>
          </w:p>
        </w:tc>
        <w:tc>
          <w:tcPr>
            <w:tcW w:w="567" w:type="dxa"/>
            <w:tcBorders>
              <w:top w:val="nil"/>
              <w:left w:val="nil"/>
              <w:bottom w:val="single" w:sz="4" w:space="0" w:color="auto"/>
              <w:right w:val="single" w:sz="4" w:space="0" w:color="auto"/>
            </w:tcBorders>
            <w:shd w:val="clear" w:color="auto" w:fill="auto"/>
            <w:noWrap/>
            <w:vAlign w:val="center"/>
            <w:hideMark/>
          </w:tcPr>
          <w:p w14:paraId="4DEFEF90"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33,2</w:t>
            </w:r>
          </w:p>
        </w:tc>
      </w:tr>
      <w:tr w:rsidR="0051094C" w:rsidRPr="00213A5D" w14:paraId="561F508E"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370F1A3D"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Государственная поддержка российских организаций промышленности гражданского назначения в целях снижения затрат на транспортировку продукции</w:t>
            </w:r>
          </w:p>
          <w:p w14:paraId="596E73E5"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(Минпромторг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7D60FAF2"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12 899,8</w:t>
            </w:r>
          </w:p>
        </w:tc>
        <w:tc>
          <w:tcPr>
            <w:tcW w:w="992" w:type="dxa"/>
            <w:tcBorders>
              <w:top w:val="nil"/>
              <w:left w:val="nil"/>
              <w:bottom w:val="single" w:sz="4" w:space="0" w:color="auto"/>
              <w:right w:val="single" w:sz="4" w:space="0" w:color="auto"/>
            </w:tcBorders>
            <w:shd w:val="clear" w:color="auto" w:fill="auto"/>
            <w:noWrap/>
            <w:vAlign w:val="center"/>
            <w:hideMark/>
          </w:tcPr>
          <w:p w14:paraId="0C87FF3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-7 961,7</w:t>
            </w:r>
          </w:p>
        </w:tc>
        <w:tc>
          <w:tcPr>
            <w:tcW w:w="709" w:type="dxa"/>
            <w:tcBorders>
              <w:top w:val="nil"/>
              <w:left w:val="nil"/>
              <w:bottom w:val="single" w:sz="4" w:space="0" w:color="auto"/>
              <w:right w:val="single" w:sz="4" w:space="0" w:color="auto"/>
            </w:tcBorders>
            <w:shd w:val="clear" w:color="auto" w:fill="auto"/>
            <w:noWrap/>
            <w:vAlign w:val="center"/>
            <w:hideMark/>
          </w:tcPr>
          <w:p w14:paraId="5855B638"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-38,2</w:t>
            </w:r>
          </w:p>
        </w:tc>
        <w:tc>
          <w:tcPr>
            <w:tcW w:w="850" w:type="dxa"/>
            <w:tcBorders>
              <w:top w:val="nil"/>
              <w:left w:val="nil"/>
              <w:bottom w:val="single" w:sz="4" w:space="0" w:color="auto"/>
              <w:right w:val="single" w:sz="4" w:space="0" w:color="auto"/>
            </w:tcBorders>
            <w:shd w:val="clear" w:color="auto" w:fill="auto"/>
            <w:noWrap/>
            <w:vAlign w:val="center"/>
            <w:hideMark/>
          </w:tcPr>
          <w:p w14:paraId="6B3C5DC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6 235,3</w:t>
            </w:r>
          </w:p>
        </w:tc>
        <w:tc>
          <w:tcPr>
            <w:tcW w:w="567" w:type="dxa"/>
            <w:tcBorders>
              <w:top w:val="nil"/>
              <w:left w:val="nil"/>
              <w:bottom w:val="single" w:sz="4" w:space="0" w:color="auto"/>
              <w:right w:val="single" w:sz="4" w:space="0" w:color="auto"/>
            </w:tcBorders>
            <w:shd w:val="clear" w:color="auto" w:fill="auto"/>
            <w:noWrap/>
            <w:vAlign w:val="center"/>
            <w:hideMark/>
          </w:tcPr>
          <w:p w14:paraId="05E5A609"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48,3</w:t>
            </w:r>
          </w:p>
        </w:tc>
      </w:tr>
      <w:tr w:rsidR="0051094C" w:rsidRPr="00213A5D" w14:paraId="06D1E67A"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0A6234A7"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Грант в форме субсидии автономной некоммерческой организации «Организационный комитет по подготовке и проведению в 2022 году чемпионата мира по волейболу ФИВБ» на финансовое обеспечение мероприятий, связанных с организацией и проведением в 2022 году в Российской Федерации чемпионата мира по волейболу ФИВБ</w:t>
            </w:r>
          </w:p>
          <w:p w14:paraId="748A8EB5"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(Минспорт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02919DC2"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875,2</w:t>
            </w:r>
          </w:p>
        </w:tc>
        <w:tc>
          <w:tcPr>
            <w:tcW w:w="992" w:type="dxa"/>
            <w:tcBorders>
              <w:top w:val="nil"/>
              <w:left w:val="nil"/>
              <w:bottom w:val="single" w:sz="4" w:space="0" w:color="auto"/>
              <w:right w:val="single" w:sz="4" w:space="0" w:color="auto"/>
            </w:tcBorders>
            <w:shd w:val="clear" w:color="auto" w:fill="auto"/>
            <w:noWrap/>
            <w:vAlign w:val="center"/>
            <w:hideMark/>
          </w:tcPr>
          <w:p w14:paraId="275DD373"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-3 389,6</w:t>
            </w:r>
          </w:p>
        </w:tc>
        <w:tc>
          <w:tcPr>
            <w:tcW w:w="709" w:type="dxa"/>
            <w:tcBorders>
              <w:top w:val="nil"/>
              <w:left w:val="nil"/>
              <w:bottom w:val="single" w:sz="4" w:space="0" w:color="auto"/>
              <w:right w:val="single" w:sz="4" w:space="0" w:color="auto"/>
            </w:tcBorders>
            <w:shd w:val="clear" w:color="auto" w:fill="auto"/>
            <w:noWrap/>
            <w:vAlign w:val="center"/>
            <w:hideMark/>
          </w:tcPr>
          <w:p w14:paraId="5585B08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-79,5</w:t>
            </w:r>
          </w:p>
        </w:tc>
        <w:tc>
          <w:tcPr>
            <w:tcW w:w="850" w:type="dxa"/>
            <w:tcBorders>
              <w:top w:val="nil"/>
              <w:left w:val="nil"/>
              <w:bottom w:val="single" w:sz="4" w:space="0" w:color="auto"/>
              <w:right w:val="single" w:sz="4" w:space="0" w:color="auto"/>
            </w:tcBorders>
            <w:shd w:val="clear" w:color="auto" w:fill="auto"/>
            <w:noWrap/>
            <w:vAlign w:val="center"/>
            <w:hideMark/>
          </w:tcPr>
          <w:p w14:paraId="04D316E6"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384,9</w:t>
            </w:r>
          </w:p>
        </w:tc>
        <w:tc>
          <w:tcPr>
            <w:tcW w:w="567" w:type="dxa"/>
            <w:tcBorders>
              <w:top w:val="nil"/>
              <w:left w:val="nil"/>
              <w:bottom w:val="single" w:sz="4" w:space="0" w:color="auto"/>
              <w:right w:val="single" w:sz="4" w:space="0" w:color="auto"/>
            </w:tcBorders>
            <w:shd w:val="clear" w:color="auto" w:fill="auto"/>
            <w:noWrap/>
            <w:vAlign w:val="center"/>
            <w:hideMark/>
          </w:tcPr>
          <w:p w14:paraId="31222AD4" w14:textId="77777777" w:rsidR="0051094C" w:rsidRPr="00213A5D" w:rsidRDefault="0051094C" w:rsidP="00C76AA7">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44</w:t>
            </w:r>
          </w:p>
        </w:tc>
      </w:tr>
      <w:tr w:rsidR="0051094C" w:rsidRPr="00213A5D" w14:paraId="2C0F304E"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3D839988"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Субсидии изготовителям воздушных судов и их составных частей на финансовое обеспечение части затрат, связанных с созданием, производством, реализацией и обслуживанием самолетов семейства МС-21</w:t>
            </w:r>
          </w:p>
          <w:p w14:paraId="7CA5CD9F"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(Минпромторг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7FCE3715"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1 139,0</w:t>
            </w:r>
          </w:p>
        </w:tc>
        <w:tc>
          <w:tcPr>
            <w:tcW w:w="992" w:type="dxa"/>
            <w:tcBorders>
              <w:top w:val="nil"/>
              <w:left w:val="nil"/>
              <w:bottom w:val="single" w:sz="4" w:space="0" w:color="auto"/>
              <w:right w:val="single" w:sz="4" w:space="0" w:color="auto"/>
            </w:tcBorders>
            <w:shd w:val="clear" w:color="auto" w:fill="auto"/>
            <w:noWrap/>
            <w:vAlign w:val="center"/>
            <w:hideMark/>
          </w:tcPr>
          <w:p w14:paraId="2524173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-2 365,8</w:t>
            </w:r>
          </w:p>
        </w:tc>
        <w:tc>
          <w:tcPr>
            <w:tcW w:w="709" w:type="dxa"/>
            <w:tcBorders>
              <w:top w:val="nil"/>
              <w:left w:val="nil"/>
              <w:bottom w:val="single" w:sz="4" w:space="0" w:color="auto"/>
              <w:right w:val="single" w:sz="4" w:space="0" w:color="auto"/>
            </w:tcBorders>
            <w:shd w:val="clear" w:color="auto" w:fill="auto"/>
            <w:noWrap/>
            <w:vAlign w:val="center"/>
            <w:hideMark/>
          </w:tcPr>
          <w:p w14:paraId="749C6DAD"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-67,5</w:t>
            </w:r>
          </w:p>
        </w:tc>
        <w:tc>
          <w:tcPr>
            <w:tcW w:w="850" w:type="dxa"/>
            <w:tcBorders>
              <w:top w:val="nil"/>
              <w:left w:val="nil"/>
              <w:bottom w:val="single" w:sz="4" w:space="0" w:color="auto"/>
              <w:right w:val="single" w:sz="4" w:space="0" w:color="auto"/>
            </w:tcBorders>
            <w:shd w:val="clear" w:color="auto" w:fill="auto"/>
            <w:noWrap/>
            <w:vAlign w:val="center"/>
            <w:hideMark/>
          </w:tcPr>
          <w:p w14:paraId="302882FB"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117,4</w:t>
            </w:r>
          </w:p>
        </w:tc>
        <w:tc>
          <w:tcPr>
            <w:tcW w:w="567" w:type="dxa"/>
            <w:tcBorders>
              <w:top w:val="nil"/>
              <w:left w:val="nil"/>
              <w:bottom w:val="single" w:sz="4" w:space="0" w:color="auto"/>
              <w:right w:val="single" w:sz="4" w:space="0" w:color="auto"/>
            </w:tcBorders>
            <w:shd w:val="clear" w:color="auto" w:fill="auto"/>
            <w:noWrap/>
            <w:vAlign w:val="center"/>
            <w:hideMark/>
          </w:tcPr>
          <w:p w14:paraId="1D3597D9"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10,3</w:t>
            </w:r>
          </w:p>
        </w:tc>
      </w:tr>
      <w:tr w:rsidR="0051094C" w:rsidRPr="00213A5D" w14:paraId="77B6F4DD"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5DBCFD52"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Государственная поддержка организаций на компенсацию части затрат, связанных с сертификацией продукции, в том числе фармацевтической и медицинской промышленности, на внешних рынках</w:t>
            </w:r>
          </w:p>
          <w:p w14:paraId="364F1C97"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(Минпромторг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1408929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132,4</w:t>
            </w:r>
          </w:p>
        </w:tc>
        <w:tc>
          <w:tcPr>
            <w:tcW w:w="992" w:type="dxa"/>
            <w:tcBorders>
              <w:top w:val="nil"/>
              <w:left w:val="nil"/>
              <w:bottom w:val="single" w:sz="4" w:space="0" w:color="auto"/>
              <w:right w:val="single" w:sz="4" w:space="0" w:color="auto"/>
            </w:tcBorders>
            <w:shd w:val="clear" w:color="auto" w:fill="auto"/>
            <w:noWrap/>
            <w:vAlign w:val="center"/>
            <w:hideMark/>
          </w:tcPr>
          <w:p w14:paraId="27ED6EFF"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-2 336,6</w:t>
            </w:r>
          </w:p>
        </w:tc>
        <w:tc>
          <w:tcPr>
            <w:tcW w:w="709" w:type="dxa"/>
            <w:tcBorders>
              <w:top w:val="nil"/>
              <w:left w:val="nil"/>
              <w:bottom w:val="single" w:sz="4" w:space="0" w:color="auto"/>
              <w:right w:val="single" w:sz="4" w:space="0" w:color="auto"/>
            </w:tcBorders>
            <w:shd w:val="clear" w:color="auto" w:fill="auto"/>
            <w:noWrap/>
            <w:vAlign w:val="center"/>
            <w:hideMark/>
          </w:tcPr>
          <w:p w14:paraId="5AC7FDEF"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-94,6</w:t>
            </w:r>
          </w:p>
        </w:tc>
        <w:tc>
          <w:tcPr>
            <w:tcW w:w="850" w:type="dxa"/>
            <w:tcBorders>
              <w:top w:val="nil"/>
              <w:left w:val="nil"/>
              <w:bottom w:val="single" w:sz="4" w:space="0" w:color="auto"/>
              <w:right w:val="single" w:sz="4" w:space="0" w:color="auto"/>
            </w:tcBorders>
            <w:shd w:val="clear" w:color="auto" w:fill="auto"/>
            <w:noWrap/>
            <w:vAlign w:val="center"/>
            <w:hideMark/>
          </w:tcPr>
          <w:p w14:paraId="456596BC"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0,8</w:t>
            </w:r>
          </w:p>
        </w:tc>
        <w:tc>
          <w:tcPr>
            <w:tcW w:w="567" w:type="dxa"/>
            <w:tcBorders>
              <w:top w:val="nil"/>
              <w:left w:val="nil"/>
              <w:bottom w:val="single" w:sz="4" w:space="0" w:color="auto"/>
              <w:right w:val="single" w:sz="4" w:space="0" w:color="auto"/>
            </w:tcBorders>
            <w:shd w:val="clear" w:color="auto" w:fill="auto"/>
            <w:noWrap/>
            <w:vAlign w:val="center"/>
            <w:hideMark/>
          </w:tcPr>
          <w:p w14:paraId="65548D20"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0,6</w:t>
            </w:r>
          </w:p>
        </w:tc>
      </w:tr>
      <w:tr w:rsidR="0051094C" w:rsidRPr="00213A5D" w14:paraId="33B81AD7"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40DCC63C"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Субсидии авиакомпаниям на компенсацию части затрат на уплату лизинговых (арендных) платежей за воздушные суда, а также затрат, связанных с обслуживанием воздушных судов</w:t>
            </w:r>
          </w:p>
          <w:p w14:paraId="70ADC0B0"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(Минпромторг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54C6186C"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4 800,0</w:t>
            </w:r>
          </w:p>
        </w:tc>
        <w:tc>
          <w:tcPr>
            <w:tcW w:w="992" w:type="dxa"/>
            <w:tcBorders>
              <w:top w:val="nil"/>
              <w:left w:val="nil"/>
              <w:bottom w:val="single" w:sz="4" w:space="0" w:color="auto"/>
              <w:right w:val="single" w:sz="4" w:space="0" w:color="auto"/>
            </w:tcBorders>
            <w:shd w:val="clear" w:color="auto" w:fill="auto"/>
            <w:noWrap/>
            <w:vAlign w:val="center"/>
            <w:hideMark/>
          </w:tcPr>
          <w:p w14:paraId="4EA3C412"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-1 907,5</w:t>
            </w:r>
          </w:p>
        </w:tc>
        <w:tc>
          <w:tcPr>
            <w:tcW w:w="709" w:type="dxa"/>
            <w:tcBorders>
              <w:top w:val="nil"/>
              <w:left w:val="nil"/>
              <w:bottom w:val="single" w:sz="4" w:space="0" w:color="auto"/>
              <w:right w:val="single" w:sz="4" w:space="0" w:color="auto"/>
            </w:tcBorders>
            <w:shd w:val="clear" w:color="auto" w:fill="auto"/>
            <w:noWrap/>
            <w:vAlign w:val="center"/>
            <w:hideMark/>
          </w:tcPr>
          <w:p w14:paraId="7BA5C266"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-28,4</w:t>
            </w:r>
          </w:p>
        </w:tc>
        <w:tc>
          <w:tcPr>
            <w:tcW w:w="850" w:type="dxa"/>
            <w:tcBorders>
              <w:top w:val="nil"/>
              <w:left w:val="nil"/>
              <w:bottom w:val="single" w:sz="4" w:space="0" w:color="auto"/>
              <w:right w:val="single" w:sz="4" w:space="0" w:color="auto"/>
            </w:tcBorders>
            <w:shd w:val="clear" w:color="auto" w:fill="auto"/>
            <w:noWrap/>
            <w:vAlign w:val="center"/>
            <w:hideMark/>
          </w:tcPr>
          <w:p w14:paraId="211FB76C"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1 584,9</w:t>
            </w:r>
          </w:p>
        </w:tc>
        <w:tc>
          <w:tcPr>
            <w:tcW w:w="567" w:type="dxa"/>
            <w:tcBorders>
              <w:top w:val="nil"/>
              <w:left w:val="nil"/>
              <w:bottom w:val="single" w:sz="4" w:space="0" w:color="auto"/>
              <w:right w:val="single" w:sz="4" w:space="0" w:color="auto"/>
            </w:tcBorders>
            <w:shd w:val="clear" w:color="auto" w:fill="auto"/>
            <w:noWrap/>
            <w:vAlign w:val="center"/>
            <w:hideMark/>
          </w:tcPr>
          <w:p w14:paraId="58CC6128" w14:textId="77777777" w:rsidR="0051094C" w:rsidRPr="00213A5D" w:rsidRDefault="0051094C" w:rsidP="00C76AA7">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33</w:t>
            </w:r>
          </w:p>
        </w:tc>
      </w:tr>
      <w:tr w:rsidR="0051094C" w:rsidRPr="00213A5D" w14:paraId="285CE46A"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38EA85BE"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 xml:space="preserve">Реализация механизма государственной поддержки инвестиционных проектов по созданию туристической </w:t>
            </w:r>
            <w:r w:rsidRPr="00213A5D">
              <w:rPr>
                <w:rFonts w:eastAsia="Times New Roman"/>
                <w:sz w:val="18"/>
                <w:szCs w:val="18"/>
              </w:rPr>
              <w:lastRenderedPageBreak/>
              <w:t>инфраструктуры в форме льготного кредитования</w:t>
            </w:r>
          </w:p>
          <w:p w14:paraId="1819A97C"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(Ростуризм)</w:t>
            </w:r>
          </w:p>
        </w:tc>
        <w:tc>
          <w:tcPr>
            <w:tcW w:w="1276" w:type="dxa"/>
            <w:tcBorders>
              <w:top w:val="nil"/>
              <w:left w:val="nil"/>
              <w:bottom w:val="single" w:sz="4" w:space="0" w:color="auto"/>
              <w:right w:val="single" w:sz="4" w:space="0" w:color="auto"/>
            </w:tcBorders>
            <w:shd w:val="clear" w:color="auto" w:fill="auto"/>
            <w:noWrap/>
            <w:vAlign w:val="center"/>
            <w:hideMark/>
          </w:tcPr>
          <w:p w14:paraId="2B87BD42"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lastRenderedPageBreak/>
              <w:t>3 459,7</w:t>
            </w:r>
          </w:p>
        </w:tc>
        <w:tc>
          <w:tcPr>
            <w:tcW w:w="992" w:type="dxa"/>
            <w:tcBorders>
              <w:top w:val="nil"/>
              <w:left w:val="nil"/>
              <w:bottom w:val="single" w:sz="4" w:space="0" w:color="auto"/>
              <w:right w:val="single" w:sz="4" w:space="0" w:color="auto"/>
            </w:tcBorders>
            <w:shd w:val="clear" w:color="auto" w:fill="auto"/>
            <w:noWrap/>
            <w:vAlign w:val="center"/>
            <w:hideMark/>
          </w:tcPr>
          <w:p w14:paraId="11746432"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-1 817,8</w:t>
            </w:r>
          </w:p>
        </w:tc>
        <w:tc>
          <w:tcPr>
            <w:tcW w:w="709" w:type="dxa"/>
            <w:tcBorders>
              <w:top w:val="nil"/>
              <w:left w:val="nil"/>
              <w:bottom w:val="single" w:sz="4" w:space="0" w:color="auto"/>
              <w:right w:val="single" w:sz="4" w:space="0" w:color="auto"/>
            </w:tcBorders>
            <w:shd w:val="clear" w:color="auto" w:fill="auto"/>
            <w:noWrap/>
            <w:vAlign w:val="center"/>
            <w:hideMark/>
          </w:tcPr>
          <w:p w14:paraId="39349620"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-34,4</w:t>
            </w:r>
          </w:p>
        </w:tc>
        <w:tc>
          <w:tcPr>
            <w:tcW w:w="850" w:type="dxa"/>
            <w:tcBorders>
              <w:top w:val="nil"/>
              <w:left w:val="nil"/>
              <w:bottom w:val="single" w:sz="4" w:space="0" w:color="auto"/>
              <w:right w:val="single" w:sz="4" w:space="0" w:color="auto"/>
            </w:tcBorders>
            <w:shd w:val="clear" w:color="auto" w:fill="auto"/>
            <w:noWrap/>
            <w:vAlign w:val="center"/>
            <w:hideMark/>
          </w:tcPr>
          <w:p w14:paraId="317019CD"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377,4</w:t>
            </w:r>
          </w:p>
        </w:tc>
        <w:tc>
          <w:tcPr>
            <w:tcW w:w="567" w:type="dxa"/>
            <w:tcBorders>
              <w:top w:val="nil"/>
              <w:left w:val="nil"/>
              <w:bottom w:val="single" w:sz="4" w:space="0" w:color="auto"/>
              <w:right w:val="single" w:sz="4" w:space="0" w:color="auto"/>
            </w:tcBorders>
            <w:shd w:val="clear" w:color="auto" w:fill="auto"/>
            <w:noWrap/>
            <w:vAlign w:val="center"/>
            <w:hideMark/>
          </w:tcPr>
          <w:p w14:paraId="349A8E96"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10,9</w:t>
            </w:r>
          </w:p>
        </w:tc>
      </w:tr>
      <w:tr w:rsidR="0051094C" w:rsidRPr="00213A5D" w14:paraId="7419B197"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0EB37AC5"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Государственная поддержка российских организаций на компенсацию части затрат в целях создания новой конкурентоспособной промышленной продукции, связанных с проведением научно-исследовательских и опытно-конструкторских работ и (или) омологацией существующей промышленной продукции для внешних рынков</w:t>
            </w:r>
          </w:p>
          <w:p w14:paraId="16799D41"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(Минпромторг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5292773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3 807,6</w:t>
            </w:r>
          </w:p>
        </w:tc>
        <w:tc>
          <w:tcPr>
            <w:tcW w:w="992" w:type="dxa"/>
            <w:tcBorders>
              <w:top w:val="nil"/>
              <w:left w:val="nil"/>
              <w:bottom w:val="single" w:sz="4" w:space="0" w:color="auto"/>
              <w:right w:val="single" w:sz="4" w:space="0" w:color="auto"/>
            </w:tcBorders>
            <w:shd w:val="clear" w:color="auto" w:fill="auto"/>
            <w:noWrap/>
            <w:vAlign w:val="center"/>
            <w:hideMark/>
          </w:tcPr>
          <w:p w14:paraId="57F55AF1"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-1 723,4</w:t>
            </w:r>
          </w:p>
        </w:tc>
        <w:tc>
          <w:tcPr>
            <w:tcW w:w="709" w:type="dxa"/>
            <w:tcBorders>
              <w:top w:val="nil"/>
              <w:left w:val="nil"/>
              <w:bottom w:val="single" w:sz="4" w:space="0" w:color="auto"/>
              <w:right w:val="single" w:sz="4" w:space="0" w:color="auto"/>
            </w:tcBorders>
            <w:shd w:val="clear" w:color="auto" w:fill="auto"/>
            <w:noWrap/>
            <w:vAlign w:val="center"/>
            <w:hideMark/>
          </w:tcPr>
          <w:p w14:paraId="7AAEAC15"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-31,2</w:t>
            </w:r>
          </w:p>
        </w:tc>
        <w:tc>
          <w:tcPr>
            <w:tcW w:w="850" w:type="dxa"/>
            <w:tcBorders>
              <w:top w:val="nil"/>
              <w:left w:val="nil"/>
              <w:bottom w:val="single" w:sz="4" w:space="0" w:color="auto"/>
              <w:right w:val="single" w:sz="4" w:space="0" w:color="auto"/>
            </w:tcBorders>
            <w:shd w:val="clear" w:color="auto" w:fill="auto"/>
            <w:noWrap/>
            <w:vAlign w:val="center"/>
            <w:hideMark/>
          </w:tcPr>
          <w:p w14:paraId="1A0CAE59"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1 706,8</w:t>
            </w:r>
          </w:p>
        </w:tc>
        <w:tc>
          <w:tcPr>
            <w:tcW w:w="567" w:type="dxa"/>
            <w:tcBorders>
              <w:top w:val="nil"/>
              <w:left w:val="nil"/>
              <w:bottom w:val="single" w:sz="4" w:space="0" w:color="auto"/>
              <w:right w:val="single" w:sz="4" w:space="0" w:color="auto"/>
            </w:tcBorders>
            <w:shd w:val="clear" w:color="auto" w:fill="auto"/>
            <w:noWrap/>
            <w:vAlign w:val="center"/>
            <w:hideMark/>
          </w:tcPr>
          <w:p w14:paraId="7389449A"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44,8</w:t>
            </w:r>
          </w:p>
        </w:tc>
      </w:tr>
      <w:tr w:rsidR="0051094C" w:rsidRPr="00213A5D" w14:paraId="5EDF9C31"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18BEF28E"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Проведение закупочных и товарных интервенций на рынках сельскохозяйственной продукции, а также залоговых операций</w:t>
            </w:r>
          </w:p>
          <w:p w14:paraId="706BFF6F"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(Минсельхоз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7A333AF5"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1 024,8</w:t>
            </w:r>
          </w:p>
        </w:tc>
        <w:tc>
          <w:tcPr>
            <w:tcW w:w="992" w:type="dxa"/>
            <w:tcBorders>
              <w:top w:val="nil"/>
              <w:left w:val="nil"/>
              <w:bottom w:val="single" w:sz="4" w:space="0" w:color="auto"/>
              <w:right w:val="single" w:sz="4" w:space="0" w:color="auto"/>
            </w:tcBorders>
            <w:shd w:val="clear" w:color="auto" w:fill="auto"/>
            <w:noWrap/>
            <w:vAlign w:val="center"/>
            <w:hideMark/>
          </w:tcPr>
          <w:p w14:paraId="1A69D01A"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-1 377,0</w:t>
            </w:r>
          </w:p>
        </w:tc>
        <w:tc>
          <w:tcPr>
            <w:tcW w:w="709" w:type="dxa"/>
            <w:tcBorders>
              <w:top w:val="nil"/>
              <w:left w:val="nil"/>
              <w:bottom w:val="single" w:sz="4" w:space="0" w:color="auto"/>
              <w:right w:val="single" w:sz="4" w:space="0" w:color="auto"/>
            </w:tcBorders>
            <w:shd w:val="clear" w:color="auto" w:fill="auto"/>
            <w:noWrap/>
            <w:vAlign w:val="center"/>
            <w:hideMark/>
          </w:tcPr>
          <w:p w14:paraId="68613C1A"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-57,3</w:t>
            </w:r>
          </w:p>
        </w:tc>
        <w:tc>
          <w:tcPr>
            <w:tcW w:w="850" w:type="dxa"/>
            <w:tcBorders>
              <w:top w:val="nil"/>
              <w:left w:val="nil"/>
              <w:bottom w:val="single" w:sz="4" w:space="0" w:color="auto"/>
              <w:right w:val="single" w:sz="4" w:space="0" w:color="auto"/>
            </w:tcBorders>
            <w:shd w:val="clear" w:color="auto" w:fill="auto"/>
            <w:noWrap/>
            <w:vAlign w:val="center"/>
            <w:hideMark/>
          </w:tcPr>
          <w:p w14:paraId="754B964C"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78,3</w:t>
            </w:r>
          </w:p>
        </w:tc>
        <w:tc>
          <w:tcPr>
            <w:tcW w:w="567" w:type="dxa"/>
            <w:tcBorders>
              <w:top w:val="nil"/>
              <w:left w:val="nil"/>
              <w:bottom w:val="single" w:sz="4" w:space="0" w:color="auto"/>
              <w:right w:val="single" w:sz="4" w:space="0" w:color="auto"/>
            </w:tcBorders>
            <w:shd w:val="clear" w:color="auto" w:fill="auto"/>
            <w:noWrap/>
            <w:vAlign w:val="center"/>
            <w:hideMark/>
          </w:tcPr>
          <w:p w14:paraId="6FD1CE2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7,6</w:t>
            </w:r>
          </w:p>
        </w:tc>
      </w:tr>
      <w:tr w:rsidR="0051094C" w:rsidRPr="00213A5D" w14:paraId="76166579" w14:textId="77777777" w:rsidTr="00A82452">
        <w:tc>
          <w:tcPr>
            <w:tcW w:w="5260" w:type="dxa"/>
            <w:tcBorders>
              <w:top w:val="nil"/>
              <w:left w:val="single" w:sz="4" w:space="0" w:color="auto"/>
              <w:bottom w:val="single" w:sz="4" w:space="0" w:color="auto"/>
              <w:right w:val="single" w:sz="4" w:space="0" w:color="auto"/>
            </w:tcBorders>
            <w:shd w:val="clear" w:color="auto" w:fill="auto"/>
            <w:vAlign w:val="center"/>
            <w:hideMark/>
          </w:tcPr>
          <w:p w14:paraId="4377E9C7" w14:textId="77777777" w:rsidR="00DF774B"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sz w:val="18"/>
                <w:szCs w:val="18"/>
              </w:rPr>
              <w:t>Государственная поддержка российских организаций в целях возмещения части затрат на выплату купонного дохода по облигациям, выпущенным в рамках реализации инвестиционных проектов по внедрению наилучших доступных технологий, и (или) на возмещение части затрат на уплату процентов по кредитам, полученным в российских кредитных организациях, а также в международных финансовых организациях, созданных в соответствии с международными договорами, в которых участвует Российская Федерация, на реализацию инвестиционных проектов по внедрению наилучших доступных технологий</w:t>
            </w:r>
          </w:p>
          <w:p w14:paraId="6A50594C" w14:textId="77777777" w:rsidR="0051094C" w:rsidRPr="00213A5D" w:rsidRDefault="0051094C" w:rsidP="00AF1852">
            <w:pPr>
              <w:widowControl w:val="0"/>
              <w:overflowPunct/>
              <w:autoSpaceDE/>
              <w:autoSpaceDN/>
              <w:adjustRightInd/>
              <w:spacing w:line="240" w:lineRule="auto"/>
              <w:ind w:left="0" w:right="0" w:firstLine="0"/>
              <w:textAlignment w:val="auto"/>
              <w:rPr>
                <w:rFonts w:eastAsia="Times New Roman"/>
                <w:sz w:val="18"/>
                <w:szCs w:val="18"/>
              </w:rPr>
            </w:pPr>
            <w:r w:rsidRPr="00213A5D">
              <w:rPr>
                <w:rFonts w:eastAsia="Times New Roman"/>
                <w:i/>
                <w:sz w:val="18"/>
                <w:szCs w:val="18"/>
              </w:rPr>
              <w:t>(Минпромторг России)</w:t>
            </w:r>
          </w:p>
        </w:tc>
        <w:tc>
          <w:tcPr>
            <w:tcW w:w="1276" w:type="dxa"/>
            <w:tcBorders>
              <w:top w:val="nil"/>
              <w:left w:val="nil"/>
              <w:bottom w:val="single" w:sz="4" w:space="0" w:color="auto"/>
              <w:right w:val="single" w:sz="4" w:space="0" w:color="auto"/>
            </w:tcBorders>
            <w:shd w:val="clear" w:color="auto" w:fill="auto"/>
            <w:noWrap/>
            <w:vAlign w:val="center"/>
            <w:hideMark/>
          </w:tcPr>
          <w:p w14:paraId="277EA8EE"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2 866,9</w:t>
            </w:r>
          </w:p>
        </w:tc>
        <w:tc>
          <w:tcPr>
            <w:tcW w:w="992" w:type="dxa"/>
            <w:tcBorders>
              <w:top w:val="nil"/>
              <w:left w:val="nil"/>
              <w:bottom w:val="single" w:sz="4" w:space="0" w:color="auto"/>
              <w:right w:val="single" w:sz="4" w:space="0" w:color="auto"/>
            </w:tcBorders>
            <w:shd w:val="clear" w:color="auto" w:fill="auto"/>
            <w:noWrap/>
            <w:vAlign w:val="center"/>
            <w:hideMark/>
          </w:tcPr>
          <w:p w14:paraId="412370A7"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-1 094,7</w:t>
            </w:r>
          </w:p>
        </w:tc>
        <w:tc>
          <w:tcPr>
            <w:tcW w:w="709" w:type="dxa"/>
            <w:tcBorders>
              <w:top w:val="nil"/>
              <w:left w:val="nil"/>
              <w:bottom w:val="single" w:sz="4" w:space="0" w:color="auto"/>
              <w:right w:val="single" w:sz="4" w:space="0" w:color="auto"/>
            </w:tcBorders>
            <w:shd w:val="clear" w:color="auto" w:fill="auto"/>
            <w:noWrap/>
            <w:vAlign w:val="center"/>
            <w:hideMark/>
          </w:tcPr>
          <w:p w14:paraId="07A5875F"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-27,6</w:t>
            </w:r>
          </w:p>
        </w:tc>
        <w:tc>
          <w:tcPr>
            <w:tcW w:w="850" w:type="dxa"/>
            <w:tcBorders>
              <w:top w:val="nil"/>
              <w:left w:val="nil"/>
              <w:bottom w:val="single" w:sz="4" w:space="0" w:color="auto"/>
              <w:right w:val="single" w:sz="4" w:space="0" w:color="auto"/>
            </w:tcBorders>
            <w:shd w:val="clear" w:color="auto" w:fill="auto"/>
            <w:noWrap/>
            <w:vAlign w:val="center"/>
            <w:hideMark/>
          </w:tcPr>
          <w:p w14:paraId="7446ECAC"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0,0</w:t>
            </w:r>
          </w:p>
        </w:tc>
        <w:tc>
          <w:tcPr>
            <w:tcW w:w="567" w:type="dxa"/>
            <w:tcBorders>
              <w:top w:val="nil"/>
              <w:left w:val="nil"/>
              <w:bottom w:val="single" w:sz="4" w:space="0" w:color="auto"/>
              <w:right w:val="single" w:sz="4" w:space="0" w:color="auto"/>
            </w:tcBorders>
            <w:shd w:val="clear" w:color="auto" w:fill="auto"/>
            <w:noWrap/>
            <w:vAlign w:val="center"/>
            <w:hideMark/>
          </w:tcPr>
          <w:p w14:paraId="5FF28648" w14:textId="77777777" w:rsidR="0051094C" w:rsidRPr="00213A5D" w:rsidRDefault="0051094C" w:rsidP="00AF1852">
            <w:pPr>
              <w:widowControl w:val="0"/>
              <w:overflowPunct/>
              <w:autoSpaceDE/>
              <w:autoSpaceDN/>
              <w:adjustRightInd/>
              <w:spacing w:line="240" w:lineRule="auto"/>
              <w:ind w:left="0" w:right="0" w:firstLine="0"/>
              <w:jc w:val="center"/>
              <w:textAlignment w:val="auto"/>
              <w:rPr>
                <w:rFonts w:eastAsia="Times New Roman"/>
                <w:sz w:val="18"/>
                <w:szCs w:val="18"/>
              </w:rPr>
            </w:pPr>
            <w:r w:rsidRPr="00213A5D">
              <w:rPr>
                <w:rFonts w:eastAsia="Times New Roman"/>
                <w:sz w:val="18"/>
                <w:szCs w:val="18"/>
              </w:rPr>
              <w:t>0,0</w:t>
            </w:r>
          </w:p>
        </w:tc>
      </w:tr>
    </w:tbl>
    <w:p w14:paraId="543FD3AF" w14:textId="77777777" w:rsidR="0051094C" w:rsidRPr="00213A5D" w:rsidRDefault="0051094C" w:rsidP="00A82452">
      <w:pPr>
        <w:widowControl w:val="0"/>
        <w:spacing w:line="240" w:lineRule="auto"/>
        <w:ind w:left="0" w:right="0"/>
        <w:rPr>
          <w:bCs/>
          <w:sz w:val="12"/>
          <w:szCs w:val="12"/>
        </w:rPr>
      </w:pPr>
    </w:p>
    <w:p w14:paraId="2FA8BCD0" w14:textId="77777777" w:rsidR="0051094C" w:rsidRPr="00213A5D" w:rsidRDefault="0051094C" w:rsidP="006F4498">
      <w:pPr>
        <w:widowControl w:val="0"/>
        <w:ind w:left="0" w:right="0"/>
        <w:rPr>
          <w:sz w:val="24"/>
          <w:szCs w:val="24"/>
        </w:rPr>
      </w:pPr>
      <w:r w:rsidRPr="00213A5D">
        <w:rPr>
          <w:sz w:val="24"/>
          <w:szCs w:val="24"/>
        </w:rPr>
        <w:t>По результатам выборочного анализа исполнения главными распорядителями средств федерального бюджета расходов федерального бюджета на предоставление субсидий юридическим лицам установлено, что указанные расходы не осуществлялись либо их исполнение сложилось на низком уровне в основном в связи с:</w:t>
      </w:r>
    </w:p>
    <w:p w14:paraId="7760420A" w14:textId="77777777" w:rsidR="0051094C" w:rsidRPr="00213A5D" w:rsidRDefault="0051094C" w:rsidP="006F4498">
      <w:pPr>
        <w:widowControl w:val="0"/>
        <w:ind w:left="1069" w:right="0" w:firstLine="0"/>
        <w:rPr>
          <w:sz w:val="24"/>
          <w:szCs w:val="24"/>
        </w:rPr>
      </w:pPr>
      <w:r w:rsidRPr="00213A5D">
        <w:rPr>
          <w:sz w:val="24"/>
          <w:szCs w:val="24"/>
        </w:rPr>
        <w:t>отсутствием либо поздним заключением соглашений с юридическими лицами;</w:t>
      </w:r>
    </w:p>
    <w:p w14:paraId="42D2689A" w14:textId="77777777" w:rsidR="0051094C" w:rsidRPr="00213A5D" w:rsidRDefault="0051094C" w:rsidP="006F4498">
      <w:pPr>
        <w:widowControl w:val="0"/>
        <w:ind w:left="1069" w:right="0" w:firstLine="0"/>
        <w:rPr>
          <w:bCs/>
          <w:sz w:val="24"/>
          <w:szCs w:val="24"/>
        </w:rPr>
      </w:pPr>
      <w:r w:rsidRPr="00213A5D">
        <w:rPr>
          <w:bCs/>
          <w:sz w:val="24"/>
          <w:szCs w:val="24"/>
        </w:rPr>
        <w:t>отсутствием потребности отдельных юридических лиц в получении субсидий;</w:t>
      </w:r>
    </w:p>
    <w:p w14:paraId="1D03B63D" w14:textId="77777777" w:rsidR="0051094C" w:rsidRPr="00213A5D" w:rsidRDefault="0051094C" w:rsidP="006F4498">
      <w:pPr>
        <w:widowControl w:val="0"/>
        <w:ind w:left="1069" w:right="0" w:firstLine="0"/>
        <w:rPr>
          <w:bCs/>
          <w:sz w:val="24"/>
          <w:szCs w:val="24"/>
        </w:rPr>
      </w:pPr>
      <w:r w:rsidRPr="00213A5D">
        <w:rPr>
          <w:bCs/>
          <w:sz w:val="24"/>
          <w:szCs w:val="24"/>
        </w:rPr>
        <w:t>отсутствием порядка предоставления субсидии в связи с продолжением его согласования;</w:t>
      </w:r>
    </w:p>
    <w:p w14:paraId="3272F0EB" w14:textId="77777777" w:rsidR="0051094C" w:rsidRPr="00213A5D" w:rsidRDefault="0051094C" w:rsidP="006F4498">
      <w:pPr>
        <w:widowControl w:val="0"/>
        <w:ind w:left="1069" w:right="0" w:firstLine="0"/>
        <w:rPr>
          <w:bCs/>
          <w:sz w:val="24"/>
          <w:szCs w:val="24"/>
        </w:rPr>
      </w:pPr>
      <w:r w:rsidRPr="00213A5D">
        <w:rPr>
          <w:bCs/>
          <w:sz w:val="24"/>
          <w:szCs w:val="24"/>
        </w:rPr>
        <w:t>длительным согласованием проектных работ.</w:t>
      </w:r>
    </w:p>
    <w:p w14:paraId="7E912808" w14:textId="77777777" w:rsidR="006F7A04" w:rsidRPr="00213A5D" w:rsidRDefault="006F7A04" w:rsidP="006F4498">
      <w:pPr>
        <w:widowControl w:val="0"/>
        <w:ind w:left="0" w:right="0"/>
        <w:rPr>
          <w:sz w:val="24"/>
          <w:szCs w:val="24"/>
        </w:rPr>
      </w:pPr>
      <w:r w:rsidRPr="00213A5D">
        <w:rPr>
          <w:sz w:val="24"/>
          <w:szCs w:val="24"/>
        </w:rPr>
        <w:t>Информация о главных распорядителях и субсидиях юридическим лицам, по которым выявлены указанные случаи, представлена в приложении № </w:t>
      </w:r>
      <w:r w:rsidR="00C314F3" w:rsidRPr="00213A5D">
        <w:rPr>
          <w:sz w:val="24"/>
          <w:szCs w:val="24"/>
        </w:rPr>
        <w:t>5</w:t>
      </w:r>
      <w:r w:rsidRPr="00213A5D">
        <w:rPr>
          <w:sz w:val="24"/>
          <w:szCs w:val="24"/>
        </w:rPr>
        <w:t xml:space="preserve"> к аналитической записке.</w:t>
      </w:r>
    </w:p>
    <w:p w14:paraId="21B9B1BF" w14:textId="77777777" w:rsidR="008D6500" w:rsidRPr="00213A5D" w:rsidRDefault="00505176" w:rsidP="006F4498">
      <w:pPr>
        <w:widowControl w:val="0"/>
        <w:ind w:left="0" w:right="0"/>
        <w:rPr>
          <w:sz w:val="24"/>
          <w:szCs w:val="24"/>
        </w:rPr>
      </w:pPr>
      <w:r w:rsidRPr="00213A5D">
        <w:rPr>
          <w:b/>
          <w:sz w:val="24"/>
          <w:szCs w:val="24"/>
        </w:rPr>
        <w:t>10.3.</w:t>
      </w:r>
      <w:r w:rsidRPr="00213A5D">
        <w:rPr>
          <w:sz w:val="24"/>
          <w:szCs w:val="24"/>
        </w:rPr>
        <w:t> </w:t>
      </w:r>
      <w:r w:rsidR="008D6500" w:rsidRPr="00213A5D">
        <w:rPr>
          <w:sz w:val="24"/>
          <w:szCs w:val="24"/>
        </w:rPr>
        <w:t>Информация об исполнении кассовых расходов на предоставление учреждениям субсидий в январе – сентябре 2021 и 2022 годов представлена в следующей таблице.</w:t>
      </w:r>
    </w:p>
    <w:p w14:paraId="6BE4A328" w14:textId="77777777" w:rsidR="00BD29DC" w:rsidRPr="00213A5D" w:rsidRDefault="008D6500" w:rsidP="00C340BE">
      <w:pPr>
        <w:widowControl w:val="0"/>
        <w:spacing w:line="240" w:lineRule="auto"/>
        <w:ind w:left="0" w:right="0"/>
        <w:jc w:val="right"/>
        <w:rPr>
          <w:sz w:val="20"/>
          <w:szCs w:val="20"/>
        </w:rPr>
      </w:pPr>
      <w:r w:rsidRPr="00213A5D">
        <w:rPr>
          <w:sz w:val="20"/>
          <w:szCs w:val="20"/>
        </w:rPr>
        <w:t xml:space="preserve"> </w:t>
      </w:r>
      <w:r w:rsidR="00BD29DC" w:rsidRPr="00213A5D">
        <w:rPr>
          <w:sz w:val="20"/>
          <w:szCs w:val="20"/>
        </w:rPr>
        <w:t>(млн. рублей)</w:t>
      </w:r>
    </w:p>
    <w:tbl>
      <w:tblPr>
        <w:tblW w:w="9654" w:type="dxa"/>
        <w:tblInd w:w="93" w:type="dxa"/>
        <w:tblLook w:val="04A0" w:firstRow="1" w:lastRow="0" w:firstColumn="1" w:lastColumn="0" w:noHBand="0" w:noVBand="1"/>
      </w:tblPr>
      <w:tblGrid>
        <w:gridCol w:w="3417"/>
        <w:gridCol w:w="1701"/>
        <w:gridCol w:w="1560"/>
        <w:gridCol w:w="1559"/>
        <w:gridCol w:w="1417"/>
      </w:tblGrid>
      <w:tr w:rsidR="00216B17" w:rsidRPr="00213A5D" w14:paraId="55ADEA5C" w14:textId="77777777" w:rsidTr="001F7856">
        <w:trPr>
          <w:tblHeader/>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42D44"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xml:space="preserve">Наименование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1596DBB"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Сводная роспись с изменениями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ED38B94"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Кассовое исполнение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49E9524"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сводной росписи с изменениями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CC60E4"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изменения к 2021 году</w:t>
            </w:r>
          </w:p>
        </w:tc>
      </w:tr>
      <w:tr w:rsidR="00216B17" w:rsidRPr="00213A5D" w14:paraId="6E9958D5" w14:textId="77777777" w:rsidTr="001F7856">
        <w:tc>
          <w:tcPr>
            <w:tcW w:w="3417" w:type="dxa"/>
            <w:tcBorders>
              <w:top w:val="nil"/>
              <w:left w:val="single" w:sz="4" w:space="0" w:color="auto"/>
              <w:bottom w:val="single" w:sz="4" w:space="0" w:color="auto"/>
              <w:right w:val="single" w:sz="4" w:space="0" w:color="auto"/>
            </w:tcBorders>
            <w:shd w:val="clear" w:color="auto" w:fill="auto"/>
            <w:vAlign w:val="center"/>
            <w:hideMark/>
          </w:tcPr>
          <w:p w14:paraId="0C04BBF8" w14:textId="77777777" w:rsidR="00216B17" w:rsidRPr="00213A5D" w:rsidRDefault="00216B17"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 xml:space="preserve">Субсидии на финансовое обеспечение государственного задания </w:t>
            </w:r>
          </w:p>
        </w:tc>
        <w:tc>
          <w:tcPr>
            <w:tcW w:w="1701" w:type="dxa"/>
            <w:tcBorders>
              <w:top w:val="nil"/>
              <w:left w:val="nil"/>
              <w:bottom w:val="single" w:sz="4" w:space="0" w:color="auto"/>
              <w:right w:val="single" w:sz="4" w:space="0" w:color="auto"/>
            </w:tcBorders>
            <w:shd w:val="clear" w:color="auto" w:fill="auto"/>
            <w:vAlign w:val="center"/>
          </w:tcPr>
          <w:p w14:paraId="2CABC5D4"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1 152 703,5</w:t>
            </w:r>
          </w:p>
        </w:tc>
        <w:tc>
          <w:tcPr>
            <w:tcW w:w="1560" w:type="dxa"/>
            <w:tcBorders>
              <w:top w:val="nil"/>
              <w:left w:val="nil"/>
              <w:bottom w:val="single" w:sz="4" w:space="0" w:color="auto"/>
              <w:right w:val="single" w:sz="4" w:space="0" w:color="auto"/>
            </w:tcBorders>
            <w:shd w:val="clear" w:color="auto" w:fill="auto"/>
            <w:vAlign w:val="center"/>
          </w:tcPr>
          <w:p w14:paraId="54D11A59"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868 254,5</w:t>
            </w:r>
          </w:p>
        </w:tc>
        <w:tc>
          <w:tcPr>
            <w:tcW w:w="1559" w:type="dxa"/>
            <w:tcBorders>
              <w:top w:val="nil"/>
              <w:left w:val="nil"/>
              <w:bottom w:val="single" w:sz="4" w:space="0" w:color="auto"/>
              <w:right w:val="single" w:sz="4" w:space="0" w:color="auto"/>
            </w:tcBorders>
            <w:shd w:val="clear" w:color="auto" w:fill="auto"/>
            <w:vAlign w:val="center"/>
          </w:tcPr>
          <w:p w14:paraId="74ECBB58"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75,3</w:t>
            </w:r>
          </w:p>
        </w:tc>
        <w:tc>
          <w:tcPr>
            <w:tcW w:w="1417" w:type="dxa"/>
            <w:tcBorders>
              <w:top w:val="nil"/>
              <w:left w:val="nil"/>
              <w:bottom w:val="single" w:sz="4" w:space="0" w:color="auto"/>
              <w:right w:val="single" w:sz="4" w:space="0" w:color="auto"/>
            </w:tcBorders>
            <w:shd w:val="clear" w:color="auto" w:fill="auto"/>
            <w:noWrap/>
            <w:vAlign w:val="center"/>
          </w:tcPr>
          <w:p w14:paraId="38DC1834"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7,4</w:t>
            </w:r>
          </w:p>
        </w:tc>
      </w:tr>
      <w:tr w:rsidR="00216B17" w:rsidRPr="00213A5D" w14:paraId="5256AD36" w14:textId="77777777" w:rsidTr="001F7856">
        <w:tc>
          <w:tcPr>
            <w:tcW w:w="3417" w:type="dxa"/>
            <w:tcBorders>
              <w:top w:val="nil"/>
              <w:left w:val="single" w:sz="4" w:space="0" w:color="auto"/>
              <w:bottom w:val="single" w:sz="4" w:space="0" w:color="auto"/>
              <w:right w:val="single" w:sz="4" w:space="0" w:color="auto"/>
            </w:tcBorders>
            <w:shd w:val="clear" w:color="auto" w:fill="auto"/>
            <w:vAlign w:val="center"/>
            <w:hideMark/>
          </w:tcPr>
          <w:p w14:paraId="0BF1CA55" w14:textId="77777777" w:rsidR="00216B17" w:rsidRPr="00213A5D" w:rsidRDefault="00216B17"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 xml:space="preserve">Субсидии на иные цели </w:t>
            </w:r>
          </w:p>
        </w:tc>
        <w:tc>
          <w:tcPr>
            <w:tcW w:w="1701" w:type="dxa"/>
            <w:tcBorders>
              <w:top w:val="nil"/>
              <w:left w:val="nil"/>
              <w:bottom w:val="single" w:sz="4" w:space="0" w:color="auto"/>
              <w:right w:val="single" w:sz="4" w:space="0" w:color="auto"/>
            </w:tcBorders>
            <w:shd w:val="clear" w:color="auto" w:fill="auto"/>
            <w:vAlign w:val="center"/>
          </w:tcPr>
          <w:p w14:paraId="55EBE888"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456 014,1</w:t>
            </w:r>
          </w:p>
        </w:tc>
        <w:tc>
          <w:tcPr>
            <w:tcW w:w="1560" w:type="dxa"/>
            <w:tcBorders>
              <w:top w:val="nil"/>
              <w:left w:val="nil"/>
              <w:bottom w:val="single" w:sz="4" w:space="0" w:color="auto"/>
              <w:right w:val="single" w:sz="4" w:space="0" w:color="auto"/>
            </w:tcBorders>
            <w:shd w:val="clear" w:color="auto" w:fill="auto"/>
            <w:vAlign w:val="center"/>
          </w:tcPr>
          <w:p w14:paraId="56449873"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376 337,4</w:t>
            </w:r>
          </w:p>
        </w:tc>
        <w:tc>
          <w:tcPr>
            <w:tcW w:w="1559" w:type="dxa"/>
            <w:tcBorders>
              <w:top w:val="nil"/>
              <w:left w:val="nil"/>
              <w:bottom w:val="single" w:sz="4" w:space="0" w:color="auto"/>
              <w:right w:val="single" w:sz="4" w:space="0" w:color="auto"/>
            </w:tcBorders>
            <w:shd w:val="clear" w:color="auto" w:fill="auto"/>
            <w:vAlign w:val="center"/>
          </w:tcPr>
          <w:p w14:paraId="209954F6"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82,5</w:t>
            </w:r>
          </w:p>
        </w:tc>
        <w:tc>
          <w:tcPr>
            <w:tcW w:w="1417" w:type="dxa"/>
            <w:tcBorders>
              <w:top w:val="nil"/>
              <w:left w:val="nil"/>
              <w:bottom w:val="single" w:sz="4" w:space="0" w:color="auto"/>
              <w:right w:val="single" w:sz="4" w:space="0" w:color="auto"/>
            </w:tcBorders>
            <w:shd w:val="clear" w:color="auto" w:fill="auto"/>
            <w:noWrap/>
            <w:vAlign w:val="center"/>
          </w:tcPr>
          <w:p w14:paraId="355D2B66"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38,5</w:t>
            </w:r>
          </w:p>
        </w:tc>
      </w:tr>
      <w:tr w:rsidR="00216B17" w:rsidRPr="00213A5D" w14:paraId="396FDCFB" w14:textId="77777777" w:rsidTr="001F7856">
        <w:tc>
          <w:tcPr>
            <w:tcW w:w="3417" w:type="dxa"/>
            <w:tcBorders>
              <w:top w:val="nil"/>
              <w:left w:val="single" w:sz="4" w:space="0" w:color="auto"/>
              <w:bottom w:val="single" w:sz="4" w:space="0" w:color="auto"/>
              <w:right w:val="single" w:sz="4" w:space="0" w:color="auto"/>
            </w:tcBorders>
            <w:shd w:val="clear" w:color="auto" w:fill="auto"/>
            <w:vAlign w:val="center"/>
            <w:hideMark/>
          </w:tcPr>
          <w:p w14:paraId="623FE38E" w14:textId="77777777" w:rsidR="00216B17" w:rsidRPr="00213A5D" w:rsidRDefault="00216B17"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 xml:space="preserve">Гранты </w:t>
            </w:r>
          </w:p>
        </w:tc>
        <w:tc>
          <w:tcPr>
            <w:tcW w:w="1701" w:type="dxa"/>
            <w:tcBorders>
              <w:top w:val="nil"/>
              <w:left w:val="nil"/>
              <w:bottom w:val="single" w:sz="4" w:space="0" w:color="auto"/>
              <w:right w:val="single" w:sz="4" w:space="0" w:color="auto"/>
            </w:tcBorders>
            <w:shd w:val="clear" w:color="auto" w:fill="auto"/>
            <w:vAlign w:val="center"/>
          </w:tcPr>
          <w:p w14:paraId="4809B0DA"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97 653,5</w:t>
            </w:r>
          </w:p>
        </w:tc>
        <w:tc>
          <w:tcPr>
            <w:tcW w:w="1560" w:type="dxa"/>
            <w:tcBorders>
              <w:top w:val="nil"/>
              <w:left w:val="nil"/>
              <w:bottom w:val="single" w:sz="4" w:space="0" w:color="auto"/>
              <w:right w:val="single" w:sz="4" w:space="0" w:color="auto"/>
            </w:tcBorders>
            <w:shd w:val="clear" w:color="auto" w:fill="auto"/>
            <w:vAlign w:val="center"/>
          </w:tcPr>
          <w:p w14:paraId="36D2751C"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91 249,1</w:t>
            </w:r>
          </w:p>
        </w:tc>
        <w:tc>
          <w:tcPr>
            <w:tcW w:w="1559" w:type="dxa"/>
            <w:tcBorders>
              <w:top w:val="nil"/>
              <w:left w:val="nil"/>
              <w:bottom w:val="single" w:sz="4" w:space="0" w:color="auto"/>
              <w:right w:val="single" w:sz="4" w:space="0" w:color="auto"/>
            </w:tcBorders>
            <w:shd w:val="clear" w:color="auto" w:fill="auto"/>
            <w:vAlign w:val="center"/>
          </w:tcPr>
          <w:p w14:paraId="42E38BD0"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93,4</w:t>
            </w:r>
          </w:p>
        </w:tc>
        <w:tc>
          <w:tcPr>
            <w:tcW w:w="1417" w:type="dxa"/>
            <w:tcBorders>
              <w:top w:val="nil"/>
              <w:left w:val="nil"/>
              <w:bottom w:val="single" w:sz="4" w:space="0" w:color="auto"/>
              <w:right w:val="single" w:sz="4" w:space="0" w:color="auto"/>
            </w:tcBorders>
            <w:shd w:val="clear" w:color="auto" w:fill="auto"/>
            <w:noWrap/>
            <w:vAlign w:val="center"/>
          </w:tcPr>
          <w:p w14:paraId="2E777FD5" w14:textId="77777777" w:rsidR="00216B17" w:rsidRPr="00213A5D" w:rsidRDefault="00216B17" w:rsidP="00C76AA7">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71</w:t>
            </w:r>
          </w:p>
        </w:tc>
      </w:tr>
      <w:tr w:rsidR="00216B17" w:rsidRPr="00213A5D" w14:paraId="5B607E6A" w14:textId="77777777" w:rsidTr="001F7856">
        <w:tc>
          <w:tcPr>
            <w:tcW w:w="3417" w:type="dxa"/>
            <w:tcBorders>
              <w:top w:val="nil"/>
              <w:left w:val="single" w:sz="4" w:space="0" w:color="auto"/>
              <w:bottom w:val="single" w:sz="4" w:space="0" w:color="auto"/>
              <w:right w:val="single" w:sz="4" w:space="0" w:color="auto"/>
            </w:tcBorders>
            <w:shd w:val="clear" w:color="auto" w:fill="auto"/>
            <w:vAlign w:val="center"/>
            <w:hideMark/>
          </w:tcPr>
          <w:p w14:paraId="137D516B"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Итого</w:t>
            </w:r>
          </w:p>
        </w:tc>
        <w:tc>
          <w:tcPr>
            <w:tcW w:w="1701" w:type="dxa"/>
            <w:tcBorders>
              <w:top w:val="nil"/>
              <w:left w:val="nil"/>
              <w:bottom w:val="single" w:sz="4" w:space="0" w:color="auto"/>
              <w:right w:val="single" w:sz="4" w:space="0" w:color="auto"/>
            </w:tcBorders>
            <w:shd w:val="clear" w:color="auto" w:fill="auto"/>
            <w:vAlign w:val="center"/>
          </w:tcPr>
          <w:p w14:paraId="49A92D3E"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1 706 371,0</w:t>
            </w:r>
          </w:p>
        </w:tc>
        <w:tc>
          <w:tcPr>
            <w:tcW w:w="1560" w:type="dxa"/>
            <w:tcBorders>
              <w:top w:val="nil"/>
              <w:left w:val="nil"/>
              <w:bottom w:val="single" w:sz="4" w:space="0" w:color="auto"/>
              <w:right w:val="single" w:sz="4" w:space="0" w:color="auto"/>
            </w:tcBorders>
            <w:shd w:val="clear" w:color="auto" w:fill="auto"/>
            <w:vAlign w:val="center"/>
          </w:tcPr>
          <w:p w14:paraId="7A398647"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1 335 841,0</w:t>
            </w:r>
          </w:p>
        </w:tc>
        <w:tc>
          <w:tcPr>
            <w:tcW w:w="1559" w:type="dxa"/>
            <w:tcBorders>
              <w:top w:val="nil"/>
              <w:left w:val="nil"/>
              <w:bottom w:val="single" w:sz="4" w:space="0" w:color="auto"/>
              <w:right w:val="single" w:sz="4" w:space="0" w:color="auto"/>
            </w:tcBorders>
            <w:shd w:val="clear" w:color="auto" w:fill="auto"/>
            <w:vAlign w:val="center"/>
          </w:tcPr>
          <w:p w14:paraId="0BE13B12"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78,3</w:t>
            </w:r>
          </w:p>
        </w:tc>
        <w:tc>
          <w:tcPr>
            <w:tcW w:w="1417" w:type="dxa"/>
            <w:tcBorders>
              <w:top w:val="nil"/>
              <w:left w:val="nil"/>
              <w:bottom w:val="single" w:sz="4" w:space="0" w:color="auto"/>
              <w:right w:val="single" w:sz="4" w:space="0" w:color="auto"/>
            </w:tcBorders>
            <w:shd w:val="clear" w:color="auto" w:fill="auto"/>
            <w:noWrap/>
            <w:vAlign w:val="center"/>
          </w:tcPr>
          <w:p w14:paraId="5AA3DCF5" w14:textId="77777777" w:rsidR="00216B17" w:rsidRPr="00213A5D" w:rsidRDefault="00216B17" w:rsidP="00AF1852">
            <w:pPr>
              <w:widowControl w:val="0"/>
              <w:overflowPunct/>
              <w:autoSpaceDE/>
              <w:autoSpaceDN/>
              <w:adjustRightInd/>
              <w:spacing w:line="240" w:lineRule="auto"/>
              <w:ind w:left="0" w:right="0" w:firstLine="0"/>
              <w:jc w:val="center"/>
              <w:textAlignment w:val="auto"/>
              <w:rPr>
                <w:rFonts w:eastAsia="Times New Roman"/>
                <w:b/>
                <w:color w:val="000000"/>
                <w:sz w:val="18"/>
                <w:szCs w:val="18"/>
              </w:rPr>
            </w:pPr>
            <w:r w:rsidRPr="00213A5D">
              <w:rPr>
                <w:rFonts w:eastAsia="Times New Roman"/>
                <w:b/>
                <w:color w:val="000000"/>
                <w:sz w:val="18"/>
                <w:szCs w:val="18"/>
              </w:rPr>
              <w:t>17,9</w:t>
            </w:r>
          </w:p>
        </w:tc>
      </w:tr>
    </w:tbl>
    <w:p w14:paraId="1FDE996D" w14:textId="77777777" w:rsidR="006F7A04" w:rsidRPr="00213A5D" w:rsidRDefault="006F7A04" w:rsidP="00A82452">
      <w:pPr>
        <w:widowControl w:val="0"/>
        <w:spacing w:line="240" w:lineRule="auto"/>
        <w:ind w:left="0" w:right="0"/>
        <w:rPr>
          <w:sz w:val="16"/>
          <w:szCs w:val="16"/>
        </w:rPr>
      </w:pPr>
    </w:p>
    <w:p w14:paraId="39B0BA2C" w14:textId="77777777" w:rsidR="005A1CB2" w:rsidRPr="00213A5D" w:rsidRDefault="005A1CB2" w:rsidP="005F6E1B">
      <w:pPr>
        <w:widowControl w:val="0"/>
        <w:ind w:left="0" w:right="0"/>
        <w:rPr>
          <w:sz w:val="24"/>
          <w:szCs w:val="24"/>
        </w:rPr>
      </w:pPr>
      <w:r w:rsidRPr="00213A5D">
        <w:rPr>
          <w:sz w:val="24"/>
          <w:szCs w:val="24"/>
        </w:rPr>
        <w:t xml:space="preserve">Основную долю объема бюджетных ассигнований составляют расходы на субсидии </w:t>
      </w:r>
      <w:r w:rsidRPr="00213A5D">
        <w:rPr>
          <w:sz w:val="24"/>
          <w:szCs w:val="24"/>
        </w:rPr>
        <w:lastRenderedPageBreak/>
        <w:t>на финансовое обеспечение государственного задания на оказание государственных услуг (выполнение работ) – 67,6 % общего объема субсидий учреждений.</w:t>
      </w:r>
    </w:p>
    <w:p w14:paraId="4BE30014" w14:textId="77777777" w:rsidR="005A1CB2" w:rsidRPr="00213A5D" w:rsidRDefault="005A1CB2" w:rsidP="005F6E1B">
      <w:pPr>
        <w:widowControl w:val="0"/>
        <w:ind w:left="0" w:right="0"/>
        <w:rPr>
          <w:sz w:val="24"/>
          <w:szCs w:val="24"/>
        </w:rPr>
      </w:pPr>
      <w:r w:rsidRPr="00213A5D">
        <w:rPr>
          <w:sz w:val="24"/>
          <w:szCs w:val="24"/>
        </w:rPr>
        <w:t>Общий объем субсидий, предоставленный из федерального бюджета в январе – сентябре 2022 года, увеличился по сравнению с объемом, предоставленным в аналогичном периоде 2021 года, в основном за счет субсидий на иные цели на 104 595,6 млн. рублей, или на 38,5 %.</w:t>
      </w:r>
    </w:p>
    <w:p w14:paraId="5E86CDCA" w14:textId="77777777" w:rsidR="005A1CB2" w:rsidRPr="00213A5D" w:rsidRDefault="005A1CB2" w:rsidP="005F6E1B">
      <w:pPr>
        <w:widowControl w:val="0"/>
        <w:ind w:left="0" w:right="0"/>
        <w:rPr>
          <w:sz w:val="24"/>
          <w:szCs w:val="24"/>
        </w:rPr>
      </w:pPr>
      <w:r w:rsidRPr="00213A5D">
        <w:rPr>
          <w:sz w:val="24"/>
          <w:szCs w:val="24"/>
        </w:rPr>
        <w:t xml:space="preserve">По состоянию на 1 октября 2022 года сводной росписью с изменениями предоставление </w:t>
      </w:r>
      <w:r w:rsidRPr="00213A5D">
        <w:rPr>
          <w:b/>
          <w:sz w:val="24"/>
          <w:szCs w:val="24"/>
        </w:rPr>
        <w:t>субсидий федеральным бюджетным и автономным учреждениям на финансовое обеспечение государственного задания на оказание государственных услуг (выполнение работ)</w:t>
      </w:r>
      <w:r w:rsidRPr="00213A5D">
        <w:rPr>
          <w:sz w:val="24"/>
          <w:szCs w:val="24"/>
        </w:rPr>
        <w:t xml:space="preserve"> (далее – субсидии на государственное задание) предусмотрено</w:t>
      </w:r>
      <w:r w:rsidRPr="00213A5D">
        <w:rPr>
          <w:sz w:val="24"/>
          <w:szCs w:val="24"/>
        </w:rPr>
        <w:br/>
        <w:t>по 64 главным распорядителям.</w:t>
      </w:r>
    </w:p>
    <w:p w14:paraId="7491A601" w14:textId="77777777" w:rsidR="005A1CB2" w:rsidRPr="00213A5D" w:rsidRDefault="005A1CB2" w:rsidP="005F6E1B">
      <w:pPr>
        <w:widowControl w:val="0"/>
        <w:ind w:left="0" w:right="0"/>
        <w:rPr>
          <w:sz w:val="24"/>
          <w:szCs w:val="24"/>
        </w:rPr>
      </w:pPr>
      <w:r w:rsidRPr="00213A5D">
        <w:rPr>
          <w:sz w:val="24"/>
          <w:szCs w:val="24"/>
        </w:rPr>
        <w:t>Анализ исполнения расходов федерального бюджета на предоставление субсидий на государственное задание по состоянию на 1 октября 2022 года по главным распорядителям средств федерального бюджета представлен на следующей диаграмме.</w:t>
      </w:r>
    </w:p>
    <w:p w14:paraId="129A7C96" w14:textId="77777777" w:rsidR="005A1CB2" w:rsidRPr="00213A5D" w:rsidRDefault="00CD0E98" w:rsidP="00AF1852">
      <w:pPr>
        <w:widowControl w:val="0"/>
        <w:spacing w:line="355" w:lineRule="auto"/>
        <w:ind w:left="0" w:right="0" w:firstLine="0"/>
        <w:jc w:val="center"/>
        <w:rPr>
          <w:sz w:val="24"/>
          <w:szCs w:val="24"/>
        </w:rPr>
      </w:pPr>
      <w:r w:rsidRPr="00CD0E98">
        <w:rPr>
          <w:noProof/>
          <w:sz w:val="24"/>
          <w:szCs w:val="24"/>
        </w:rPr>
        <w:pict w14:anchorId="111560A0">
          <v:shape id="_x0000_i1037" type="#_x0000_t75" alt="" style="width:160.3pt;height:156.25pt;mso-width-percent:0;mso-height-percent:0;mso-position-horizontal-relative:char;mso-position-vertical-relative:line;mso-width-percent:0;mso-height-percent:0">
            <v:imagedata r:id="rId67" o:title="" cropleft="14164f" cropright="20643f"/>
          </v:shape>
        </w:pict>
      </w:r>
    </w:p>
    <w:p w14:paraId="4BAA42A9" w14:textId="77777777" w:rsidR="005A1CB2" w:rsidRPr="00213A5D" w:rsidRDefault="005A1CB2" w:rsidP="005F6E1B">
      <w:pPr>
        <w:widowControl w:val="0"/>
        <w:ind w:left="0" w:right="0"/>
        <w:rPr>
          <w:bCs/>
          <w:sz w:val="24"/>
          <w:szCs w:val="24"/>
        </w:rPr>
      </w:pPr>
      <w:r w:rsidRPr="00213A5D">
        <w:rPr>
          <w:bCs/>
          <w:sz w:val="24"/>
          <w:szCs w:val="24"/>
        </w:rPr>
        <w:t xml:space="preserve">По результатам выборочного анализа установлено перечисление в январе – сентябре 2022 года ФАДН России субсидии на государственное задание ФГБУ «Дом народов России» на уровне 65,6 %, Росстатом </w:t>
      </w:r>
      <w:r w:rsidR="009568B2" w:rsidRPr="00213A5D">
        <w:rPr>
          <w:bCs/>
          <w:sz w:val="24"/>
          <w:szCs w:val="24"/>
        </w:rPr>
        <w:t>–</w:t>
      </w:r>
      <w:r w:rsidRPr="00213A5D">
        <w:rPr>
          <w:bCs/>
          <w:sz w:val="24"/>
          <w:szCs w:val="24"/>
        </w:rPr>
        <w:t xml:space="preserve"> ФГБУ «Научно-исследовательский институт проблем социально-экономической статистики Федеральной службы государственной статистики» на уровне 68,4 %, по ФГБУ ВО РАНХиГС – на выполнение работ по научно-методическому обеспечению</w:t>
      </w:r>
      <w:r w:rsidRPr="00213A5D">
        <w:rPr>
          <w:rStyle w:val="aff2"/>
          <w:bCs/>
          <w:sz w:val="24"/>
          <w:szCs w:val="24"/>
        </w:rPr>
        <w:footnoteReference w:id="48"/>
      </w:r>
      <w:r w:rsidRPr="00213A5D">
        <w:rPr>
          <w:bCs/>
          <w:sz w:val="24"/>
          <w:szCs w:val="24"/>
        </w:rPr>
        <w:t xml:space="preserve"> на уровне 50 %, что ниже предусмотренного Типовым графиком значения показателя «Перечислены субсидии БУ (АУ) (ГЗ)» (75 %).</w:t>
      </w:r>
    </w:p>
    <w:p w14:paraId="5DCC21C3" w14:textId="77777777" w:rsidR="005A1CB2" w:rsidRPr="00213A5D" w:rsidRDefault="005A1CB2" w:rsidP="005F6E1B">
      <w:pPr>
        <w:widowControl w:val="0"/>
        <w:ind w:left="0" w:right="0"/>
        <w:rPr>
          <w:bCs/>
          <w:sz w:val="24"/>
          <w:szCs w:val="24"/>
        </w:rPr>
      </w:pPr>
      <w:r w:rsidRPr="00213A5D">
        <w:rPr>
          <w:bCs/>
          <w:sz w:val="24"/>
          <w:szCs w:val="24"/>
        </w:rPr>
        <w:t>При этом перечисление по ФГБУ ВО РАНХиГС субсидии на государственное задание на выполнение работ по научно-методическому обеспечению в рамках госпрограммы «Внешнеполитическая деятельность» не осуществлялось.</w:t>
      </w:r>
    </w:p>
    <w:p w14:paraId="7B3823E8" w14:textId="77777777" w:rsidR="00174E29" w:rsidRPr="00213A5D" w:rsidRDefault="00174E29" w:rsidP="00AF1852">
      <w:pPr>
        <w:widowControl w:val="0"/>
        <w:spacing w:line="240" w:lineRule="auto"/>
        <w:ind w:left="0" w:right="0" w:firstLine="0"/>
        <w:jc w:val="center"/>
        <w:rPr>
          <w:rFonts w:eastAsia="Times New Roman"/>
          <w:sz w:val="16"/>
          <w:szCs w:val="16"/>
          <w:lang w:eastAsia="en-US"/>
        </w:rPr>
      </w:pPr>
    </w:p>
    <w:p w14:paraId="33C674F7" w14:textId="77777777" w:rsidR="0086472E" w:rsidRPr="00213A5D" w:rsidRDefault="0086472E" w:rsidP="00AF1852">
      <w:pPr>
        <w:widowControl w:val="0"/>
        <w:spacing w:line="240" w:lineRule="auto"/>
        <w:ind w:left="0" w:right="0" w:firstLine="0"/>
        <w:jc w:val="center"/>
        <w:rPr>
          <w:rFonts w:eastAsia="Times New Roman"/>
          <w:sz w:val="24"/>
          <w:szCs w:val="24"/>
          <w:u w:val="single"/>
          <w:lang w:eastAsia="en-US"/>
        </w:rPr>
      </w:pPr>
      <w:r w:rsidRPr="00213A5D">
        <w:rPr>
          <w:b/>
          <w:color w:val="000000"/>
          <w:sz w:val="24"/>
          <w:szCs w:val="24"/>
          <w:u w:val="single"/>
        </w:rPr>
        <w:t xml:space="preserve">11. Источники финансирования дефицита федерального бюджета, </w:t>
      </w:r>
      <w:r w:rsidRPr="00213A5D">
        <w:rPr>
          <w:b/>
          <w:color w:val="000000"/>
          <w:sz w:val="24"/>
          <w:szCs w:val="24"/>
          <w:u w:val="single"/>
        </w:rPr>
        <w:br/>
      </w:r>
      <w:r w:rsidRPr="00213A5D">
        <w:rPr>
          <w:b/>
          <w:color w:val="000000"/>
          <w:sz w:val="24"/>
          <w:szCs w:val="24"/>
          <w:u w:val="single"/>
        </w:rPr>
        <w:lastRenderedPageBreak/>
        <w:t>Фонд национального благосостояния, государственный долг Российской Федерации</w:t>
      </w:r>
    </w:p>
    <w:p w14:paraId="5F8200F8" w14:textId="77777777" w:rsidR="00A92B8E" w:rsidRPr="00213A5D" w:rsidRDefault="00A92B8E" w:rsidP="00AF1852">
      <w:pPr>
        <w:widowControl w:val="0"/>
        <w:overflowPunct/>
        <w:autoSpaceDE/>
        <w:adjustRightInd/>
        <w:spacing w:line="264" w:lineRule="auto"/>
        <w:ind w:left="0" w:right="0"/>
        <w:rPr>
          <w:rFonts w:eastAsia="Times New Roman"/>
          <w:sz w:val="16"/>
          <w:szCs w:val="16"/>
          <w:lang w:eastAsia="en-US"/>
        </w:rPr>
      </w:pPr>
    </w:p>
    <w:p w14:paraId="196C10C0" w14:textId="77777777" w:rsidR="0086472E" w:rsidRPr="00213A5D" w:rsidRDefault="0086472E" w:rsidP="00AF1852">
      <w:pPr>
        <w:widowControl w:val="0"/>
        <w:spacing w:line="336" w:lineRule="auto"/>
        <w:ind w:left="0" w:right="0"/>
        <w:rPr>
          <w:color w:val="000000"/>
          <w:sz w:val="24"/>
          <w:szCs w:val="24"/>
        </w:rPr>
      </w:pPr>
      <w:r w:rsidRPr="00213A5D">
        <w:rPr>
          <w:b/>
          <w:bCs/>
          <w:color w:val="000000"/>
          <w:sz w:val="24"/>
          <w:szCs w:val="24"/>
        </w:rPr>
        <w:t>11.1.</w:t>
      </w:r>
      <w:r w:rsidRPr="00213A5D">
        <w:rPr>
          <w:color w:val="000000"/>
          <w:sz w:val="24"/>
          <w:szCs w:val="24"/>
        </w:rPr>
        <w:t> Динамика объемов дефицита (профицита) федерального бюджета и ВВП на 1 октября 2018–2022 годов представлена на следующей диаграмме.</w:t>
      </w:r>
    </w:p>
    <w:p w14:paraId="61CB4361" w14:textId="77777777" w:rsidR="00A513A6" w:rsidRPr="00213A5D" w:rsidRDefault="00A513A6" w:rsidP="00AF1852">
      <w:pPr>
        <w:widowControl w:val="0"/>
        <w:ind w:right="-2" w:firstLine="680"/>
        <w:jc w:val="right"/>
        <w:rPr>
          <w:color w:val="000000"/>
          <w:sz w:val="20"/>
          <w:szCs w:val="20"/>
        </w:rPr>
      </w:pPr>
      <w:r w:rsidRPr="00213A5D">
        <w:rPr>
          <w:color w:val="000000"/>
          <w:sz w:val="20"/>
          <w:szCs w:val="20"/>
        </w:rPr>
        <w:t>(млрд. рублей)</w:t>
      </w:r>
    </w:p>
    <w:p w14:paraId="4DE4D1D4" w14:textId="77777777" w:rsidR="0086472E" w:rsidRPr="00213A5D" w:rsidRDefault="00CD0E98" w:rsidP="00AF1852">
      <w:pPr>
        <w:widowControl w:val="0"/>
        <w:spacing w:line="384" w:lineRule="auto"/>
        <w:ind w:left="0" w:right="0" w:firstLine="0"/>
        <w:rPr>
          <w:rFonts w:eastAsia="Times New Roman"/>
          <w:sz w:val="12"/>
          <w:szCs w:val="12"/>
          <w:lang w:eastAsia="en-US"/>
        </w:rPr>
      </w:pPr>
      <w:r w:rsidRPr="00213A5D">
        <w:rPr>
          <w:noProof/>
          <w:color w:val="000000"/>
        </w:rPr>
        <w:object w:dxaOrig="9860" w:dyaOrig="3735" w14:anchorId="3A8541DA">
          <v:shape id="_x0000_i1036" type="#_x0000_t75" alt="" style="width:493.15pt;height:186.8pt;visibility:visible;mso-width-percent:0;mso-height-percent:0;mso-width-percent:0;mso-height-percent:0" o:ole="">
            <v:imagedata r:id="rId68" o:title="" cropright="-33f"/>
            <o:lock v:ext="edit" aspectratio="f"/>
          </v:shape>
          <o:OLEObject Type="Embed" ProgID="Excel.Sheet.8" ShapeID="_x0000_i1036" DrawAspect="Content" ObjectID="_1731305712" r:id="rId69">
            <o:FieldCodes>\s</o:FieldCodes>
          </o:OLEObject>
        </w:object>
      </w:r>
    </w:p>
    <w:p w14:paraId="5E5299F1" w14:textId="77777777" w:rsidR="0086472E" w:rsidRPr="00213A5D" w:rsidRDefault="0086472E" w:rsidP="00AF1852">
      <w:pPr>
        <w:widowControl w:val="0"/>
        <w:spacing w:line="336" w:lineRule="auto"/>
        <w:ind w:left="0" w:right="0"/>
        <w:rPr>
          <w:color w:val="000000"/>
          <w:sz w:val="24"/>
          <w:szCs w:val="24"/>
        </w:rPr>
      </w:pPr>
      <w:r w:rsidRPr="00213A5D">
        <w:rPr>
          <w:b/>
          <w:color w:val="000000"/>
          <w:sz w:val="24"/>
          <w:szCs w:val="24"/>
        </w:rPr>
        <w:t>Федеральный</w:t>
      </w:r>
      <w:r w:rsidRPr="00213A5D">
        <w:rPr>
          <w:color w:val="000000"/>
          <w:sz w:val="24"/>
          <w:szCs w:val="24"/>
        </w:rPr>
        <w:t xml:space="preserve"> </w:t>
      </w:r>
      <w:r w:rsidRPr="00213A5D">
        <w:rPr>
          <w:b/>
          <w:color w:val="000000"/>
          <w:sz w:val="24"/>
          <w:szCs w:val="24"/>
        </w:rPr>
        <w:t>бюджет</w:t>
      </w:r>
      <w:r w:rsidRPr="00213A5D">
        <w:rPr>
          <w:color w:val="000000"/>
          <w:sz w:val="24"/>
          <w:szCs w:val="24"/>
        </w:rPr>
        <w:t xml:space="preserve"> за январь – сентябрь 2022 года </w:t>
      </w:r>
      <w:r w:rsidRPr="00213A5D">
        <w:rPr>
          <w:b/>
          <w:color w:val="000000"/>
          <w:sz w:val="24"/>
          <w:szCs w:val="24"/>
        </w:rPr>
        <w:t>исполнен с профицитом</w:t>
      </w:r>
      <w:r w:rsidRPr="00213A5D">
        <w:rPr>
          <w:color w:val="000000"/>
          <w:sz w:val="24"/>
          <w:szCs w:val="24"/>
        </w:rPr>
        <w:t xml:space="preserve"> на 1 241 992,4 млн. рублей </w:t>
      </w:r>
      <w:r w:rsidRPr="00213A5D">
        <w:rPr>
          <w:b/>
          <w:bCs/>
          <w:color w:val="000000"/>
          <w:sz w:val="24"/>
          <w:szCs w:val="24"/>
        </w:rPr>
        <w:t>меньше утвержденного</w:t>
      </w:r>
      <w:r w:rsidRPr="00213A5D">
        <w:rPr>
          <w:color w:val="000000"/>
          <w:sz w:val="24"/>
          <w:szCs w:val="24"/>
        </w:rPr>
        <w:t xml:space="preserve"> на отчетную дату профицита (1 327 677,7 млн. рублей, или 1 % ВВП).</w:t>
      </w:r>
    </w:p>
    <w:p w14:paraId="21E889EB" w14:textId="77777777" w:rsidR="0086472E" w:rsidRPr="00213A5D" w:rsidRDefault="0086472E" w:rsidP="00AF1852">
      <w:pPr>
        <w:widowControl w:val="0"/>
        <w:spacing w:line="336" w:lineRule="auto"/>
        <w:ind w:left="0" w:right="0"/>
        <w:rPr>
          <w:color w:val="000000"/>
          <w:sz w:val="24"/>
          <w:szCs w:val="24"/>
        </w:rPr>
      </w:pPr>
      <w:r w:rsidRPr="00213A5D">
        <w:rPr>
          <w:color w:val="000000"/>
          <w:sz w:val="24"/>
          <w:szCs w:val="24"/>
        </w:rPr>
        <w:t>Динамика источников финансирования дефицита федерального бюджета на 1 октября 2019–2022 годов представлена на следующей диаграмме.</w:t>
      </w:r>
    </w:p>
    <w:p w14:paraId="70FFCE44" w14:textId="77777777" w:rsidR="0086472E" w:rsidRPr="00213A5D" w:rsidRDefault="0086472E" w:rsidP="00AF1852">
      <w:pPr>
        <w:widowControl w:val="0"/>
        <w:ind w:right="-2" w:firstLine="680"/>
        <w:jc w:val="right"/>
        <w:rPr>
          <w:color w:val="000000"/>
          <w:sz w:val="20"/>
          <w:szCs w:val="20"/>
        </w:rPr>
      </w:pPr>
      <w:r w:rsidRPr="00213A5D">
        <w:rPr>
          <w:color w:val="000000"/>
          <w:sz w:val="20"/>
          <w:szCs w:val="20"/>
        </w:rPr>
        <w:t>(млрд. рублей)</w:t>
      </w:r>
    </w:p>
    <w:p w14:paraId="2098F500" w14:textId="77777777" w:rsidR="0086472E" w:rsidRPr="00213A5D" w:rsidRDefault="00CD0E98" w:rsidP="00AF1852">
      <w:pPr>
        <w:widowControl w:val="0"/>
        <w:overflowPunct/>
        <w:autoSpaceDE/>
        <w:adjustRightInd/>
        <w:spacing w:line="264" w:lineRule="auto"/>
        <w:ind w:left="0" w:right="0" w:firstLine="0"/>
        <w:rPr>
          <w:sz w:val="12"/>
          <w:szCs w:val="12"/>
        </w:rPr>
      </w:pPr>
      <w:r w:rsidRPr="00213A5D">
        <w:rPr>
          <w:noProof/>
          <w:color w:val="000000"/>
        </w:rPr>
        <w:object w:dxaOrig="9825" w:dyaOrig="4740" w14:anchorId="0D155A6A">
          <v:shape id="_x0000_i1035" type="#_x0000_t75" alt="" style="width:491.1pt;height:237.05pt;mso-width-percent:0;mso-height-percent:0;mso-width-percent:0;mso-height-percent:0" o:ole="">
            <v:imagedata r:id="rId70" o:title=""/>
            <o:lock v:ext="edit" aspectratio="f"/>
          </v:shape>
          <o:OLEObject Type="Embed" ProgID="Excel.Sheet.8" ShapeID="_x0000_i1035" DrawAspect="Content" ObjectID="_1731305713" r:id="rId71">
            <o:FieldCodes>\s</o:FieldCodes>
          </o:OLEObject>
        </w:object>
      </w:r>
    </w:p>
    <w:p w14:paraId="26FBC2DD" w14:textId="77777777" w:rsidR="0086472E" w:rsidRPr="00213A5D" w:rsidRDefault="0086472E" w:rsidP="00AF1852">
      <w:pPr>
        <w:widowControl w:val="0"/>
        <w:ind w:left="0" w:right="-2"/>
        <w:rPr>
          <w:color w:val="000000"/>
          <w:sz w:val="24"/>
          <w:szCs w:val="24"/>
        </w:rPr>
      </w:pPr>
      <w:r w:rsidRPr="00213A5D">
        <w:rPr>
          <w:color w:val="000000"/>
          <w:sz w:val="24"/>
          <w:szCs w:val="24"/>
        </w:rPr>
        <w:t xml:space="preserve">Анализ показал, что существенное изменение источников внутреннего финансирования дефицита федерального бюджета в январе – сентябре 2022 года по сравнению с аналогичным периодом 2021 года обусловлено в первую очередь </w:t>
      </w:r>
      <w:r w:rsidRPr="00213A5D">
        <w:rPr>
          <w:b/>
          <w:color w:val="000000"/>
          <w:sz w:val="24"/>
          <w:szCs w:val="24"/>
        </w:rPr>
        <w:t>значительным уменьшением объема привлечения</w:t>
      </w:r>
      <w:r w:rsidRPr="00213A5D">
        <w:rPr>
          <w:color w:val="000000"/>
          <w:sz w:val="24"/>
          <w:szCs w:val="24"/>
        </w:rPr>
        <w:t xml:space="preserve"> за счет размещения государственных </w:t>
      </w:r>
      <w:r w:rsidRPr="00213A5D">
        <w:rPr>
          <w:color w:val="000000"/>
          <w:sz w:val="24"/>
          <w:szCs w:val="24"/>
        </w:rPr>
        <w:lastRenderedPageBreak/>
        <w:t>ценных бумаг в валюте Российской Федерации.</w:t>
      </w:r>
    </w:p>
    <w:p w14:paraId="236F652A" w14:textId="77777777" w:rsidR="0086472E" w:rsidRPr="00213A5D" w:rsidRDefault="0086472E" w:rsidP="00AF1852">
      <w:pPr>
        <w:widowControl w:val="0"/>
        <w:ind w:left="0" w:right="-2"/>
        <w:rPr>
          <w:color w:val="000000"/>
          <w:sz w:val="24"/>
          <w:szCs w:val="24"/>
        </w:rPr>
      </w:pPr>
      <w:r w:rsidRPr="00213A5D">
        <w:rPr>
          <w:color w:val="000000"/>
          <w:sz w:val="24"/>
          <w:szCs w:val="24"/>
        </w:rPr>
        <w:t>Динамика показателей первичного дефицита и ненефтегазового дефицита представлена в следующей таблице.</w:t>
      </w:r>
    </w:p>
    <w:p w14:paraId="0388BDAD" w14:textId="77777777" w:rsidR="0086472E" w:rsidRPr="00213A5D" w:rsidRDefault="0086472E" w:rsidP="00AF1852">
      <w:pPr>
        <w:widowControl w:val="0"/>
        <w:spacing w:line="240" w:lineRule="auto"/>
        <w:ind w:right="0" w:firstLine="680"/>
        <w:jc w:val="right"/>
        <w:rPr>
          <w:color w:val="000000"/>
          <w:sz w:val="20"/>
          <w:szCs w:val="20"/>
        </w:rPr>
      </w:pPr>
      <w:r w:rsidRPr="00213A5D">
        <w:rPr>
          <w:color w:val="000000"/>
          <w:sz w:val="20"/>
          <w:szCs w:val="20"/>
        </w:rPr>
        <w:t>(млрд.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8"/>
        <w:gridCol w:w="1417"/>
        <w:gridCol w:w="1418"/>
        <w:gridCol w:w="1417"/>
      </w:tblGrid>
      <w:tr w:rsidR="0086472E" w:rsidRPr="00213A5D" w14:paraId="7941621D" w14:textId="77777777" w:rsidTr="00505ADA">
        <w:trPr>
          <w:trHeight w:val="172"/>
        </w:trPr>
        <w:tc>
          <w:tcPr>
            <w:tcW w:w="3969" w:type="dxa"/>
            <w:shd w:val="clear" w:color="auto" w:fill="auto"/>
            <w:vAlign w:val="center"/>
          </w:tcPr>
          <w:p w14:paraId="2FE138EA"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color w:val="000000"/>
                <w:sz w:val="24"/>
                <w:szCs w:val="24"/>
              </w:rPr>
            </w:pPr>
            <w:r w:rsidRPr="00213A5D">
              <w:rPr>
                <w:rFonts w:eastAsia="Times New Roman"/>
                <w:b/>
                <w:color w:val="000000"/>
                <w:sz w:val="24"/>
                <w:szCs w:val="24"/>
              </w:rPr>
              <w:t>Наименование</w:t>
            </w:r>
          </w:p>
        </w:tc>
        <w:tc>
          <w:tcPr>
            <w:tcW w:w="1418" w:type="dxa"/>
            <w:shd w:val="clear" w:color="auto" w:fill="auto"/>
          </w:tcPr>
          <w:p w14:paraId="6E514325"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b/>
                <w:color w:val="000000"/>
                <w:sz w:val="24"/>
                <w:szCs w:val="24"/>
              </w:rPr>
            </w:pPr>
            <w:r w:rsidRPr="00213A5D">
              <w:rPr>
                <w:rFonts w:eastAsia="Times New Roman"/>
                <w:b/>
                <w:color w:val="000000"/>
                <w:sz w:val="24"/>
                <w:szCs w:val="24"/>
              </w:rPr>
              <w:t>01.10.2019</w:t>
            </w:r>
          </w:p>
        </w:tc>
        <w:tc>
          <w:tcPr>
            <w:tcW w:w="1417" w:type="dxa"/>
            <w:shd w:val="clear" w:color="auto" w:fill="auto"/>
          </w:tcPr>
          <w:p w14:paraId="3E89CFFD"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b/>
                <w:color w:val="000000"/>
                <w:sz w:val="24"/>
                <w:szCs w:val="24"/>
              </w:rPr>
            </w:pPr>
            <w:r w:rsidRPr="00213A5D">
              <w:rPr>
                <w:rFonts w:eastAsia="Times New Roman"/>
                <w:b/>
                <w:color w:val="000000"/>
                <w:sz w:val="24"/>
                <w:szCs w:val="24"/>
              </w:rPr>
              <w:t>01.10.2020</w:t>
            </w:r>
          </w:p>
        </w:tc>
        <w:tc>
          <w:tcPr>
            <w:tcW w:w="1418" w:type="dxa"/>
            <w:shd w:val="clear" w:color="auto" w:fill="auto"/>
          </w:tcPr>
          <w:p w14:paraId="47FCE5F7"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b/>
                <w:color w:val="000000"/>
                <w:sz w:val="24"/>
                <w:szCs w:val="24"/>
              </w:rPr>
            </w:pPr>
            <w:r w:rsidRPr="00213A5D">
              <w:rPr>
                <w:rFonts w:eastAsia="Times New Roman"/>
                <w:b/>
                <w:color w:val="000000"/>
                <w:sz w:val="24"/>
                <w:szCs w:val="24"/>
              </w:rPr>
              <w:t>01.10.2021</w:t>
            </w:r>
          </w:p>
        </w:tc>
        <w:tc>
          <w:tcPr>
            <w:tcW w:w="1417" w:type="dxa"/>
            <w:shd w:val="clear" w:color="auto" w:fill="auto"/>
          </w:tcPr>
          <w:p w14:paraId="4C0F1264"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b/>
                <w:color w:val="000000"/>
                <w:sz w:val="24"/>
                <w:szCs w:val="24"/>
              </w:rPr>
            </w:pPr>
            <w:r w:rsidRPr="00213A5D">
              <w:rPr>
                <w:rFonts w:eastAsia="Times New Roman"/>
                <w:b/>
                <w:color w:val="000000"/>
                <w:sz w:val="24"/>
                <w:szCs w:val="24"/>
              </w:rPr>
              <w:t>01.10.2022</w:t>
            </w:r>
          </w:p>
        </w:tc>
      </w:tr>
      <w:tr w:rsidR="0086472E" w:rsidRPr="00213A5D" w14:paraId="1111E5F0" w14:textId="77777777" w:rsidTr="00505ADA">
        <w:trPr>
          <w:trHeight w:val="70"/>
        </w:trPr>
        <w:tc>
          <w:tcPr>
            <w:tcW w:w="3969" w:type="dxa"/>
            <w:shd w:val="clear" w:color="auto" w:fill="auto"/>
            <w:vAlign w:val="center"/>
          </w:tcPr>
          <w:p w14:paraId="5C5DDFEE"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color w:val="000000"/>
                <w:sz w:val="24"/>
                <w:szCs w:val="24"/>
              </w:rPr>
              <w:t>Первичный дефицит (-),</w:t>
            </w:r>
          </w:p>
          <w:p w14:paraId="18648ECC"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color w:val="000000"/>
                <w:sz w:val="24"/>
                <w:szCs w:val="24"/>
              </w:rPr>
              <w:t>профицит (+),</w:t>
            </w:r>
          </w:p>
        </w:tc>
        <w:tc>
          <w:tcPr>
            <w:tcW w:w="1418" w:type="dxa"/>
            <w:shd w:val="clear" w:color="auto" w:fill="auto"/>
            <w:vAlign w:val="center"/>
          </w:tcPr>
          <w:p w14:paraId="64C6D9B6"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2 554,2</w:t>
            </w:r>
          </w:p>
        </w:tc>
        <w:tc>
          <w:tcPr>
            <w:tcW w:w="1417" w:type="dxa"/>
            <w:shd w:val="clear" w:color="auto" w:fill="auto"/>
            <w:vAlign w:val="center"/>
          </w:tcPr>
          <w:p w14:paraId="3B9AFE66"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-2 189,4</w:t>
            </w:r>
          </w:p>
        </w:tc>
        <w:tc>
          <w:tcPr>
            <w:tcW w:w="1418" w:type="dxa"/>
            <w:shd w:val="clear" w:color="auto" w:fill="auto"/>
            <w:vAlign w:val="center"/>
          </w:tcPr>
          <w:p w14:paraId="441E5C61"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844,4</w:t>
            </w:r>
          </w:p>
        </w:tc>
        <w:tc>
          <w:tcPr>
            <w:tcW w:w="1417" w:type="dxa"/>
            <w:shd w:val="clear" w:color="auto" w:fill="auto"/>
            <w:vAlign w:val="center"/>
          </w:tcPr>
          <w:p w14:paraId="5BCAE076"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-932,0</w:t>
            </w:r>
          </w:p>
        </w:tc>
      </w:tr>
      <w:tr w:rsidR="0086472E" w:rsidRPr="00213A5D" w14:paraId="3BB4CBF3" w14:textId="77777777" w:rsidTr="00505ADA">
        <w:trPr>
          <w:trHeight w:val="285"/>
        </w:trPr>
        <w:tc>
          <w:tcPr>
            <w:tcW w:w="3969" w:type="dxa"/>
            <w:shd w:val="clear" w:color="auto" w:fill="auto"/>
            <w:vAlign w:val="center"/>
          </w:tcPr>
          <w:p w14:paraId="76AEDE35"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i/>
                <w:color w:val="000000"/>
                <w:sz w:val="24"/>
                <w:szCs w:val="24"/>
              </w:rPr>
            </w:pPr>
            <w:r w:rsidRPr="00213A5D">
              <w:rPr>
                <w:rFonts w:eastAsia="Times New Roman"/>
                <w:i/>
                <w:color w:val="000000"/>
                <w:sz w:val="24"/>
                <w:szCs w:val="24"/>
              </w:rPr>
              <w:t>в % к ВВП</w:t>
            </w:r>
          </w:p>
        </w:tc>
        <w:tc>
          <w:tcPr>
            <w:tcW w:w="1418" w:type="dxa"/>
            <w:shd w:val="clear" w:color="auto" w:fill="auto"/>
            <w:vAlign w:val="center"/>
          </w:tcPr>
          <w:p w14:paraId="2D8F9609"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2,3</w:t>
            </w:r>
          </w:p>
        </w:tc>
        <w:tc>
          <w:tcPr>
            <w:tcW w:w="1417" w:type="dxa"/>
            <w:shd w:val="clear" w:color="auto" w:fill="auto"/>
            <w:vAlign w:val="center"/>
          </w:tcPr>
          <w:p w14:paraId="787B97A1"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-2,0</w:t>
            </w:r>
          </w:p>
        </w:tc>
        <w:tc>
          <w:tcPr>
            <w:tcW w:w="1418" w:type="dxa"/>
            <w:shd w:val="clear" w:color="auto" w:fill="auto"/>
            <w:vAlign w:val="center"/>
          </w:tcPr>
          <w:p w14:paraId="3874FCD1"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0,6</w:t>
            </w:r>
          </w:p>
        </w:tc>
        <w:tc>
          <w:tcPr>
            <w:tcW w:w="1417" w:type="dxa"/>
            <w:shd w:val="clear" w:color="auto" w:fill="auto"/>
            <w:vAlign w:val="center"/>
          </w:tcPr>
          <w:p w14:paraId="7B13A52E"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-0,7</w:t>
            </w:r>
          </w:p>
        </w:tc>
      </w:tr>
      <w:tr w:rsidR="0086472E" w:rsidRPr="00213A5D" w14:paraId="27E0BD5E" w14:textId="77777777" w:rsidTr="00505ADA">
        <w:trPr>
          <w:trHeight w:val="70"/>
        </w:trPr>
        <w:tc>
          <w:tcPr>
            <w:tcW w:w="3969" w:type="dxa"/>
            <w:shd w:val="clear" w:color="auto" w:fill="auto"/>
            <w:vAlign w:val="center"/>
          </w:tcPr>
          <w:p w14:paraId="2200F508"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color w:val="000000"/>
                <w:sz w:val="24"/>
                <w:szCs w:val="24"/>
              </w:rPr>
              <w:t>Ненефтегазовый дефицит</w:t>
            </w:r>
          </w:p>
        </w:tc>
        <w:tc>
          <w:tcPr>
            <w:tcW w:w="1418" w:type="dxa"/>
            <w:shd w:val="clear" w:color="auto" w:fill="auto"/>
            <w:vAlign w:val="center"/>
          </w:tcPr>
          <w:p w14:paraId="19C4FFE3"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-2 921,6</w:t>
            </w:r>
          </w:p>
        </w:tc>
        <w:tc>
          <w:tcPr>
            <w:tcW w:w="1417" w:type="dxa"/>
            <w:shd w:val="clear" w:color="auto" w:fill="auto"/>
            <w:vAlign w:val="center"/>
          </w:tcPr>
          <w:p w14:paraId="359961FC"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-5 510,9</w:t>
            </w:r>
          </w:p>
        </w:tc>
        <w:tc>
          <w:tcPr>
            <w:tcW w:w="1418" w:type="dxa"/>
            <w:shd w:val="clear" w:color="auto" w:fill="auto"/>
            <w:vAlign w:val="center"/>
          </w:tcPr>
          <w:p w14:paraId="5850D511"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-4 559,9</w:t>
            </w:r>
          </w:p>
        </w:tc>
        <w:tc>
          <w:tcPr>
            <w:tcW w:w="1417" w:type="dxa"/>
            <w:shd w:val="clear" w:color="auto" w:fill="auto"/>
            <w:vAlign w:val="center"/>
          </w:tcPr>
          <w:p w14:paraId="300AC2D2"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-8 421,0</w:t>
            </w:r>
          </w:p>
        </w:tc>
      </w:tr>
      <w:tr w:rsidR="0086472E" w:rsidRPr="00213A5D" w14:paraId="58D4A8C8" w14:textId="77777777" w:rsidTr="00505ADA">
        <w:trPr>
          <w:trHeight w:val="70"/>
        </w:trPr>
        <w:tc>
          <w:tcPr>
            <w:tcW w:w="3969" w:type="dxa"/>
            <w:shd w:val="clear" w:color="auto" w:fill="auto"/>
            <w:vAlign w:val="center"/>
          </w:tcPr>
          <w:p w14:paraId="73CD9922"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i/>
                <w:color w:val="000000"/>
                <w:sz w:val="24"/>
                <w:szCs w:val="24"/>
              </w:rPr>
            </w:pPr>
            <w:r w:rsidRPr="00213A5D">
              <w:rPr>
                <w:rFonts w:eastAsia="Times New Roman"/>
                <w:i/>
                <w:color w:val="000000"/>
                <w:sz w:val="24"/>
                <w:szCs w:val="24"/>
              </w:rPr>
              <w:t>в % к ВВП*</w:t>
            </w:r>
          </w:p>
        </w:tc>
        <w:tc>
          <w:tcPr>
            <w:tcW w:w="1418" w:type="dxa"/>
            <w:shd w:val="clear" w:color="auto" w:fill="auto"/>
            <w:vAlign w:val="center"/>
          </w:tcPr>
          <w:p w14:paraId="3178B353"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-2,7</w:t>
            </w:r>
          </w:p>
        </w:tc>
        <w:tc>
          <w:tcPr>
            <w:tcW w:w="1417" w:type="dxa"/>
            <w:shd w:val="clear" w:color="auto" w:fill="auto"/>
            <w:vAlign w:val="center"/>
          </w:tcPr>
          <w:p w14:paraId="7E84484C"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-5,1</w:t>
            </w:r>
          </w:p>
        </w:tc>
        <w:tc>
          <w:tcPr>
            <w:tcW w:w="1418" w:type="dxa"/>
            <w:shd w:val="clear" w:color="auto" w:fill="auto"/>
            <w:vAlign w:val="center"/>
          </w:tcPr>
          <w:p w14:paraId="33D680F3"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-3,5</w:t>
            </w:r>
          </w:p>
        </w:tc>
        <w:tc>
          <w:tcPr>
            <w:tcW w:w="1417" w:type="dxa"/>
            <w:shd w:val="clear" w:color="auto" w:fill="auto"/>
            <w:vAlign w:val="center"/>
          </w:tcPr>
          <w:p w14:paraId="471DAF23"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-6,3</w:t>
            </w:r>
          </w:p>
        </w:tc>
      </w:tr>
    </w:tbl>
    <w:p w14:paraId="715BDD0A" w14:textId="77777777" w:rsidR="0086472E" w:rsidRPr="00213A5D" w:rsidRDefault="0086472E" w:rsidP="00AF1852">
      <w:pPr>
        <w:widowControl w:val="0"/>
        <w:spacing w:line="240" w:lineRule="auto"/>
        <w:ind w:left="0" w:right="-2"/>
        <w:rPr>
          <w:color w:val="000000"/>
          <w:sz w:val="20"/>
          <w:szCs w:val="20"/>
        </w:rPr>
      </w:pPr>
      <w:r w:rsidRPr="00213A5D">
        <w:rPr>
          <w:color w:val="000000"/>
          <w:sz w:val="20"/>
          <w:szCs w:val="20"/>
        </w:rPr>
        <w:t>*- предусмотренный федеральным законом о федеральном бюджете на соответствующий финансовый год и плановый период</w:t>
      </w:r>
    </w:p>
    <w:p w14:paraId="6C3BC769" w14:textId="77777777" w:rsidR="0086472E" w:rsidRPr="00213A5D" w:rsidRDefault="0086472E" w:rsidP="00AF1852">
      <w:pPr>
        <w:widowControl w:val="0"/>
        <w:ind w:firstLine="680"/>
        <w:rPr>
          <w:color w:val="000000"/>
          <w:sz w:val="24"/>
          <w:szCs w:val="24"/>
        </w:rPr>
      </w:pPr>
    </w:p>
    <w:p w14:paraId="4C5DEDDF" w14:textId="77777777" w:rsidR="0086472E" w:rsidRPr="00213A5D" w:rsidRDefault="0086472E" w:rsidP="00AF1852">
      <w:pPr>
        <w:widowControl w:val="0"/>
        <w:ind w:left="0" w:right="-2"/>
        <w:rPr>
          <w:color w:val="000000"/>
          <w:sz w:val="24"/>
          <w:szCs w:val="24"/>
        </w:rPr>
      </w:pPr>
      <w:r w:rsidRPr="00213A5D">
        <w:rPr>
          <w:color w:val="000000"/>
          <w:sz w:val="24"/>
          <w:szCs w:val="24"/>
        </w:rPr>
        <w:t>Ненефтегазовый дефицит по сравнению с аналогичным периодом 2021</w:t>
      </w:r>
      <w:r w:rsidRPr="00213A5D">
        <w:rPr>
          <w:color w:val="000000"/>
          <w:sz w:val="24"/>
          <w:szCs w:val="24"/>
          <w:lang w:val="en-US"/>
        </w:rPr>
        <w:t> </w:t>
      </w:r>
      <w:r w:rsidRPr="00213A5D">
        <w:rPr>
          <w:color w:val="000000"/>
          <w:sz w:val="24"/>
          <w:szCs w:val="24"/>
        </w:rPr>
        <w:t>года увеличился на 84,7 % и на 2,8 процентн</w:t>
      </w:r>
      <w:r w:rsidR="001F4624" w:rsidRPr="00213A5D">
        <w:rPr>
          <w:color w:val="000000"/>
          <w:sz w:val="24"/>
          <w:szCs w:val="24"/>
        </w:rPr>
        <w:t>ого</w:t>
      </w:r>
      <w:r w:rsidRPr="00213A5D">
        <w:rPr>
          <w:color w:val="000000"/>
          <w:sz w:val="24"/>
          <w:szCs w:val="24"/>
        </w:rPr>
        <w:t xml:space="preserve"> пункта ВВП.</w:t>
      </w:r>
    </w:p>
    <w:p w14:paraId="4A7B5F0D" w14:textId="77777777" w:rsidR="0086472E" w:rsidRPr="00213A5D" w:rsidRDefault="0086472E" w:rsidP="00AF1852">
      <w:pPr>
        <w:widowControl w:val="0"/>
        <w:ind w:left="0" w:right="-2"/>
        <w:rPr>
          <w:color w:val="000000"/>
          <w:sz w:val="24"/>
          <w:szCs w:val="24"/>
        </w:rPr>
      </w:pPr>
      <w:r w:rsidRPr="00213A5D">
        <w:rPr>
          <w:b/>
          <w:color w:val="000000"/>
          <w:sz w:val="24"/>
          <w:szCs w:val="24"/>
        </w:rPr>
        <w:t>11.2.</w:t>
      </w:r>
      <w:r w:rsidRPr="00213A5D">
        <w:rPr>
          <w:color w:val="000000"/>
          <w:sz w:val="24"/>
          <w:szCs w:val="24"/>
        </w:rPr>
        <w:t xml:space="preserve"> Информация об объемах привлечения государственных ценных бумаг в валюте Российской Федерации с учетом статьи 113 Бюджетного кодекса Российской Федерации, а также сальдо размещения и погашения основного долга по ним </w:t>
      </w:r>
      <w:r w:rsidRPr="00213A5D">
        <w:rPr>
          <w:b/>
          <w:color w:val="000000"/>
          <w:sz w:val="24"/>
          <w:szCs w:val="24"/>
        </w:rPr>
        <w:t>по месяцам 2022 года</w:t>
      </w:r>
      <w:r w:rsidRPr="00213A5D">
        <w:rPr>
          <w:color w:val="000000"/>
          <w:sz w:val="24"/>
          <w:szCs w:val="24"/>
        </w:rPr>
        <w:t xml:space="preserve"> представлена на следующей диаграмме.</w:t>
      </w:r>
    </w:p>
    <w:p w14:paraId="79FA43CB" w14:textId="77777777" w:rsidR="0086472E" w:rsidRPr="00213A5D" w:rsidRDefault="00CD0E98" w:rsidP="00AF1852">
      <w:pPr>
        <w:widowControl w:val="0"/>
        <w:ind w:left="0" w:right="-2" w:firstLine="0"/>
        <w:rPr>
          <w:color w:val="000000"/>
          <w:sz w:val="24"/>
          <w:szCs w:val="24"/>
        </w:rPr>
      </w:pPr>
      <w:r w:rsidRPr="00213A5D">
        <w:rPr>
          <w:noProof/>
          <w:color w:val="000000"/>
        </w:rPr>
        <w:object w:dxaOrig="9630" w:dyaOrig="3120" w14:anchorId="60DFEC1D">
          <v:shape id="Диаграмма 18" o:spid="_x0000_i1034" type="#_x0000_t75" alt="" style="width:482.25pt;height:156.25pt;visibility:visible;mso-width-percent:0;mso-height-percent:0;mso-width-percent:0;mso-height-percent:0" o:ole="">
            <v:imagedata r:id="rId72" o:title="" cropright="-7f"/>
            <o:lock v:ext="edit" aspectratio="f"/>
          </v:shape>
          <o:OLEObject Type="Embed" ProgID="Excel.Sheet.8" ShapeID="Диаграмма 18" DrawAspect="Content" ObjectID="_1731305714" r:id="rId73">
            <o:FieldCodes>\s</o:FieldCodes>
          </o:OLEObject>
        </w:object>
      </w:r>
    </w:p>
    <w:p w14:paraId="1107CD4B" w14:textId="77777777" w:rsidR="0086472E" w:rsidRPr="00213A5D" w:rsidRDefault="0086472E" w:rsidP="00AF1852">
      <w:pPr>
        <w:widowControl w:val="0"/>
        <w:overflowPunct/>
        <w:autoSpaceDE/>
        <w:autoSpaceDN/>
        <w:adjustRightInd/>
        <w:spacing w:line="336" w:lineRule="auto"/>
        <w:ind w:left="0" w:right="0"/>
        <w:textAlignment w:val="auto"/>
        <w:rPr>
          <w:rFonts w:eastAsia="Times New Roman"/>
          <w:color w:val="000000"/>
          <w:sz w:val="24"/>
          <w:szCs w:val="24"/>
        </w:rPr>
      </w:pPr>
      <w:r w:rsidRPr="00213A5D">
        <w:rPr>
          <w:rFonts w:eastAsia="Times New Roman"/>
          <w:color w:val="000000"/>
          <w:sz w:val="24"/>
          <w:szCs w:val="24"/>
        </w:rPr>
        <w:t xml:space="preserve">В отчетном периоде 2022 года Минфин России провел 8 аукционов по размещению облигаций федеральных займов (ОФЗ). В связи с возросшей волатильностью на финансовых рынках, согласно информационным сообщениям Минфина России в целях содействия стабилизации рыночной ситуации </w:t>
      </w:r>
      <w:r w:rsidRPr="00213A5D">
        <w:rPr>
          <w:rFonts w:eastAsia="Times New Roman"/>
          <w:b/>
          <w:color w:val="000000"/>
          <w:sz w:val="24"/>
          <w:szCs w:val="24"/>
        </w:rPr>
        <w:t>Минфин России отказался</w:t>
      </w:r>
      <w:r w:rsidRPr="00213A5D">
        <w:rPr>
          <w:rFonts w:eastAsia="Times New Roman"/>
          <w:color w:val="000000"/>
          <w:sz w:val="24"/>
          <w:szCs w:val="24"/>
        </w:rPr>
        <w:t xml:space="preserve"> от проведения </w:t>
      </w:r>
      <w:r w:rsidRPr="00213A5D">
        <w:rPr>
          <w:rFonts w:eastAsia="Times New Roman"/>
          <w:b/>
          <w:color w:val="000000"/>
          <w:sz w:val="24"/>
          <w:szCs w:val="24"/>
        </w:rPr>
        <w:t>19 и 26</w:t>
      </w:r>
      <w:r w:rsidRPr="00213A5D">
        <w:rPr>
          <w:rFonts w:eastAsia="Times New Roman"/>
          <w:b/>
          <w:color w:val="000000"/>
          <w:sz w:val="24"/>
          <w:szCs w:val="24"/>
          <w:lang w:val="en-US"/>
        </w:rPr>
        <w:t> </w:t>
      </w:r>
      <w:r w:rsidRPr="00213A5D">
        <w:rPr>
          <w:rFonts w:eastAsia="Times New Roman"/>
          <w:b/>
          <w:color w:val="000000"/>
          <w:sz w:val="24"/>
          <w:szCs w:val="24"/>
        </w:rPr>
        <w:t>января,</w:t>
      </w:r>
      <w:r w:rsidRPr="00213A5D">
        <w:rPr>
          <w:rFonts w:eastAsia="Times New Roman"/>
          <w:color w:val="000000"/>
          <w:sz w:val="24"/>
          <w:szCs w:val="24"/>
        </w:rPr>
        <w:t xml:space="preserve"> </w:t>
      </w:r>
      <w:r w:rsidRPr="00213A5D">
        <w:rPr>
          <w:rFonts w:eastAsia="Times New Roman"/>
          <w:b/>
          <w:color w:val="000000"/>
          <w:sz w:val="24"/>
          <w:szCs w:val="24"/>
        </w:rPr>
        <w:t>16 и 22 февраля 2022</w:t>
      </w:r>
      <w:r w:rsidRPr="00213A5D">
        <w:rPr>
          <w:rFonts w:eastAsia="Times New Roman"/>
          <w:color w:val="000000"/>
          <w:sz w:val="24"/>
          <w:szCs w:val="24"/>
        </w:rPr>
        <w:t xml:space="preserve"> </w:t>
      </w:r>
      <w:r w:rsidRPr="00213A5D">
        <w:rPr>
          <w:rFonts w:eastAsia="Times New Roman"/>
          <w:b/>
          <w:color w:val="000000"/>
          <w:sz w:val="24"/>
          <w:szCs w:val="24"/>
        </w:rPr>
        <w:t xml:space="preserve">года, </w:t>
      </w:r>
      <w:r w:rsidRPr="00213A5D">
        <w:rPr>
          <w:rFonts w:eastAsia="Times New Roman"/>
          <w:color w:val="000000"/>
          <w:sz w:val="24"/>
          <w:szCs w:val="24"/>
        </w:rPr>
        <w:t xml:space="preserve">а также </w:t>
      </w:r>
      <w:r w:rsidRPr="00213A5D">
        <w:rPr>
          <w:rFonts w:eastAsia="Times New Roman"/>
          <w:b/>
          <w:color w:val="000000"/>
          <w:sz w:val="24"/>
          <w:szCs w:val="24"/>
        </w:rPr>
        <w:t>28 сентября 2022 года</w:t>
      </w:r>
      <w:r w:rsidRPr="00213A5D">
        <w:rPr>
          <w:rFonts w:eastAsia="Times New Roman"/>
          <w:color w:val="000000"/>
          <w:sz w:val="24"/>
          <w:szCs w:val="24"/>
        </w:rPr>
        <w:t xml:space="preserve"> </w:t>
      </w:r>
      <w:r w:rsidRPr="00213A5D">
        <w:rPr>
          <w:rFonts w:eastAsia="Times New Roman"/>
          <w:b/>
          <w:color w:val="000000"/>
          <w:sz w:val="24"/>
          <w:szCs w:val="24"/>
        </w:rPr>
        <w:t>аукционов</w:t>
      </w:r>
      <w:r w:rsidRPr="00213A5D">
        <w:rPr>
          <w:rFonts w:eastAsia="Times New Roman"/>
          <w:color w:val="000000"/>
          <w:sz w:val="24"/>
          <w:szCs w:val="24"/>
        </w:rPr>
        <w:t xml:space="preserve"> по размещению ОФЗ. </w:t>
      </w:r>
      <w:r w:rsidR="008B23D8" w:rsidRPr="00213A5D">
        <w:rPr>
          <w:rFonts w:eastAsia="Times New Roman"/>
          <w:b/>
          <w:color w:val="000000"/>
          <w:sz w:val="24"/>
          <w:szCs w:val="24"/>
        </w:rPr>
        <w:t xml:space="preserve">В марте – </w:t>
      </w:r>
      <w:r w:rsidRPr="00213A5D">
        <w:rPr>
          <w:rFonts w:eastAsia="Times New Roman"/>
          <w:b/>
          <w:color w:val="000000"/>
          <w:sz w:val="24"/>
          <w:szCs w:val="24"/>
        </w:rPr>
        <w:t>августе</w:t>
      </w:r>
      <w:r w:rsidRPr="00213A5D">
        <w:rPr>
          <w:rFonts w:eastAsia="Times New Roman"/>
          <w:color w:val="000000"/>
          <w:sz w:val="24"/>
          <w:szCs w:val="24"/>
        </w:rPr>
        <w:t xml:space="preserve"> 2022</w:t>
      </w:r>
      <w:r w:rsidRPr="00213A5D">
        <w:rPr>
          <w:rFonts w:eastAsia="Times New Roman"/>
          <w:color w:val="000000"/>
          <w:sz w:val="24"/>
          <w:szCs w:val="24"/>
          <w:lang w:val="en-US"/>
        </w:rPr>
        <w:t> </w:t>
      </w:r>
      <w:r w:rsidRPr="00213A5D">
        <w:rPr>
          <w:rFonts w:eastAsia="Times New Roman"/>
          <w:color w:val="000000"/>
          <w:sz w:val="24"/>
          <w:szCs w:val="24"/>
        </w:rPr>
        <w:t xml:space="preserve">года </w:t>
      </w:r>
      <w:r w:rsidRPr="00213A5D">
        <w:rPr>
          <w:rFonts w:eastAsia="Times New Roman"/>
          <w:b/>
          <w:color w:val="000000"/>
          <w:sz w:val="24"/>
          <w:szCs w:val="24"/>
        </w:rPr>
        <w:t>аукционы</w:t>
      </w:r>
      <w:r w:rsidRPr="00213A5D">
        <w:rPr>
          <w:rFonts w:eastAsia="Times New Roman"/>
          <w:color w:val="000000"/>
          <w:sz w:val="24"/>
          <w:szCs w:val="24"/>
        </w:rPr>
        <w:t xml:space="preserve"> по размещению ОФЗ Минфином России </w:t>
      </w:r>
      <w:r w:rsidRPr="00213A5D">
        <w:rPr>
          <w:rFonts w:eastAsia="Times New Roman"/>
          <w:b/>
          <w:color w:val="000000"/>
          <w:sz w:val="24"/>
          <w:szCs w:val="24"/>
        </w:rPr>
        <w:t>не поводились.</w:t>
      </w:r>
      <w:r w:rsidRPr="00213A5D">
        <w:rPr>
          <w:rFonts w:eastAsia="Times New Roman"/>
          <w:color w:val="000000"/>
          <w:sz w:val="24"/>
          <w:szCs w:val="24"/>
        </w:rPr>
        <w:t xml:space="preserve"> </w:t>
      </w:r>
    </w:p>
    <w:p w14:paraId="735B642D" w14:textId="77777777" w:rsidR="0086472E" w:rsidRPr="00213A5D" w:rsidRDefault="0086472E" w:rsidP="00AF1852">
      <w:pPr>
        <w:widowControl w:val="0"/>
        <w:overflowPunct/>
        <w:autoSpaceDE/>
        <w:autoSpaceDN/>
        <w:adjustRightInd/>
        <w:spacing w:line="336" w:lineRule="auto"/>
        <w:ind w:left="0" w:right="0"/>
        <w:textAlignment w:val="auto"/>
        <w:rPr>
          <w:rFonts w:eastAsia="Times New Roman"/>
          <w:b/>
          <w:color w:val="000000"/>
          <w:sz w:val="24"/>
          <w:szCs w:val="24"/>
        </w:rPr>
      </w:pPr>
      <w:bookmarkStart w:id="11" w:name="_Hlk118928827"/>
      <w:r w:rsidRPr="00213A5D">
        <w:rPr>
          <w:rFonts w:eastAsia="Times New Roman"/>
          <w:color w:val="000000"/>
          <w:sz w:val="24"/>
          <w:szCs w:val="24"/>
        </w:rPr>
        <w:t xml:space="preserve">Несмотря на то что в прогнозе поступлений и перечислений по источникам финансирования дефицита федерального бюджета на 1 июля 2022 года </w:t>
      </w:r>
      <w:r w:rsidRPr="00213A5D">
        <w:rPr>
          <w:rFonts w:eastAsia="Times New Roman"/>
          <w:b/>
          <w:color w:val="000000"/>
          <w:sz w:val="24"/>
          <w:szCs w:val="24"/>
        </w:rPr>
        <w:t>возобновление операций</w:t>
      </w:r>
      <w:r w:rsidRPr="00213A5D">
        <w:rPr>
          <w:rFonts w:eastAsia="Times New Roman"/>
          <w:color w:val="000000"/>
          <w:sz w:val="24"/>
          <w:szCs w:val="24"/>
        </w:rPr>
        <w:t xml:space="preserve"> по размещению государственных ценных бумаг, приостановленных в феврале 2022 года, </w:t>
      </w:r>
      <w:r w:rsidRPr="00213A5D">
        <w:rPr>
          <w:rFonts w:eastAsia="Times New Roman"/>
          <w:b/>
          <w:color w:val="000000"/>
          <w:sz w:val="24"/>
          <w:szCs w:val="24"/>
        </w:rPr>
        <w:t>планировалось в августе 2022 года</w:t>
      </w:r>
      <w:r w:rsidRPr="00213A5D">
        <w:rPr>
          <w:rFonts w:eastAsia="Times New Roman"/>
          <w:color w:val="000000"/>
          <w:sz w:val="24"/>
          <w:szCs w:val="24"/>
        </w:rPr>
        <w:t>, фактически размещени</w:t>
      </w:r>
      <w:r w:rsidR="009D190E" w:rsidRPr="00213A5D">
        <w:rPr>
          <w:rFonts w:eastAsia="Times New Roman"/>
          <w:color w:val="000000"/>
          <w:sz w:val="24"/>
          <w:szCs w:val="24"/>
        </w:rPr>
        <w:t>е</w:t>
      </w:r>
      <w:r w:rsidRPr="00213A5D">
        <w:rPr>
          <w:rFonts w:eastAsia="Times New Roman"/>
          <w:color w:val="000000"/>
          <w:sz w:val="24"/>
          <w:szCs w:val="24"/>
        </w:rPr>
        <w:t xml:space="preserve"> осуществлен</w:t>
      </w:r>
      <w:r w:rsidR="009D190E" w:rsidRPr="00213A5D">
        <w:rPr>
          <w:rFonts w:eastAsia="Times New Roman"/>
          <w:color w:val="000000"/>
          <w:sz w:val="24"/>
          <w:szCs w:val="24"/>
        </w:rPr>
        <w:t>о</w:t>
      </w:r>
      <w:r w:rsidRPr="00213A5D">
        <w:rPr>
          <w:rFonts w:eastAsia="Times New Roman"/>
          <w:color w:val="000000"/>
          <w:sz w:val="24"/>
          <w:szCs w:val="24"/>
        </w:rPr>
        <w:t xml:space="preserve"> </w:t>
      </w:r>
      <w:r w:rsidRPr="00213A5D">
        <w:rPr>
          <w:rFonts w:eastAsia="Times New Roman"/>
          <w:color w:val="000000"/>
          <w:sz w:val="24"/>
          <w:szCs w:val="24"/>
        </w:rPr>
        <w:lastRenderedPageBreak/>
        <w:t xml:space="preserve">только </w:t>
      </w:r>
      <w:r w:rsidRPr="00213A5D">
        <w:rPr>
          <w:rFonts w:eastAsia="Times New Roman"/>
          <w:b/>
          <w:color w:val="000000"/>
          <w:sz w:val="24"/>
          <w:szCs w:val="24"/>
        </w:rPr>
        <w:t>в сентябре 2022 года</w:t>
      </w:r>
      <w:r w:rsidRPr="00213A5D">
        <w:rPr>
          <w:rFonts w:eastAsia="Times New Roman"/>
          <w:color w:val="000000"/>
          <w:sz w:val="24"/>
          <w:szCs w:val="24"/>
        </w:rPr>
        <w:t xml:space="preserve">, при этом 2 аукциона по размещению ОФЗ (21 сентября 2022 года) </w:t>
      </w:r>
      <w:r w:rsidRPr="00213A5D">
        <w:rPr>
          <w:rFonts w:eastAsia="Times New Roman"/>
          <w:b/>
          <w:color w:val="000000"/>
          <w:sz w:val="24"/>
          <w:szCs w:val="24"/>
        </w:rPr>
        <w:t>признаны несостоявшимися</w:t>
      </w:r>
      <w:r w:rsidRPr="00213A5D">
        <w:rPr>
          <w:rFonts w:eastAsia="Times New Roman"/>
          <w:color w:val="000000"/>
          <w:sz w:val="24"/>
          <w:szCs w:val="24"/>
        </w:rPr>
        <w:t xml:space="preserve"> в связи с отсутствием заявок по приемлемым уровням цен.</w:t>
      </w:r>
    </w:p>
    <w:bookmarkEnd w:id="11"/>
    <w:p w14:paraId="141EF974" w14:textId="77777777" w:rsidR="0086472E" w:rsidRPr="00213A5D" w:rsidRDefault="0086472E" w:rsidP="00AF1852">
      <w:pPr>
        <w:widowControl w:val="0"/>
        <w:overflowPunct/>
        <w:autoSpaceDE/>
        <w:autoSpaceDN/>
        <w:adjustRightInd/>
        <w:spacing w:line="336" w:lineRule="auto"/>
        <w:ind w:left="0" w:right="0"/>
        <w:textAlignment w:val="auto"/>
        <w:rPr>
          <w:rFonts w:eastAsia="Times New Roman"/>
          <w:color w:val="000000"/>
          <w:sz w:val="24"/>
          <w:szCs w:val="24"/>
        </w:rPr>
      </w:pPr>
      <w:r w:rsidRPr="00213A5D">
        <w:rPr>
          <w:rFonts w:eastAsia="Times New Roman"/>
          <w:color w:val="000000"/>
          <w:sz w:val="24"/>
          <w:szCs w:val="24"/>
        </w:rPr>
        <w:t>Информация о выполнении Программы государственных внутренних заимствований Российской Федерации на 2022 год и на плановый период 2023 и 2024 годов представлена в следующей таблице.</w:t>
      </w:r>
    </w:p>
    <w:p w14:paraId="03548839" w14:textId="77777777" w:rsidR="0086472E" w:rsidRPr="00213A5D" w:rsidRDefault="0086472E" w:rsidP="00AF1852">
      <w:pPr>
        <w:widowControl w:val="0"/>
        <w:overflowPunct/>
        <w:autoSpaceDE/>
        <w:autoSpaceDN/>
        <w:adjustRightInd/>
        <w:spacing w:line="240" w:lineRule="auto"/>
        <w:ind w:left="0" w:right="0" w:firstLine="8080"/>
        <w:jc w:val="right"/>
        <w:textAlignment w:val="auto"/>
        <w:rPr>
          <w:rFonts w:eastAsia="Times New Roman"/>
          <w:color w:val="000000"/>
          <w:sz w:val="20"/>
          <w:szCs w:val="20"/>
        </w:rPr>
      </w:pPr>
      <w:r w:rsidRPr="00213A5D">
        <w:rPr>
          <w:rFonts w:eastAsia="Times New Roman"/>
          <w:color w:val="000000"/>
          <w:sz w:val="20"/>
          <w:szCs w:val="20"/>
        </w:rPr>
        <w:t>(млн. рублей)</w:t>
      </w:r>
    </w:p>
    <w:tbl>
      <w:tblPr>
        <w:tblW w:w="5161" w:type="pct"/>
        <w:tblInd w:w="-318" w:type="dxa"/>
        <w:tblLook w:val="04A0" w:firstRow="1" w:lastRow="0" w:firstColumn="1" w:lastColumn="0" w:noHBand="0" w:noVBand="1"/>
      </w:tblPr>
      <w:tblGrid>
        <w:gridCol w:w="1535"/>
        <w:gridCol w:w="2859"/>
        <w:gridCol w:w="1135"/>
        <w:gridCol w:w="993"/>
        <w:gridCol w:w="856"/>
        <w:gridCol w:w="869"/>
        <w:gridCol w:w="910"/>
        <w:gridCol w:w="1013"/>
      </w:tblGrid>
      <w:tr w:rsidR="0086472E" w:rsidRPr="00213A5D" w14:paraId="0F78F0B5" w14:textId="77777777" w:rsidTr="00174E29">
        <w:trPr>
          <w:trHeight w:val="462"/>
          <w:tblHeader/>
        </w:trPr>
        <w:tc>
          <w:tcPr>
            <w:tcW w:w="75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AA535"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 </w:t>
            </w:r>
          </w:p>
        </w:tc>
        <w:tc>
          <w:tcPr>
            <w:tcW w:w="14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A0CC6F"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Предусмотрено Программой государственных внутренних заимствований Российской Федерации на 2022 год и на плановый период 2023 и 2024 годы в части 2022 года (Федеральный закон № 390-ФЗ)</w:t>
            </w:r>
          </w:p>
        </w:tc>
        <w:tc>
          <w:tcPr>
            <w:tcW w:w="1894"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1CF7134"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Исполнено за*</w:t>
            </w:r>
          </w:p>
        </w:tc>
        <w:tc>
          <w:tcPr>
            <w:tcW w:w="9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36982D"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 xml:space="preserve">Исполнено </w:t>
            </w:r>
            <w:r w:rsidRPr="00213A5D">
              <w:rPr>
                <w:rFonts w:eastAsia="Times New Roman"/>
                <w:b/>
                <w:bCs/>
                <w:color w:val="000000"/>
                <w:sz w:val="16"/>
                <w:szCs w:val="16"/>
              </w:rPr>
              <w:br/>
              <w:t>на 1 октября 2021 года</w:t>
            </w:r>
            <w:r w:rsidRPr="00213A5D">
              <w:rPr>
                <w:rFonts w:eastAsia="Times New Roman"/>
                <w:b/>
                <w:bCs/>
                <w:color w:val="000000"/>
                <w:sz w:val="16"/>
                <w:szCs w:val="16"/>
              </w:rPr>
              <w:br/>
              <w:t>(нарастающим итогом)*</w:t>
            </w:r>
          </w:p>
        </w:tc>
      </w:tr>
      <w:tr w:rsidR="0086472E" w:rsidRPr="00213A5D" w14:paraId="20C6083E" w14:textId="77777777" w:rsidTr="002331ED">
        <w:trPr>
          <w:trHeight w:val="589"/>
          <w:tblHeader/>
        </w:trPr>
        <w:tc>
          <w:tcPr>
            <w:tcW w:w="755" w:type="pct"/>
            <w:vMerge/>
            <w:tcBorders>
              <w:top w:val="single" w:sz="4" w:space="0" w:color="auto"/>
              <w:left w:val="single" w:sz="4" w:space="0" w:color="auto"/>
              <w:bottom w:val="single" w:sz="4" w:space="0" w:color="auto"/>
              <w:right w:val="single" w:sz="4" w:space="0" w:color="auto"/>
            </w:tcBorders>
            <w:vAlign w:val="center"/>
            <w:hideMark/>
          </w:tcPr>
          <w:p w14:paraId="2DB71B0F"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b/>
                <w:bCs/>
                <w:color w:val="000000"/>
                <w:sz w:val="16"/>
                <w:szCs w:val="16"/>
              </w:rPr>
            </w:pPr>
          </w:p>
        </w:tc>
        <w:tc>
          <w:tcPr>
            <w:tcW w:w="1406" w:type="pct"/>
            <w:vMerge/>
            <w:tcBorders>
              <w:top w:val="single" w:sz="4" w:space="0" w:color="auto"/>
              <w:left w:val="single" w:sz="4" w:space="0" w:color="auto"/>
              <w:bottom w:val="single" w:sz="4" w:space="0" w:color="000000"/>
              <w:right w:val="single" w:sz="4" w:space="0" w:color="auto"/>
            </w:tcBorders>
            <w:vAlign w:val="center"/>
            <w:hideMark/>
          </w:tcPr>
          <w:p w14:paraId="6495D6FA"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b/>
                <w:bCs/>
                <w:color w:val="000000"/>
                <w:sz w:val="16"/>
                <w:szCs w:val="16"/>
              </w:rPr>
            </w:pP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52E6D" w14:textId="77777777" w:rsidR="0086472E" w:rsidRPr="00213A5D" w:rsidRDefault="00633AC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первое</w:t>
            </w:r>
            <w:r w:rsidR="0086472E" w:rsidRPr="00213A5D">
              <w:rPr>
                <w:rFonts w:eastAsia="Times New Roman"/>
                <w:b/>
                <w:bCs/>
                <w:color w:val="000000"/>
                <w:sz w:val="16"/>
                <w:szCs w:val="16"/>
              </w:rPr>
              <w:t xml:space="preserve"> полугодие</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3BB3043C"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lang w:val="en-US"/>
              </w:rPr>
            </w:pPr>
            <w:r w:rsidRPr="00213A5D">
              <w:rPr>
                <w:rFonts w:eastAsia="Times New Roman"/>
                <w:b/>
                <w:bCs/>
                <w:color w:val="000000"/>
                <w:sz w:val="16"/>
                <w:szCs w:val="16"/>
                <w:lang w:val="en-US"/>
              </w:rPr>
              <w:t>июль</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5DB63634"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lang w:val="en-US"/>
              </w:rPr>
            </w:pPr>
            <w:r w:rsidRPr="00213A5D">
              <w:rPr>
                <w:rFonts w:eastAsia="Times New Roman"/>
                <w:b/>
                <w:bCs/>
                <w:color w:val="000000"/>
                <w:sz w:val="16"/>
                <w:szCs w:val="16"/>
                <w:lang w:val="en-US"/>
              </w:rPr>
              <w:t>август</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324A62E0"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lang w:val="en-US"/>
              </w:rPr>
            </w:pPr>
            <w:r w:rsidRPr="00213A5D">
              <w:rPr>
                <w:rFonts w:eastAsia="Times New Roman"/>
                <w:b/>
                <w:bCs/>
                <w:color w:val="000000"/>
                <w:sz w:val="16"/>
                <w:szCs w:val="16"/>
                <w:lang w:val="en-US"/>
              </w:rPr>
              <w:t>сентябрь</w:t>
            </w:r>
          </w:p>
        </w:tc>
        <w:tc>
          <w:tcPr>
            <w:tcW w:w="447" w:type="pct"/>
            <w:tcBorders>
              <w:top w:val="nil"/>
              <w:left w:val="nil"/>
              <w:bottom w:val="single" w:sz="4" w:space="0" w:color="auto"/>
              <w:right w:val="single" w:sz="4" w:space="0" w:color="auto"/>
            </w:tcBorders>
            <w:shd w:val="clear" w:color="auto" w:fill="auto"/>
            <w:vAlign w:val="center"/>
            <w:hideMark/>
          </w:tcPr>
          <w:p w14:paraId="6ABFFA1F"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сумма</w:t>
            </w:r>
          </w:p>
        </w:tc>
        <w:tc>
          <w:tcPr>
            <w:tcW w:w="498" w:type="pct"/>
            <w:tcBorders>
              <w:top w:val="nil"/>
              <w:left w:val="nil"/>
              <w:bottom w:val="single" w:sz="4" w:space="0" w:color="auto"/>
              <w:right w:val="single" w:sz="4" w:space="0" w:color="auto"/>
            </w:tcBorders>
            <w:shd w:val="clear" w:color="auto" w:fill="auto"/>
            <w:noWrap/>
            <w:vAlign w:val="center"/>
            <w:hideMark/>
          </w:tcPr>
          <w:p w14:paraId="61EB73CA"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w:t>
            </w:r>
          </w:p>
        </w:tc>
      </w:tr>
      <w:tr w:rsidR="0086472E" w:rsidRPr="00213A5D" w14:paraId="0776F62A" w14:textId="77777777" w:rsidTr="002331ED">
        <w:trPr>
          <w:trHeight w:val="20"/>
          <w:tblHeader/>
        </w:trPr>
        <w:tc>
          <w:tcPr>
            <w:tcW w:w="755" w:type="pct"/>
            <w:tcBorders>
              <w:top w:val="nil"/>
              <w:left w:val="single" w:sz="4" w:space="0" w:color="auto"/>
              <w:bottom w:val="single" w:sz="4" w:space="0" w:color="auto"/>
              <w:right w:val="single" w:sz="4" w:space="0" w:color="auto"/>
            </w:tcBorders>
            <w:shd w:val="clear" w:color="auto" w:fill="auto"/>
            <w:noWrap/>
            <w:vAlign w:val="bottom"/>
            <w:hideMark/>
          </w:tcPr>
          <w:p w14:paraId="6836EFAA"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1</w:t>
            </w:r>
          </w:p>
        </w:tc>
        <w:tc>
          <w:tcPr>
            <w:tcW w:w="1406" w:type="pct"/>
            <w:tcBorders>
              <w:top w:val="single" w:sz="4" w:space="0" w:color="auto"/>
              <w:left w:val="nil"/>
              <w:bottom w:val="single" w:sz="4" w:space="0" w:color="auto"/>
              <w:right w:val="single" w:sz="4" w:space="0" w:color="auto"/>
            </w:tcBorders>
            <w:shd w:val="clear" w:color="auto" w:fill="auto"/>
            <w:noWrap/>
            <w:vAlign w:val="bottom"/>
            <w:hideMark/>
          </w:tcPr>
          <w:p w14:paraId="1E952EFE"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2</w:t>
            </w:r>
          </w:p>
        </w:tc>
        <w:tc>
          <w:tcPr>
            <w:tcW w:w="558" w:type="pct"/>
            <w:tcBorders>
              <w:top w:val="nil"/>
              <w:left w:val="nil"/>
              <w:bottom w:val="single" w:sz="4" w:space="0" w:color="auto"/>
              <w:right w:val="single" w:sz="4" w:space="0" w:color="auto"/>
            </w:tcBorders>
            <w:shd w:val="clear" w:color="auto" w:fill="auto"/>
            <w:noWrap/>
            <w:vAlign w:val="bottom"/>
            <w:hideMark/>
          </w:tcPr>
          <w:p w14:paraId="5C387EC5"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3</w:t>
            </w:r>
          </w:p>
        </w:tc>
        <w:tc>
          <w:tcPr>
            <w:tcW w:w="488" w:type="pct"/>
            <w:tcBorders>
              <w:top w:val="nil"/>
              <w:left w:val="nil"/>
              <w:bottom w:val="single" w:sz="4" w:space="0" w:color="auto"/>
              <w:right w:val="single" w:sz="4" w:space="0" w:color="auto"/>
            </w:tcBorders>
            <w:shd w:val="clear" w:color="auto" w:fill="auto"/>
            <w:vAlign w:val="center"/>
            <w:hideMark/>
          </w:tcPr>
          <w:p w14:paraId="7E6423C1"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4</w:t>
            </w:r>
          </w:p>
        </w:tc>
        <w:tc>
          <w:tcPr>
            <w:tcW w:w="421" w:type="pct"/>
            <w:tcBorders>
              <w:top w:val="nil"/>
              <w:left w:val="nil"/>
              <w:bottom w:val="single" w:sz="4" w:space="0" w:color="auto"/>
              <w:right w:val="single" w:sz="4" w:space="0" w:color="auto"/>
            </w:tcBorders>
            <w:shd w:val="clear" w:color="auto" w:fill="auto"/>
            <w:vAlign w:val="center"/>
            <w:hideMark/>
          </w:tcPr>
          <w:p w14:paraId="62BC9B4C"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5</w:t>
            </w:r>
          </w:p>
        </w:tc>
        <w:tc>
          <w:tcPr>
            <w:tcW w:w="427" w:type="pct"/>
            <w:tcBorders>
              <w:top w:val="nil"/>
              <w:left w:val="nil"/>
              <w:bottom w:val="single" w:sz="4" w:space="0" w:color="auto"/>
              <w:right w:val="single" w:sz="4" w:space="0" w:color="auto"/>
            </w:tcBorders>
            <w:shd w:val="clear" w:color="auto" w:fill="auto"/>
            <w:vAlign w:val="center"/>
            <w:hideMark/>
          </w:tcPr>
          <w:p w14:paraId="789E99EF"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6</w:t>
            </w:r>
          </w:p>
        </w:tc>
        <w:tc>
          <w:tcPr>
            <w:tcW w:w="447" w:type="pct"/>
            <w:tcBorders>
              <w:top w:val="nil"/>
              <w:left w:val="nil"/>
              <w:bottom w:val="single" w:sz="4" w:space="0" w:color="auto"/>
              <w:right w:val="single" w:sz="4" w:space="0" w:color="auto"/>
            </w:tcBorders>
            <w:shd w:val="clear" w:color="auto" w:fill="auto"/>
            <w:noWrap/>
            <w:vAlign w:val="center"/>
            <w:hideMark/>
          </w:tcPr>
          <w:p w14:paraId="7784522B"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7</w:t>
            </w:r>
          </w:p>
        </w:tc>
        <w:tc>
          <w:tcPr>
            <w:tcW w:w="498" w:type="pct"/>
            <w:tcBorders>
              <w:top w:val="nil"/>
              <w:left w:val="nil"/>
              <w:bottom w:val="single" w:sz="4" w:space="0" w:color="auto"/>
              <w:right w:val="single" w:sz="4" w:space="0" w:color="auto"/>
            </w:tcBorders>
            <w:shd w:val="clear" w:color="auto" w:fill="auto"/>
            <w:noWrap/>
            <w:vAlign w:val="center"/>
            <w:hideMark/>
          </w:tcPr>
          <w:p w14:paraId="2A512EA3" w14:textId="77777777" w:rsidR="0086472E" w:rsidRPr="00213A5D" w:rsidRDefault="0086472E"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8=7/2</w:t>
            </w:r>
          </w:p>
        </w:tc>
      </w:tr>
      <w:tr w:rsidR="0086472E" w:rsidRPr="00213A5D" w14:paraId="28B0935B" w14:textId="77777777" w:rsidTr="002331ED">
        <w:trPr>
          <w:trHeight w:val="900"/>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79CE5FA7"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b/>
                <w:bCs/>
                <w:color w:val="000000"/>
                <w:sz w:val="16"/>
                <w:szCs w:val="16"/>
              </w:rPr>
            </w:pPr>
            <w:r w:rsidRPr="00213A5D">
              <w:rPr>
                <w:rFonts w:eastAsia="Times New Roman"/>
                <w:b/>
                <w:bCs/>
                <w:color w:val="000000"/>
                <w:sz w:val="16"/>
                <w:szCs w:val="16"/>
              </w:rPr>
              <w:t>Государственные ценные бумаги Российской Федерации</w:t>
            </w:r>
          </w:p>
        </w:tc>
        <w:tc>
          <w:tcPr>
            <w:tcW w:w="1406" w:type="pct"/>
            <w:tcBorders>
              <w:top w:val="nil"/>
              <w:left w:val="nil"/>
              <w:bottom w:val="single" w:sz="4" w:space="0" w:color="auto"/>
              <w:right w:val="single" w:sz="4" w:space="0" w:color="auto"/>
            </w:tcBorders>
            <w:shd w:val="clear" w:color="auto" w:fill="auto"/>
            <w:noWrap/>
            <w:vAlign w:val="center"/>
            <w:hideMark/>
          </w:tcPr>
          <w:p w14:paraId="7D3884EC" w14:textId="77777777" w:rsidR="0086472E" w:rsidRPr="00213A5D" w:rsidRDefault="0086472E"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2 199 531,0</w:t>
            </w:r>
          </w:p>
        </w:tc>
        <w:tc>
          <w:tcPr>
            <w:tcW w:w="558" w:type="pct"/>
            <w:tcBorders>
              <w:top w:val="nil"/>
              <w:left w:val="nil"/>
              <w:bottom w:val="single" w:sz="4" w:space="0" w:color="auto"/>
              <w:right w:val="single" w:sz="4" w:space="0" w:color="auto"/>
            </w:tcBorders>
            <w:shd w:val="clear" w:color="auto" w:fill="auto"/>
            <w:vAlign w:val="center"/>
            <w:hideMark/>
          </w:tcPr>
          <w:p w14:paraId="7C504A4A" w14:textId="77777777" w:rsidR="0086472E" w:rsidRPr="00213A5D" w:rsidRDefault="0086472E"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71 305,6</w:t>
            </w:r>
          </w:p>
        </w:tc>
        <w:tc>
          <w:tcPr>
            <w:tcW w:w="488" w:type="pct"/>
            <w:tcBorders>
              <w:top w:val="nil"/>
              <w:left w:val="nil"/>
              <w:bottom w:val="single" w:sz="4" w:space="0" w:color="auto"/>
              <w:right w:val="single" w:sz="4" w:space="0" w:color="auto"/>
            </w:tcBorders>
            <w:shd w:val="clear" w:color="auto" w:fill="auto"/>
            <w:vAlign w:val="center"/>
            <w:hideMark/>
          </w:tcPr>
          <w:p w14:paraId="2F3F0320" w14:textId="77777777" w:rsidR="0086472E" w:rsidRPr="00213A5D" w:rsidRDefault="0086472E"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-457 474,3</w:t>
            </w:r>
          </w:p>
        </w:tc>
        <w:tc>
          <w:tcPr>
            <w:tcW w:w="421" w:type="pct"/>
            <w:tcBorders>
              <w:top w:val="nil"/>
              <w:left w:val="nil"/>
              <w:bottom w:val="single" w:sz="4" w:space="0" w:color="auto"/>
              <w:right w:val="single" w:sz="4" w:space="0" w:color="auto"/>
            </w:tcBorders>
            <w:shd w:val="clear" w:color="auto" w:fill="auto"/>
            <w:vAlign w:val="center"/>
            <w:hideMark/>
          </w:tcPr>
          <w:p w14:paraId="1F67C169" w14:textId="77777777" w:rsidR="0086472E" w:rsidRPr="00213A5D" w:rsidRDefault="0086472E"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-4 980,8</w:t>
            </w:r>
          </w:p>
        </w:tc>
        <w:tc>
          <w:tcPr>
            <w:tcW w:w="427" w:type="pct"/>
            <w:tcBorders>
              <w:top w:val="nil"/>
              <w:left w:val="nil"/>
              <w:bottom w:val="single" w:sz="4" w:space="0" w:color="auto"/>
              <w:right w:val="single" w:sz="4" w:space="0" w:color="auto"/>
            </w:tcBorders>
            <w:shd w:val="clear" w:color="auto" w:fill="auto"/>
            <w:vAlign w:val="center"/>
            <w:hideMark/>
          </w:tcPr>
          <w:p w14:paraId="6A73AA5D" w14:textId="77777777" w:rsidR="0086472E" w:rsidRPr="00213A5D" w:rsidRDefault="0086472E"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8 669,1</w:t>
            </w:r>
          </w:p>
        </w:tc>
        <w:tc>
          <w:tcPr>
            <w:tcW w:w="447" w:type="pct"/>
            <w:tcBorders>
              <w:top w:val="nil"/>
              <w:left w:val="nil"/>
              <w:bottom w:val="single" w:sz="4" w:space="0" w:color="auto"/>
              <w:right w:val="single" w:sz="4" w:space="0" w:color="auto"/>
            </w:tcBorders>
            <w:shd w:val="clear" w:color="auto" w:fill="auto"/>
            <w:vAlign w:val="center"/>
            <w:hideMark/>
          </w:tcPr>
          <w:p w14:paraId="725BAE17" w14:textId="77777777" w:rsidR="0086472E" w:rsidRPr="00213A5D" w:rsidRDefault="0086472E"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-382 480,4</w:t>
            </w:r>
          </w:p>
        </w:tc>
        <w:tc>
          <w:tcPr>
            <w:tcW w:w="498" w:type="pct"/>
            <w:tcBorders>
              <w:top w:val="nil"/>
              <w:left w:val="nil"/>
              <w:bottom w:val="single" w:sz="4" w:space="0" w:color="auto"/>
              <w:right w:val="single" w:sz="4" w:space="0" w:color="auto"/>
            </w:tcBorders>
            <w:shd w:val="clear" w:color="auto" w:fill="auto"/>
            <w:noWrap/>
            <w:vAlign w:val="center"/>
            <w:hideMark/>
          </w:tcPr>
          <w:p w14:paraId="42328F4F" w14:textId="77777777" w:rsidR="0086472E" w:rsidRPr="00213A5D" w:rsidRDefault="0086472E"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-17,4</w:t>
            </w:r>
          </w:p>
        </w:tc>
      </w:tr>
      <w:tr w:rsidR="0086472E" w:rsidRPr="00213A5D" w14:paraId="1B0A38C7" w14:textId="77777777" w:rsidTr="002331ED">
        <w:trPr>
          <w:trHeight w:val="300"/>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1911D2BE"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color w:val="000000"/>
                <w:sz w:val="16"/>
                <w:szCs w:val="16"/>
              </w:rPr>
            </w:pPr>
            <w:r w:rsidRPr="00213A5D">
              <w:rPr>
                <w:rFonts w:eastAsia="Times New Roman"/>
                <w:color w:val="000000"/>
                <w:sz w:val="16"/>
                <w:szCs w:val="16"/>
              </w:rPr>
              <w:t>Привлечение (размещение)</w:t>
            </w:r>
          </w:p>
        </w:tc>
        <w:tc>
          <w:tcPr>
            <w:tcW w:w="1406" w:type="pct"/>
            <w:tcBorders>
              <w:top w:val="nil"/>
              <w:left w:val="nil"/>
              <w:bottom w:val="single" w:sz="4" w:space="0" w:color="auto"/>
              <w:right w:val="single" w:sz="4" w:space="0" w:color="auto"/>
            </w:tcBorders>
            <w:shd w:val="clear" w:color="auto" w:fill="auto"/>
            <w:noWrap/>
            <w:vAlign w:val="center"/>
            <w:hideMark/>
          </w:tcPr>
          <w:p w14:paraId="5BCE7DD7"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3 259 675,1**</w:t>
            </w:r>
          </w:p>
        </w:tc>
        <w:tc>
          <w:tcPr>
            <w:tcW w:w="558" w:type="pct"/>
            <w:tcBorders>
              <w:top w:val="nil"/>
              <w:left w:val="nil"/>
              <w:bottom w:val="single" w:sz="4" w:space="0" w:color="auto"/>
              <w:right w:val="single" w:sz="4" w:space="0" w:color="auto"/>
            </w:tcBorders>
            <w:shd w:val="clear" w:color="auto" w:fill="auto"/>
            <w:vAlign w:val="center"/>
            <w:hideMark/>
          </w:tcPr>
          <w:p w14:paraId="1BBE9180"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116 448,7</w:t>
            </w:r>
          </w:p>
        </w:tc>
        <w:tc>
          <w:tcPr>
            <w:tcW w:w="488" w:type="pct"/>
            <w:tcBorders>
              <w:top w:val="nil"/>
              <w:left w:val="nil"/>
              <w:bottom w:val="single" w:sz="4" w:space="0" w:color="auto"/>
              <w:right w:val="single" w:sz="4" w:space="0" w:color="auto"/>
            </w:tcBorders>
            <w:shd w:val="clear" w:color="auto" w:fill="auto"/>
            <w:vAlign w:val="center"/>
            <w:hideMark/>
          </w:tcPr>
          <w:p w14:paraId="78E0A0A8"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0,0</w:t>
            </w:r>
          </w:p>
        </w:tc>
        <w:tc>
          <w:tcPr>
            <w:tcW w:w="421" w:type="pct"/>
            <w:tcBorders>
              <w:top w:val="nil"/>
              <w:left w:val="nil"/>
              <w:bottom w:val="single" w:sz="4" w:space="0" w:color="auto"/>
              <w:right w:val="single" w:sz="4" w:space="0" w:color="auto"/>
            </w:tcBorders>
            <w:shd w:val="clear" w:color="auto" w:fill="auto"/>
            <w:vAlign w:val="center"/>
            <w:hideMark/>
          </w:tcPr>
          <w:p w14:paraId="5C803FF8"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0,0</w:t>
            </w:r>
          </w:p>
        </w:tc>
        <w:tc>
          <w:tcPr>
            <w:tcW w:w="427" w:type="pct"/>
            <w:tcBorders>
              <w:top w:val="nil"/>
              <w:left w:val="nil"/>
              <w:bottom w:val="single" w:sz="4" w:space="0" w:color="auto"/>
              <w:right w:val="single" w:sz="4" w:space="0" w:color="auto"/>
            </w:tcBorders>
            <w:shd w:val="clear" w:color="auto" w:fill="auto"/>
            <w:vAlign w:val="center"/>
            <w:hideMark/>
          </w:tcPr>
          <w:p w14:paraId="3F22FF82"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8 874,5</w:t>
            </w:r>
          </w:p>
        </w:tc>
        <w:tc>
          <w:tcPr>
            <w:tcW w:w="447" w:type="pct"/>
            <w:tcBorders>
              <w:top w:val="nil"/>
              <w:left w:val="nil"/>
              <w:bottom w:val="single" w:sz="4" w:space="0" w:color="auto"/>
              <w:right w:val="single" w:sz="4" w:space="0" w:color="auto"/>
            </w:tcBorders>
            <w:shd w:val="clear" w:color="auto" w:fill="auto"/>
            <w:noWrap/>
            <w:vAlign w:val="center"/>
            <w:hideMark/>
          </w:tcPr>
          <w:p w14:paraId="3CB10614"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125 323,2</w:t>
            </w:r>
          </w:p>
        </w:tc>
        <w:tc>
          <w:tcPr>
            <w:tcW w:w="498" w:type="pct"/>
            <w:tcBorders>
              <w:top w:val="nil"/>
              <w:left w:val="nil"/>
              <w:bottom w:val="single" w:sz="4" w:space="0" w:color="auto"/>
              <w:right w:val="single" w:sz="4" w:space="0" w:color="auto"/>
            </w:tcBorders>
            <w:shd w:val="clear" w:color="auto" w:fill="auto"/>
            <w:noWrap/>
            <w:vAlign w:val="center"/>
            <w:hideMark/>
          </w:tcPr>
          <w:p w14:paraId="6E42FDA9"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3,8</w:t>
            </w:r>
          </w:p>
        </w:tc>
      </w:tr>
      <w:tr w:rsidR="0086472E" w:rsidRPr="00213A5D" w14:paraId="65CB8772" w14:textId="77777777" w:rsidTr="002331ED">
        <w:trPr>
          <w:trHeight w:val="300"/>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7230F1D9" w14:textId="77777777" w:rsidR="0086472E" w:rsidRPr="00213A5D" w:rsidRDefault="0086472E" w:rsidP="00AF1852">
            <w:pPr>
              <w:widowControl w:val="0"/>
              <w:overflowPunct/>
              <w:autoSpaceDE/>
              <w:autoSpaceDN/>
              <w:adjustRightInd/>
              <w:spacing w:line="240" w:lineRule="auto"/>
              <w:ind w:left="0" w:right="0" w:firstLine="0"/>
              <w:jc w:val="left"/>
              <w:textAlignment w:val="auto"/>
              <w:rPr>
                <w:rFonts w:eastAsia="Times New Roman"/>
                <w:color w:val="000000"/>
                <w:sz w:val="16"/>
                <w:szCs w:val="16"/>
              </w:rPr>
            </w:pPr>
            <w:r w:rsidRPr="00213A5D">
              <w:rPr>
                <w:rFonts w:eastAsia="Times New Roman"/>
                <w:color w:val="000000"/>
                <w:sz w:val="16"/>
                <w:szCs w:val="16"/>
              </w:rPr>
              <w:t>Погашение</w:t>
            </w:r>
          </w:p>
        </w:tc>
        <w:tc>
          <w:tcPr>
            <w:tcW w:w="1406" w:type="pct"/>
            <w:tcBorders>
              <w:top w:val="nil"/>
              <w:left w:val="nil"/>
              <w:bottom w:val="single" w:sz="4" w:space="0" w:color="auto"/>
              <w:right w:val="single" w:sz="4" w:space="0" w:color="auto"/>
            </w:tcBorders>
            <w:shd w:val="clear" w:color="auto" w:fill="auto"/>
            <w:noWrap/>
            <w:vAlign w:val="center"/>
            <w:hideMark/>
          </w:tcPr>
          <w:p w14:paraId="5ABAFD94"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-1 060 144,1</w:t>
            </w:r>
          </w:p>
        </w:tc>
        <w:tc>
          <w:tcPr>
            <w:tcW w:w="558" w:type="pct"/>
            <w:tcBorders>
              <w:top w:val="nil"/>
              <w:left w:val="nil"/>
              <w:bottom w:val="single" w:sz="4" w:space="0" w:color="auto"/>
              <w:right w:val="single" w:sz="4" w:space="0" w:color="auto"/>
            </w:tcBorders>
            <w:shd w:val="clear" w:color="auto" w:fill="auto"/>
            <w:vAlign w:val="center"/>
            <w:hideMark/>
          </w:tcPr>
          <w:p w14:paraId="529EF865"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-45 143,1</w:t>
            </w:r>
          </w:p>
        </w:tc>
        <w:tc>
          <w:tcPr>
            <w:tcW w:w="488" w:type="pct"/>
            <w:tcBorders>
              <w:top w:val="nil"/>
              <w:left w:val="nil"/>
              <w:bottom w:val="single" w:sz="4" w:space="0" w:color="auto"/>
              <w:right w:val="single" w:sz="4" w:space="0" w:color="auto"/>
            </w:tcBorders>
            <w:shd w:val="clear" w:color="auto" w:fill="auto"/>
            <w:vAlign w:val="center"/>
            <w:hideMark/>
          </w:tcPr>
          <w:p w14:paraId="37AC2E88"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-457 474,3</w:t>
            </w:r>
          </w:p>
        </w:tc>
        <w:tc>
          <w:tcPr>
            <w:tcW w:w="421" w:type="pct"/>
            <w:tcBorders>
              <w:top w:val="nil"/>
              <w:left w:val="nil"/>
              <w:bottom w:val="single" w:sz="4" w:space="0" w:color="auto"/>
              <w:right w:val="single" w:sz="4" w:space="0" w:color="auto"/>
            </w:tcBorders>
            <w:shd w:val="clear" w:color="auto" w:fill="auto"/>
            <w:vAlign w:val="center"/>
            <w:hideMark/>
          </w:tcPr>
          <w:p w14:paraId="6381EA33"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-4 980,8</w:t>
            </w:r>
          </w:p>
        </w:tc>
        <w:tc>
          <w:tcPr>
            <w:tcW w:w="427" w:type="pct"/>
            <w:tcBorders>
              <w:top w:val="nil"/>
              <w:left w:val="nil"/>
              <w:bottom w:val="single" w:sz="4" w:space="0" w:color="auto"/>
              <w:right w:val="single" w:sz="4" w:space="0" w:color="auto"/>
            </w:tcBorders>
            <w:shd w:val="clear" w:color="auto" w:fill="auto"/>
            <w:vAlign w:val="center"/>
            <w:hideMark/>
          </w:tcPr>
          <w:p w14:paraId="0A029BB8"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-205,4</w:t>
            </w:r>
          </w:p>
        </w:tc>
        <w:tc>
          <w:tcPr>
            <w:tcW w:w="447" w:type="pct"/>
            <w:tcBorders>
              <w:top w:val="nil"/>
              <w:left w:val="nil"/>
              <w:bottom w:val="single" w:sz="4" w:space="0" w:color="auto"/>
              <w:right w:val="single" w:sz="4" w:space="0" w:color="auto"/>
            </w:tcBorders>
            <w:shd w:val="clear" w:color="auto" w:fill="auto"/>
            <w:noWrap/>
            <w:vAlign w:val="center"/>
            <w:hideMark/>
          </w:tcPr>
          <w:p w14:paraId="211C989E"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-507 803,6</w:t>
            </w:r>
          </w:p>
        </w:tc>
        <w:tc>
          <w:tcPr>
            <w:tcW w:w="498" w:type="pct"/>
            <w:tcBorders>
              <w:top w:val="nil"/>
              <w:left w:val="nil"/>
              <w:bottom w:val="single" w:sz="4" w:space="0" w:color="auto"/>
              <w:right w:val="single" w:sz="4" w:space="0" w:color="auto"/>
            </w:tcBorders>
            <w:shd w:val="clear" w:color="auto" w:fill="auto"/>
            <w:noWrap/>
            <w:vAlign w:val="center"/>
            <w:hideMark/>
          </w:tcPr>
          <w:p w14:paraId="6117B6C5" w14:textId="77777777" w:rsidR="0086472E" w:rsidRPr="00213A5D" w:rsidRDefault="0086472E" w:rsidP="00AF1852">
            <w:pPr>
              <w:widowControl w:val="0"/>
              <w:overflowPunct/>
              <w:spacing w:line="240" w:lineRule="auto"/>
              <w:ind w:left="0" w:right="0" w:firstLine="0"/>
              <w:jc w:val="center"/>
              <w:textAlignment w:val="auto"/>
              <w:rPr>
                <w:color w:val="000000"/>
                <w:sz w:val="16"/>
                <w:szCs w:val="16"/>
                <w:lang w:eastAsia="en-US"/>
              </w:rPr>
            </w:pPr>
            <w:r w:rsidRPr="00213A5D">
              <w:rPr>
                <w:color w:val="000000"/>
                <w:sz w:val="16"/>
                <w:szCs w:val="16"/>
                <w:lang w:eastAsia="en-US"/>
              </w:rPr>
              <w:t>47,9</w:t>
            </w:r>
          </w:p>
        </w:tc>
      </w:tr>
    </w:tbl>
    <w:p w14:paraId="4C17FF1F" w14:textId="77777777" w:rsidR="002331ED" w:rsidRPr="00213A5D" w:rsidRDefault="002331ED" w:rsidP="00AF1852">
      <w:pPr>
        <w:widowControl w:val="0"/>
        <w:overflowPunct/>
        <w:autoSpaceDE/>
        <w:autoSpaceDN/>
        <w:adjustRightInd/>
        <w:spacing w:line="240" w:lineRule="auto"/>
        <w:ind w:left="0" w:right="0"/>
        <w:textAlignment w:val="auto"/>
        <w:rPr>
          <w:rFonts w:eastAsia="Times New Roman"/>
          <w:color w:val="000000"/>
          <w:sz w:val="18"/>
          <w:szCs w:val="18"/>
        </w:rPr>
      </w:pPr>
      <w:r w:rsidRPr="00213A5D">
        <w:rPr>
          <w:rFonts w:eastAsia="Times New Roman"/>
          <w:color w:val="000000"/>
          <w:sz w:val="18"/>
          <w:szCs w:val="18"/>
        </w:rPr>
        <w:t>* С учетом положений статьи 113 Бюджетного кодекса Российской Федерации (суммы накопленного купонного дохода, поступлений в сумме, превышающей номинальную стоимость, а также разницы, возникшей при выкупе ценных бумаг по цене ниже цены размещения и погашения основного долга по ним</w:t>
      </w:r>
      <w:r w:rsidR="00633AC7" w:rsidRPr="00213A5D">
        <w:rPr>
          <w:rFonts w:eastAsia="Times New Roman"/>
          <w:color w:val="000000"/>
          <w:sz w:val="18"/>
          <w:szCs w:val="18"/>
        </w:rPr>
        <w:t>)</w:t>
      </w:r>
      <w:r w:rsidRPr="00213A5D">
        <w:rPr>
          <w:rFonts w:eastAsia="Times New Roman"/>
          <w:color w:val="000000"/>
          <w:sz w:val="18"/>
          <w:szCs w:val="18"/>
        </w:rPr>
        <w:t>.</w:t>
      </w:r>
    </w:p>
    <w:p w14:paraId="4FA338E1" w14:textId="77777777" w:rsidR="002331ED" w:rsidRPr="00213A5D" w:rsidRDefault="002331ED" w:rsidP="00AF1852">
      <w:pPr>
        <w:widowControl w:val="0"/>
        <w:overflowPunct/>
        <w:autoSpaceDE/>
        <w:autoSpaceDN/>
        <w:adjustRightInd/>
        <w:spacing w:line="240" w:lineRule="auto"/>
        <w:ind w:left="0" w:right="0"/>
        <w:textAlignment w:val="auto"/>
        <w:rPr>
          <w:rFonts w:eastAsia="Times New Roman"/>
          <w:color w:val="000000"/>
          <w:sz w:val="18"/>
          <w:szCs w:val="18"/>
        </w:rPr>
      </w:pPr>
      <w:r w:rsidRPr="00213A5D">
        <w:rPr>
          <w:rFonts w:eastAsia="Times New Roman"/>
          <w:color w:val="000000"/>
          <w:sz w:val="18"/>
          <w:szCs w:val="18"/>
        </w:rPr>
        <w:t>**</w:t>
      </w:r>
      <w:r w:rsidR="00633AC7" w:rsidRPr="00213A5D">
        <w:rPr>
          <w:rFonts w:eastAsia="Times New Roman"/>
          <w:color w:val="000000"/>
          <w:sz w:val="18"/>
          <w:szCs w:val="18"/>
        </w:rPr>
        <w:t>В</w:t>
      </w:r>
      <w:r w:rsidRPr="00213A5D">
        <w:rPr>
          <w:rFonts w:eastAsia="Times New Roman"/>
          <w:color w:val="000000"/>
          <w:sz w:val="18"/>
          <w:szCs w:val="18"/>
        </w:rPr>
        <w:t xml:space="preserve"> соответствии с распоряжением Правительства Российской Федерации от 13 декабря 2021 г. № 3564-р Минфин России вправе осуществлять в 2022 году размещение государственных ценных бумаг, номинальная стоимость которых указана в валюте Российской Федерации, в объемах, не превышающих 3 330,2 млрд. рублей.</w:t>
      </w:r>
    </w:p>
    <w:p w14:paraId="43C9E9CD" w14:textId="77777777" w:rsidR="002331ED" w:rsidRPr="00213A5D" w:rsidRDefault="002331ED" w:rsidP="00AF1852">
      <w:pPr>
        <w:widowControl w:val="0"/>
        <w:overflowPunct/>
        <w:autoSpaceDE/>
        <w:autoSpaceDN/>
        <w:adjustRightInd/>
        <w:spacing w:before="120"/>
        <w:ind w:left="0" w:right="0"/>
        <w:textAlignment w:val="auto"/>
        <w:rPr>
          <w:rFonts w:eastAsia="Times New Roman"/>
          <w:color w:val="000000"/>
          <w:spacing w:val="-2"/>
          <w:sz w:val="24"/>
          <w:szCs w:val="24"/>
        </w:rPr>
      </w:pPr>
      <w:r w:rsidRPr="00213A5D">
        <w:rPr>
          <w:rFonts w:eastAsia="Times New Roman"/>
          <w:color w:val="000000"/>
          <w:spacing w:val="-2"/>
          <w:sz w:val="24"/>
          <w:szCs w:val="24"/>
        </w:rPr>
        <w:t xml:space="preserve">Согласно прогнозу поступлений и перечислений по источникам финансирования дефицита федерального бюджета на 1 октября 2022 года </w:t>
      </w:r>
      <w:r w:rsidRPr="00213A5D">
        <w:rPr>
          <w:rFonts w:eastAsia="Times New Roman"/>
          <w:b/>
          <w:color w:val="000000"/>
          <w:spacing w:val="-2"/>
          <w:sz w:val="24"/>
          <w:szCs w:val="24"/>
        </w:rPr>
        <w:t xml:space="preserve">запланировано уменьшение </w:t>
      </w:r>
      <w:r w:rsidRPr="00213A5D">
        <w:rPr>
          <w:rFonts w:eastAsia="Times New Roman"/>
          <w:color w:val="000000"/>
          <w:spacing w:val="-2"/>
          <w:sz w:val="24"/>
          <w:szCs w:val="24"/>
        </w:rPr>
        <w:t xml:space="preserve">объема размещения государственных ценных бумаг, номинальная стоимость которых указана в валюте Российской Федерации, на </w:t>
      </w:r>
      <w:r w:rsidRPr="00213A5D">
        <w:rPr>
          <w:rFonts w:eastAsia="Times New Roman"/>
          <w:b/>
          <w:color w:val="000000"/>
          <w:spacing w:val="-2"/>
          <w:sz w:val="24"/>
          <w:szCs w:val="24"/>
        </w:rPr>
        <w:t>2 991 841,9 млн. рублей, или в 12,2 раза</w:t>
      </w:r>
      <w:r w:rsidRPr="00213A5D">
        <w:rPr>
          <w:rFonts w:eastAsia="Times New Roman"/>
          <w:color w:val="000000"/>
          <w:spacing w:val="-2"/>
          <w:sz w:val="24"/>
          <w:szCs w:val="24"/>
        </w:rPr>
        <w:t>, до 267 833,2 млн. рублей.</w:t>
      </w:r>
    </w:p>
    <w:p w14:paraId="341B440D"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color w:val="000000"/>
          <w:sz w:val="24"/>
          <w:szCs w:val="24"/>
        </w:rPr>
        <w:t xml:space="preserve">Согласно справке от 24 февраля 2022 г. № 1-12-092/0041 в соответствии с частью 4 статьи 94 Бюджетного кодекса Российской Федерации за счет остатков средств федерального бюджета, образовавшихся на 1 января 2022 года, </w:t>
      </w:r>
      <w:r w:rsidRPr="00213A5D">
        <w:rPr>
          <w:rFonts w:eastAsia="Times New Roman"/>
          <w:b/>
          <w:color w:val="000000"/>
          <w:sz w:val="24"/>
          <w:szCs w:val="24"/>
        </w:rPr>
        <w:t>на (-) 500 000,0 млн. рублей</w:t>
      </w:r>
      <w:r w:rsidRPr="00213A5D">
        <w:rPr>
          <w:rFonts w:eastAsia="Times New Roman"/>
          <w:color w:val="000000"/>
          <w:sz w:val="24"/>
          <w:szCs w:val="24"/>
        </w:rPr>
        <w:t xml:space="preserve"> </w:t>
      </w:r>
      <w:r w:rsidR="00633AC7" w:rsidRPr="00213A5D">
        <w:rPr>
          <w:rFonts w:eastAsia="Times New Roman"/>
          <w:b/>
          <w:color w:val="000000"/>
          <w:sz w:val="24"/>
          <w:szCs w:val="24"/>
        </w:rPr>
        <w:t>увеличены</w:t>
      </w:r>
      <w:r w:rsidR="00633AC7" w:rsidRPr="00213A5D">
        <w:rPr>
          <w:rFonts w:eastAsia="Times New Roman"/>
          <w:color w:val="000000"/>
          <w:sz w:val="24"/>
          <w:szCs w:val="24"/>
        </w:rPr>
        <w:t xml:space="preserve"> </w:t>
      </w:r>
      <w:r w:rsidRPr="00213A5D">
        <w:rPr>
          <w:rFonts w:eastAsia="Times New Roman"/>
          <w:color w:val="000000"/>
          <w:sz w:val="24"/>
          <w:szCs w:val="24"/>
        </w:rPr>
        <w:t xml:space="preserve">бюджетные ассигнования на погашение в 2022 году государственных ценных бумаг Российской Федерации, номинированных в валюте Российской Федерации, в целях их выкупа Минфином России со вторичного рынка с последующим погашением (вид изменения 233). </w:t>
      </w:r>
    </w:p>
    <w:p w14:paraId="150E73C0"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color w:val="000000"/>
          <w:sz w:val="24"/>
          <w:szCs w:val="24"/>
        </w:rPr>
        <w:t xml:space="preserve">По состоянию на 1 октября 2022 года операции выкупа ОФЗ </w:t>
      </w:r>
      <w:r w:rsidRPr="00213A5D">
        <w:rPr>
          <w:rFonts w:eastAsia="Times New Roman"/>
          <w:b/>
          <w:color w:val="000000"/>
          <w:sz w:val="24"/>
          <w:szCs w:val="24"/>
        </w:rPr>
        <w:t>не проводились</w:t>
      </w:r>
      <w:r w:rsidRPr="00213A5D">
        <w:rPr>
          <w:rFonts w:eastAsia="Times New Roman"/>
          <w:color w:val="000000"/>
          <w:sz w:val="24"/>
          <w:szCs w:val="24"/>
        </w:rPr>
        <w:t xml:space="preserve">. В течение отчетного периода бюджетные ассигнования на погашение государственных ценных бумаг, номинированных в валюте Российской Федерации, </w:t>
      </w:r>
      <w:r w:rsidRPr="00213A5D">
        <w:rPr>
          <w:rFonts w:eastAsia="Times New Roman"/>
          <w:b/>
          <w:color w:val="000000"/>
          <w:sz w:val="24"/>
          <w:szCs w:val="24"/>
        </w:rPr>
        <w:t>перераспределены</w:t>
      </w:r>
      <w:r w:rsidRPr="00213A5D">
        <w:rPr>
          <w:rFonts w:eastAsia="Times New Roman"/>
          <w:color w:val="000000"/>
          <w:sz w:val="24"/>
          <w:szCs w:val="24"/>
        </w:rPr>
        <w:t>:</w:t>
      </w:r>
    </w:p>
    <w:p w14:paraId="667B5C19"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color w:val="000000"/>
          <w:sz w:val="24"/>
          <w:szCs w:val="24"/>
        </w:rPr>
        <w:t xml:space="preserve">в сумме 89 186,2 млн. рублей на цели погашения государственного внешнего долга Российской Федерации в связи с тем, что фактические курсы иностранных валют по отношению к рублю превышают показатели, учтенные Федеральным законом от 6 декабря </w:t>
      </w:r>
      <w:r w:rsidRPr="00213A5D">
        <w:rPr>
          <w:rFonts w:eastAsia="Times New Roman"/>
          <w:color w:val="000000"/>
          <w:sz w:val="24"/>
          <w:szCs w:val="24"/>
        </w:rPr>
        <w:lastRenderedPageBreak/>
        <w:t>2021 г. № 390-ФЗ (справка от 31 марта 2022 г. № 1-12-092/0112, вид изменения 234);</w:t>
      </w:r>
    </w:p>
    <w:p w14:paraId="258912A3"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color w:val="000000"/>
          <w:sz w:val="24"/>
          <w:szCs w:val="24"/>
        </w:rPr>
        <w:t>в сумме 949,0 млн. рублей на осуществление компенсационных выплат по гарантированным сбережениям граждан в связи с прогнозом ПАО «Сбербанк</w:t>
      </w:r>
      <w:r w:rsidR="008B2D65" w:rsidRPr="00213A5D">
        <w:rPr>
          <w:rFonts w:eastAsia="Times New Roman"/>
          <w:color w:val="000000"/>
          <w:sz w:val="24"/>
          <w:szCs w:val="24"/>
        </w:rPr>
        <w:t xml:space="preserve"> России</w:t>
      </w:r>
      <w:r w:rsidRPr="00213A5D">
        <w:rPr>
          <w:rFonts w:eastAsia="Times New Roman"/>
          <w:color w:val="000000"/>
          <w:sz w:val="24"/>
          <w:szCs w:val="24"/>
        </w:rPr>
        <w:t>» фактической явки граждан (справка от 25 июля 2022 г. № 1-12-092/0296, вид изменения 234).</w:t>
      </w:r>
    </w:p>
    <w:p w14:paraId="169CABBE"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color w:val="000000"/>
          <w:sz w:val="24"/>
          <w:szCs w:val="24"/>
        </w:rPr>
        <w:t>Информация об исполнении показателей программ государственных внутренних заимствований Российской Федерации на 1 октября в</w:t>
      </w:r>
      <w:r w:rsidRPr="00213A5D">
        <w:rPr>
          <w:rFonts w:eastAsia="Times New Roman"/>
          <w:b/>
          <w:color w:val="000000"/>
          <w:sz w:val="24"/>
          <w:szCs w:val="24"/>
        </w:rPr>
        <w:t xml:space="preserve"> 2020–2022 годах</w:t>
      </w:r>
      <w:r w:rsidRPr="00213A5D">
        <w:rPr>
          <w:rFonts w:eastAsia="Times New Roman"/>
          <w:color w:val="000000"/>
          <w:sz w:val="24"/>
          <w:szCs w:val="24"/>
        </w:rPr>
        <w:t xml:space="preserve"> представлена </w:t>
      </w:r>
      <w:r w:rsidR="00A25713" w:rsidRPr="00213A5D">
        <w:rPr>
          <w:rFonts w:eastAsia="Times New Roman"/>
          <w:color w:val="000000"/>
          <w:sz w:val="24"/>
          <w:szCs w:val="24"/>
        </w:rPr>
        <w:br/>
      </w:r>
      <w:r w:rsidRPr="00213A5D">
        <w:rPr>
          <w:rFonts w:eastAsia="Times New Roman"/>
          <w:color w:val="000000"/>
          <w:sz w:val="24"/>
          <w:szCs w:val="24"/>
        </w:rPr>
        <w:t>на следующей диаграмме.</w:t>
      </w:r>
    </w:p>
    <w:p w14:paraId="1375582A" w14:textId="77777777" w:rsidR="002331ED" w:rsidRPr="00213A5D" w:rsidRDefault="00CD0E98" w:rsidP="00AF1852">
      <w:pPr>
        <w:widowControl w:val="0"/>
        <w:overflowPunct/>
        <w:autoSpaceDE/>
        <w:autoSpaceDN/>
        <w:adjustRightInd/>
        <w:ind w:left="0" w:right="0" w:firstLine="0"/>
        <w:jc w:val="center"/>
        <w:textAlignment w:val="auto"/>
        <w:rPr>
          <w:sz w:val="12"/>
          <w:szCs w:val="12"/>
          <w:lang w:val="en-US"/>
        </w:rPr>
      </w:pPr>
      <w:r w:rsidRPr="00213A5D">
        <w:rPr>
          <w:noProof/>
          <w:color w:val="000000"/>
        </w:rPr>
        <w:object w:dxaOrig="9639" w:dyaOrig="3831" w14:anchorId="77D4B0DD">
          <v:shape id="Диаграмма 19" o:spid="_x0000_i1033" type="#_x0000_t75" alt="" style="width:482.95pt;height:192.25pt;visibility:visible;mso-width-percent:0;mso-height-percent:0;mso-width-percent:0;mso-height-percent:0" o:ole="">
            <v:imagedata r:id="rId74" o:title=""/>
            <o:lock v:ext="edit" aspectratio="f"/>
          </v:shape>
          <o:OLEObject Type="Embed" ProgID="Excel.Sheet.8" ShapeID="Диаграмма 19" DrawAspect="Content" ObjectID="_1731305715" r:id="rId75">
            <o:FieldCodes>\s</o:FieldCodes>
          </o:OLEObject>
        </w:object>
      </w:r>
    </w:p>
    <w:p w14:paraId="17C40952"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b/>
          <w:color w:val="000000"/>
          <w:sz w:val="24"/>
          <w:szCs w:val="24"/>
        </w:rPr>
        <w:t>Привлечение</w:t>
      </w:r>
      <w:r w:rsidRPr="00213A5D">
        <w:rPr>
          <w:rFonts w:eastAsia="Times New Roman"/>
          <w:color w:val="000000"/>
          <w:sz w:val="24"/>
          <w:szCs w:val="24"/>
        </w:rPr>
        <w:t xml:space="preserve"> по государственным ценным бумагам Российской Федерации в январе</w:t>
      </w:r>
      <w:r w:rsidRPr="00213A5D">
        <w:rPr>
          <w:rFonts w:eastAsia="Times New Roman"/>
          <w:color w:val="000000"/>
          <w:sz w:val="24"/>
          <w:szCs w:val="24"/>
          <w:lang w:val="en-US"/>
        </w:rPr>
        <w:t> </w:t>
      </w:r>
      <w:r w:rsidRPr="00213A5D">
        <w:rPr>
          <w:rFonts w:eastAsia="Times New Roman"/>
          <w:color w:val="000000"/>
          <w:sz w:val="24"/>
          <w:szCs w:val="24"/>
        </w:rPr>
        <w:t>–</w:t>
      </w:r>
      <w:r w:rsidRPr="00213A5D">
        <w:rPr>
          <w:rFonts w:eastAsia="Times New Roman"/>
          <w:color w:val="000000"/>
          <w:sz w:val="24"/>
          <w:szCs w:val="24"/>
          <w:lang w:val="en-US"/>
        </w:rPr>
        <w:t> </w:t>
      </w:r>
      <w:r w:rsidRPr="00213A5D">
        <w:rPr>
          <w:rFonts w:eastAsia="Times New Roman"/>
          <w:color w:val="000000"/>
          <w:sz w:val="24"/>
          <w:szCs w:val="24"/>
        </w:rPr>
        <w:t xml:space="preserve">сентябре 2022 года с учетом положений статьи 113 Бюджетного кодекса Российской Федерации </w:t>
      </w:r>
      <w:r w:rsidRPr="00213A5D">
        <w:rPr>
          <w:rFonts w:eastAsia="Times New Roman"/>
          <w:b/>
          <w:color w:val="000000"/>
          <w:sz w:val="24"/>
          <w:szCs w:val="24"/>
        </w:rPr>
        <w:t>в 18,3 раза меньше привлечения в аналогичном периоде 2021 года</w:t>
      </w:r>
      <w:r w:rsidRPr="00213A5D">
        <w:rPr>
          <w:rFonts w:eastAsia="Times New Roman"/>
          <w:color w:val="000000"/>
          <w:sz w:val="24"/>
          <w:szCs w:val="24"/>
        </w:rPr>
        <w:t>.</w:t>
      </w:r>
    </w:p>
    <w:p w14:paraId="56A63BE5"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color w:val="000000"/>
          <w:sz w:val="24"/>
          <w:szCs w:val="24"/>
        </w:rPr>
        <w:t xml:space="preserve">Информация о соотношении </w:t>
      </w:r>
      <w:r w:rsidRPr="00213A5D">
        <w:rPr>
          <w:rFonts w:eastAsia="Times New Roman"/>
          <w:b/>
          <w:color w:val="000000"/>
          <w:sz w:val="24"/>
          <w:szCs w:val="24"/>
        </w:rPr>
        <w:t>совокупного спроса</w:t>
      </w:r>
      <w:r w:rsidRPr="00213A5D">
        <w:rPr>
          <w:rFonts w:eastAsia="Times New Roman"/>
          <w:color w:val="000000"/>
          <w:sz w:val="24"/>
          <w:szCs w:val="24"/>
        </w:rPr>
        <w:t xml:space="preserve"> на аукционах со стороны участников рынка на государственные облигации и о </w:t>
      </w:r>
      <w:r w:rsidRPr="00213A5D">
        <w:rPr>
          <w:rFonts w:eastAsia="Times New Roman"/>
          <w:b/>
          <w:color w:val="000000"/>
          <w:sz w:val="24"/>
          <w:szCs w:val="24"/>
        </w:rPr>
        <w:t>предложениях</w:t>
      </w:r>
      <w:r w:rsidRPr="00213A5D">
        <w:rPr>
          <w:rFonts w:eastAsia="Times New Roman"/>
          <w:color w:val="000000"/>
          <w:sz w:val="24"/>
          <w:szCs w:val="24"/>
        </w:rPr>
        <w:t xml:space="preserve"> Минфина России в январе – </w:t>
      </w:r>
      <w:r w:rsidR="00633AC7" w:rsidRPr="00213A5D">
        <w:rPr>
          <w:rFonts w:eastAsia="Times New Roman"/>
          <w:color w:val="000000"/>
          <w:sz w:val="24"/>
          <w:szCs w:val="24"/>
        </w:rPr>
        <w:t>сентябре 2020–2022 годов</w:t>
      </w:r>
      <w:r w:rsidRPr="00213A5D">
        <w:rPr>
          <w:rFonts w:eastAsia="Times New Roman"/>
          <w:color w:val="000000"/>
          <w:sz w:val="24"/>
          <w:szCs w:val="24"/>
        </w:rPr>
        <w:t xml:space="preserve"> представлена на следующей диаграмме.</w:t>
      </w:r>
    </w:p>
    <w:p w14:paraId="4254A75E" w14:textId="77777777" w:rsidR="002331ED" w:rsidRPr="00213A5D" w:rsidRDefault="00CD0E98" w:rsidP="00AF1852">
      <w:pPr>
        <w:widowControl w:val="0"/>
        <w:overflowPunct/>
        <w:autoSpaceDE/>
        <w:autoSpaceDN/>
        <w:adjustRightInd/>
        <w:ind w:left="0" w:right="0" w:firstLine="0"/>
        <w:textAlignment w:val="auto"/>
        <w:rPr>
          <w:rFonts w:eastAsia="Times New Roman"/>
          <w:color w:val="000000"/>
          <w:sz w:val="24"/>
          <w:szCs w:val="24"/>
          <w:lang w:val="en-US"/>
        </w:rPr>
      </w:pPr>
      <w:r w:rsidRPr="00213A5D">
        <w:rPr>
          <w:noProof/>
          <w:color w:val="000000"/>
        </w:rPr>
        <w:object w:dxaOrig="9630" w:dyaOrig="2103" w14:anchorId="3FB59DFC">
          <v:shape id="Диаграмма 20" o:spid="_x0000_i1032" type="#_x0000_t75" alt="" style="width:482.25pt;height:105.3pt;visibility:visible;mso-width-percent:0;mso-height-percent:0;mso-width-percent:0;mso-height-percent:0" o:ole="">
            <v:imagedata r:id="rId76" o:title="" cropright="-7f"/>
            <o:lock v:ext="edit" aspectratio="f"/>
          </v:shape>
          <o:OLEObject Type="Embed" ProgID="Excel.Sheet.8" ShapeID="Диаграмма 20" DrawAspect="Content" ObjectID="_1731305716" r:id="rId77">
            <o:FieldCodes>\s</o:FieldCodes>
          </o:OLEObject>
        </w:object>
      </w:r>
    </w:p>
    <w:p w14:paraId="44A59F8F" w14:textId="77777777" w:rsidR="002331ED" w:rsidRPr="00213A5D" w:rsidRDefault="002331ED" w:rsidP="00AF1852">
      <w:pPr>
        <w:widowControl w:val="0"/>
        <w:overflowPunct/>
        <w:autoSpaceDE/>
        <w:autoSpaceDN/>
        <w:adjustRightInd/>
        <w:ind w:left="0" w:right="0" w:firstLine="0"/>
        <w:textAlignment w:val="auto"/>
        <w:rPr>
          <w:rFonts w:eastAsia="Times New Roman"/>
          <w:color w:val="000000"/>
          <w:sz w:val="12"/>
          <w:szCs w:val="12"/>
          <w:lang w:val="en-US"/>
        </w:rPr>
      </w:pPr>
    </w:p>
    <w:p w14:paraId="20E705B2"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color w:val="000000"/>
          <w:sz w:val="24"/>
          <w:szCs w:val="24"/>
        </w:rPr>
        <w:t xml:space="preserve">В январе – сентябре 2022 года совокупный </w:t>
      </w:r>
      <w:r w:rsidRPr="00213A5D">
        <w:rPr>
          <w:rFonts w:eastAsia="Times New Roman"/>
          <w:b/>
          <w:color w:val="000000"/>
          <w:sz w:val="24"/>
          <w:szCs w:val="24"/>
        </w:rPr>
        <w:t>объем спроса</w:t>
      </w:r>
      <w:r w:rsidRPr="00213A5D">
        <w:rPr>
          <w:rFonts w:eastAsia="Times New Roman"/>
          <w:color w:val="000000"/>
          <w:sz w:val="24"/>
          <w:szCs w:val="24"/>
        </w:rPr>
        <w:t xml:space="preserve"> на аукционах года со стороны участников рынка на государственные облигации </w:t>
      </w:r>
      <w:r w:rsidRPr="00213A5D">
        <w:rPr>
          <w:rFonts w:eastAsia="Times New Roman"/>
          <w:b/>
          <w:color w:val="000000"/>
          <w:sz w:val="24"/>
          <w:szCs w:val="24"/>
        </w:rPr>
        <w:t>в 4,1 раза меньше предложения</w:t>
      </w:r>
      <w:r w:rsidRPr="00213A5D">
        <w:rPr>
          <w:rFonts w:eastAsia="Times New Roman"/>
          <w:color w:val="000000"/>
          <w:sz w:val="24"/>
          <w:szCs w:val="24"/>
        </w:rPr>
        <w:t xml:space="preserve"> Минфина России. По сравнению с аналогичным периодом 2021 года совокупный объем спроса на государственные ценные бумаги на аукционах в январе – сентябре 2022 года уменьшился на 3 890 130,1 млн. рублей, или в 13,7 раз</w:t>
      </w:r>
      <w:r w:rsidR="00633AC7" w:rsidRPr="00213A5D">
        <w:rPr>
          <w:rFonts w:eastAsia="Times New Roman"/>
          <w:color w:val="000000"/>
          <w:sz w:val="24"/>
          <w:szCs w:val="24"/>
        </w:rPr>
        <w:t>а</w:t>
      </w:r>
      <w:r w:rsidRPr="00213A5D">
        <w:rPr>
          <w:rFonts w:eastAsia="Times New Roman"/>
          <w:color w:val="000000"/>
          <w:sz w:val="24"/>
          <w:szCs w:val="24"/>
        </w:rPr>
        <w:t>, а предложение Минфина России – на</w:t>
      </w:r>
      <w:r w:rsidRPr="00213A5D">
        <w:rPr>
          <w:rFonts w:eastAsia="Times New Roman"/>
          <w:color w:val="000000"/>
          <w:sz w:val="24"/>
          <w:szCs w:val="24"/>
          <w:lang w:val="en-US"/>
        </w:rPr>
        <w:t> </w:t>
      </w:r>
      <w:r w:rsidRPr="00213A5D">
        <w:rPr>
          <w:rFonts w:eastAsia="Times New Roman"/>
          <w:color w:val="000000"/>
          <w:sz w:val="24"/>
          <w:szCs w:val="24"/>
        </w:rPr>
        <w:t>11 443 076,2 млн. рублей, или в 10,2 раза.</w:t>
      </w:r>
    </w:p>
    <w:p w14:paraId="59D241D9" w14:textId="77777777" w:rsidR="002331ED" w:rsidRPr="00213A5D" w:rsidRDefault="002331ED"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color w:val="000000"/>
          <w:sz w:val="24"/>
          <w:szCs w:val="24"/>
        </w:rPr>
        <w:lastRenderedPageBreak/>
        <w:t xml:space="preserve">Информация о доходности облигаций федерального займа в январе – сентябре </w:t>
      </w:r>
      <w:r w:rsidRPr="00213A5D">
        <w:rPr>
          <w:rFonts w:eastAsia="Times New Roman"/>
          <w:color w:val="000000"/>
          <w:sz w:val="24"/>
          <w:szCs w:val="24"/>
        </w:rPr>
        <w:br/>
        <w:t>2020–2022 годов представлена в следующей таблице.</w:t>
      </w:r>
    </w:p>
    <w:tbl>
      <w:tblPr>
        <w:tblW w:w="977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1682"/>
        <w:gridCol w:w="1659"/>
        <w:gridCol w:w="1671"/>
      </w:tblGrid>
      <w:tr w:rsidR="002331ED" w:rsidRPr="00213A5D" w14:paraId="7C990B56" w14:textId="77777777" w:rsidTr="003931D3">
        <w:trPr>
          <w:trHeight w:val="56"/>
          <w:tblHeader/>
        </w:trPr>
        <w:tc>
          <w:tcPr>
            <w:tcW w:w="4797" w:type="dxa"/>
            <w:shd w:val="clear" w:color="auto" w:fill="auto"/>
            <w:vAlign w:val="center"/>
            <w:hideMark/>
          </w:tcPr>
          <w:p w14:paraId="723506E8"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 </w:t>
            </w:r>
          </w:p>
        </w:tc>
        <w:tc>
          <w:tcPr>
            <w:tcW w:w="1617" w:type="dxa"/>
            <w:shd w:val="clear" w:color="auto" w:fill="auto"/>
            <w:vAlign w:val="center"/>
            <w:hideMark/>
          </w:tcPr>
          <w:p w14:paraId="7756F3C1"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2020 год</w:t>
            </w:r>
          </w:p>
        </w:tc>
        <w:tc>
          <w:tcPr>
            <w:tcW w:w="1672" w:type="dxa"/>
            <w:shd w:val="clear" w:color="auto" w:fill="auto"/>
            <w:vAlign w:val="center"/>
            <w:hideMark/>
          </w:tcPr>
          <w:p w14:paraId="5DD22E85"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2021 год</w:t>
            </w:r>
          </w:p>
        </w:tc>
        <w:tc>
          <w:tcPr>
            <w:tcW w:w="1685" w:type="dxa"/>
            <w:shd w:val="clear" w:color="auto" w:fill="auto"/>
            <w:vAlign w:val="center"/>
            <w:hideMark/>
          </w:tcPr>
          <w:p w14:paraId="634F8473"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2022 год</w:t>
            </w:r>
          </w:p>
        </w:tc>
      </w:tr>
      <w:tr w:rsidR="002331ED" w:rsidRPr="00213A5D" w14:paraId="45FA3767" w14:textId="77777777" w:rsidTr="002331ED">
        <w:trPr>
          <w:trHeight w:val="60"/>
        </w:trPr>
        <w:tc>
          <w:tcPr>
            <w:tcW w:w="4797" w:type="dxa"/>
            <w:shd w:val="clear" w:color="auto" w:fill="auto"/>
            <w:vAlign w:val="center"/>
            <w:hideMark/>
          </w:tcPr>
          <w:p w14:paraId="1654E119"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b/>
                <w:bCs/>
                <w:color w:val="000000"/>
                <w:sz w:val="20"/>
                <w:szCs w:val="20"/>
              </w:rPr>
            </w:pPr>
            <w:r w:rsidRPr="00213A5D">
              <w:rPr>
                <w:rFonts w:eastAsia="Times New Roman"/>
                <w:b/>
                <w:bCs/>
                <w:color w:val="000000"/>
                <w:sz w:val="20"/>
                <w:szCs w:val="20"/>
              </w:rPr>
              <w:t>ОФЗ-ПД</w:t>
            </w:r>
          </w:p>
        </w:tc>
        <w:tc>
          <w:tcPr>
            <w:tcW w:w="1617" w:type="dxa"/>
            <w:shd w:val="clear" w:color="auto" w:fill="auto"/>
            <w:vAlign w:val="center"/>
            <w:hideMark/>
          </w:tcPr>
          <w:p w14:paraId="514C437D"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c>
          <w:tcPr>
            <w:tcW w:w="1672" w:type="dxa"/>
            <w:shd w:val="clear" w:color="auto" w:fill="auto"/>
            <w:vAlign w:val="center"/>
            <w:hideMark/>
          </w:tcPr>
          <w:p w14:paraId="75C5F038"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c>
          <w:tcPr>
            <w:tcW w:w="1685" w:type="dxa"/>
            <w:shd w:val="clear" w:color="auto" w:fill="auto"/>
            <w:vAlign w:val="center"/>
            <w:hideMark/>
          </w:tcPr>
          <w:p w14:paraId="459D7E11"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r>
      <w:tr w:rsidR="002331ED" w:rsidRPr="00213A5D" w14:paraId="49B95E7D" w14:textId="77777777" w:rsidTr="002331ED">
        <w:trPr>
          <w:trHeight w:val="60"/>
        </w:trPr>
        <w:tc>
          <w:tcPr>
            <w:tcW w:w="4797" w:type="dxa"/>
            <w:shd w:val="clear" w:color="auto" w:fill="auto"/>
            <w:vAlign w:val="center"/>
            <w:hideMark/>
          </w:tcPr>
          <w:p w14:paraId="2B2C5378"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количество аукционов, единиц</w:t>
            </w:r>
          </w:p>
        </w:tc>
        <w:tc>
          <w:tcPr>
            <w:tcW w:w="1617" w:type="dxa"/>
            <w:shd w:val="clear" w:color="auto" w:fill="auto"/>
            <w:hideMark/>
          </w:tcPr>
          <w:p w14:paraId="5E8AEF65"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39</w:t>
            </w:r>
          </w:p>
        </w:tc>
        <w:tc>
          <w:tcPr>
            <w:tcW w:w="1672" w:type="dxa"/>
            <w:shd w:val="clear" w:color="auto" w:fill="auto"/>
            <w:hideMark/>
          </w:tcPr>
          <w:p w14:paraId="130ED680"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57</w:t>
            </w:r>
          </w:p>
        </w:tc>
        <w:tc>
          <w:tcPr>
            <w:tcW w:w="1685" w:type="dxa"/>
            <w:shd w:val="clear" w:color="auto" w:fill="auto"/>
            <w:hideMark/>
          </w:tcPr>
          <w:p w14:paraId="3B47BA0D"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6</w:t>
            </w:r>
          </w:p>
        </w:tc>
      </w:tr>
      <w:tr w:rsidR="002331ED" w:rsidRPr="00213A5D" w14:paraId="4CE4146A" w14:textId="77777777" w:rsidTr="002331ED">
        <w:trPr>
          <w:trHeight w:val="60"/>
        </w:trPr>
        <w:tc>
          <w:tcPr>
            <w:tcW w:w="4797" w:type="dxa"/>
            <w:shd w:val="clear" w:color="auto" w:fill="auto"/>
            <w:vAlign w:val="center"/>
            <w:hideMark/>
          </w:tcPr>
          <w:p w14:paraId="676AAC1D"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доходность по средневзвешенной цене, % годовых</w:t>
            </w:r>
          </w:p>
        </w:tc>
        <w:tc>
          <w:tcPr>
            <w:tcW w:w="1617" w:type="dxa"/>
            <w:shd w:val="clear" w:color="auto" w:fill="auto"/>
            <w:hideMark/>
          </w:tcPr>
          <w:p w14:paraId="0259B20D"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от 4,77 до 6,78</w:t>
            </w:r>
          </w:p>
        </w:tc>
        <w:tc>
          <w:tcPr>
            <w:tcW w:w="1672" w:type="dxa"/>
            <w:shd w:val="clear" w:color="auto" w:fill="auto"/>
            <w:hideMark/>
          </w:tcPr>
          <w:p w14:paraId="46104436"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от 5,55 до 7,50</w:t>
            </w:r>
          </w:p>
        </w:tc>
        <w:tc>
          <w:tcPr>
            <w:tcW w:w="1685" w:type="dxa"/>
            <w:shd w:val="clear" w:color="auto" w:fill="auto"/>
            <w:hideMark/>
          </w:tcPr>
          <w:p w14:paraId="79159AE4"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от 8,94 до 9,59</w:t>
            </w:r>
          </w:p>
        </w:tc>
      </w:tr>
      <w:tr w:rsidR="002331ED" w:rsidRPr="00213A5D" w14:paraId="4F5CA72B" w14:textId="77777777" w:rsidTr="002331ED">
        <w:trPr>
          <w:trHeight w:val="60"/>
        </w:trPr>
        <w:tc>
          <w:tcPr>
            <w:tcW w:w="4797" w:type="dxa"/>
            <w:shd w:val="clear" w:color="auto" w:fill="auto"/>
            <w:vAlign w:val="center"/>
            <w:hideMark/>
          </w:tcPr>
          <w:p w14:paraId="64EFFC73"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b/>
                <w:bCs/>
                <w:color w:val="000000"/>
                <w:sz w:val="20"/>
                <w:szCs w:val="20"/>
              </w:rPr>
            </w:pPr>
            <w:r w:rsidRPr="00213A5D">
              <w:rPr>
                <w:rFonts w:eastAsia="Times New Roman"/>
                <w:b/>
                <w:bCs/>
                <w:color w:val="000000"/>
                <w:sz w:val="20"/>
                <w:szCs w:val="20"/>
              </w:rPr>
              <w:t>ОФЗ-ПК</w:t>
            </w:r>
          </w:p>
        </w:tc>
        <w:tc>
          <w:tcPr>
            <w:tcW w:w="1617" w:type="dxa"/>
            <w:shd w:val="clear" w:color="auto" w:fill="auto"/>
            <w:vAlign w:val="center"/>
            <w:hideMark/>
          </w:tcPr>
          <w:p w14:paraId="65B4AEBA"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c>
          <w:tcPr>
            <w:tcW w:w="1672" w:type="dxa"/>
            <w:shd w:val="clear" w:color="auto" w:fill="auto"/>
            <w:vAlign w:val="center"/>
            <w:hideMark/>
          </w:tcPr>
          <w:p w14:paraId="5FA00570"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c>
          <w:tcPr>
            <w:tcW w:w="1685" w:type="dxa"/>
            <w:shd w:val="clear" w:color="auto" w:fill="auto"/>
            <w:vAlign w:val="center"/>
            <w:hideMark/>
          </w:tcPr>
          <w:p w14:paraId="18FD7ACC"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r>
      <w:tr w:rsidR="002331ED" w:rsidRPr="00213A5D" w14:paraId="4670CF69" w14:textId="77777777" w:rsidTr="002331ED">
        <w:trPr>
          <w:trHeight w:val="60"/>
        </w:trPr>
        <w:tc>
          <w:tcPr>
            <w:tcW w:w="4797" w:type="dxa"/>
            <w:shd w:val="clear" w:color="auto" w:fill="auto"/>
            <w:vAlign w:val="center"/>
            <w:hideMark/>
          </w:tcPr>
          <w:p w14:paraId="30860C44"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количество аукционов, единиц</w:t>
            </w:r>
          </w:p>
        </w:tc>
        <w:tc>
          <w:tcPr>
            <w:tcW w:w="1617" w:type="dxa"/>
            <w:shd w:val="clear" w:color="auto" w:fill="auto"/>
            <w:vAlign w:val="center"/>
            <w:hideMark/>
          </w:tcPr>
          <w:p w14:paraId="219158E8"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18</w:t>
            </w:r>
          </w:p>
        </w:tc>
        <w:tc>
          <w:tcPr>
            <w:tcW w:w="1672" w:type="dxa"/>
            <w:shd w:val="clear" w:color="auto" w:fill="auto"/>
            <w:vAlign w:val="center"/>
            <w:hideMark/>
          </w:tcPr>
          <w:p w14:paraId="600C8BB4"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c>
          <w:tcPr>
            <w:tcW w:w="1685" w:type="dxa"/>
            <w:shd w:val="clear" w:color="auto" w:fill="auto"/>
            <w:vAlign w:val="center"/>
            <w:hideMark/>
          </w:tcPr>
          <w:p w14:paraId="5C5866E9"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r>
      <w:tr w:rsidR="002331ED" w:rsidRPr="00213A5D" w14:paraId="62492AA3" w14:textId="77777777" w:rsidTr="002331ED">
        <w:trPr>
          <w:trHeight w:val="60"/>
        </w:trPr>
        <w:tc>
          <w:tcPr>
            <w:tcW w:w="4797" w:type="dxa"/>
            <w:shd w:val="clear" w:color="auto" w:fill="auto"/>
            <w:vAlign w:val="center"/>
            <w:hideMark/>
          </w:tcPr>
          <w:p w14:paraId="70D1D605"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доходность по средневзвешенной цене, % годовых</w:t>
            </w:r>
          </w:p>
        </w:tc>
        <w:tc>
          <w:tcPr>
            <w:tcW w:w="1617" w:type="dxa"/>
            <w:shd w:val="clear" w:color="auto" w:fill="auto"/>
            <w:vAlign w:val="center"/>
            <w:hideMark/>
          </w:tcPr>
          <w:p w14:paraId="3D0C66B7"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доходность не рассчитывается</w:t>
            </w:r>
            <w:r w:rsidRPr="00213A5D">
              <w:rPr>
                <w:rFonts w:eastAsia="Times New Roman"/>
                <w:color w:val="000000"/>
                <w:sz w:val="20"/>
                <w:szCs w:val="20"/>
                <w:vertAlign w:val="superscript"/>
              </w:rPr>
              <w:footnoteReference w:id="49"/>
            </w:r>
          </w:p>
        </w:tc>
        <w:tc>
          <w:tcPr>
            <w:tcW w:w="1672" w:type="dxa"/>
            <w:shd w:val="clear" w:color="auto" w:fill="auto"/>
            <w:vAlign w:val="center"/>
            <w:hideMark/>
          </w:tcPr>
          <w:p w14:paraId="1FCD5FB6"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c>
          <w:tcPr>
            <w:tcW w:w="1685" w:type="dxa"/>
            <w:shd w:val="clear" w:color="auto" w:fill="auto"/>
            <w:vAlign w:val="center"/>
            <w:hideMark/>
          </w:tcPr>
          <w:p w14:paraId="24DD8BCE"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r>
      <w:tr w:rsidR="002331ED" w:rsidRPr="00213A5D" w14:paraId="2F1C1272" w14:textId="77777777" w:rsidTr="002331ED">
        <w:trPr>
          <w:trHeight w:val="60"/>
        </w:trPr>
        <w:tc>
          <w:tcPr>
            <w:tcW w:w="4797" w:type="dxa"/>
            <w:shd w:val="clear" w:color="auto" w:fill="auto"/>
            <w:vAlign w:val="center"/>
            <w:hideMark/>
          </w:tcPr>
          <w:p w14:paraId="2BF59006"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b/>
                <w:bCs/>
                <w:color w:val="000000"/>
                <w:sz w:val="20"/>
                <w:szCs w:val="20"/>
              </w:rPr>
            </w:pPr>
            <w:r w:rsidRPr="00213A5D">
              <w:rPr>
                <w:rFonts w:eastAsia="Times New Roman"/>
                <w:b/>
                <w:bCs/>
                <w:color w:val="000000"/>
                <w:sz w:val="20"/>
                <w:szCs w:val="20"/>
              </w:rPr>
              <w:t>ОФЗ-ИН</w:t>
            </w:r>
          </w:p>
        </w:tc>
        <w:tc>
          <w:tcPr>
            <w:tcW w:w="1617" w:type="dxa"/>
            <w:shd w:val="clear" w:color="auto" w:fill="auto"/>
            <w:vAlign w:val="center"/>
            <w:hideMark/>
          </w:tcPr>
          <w:p w14:paraId="06A303BC"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c>
          <w:tcPr>
            <w:tcW w:w="1672" w:type="dxa"/>
            <w:shd w:val="clear" w:color="auto" w:fill="auto"/>
            <w:vAlign w:val="center"/>
            <w:hideMark/>
          </w:tcPr>
          <w:p w14:paraId="36D2F6B3"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c>
          <w:tcPr>
            <w:tcW w:w="1685" w:type="dxa"/>
            <w:shd w:val="clear" w:color="auto" w:fill="auto"/>
            <w:vAlign w:val="center"/>
            <w:hideMark/>
          </w:tcPr>
          <w:p w14:paraId="564EFBBB" w14:textId="77777777" w:rsidR="002331ED" w:rsidRPr="00213A5D" w:rsidRDefault="002331ED"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 </w:t>
            </w:r>
          </w:p>
        </w:tc>
      </w:tr>
      <w:tr w:rsidR="002331ED" w:rsidRPr="00213A5D" w14:paraId="4155D8BA" w14:textId="77777777" w:rsidTr="002331ED">
        <w:trPr>
          <w:trHeight w:val="60"/>
        </w:trPr>
        <w:tc>
          <w:tcPr>
            <w:tcW w:w="4797" w:type="dxa"/>
            <w:shd w:val="clear" w:color="auto" w:fill="auto"/>
            <w:vAlign w:val="center"/>
            <w:hideMark/>
          </w:tcPr>
          <w:p w14:paraId="62FC6D43"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количество аукционов, единиц</w:t>
            </w:r>
          </w:p>
        </w:tc>
        <w:tc>
          <w:tcPr>
            <w:tcW w:w="1617" w:type="dxa"/>
            <w:shd w:val="clear" w:color="auto" w:fill="auto"/>
            <w:hideMark/>
          </w:tcPr>
          <w:p w14:paraId="08F898FB"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7</w:t>
            </w:r>
          </w:p>
        </w:tc>
        <w:tc>
          <w:tcPr>
            <w:tcW w:w="1672" w:type="dxa"/>
            <w:shd w:val="clear" w:color="auto" w:fill="auto"/>
            <w:hideMark/>
          </w:tcPr>
          <w:p w14:paraId="44118F67"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10</w:t>
            </w:r>
          </w:p>
        </w:tc>
        <w:tc>
          <w:tcPr>
            <w:tcW w:w="1685" w:type="dxa"/>
            <w:shd w:val="clear" w:color="auto" w:fill="auto"/>
            <w:hideMark/>
          </w:tcPr>
          <w:p w14:paraId="70B7416D"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2</w:t>
            </w:r>
          </w:p>
        </w:tc>
      </w:tr>
      <w:tr w:rsidR="002331ED" w:rsidRPr="00213A5D" w14:paraId="28302CB8" w14:textId="77777777" w:rsidTr="002331ED">
        <w:trPr>
          <w:trHeight w:val="60"/>
        </w:trPr>
        <w:tc>
          <w:tcPr>
            <w:tcW w:w="4797" w:type="dxa"/>
            <w:shd w:val="clear" w:color="auto" w:fill="auto"/>
            <w:vAlign w:val="center"/>
            <w:hideMark/>
          </w:tcPr>
          <w:p w14:paraId="1568213A" w14:textId="77777777" w:rsidR="002331ED" w:rsidRPr="00213A5D" w:rsidRDefault="002331ED" w:rsidP="00AF1852">
            <w:pPr>
              <w:widowControl w:val="0"/>
              <w:overflowPunct/>
              <w:autoSpaceDE/>
              <w:autoSpaceDN/>
              <w:adjustRightInd/>
              <w:spacing w:line="240" w:lineRule="auto"/>
              <w:ind w:left="0" w:right="0" w:firstLine="0"/>
              <w:jc w:val="left"/>
              <w:textAlignment w:val="auto"/>
              <w:rPr>
                <w:rFonts w:eastAsia="Times New Roman"/>
                <w:color w:val="000000"/>
                <w:sz w:val="20"/>
                <w:szCs w:val="20"/>
              </w:rPr>
            </w:pPr>
            <w:r w:rsidRPr="00213A5D">
              <w:rPr>
                <w:rFonts w:eastAsia="Times New Roman"/>
                <w:color w:val="000000"/>
                <w:sz w:val="20"/>
                <w:szCs w:val="20"/>
              </w:rPr>
              <w:t>доходность по средневзвешенной цене, % годовых</w:t>
            </w:r>
          </w:p>
        </w:tc>
        <w:tc>
          <w:tcPr>
            <w:tcW w:w="1617" w:type="dxa"/>
            <w:shd w:val="clear" w:color="auto" w:fill="auto"/>
            <w:hideMark/>
          </w:tcPr>
          <w:p w14:paraId="56CF76C0"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от 2,47 до 2,98</w:t>
            </w:r>
          </w:p>
        </w:tc>
        <w:tc>
          <w:tcPr>
            <w:tcW w:w="1672" w:type="dxa"/>
            <w:shd w:val="clear" w:color="auto" w:fill="auto"/>
            <w:hideMark/>
          </w:tcPr>
          <w:p w14:paraId="700B84EE"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от 2,39 до 2,75</w:t>
            </w:r>
          </w:p>
        </w:tc>
        <w:tc>
          <w:tcPr>
            <w:tcW w:w="1685" w:type="dxa"/>
            <w:shd w:val="clear" w:color="auto" w:fill="auto"/>
            <w:hideMark/>
          </w:tcPr>
          <w:p w14:paraId="04F78EDB" w14:textId="77777777" w:rsidR="002331ED" w:rsidRPr="00213A5D" w:rsidRDefault="002331ED" w:rsidP="00AF1852">
            <w:pPr>
              <w:widowControl w:val="0"/>
              <w:overflowPunct/>
              <w:spacing w:line="240" w:lineRule="auto"/>
              <w:ind w:left="0" w:right="0" w:firstLine="0"/>
              <w:jc w:val="center"/>
              <w:textAlignment w:val="auto"/>
              <w:rPr>
                <w:color w:val="000000"/>
                <w:sz w:val="20"/>
                <w:szCs w:val="20"/>
                <w:lang w:eastAsia="en-US"/>
              </w:rPr>
            </w:pPr>
            <w:r w:rsidRPr="00213A5D">
              <w:rPr>
                <w:color w:val="000000"/>
                <w:sz w:val="20"/>
                <w:szCs w:val="20"/>
                <w:lang w:eastAsia="en-US"/>
              </w:rPr>
              <w:t>от 3,09 до 3,25</w:t>
            </w:r>
          </w:p>
        </w:tc>
      </w:tr>
    </w:tbl>
    <w:p w14:paraId="5B305B6B" w14:textId="77777777" w:rsidR="002331ED" w:rsidRPr="00213A5D" w:rsidRDefault="002331ED" w:rsidP="00A25713">
      <w:pPr>
        <w:widowControl w:val="0"/>
        <w:overflowPunct/>
        <w:autoSpaceDE/>
        <w:autoSpaceDN/>
        <w:adjustRightInd/>
        <w:ind w:left="0" w:right="0"/>
        <w:textAlignment w:val="auto"/>
        <w:rPr>
          <w:rFonts w:eastAsia="Times New Roman"/>
          <w:color w:val="000000"/>
          <w:sz w:val="12"/>
          <w:szCs w:val="12"/>
          <w:lang w:val="en-US"/>
        </w:rPr>
      </w:pPr>
    </w:p>
    <w:p w14:paraId="69300A22" w14:textId="77777777" w:rsidR="002331ED" w:rsidRPr="00213A5D" w:rsidRDefault="002331ED" w:rsidP="00694C95">
      <w:pPr>
        <w:widowControl w:val="0"/>
        <w:overflowPunct/>
        <w:autoSpaceDE/>
        <w:adjustRightInd/>
        <w:spacing w:line="331" w:lineRule="auto"/>
        <w:ind w:left="0" w:right="0"/>
        <w:textAlignment w:val="auto"/>
        <w:rPr>
          <w:rFonts w:eastAsia="Times New Roman"/>
          <w:color w:val="000000"/>
          <w:sz w:val="24"/>
          <w:szCs w:val="24"/>
        </w:rPr>
      </w:pPr>
      <w:r w:rsidRPr="00213A5D">
        <w:rPr>
          <w:rFonts w:eastAsia="Times New Roman"/>
          <w:b/>
          <w:color w:val="000000"/>
          <w:sz w:val="24"/>
          <w:szCs w:val="24"/>
        </w:rPr>
        <w:t>Доходност</w:t>
      </w:r>
      <w:r w:rsidR="002247A1" w:rsidRPr="00213A5D">
        <w:rPr>
          <w:rFonts w:eastAsia="Times New Roman"/>
          <w:b/>
          <w:color w:val="000000"/>
          <w:sz w:val="24"/>
          <w:szCs w:val="24"/>
        </w:rPr>
        <w:t>ь</w:t>
      </w:r>
      <w:r w:rsidRPr="00213A5D">
        <w:rPr>
          <w:rFonts w:eastAsia="Times New Roman"/>
          <w:b/>
          <w:color w:val="000000"/>
          <w:sz w:val="24"/>
          <w:szCs w:val="24"/>
        </w:rPr>
        <w:t xml:space="preserve"> ОФЗ-ПД</w:t>
      </w:r>
      <w:r w:rsidRPr="00213A5D">
        <w:rPr>
          <w:rFonts w:eastAsia="Times New Roman"/>
          <w:color w:val="000000"/>
          <w:sz w:val="24"/>
          <w:szCs w:val="24"/>
        </w:rPr>
        <w:t xml:space="preserve"> и </w:t>
      </w:r>
      <w:r w:rsidRPr="00213A5D">
        <w:rPr>
          <w:rFonts w:eastAsia="Times New Roman"/>
          <w:b/>
          <w:color w:val="000000"/>
          <w:sz w:val="24"/>
          <w:szCs w:val="24"/>
        </w:rPr>
        <w:t>ОФЗ-ИН</w:t>
      </w:r>
      <w:r w:rsidRPr="00213A5D">
        <w:rPr>
          <w:rFonts w:eastAsia="Times New Roman"/>
          <w:color w:val="000000"/>
          <w:sz w:val="24"/>
          <w:szCs w:val="24"/>
        </w:rPr>
        <w:t xml:space="preserve"> по средневзвешенной цене при раз</w:t>
      </w:r>
      <w:r w:rsidR="00633AC7" w:rsidRPr="00213A5D">
        <w:rPr>
          <w:rFonts w:eastAsia="Times New Roman"/>
          <w:color w:val="000000"/>
          <w:sz w:val="24"/>
          <w:szCs w:val="24"/>
        </w:rPr>
        <w:t xml:space="preserve">мещении на аукционах в январе – </w:t>
      </w:r>
      <w:r w:rsidRPr="00213A5D">
        <w:rPr>
          <w:rFonts w:eastAsia="Times New Roman"/>
          <w:color w:val="000000"/>
          <w:sz w:val="24"/>
          <w:szCs w:val="24"/>
        </w:rPr>
        <w:t xml:space="preserve">сентябре 2022 года </w:t>
      </w:r>
      <w:r w:rsidRPr="00213A5D">
        <w:rPr>
          <w:rFonts w:eastAsia="Times New Roman"/>
          <w:b/>
          <w:color w:val="000000"/>
          <w:sz w:val="24"/>
          <w:szCs w:val="24"/>
        </w:rPr>
        <w:t>увеличил</w:t>
      </w:r>
      <w:r w:rsidR="002247A1" w:rsidRPr="00213A5D">
        <w:rPr>
          <w:rFonts w:eastAsia="Times New Roman"/>
          <w:b/>
          <w:color w:val="000000"/>
          <w:sz w:val="24"/>
          <w:szCs w:val="24"/>
        </w:rPr>
        <w:t>а</w:t>
      </w:r>
      <w:r w:rsidRPr="00213A5D">
        <w:rPr>
          <w:rFonts w:eastAsia="Times New Roman"/>
          <w:b/>
          <w:color w:val="000000"/>
          <w:sz w:val="24"/>
          <w:szCs w:val="24"/>
        </w:rPr>
        <w:t>сь</w:t>
      </w:r>
      <w:r w:rsidRPr="00213A5D">
        <w:rPr>
          <w:rFonts w:eastAsia="Times New Roman"/>
          <w:color w:val="000000"/>
          <w:sz w:val="24"/>
          <w:szCs w:val="24"/>
        </w:rPr>
        <w:t xml:space="preserve"> по сравнению с январем – сентябрем 2021 года. </w:t>
      </w:r>
    </w:p>
    <w:p w14:paraId="7301BAA0" w14:textId="77777777" w:rsidR="002331ED" w:rsidRPr="00213A5D" w:rsidRDefault="002331ED" w:rsidP="00694C95">
      <w:pPr>
        <w:widowControl w:val="0"/>
        <w:overflowPunct/>
        <w:autoSpaceDE/>
        <w:adjustRightInd/>
        <w:spacing w:line="331" w:lineRule="auto"/>
        <w:ind w:left="0" w:right="0"/>
        <w:textAlignment w:val="auto"/>
        <w:rPr>
          <w:rFonts w:eastAsia="Times New Roman"/>
          <w:color w:val="000000"/>
          <w:sz w:val="24"/>
          <w:szCs w:val="24"/>
        </w:rPr>
      </w:pPr>
      <w:r w:rsidRPr="00213A5D">
        <w:rPr>
          <w:rFonts w:eastAsia="Times New Roman"/>
          <w:color w:val="000000"/>
          <w:sz w:val="24"/>
          <w:szCs w:val="24"/>
        </w:rPr>
        <w:t>Кроме того, Минфин России продолжил размещать государственные ценные бумаги для населения, разместив ОФЗ-н на общую сумму 4 980,4 млн. рублей по номинальной стоимости, что в 3,4 раза меньше по сравнению с январем</w:t>
      </w:r>
      <w:r w:rsidRPr="00213A5D">
        <w:rPr>
          <w:rFonts w:eastAsia="Times New Roman"/>
          <w:color w:val="000000"/>
          <w:sz w:val="24"/>
          <w:szCs w:val="24"/>
          <w:lang w:val="en-US"/>
        </w:rPr>
        <w:t> </w:t>
      </w:r>
      <w:r w:rsidRPr="00213A5D">
        <w:rPr>
          <w:rFonts w:eastAsia="Times New Roman"/>
          <w:color w:val="000000"/>
          <w:sz w:val="24"/>
          <w:szCs w:val="24"/>
        </w:rPr>
        <w:t>–</w:t>
      </w:r>
      <w:r w:rsidRPr="00213A5D">
        <w:rPr>
          <w:rFonts w:eastAsia="Times New Roman"/>
          <w:color w:val="000000"/>
          <w:sz w:val="24"/>
          <w:szCs w:val="24"/>
          <w:lang w:val="en-US"/>
        </w:rPr>
        <w:t> </w:t>
      </w:r>
      <w:r w:rsidRPr="00213A5D">
        <w:rPr>
          <w:rFonts w:eastAsia="Times New Roman"/>
          <w:color w:val="000000"/>
          <w:sz w:val="24"/>
          <w:szCs w:val="24"/>
        </w:rPr>
        <w:t>сентябрем 2021</w:t>
      </w:r>
      <w:r w:rsidRPr="00213A5D">
        <w:rPr>
          <w:rFonts w:eastAsia="Times New Roman"/>
          <w:color w:val="000000"/>
          <w:sz w:val="24"/>
          <w:szCs w:val="24"/>
          <w:lang w:val="en-US"/>
        </w:rPr>
        <w:t> </w:t>
      </w:r>
      <w:r w:rsidRPr="00213A5D">
        <w:rPr>
          <w:rFonts w:eastAsia="Times New Roman"/>
          <w:color w:val="000000"/>
          <w:sz w:val="24"/>
          <w:szCs w:val="24"/>
        </w:rPr>
        <w:t>года (16 876,5 млн. рублей).</w:t>
      </w:r>
    </w:p>
    <w:p w14:paraId="24618B21" w14:textId="77777777" w:rsidR="002331ED" w:rsidRPr="00213A5D" w:rsidRDefault="002331ED" w:rsidP="00694C95">
      <w:pPr>
        <w:widowControl w:val="0"/>
        <w:overflowPunct/>
        <w:autoSpaceDE/>
        <w:adjustRightInd/>
        <w:spacing w:line="331" w:lineRule="auto"/>
        <w:ind w:left="0" w:right="0"/>
        <w:textAlignment w:val="auto"/>
        <w:rPr>
          <w:rFonts w:eastAsia="Times New Roman"/>
          <w:color w:val="000000"/>
          <w:sz w:val="24"/>
          <w:szCs w:val="24"/>
        </w:rPr>
      </w:pPr>
      <w:r w:rsidRPr="00213A5D">
        <w:rPr>
          <w:rFonts w:eastAsia="Times New Roman"/>
          <w:color w:val="000000"/>
          <w:sz w:val="24"/>
          <w:szCs w:val="24"/>
        </w:rPr>
        <w:t xml:space="preserve">Таким образом, привлечение по государственным ценным бумагам </w:t>
      </w:r>
      <w:r w:rsidR="00633AC7" w:rsidRPr="00213A5D">
        <w:rPr>
          <w:rFonts w:eastAsia="Times New Roman"/>
          <w:color w:val="000000"/>
          <w:sz w:val="24"/>
          <w:szCs w:val="24"/>
        </w:rPr>
        <w:t xml:space="preserve">Российской Федерации в январе – </w:t>
      </w:r>
      <w:r w:rsidRPr="00213A5D">
        <w:rPr>
          <w:rFonts w:eastAsia="Times New Roman"/>
          <w:color w:val="000000"/>
          <w:sz w:val="24"/>
          <w:szCs w:val="24"/>
        </w:rPr>
        <w:t>сентябре 2022 года с учетом положений статьи 113 Бюджетного кодекса Российской Федерации составило 125 323,2 млн. рублей, что в 18,3 раза меньше привлечения в аналогичном периоде 2021 года (2 287 943,7 млн. рублей).</w:t>
      </w:r>
    </w:p>
    <w:p w14:paraId="4D234655" w14:textId="77777777" w:rsidR="002331ED" w:rsidRPr="00213A5D" w:rsidRDefault="002331ED" w:rsidP="00694C95">
      <w:pPr>
        <w:widowControl w:val="0"/>
        <w:overflowPunct/>
        <w:autoSpaceDE/>
        <w:autoSpaceDN/>
        <w:adjustRightInd/>
        <w:spacing w:line="331" w:lineRule="auto"/>
        <w:ind w:left="0" w:right="0"/>
        <w:textAlignment w:val="auto"/>
        <w:rPr>
          <w:rFonts w:eastAsia="Times New Roman"/>
          <w:color w:val="000000"/>
          <w:sz w:val="24"/>
          <w:szCs w:val="24"/>
        </w:rPr>
      </w:pPr>
      <w:r w:rsidRPr="00213A5D">
        <w:rPr>
          <w:rFonts w:eastAsia="Times New Roman"/>
          <w:bCs/>
          <w:color w:val="000000"/>
          <w:sz w:val="24"/>
          <w:szCs w:val="24"/>
        </w:rPr>
        <w:t xml:space="preserve">По данным Банка России, по состоянию на 1 октября 2022 года </w:t>
      </w:r>
      <w:r w:rsidRPr="00213A5D">
        <w:rPr>
          <w:rFonts w:eastAsia="Times New Roman"/>
          <w:b/>
          <w:color w:val="000000"/>
          <w:sz w:val="24"/>
          <w:szCs w:val="24"/>
        </w:rPr>
        <w:t>объем вложений</w:t>
      </w:r>
      <w:r w:rsidRPr="00213A5D">
        <w:rPr>
          <w:rFonts w:eastAsia="Times New Roman"/>
          <w:color w:val="000000"/>
          <w:sz w:val="24"/>
          <w:szCs w:val="24"/>
        </w:rPr>
        <w:t xml:space="preserve"> </w:t>
      </w:r>
      <w:r w:rsidRPr="00213A5D">
        <w:rPr>
          <w:rFonts w:eastAsia="Times New Roman"/>
          <w:b/>
          <w:color w:val="000000"/>
          <w:sz w:val="24"/>
          <w:szCs w:val="24"/>
        </w:rPr>
        <w:t>нерезидентов в ОФЗ уменьшился</w:t>
      </w:r>
      <w:r w:rsidRPr="00213A5D">
        <w:rPr>
          <w:rFonts w:eastAsia="Times New Roman"/>
          <w:color w:val="000000"/>
          <w:sz w:val="24"/>
          <w:szCs w:val="24"/>
        </w:rPr>
        <w:t xml:space="preserve"> за январь </w:t>
      </w:r>
      <w:r w:rsidR="00633AC7" w:rsidRPr="00213A5D">
        <w:rPr>
          <w:rFonts w:eastAsia="Times New Roman"/>
          <w:color w:val="000000"/>
          <w:sz w:val="24"/>
          <w:szCs w:val="24"/>
        </w:rPr>
        <w:t>–</w:t>
      </w:r>
      <w:r w:rsidRPr="00213A5D">
        <w:rPr>
          <w:rFonts w:eastAsia="Times New Roman"/>
          <w:color w:val="000000"/>
          <w:sz w:val="24"/>
          <w:szCs w:val="24"/>
        </w:rPr>
        <w:t xml:space="preserve"> сентябрь 2022 года на 341 млрд. рублей, или на 11,1 %, </w:t>
      </w:r>
      <w:r w:rsidRPr="00213A5D">
        <w:rPr>
          <w:rFonts w:eastAsia="Times New Roman"/>
          <w:b/>
          <w:color w:val="000000"/>
          <w:sz w:val="24"/>
          <w:szCs w:val="24"/>
        </w:rPr>
        <w:t>на фоне уменьшения</w:t>
      </w:r>
      <w:r w:rsidRPr="00213A5D">
        <w:rPr>
          <w:rFonts w:eastAsia="Times New Roman"/>
          <w:color w:val="000000"/>
          <w:sz w:val="24"/>
          <w:szCs w:val="24"/>
        </w:rPr>
        <w:t xml:space="preserve"> за указанный период </w:t>
      </w:r>
      <w:r w:rsidRPr="00213A5D">
        <w:rPr>
          <w:rFonts w:eastAsia="Times New Roman"/>
          <w:b/>
          <w:color w:val="000000"/>
          <w:sz w:val="24"/>
          <w:szCs w:val="24"/>
        </w:rPr>
        <w:t>доли нерезидентов</w:t>
      </w:r>
      <w:r w:rsidRPr="00213A5D">
        <w:rPr>
          <w:rFonts w:eastAsia="Times New Roman"/>
          <w:color w:val="000000"/>
          <w:sz w:val="24"/>
          <w:szCs w:val="24"/>
        </w:rPr>
        <w:t xml:space="preserve"> на рынке ОФЗ на 2 процентных пункта.</w:t>
      </w:r>
    </w:p>
    <w:p w14:paraId="5D4E0072" w14:textId="77777777" w:rsidR="002331ED" w:rsidRPr="00213A5D" w:rsidRDefault="002331ED" w:rsidP="00694C95">
      <w:pPr>
        <w:widowControl w:val="0"/>
        <w:overflowPunct/>
        <w:autoSpaceDE/>
        <w:autoSpaceDN/>
        <w:adjustRightInd/>
        <w:spacing w:line="331" w:lineRule="auto"/>
        <w:ind w:left="0" w:right="0"/>
        <w:textAlignment w:val="auto"/>
        <w:rPr>
          <w:rFonts w:eastAsia="Times New Roman"/>
          <w:bCs/>
          <w:color w:val="000000"/>
          <w:sz w:val="24"/>
          <w:szCs w:val="24"/>
        </w:rPr>
      </w:pPr>
      <w:r w:rsidRPr="00213A5D">
        <w:rPr>
          <w:rFonts w:eastAsia="Times New Roman"/>
          <w:bCs/>
          <w:color w:val="000000"/>
          <w:sz w:val="24"/>
          <w:szCs w:val="24"/>
        </w:rPr>
        <w:t>Информация об указанных показателях в 2020–2022 годах представлена на следующей диаграмме.</w:t>
      </w:r>
    </w:p>
    <w:p w14:paraId="1473FFE4" w14:textId="77777777" w:rsidR="002331ED" w:rsidRPr="00213A5D" w:rsidRDefault="00CD0E98" w:rsidP="00AF1852">
      <w:pPr>
        <w:widowControl w:val="0"/>
        <w:overflowPunct/>
        <w:autoSpaceDE/>
        <w:autoSpaceDN/>
        <w:adjustRightInd/>
        <w:ind w:left="0" w:right="0" w:firstLine="0"/>
        <w:textAlignment w:val="auto"/>
        <w:rPr>
          <w:sz w:val="12"/>
          <w:szCs w:val="12"/>
          <w:lang w:val="en-US"/>
        </w:rPr>
      </w:pPr>
      <w:r w:rsidRPr="00213A5D">
        <w:rPr>
          <w:noProof/>
          <w:color w:val="000000"/>
        </w:rPr>
        <w:object w:dxaOrig="9639" w:dyaOrig="1911" w14:anchorId="3C931E0B">
          <v:shape id="Диаграмма 5" o:spid="_x0000_i1031" type="#_x0000_t75" alt="" style="width:482.95pt;height:95.75pt;visibility:visible;mso-width-percent:0;mso-height-percent:0;mso-width-percent:0;mso-height-percent:0" o:ole="">
            <v:imagedata r:id="rId78" o:title=""/>
            <o:lock v:ext="edit" aspectratio="f"/>
          </v:shape>
          <o:OLEObject Type="Embed" ProgID="Excel.Sheet.8" ShapeID="Диаграмма 5" DrawAspect="Content" ObjectID="_1731305717" r:id="rId79">
            <o:FieldCodes>\s</o:FieldCodes>
          </o:OLEObject>
        </w:object>
      </w:r>
    </w:p>
    <w:p w14:paraId="412C8593" w14:textId="77777777" w:rsidR="002331ED" w:rsidRPr="00213A5D" w:rsidRDefault="002331ED" w:rsidP="0034628D">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Cs/>
          <w:color w:val="000000"/>
          <w:sz w:val="24"/>
          <w:szCs w:val="24"/>
        </w:rPr>
        <w:t xml:space="preserve">Таким образом, доля нерезидентов на рынке облигаций федеральных займов </w:t>
      </w:r>
      <w:r w:rsidRPr="00213A5D">
        <w:rPr>
          <w:rFonts w:eastAsia="Times New Roman"/>
          <w:b/>
          <w:bCs/>
          <w:color w:val="000000"/>
          <w:sz w:val="24"/>
          <w:szCs w:val="24"/>
        </w:rPr>
        <w:t>остается на достаточно высоком уровне.</w:t>
      </w:r>
    </w:p>
    <w:p w14:paraId="640D37A2" w14:textId="77777777" w:rsidR="002331ED" w:rsidRPr="00213A5D" w:rsidRDefault="002331ED" w:rsidP="0034628D">
      <w:pPr>
        <w:widowControl w:val="0"/>
        <w:overflowPunct/>
        <w:autoSpaceDE/>
        <w:autoSpaceDN/>
        <w:adjustRightInd/>
        <w:ind w:left="0" w:right="0"/>
        <w:textAlignment w:val="auto"/>
        <w:rPr>
          <w:rFonts w:eastAsia="Times New Roman"/>
          <w:color w:val="000000"/>
          <w:sz w:val="24"/>
          <w:szCs w:val="24"/>
        </w:rPr>
      </w:pPr>
      <w:r w:rsidRPr="00213A5D">
        <w:rPr>
          <w:rFonts w:eastAsia="Times New Roman"/>
          <w:b/>
          <w:bCs/>
          <w:color w:val="000000"/>
          <w:sz w:val="24"/>
          <w:szCs w:val="24"/>
        </w:rPr>
        <w:t>11.3. </w:t>
      </w:r>
      <w:r w:rsidRPr="00213A5D">
        <w:rPr>
          <w:rFonts w:eastAsia="Times New Roman"/>
          <w:color w:val="000000"/>
          <w:sz w:val="24"/>
          <w:szCs w:val="24"/>
        </w:rPr>
        <w:t xml:space="preserve">В отчетном периоде 2022 года на </w:t>
      </w:r>
      <w:r w:rsidRPr="00213A5D">
        <w:rPr>
          <w:rFonts w:eastAsia="Times New Roman"/>
          <w:b/>
          <w:color w:val="000000"/>
          <w:sz w:val="24"/>
          <w:szCs w:val="24"/>
        </w:rPr>
        <w:t>приобретение иностранной валюты</w:t>
      </w:r>
      <w:r w:rsidRPr="00213A5D">
        <w:rPr>
          <w:rFonts w:eastAsia="Times New Roman"/>
          <w:color w:val="000000"/>
          <w:sz w:val="24"/>
          <w:szCs w:val="24"/>
        </w:rPr>
        <w:t xml:space="preserve"> за счет </w:t>
      </w:r>
      <w:r w:rsidRPr="00213A5D">
        <w:rPr>
          <w:rFonts w:eastAsia="Times New Roman"/>
          <w:color w:val="000000"/>
          <w:sz w:val="24"/>
          <w:szCs w:val="24"/>
        </w:rPr>
        <w:lastRenderedPageBreak/>
        <w:t>дополнительных нефтегазовых доходов направлено 1 334 689,1 млн. рублей, из них за счет дополнительных нефтегазовых доходов федерального</w:t>
      </w:r>
      <w:r w:rsidR="006E5DB7" w:rsidRPr="00213A5D">
        <w:rPr>
          <w:rFonts w:eastAsia="Times New Roman"/>
          <w:color w:val="000000"/>
          <w:sz w:val="24"/>
          <w:szCs w:val="24"/>
        </w:rPr>
        <w:t xml:space="preserve"> бюджета</w:t>
      </w:r>
      <w:r w:rsidRPr="00213A5D">
        <w:rPr>
          <w:rFonts w:eastAsia="Times New Roman"/>
          <w:color w:val="000000"/>
          <w:sz w:val="24"/>
          <w:szCs w:val="24"/>
        </w:rPr>
        <w:t xml:space="preserve"> </w:t>
      </w:r>
      <w:r w:rsidRPr="00213A5D">
        <w:rPr>
          <w:rFonts w:eastAsia="Times New Roman"/>
          <w:b/>
          <w:color w:val="000000"/>
          <w:sz w:val="24"/>
          <w:szCs w:val="24"/>
        </w:rPr>
        <w:t>2022 года</w:t>
      </w:r>
      <w:r w:rsidRPr="00213A5D">
        <w:rPr>
          <w:rFonts w:eastAsia="Times New Roman"/>
          <w:color w:val="000000"/>
          <w:sz w:val="24"/>
          <w:szCs w:val="24"/>
        </w:rPr>
        <w:t xml:space="preserve"> </w:t>
      </w:r>
      <w:r w:rsidRPr="00213A5D">
        <w:rPr>
          <w:rFonts w:eastAsia="Times New Roman"/>
          <w:b/>
          <w:color w:val="000000"/>
          <w:sz w:val="24"/>
          <w:szCs w:val="24"/>
        </w:rPr>
        <w:t>1 127 885,8 млн. рублей</w:t>
      </w:r>
      <w:r w:rsidRPr="00213A5D">
        <w:rPr>
          <w:rFonts w:eastAsia="Times New Roman"/>
          <w:color w:val="000000"/>
          <w:sz w:val="24"/>
          <w:szCs w:val="24"/>
        </w:rPr>
        <w:t>, и приобретено 5 956,3 млн. евро, 622,4 млн. фунтов стерлингов Соединенного Королевства, 96</w:t>
      </w:r>
      <w:r w:rsidRPr="00213A5D">
        <w:rPr>
          <w:rFonts w:eastAsia="Times New Roman"/>
          <w:color w:val="000000"/>
          <w:sz w:val="24"/>
          <w:szCs w:val="24"/>
          <w:lang w:val="en-US"/>
        </w:rPr>
        <w:t> </w:t>
      </w:r>
      <w:r w:rsidRPr="00213A5D">
        <w:rPr>
          <w:rFonts w:eastAsia="Times New Roman"/>
          <w:color w:val="000000"/>
          <w:sz w:val="24"/>
          <w:szCs w:val="24"/>
        </w:rPr>
        <w:t xml:space="preserve">828,0 млн. японских </w:t>
      </w:r>
      <w:r w:rsidR="006E5DB7" w:rsidRPr="00213A5D">
        <w:rPr>
          <w:rFonts w:eastAsia="Times New Roman"/>
          <w:color w:val="000000"/>
          <w:sz w:val="24"/>
          <w:szCs w:val="24"/>
        </w:rPr>
        <w:t>и</w:t>
      </w:r>
      <w:r w:rsidRPr="00213A5D">
        <w:rPr>
          <w:rFonts w:eastAsia="Times New Roman"/>
          <w:color w:val="000000"/>
          <w:sz w:val="24"/>
          <w:szCs w:val="24"/>
        </w:rPr>
        <w:t>ен, 32 075,9 млн. китайских юаней, 56 857,17 кг золота.</w:t>
      </w:r>
    </w:p>
    <w:p w14:paraId="6A1C3CE2" w14:textId="77777777" w:rsidR="002331ED" w:rsidRPr="00213A5D" w:rsidRDefault="002331ED" w:rsidP="0034628D">
      <w:pPr>
        <w:widowControl w:val="0"/>
        <w:overflowPunct/>
        <w:autoSpaceDE/>
        <w:adjustRightInd/>
        <w:ind w:left="0" w:right="0"/>
        <w:textAlignment w:val="auto"/>
        <w:rPr>
          <w:rFonts w:eastAsia="Times New Roman"/>
          <w:color w:val="000000"/>
          <w:sz w:val="24"/>
          <w:szCs w:val="24"/>
        </w:rPr>
      </w:pPr>
      <w:r w:rsidRPr="00213A5D">
        <w:rPr>
          <w:rFonts w:eastAsia="Times New Roman"/>
          <w:color w:val="000000"/>
          <w:sz w:val="24"/>
          <w:szCs w:val="24"/>
        </w:rPr>
        <w:t>Согласно пункту 3 части 5 статьи 10 Федерального закона от 29 ноября 2021 г.</w:t>
      </w:r>
      <w:r w:rsidRPr="00213A5D">
        <w:rPr>
          <w:rFonts w:eastAsia="Times New Roman"/>
          <w:color w:val="000000"/>
          <w:sz w:val="24"/>
          <w:szCs w:val="24"/>
        </w:rPr>
        <w:br/>
        <w:t xml:space="preserve">№ 384-ФЗ </w:t>
      </w:r>
      <w:r w:rsidRPr="00213A5D">
        <w:rPr>
          <w:rFonts w:eastAsia="Times New Roman"/>
          <w:b/>
          <w:color w:val="000000"/>
          <w:sz w:val="24"/>
          <w:szCs w:val="24"/>
        </w:rPr>
        <w:t>Правительство</w:t>
      </w:r>
      <w:r w:rsidRPr="00213A5D">
        <w:rPr>
          <w:rFonts w:eastAsia="Times New Roman"/>
          <w:color w:val="000000"/>
          <w:sz w:val="24"/>
          <w:szCs w:val="24"/>
        </w:rPr>
        <w:t xml:space="preserve"> Российской Федерации </w:t>
      </w:r>
      <w:r w:rsidRPr="00213A5D">
        <w:rPr>
          <w:rFonts w:eastAsia="Times New Roman"/>
          <w:b/>
          <w:color w:val="000000"/>
          <w:sz w:val="24"/>
          <w:szCs w:val="24"/>
        </w:rPr>
        <w:t>вправе</w:t>
      </w:r>
      <w:r w:rsidRPr="00213A5D">
        <w:rPr>
          <w:rFonts w:eastAsia="Times New Roman"/>
          <w:color w:val="000000"/>
          <w:sz w:val="24"/>
          <w:szCs w:val="24"/>
        </w:rPr>
        <w:t xml:space="preserve"> в 2022 году без внесения изменений в федеральный закон о федеральном бюджете на текущий финансовый </w:t>
      </w:r>
      <w:r w:rsidR="0034628D" w:rsidRPr="00213A5D">
        <w:rPr>
          <w:rFonts w:eastAsia="Times New Roman"/>
          <w:color w:val="000000"/>
          <w:sz w:val="24"/>
          <w:szCs w:val="24"/>
        </w:rPr>
        <w:br/>
      </w:r>
      <w:r w:rsidRPr="00213A5D">
        <w:rPr>
          <w:rFonts w:eastAsia="Times New Roman"/>
          <w:color w:val="000000"/>
          <w:sz w:val="24"/>
          <w:szCs w:val="24"/>
        </w:rPr>
        <w:t xml:space="preserve">год и плановый период </w:t>
      </w:r>
      <w:r w:rsidRPr="00213A5D">
        <w:rPr>
          <w:rFonts w:eastAsia="Times New Roman"/>
          <w:b/>
          <w:color w:val="000000"/>
          <w:sz w:val="24"/>
          <w:szCs w:val="24"/>
        </w:rPr>
        <w:t xml:space="preserve">направить дополнительные нефтегазовые доходы </w:t>
      </w:r>
      <w:r w:rsidR="0034628D" w:rsidRPr="00213A5D">
        <w:rPr>
          <w:rFonts w:eastAsia="Times New Roman"/>
          <w:b/>
          <w:color w:val="000000"/>
          <w:sz w:val="24"/>
          <w:szCs w:val="24"/>
        </w:rPr>
        <w:br/>
      </w:r>
      <w:r w:rsidRPr="00213A5D">
        <w:rPr>
          <w:rFonts w:eastAsia="Times New Roman"/>
          <w:color w:val="000000"/>
          <w:sz w:val="24"/>
          <w:szCs w:val="24"/>
        </w:rPr>
        <w:t xml:space="preserve">на замещение государственных заимствований, погашение государственного долга и исполнение публичных нормативных обязательств Российской Федерации </w:t>
      </w:r>
      <w:r w:rsidR="0034628D" w:rsidRPr="00213A5D">
        <w:rPr>
          <w:rFonts w:eastAsia="Times New Roman"/>
          <w:color w:val="000000"/>
          <w:sz w:val="24"/>
          <w:szCs w:val="24"/>
        </w:rPr>
        <w:br/>
      </w:r>
      <w:r w:rsidRPr="00213A5D">
        <w:rPr>
          <w:rFonts w:eastAsia="Times New Roman"/>
          <w:color w:val="000000"/>
          <w:sz w:val="24"/>
          <w:szCs w:val="24"/>
        </w:rPr>
        <w:t xml:space="preserve">в случае недостаточности предусмотренных на их исполнение бюджетных ассигнований, а также </w:t>
      </w:r>
      <w:r w:rsidRPr="00213A5D">
        <w:rPr>
          <w:rFonts w:eastAsia="Times New Roman"/>
          <w:b/>
          <w:color w:val="000000"/>
          <w:sz w:val="24"/>
          <w:szCs w:val="24"/>
        </w:rPr>
        <w:t>на иные цели, определенные Правительством</w:t>
      </w:r>
      <w:r w:rsidRPr="00213A5D">
        <w:rPr>
          <w:rFonts w:eastAsia="Times New Roman"/>
          <w:color w:val="000000"/>
          <w:sz w:val="24"/>
          <w:szCs w:val="24"/>
        </w:rPr>
        <w:t xml:space="preserve"> Российской Федерации. Соответствующие изменения также внесены в Правила проведения расчетов и </w:t>
      </w:r>
      <w:r w:rsidR="0034628D" w:rsidRPr="00213A5D">
        <w:rPr>
          <w:rFonts w:eastAsia="Times New Roman"/>
          <w:color w:val="000000"/>
          <w:sz w:val="24"/>
          <w:szCs w:val="24"/>
        </w:rPr>
        <w:br/>
      </w:r>
      <w:r w:rsidRPr="00213A5D">
        <w:rPr>
          <w:rFonts w:eastAsia="Times New Roman"/>
          <w:color w:val="000000"/>
          <w:sz w:val="24"/>
          <w:szCs w:val="24"/>
        </w:rPr>
        <w:t xml:space="preserve">перечисления средств в связи с формированием и использованием дополнительных нефтегазовых доходов федерального бюджета, средств Фонда национального благосостояния, утвержденные постановлением Правительства Российской Федерации </w:t>
      </w:r>
      <w:r w:rsidR="0034628D" w:rsidRPr="00213A5D">
        <w:rPr>
          <w:rFonts w:eastAsia="Times New Roman"/>
          <w:color w:val="000000"/>
          <w:sz w:val="24"/>
          <w:szCs w:val="24"/>
        </w:rPr>
        <w:br/>
      </w:r>
      <w:r w:rsidRPr="00213A5D">
        <w:rPr>
          <w:rFonts w:eastAsia="Times New Roman"/>
          <w:color w:val="000000"/>
          <w:sz w:val="24"/>
          <w:szCs w:val="24"/>
        </w:rPr>
        <w:t>от 14 августа 2013 г. № 699.</w:t>
      </w:r>
    </w:p>
    <w:p w14:paraId="58588DAE" w14:textId="77777777" w:rsidR="002331ED" w:rsidRPr="00213A5D" w:rsidRDefault="002331ED" w:rsidP="0034628D">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
          <w:bCs/>
          <w:color w:val="000000"/>
          <w:sz w:val="24"/>
          <w:szCs w:val="24"/>
        </w:rPr>
        <w:t>Приобретенная за счет дополнительных нефтегазовых доходов 2022 года иностранная валюта реализована в июле 2022 года в объеме</w:t>
      </w:r>
      <w:r w:rsidRPr="00213A5D">
        <w:rPr>
          <w:rFonts w:eastAsia="Times New Roman"/>
          <w:bCs/>
          <w:color w:val="000000"/>
          <w:sz w:val="24"/>
          <w:szCs w:val="24"/>
        </w:rPr>
        <w:t xml:space="preserve"> 4 993,2 млн. евро, 521,9 млн. фунтов стерлингов, 81 141,9 млн. японских иен, 26 865,6 млн. китайских юаней и 47</w:t>
      </w:r>
      <w:r w:rsidRPr="00213A5D">
        <w:rPr>
          <w:rFonts w:eastAsia="Times New Roman"/>
          <w:bCs/>
          <w:color w:val="000000"/>
          <w:sz w:val="24"/>
          <w:szCs w:val="24"/>
          <w:lang w:val="en-US"/>
        </w:rPr>
        <w:t> </w:t>
      </w:r>
      <w:r w:rsidRPr="00213A5D">
        <w:rPr>
          <w:rFonts w:eastAsia="Times New Roman"/>
          <w:bCs/>
          <w:color w:val="000000"/>
          <w:sz w:val="24"/>
          <w:szCs w:val="24"/>
        </w:rPr>
        <w:t>486,04</w:t>
      </w:r>
      <w:r w:rsidRPr="00213A5D">
        <w:rPr>
          <w:rFonts w:eastAsia="Times New Roman"/>
          <w:bCs/>
          <w:color w:val="000000"/>
          <w:sz w:val="24"/>
          <w:szCs w:val="24"/>
          <w:lang w:val="en-US"/>
        </w:rPr>
        <w:t> </w:t>
      </w:r>
      <w:r w:rsidRPr="00213A5D">
        <w:rPr>
          <w:rFonts w:eastAsia="Times New Roman"/>
          <w:bCs/>
          <w:color w:val="000000"/>
          <w:sz w:val="24"/>
          <w:szCs w:val="24"/>
        </w:rPr>
        <w:t xml:space="preserve">кг золота в обезличенной форме в общем </w:t>
      </w:r>
      <w:r w:rsidRPr="00213A5D">
        <w:rPr>
          <w:rFonts w:eastAsia="Times New Roman"/>
          <w:b/>
          <w:bCs/>
          <w:color w:val="000000"/>
          <w:sz w:val="24"/>
          <w:szCs w:val="24"/>
        </w:rPr>
        <w:t>объеме 810 514,2 млн. рублей.</w:t>
      </w:r>
      <w:r w:rsidRPr="00213A5D">
        <w:rPr>
          <w:rFonts w:eastAsia="Times New Roman"/>
          <w:bCs/>
          <w:color w:val="000000"/>
          <w:sz w:val="24"/>
          <w:szCs w:val="24"/>
        </w:rPr>
        <w:t xml:space="preserve"> Так, </w:t>
      </w:r>
      <w:r w:rsidRPr="00213A5D">
        <w:rPr>
          <w:rFonts w:eastAsia="Times New Roman"/>
          <w:b/>
          <w:bCs/>
          <w:color w:val="000000"/>
          <w:sz w:val="24"/>
          <w:szCs w:val="24"/>
        </w:rPr>
        <w:t>отрицательная курсовая разница</w:t>
      </w:r>
      <w:r w:rsidRPr="00213A5D">
        <w:rPr>
          <w:rFonts w:eastAsia="Times New Roman"/>
          <w:bCs/>
          <w:color w:val="000000"/>
          <w:sz w:val="24"/>
          <w:szCs w:val="24"/>
        </w:rPr>
        <w:t xml:space="preserve"> составила </w:t>
      </w:r>
      <w:r w:rsidRPr="00213A5D">
        <w:rPr>
          <w:rFonts w:eastAsia="Times New Roman"/>
          <w:b/>
          <w:bCs/>
          <w:color w:val="000000"/>
          <w:sz w:val="24"/>
          <w:szCs w:val="24"/>
        </w:rPr>
        <w:t>317 371,6 млрд. рублей, или 28,1 %</w:t>
      </w:r>
      <w:r w:rsidRPr="00213A5D">
        <w:rPr>
          <w:rFonts w:eastAsia="Times New Roman"/>
          <w:bCs/>
          <w:color w:val="000000"/>
          <w:sz w:val="24"/>
          <w:szCs w:val="24"/>
        </w:rPr>
        <w:t>.</w:t>
      </w:r>
    </w:p>
    <w:p w14:paraId="58403569" w14:textId="77777777" w:rsidR="002331ED" w:rsidRPr="00213A5D" w:rsidRDefault="002331ED" w:rsidP="0034628D">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Cs/>
          <w:color w:val="000000"/>
          <w:sz w:val="24"/>
          <w:szCs w:val="24"/>
        </w:rPr>
        <w:t xml:space="preserve">Средства от реализации указанной иностранной валюты, как и другие дополнительные нефтегазовые доходы 2022 года, </w:t>
      </w:r>
      <w:r w:rsidRPr="00213A5D">
        <w:rPr>
          <w:rFonts w:eastAsia="Times New Roman"/>
          <w:b/>
          <w:bCs/>
          <w:color w:val="000000"/>
          <w:sz w:val="24"/>
          <w:szCs w:val="24"/>
        </w:rPr>
        <w:t>направлены на увеличение резервного фонда Правительства Российской Федерации</w:t>
      </w:r>
      <w:r w:rsidRPr="00213A5D">
        <w:rPr>
          <w:rFonts w:eastAsia="Times New Roman"/>
          <w:bCs/>
          <w:color w:val="000000"/>
          <w:sz w:val="24"/>
          <w:szCs w:val="24"/>
        </w:rPr>
        <w:t>.</w:t>
      </w:r>
    </w:p>
    <w:p w14:paraId="324DD7E2" w14:textId="77777777" w:rsidR="002331ED" w:rsidRPr="00213A5D" w:rsidRDefault="002331ED" w:rsidP="0034628D">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Cs/>
          <w:color w:val="000000"/>
          <w:sz w:val="24"/>
          <w:szCs w:val="24"/>
        </w:rPr>
        <w:t xml:space="preserve">В результате проведенных операций по состоянию на 1 октября 2022 года на счетах по учету средств федерального бюджета для зачисления дополнительных нефтегазовых доходов в иностранной валюте и золоте в обезличенной форме </w:t>
      </w:r>
      <w:r w:rsidRPr="00213A5D">
        <w:rPr>
          <w:rFonts w:eastAsia="Times New Roman"/>
          <w:b/>
          <w:bCs/>
          <w:color w:val="000000"/>
          <w:sz w:val="24"/>
          <w:szCs w:val="24"/>
        </w:rPr>
        <w:t>образовались нулевые остатки</w:t>
      </w:r>
      <w:r w:rsidRPr="00213A5D">
        <w:rPr>
          <w:rFonts w:eastAsia="Times New Roman"/>
          <w:bCs/>
          <w:color w:val="000000"/>
          <w:sz w:val="24"/>
          <w:szCs w:val="24"/>
        </w:rPr>
        <w:t>.</w:t>
      </w:r>
    </w:p>
    <w:p w14:paraId="6F5FD1AA" w14:textId="77777777" w:rsidR="002331ED" w:rsidRPr="00213A5D" w:rsidRDefault="002331ED" w:rsidP="0034628D">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
          <w:bCs/>
          <w:color w:val="000000"/>
          <w:sz w:val="24"/>
          <w:szCs w:val="24"/>
        </w:rPr>
        <w:t>11.4. </w:t>
      </w:r>
      <w:r w:rsidRPr="00213A5D">
        <w:rPr>
          <w:rFonts w:eastAsia="Times New Roman"/>
          <w:bCs/>
          <w:color w:val="000000"/>
          <w:sz w:val="24"/>
          <w:szCs w:val="24"/>
        </w:rPr>
        <w:t>Информация об объемах исполнения показателя «Средства от продажи акций и иных форм участия в капитале, находящихся в федеральной собственности» в январе</w:t>
      </w:r>
      <w:r w:rsidR="006E5DB7" w:rsidRPr="00213A5D">
        <w:rPr>
          <w:rFonts w:eastAsia="Times New Roman"/>
          <w:bCs/>
          <w:color w:val="000000"/>
          <w:sz w:val="24"/>
          <w:szCs w:val="24"/>
        </w:rPr>
        <w:t xml:space="preserve"> – </w:t>
      </w:r>
      <w:r w:rsidRPr="00213A5D">
        <w:rPr>
          <w:rFonts w:eastAsia="Times New Roman"/>
          <w:bCs/>
          <w:color w:val="000000"/>
          <w:sz w:val="24"/>
          <w:szCs w:val="24"/>
        </w:rPr>
        <w:t>сентябре 2020–2022 годов представлена на следующей диаграмме.</w:t>
      </w:r>
    </w:p>
    <w:p w14:paraId="49FB5B6C" w14:textId="77777777" w:rsidR="002331ED" w:rsidRPr="00213A5D" w:rsidRDefault="00CD0E98" w:rsidP="00AF1852">
      <w:pPr>
        <w:widowControl w:val="0"/>
        <w:overflowPunct/>
        <w:autoSpaceDE/>
        <w:autoSpaceDN/>
        <w:adjustRightInd/>
        <w:ind w:left="0" w:right="0" w:firstLine="0"/>
        <w:textAlignment w:val="auto"/>
        <w:rPr>
          <w:rFonts w:eastAsia="Times New Roman"/>
          <w:bCs/>
          <w:color w:val="000000"/>
          <w:sz w:val="12"/>
          <w:szCs w:val="12"/>
          <w:lang w:val="en-US"/>
        </w:rPr>
      </w:pPr>
      <w:r w:rsidRPr="00213A5D">
        <w:rPr>
          <w:noProof/>
          <w:color w:val="000000"/>
        </w:rPr>
        <w:object w:dxaOrig="9639" w:dyaOrig="2611" w14:anchorId="24C8765B">
          <v:shape id="Диаграмма 22" o:spid="_x0000_i1030" type="#_x0000_t75" alt="" style="width:482.95pt;height:131.1pt;visibility:visible;mso-width-percent:0;mso-height-percent:0;mso-width-percent:0;mso-height-percent:0" o:ole="">
            <v:imagedata r:id="rId80" o:title="" cropbottom="-125f"/>
            <o:lock v:ext="edit" aspectratio="f"/>
          </v:shape>
          <o:OLEObject Type="Embed" ProgID="Excel.Sheet.8" ShapeID="Диаграмма 22" DrawAspect="Content" ObjectID="_1731305718" r:id="rId81">
            <o:FieldCodes>\s</o:FieldCodes>
          </o:OLEObject>
        </w:object>
      </w:r>
    </w:p>
    <w:p w14:paraId="4AEF1108" w14:textId="77777777" w:rsidR="002331ED" w:rsidRPr="00213A5D" w:rsidRDefault="002331ED" w:rsidP="00AF1852">
      <w:pPr>
        <w:widowControl w:val="0"/>
        <w:overflowPunct/>
        <w:autoSpaceDE/>
        <w:autoSpaceDN/>
        <w:adjustRightInd/>
        <w:spacing w:line="348" w:lineRule="auto"/>
        <w:ind w:left="0" w:right="0"/>
        <w:textAlignment w:val="auto"/>
        <w:rPr>
          <w:rFonts w:eastAsia="Times New Roman"/>
          <w:bCs/>
          <w:color w:val="000000"/>
          <w:sz w:val="24"/>
          <w:szCs w:val="24"/>
        </w:rPr>
      </w:pPr>
      <w:r w:rsidRPr="00213A5D">
        <w:rPr>
          <w:rFonts w:eastAsia="Times New Roman"/>
          <w:bCs/>
          <w:color w:val="000000"/>
          <w:sz w:val="24"/>
          <w:szCs w:val="24"/>
        </w:rPr>
        <w:t>Ис</w:t>
      </w:r>
      <w:r w:rsidR="006E5DB7" w:rsidRPr="00213A5D">
        <w:rPr>
          <w:rFonts w:eastAsia="Times New Roman"/>
          <w:bCs/>
          <w:color w:val="000000"/>
          <w:sz w:val="24"/>
          <w:szCs w:val="24"/>
        </w:rPr>
        <w:t xml:space="preserve">полнение показателя за январь – </w:t>
      </w:r>
      <w:r w:rsidRPr="00213A5D">
        <w:rPr>
          <w:rFonts w:eastAsia="Times New Roman"/>
          <w:bCs/>
          <w:color w:val="000000"/>
          <w:sz w:val="24"/>
          <w:szCs w:val="24"/>
        </w:rPr>
        <w:t xml:space="preserve">сентябрь 2022 года </w:t>
      </w:r>
      <w:r w:rsidRPr="00213A5D">
        <w:rPr>
          <w:rFonts w:eastAsia="Times New Roman"/>
          <w:b/>
          <w:bCs/>
          <w:color w:val="000000"/>
          <w:sz w:val="24"/>
          <w:szCs w:val="24"/>
        </w:rPr>
        <w:t xml:space="preserve">в 1,9 раза </w:t>
      </w:r>
      <w:r w:rsidRPr="00213A5D">
        <w:rPr>
          <w:rFonts w:eastAsia="Times New Roman"/>
          <w:bCs/>
          <w:color w:val="000000"/>
          <w:sz w:val="24"/>
          <w:szCs w:val="24"/>
        </w:rPr>
        <w:t xml:space="preserve">превысило плановые значения на 2022 год и показатель исполнения в аналогичном периоде </w:t>
      </w:r>
      <w:r w:rsidRPr="00213A5D">
        <w:rPr>
          <w:rFonts w:eastAsia="Times New Roman"/>
          <w:b/>
          <w:bCs/>
          <w:color w:val="000000"/>
          <w:sz w:val="24"/>
          <w:szCs w:val="24"/>
        </w:rPr>
        <w:t>2021 года</w:t>
      </w:r>
      <w:r w:rsidRPr="00213A5D">
        <w:rPr>
          <w:rFonts w:eastAsia="Times New Roman"/>
          <w:bCs/>
          <w:color w:val="000000"/>
          <w:sz w:val="24"/>
          <w:szCs w:val="24"/>
        </w:rPr>
        <w:t xml:space="preserve">. </w:t>
      </w:r>
    </w:p>
    <w:p w14:paraId="506D2EBB" w14:textId="77777777" w:rsidR="002331ED" w:rsidRPr="00213A5D" w:rsidRDefault="002331ED" w:rsidP="00AF1852">
      <w:pPr>
        <w:widowControl w:val="0"/>
        <w:spacing w:line="348" w:lineRule="auto"/>
        <w:ind w:left="0" w:right="0"/>
        <w:textAlignment w:val="auto"/>
        <w:rPr>
          <w:b/>
          <w:color w:val="000000"/>
          <w:sz w:val="24"/>
          <w:szCs w:val="24"/>
        </w:rPr>
      </w:pPr>
      <w:r w:rsidRPr="00213A5D">
        <w:rPr>
          <w:b/>
          <w:color w:val="000000"/>
          <w:sz w:val="24"/>
          <w:szCs w:val="24"/>
        </w:rPr>
        <w:t>Перевыполнение</w:t>
      </w:r>
      <w:r w:rsidRPr="00213A5D">
        <w:rPr>
          <w:color w:val="000000"/>
          <w:sz w:val="24"/>
          <w:szCs w:val="24"/>
        </w:rPr>
        <w:t xml:space="preserve"> прогнозных показателей </w:t>
      </w:r>
      <w:r w:rsidRPr="00213A5D">
        <w:rPr>
          <w:b/>
          <w:color w:val="000000"/>
          <w:sz w:val="24"/>
          <w:szCs w:val="24"/>
        </w:rPr>
        <w:t>обусловлено:</w:t>
      </w:r>
    </w:p>
    <w:p w14:paraId="07A69913" w14:textId="77777777" w:rsidR="002331ED" w:rsidRPr="00213A5D" w:rsidRDefault="002331ED" w:rsidP="00B842E1">
      <w:pPr>
        <w:widowControl w:val="0"/>
        <w:numPr>
          <w:ilvl w:val="0"/>
          <w:numId w:val="8"/>
        </w:numPr>
        <w:tabs>
          <w:tab w:val="left" w:pos="1134"/>
        </w:tabs>
        <w:overflowPunct/>
        <w:autoSpaceDE/>
        <w:autoSpaceDN/>
        <w:adjustRightInd/>
        <w:spacing w:line="348" w:lineRule="auto"/>
        <w:ind w:left="0" w:right="0" w:firstLine="851"/>
        <w:contextualSpacing/>
        <w:textAlignment w:val="auto"/>
        <w:rPr>
          <w:color w:val="000000"/>
          <w:sz w:val="24"/>
          <w:szCs w:val="24"/>
        </w:rPr>
      </w:pPr>
      <w:r w:rsidRPr="00213A5D">
        <w:rPr>
          <w:b/>
          <w:color w:val="000000"/>
          <w:sz w:val="24"/>
          <w:szCs w:val="24"/>
        </w:rPr>
        <w:t>поступлением</w:t>
      </w:r>
      <w:r w:rsidRPr="00213A5D">
        <w:rPr>
          <w:color w:val="000000"/>
          <w:sz w:val="24"/>
          <w:szCs w:val="24"/>
        </w:rPr>
        <w:t xml:space="preserve"> в 2022 году средств </w:t>
      </w:r>
      <w:r w:rsidRPr="00213A5D">
        <w:rPr>
          <w:b/>
          <w:color w:val="000000"/>
          <w:sz w:val="24"/>
          <w:szCs w:val="24"/>
        </w:rPr>
        <w:t>от сделок, реализованных в конце 2021 года</w:t>
      </w:r>
      <w:r w:rsidRPr="00213A5D">
        <w:rPr>
          <w:color w:val="000000"/>
          <w:sz w:val="24"/>
          <w:szCs w:val="24"/>
        </w:rPr>
        <w:t xml:space="preserve"> на общую сумму 2 023,9 млн. рублей, в том числе от продажи пакетов акций ОАО</w:t>
      </w:r>
      <w:r w:rsidRPr="00213A5D">
        <w:rPr>
          <w:color w:val="000000"/>
          <w:sz w:val="24"/>
          <w:szCs w:val="24"/>
          <w:lang w:val="en-US"/>
        </w:rPr>
        <w:t> </w:t>
      </w:r>
      <w:r w:rsidRPr="00213A5D">
        <w:rPr>
          <w:color w:val="000000"/>
          <w:sz w:val="24"/>
          <w:szCs w:val="24"/>
        </w:rPr>
        <w:t>«Вичугская городская электросеть», АО «Иркутский «Дом печати», АО «Издательство «Финансы и статистика», АО «Научноисследовательский институт спортивно-технических изделий», АО Проектно-изыскательский и научно-исследовательский институт воздушного транспорта «Ленаэропроект»;</w:t>
      </w:r>
    </w:p>
    <w:p w14:paraId="1D4B18EA" w14:textId="77777777" w:rsidR="002331ED" w:rsidRPr="00213A5D" w:rsidRDefault="002331ED" w:rsidP="00B842E1">
      <w:pPr>
        <w:widowControl w:val="0"/>
        <w:numPr>
          <w:ilvl w:val="0"/>
          <w:numId w:val="8"/>
        </w:numPr>
        <w:tabs>
          <w:tab w:val="left" w:pos="1134"/>
        </w:tabs>
        <w:overflowPunct/>
        <w:autoSpaceDE/>
        <w:autoSpaceDN/>
        <w:adjustRightInd/>
        <w:spacing w:line="348" w:lineRule="auto"/>
        <w:ind w:left="0" w:right="0" w:firstLine="851"/>
        <w:contextualSpacing/>
        <w:textAlignment w:val="auto"/>
        <w:rPr>
          <w:color w:val="000000"/>
          <w:sz w:val="24"/>
          <w:szCs w:val="24"/>
        </w:rPr>
      </w:pPr>
      <w:r w:rsidRPr="00213A5D">
        <w:rPr>
          <w:color w:val="000000"/>
          <w:sz w:val="24"/>
          <w:szCs w:val="24"/>
        </w:rPr>
        <w:t xml:space="preserve">поступлением </w:t>
      </w:r>
      <w:r w:rsidRPr="00213A5D">
        <w:rPr>
          <w:b/>
          <w:color w:val="000000"/>
          <w:sz w:val="24"/>
          <w:szCs w:val="24"/>
        </w:rPr>
        <w:t>не учтенных в прогнозе</w:t>
      </w:r>
      <w:r w:rsidRPr="00213A5D">
        <w:rPr>
          <w:color w:val="000000"/>
          <w:sz w:val="24"/>
          <w:szCs w:val="24"/>
        </w:rPr>
        <w:t xml:space="preserve"> средств от продажи пакета акций АО</w:t>
      </w:r>
      <w:r w:rsidRPr="00213A5D">
        <w:rPr>
          <w:color w:val="000000"/>
          <w:sz w:val="24"/>
          <w:szCs w:val="24"/>
          <w:lang w:val="en-US"/>
        </w:rPr>
        <w:t> </w:t>
      </w:r>
      <w:r w:rsidRPr="00213A5D">
        <w:rPr>
          <w:color w:val="000000"/>
          <w:sz w:val="24"/>
          <w:szCs w:val="24"/>
        </w:rPr>
        <w:t>«Электронные торги и безопасность» в размере 401,0 млн. рублей и пакета акций АО</w:t>
      </w:r>
      <w:r w:rsidRPr="00213A5D">
        <w:rPr>
          <w:color w:val="000000"/>
          <w:sz w:val="24"/>
          <w:szCs w:val="24"/>
          <w:lang w:val="en-US"/>
        </w:rPr>
        <w:t> </w:t>
      </w:r>
      <w:r w:rsidRPr="00213A5D">
        <w:rPr>
          <w:color w:val="000000"/>
          <w:sz w:val="24"/>
          <w:szCs w:val="24"/>
        </w:rPr>
        <w:t>«Звезда-редуктор» (г. Санкт-Петербург) на сумму 1 238,5 млрд. рублей.</w:t>
      </w:r>
    </w:p>
    <w:p w14:paraId="65078686" w14:textId="77777777" w:rsidR="002331ED" w:rsidRPr="00213A5D" w:rsidRDefault="002331ED" w:rsidP="00AF1852">
      <w:pPr>
        <w:widowControl w:val="0"/>
        <w:spacing w:line="348" w:lineRule="auto"/>
        <w:ind w:left="0" w:right="0"/>
        <w:textAlignment w:val="auto"/>
        <w:rPr>
          <w:b/>
          <w:color w:val="000000"/>
          <w:sz w:val="24"/>
          <w:szCs w:val="24"/>
        </w:rPr>
      </w:pPr>
      <w:r w:rsidRPr="00213A5D">
        <w:rPr>
          <w:b/>
          <w:color w:val="000000"/>
          <w:sz w:val="24"/>
          <w:szCs w:val="24"/>
        </w:rPr>
        <w:t>Сделки с акциями крупнейших компаний</w:t>
      </w:r>
      <w:r w:rsidRPr="00213A5D">
        <w:rPr>
          <w:color w:val="000000"/>
          <w:sz w:val="24"/>
          <w:szCs w:val="24"/>
        </w:rPr>
        <w:t>, включенных в I раздел Программы приватизации</w:t>
      </w:r>
      <w:r w:rsidRPr="00213A5D">
        <w:rPr>
          <w:color w:val="000000"/>
          <w:sz w:val="24"/>
          <w:szCs w:val="24"/>
          <w:vertAlign w:val="superscript"/>
        </w:rPr>
        <w:footnoteReference w:id="50"/>
      </w:r>
      <w:r w:rsidRPr="00213A5D">
        <w:rPr>
          <w:color w:val="000000"/>
          <w:sz w:val="24"/>
          <w:szCs w:val="24"/>
        </w:rPr>
        <w:t xml:space="preserve">, осуществляемые на основании решений Правительства Российской Федерации, </w:t>
      </w:r>
      <w:r w:rsidRPr="00213A5D">
        <w:rPr>
          <w:b/>
          <w:color w:val="000000"/>
          <w:sz w:val="24"/>
          <w:szCs w:val="24"/>
        </w:rPr>
        <w:t>в отчетном периоде 2022 года не совершались.</w:t>
      </w:r>
    </w:p>
    <w:p w14:paraId="6CC0A163" w14:textId="77777777" w:rsidR="002331ED" w:rsidRPr="00213A5D" w:rsidRDefault="002331ED" w:rsidP="00AF1852">
      <w:pPr>
        <w:widowControl w:val="0"/>
        <w:overflowPunct/>
        <w:autoSpaceDE/>
        <w:autoSpaceDN/>
        <w:adjustRightInd/>
        <w:spacing w:line="348" w:lineRule="auto"/>
        <w:ind w:left="0" w:right="0"/>
        <w:textAlignment w:val="auto"/>
        <w:rPr>
          <w:rFonts w:eastAsia="Times New Roman"/>
          <w:bCs/>
          <w:color w:val="000000"/>
          <w:sz w:val="24"/>
          <w:szCs w:val="24"/>
        </w:rPr>
      </w:pPr>
      <w:r w:rsidRPr="00213A5D">
        <w:rPr>
          <w:rFonts w:eastAsia="Times New Roman"/>
          <w:bCs/>
          <w:color w:val="000000"/>
          <w:sz w:val="24"/>
          <w:szCs w:val="24"/>
        </w:rPr>
        <w:t xml:space="preserve">По состоянию на 1 октября 2022 года II разделом Прогнозного плана в отношении объектов «массовой» приватизации предусматривается приватизация находящихся в федеральной собственности пакетов акций (долей) 262 хозяйственных обществ, 53 предприятий, а также 28 757 объектов иного имущества государственной казны Российской Федерации. </w:t>
      </w:r>
    </w:p>
    <w:p w14:paraId="34FC4395" w14:textId="77777777" w:rsidR="002331ED" w:rsidRPr="00213A5D" w:rsidRDefault="002331ED" w:rsidP="00AF1852">
      <w:pPr>
        <w:widowControl w:val="0"/>
        <w:overflowPunct/>
        <w:autoSpaceDE/>
        <w:autoSpaceDN/>
        <w:adjustRightInd/>
        <w:spacing w:line="348" w:lineRule="auto"/>
        <w:ind w:left="0" w:right="0"/>
        <w:textAlignment w:val="auto"/>
        <w:rPr>
          <w:rFonts w:eastAsia="Times New Roman"/>
          <w:bCs/>
          <w:color w:val="000000"/>
          <w:sz w:val="24"/>
          <w:szCs w:val="24"/>
        </w:rPr>
      </w:pPr>
      <w:r w:rsidRPr="00213A5D">
        <w:rPr>
          <w:rFonts w:eastAsia="Times New Roman"/>
          <w:bCs/>
          <w:color w:val="000000"/>
          <w:sz w:val="24"/>
          <w:szCs w:val="24"/>
        </w:rPr>
        <w:t>По оперативной информации, за январь – сентябрь 2022 года в рамках реализации II</w:t>
      </w:r>
      <w:r w:rsidRPr="00213A5D">
        <w:rPr>
          <w:rFonts w:eastAsia="Times New Roman"/>
          <w:bCs/>
          <w:color w:val="000000"/>
          <w:sz w:val="24"/>
          <w:szCs w:val="24"/>
          <w:lang w:val="en-US"/>
        </w:rPr>
        <w:t> </w:t>
      </w:r>
      <w:r w:rsidRPr="00213A5D">
        <w:rPr>
          <w:rFonts w:eastAsia="Times New Roman"/>
          <w:bCs/>
          <w:color w:val="000000"/>
          <w:sz w:val="24"/>
          <w:szCs w:val="24"/>
        </w:rPr>
        <w:t>раздела Программы приватизации:</w:t>
      </w:r>
    </w:p>
    <w:p w14:paraId="4CB98544" w14:textId="77777777" w:rsidR="002331ED" w:rsidRPr="00213A5D" w:rsidRDefault="002331ED" w:rsidP="00B842E1">
      <w:pPr>
        <w:pStyle w:val="aff6"/>
        <w:widowControl w:val="0"/>
        <w:numPr>
          <w:ilvl w:val="0"/>
          <w:numId w:val="8"/>
        </w:numPr>
        <w:tabs>
          <w:tab w:val="left" w:pos="1134"/>
        </w:tabs>
        <w:overflowPunct/>
        <w:autoSpaceDE/>
        <w:autoSpaceDN/>
        <w:adjustRightInd/>
        <w:spacing w:line="348" w:lineRule="auto"/>
        <w:ind w:left="0" w:right="0" w:firstLine="709"/>
        <w:textAlignment w:val="auto"/>
        <w:rPr>
          <w:bCs/>
          <w:color w:val="000000"/>
          <w:sz w:val="24"/>
          <w:szCs w:val="24"/>
        </w:rPr>
      </w:pPr>
      <w:r w:rsidRPr="00213A5D">
        <w:rPr>
          <w:bCs/>
          <w:color w:val="000000"/>
          <w:sz w:val="24"/>
          <w:szCs w:val="24"/>
        </w:rPr>
        <w:t>осуществлена продажа пакетов акций (долей) 45 хозяйственных обществ, находящихся в федеральной собственности, на сумму 5 008,6 млн. рублей;</w:t>
      </w:r>
    </w:p>
    <w:p w14:paraId="043A6F41" w14:textId="77777777" w:rsidR="002331ED" w:rsidRPr="00213A5D" w:rsidRDefault="002331ED" w:rsidP="00B842E1">
      <w:pPr>
        <w:pStyle w:val="aff6"/>
        <w:widowControl w:val="0"/>
        <w:numPr>
          <w:ilvl w:val="0"/>
          <w:numId w:val="8"/>
        </w:numPr>
        <w:tabs>
          <w:tab w:val="left" w:pos="1134"/>
        </w:tabs>
        <w:overflowPunct/>
        <w:autoSpaceDE/>
        <w:autoSpaceDN/>
        <w:adjustRightInd/>
        <w:spacing w:line="348" w:lineRule="auto"/>
        <w:ind w:left="0" w:right="0" w:firstLine="709"/>
        <w:textAlignment w:val="auto"/>
        <w:rPr>
          <w:bCs/>
          <w:color w:val="000000"/>
          <w:sz w:val="24"/>
          <w:szCs w:val="24"/>
        </w:rPr>
      </w:pPr>
      <w:r w:rsidRPr="00213A5D">
        <w:rPr>
          <w:bCs/>
          <w:color w:val="000000"/>
          <w:sz w:val="24"/>
          <w:szCs w:val="24"/>
        </w:rPr>
        <w:t xml:space="preserve">приняты решения об условиях приватизации в отношении 7 ФГУП, 16 ФГУП </w:t>
      </w:r>
      <w:r w:rsidRPr="00213A5D">
        <w:rPr>
          <w:bCs/>
          <w:color w:val="000000"/>
          <w:sz w:val="24"/>
          <w:szCs w:val="24"/>
        </w:rPr>
        <w:lastRenderedPageBreak/>
        <w:t>преобразованы в хозяйственные общества;</w:t>
      </w:r>
    </w:p>
    <w:p w14:paraId="50CAB328" w14:textId="77777777" w:rsidR="002331ED" w:rsidRPr="00213A5D" w:rsidRDefault="002331ED" w:rsidP="00B842E1">
      <w:pPr>
        <w:pStyle w:val="aff6"/>
        <w:widowControl w:val="0"/>
        <w:numPr>
          <w:ilvl w:val="0"/>
          <w:numId w:val="8"/>
        </w:numPr>
        <w:tabs>
          <w:tab w:val="left" w:pos="1134"/>
        </w:tabs>
        <w:overflowPunct/>
        <w:autoSpaceDE/>
        <w:autoSpaceDN/>
        <w:adjustRightInd/>
        <w:spacing w:line="348" w:lineRule="auto"/>
        <w:ind w:left="0" w:right="0" w:firstLine="709"/>
        <w:textAlignment w:val="auto"/>
        <w:rPr>
          <w:bCs/>
          <w:color w:val="000000"/>
          <w:sz w:val="24"/>
          <w:szCs w:val="24"/>
        </w:rPr>
      </w:pPr>
      <w:r w:rsidRPr="00213A5D">
        <w:rPr>
          <w:bCs/>
          <w:color w:val="000000"/>
          <w:sz w:val="24"/>
          <w:szCs w:val="24"/>
        </w:rPr>
        <w:t>продано 145 объектов имущества казны на сумму 499,2 млн. рублей.</w:t>
      </w:r>
    </w:p>
    <w:p w14:paraId="0B47D542" w14:textId="77777777" w:rsidR="002331ED" w:rsidRPr="00213A5D" w:rsidRDefault="002331ED" w:rsidP="00AF1852">
      <w:pPr>
        <w:widowControl w:val="0"/>
        <w:overflowPunct/>
        <w:autoSpaceDE/>
        <w:autoSpaceDN/>
        <w:adjustRightInd/>
        <w:spacing w:line="348" w:lineRule="auto"/>
        <w:ind w:left="0" w:right="0"/>
        <w:textAlignment w:val="auto"/>
        <w:rPr>
          <w:rFonts w:eastAsia="Times New Roman"/>
          <w:bCs/>
          <w:color w:val="000000"/>
          <w:sz w:val="24"/>
          <w:szCs w:val="24"/>
        </w:rPr>
      </w:pPr>
      <w:r w:rsidRPr="00213A5D">
        <w:rPr>
          <w:rFonts w:eastAsia="Times New Roman"/>
          <w:b/>
          <w:bCs/>
          <w:color w:val="000000"/>
          <w:sz w:val="24"/>
          <w:szCs w:val="24"/>
        </w:rPr>
        <w:t>11.5.</w:t>
      </w:r>
      <w:r w:rsidRPr="00213A5D">
        <w:rPr>
          <w:rFonts w:eastAsia="Times New Roman"/>
          <w:bCs/>
          <w:color w:val="000000"/>
          <w:sz w:val="24"/>
          <w:szCs w:val="24"/>
        </w:rPr>
        <w:t xml:space="preserve"> Согласно части 44 статьи 10 Федерального закона от 29 ноября 2021 г. № 384-ФЗ </w:t>
      </w:r>
      <w:r w:rsidRPr="00213A5D">
        <w:rPr>
          <w:rFonts w:eastAsia="Times New Roman"/>
          <w:b/>
          <w:bCs/>
          <w:color w:val="000000"/>
          <w:sz w:val="24"/>
          <w:szCs w:val="24"/>
        </w:rPr>
        <w:t>с 1 июля по 31 декабря 2022 года</w:t>
      </w:r>
      <w:r w:rsidRPr="00213A5D">
        <w:rPr>
          <w:rFonts w:eastAsia="Times New Roman"/>
          <w:bCs/>
          <w:color w:val="000000"/>
          <w:sz w:val="24"/>
          <w:szCs w:val="24"/>
        </w:rPr>
        <w:t xml:space="preserve"> включительно в состав иных источников внутреннего финансирования дефицита федерального бюджета включается разница между средствами, перечисленными организацией, индивидуальным предпринимателем в качестве </w:t>
      </w:r>
      <w:r w:rsidRPr="00213A5D">
        <w:rPr>
          <w:rFonts w:eastAsia="Times New Roman"/>
          <w:b/>
          <w:bCs/>
          <w:color w:val="000000"/>
          <w:sz w:val="24"/>
          <w:szCs w:val="24"/>
        </w:rPr>
        <w:t>единого налогового платежа</w:t>
      </w:r>
      <w:r w:rsidRPr="00213A5D">
        <w:rPr>
          <w:rFonts w:eastAsia="Times New Roman"/>
          <w:bCs/>
          <w:color w:val="000000"/>
          <w:sz w:val="24"/>
          <w:szCs w:val="24"/>
        </w:rPr>
        <w:t xml:space="preserve"> либо признанными налоговым органом единым налоговым платежом, и средствами единого налогового платежа, зачтенными в счет уплаты налогов, авансовых платежей по налогам, сборов, страховых взносов, пеней, штрафов, процентов либо возвращенными организации, индивидуальному предпринимателю в соответствии с Налоговым кодексом Российской Федерации. </w:t>
      </w:r>
    </w:p>
    <w:p w14:paraId="5DCD02A4" w14:textId="77777777" w:rsidR="002331ED" w:rsidRPr="00213A5D" w:rsidRDefault="002331ED" w:rsidP="00AF1852">
      <w:pPr>
        <w:widowControl w:val="0"/>
        <w:overflowPunct/>
        <w:autoSpaceDE/>
        <w:autoSpaceDN/>
        <w:adjustRightInd/>
        <w:spacing w:line="348" w:lineRule="auto"/>
        <w:ind w:left="0" w:right="0"/>
        <w:textAlignment w:val="auto"/>
        <w:rPr>
          <w:rFonts w:eastAsia="Times New Roman"/>
          <w:bCs/>
          <w:color w:val="000000"/>
          <w:sz w:val="24"/>
          <w:szCs w:val="24"/>
        </w:rPr>
      </w:pPr>
      <w:r w:rsidRPr="00213A5D">
        <w:rPr>
          <w:rFonts w:eastAsia="Times New Roman"/>
          <w:bCs/>
          <w:color w:val="000000"/>
          <w:sz w:val="24"/>
          <w:szCs w:val="24"/>
        </w:rPr>
        <w:t xml:space="preserve">При этом частью 46 статьи 10 Федерального закона № 384-ФЗ установлено, что в указанный период прогнозирование и планирование поступлений, выплат по единому налоговому платежу </w:t>
      </w:r>
      <w:r w:rsidRPr="00213A5D">
        <w:rPr>
          <w:rFonts w:eastAsia="Times New Roman"/>
          <w:b/>
          <w:bCs/>
          <w:color w:val="000000"/>
          <w:sz w:val="24"/>
          <w:szCs w:val="24"/>
        </w:rPr>
        <w:t>не осуществляется</w:t>
      </w:r>
      <w:r w:rsidRPr="00213A5D">
        <w:rPr>
          <w:rFonts w:eastAsia="Times New Roman"/>
          <w:bCs/>
          <w:color w:val="000000"/>
          <w:sz w:val="24"/>
          <w:szCs w:val="24"/>
        </w:rPr>
        <w:t xml:space="preserve">. В отчетном периоде </w:t>
      </w:r>
      <w:r w:rsidRPr="00213A5D">
        <w:rPr>
          <w:rFonts w:eastAsia="Times New Roman"/>
          <w:b/>
          <w:bCs/>
          <w:color w:val="000000"/>
          <w:sz w:val="24"/>
          <w:szCs w:val="24"/>
        </w:rPr>
        <w:t>сальдо операций по единому налоговому</w:t>
      </w:r>
      <w:r w:rsidRPr="00213A5D">
        <w:rPr>
          <w:rFonts w:eastAsia="Times New Roman"/>
          <w:bCs/>
          <w:color w:val="000000"/>
          <w:sz w:val="24"/>
          <w:szCs w:val="24"/>
        </w:rPr>
        <w:t xml:space="preserve"> платежу составило </w:t>
      </w:r>
      <w:r w:rsidRPr="00213A5D">
        <w:rPr>
          <w:rFonts w:eastAsia="Times New Roman"/>
          <w:b/>
          <w:bCs/>
          <w:color w:val="000000"/>
          <w:sz w:val="24"/>
          <w:szCs w:val="24"/>
        </w:rPr>
        <w:t>15 976,8 млн. рублей</w:t>
      </w:r>
      <w:r w:rsidRPr="00213A5D">
        <w:rPr>
          <w:rFonts w:eastAsia="Times New Roman"/>
          <w:bCs/>
          <w:color w:val="000000"/>
          <w:sz w:val="24"/>
          <w:szCs w:val="24"/>
        </w:rPr>
        <w:t xml:space="preserve"> (увеличение 230 145,3 млн. рублей, уменьшение (-) 214 168,5 млн. рублей).</w:t>
      </w:r>
    </w:p>
    <w:p w14:paraId="1CEB3A3A" w14:textId="77777777" w:rsidR="002331ED" w:rsidRPr="00213A5D" w:rsidRDefault="002331ED" w:rsidP="00AF1852">
      <w:pPr>
        <w:widowControl w:val="0"/>
        <w:overflowPunct/>
        <w:autoSpaceDE/>
        <w:autoSpaceDN/>
        <w:adjustRightInd/>
        <w:spacing w:line="348" w:lineRule="auto"/>
        <w:ind w:left="0" w:right="0"/>
        <w:textAlignment w:val="auto"/>
        <w:rPr>
          <w:rFonts w:eastAsia="Times New Roman"/>
          <w:b/>
          <w:bCs/>
          <w:color w:val="000000"/>
          <w:sz w:val="24"/>
          <w:szCs w:val="24"/>
        </w:rPr>
      </w:pPr>
      <w:r w:rsidRPr="00213A5D">
        <w:rPr>
          <w:rFonts w:eastAsia="Times New Roman"/>
          <w:b/>
          <w:bCs/>
          <w:color w:val="000000"/>
          <w:sz w:val="24"/>
          <w:szCs w:val="24"/>
        </w:rPr>
        <w:t>11.6.</w:t>
      </w:r>
      <w:r w:rsidRPr="00213A5D">
        <w:rPr>
          <w:rFonts w:eastAsia="Times New Roman"/>
          <w:bCs/>
          <w:color w:val="000000"/>
          <w:sz w:val="24"/>
          <w:szCs w:val="24"/>
        </w:rPr>
        <w:t xml:space="preserve"> </w:t>
      </w:r>
      <w:r w:rsidRPr="00213A5D">
        <w:rPr>
          <w:rFonts w:eastAsia="Times New Roman"/>
          <w:color w:val="000000"/>
          <w:sz w:val="24"/>
          <w:szCs w:val="24"/>
        </w:rPr>
        <w:t xml:space="preserve">В январе – сентябре 2022 года </w:t>
      </w:r>
      <w:r w:rsidRPr="00213A5D">
        <w:rPr>
          <w:rFonts w:eastAsia="Times New Roman"/>
          <w:b/>
          <w:color w:val="000000"/>
          <w:sz w:val="24"/>
          <w:szCs w:val="24"/>
        </w:rPr>
        <w:t>выплаты</w:t>
      </w:r>
      <w:r w:rsidRPr="00213A5D">
        <w:rPr>
          <w:rFonts w:eastAsia="Times New Roman"/>
          <w:color w:val="000000"/>
          <w:sz w:val="24"/>
          <w:szCs w:val="24"/>
        </w:rPr>
        <w:t xml:space="preserve"> из федерального бюджета за счет источников внутреннего финансирования дефицита федерального бюджета </w:t>
      </w:r>
      <w:r w:rsidRPr="00213A5D">
        <w:rPr>
          <w:rFonts w:eastAsia="Times New Roman"/>
          <w:b/>
          <w:color w:val="000000"/>
          <w:sz w:val="24"/>
          <w:szCs w:val="24"/>
        </w:rPr>
        <w:t>по возможным гарантийным случаям не производились.</w:t>
      </w:r>
    </w:p>
    <w:p w14:paraId="07258516" w14:textId="77777777" w:rsidR="002331ED" w:rsidRPr="00213A5D" w:rsidRDefault="002331ED" w:rsidP="009476ED">
      <w:pPr>
        <w:widowControl w:val="0"/>
        <w:shd w:val="clear" w:color="auto" w:fill="FFFFFF"/>
        <w:overflowPunct/>
        <w:autoSpaceDE/>
        <w:autoSpaceDN/>
        <w:adjustRightInd/>
        <w:spacing w:line="343" w:lineRule="auto"/>
        <w:ind w:left="0" w:right="0"/>
        <w:textAlignment w:val="auto"/>
        <w:rPr>
          <w:color w:val="000000"/>
          <w:sz w:val="24"/>
          <w:szCs w:val="24"/>
        </w:rPr>
      </w:pPr>
      <w:r w:rsidRPr="00213A5D">
        <w:rPr>
          <w:rFonts w:eastAsia="Times New Roman"/>
          <w:b/>
          <w:bCs/>
          <w:color w:val="000000"/>
          <w:sz w:val="24"/>
          <w:szCs w:val="24"/>
        </w:rPr>
        <w:t>11.7.</w:t>
      </w:r>
      <w:r w:rsidRPr="00213A5D">
        <w:rPr>
          <w:rFonts w:eastAsia="Times New Roman"/>
          <w:bCs/>
          <w:color w:val="000000"/>
          <w:sz w:val="24"/>
          <w:szCs w:val="24"/>
        </w:rPr>
        <w:t> </w:t>
      </w:r>
      <w:r w:rsidRPr="00213A5D">
        <w:rPr>
          <w:color w:val="000000"/>
          <w:sz w:val="24"/>
          <w:szCs w:val="24"/>
        </w:rPr>
        <w:t xml:space="preserve">Федеральным законом № 390-ФЗ в 2022 году предусмотрен </w:t>
      </w:r>
      <w:r w:rsidRPr="00213A5D">
        <w:rPr>
          <w:b/>
          <w:color w:val="000000"/>
          <w:sz w:val="24"/>
          <w:szCs w:val="24"/>
        </w:rPr>
        <w:t>возврат бюджетных кредитов,</w:t>
      </w:r>
      <w:r w:rsidRPr="00213A5D">
        <w:rPr>
          <w:color w:val="000000"/>
          <w:sz w:val="24"/>
          <w:szCs w:val="24"/>
        </w:rPr>
        <w:t xml:space="preserve"> предоставленных бюджетам субъектов Российской Федерации из федерального бюджета до 2018 года, а также в 2020 году, в сумме 65 029,8 млн. рублей. Указанная сумма рассчитана </w:t>
      </w:r>
      <w:r w:rsidRPr="00213A5D">
        <w:rPr>
          <w:b/>
          <w:color w:val="000000"/>
          <w:sz w:val="24"/>
          <w:szCs w:val="24"/>
        </w:rPr>
        <w:t>исходя из графиков выплат</w:t>
      </w:r>
      <w:r w:rsidRPr="00213A5D">
        <w:rPr>
          <w:color w:val="000000"/>
          <w:sz w:val="24"/>
          <w:szCs w:val="24"/>
        </w:rPr>
        <w:t xml:space="preserve"> основного долга по соглашениям о предоставлении бюджетных кредитов. </w:t>
      </w:r>
    </w:p>
    <w:p w14:paraId="456F5171" w14:textId="77777777" w:rsidR="002331ED" w:rsidRPr="00213A5D" w:rsidRDefault="002331ED" w:rsidP="009476ED">
      <w:pPr>
        <w:widowControl w:val="0"/>
        <w:shd w:val="clear" w:color="auto" w:fill="FFFFFF"/>
        <w:overflowPunct/>
        <w:autoSpaceDE/>
        <w:autoSpaceDN/>
        <w:adjustRightInd/>
        <w:spacing w:line="343" w:lineRule="auto"/>
        <w:ind w:left="0" w:right="0"/>
        <w:textAlignment w:val="auto"/>
        <w:rPr>
          <w:color w:val="000000"/>
          <w:sz w:val="24"/>
          <w:szCs w:val="24"/>
        </w:rPr>
      </w:pPr>
      <w:r w:rsidRPr="00213A5D">
        <w:rPr>
          <w:b/>
          <w:color w:val="000000"/>
          <w:sz w:val="24"/>
          <w:szCs w:val="24"/>
        </w:rPr>
        <w:t>В январе – сентябре 2022 года осуществлены выплаты</w:t>
      </w:r>
      <w:r w:rsidRPr="00213A5D">
        <w:rPr>
          <w:color w:val="000000"/>
          <w:sz w:val="24"/>
          <w:szCs w:val="24"/>
        </w:rPr>
        <w:t xml:space="preserve"> в погашение основного долга по бюджетным кредитам 9 субъектами Российской Федерации </w:t>
      </w:r>
      <w:r w:rsidRPr="00213A5D">
        <w:rPr>
          <w:b/>
          <w:color w:val="000000"/>
          <w:sz w:val="24"/>
          <w:szCs w:val="24"/>
        </w:rPr>
        <w:t>в сумме 22 115,4 млн. рублей,</w:t>
      </w:r>
      <w:r w:rsidRPr="00213A5D">
        <w:rPr>
          <w:color w:val="000000"/>
          <w:sz w:val="24"/>
          <w:szCs w:val="24"/>
        </w:rPr>
        <w:t xml:space="preserve"> в том числе:</w:t>
      </w:r>
    </w:p>
    <w:p w14:paraId="5A943B95" w14:textId="77777777" w:rsidR="002331ED" w:rsidRPr="00213A5D" w:rsidRDefault="002331ED" w:rsidP="00B842E1">
      <w:pPr>
        <w:pStyle w:val="aff6"/>
        <w:widowControl w:val="0"/>
        <w:numPr>
          <w:ilvl w:val="0"/>
          <w:numId w:val="8"/>
        </w:numPr>
        <w:shd w:val="clear" w:color="auto" w:fill="FFFFFF"/>
        <w:tabs>
          <w:tab w:val="left" w:pos="1134"/>
        </w:tabs>
        <w:overflowPunct/>
        <w:autoSpaceDE/>
        <w:autoSpaceDN/>
        <w:adjustRightInd/>
        <w:spacing w:line="343" w:lineRule="auto"/>
        <w:ind w:left="0" w:right="0" w:firstLine="709"/>
        <w:textAlignment w:val="auto"/>
        <w:rPr>
          <w:rFonts w:eastAsia="Calibri"/>
          <w:color w:val="000000"/>
          <w:sz w:val="24"/>
          <w:szCs w:val="24"/>
        </w:rPr>
      </w:pPr>
      <w:r w:rsidRPr="00213A5D">
        <w:rPr>
          <w:rFonts w:eastAsia="Calibri"/>
          <w:color w:val="000000"/>
          <w:sz w:val="24"/>
          <w:szCs w:val="24"/>
        </w:rPr>
        <w:t>21</w:t>
      </w:r>
      <w:r w:rsidR="00816500" w:rsidRPr="00213A5D">
        <w:rPr>
          <w:rFonts w:eastAsia="Calibri"/>
          <w:color w:val="000000"/>
          <w:sz w:val="24"/>
          <w:szCs w:val="24"/>
        </w:rPr>
        <w:t> </w:t>
      </w:r>
      <w:r w:rsidRPr="00213A5D">
        <w:rPr>
          <w:rFonts w:eastAsia="Calibri"/>
          <w:color w:val="000000"/>
          <w:sz w:val="24"/>
          <w:szCs w:val="24"/>
        </w:rPr>
        <w:t xml:space="preserve">252,3 млн. рублей – возврат бюджетных кредитов, предоставленных для частичного покрытия дефицитов бюджетов субъектов Российской Федерации; </w:t>
      </w:r>
    </w:p>
    <w:p w14:paraId="03BEB3AD" w14:textId="77777777" w:rsidR="002331ED" w:rsidRPr="00213A5D" w:rsidRDefault="002331ED" w:rsidP="00B842E1">
      <w:pPr>
        <w:pStyle w:val="aff6"/>
        <w:widowControl w:val="0"/>
        <w:numPr>
          <w:ilvl w:val="0"/>
          <w:numId w:val="8"/>
        </w:numPr>
        <w:shd w:val="clear" w:color="auto" w:fill="FFFFFF"/>
        <w:tabs>
          <w:tab w:val="left" w:pos="1134"/>
        </w:tabs>
        <w:overflowPunct/>
        <w:autoSpaceDE/>
        <w:autoSpaceDN/>
        <w:adjustRightInd/>
        <w:spacing w:line="343" w:lineRule="auto"/>
        <w:ind w:left="0" w:right="0" w:firstLine="709"/>
        <w:textAlignment w:val="auto"/>
        <w:rPr>
          <w:rFonts w:eastAsia="Calibri"/>
          <w:color w:val="000000"/>
          <w:sz w:val="24"/>
          <w:szCs w:val="24"/>
        </w:rPr>
      </w:pPr>
      <w:r w:rsidRPr="00213A5D">
        <w:rPr>
          <w:rFonts w:eastAsia="Calibri"/>
          <w:color w:val="000000"/>
          <w:sz w:val="24"/>
          <w:szCs w:val="24"/>
        </w:rPr>
        <w:t>863,1</w:t>
      </w:r>
      <w:r w:rsidR="00816500" w:rsidRPr="00213A5D">
        <w:rPr>
          <w:rFonts w:eastAsia="Calibri"/>
          <w:color w:val="000000"/>
          <w:sz w:val="24"/>
          <w:szCs w:val="24"/>
        </w:rPr>
        <w:t> </w:t>
      </w:r>
      <w:r w:rsidRPr="00213A5D">
        <w:rPr>
          <w:rFonts w:eastAsia="Calibri"/>
          <w:color w:val="000000"/>
          <w:sz w:val="24"/>
          <w:szCs w:val="24"/>
        </w:rPr>
        <w:t xml:space="preserve">млн. рублей – возврат бюджетных кредитов, предоставленных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w:t>
      </w:r>
    </w:p>
    <w:p w14:paraId="45FFA094" w14:textId="77777777" w:rsidR="002331ED" w:rsidRPr="00213A5D" w:rsidRDefault="002331ED" w:rsidP="009476ED">
      <w:pPr>
        <w:widowControl w:val="0"/>
        <w:shd w:val="clear" w:color="auto" w:fill="FFFFFF"/>
        <w:spacing w:line="336" w:lineRule="auto"/>
        <w:ind w:left="0" w:right="0"/>
        <w:textAlignment w:val="auto"/>
        <w:rPr>
          <w:color w:val="000000"/>
          <w:sz w:val="24"/>
          <w:szCs w:val="24"/>
        </w:rPr>
      </w:pPr>
      <w:r w:rsidRPr="00213A5D">
        <w:rPr>
          <w:color w:val="000000"/>
          <w:sz w:val="24"/>
          <w:szCs w:val="24"/>
        </w:rPr>
        <w:t xml:space="preserve">При этом Смоленская область и Красноярский край осуществили добровольное досрочное погашение в сумме 1 290,7 млн. рублей, еще 4 субъекта Российской Федерации (республики Хакасия и Калмыкия, Ульяновская и Псковская области) осуществили </w:t>
      </w:r>
      <w:r w:rsidRPr="00213A5D">
        <w:rPr>
          <w:b/>
          <w:color w:val="000000"/>
          <w:sz w:val="24"/>
          <w:szCs w:val="24"/>
        </w:rPr>
        <w:t>досрочное погашение</w:t>
      </w:r>
      <w:r w:rsidRPr="00213A5D">
        <w:rPr>
          <w:color w:val="000000"/>
          <w:sz w:val="24"/>
          <w:szCs w:val="24"/>
        </w:rPr>
        <w:t xml:space="preserve"> в общей сумме 1 246,7 млн. рублей </w:t>
      </w:r>
      <w:r w:rsidRPr="00213A5D">
        <w:rPr>
          <w:b/>
          <w:color w:val="000000"/>
          <w:sz w:val="24"/>
          <w:szCs w:val="24"/>
        </w:rPr>
        <w:t xml:space="preserve">в связи с нарушением </w:t>
      </w:r>
      <w:r w:rsidRPr="00213A5D">
        <w:rPr>
          <w:b/>
          <w:color w:val="000000"/>
          <w:sz w:val="24"/>
          <w:szCs w:val="24"/>
        </w:rPr>
        <w:lastRenderedPageBreak/>
        <w:t>обязательств</w:t>
      </w:r>
      <w:r w:rsidRPr="00213A5D">
        <w:rPr>
          <w:color w:val="000000"/>
          <w:sz w:val="24"/>
          <w:szCs w:val="24"/>
        </w:rPr>
        <w:t xml:space="preserve">, принятых в рамках реструктуризации бюджетных кредитов. Республика Мордовия осуществила погашение бюджетных кредитов в общей сумме 15 825,9 млн. </w:t>
      </w:r>
      <w:r w:rsidRPr="00213A5D">
        <w:rPr>
          <w:b/>
          <w:color w:val="000000"/>
          <w:sz w:val="24"/>
          <w:szCs w:val="24"/>
        </w:rPr>
        <w:t>рублей в связи с досрочным исполнением бюджетной меры принуждения в полном объеме</w:t>
      </w:r>
      <w:r w:rsidRPr="00213A5D">
        <w:rPr>
          <w:color w:val="000000"/>
          <w:sz w:val="24"/>
          <w:szCs w:val="24"/>
        </w:rPr>
        <w:t xml:space="preserve"> в соответствии с приказами Минфина России от 25 июля 2022 г. № 312 и № 313. Ростовская область в течение отчетного периода осуществила погашение бюджетных кредитов </w:t>
      </w:r>
      <w:r w:rsidRPr="00213A5D">
        <w:rPr>
          <w:b/>
          <w:color w:val="000000"/>
          <w:sz w:val="24"/>
          <w:szCs w:val="24"/>
        </w:rPr>
        <w:t>в рамках действующих графиков погашения</w:t>
      </w:r>
      <w:r w:rsidRPr="00213A5D">
        <w:rPr>
          <w:color w:val="000000"/>
          <w:sz w:val="24"/>
          <w:szCs w:val="24"/>
        </w:rPr>
        <w:t xml:space="preserve"> задолженности на общую сумму 3 752,1 млн. рублей.</w:t>
      </w:r>
    </w:p>
    <w:p w14:paraId="7AC03876" w14:textId="77777777" w:rsidR="002331ED" w:rsidRPr="00213A5D" w:rsidRDefault="002331ED" w:rsidP="00AF1852">
      <w:pPr>
        <w:widowControl w:val="0"/>
        <w:shd w:val="clear" w:color="auto" w:fill="FFFFFF"/>
        <w:spacing w:line="348" w:lineRule="auto"/>
        <w:ind w:left="0" w:right="0"/>
        <w:textAlignment w:val="auto"/>
        <w:rPr>
          <w:color w:val="000000"/>
          <w:sz w:val="24"/>
          <w:szCs w:val="24"/>
        </w:rPr>
      </w:pPr>
      <w:r w:rsidRPr="00213A5D">
        <w:rPr>
          <w:color w:val="000000"/>
          <w:sz w:val="24"/>
          <w:szCs w:val="24"/>
        </w:rPr>
        <w:t xml:space="preserve">В соответствии со статьей 11 Федерального закона № 390-ФЗ в 2022 году Минфин России вправе предоставить бюджетные кредиты бюджетам субъектов Российской Федерации из федерального бюджета за счет уменьшения остатков средств федерального бюджета, образовавшихся на 1 января 2022 года, </w:t>
      </w:r>
      <w:r w:rsidRPr="00213A5D">
        <w:rPr>
          <w:b/>
          <w:color w:val="000000"/>
          <w:sz w:val="24"/>
          <w:szCs w:val="24"/>
        </w:rPr>
        <w:t>на финансовое обеспечение реализации инфраструктурных проектов</w:t>
      </w:r>
      <w:r w:rsidRPr="00213A5D">
        <w:rPr>
          <w:color w:val="000000"/>
          <w:sz w:val="24"/>
          <w:szCs w:val="24"/>
        </w:rPr>
        <w:t>. В отчетном периоде 2022 года в показатели сводной бюджетной росписи внесены соответствующие изменения в объеме (-) 250 000,0</w:t>
      </w:r>
      <w:r w:rsidRPr="00213A5D">
        <w:rPr>
          <w:color w:val="000000"/>
          <w:sz w:val="24"/>
          <w:szCs w:val="24"/>
          <w:vertAlign w:val="superscript"/>
        </w:rPr>
        <w:footnoteReference w:id="51"/>
      </w:r>
      <w:r w:rsidRPr="00213A5D">
        <w:rPr>
          <w:color w:val="000000"/>
          <w:sz w:val="24"/>
          <w:szCs w:val="24"/>
        </w:rPr>
        <w:t xml:space="preserve"> млн. рублей. По состоянию на 1 октября 2022 года Минфин России предоставил 74 субъектам Российской Федерации бюджетные кредиты на финансовое обеспечение реализации инфраструктурных проектов на сумму 152 780,5 млн. рублей, или 61,1 % бюджетных ассигнований.</w:t>
      </w:r>
    </w:p>
    <w:p w14:paraId="3B42F9E2" w14:textId="77777777" w:rsidR="002331ED" w:rsidRPr="00213A5D" w:rsidRDefault="002331ED" w:rsidP="00AF1852">
      <w:pPr>
        <w:widowControl w:val="0"/>
        <w:shd w:val="clear" w:color="auto" w:fill="FFFFFF"/>
        <w:spacing w:line="348" w:lineRule="auto"/>
        <w:ind w:left="0" w:right="0"/>
        <w:textAlignment w:val="auto"/>
        <w:rPr>
          <w:color w:val="000000"/>
          <w:sz w:val="24"/>
          <w:szCs w:val="24"/>
        </w:rPr>
      </w:pPr>
      <w:r w:rsidRPr="00213A5D">
        <w:rPr>
          <w:b/>
          <w:color w:val="000000"/>
          <w:sz w:val="24"/>
          <w:szCs w:val="24"/>
        </w:rPr>
        <w:t>В целях поддержания финансовой стабильности бюджетов субъектов</w:t>
      </w:r>
      <w:r w:rsidRPr="00213A5D">
        <w:rPr>
          <w:color w:val="000000"/>
          <w:sz w:val="24"/>
          <w:szCs w:val="24"/>
        </w:rPr>
        <w:t xml:space="preserve"> Российской Федерации в условиях внешнего санкционного давления принят ряд нормативных правовых актов. Согласно Федеральному закону от 1 мая 2022 г. № 128-ФЗ «О внесении изменений в статьи 9 и 10 Федерального закона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w:t>
      </w:r>
      <w:r w:rsidR="002E4A24" w:rsidRPr="00213A5D">
        <w:rPr>
          <w:b/>
          <w:color w:val="000000"/>
          <w:sz w:val="24"/>
          <w:szCs w:val="24"/>
        </w:rPr>
        <w:t>Минфин России</w:t>
      </w:r>
      <w:r w:rsidRPr="00213A5D">
        <w:rPr>
          <w:b/>
          <w:color w:val="000000"/>
          <w:sz w:val="24"/>
          <w:szCs w:val="24"/>
        </w:rPr>
        <w:t xml:space="preserve"> вправе предоставлять регионам бюджетные кредиты</w:t>
      </w:r>
      <w:r w:rsidRPr="00213A5D">
        <w:rPr>
          <w:color w:val="000000"/>
          <w:sz w:val="24"/>
          <w:szCs w:val="24"/>
        </w:rPr>
        <w:t xml:space="preserve"> в объеме до 390,7 млрд. рублей </w:t>
      </w:r>
      <w:r w:rsidRPr="00213A5D">
        <w:rPr>
          <w:b/>
          <w:color w:val="000000"/>
          <w:sz w:val="24"/>
          <w:szCs w:val="24"/>
        </w:rPr>
        <w:t>для погашения коммерческой задолженности</w:t>
      </w:r>
      <w:r w:rsidRPr="00213A5D">
        <w:rPr>
          <w:color w:val="000000"/>
          <w:sz w:val="24"/>
          <w:szCs w:val="24"/>
        </w:rPr>
        <w:t xml:space="preserve"> субъектов Российской Федерации (муниципальных образований), сложившейся на 1 января 2022 года и подлежащей погашению в марте – декабре 2022 года. Федеральным законом от 28 мая 2022 г. № 146-ФЗ </w:t>
      </w:r>
      <w:r w:rsidR="001130C8" w:rsidRPr="00213A5D">
        <w:rPr>
          <w:color w:val="000000"/>
          <w:sz w:val="24"/>
          <w:szCs w:val="24"/>
        </w:rPr>
        <w:t xml:space="preserve">«О внесении изменений в статью 166.1 Бюджетного кодекса Российской Федерации и статьи 9 и 10 Федерального закона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(далее – Федеральный закон от 28 мая 2022 г. № 146-ФЗ) </w:t>
      </w:r>
      <w:r w:rsidRPr="00213A5D">
        <w:rPr>
          <w:color w:val="000000"/>
          <w:sz w:val="24"/>
          <w:szCs w:val="24"/>
        </w:rPr>
        <w:t xml:space="preserve">указанный лимит увеличен </w:t>
      </w:r>
      <w:r w:rsidRPr="00213A5D">
        <w:rPr>
          <w:b/>
          <w:color w:val="000000"/>
          <w:sz w:val="24"/>
          <w:szCs w:val="24"/>
        </w:rPr>
        <w:t>до 420 млрд. рублей</w:t>
      </w:r>
      <w:r w:rsidRPr="00213A5D">
        <w:rPr>
          <w:color w:val="000000"/>
          <w:sz w:val="24"/>
          <w:szCs w:val="24"/>
        </w:rPr>
        <w:t xml:space="preserve">. Соответствующие изменения в показатели сводной бюджетной росписи внесены в июне 2022 года. </w:t>
      </w:r>
    </w:p>
    <w:p w14:paraId="1379260D" w14:textId="77777777" w:rsidR="002331ED" w:rsidRPr="00213A5D" w:rsidRDefault="002331ED" w:rsidP="003D26EA">
      <w:pPr>
        <w:widowControl w:val="0"/>
        <w:shd w:val="clear" w:color="auto" w:fill="FFFFFF"/>
        <w:spacing w:line="343" w:lineRule="auto"/>
        <w:ind w:left="0" w:right="0"/>
        <w:textAlignment w:val="auto"/>
        <w:rPr>
          <w:color w:val="000000"/>
          <w:sz w:val="24"/>
          <w:szCs w:val="24"/>
        </w:rPr>
      </w:pPr>
      <w:r w:rsidRPr="00213A5D">
        <w:rPr>
          <w:color w:val="000000"/>
          <w:sz w:val="24"/>
          <w:szCs w:val="24"/>
        </w:rPr>
        <w:lastRenderedPageBreak/>
        <w:t xml:space="preserve">По состоянию на 1 октября 2022 года 65 субъектам Российской Федерации предоставлены бюджетные кредиты на указанные цели в сумме 342 287,2 млн. рублей, или </w:t>
      </w:r>
      <w:r w:rsidRPr="00213A5D">
        <w:rPr>
          <w:b/>
          <w:color w:val="000000"/>
          <w:sz w:val="24"/>
          <w:szCs w:val="24"/>
        </w:rPr>
        <w:t>81,5 %</w:t>
      </w:r>
      <w:r w:rsidRPr="00213A5D">
        <w:rPr>
          <w:color w:val="000000"/>
          <w:sz w:val="24"/>
          <w:szCs w:val="24"/>
        </w:rPr>
        <w:t xml:space="preserve"> бюджетных ассигнований. При этом в </w:t>
      </w:r>
      <w:r w:rsidRPr="00213A5D">
        <w:rPr>
          <w:color w:val="000000"/>
          <w:sz w:val="24"/>
          <w:szCs w:val="24"/>
          <w:lang w:val="en-US"/>
        </w:rPr>
        <w:t>III</w:t>
      </w:r>
      <w:r w:rsidRPr="00213A5D">
        <w:rPr>
          <w:color w:val="000000"/>
          <w:sz w:val="24"/>
          <w:szCs w:val="24"/>
        </w:rPr>
        <w:t xml:space="preserve"> квартале 2022 года Новосибирская область осуществила добровольное частичное досрочное погашение задолженности по указанным бюджетным кредитам в объеме 15,0 млн. рублей.</w:t>
      </w:r>
    </w:p>
    <w:p w14:paraId="29B5771F" w14:textId="77777777" w:rsidR="002331ED" w:rsidRPr="00213A5D" w:rsidRDefault="002331ED" w:rsidP="003D26EA">
      <w:pPr>
        <w:widowControl w:val="0"/>
        <w:shd w:val="clear" w:color="auto" w:fill="FFFFFF"/>
        <w:spacing w:line="343" w:lineRule="auto"/>
        <w:ind w:left="0" w:right="0"/>
        <w:textAlignment w:val="auto"/>
        <w:rPr>
          <w:color w:val="000000"/>
          <w:sz w:val="24"/>
          <w:szCs w:val="24"/>
        </w:rPr>
      </w:pPr>
      <w:r w:rsidRPr="00213A5D">
        <w:rPr>
          <w:color w:val="000000"/>
          <w:sz w:val="24"/>
          <w:szCs w:val="24"/>
        </w:rPr>
        <w:t xml:space="preserve">Кроме того, Федеральным законом от 1 мая 2022 г. № 128-ФЗ Правительству Российской Федерации предоставлено право </w:t>
      </w:r>
      <w:r w:rsidRPr="00213A5D">
        <w:rPr>
          <w:b/>
          <w:color w:val="000000"/>
          <w:sz w:val="24"/>
          <w:szCs w:val="24"/>
        </w:rPr>
        <w:t>провести в 2022 году реструктуризацию задолженности регионов</w:t>
      </w:r>
      <w:r w:rsidRPr="00213A5D">
        <w:rPr>
          <w:color w:val="000000"/>
          <w:sz w:val="24"/>
          <w:szCs w:val="24"/>
        </w:rPr>
        <w:t xml:space="preserve"> перед Российской Федерацией по бюджетным кредитам в пределах остатков не погашенной на дату реструктуризации задолженности по бюджетным кредитам, предоставленным для частичного покрытия дефицитов бюджетов субъектов, срок погашения которых наступает в 2022 году. Соответствующие правила проведения реструктуризации утверждены постановлением Правительства Российской Федерации 28 мая 2022 г. № 976, согласно которым в 2022 году задолженность не подлежит погашению, в 2023</w:t>
      </w:r>
      <w:r w:rsidR="00D41CDF" w:rsidRPr="00213A5D">
        <w:rPr>
          <w:color w:val="000000"/>
          <w:sz w:val="24"/>
          <w:szCs w:val="24"/>
        </w:rPr>
        <w:t>–</w:t>
      </w:r>
      <w:r w:rsidRPr="00213A5D">
        <w:rPr>
          <w:color w:val="000000"/>
          <w:sz w:val="24"/>
          <w:szCs w:val="24"/>
        </w:rPr>
        <w:t>2024 годах ежегодно возвращается 5 % суммы задолженности, в 2025</w:t>
      </w:r>
      <w:r w:rsidR="00D41CDF" w:rsidRPr="00213A5D">
        <w:rPr>
          <w:color w:val="000000"/>
          <w:sz w:val="24"/>
          <w:szCs w:val="24"/>
        </w:rPr>
        <w:t>–</w:t>
      </w:r>
      <w:r w:rsidRPr="00213A5D">
        <w:rPr>
          <w:color w:val="000000"/>
          <w:sz w:val="24"/>
          <w:szCs w:val="24"/>
        </w:rPr>
        <w:t xml:space="preserve">2029 годах остаток долга гасится равными долями. Предусмотрена возможность досрочного погашения, плата за рассрочку составляет 0,1% годовых. Для реструктуризации регионы должны принять на себя ряд обязательств, в числе которых - направление высвободившихся средств на строительство или реконструкцию инфраструктурных объектов, важных для развития региона. </w:t>
      </w:r>
    </w:p>
    <w:p w14:paraId="31A7B528" w14:textId="77777777" w:rsidR="002331ED" w:rsidRPr="00213A5D" w:rsidRDefault="002331ED" w:rsidP="003D26EA">
      <w:pPr>
        <w:widowControl w:val="0"/>
        <w:shd w:val="clear" w:color="auto" w:fill="FFFFFF"/>
        <w:spacing w:line="343" w:lineRule="auto"/>
        <w:ind w:left="0" w:right="0"/>
        <w:textAlignment w:val="auto"/>
        <w:rPr>
          <w:color w:val="000000"/>
          <w:sz w:val="24"/>
          <w:szCs w:val="24"/>
        </w:rPr>
      </w:pPr>
      <w:r w:rsidRPr="00213A5D">
        <w:rPr>
          <w:color w:val="000000"/>
          <w:sz w:val="24"/>
          <w:szCs w:val="24"/>
        </w:rPr>
        <w:t>По информации Минфина России</w:t>
      </w:r>
      <w:r w:rsidRPr="00213A5D">
        <w:rPr>
          <w:color w:val="000000"/>
          <w:sz w:val="24"/>
          <w:szCs w:val="24"/>
          <w:vertAlign w:val="superscript"/>
        </w:rPr>
        <w:footnoteReference w:id="52"/>
      </w:r>
      <w:r w:rsidRPr="00213A5D">
        <w:rPr>
          <w:color w:val="000000"/>
          <w:sz w:val="24"/>
          <w:szCs w:val="24"/>
        </w:rPr>
        <w:t xml:space="preserve"> по состоянию на 1 октября 2022 года соответствующие дополнительные соглашения заключены с Республикой Бурятия и Московской областью. </w:t>
      </w:r>
    </w:p>
    <w:p w14:paraId="09DD91A8" w14:textId="77777777" w:rsidR="002331ED" w:rsidRPr="00213A5D" w:rsidRDefault="002331ED" w:rsidP="003D26EA">
      <w:pPr>
        <w:widowControl w:val="0"/>
        <w:overflowPunct/>
        <w:autoSpaceDE/>
        <w:autoSpaceDN/>
        <w:adjustRightInd/>
        <w:spacing w:line="343" w:lineRule="auto"/>
        <w:ind w:left="0" w:right="0"/>
        <w:textAlignment w:val="auto"/>
        <w:rPr>
          <w:rFonts w:eastAsia="Times New Roman"/>
          <w:bCs/>
          <w:color w:val="000000"/>
          <w:sz w:val="24"/>
          <w:szCs w:val="24"/>
        </w:rPr>
      </w:pPr>
      <w:r w:rsidRPr="00213A5D">
        <w:rPr>
          <w:rFonts w:eastAsia="Times New Roman"/>
          <w:b/>
          <w:bCs/>
          <w:color w:val="000000"/>
          <w:sz w:val="24"/>
          <w:szCs w:val="24"/>
        </w:rPr>
        <w:t>11.8.</w:t>
      </w:r>
      <w:r w:rsidRPr="00213A5D">
        <w:rPr>
          <w:rFonts w:eastAsia="Times New Roman"/>
          <w:bCs/>
          <w:color w:val="000000"/>
          <w:sz w:val="24"/>
          <w:szCs w:val="24"/>
        </w:rPr>
        <w:t xml:space="preserve"> Информация об объемах размещений средств единого счета федерального бюджета (ЕСФБ) </w:t>
      </w:r>
      <w:r w:rsidRPr="00213A5D">
        <w:rPr>
          <w:rFonts w:eastAsia="Times New Roman"/>
          <w:b/>
          <w:bCs/>
          <w:color w:val="000000"/>
          <w:sz w:val="24"/>
          <w:szCs w:val="24"/>
        </w:rPr>
        <w:t>в рамках операций по управлению остатками</w:t>
      </w:r>
      <w:r w:rsidRPr="00213A5D">
        <w:rPr>
          <w:rFonts w:eastAsia="Times New Roman"/>
          <w:bCs/>
          <w:color w:val="000000"/>
          <w:sz w:val="24"/>
          <w:szCs w:val="24"/>
        </w:rPr>
        <w:t xml:space="preserve"> на едином счете федерального бюджета в январе </w:t>
      </w:r>
      <w:r w:rsidR="00D41CDF" w:rsidRPr="00213A5D">
        <w:rPr>
          <w:color w:val="000000"/>
          <w:sz w:val="24"/>
          <w:szCs w:val="24"/>
        </w:rPr>
        <w:t>–</w:t>
      </w:r>
      <w:r w:rsidRPr="00213A5D">
        <w:rPr>
          <w:rFonts w:eastAsia="Times New Roman"/>
          <w:bCs/>
          <w:color w:val="000000"/>
          <w:sz w:val="24"/>
          <w:szCs w:val="24"/>
        </w:rPr>
        <w:t xml:space="preserve"> сентябре 2020</w:t>
      </w:r>
      <w:r w:rsidR="00D41CDF" w:rsidRPr="00213A5D">
        <w:rPr>
          <w:color w:val="000000"/>
          <w:sz w:val="24"/>
          <w:szCs w:val="24"/>
        </w:rPr>
        <w:t>–</w:t>
      </w:r>
      <w:r w:rsidRPr="00213A5D">
        <w:rPr>
          <w:rFonts w:eastAsia="Times New Roman"/>
          <w:bCs/>
          <w:color w:val="000000"/>
          <w:sz w:val="24"/>
          <w:szCs w:val="24"/>
        </w:rPr>
        <w:t>2022 годов в разрезе операций представлена на следующей диаграмме.</w:t>
      </w:r>
    </w:p>
    <w:p w14:paraId="14299082" w14:textId="77777777" w:rsidR="002331ED" w:rsidRPr="00213A5D" w:rsidRDefault="00CD0E98" w:rsidP="00AF1852">
      <w:pPr>
        <w:widowControl w:val="0"/>
        <w:overflowPunct/>
        <w:autoSpaceDE/>
        <w:autoSpaceDN/>
        <w:adjustRightInd/>
        <w:ind w:left="0" w:right="0" w:firstLine="0"/>
        <w:textAlignment w:val="auto"/>
        <w:rPr>
          <w:rFonts w:eastAsia="Times New Roman"/>
          <w:color w:val="000000"/>
          <w:sz w:val="24"/>
          <w:szCs w:val="24"/>
        </w:rPr>
      </w:pPr>
      <w:r>
        <w:rPr>
          <w:noProof/>
          <w:color w:val="000000"/>
        </w:rPr>
        <w:pict w14:anchorId="4A6E959C">
          <v:shape id="Рисунок 25" o:spid="_x0000_i1029" type="#_x0000_t75" alt="" style="width:501.3pt;height:135.85pt;visibility:visible;mso-width-percent:0;mso-height-percent:0;mso-width-percent:0;mso-height-percent:0">
            <v:imagedata r:id="rId82" o:title=""/>
          </v:shape>
        </w:pict>
      </w:r>
    </w:p>
    <w:p w14:paraId="199980BA" w14:textId="77777777" w:rsidR="0086472E" w:rsidRPr="00213A5D" w:rsidRDefault="0086472E" w:rsidP="003931D3">
      <w:pPr>
        <w:widowControl w:val="0"/>
        <w:overflowPunct/>
        <w:autoSpaceDE/>
        <w:adjustRightInd/>
        <w:spacing w:line="240" w:lineRule="auto"/>
        <w:ind w:left="0" w:right="0" w:firstLine="0"/>
        <w:rPr>
          <w:sz w:val="12"/>
          <w:szCs w:val="12"/>
        </w:rPr>
      </w:pPr>
    </w:p>
    <w:p w14:paraId="30EC2D92" w14:textId="77777777" w:rsidR="002331ED" w:rsidRPr="00213A5D" w:rsidRDefault="002331ED" w:rsidP="003D26EA">
      <w:pPr>
        <w:widowControl w:val="0"/>
        <w:overflowPunct/>
        <w:autoSpaceDE/>
        <w:autoSpaceDN/>
        <w:adjustRightInd/>
        <w:spacing w:line="348" w:lineRule="auto"/>
        <w:ind w:left="0" w:right="0"/>
        <w:textAlignment w:val="auto"/>
        <w:rPr>
          <w:rFonts w:eastAsia="Times New Roman"/>
          <w:color w:val="000000"/>
          <w:sz w:val="24"/>
          <w:szCs w:val="24"/>
        </w:rPr>
      </w:pPr>
      <w:r w:rsidRPr="00213A5D">
        <w:rPr>
          <w:rFonts w:eastAsia="Times New Roman"/>
          <w:b/>
          <w:color w:val="000000"/>
          <w:sz w:val="24"/>
          <w:szCs w:val="24"/>
        </w:rPr>
        <w:t>Федеральное казначейство разместило</w:t>
      </w:r>
      <w:r w:rsidRPr="00213A5D">
        <w:rPr>
          <w:rFonts w:eastAsia="Times New Roman"/>
          <w:color w:val="000000"/>
          <w:sz w:val="24"/>
          <w:szCs w:val="24"/>
        </w:rPr>
        <w:t xml:space="preserve"> 1 753 189,3 млн. рублей, что </w:t>
      </w:r>
      <w:r w:rsidRPr="00213A5D">
        <w:rPr>
          <w:rFonts w:eastAsia="Times New Roman"/>
          <w:b/>
          <w:color w:val="000000"/>
          <w:sz w:val="24"/>
          <w:szCs w:val="24"/>
        </w:rPr>
        <w:t xml:space="preserve">в 17,3 раза </w:t>
      </w:r>
      <w:r w:rsidRPr="00213A5D">
        <w:rPr>
          <w:rFonts w:eastAsia="Times New Roman"/>
          <w:b/>
          <w:color w:val="000000"/>
          <w:sz w:val="24"/>
          <w:szCs w:val="24"/>
        </w:rPr>
        <w:lastRenderedPageBreak/>
        <w:t>меньше, чем в аналогичном периоде 2021 года</w:t>
      </w:r>
      <w:r w:rsidRPr="00213A5D">
        <w:rPr>
          <w:rFonts w:eastAsia="Times New Roman"/>
          <w:color w:val="000000"/>
          <w:sz w:val="24"/>
          <w:szCs w:val="24"/>
        </w:rPr>
        <w:t xml:space="preserve"> (30 276 946,7 млн. рублей).</w:t>
      </w:r>
    </w:p>
    <w:p w14:paraId="6F9D173F" w14:textId="77777777" w:rsidR="002331ED" w:rsidRPr="00213A5D" w:rsidRDefault="002331ED" w:rsidP="003D26EA">
      <w:pPr>
        <w:widowControl w:val="0"/>
        <w:overflowPunct/>
        <w:autoSpaceDE/>
        <w:autoSpaceDN/>
        <w:adjustRightInd/>
        <w:spacing w:line="348" w:lineRule="auto"/>
        <w:ind w:left="0" w:right="0"/>
        <w:textAlignment w:val="auto"/>
        <w:rPr>
          <w:rFonts w:eastAsia="Times New Roman"/>
          <w:bCs/>
          <w:color w:val="000000"/>
          <w:sz w:val="24"/>
          <w:szCs w:val="24"/>
        </w:rPr>
      </w:pPr>
      <w:r w:rsidRPr="00213A5D">
        <w:rPr>
          <w:rFonts w:eastAsia="Times New Roman"/>
          <w:bCs/>
          <w:color w:val="000000"/>
          <w:sz w:val="24"/>
          <w:szCs w:val="24"/>
        </w:rPr>
        <w:t xml:space="preserve">По состоянию на 1 октября 2022 года объем остатков средств федерального бюджета, находящихся в </w:t>
      </w:r>
      <w:r w:rsidRPr="00213A5D">
        <w:rPr>
          <w:rFonts w:eastAsia="Times New Roman"/>
          <w:b/>
          <w:bCs/>
          <w:color w:val="000000"/>
          <w:sz w:val="24"/>
          <w:szCs w:val="24"/>
        </w:rPr>
        <w:t>размещении при проведении операций по управлению остатками</w:t>
      </w:r>
      <w:r w:rsidRPr="00213A5D">
        <w:rPr>
          <w:rFonts w:eastAsia="Times New Roman"/>
          <w:bCs/>
          <w:color w:val="000000"/>
          <w:sz w:val="24"/>
          <w:szCs w:val="24"/>
          <w:vertAlign w:val="superscript"/>
        </w:rPr>
        <w:footnoteReference w:id="53"/>
      </w:r>
      <w:r w:rsidRPr="00213A5D">
        <w:rPr>
          <w:rFonts w:eastAsia="Times New Roman"/>
          <w:b/>
          <w:bCs/>
          <w:color w:val="000000"/>
          <w:sz w:val="24"/>
          <w:szCs w:val="24"/>
        </w:rPr>
        <w:t xml:space="preserve">, срок возврата которых не наступил, составляет </w:t>
      </w:r>
      <w:r w:rsidR="00CB0409" w:rsidRPr="00213A5D">
        <w:rPr>
          <w:rFonts w:eastAsia="Times New Roman"/>
          <w:b/>
          <w:bCs/>
          <w:color w:val="000000"/>
          <w:sz w:val="24"/>
          <w:szCs w:val="24"/>
        </w:rPr>
        <w:t>861 022,2</w:t>
      </w:r>
      <w:r w:rsidRPr="00213A5D">
        <w:rPr>
          <w:rFonts w:eastAsia="Times New Roman"/>
          <w:b/>
          <w:bCs/>
          <w:color w:val="000000"/>
          <w:sz w:val="24"/>
          <w:szCs w:val="24"/>
        </w:rPr>
        <w:t xml:space="preserve"> млн. рублей, из них </w:t>
      </w:r>
      <w:r w:rsidRPr="00213A5D">
        <w:rPr>
          <w:rFonts w:eastAsia="Times New Roman"/>
          <w:bCs/>
          <w:color w:val="000000"/>
          <w:sz w:val="24"/>
          <w:szCs w:val="24"/>
        </w:rPr>
        <w:t xml:space="preserve">на депозитах – </w:t>
      </w:r>
      <w:r w:rsidRPr="00213A5D">
        <w:rPr>
          <w:rFonts w:eastAsia="Times New Roman"/>
          <w:color w:val="000000"/>
          <w:sz w:val="24"/>
          <w:szCs w:val="24"/>
        </w:rPr>
        <w:t xml:space="preserve">700 000,0 </w:t>
      </w:r>
      <w:r w:rsidRPr="00213A5D">
        <w:rPr>
          <w:rFonts w:eastAsia="Times New Roman"/>
          <w:bCs/>
          <w:color w:val="000000"/>
          <w:sz w:val="24"/>
          <w:szCs w:val="24"/>
        </w:rPr>
        <w:t xml:space="preserve">млн. рублей, по договорам репо – </w:t>
      </w:r>
      <w:r w:rsidRPr="00213A5D">
        <w:rPr>
          <w:snapToGrid w:val="0"/>
          <w:color w:val="000000"/>
          <w:sz w:val="24"/>
          <w:szCs w:val="24"/>
          <w:lang w:eastAsia="x-none"/>
        </w:rPr>
        <w:t xml:space="preserve">104 000,0 </w:t>
      </w:r>
      <w:r w:rsidRPr="00213A5D">
        <w:rPr>
          <w:rFonts w:eastAsia="Times New Roman"/>
          <w:bCs/>
          <w:color w:val="000000"/>
          <w:sz w:val="24"/>
          <w:szCs w:val="24"/>
        </w:rPr>
        <w:t xml:space="preserve">млн. рублей, бюджетные кредиты </w:t>
      </w:r>
      <w:r w:rsidR="00CB0409" w:rsidRPr="00213A5D">
        <w:rPr>
          <w:rFonts w:eastAsia="Times New Roman"/>
          <w:bCs/>
          <w:color w:val="000000"/>
          <w:sz w:val="24"/>
          <w:szCs w:val="24"/>
        </w:rPr>
        <w:br/>
      </w:r>
      <w:r w:rsidRPr="00213A5D">
        <w:rPr>
          <w:rFonts w:eastAsia="Times New Roman"/>
          <w:bCs/>
          <w:color w:val="000000"/>
          <w:sz w:val="24"/>
          <w:szCs w:val="24"/>
        </w:rPr>
        <w:t>на пополнение остатков средств на счетах бюджетов субъектов Российской Федерации – 57 022,2 млн. рублей.</w:t>
      </w:r>
    </w:p>
    <w:p w14:paraId="7891CA96" w14:textId="77777777" w:rsidR="002331ED" w:rsidRPr="00213A5D" w:rsidRDefault="002331ED" w:rsidP="003D26EA">
      <w:pPr>
        <w:widowControl w:val="0"/>
        <w:overflowPunct/>
        <w:autoSpaceDE/>
        <w:autoSpaceDN/>
        <w:adjustRightInd/>
        <w:spacing w:line="348" w:lineRule="auto"/>
        <w:ind w:left="0" w:right="0" w:firstLine="720"/>
        <w:textAlignment w:val="auto"/>
        <w:rPr>
          <w:rFonts w:eastAsia="Times New Roman"/>
          <w:color w:val="000000"/>
          <w:sz w:val="24"/>
          <w:szCs w:val="24"/>
        </w:rPr>
      </w:pPr>
      <w:r w:rsidRPr="00213A5D">
        <w:rPr>
          <w:rFonts w:eastAsia="Times New Roman"/>
          <w:b/>
          <w:bCs/>
          <w:color w:val="000000"/>
          <w:sz w:val="24"/>
          <w:szCs w:val="24"/>
        </w:rPr>
        <w:t>11.8.1. </w:t>
      </w:r>
      <w:r w:rsidRPr="00213A5D">
        <w:rPr>
          <w:rFonts w:eastAsia="Times New Roman"/>
          <w:color w:val="000000"/>
          <w:sz w:val="24"/>
          <w:szCs w:val="24"/>
        </w:rPr>
        <w:t xml:space="preserve">В отчетном периоде 2022 года на </w:t>
      </w:r>
      <w:r w:rsidRPr="00213A5D">
        <w:rPr>
          <w:rFonts w:eastAsia="Times New Roman"/>
          <w:b/>
          <w:color w:val="000000"/>
          <w:sz w:val="24"/>
          <w:szCs w:val="24"/>
        </w:rPr>
        <w:t>банковские депозиты размещено</w:t>
      </w:r>
      <w:r w:rsidRPr="00213A5D">
        <w:rPr>
          <w:rFonts w:eastAsia="Times New Roman"/>
          <w:color w:val="000000"/>
          <w:sz w:val="24"/>
          <w:szCs w:val="24"/>
        </w:rPr>
        <w:t xml:space="preserve"> 642 000,0 млн. рублей, что </w:t>
      </w:r>
      <w:r w:rsidRPr="00213A5D">
        <w:rPr>
          <w:rFonts w:eastAsia="Times New Roman"/>
          <w:b/>
          <w:color w:val="000000"/>
          <w:sz w:val="24"/>
          <w:szCs w:val="24"/>
        </w:rPr>
        <w:t>в 13,0 раза меньше,</w:t>
      </w:r>
      <w:r w:rsidRPr="00213A5D">
        <w:rPr>
          <w:rFonts w:eastAsia="Times New Roman"/>
          <w:color w:val="000000"/>
          <w:sz w:val="24"/>
          <w:szCs w:val="24"/>
        </w:rPr>
        <w:t xml:space="preserve"> чем в аналогичном периоде 2021 года. Размещения средств ЕСФБ проводились в валюте Российской Федерации по плавающей процентной ставке</w:t>
      </w:r>
      <w:r w:rsidRPr="00213A5D">
        <w:rPr>
          <w:rFonts w:eastAsia="Times New Roman"/>
          <w:color w:val="000000"/>
          <w:sz w:val="24"/>
          <w:szCs w:val="24"/>
          <w:vertAlign w:val="superscript"/>
        </w:rPr>
        <w:footnoteReference w:id="54"/>
      </w:r>
      <w:r w:rsidRPr="00213A5D">
        <w:rPr>
          <w:rFonts w:eastAsia="Times New Roman"/>
          <w:color w:val="000000"/>
          <w:sz w:val="24"/>
          <w:szCs w:val="24"/>
        </w:rPr>
        <w:t xml:space="preserve">, 64,1 % всех депозитов размещались в двух кредитных организациях, 35,9 % – на депозитах в 8 кредитных организациях. </w:t>
      </w:r>
      <w:r w:rsidRPr="00213A5D">
        <w:rPr>
          <w:rFonts w:eastAsia="Times New Roman"/>
          <w:b/>
          <w:color w:val="000000"/>
          <w:sz w:val="24"/>
          <w:szCs w:val="24"/>
        </w:rPr>
        <w:t>Средневзвешенный срок размещения</w:t>
      </w:r>
      <w:r w:rsidRPr="00213A5D">
        <w:rPr>
          <w:rFonts w:eastAsia="Times New Roman"/>
          <w:color w:val="000000"/>
          <w:sz w:val="24"/>
          <w:szCs w:val="24"/>
        </w:rPr>
        <w:t xml:space="preserve"> средств ЕСФБ на банковские депозиты в валюте Российской Федерации </w:t>
      </w:r>
      <w:r w:rsidRPr="00213A5D">
        <w:rPr>
          <w:rFonts w:eastAsia="Times New Roman"/>
          <w:b/>
          <w:color w:val="000000"/>
          <w:sz w:val="24"/>
          <w:szCs w:val="24"/>
        </w:rPr>
        <w:t>увеличился</w:t>
      </w:r>
      <w:r w:rsidRPr="00213A5D">
        <w:rPr>
          <w:rFonts w:eastAsia="Times New Roman"/>
          <w:color w:val="000000"/>
          <w:sz w:val="24"/>
          <w:szCs w:val="24"/>
        </w:rPr>
        <w:t xml:space="preserve"> до </w:t>
      </w:r>
      <w:r w:rsidRPr="00213A5D">
        <w:rPr>
          <w:rFonts w:eastAsia="Times New Roman"/>
          <w:b/>
          <w:color w:val="000000"/>
          <w:sz w:val="24"/>
          <w:szCs w:val="24"/>
        </w:rPr>
        <w:t xml:space="preserve">74 дней </w:t>
      </w:r>
      <w:r w:rsidRPr="00213A5D">
        <w:rPr>
          <w:rFonts w:eastAsia="Times New Roman"/>
          <w:bCs/>
          <w:color w:val="000000"/>
          <w:sz w:val="24"/>
          <w:szCs w:val="24"/>
        </w:rPr>
        <w:t>по сравнению с аналогичным периодом 2021 года (56 дней).</w:t>
      </w:r>
      <w:r w:rsidRPr="00213A5D">
        <w:rPr>
          <w:rFonts w:eastAsia="Times New Roman"/>
          <w:color w:val="000000"/>
          <w:sz w:val="24"/>
          <w:szCs w:val="24"/>
        </w:rPr>
        <w:t xml:space="preserve"> В иностранной валюте в отчетном периоде 2022 года размещение средств ЕСФБ на банковские депозиты и их возврат </w:t>
      </w:r>
      <w:r w:rsidRPr="00213A5D">
        <w:rPr>
          <w:rFonts w:eastAsia="Times New Roman"/>
          <w:b/>
          <w:color w:val="000000"/>
          <w:sz w:val="24"/>
          <w:szCs w:val="24"/>
        </w:rPr>
        <w:t>не проводились</w:t>
      </w:r>
      <w:r w:rsidRPr="00213A5D">
        <w:rPr>
          <w:rFonts w:eastAsia="Times New Roman"/>
          <w:color w:val="000000"/>
          <w:sz w:val="24"/>
          <w:szCs w:val="24"/>
        </w:rPr>
        <w:t xml:space="preserve">. </w:t>
      </w:r>
    </w:p>
    <w:p w14:paraId="0C15E2B1" w14:textId="77777777" w:rsidR="002331ED" w:rsidRPr="00213A5D" w:rsidRDefault="002331ED" w:rsidP="003D26EA">
      <w:pPr>
        <w:widowControl w:val="0"/>
        <w:overflowPunct/>
        <w:autoSpaceDE/>
        <w:autoSpaceDN/>
        <w:adjustRightInd/>
        <w:spacing w:line="348" w:lineRule="auto"/>
        <w:ind w:left="0" w:right="0" w:firstLine="720"/>
        <w:textAlignment w:val="auto"/>
        <w:rPr>
          <w:rFonts w:eastAsia="Times New Roman"/>
          <w:snapToGrid w:val="0"/>
          <w:color w:val="000000"/>
          <w:sz w:val="24"/>
          <w:szCs w:val="24"/>
          <w:lang w:eastAsia="x-none"/>
        </w:rPr>
      </w:pPr>
      <w:r w:rsidRPr="00213A5D">
        <w:rPr>
          <w:rFonts w:eastAsia="Times New Roman"/>
          <w:b/>
          <w:color w:val="000000"/>
          <w:sz w:val="24"/>
          <w:szCs w:val="24"/>
        </w:rPr>
        <w:t>Доходы от проведения указанных операций</w:t>
      </w:r>
      <w:r w:rsidRPr="00213A5D">
        <w:rPr>
          <w:rFonts w:eastAsia="Times New Roman"/>
          <w:color w:val="000000"/>
          <w:sz w:val="24"/>
          <w:szCs w:val="24"/>
        </w:rPr>
        <w:t xml:space="preserve"> в январе – сентябре 2022 года составили 45 573,0 млн. рублей, что на 2 334,7 млн. рублей, или на 4,9 %, меньше, чем в аналогичном периоде 2021 года. Указанное снижение обусловлено</w:t>
      </w:r>
      <w:r w:rsidR="004A72FF" w:rsidRPr="00213A5D">
        <w:rPr>
          <w:rFonts w:eastAsia="Times New Roman"/>
          <w:color w:val="000000"/>
          <w:sz w:val="24"/>
          <w:szCs w:val="24"/>
        </w:rPr>
        <w:t xml:space="preserve"> в основном</w:t>
      </w:r>
      <w:r w:rsidRPr="00213A5D">
        <w:rPr>
          <w:rFonts w:eastAsia="Times New Roman"/>
          <w:color w:val="000000"/>
          <w:sz w:val="24"/>
          <w:szCs w:val="24"/>
        </w:rPr>
        <w:t xml:space="preserve"> сокращением объемов размещений средств ЕСФБ. </w:t>
      </w:r>
    </w:p>
    <w:p w14:paraId="3EA66011" w14:textId="77777777" w:rsidR="002331ED" w:rsidRPr="00213A5D" w:rsidRDefault="002331ED" w:rsidP="003D26EA">
      <w:pPr>
        <w:widowControl w:val="0"/>
        <w:overflowPunct/>
        <w:autoSpaceDE/>
        <w:autoSpaceDN/>
        <w:adjustRightInd/>
        <w:spacing w:line="348" w:lineRule="auto"/>
        <w:ind w:left="0" w:right="0" w:firstLine="720"/>
        <w:textAlignment w:val="auto"/>
        <w:rPr>
          <w:snapToGrid w:val="0"/>
          <w:color w:val="000000"/>
          <w:sz w:val="24"/>
          <w:szCs w:val="24"/>
          <w:lang w:eastAsia="x-none"/>
        </w:rPr>
      </w:pPr>
      <w:r w:rsidRPr="00213A5D">
        <w:rPr>
          <w:rFonts w:eastAsia="Times New Roman"/>
          <w:b/>
          <w:bCs/>
          <w:color w:val="000000"/>
          <w:sz w:val="24"/>
          <w:szCs w:val="24"/>
        </w:rPr>
        <w:t>11.8.2.</w:t>
      </w:r>
      <w:r w:rsidRPr="00213A5D">
        <w:rPr>
          <w:rFonts w:eastAsia="Times New Roman"/>
          <w:bCs/>
          <w:color w:val="000000"/>
          <w:sz w:val="24"/>
          <w:szCs w:val="24"/>
        </w:rPr>
        <w:t> </w:t>
      </w:r>
      <w:r w:rsidRPr="00213A5D">
        <w:rPr>
          <w:snapToGrid w:val="0"/>
          <w:color w:val="000000"/>
          <w:sz w:val="24"/>
          <w:szCs w:val="24"/>
          <w:lang w:eastAsia="x-none"/>
        </w:rPr>
        <w:t xml:space="preserve">В отчетном периоде 2022 года объем размещений средств ЕСФБ по </w:t>
      </w:r>
      <w:r w:rsidRPr="00213A5D">
        <w:rPr>
          <w:b/>
          <w:snapToGrid w:val="0"/>
          <w:color w:val="000000"/>
          <w:sz w:val="24"/>
          <w:szCs w:val="24"/>
          <w:lang w:eastAsia="x-none"/>
        </w:rPr>
        <w:t>договорам репо</w:t>
      </w:r>
      <w:r w:rsidRPr="00213A5D">
        <w:rPr>
          <w:snapToGrid w:val="0"/>
          <w:color w:val="000000"/>
          <w:sz w:val="24"/>
          <w:szCs w:val="24"/>
          <w:lang w:eastAsia="x-none"/>
        </w:rPr>
        <w:t xml:space="preserve"> составил 565 300,0 млн. рублей, что </w:t>
      </w:r>
      <w:r w:rsidRPr="00213A5D">
        <w:rPr>
          <w:b/>
          <w:snapToGrid w:val="0"/>
          <w:color w:val="000000"/>
          <w:sz w:val="24"/>
          <w:szCs w:val="24"/>
          <w:lang w:eastAsia="x-none"/>
        </w:rPr>
        <w:t>в 8,6 раза меньше,</w:t>
      </w:r>
      <w:r w:rsidRPr="00213A5D">
        <w:rPr>
          <w:snapToGrid w:val="0"/>
          <w:color w:val="000000"/>
          <w:sz w:val="24"/>
          <w:szCs w:val="24"/>
          <w:lang w:eastAsia="x-none"/>
        </w:rPr>
        <w:t xml:space="preserve"> чем в аналогичном периоде 2021 года (4 881 231,2 млн. рублей). В отчетном периоде 2022 года размещения осуществлялись на неорганизованных торгах в валюте Российской Федерации по плавающей ставке, рассчитываемой на основании </w:t>
      </w:r>
      <w:r w:rsidRPr="00213A5D">
        <w:rPr>
          <w:snapToGrid w:val="0"/>
          <w:color w:val="000000"/>
          <w:sz w:val="24"/>
          <w:szCs w:val="24"/>
          <w:lang w:val="en-US" w:eastAsia="x-none"/>
        </w:rPr>
        <w:t>RUONIA</w:t>
      </w:r>
      <w:r w:rsidRPr="00213A5D">
        <w:rPr>
          <w:snapToGrid w:val="0"/>
          <w:color w:val="000000"/>
          <w:sz w:val="24"/>
          <w:szCs w:val="24"/>
          <w:lang w:eastAsia="x-none"/>
        </w:rPr>
        <w:t xml:space="preserve">; в иностранной валюте размещение средств ЕСФБ по договорам репо и их возврат </w:t>
      </w:r>
      <w:r w:rsidRPr="00213A5D">
        <w:rPr>
          <w:b/>
          <w:snapToGrid w:val="0"/>
          <w:color w:val="000000"/>
          <w:sz w:val="24"/>
          <w:szCs w:val="24"/>
          <w:lang w:eastAsia="x-none"/>
        </w:rPr>
        <w:t>не осуществлял</w:t>
      </w:r>
      <w:r w:rsidR="00867D74" w:rsidRPr="00213A5D">
        <w:rPr>
          <w:b/>
          <w:snapToGrid w:val="0"/>
          <w:color w:val="000000"/>
          <w:sz w:val="24"/>
          <w:szCs w:val="24"/>
          <w:lang w:eastAsia="x-none"/>
        </w:rPr>
        <w:t>ись</w:t>
      </w:r>
      <w:r w:rsidRPr="00213A5D">
        <w:rPr>
          <w:snapToGrid w:val="0"/>
          <w:color w:val="000000"/>
          <w:sz w:val="24"/>
          <w:szCs w:val="24"/>
          <w:lang w:eastAsia="x-none"/>
        </w:rPr>
        <w:t xml:space="preserve">. Средневзвешенный срок размещения по договорам репо в отчетном периоде </w:t>
      </w:r>
      <w:r w:rsidRPr="00213A5D">
        <w:rPr>
          <w:b/>
          <w:snapToGrid w:val="0"/>
          <w:color w:val="000000"/>
          <w:sz w:val="24"/>
          <w:szCs w:val="24"/>
          <w:lang w:eastAsia="x-none"/>
        </w:rPr>
        <w:t>увеличился до 70 дней</w:t>
      </w:r>
      <w:r w:rsidRPr="00213A5D">
        <w:rPr>
          <w:snapToGrid w:val="0"/>
          <w:color w:val="000000"/>
          <w:sz w:val="24"/>
          <w:szCs w:val="24"/>
          <w:lang w:eastAsia="x-none"/>
        </w:rPr>
        <w:t xml:space="preserve"> </w:t>
      </w:r>
      <w:r w:rsidRPr="00213A5D">
        <w:rPr>
          <w:rFonts w:eastAsia="Times New Roman"/>
          <w:bCs/>
          <w:color w:val="000000"/>
          <w:sz w:val="24"/>
          <w:szCs w:val="24"/>
        </w:rPr>
        <w:t xml:space="preserve">по сравнению с аналогичным периодом 2021 года </w:t>
      </w:r>
      <w:r w:rsidRPr="00213A5D">
        <w:rPr>
          <w:snapToGrid w:val="0"/>
          <w:color w:val="000000"/>
          <w:sz w:val="24"/>
          <w:szCs w:val="24"/>
          <w:lang w:eastAsia="x-none"/>
        </w:rPr>
        <w:t>(59 дней).</w:t>
      </w:r>
    </w:p>
    <w:p w14:paraId="0FC035C2" w14:textId="77777777" w:rsidR="002331ED" w:rsidRPr="00213A5D" w:rsidRDefault="002331ED" w:rsidP="003D26EA">
      <w:pPr>
        <w:widowControl w:val="0"/>
        <w:spacing w:line="348" w:lineRule="auto"/>
        <w:ind w:left="0" w:right="0" w:firstLine="720"/>
        <w:textAlignment w:val="auto"/>
        <w:rPr>
          <w:color w:val="000000"/>
        </w:rPr>
      </w:pPr>
      <w:r w:rsidRPr="00213A5D">
        <w:rPr>
          <w:b/>
          <w:snapToGrid w:val="0"/>
          <w:color w:val="000000"/>
          <w:sz w:val="24"/>
          <w:szCs w:val="24"/>
          <w:lang w:eastAsia="x-none"/>
        </w:rPr>
        <w:t>Доходы</w:t>
      </w:r>
      <w:r w:rsidRPr="00213A5D">
        <w:rPr>
          <w:snapToGrid w:val="0"/>
          <w:color w:val="000000"/>
          <w:sz w:val="24"/>
          <w:szCs w:val="24"/>
          <w:lang w:eastAsia="x-none"/>
        </w:rPr>
        <w:t xml:space="preserve"> федерального бюджета от проведения указанных операций за январь</w:t>
      </w:r>
      <w:r w:rsidR="00867D74" w:rsidRPr="00213A5D">
        <w:rPr>
          <w:snapToGrid w:val="0"/>
          <w:color w:val="000000"/>
          <w:sz w:val="24"/>
          <w:szCs w:val="24"/>
          <w:lang w:eastAsia="x-none"/>
        </w:rPr>
        <w:t xml:space="preserve"> – с</w:t>
      </w:r>
      <w:r w:rsidRPr="00213A5D">
        <w:rPr>
          <w:snapToGrid w:val="0"/>
          <w:color w:val="000000"/>
          <w:sz w:val="24"/>
          <w:szCs w:val="24"/>
          <w:lang w:eastAsia="x-none"/>
        </w:rPr>
        <w:t xml:space="preserve">ентябрь 2022 года составили 22 964,8 млн. рублей, что на 5 833,9 млн. рублей, или </w:t>
      </w:r>
      <w:r w:rsidR="001D0184" w:rsidRPr="00213A5D">
        <w:rPr>
          <w:snapToGrid w:val="0"/>
          <w:color w:val="000000"/>
          <w:sz w:val="24"/>
          <w:szCs w:val="24"/>
          <w:lang w:eastAsia="x-none"/>
        </w:rPr>
        <w:br/>
      </w:r>
      <w:r w:rsidRPr="00213A5D">
        <w:rPr>
          <w:snapToGrid w:val="0"/>
          <w:color w:val="000000"/>
          <w:sz w:val="24"/>
          <w:szCs w:val="24"/>
          <w:lang w:eastAsia="x-none"/>
        </w:rPr>
        <w:t>на 20,3 %</w:t>
      </w:r>
      <w:r w:rsidR="001D0184" w:rsidRPr="00213A5D">
        <w:rPr>
          <w:snapToGrid w:val="0"/>
          <w:color w:val="000000"/>
          <w:sz w:val="24"/>
          <w:szCs w:val="24"/>
          <w:lang w:eastAsia="x-none"/>
        </w:rPr>
        <w:t>,</w:t>
      </w:r>
      <w:r w:rsidRPr="00213A5D">
        <w:rPr>
          <w:snapToGrid w:val="0"/>
          <w:color w:val="000000"/>
          <w:sz w:val="24"/>
          <w:szCs w:val="24"/>
          <w:lang w:eastAsia="x-none"/>
        </w:rPr>
        <w:t xml:space="preserve"> меньше, чем в аналогичном периоде 2021 года. Сложившийся уровень </w:t>
      </w:r>
      <w:r w:rsidRPr="00213A5D">
        <w:rPr>
          <w:snapToGrid w:val="0"/>
          <w:color w:val="000000"/>
          <w:sz w:val="24"/>
          <w:szCs w:val="24"/>
          <w:lang w:eastAsia="x-none"/>
        </w:rPr>
        <w:lastRenderedPageBreak/>
        <w:t>поступлений обусловлен в основном сокращением объемов размещений средств ЕСФБ.</w:t>
      </w:r>
    </w:p>
    <w:p w14:paraId="5BDB1530" w14:textId="77777777" w:rsidR="002331ED" w:rsidRPr="00213A5D" w:rsidRDefault="002331ED" w:rsidP="003D26EA">
      <w:pPr>
        <w:widowControl w:val="0"/>
        <w:spacing w:line="348" w:lineRule="auto"/>
        <w:ind w:left="0" w:right="0" w:firstLine="720"/>
        <w:textAlignment w:val="auto"/>
        <w:rPr>
          <w:snapToGrid w:val="0"/>
          <w:color w:val="000000"/>
          <w:sz w:val="24"/>
          <w:szCs w:val="24"/>
          <w:lang w:eastAsia="x-none"/>
        </w:rPr>
      </w:pPr>
      <w:r w:rsidRPr="00213A5D">
        <w:rPr>
          <w:snapToGrid w:val="0"/>
          <w:color w:val="000000"/>
          <w:sz w:val="24"/>
          <w:szCs w:val="24"/>
          <w:lang w:eastAsia="x-none"/>
        </w:rPr>
        <w:t>По состоянию на 1 октября 2022 года возврат средств составил 1 213 200,0 млн. рублей, из которых 5 000,0 млн. рублей возвращены досрочно.</w:t>
      </w:r>
    </w:p>
    <w:p w14:paraId="7EC8B7BD" w14:textId="77777777" w:rsidR="002331ED" w:rsidRPr="00213A5D" w:rsidRDefault="002331ED" w:rsidP="003D26EA">
      <w:pPr>
        <w:widowControl w:val="0"/>
        <w:overflowPunct/>
        <w:autoSpaceDE/>
        <w:autoSpaceDN/>
        <w:adjustRightInd/>
        <w:spacing w:line="348" w:lineRule="auto"/>
        <w:ind w:left="0" w:right="0" w:firstLine="720"/>
        <w:textAlignment w:val="auto"/>
        <w:rPr>
          <w:snapToGrid w:val="0"/>
          <w:color w:val="000000"/>
          <w:sz w:val="24"/>
          <w:szCs w:val="24"/>
          <w:lang w:eastAsia="x-none"/>
        </w:rPr>
      </w:pPr>
      <w:r w:rsidRPr="00213A5D">
        <w:rPr>
          <w:rFonts w:eastAsia="Times New Roman"/>
          <w:b/>
          <w:bCs/>
          <w:color w:val="000000"/>
          <w:sz w:val="24"/>
          <w:szCs w:val="24"/>
        </w:rPr>
        <w:t>11.8.3. </w:t>
      </w:r>
      <w:r w:rsidRPr="00213A5D">
        <w:rPr>
          <w:snapToGrid w:val="0"/>
          <w:color w:val="000000"/>
          <w:sz w:val="24"/>
          <w:szCs w:val="24"/>
          <w:lang w:eastAsia="x-none"/>
        </w:rPr>
        <w:t xml:space="preserve">В отчетном периоде 2022 года Федеральное казначейство осуществило операции по размещению и возврату средств ЕСФБ с </w:t>
      </w:r>
      <w:r w:rsidRPr="00213A5D">
        <w:rPr>
          <w:b/>
          <w:snapToGrid w:val="0"/>
          <w:color w:val="000000"/>
          <w:sz w:val="24"/>
          <w:szCs w:val="24"/>
          <w:lang w:eastAsia="x-none"/>
        </w:rPr>
        <w:t>банковских счетов</w:t>
      </w:r>
      <w:r w:rsidRPr="00213A5D">
        <w:rPr>
          <w:snapToGrid w:val="0"/>
          <w:color w:val="000000"/>
          <w:sz w:val="24"/>
          <w:szCs w:val="24"/>
          <w:lang w:eastAsia="x-none"/>
        </w:rPr>
        <w:t xml:space="preserve"> в соответствии </w:t>
      </w:r>
      <w:r w:rsidR="00B008AC" w:rsidRPr="00213A5D">
        <w:rPr>
          <w:snapToGrid w:val="0"/>
          <w:color w:val="000000"/>
          <w:sz w:val="24"/>
          <w:szCs w:val="24"/>
          <w:lang w:eastAsia="x-none"/>
        </w:rPr>
        <w:br/>
      </w:r>
      <w:r w:rsidRPr="00213A5D">
        <w:rPr>
          <w:snapToGrid w:val="0"/>
          <w:color w:val="000000"/>
          <w:sz w:val="24"/>
          <w:szCs w:val="24"/>
          <w:lang w:eastAsia="x-none"/>
        </w:rPr>
        <w:t xml:space="preserve">с постановлением Правительства Российской Федерации от 19 августа 2019 г. № 986. Согласно условиям договоров, заключенных Федеральным казначейством с кредитными организациями, счета открываются без ограничений на пополнение и возврат средств в пределах установленных лимитов с условием начисления и уплаты на остаток денежных средств на счете процентов (на основании ставки </w:t>
      </w:r>
      <w:r w:rsidRPr="00213A5D">
        <w:rPr>
          <w:snapToGrid w:val="0"/>
          <w:color w:val="000000"/>
          <w:sz w:val="24"/>
          <w:szCs w:val="24"/>
          <w:lang w:val="en-US" w:eastAsia="x-none"/>
        </w:rPr>
        <w:t>RUONIA</w:t>
      </w:r>
      <w:r w:rsidRPr="00213A5D">
        <w:rPr>
          <w:snapToGrid w:val="0"/>
          <w:color w:val="000000"/>
          <w:sz w:val="24"/>
          <w:szCs w:val="24"/>
          <w:lang w:eastAsia="x-none"/>
        </w:rPr>
        <w:t>). Срок действия договора – 365 дней с даты подписания.</w:t>
      </w:r>
    </w:p>
    <w:p w14:paraId="753DBDAD" w14:textId="77777777" w:rsidR="002331ED" w:rsidRPr="00213A5D" w:rsidRDefault="002331ED" w:rsidP="003D26EA">
      <w:pPr>
        <w:widowControl w:val="0"/>
        <w:spacing w:line="348" w:lineRule="auto"/>
        <w:ind w:left="0" w:right="0" w:firstLine="720"/>
        <w:textAlignment w:val="auto"/>
        <w:rPr>
          <w:snapToGrid w:val="0"/>
          <w:color w:val="000000"/>
          <w:sz w:val="24"/>
          <w:szCs w:val="24"/>
          <w:lang w:eastAsia="x-none"/>
        </w:rPr>
      </w:pPr>
      <w:r w:rsidRPr="00213A5D">
        <w:rPr>
          <w:snapToGrid w:val="0"/>
          <w:color w:val="000000"/>
          <w:sz w:val="24"/>
          <w:szCs w:val="24"/>
          <w:lang w:eastAsia="x-none"/>
        </w:rPr>
        <w:t xml:space="preserve">По состоянию на 1 октября 2022 года на банковские счета до востребования объем размещений составил 400 000,0 млн. рублей, возврата – 1 000 000,0 млн. рублей (средства возвращены в полном объеме). В доход федерального бюджета от размещения средств ЕСФБ на банковские счета до востребования поступило </w:t>
      </w:r>
      <w:r w:rsidRPr="00213A5D">
        <w:rPr>
          <w:b/>
          <w:snapToGrid w:val="0"/>
          <w:color w:val="000000"/>
          <w:sz w:val="24"/>
          <w:szCs w:val="24"/>
          <w:lang w:eastAsia="x-none"/>
        </w:rPr>
        <w:t>31 884,5 млн. рублей</w:t>
      </w:r>
      <w:r w:rsidRPr="00213A5D">
        <w:rPr>
          <w:snapToGrid w:val="0"/>
          <w:color w:val="000000"/>
          <w:sz w:val="24"/>
          <w:szCs w:val="24"/>
          <w:lang w:eastAsia="x-none"/>
        </w:rPr>
        <w:t>, что на 11 353,8 млн. рублей, или в 1,6 раза, больше, чем в аналогичном периоде 2021 года.</w:t>
      </w:r>
      <w:r w:rsidRPr="00213A5D">
        <w:rPr>
          <w:color w:val="000000"/>
        </w:rPr>
        <w:t xml:space="preserve"> </w:t>
      </w:r>
    </w:p>
    <w:p w14:paraId="5CA284F7" w14:textId="77777777" w:rsidR="002331ED" w:rsidRPr="00213A5D" w:rsidRDefault="002331ED" w:rsidP="003D26EA">
      <w:pPr>
        <w:widowControl w:val="0"/>
        <w:overflowPunct/>
        <w:autoSpaceDE/>
        <w:autoSpaceDN/>
        <w:adjustRightInd/>
        <w:spacing w:line="348" w:lineRule="auto"/>
        <w:ind w:left="0" w:right="0"/>
        <w:textAlignment w:val="auto"/>
        <w:rPr>
          <w:rFonts w:eastAsia="Times New Roman"/>
          <w:color w:val="000000"/>
          <w:sz w:val="24"/>
          <w:szCs w:val="24"/>
        </w:rPr>
      </w:pPr>
      <w:r w:rsidRPr="00213A5D">
        <w:rPr>
          <w:rFonts w:eastAsia="Times New Roman"/>
          <w:b/>
          <w:bCs/>
          <w:color w:val="000000"/>
          <w:sz w:val="24"/>
          <w:szCs w:val="24"/>
        </w:rPr>
        <w:t>11.8.4.</w:t>
      </w:r>
      <w:r w:rsidRPr="00213A5D">
        <w:rPr>
          <w:rFonts w:eastAsia="Times New Roman"/>
          <w:bCs/>
          <w:color w:val="000000"/>
          <w:sz w:val="24"/>
          <w:szCs w:val="24"/>
        </w:rPr>
        <w:t> </w:t>
      </w:r>
      <w:r w:rsidRPr="00213A5D">
        <w:rPr>
          <w:rFonts w:eastAsia="Times New Roman"/>
          <w:color w:val="000000"/>
          <w:sz w:val="24"/>
          <w:szCs w:val="24"/>
        </w:rPr>
        <w:t xml:space="preserve">В рамках мероприятий Плана первоочередных действий по обеспечению развития российской экономики в условиях внешнего санкционного давления расширен доступ субъектов Российской Федерации к </w:t>
      </w:r>
      <w:r w:rsidRPr="00213A5D">
        <w:rPr>
          <w:rFonts w:eastAsia="Times New Roman"/>
          <w:b/>
          <w:color w:val="000000"/>
          <w:sz w:val="24"/>
          <w:szCs w:val="24"/>
        </w:rPr>
        <w:t>бюджетным кредитам на пополнение остатков средств</w:t>
      </w:r>
      <w:r w:rsidRPr="00213A5D">
        <w:rPr>
          <w:rFonts w:eastAsia="Times New Roman"/>
          <w:color w:val="000000"/>
          <w:sz w:val="24"/>
          <w:szCs w:val="24"/>
        </w:rPr>
        <w:t xml:space="preserve"> на счете бюджета (казначейские кредиты): на 2022 год предельный лимит увеличен до 10 % общего объема доходов субъекта Российской Федерации, </w:t>
      </w:r>
      <w:r w:rsidRPr="00213A5D">
        <w:rPr>
          <w:rFonts w:eastAsia="Times New Roman"/>
          <w:b/>
          <w:color w:val="000000"/>
          <w:sz w:val="24"/>
          <w:szCs w:val="24"/>
        </w:rPr>
        <w:t>срок погашения – не позднее 30 декабря</w:t>
      </w:r>
      <w:r w:rsidRPr="00213A5D">
        <w:rPr>
          <w:rFonts w:eastAsia="Times New Roman"/>
          <w:color w:val="000000"/>
          <w:sz w:val="24"/>
          <w:szCs w:val="24"/>
        </w:rPr>
        <w:t>.</w:t>
      </w:r>
    </w:p>
    <w:p w14:paraId="61D3DFF4" w14:textId="77777777" w:rsidR="002331ED" w:rsidRPr="00213A5D" w:rsidRDefault="002331ED" w:rsidP="003D26EA">
      <w:pPr>
        <w:widowControl w:val="0"/>
        <w:spacing w:line="348" w:lineRule="auto"/>
        <w:ind w:left="0" w:right="0"/>
        <w:textAlignment w:val="auto"/>
        <w:rPr>
          <w:rFonts w:eastAsia="Times New Roman"/>
          <w:color w:val="000000"/>
          <w:sz w:val="24"/>
          <w:szCs w:val="24"/>
        </w:rPr>
      </w:pPr>
      <w:r w:rsidRPr="00213A5D">
        <w:rPr>
          <w:rFonts w:eastAsia="Times New Roman"/>
          <w:color w:val="000000"/>
          <w:sz w:val="24"/>
          <w:szCs w:val="24"/>
        </w:rPr>
        <w:t xml:space="preserve">По данным Федерального казначейства, в январе </w:t>
      </w:r>
      <w:r w:rsidR="00721AA7" w:rsidRPr="00213A5D">
        <w:rPr>
          <w:rFonts w:eastAsia="Times New Roman"/>
          <w:color w:val="000000"/>
          <w:sz w:val="24"/>
          <w:szCs w:val="24"/>
        </w:rPr>
        <w:t>–</w:t>
      </w:r>
      <w:r w:rsidRPr="00213A5D">
        <w:rPr>
          <w:rFonts w:eastAsia="Times New Roman"/>
          <w:color w:val="000000"/>
          <w:sz w:val="24"/>
          <w:szCs w:val="24"/>
        </w:rPr>
        <w:t xml:space="preserve"> сентябре 2022 года </w:t>
      </w:r>
      <w:r w:rsidRPr="00213A5D">
        <w:rPr>
          <w:rFonts w:eastAsia="Times New Roman"/>
          <w:b/>
          <w:color w:val="000000"/>
          <w:sz w:val="24"/>
          <w:szCs w:val="24"/>
        </w:rPr>
        <w:t xml:space="preserve">объем предоставления </w:t>
      </w:r>
      <w:r w:rsidRPr="00213A5D">
        <w:rPr>
          <w:rFonts w:eastAsia="Times New Roman"/>
          <w:color w:val="000000"/>
          <w:sz w:val="24"/>
          <w:szCs w:val="24"/>
        </w:rPr>
        <w:t>указанных кредитов составил 145 889,3 млн. рублей, в том числе:</w:t>
      </w:r>
    </w:p>
    <w:p w14:paraId="184386E2" w14:textId="77777777" w:rsidR="00721AA7" w:rsidRPr="00213A5D" w:rsidRDefault="00721AA7" w:rsidP="003D26EA">
      <w:pPr>
        <w:pStyle w:val="aff6"/>
        <w:widowControl w:val="0"/>
        <w:numPr>
          <w:ilvl w:val="0"/>
          <w:numId w:val="8"/>
        </w:numPr>
        <w:tabs>
          <w:tab w:val="left" w:pos="1134"/>
        </w:tabs>
        <w:spacing w:line="348" w:lineRule="auto"/>
        <w:ind w:left="0" w:right="0" w:firstLine="709"/>
        <w:textAlignment w:val="auto"/>
        <w:rPr>
          <w:color w:val="000000"/>
          <w:sz w:val="24"/>
          <w:szCs w:val="24"/>
        </w:rPr>
      </w:pPr>
      <w:r w:rsidRPr="00213A5D">
        <w:rPr>
          <w:color w:val="000000"/>
          <w:sz w:val="24"/>
          <w:szCs w:val="24"/>
        </w:rPr>
        <w:t>50 000,0 млн. рублей – Федеральному фонду обязательного медицинского страхования;</w:t>
      </w:r>
    </w:p>
    <w:p w14:paraId="719A4D83" w14:textId="77777777" w:rsidR="00721AA7" w:rsidRPr="00213A5D" w:rsidRDefault="00721AA7" w:rsidP="003D26EA">
      <w:pPr>
        <w:pStyle w:val="aff6"/>
        <w:widowControl w:val="0"/>
        <w:numPr>
          <w:ilvl w:val="0"/>
          <w:numId w:val="8"/>
        </w:numPr>
        <w:tabs>
          <w:tab w:val="left" w:pos="1134"/>
        </w:tabs>
        <w:overflowPunct/>
        <w:autoSpaceDE/>
        <w:autoSpaceDN/>
        <w:adjustRightInd/>
        <w:spacing w:line="348" w:lineRule="auto"/>
        <w:ind w:left="0" w:right="0" w:firstLine="709"/>
        <w:textAlignment w:val="auto"/>
        <w:rPr>
          <w:color w:val="000000"/>
          <w:sz w:val="24"/>
          <w:szCs w:val="24"/>
        </w:rPr>
      </w:pPr>
      <w:r w:rsidRPr="00213A5D">
        <w:rPr>
          <w:color w:val="000000"/>
          <w:sz w:val="24"/>
          <w:szCs w:val="24"/>
        </w:rPr>
        <w:t xml:space="preserve">95 889,3 млн. рублей – бюджетам субъектов Российской Федерации и муниципальных образований, что </w:t>
      </w:r>
      <w:r w:rsidRPr="00213A5D">
        <w:rPr>
          <w:b/>
          <w:color w:val="000000"/>
          <w:sz w:val="24"/>
          <w:szCs w:val="24"/>
        </w:rPr>
        <w:t>на 11,9 %, или на</w:t>
      </w:r>
      <w:r w:rsidRPr="00213A5D">
        <w:rPr>
          <w:color w:val="000000"/>
          <w:sz w:val="24"/>
          <w:szCs w:val="24"/>
        </w:rPr>
        <w:t xml:space="preserve"> </w:t>
      </w:r>
      <w:r w:rsidRPr="00213A5D">
        <w:rPr>
          <w:b/>
          <w:color w:val="000000"/>
          <w:sz w:val="24"/>
          <w:szCs w:val="24"/>
        </w:rPr>
        <w:t>12 930,7 млн. рублей меньше, чем в аналогичном периоде 2021 года</w:t>
      </w:r>
      <w:r w:rsidRPr="00213A5D">
        <w:rPr>
          <w:color w:val="000000"/>
          <w:sz w:val="24"/>
          <w:szCs w:val="24"/>
        </w:rPr>
        <w:t xml:space="preserve">. </w:t>
      </w:r>
    </w:p>
    <w:p w14:paraId="479C8A62" w14:textId="77777777" w:rsidR="00721AA7" w:rsidRPr="00213A5D" w:rsidRDefault="00721AA7" w:rsidP="003D26EA">
      <w:pPr>
        <w:widowControl w:val="0"/>
        <w:overflowPunct/>
        <w:autoSpaceDE/>
        <w:autoSpaceDN/>
        <w:adjustRightInd/>
        <w:spacing w:line="348" w:lineRule="auto"/>
        <w:ind w:left="0" w:right="0"/>
        <w:contextualSpacing/>
        <w:textAlignment w:val="auto"/>
        <w:rPr>
          <w:rFonts w:eastAsia="Times New Roman"/>
          <w:color w:val="000000"/>
          <w:sz w:val="24"/>
          <w:szCs w:val="24"/>
        </w:rPr>
      </w:pPr>
      <w:r w:rsidRPr="00213A5D">
        <w:rPr>
          <w:rFonts w:eastAsia="Times New Roman"/>
          <w:b/>
          <w:color w:val="000000"/>
          <w:sz w:val="24"/>
          <w:szCs w:val="24"/>
        </w:rPr>
        <w:t>Возврат</w:t>
      </w:r>
      <w:r w:rsidRPr="00213A5D">
        <w:rPr>
          <w:rFonts w:eastAsia="Times New Roman"/>
          <w:color w:val="000000"/>
          <w:sz w:val="24"/>
          <w:szCs w:val="24"/>
        </w:rPr>
        <w:t xml:space="preserve"> указанных кредитов составил 88 867,1 млн. рублей, или </w:t>
      </w:r>
      <w:r w:rsidRPr="00213A5D">
        <w:rPr>
          <w:rFonts w:eastAsia="Times New Roman"/>
          <w:b/>
          <w:color w:val="000000"/>
          <w:sz w:val="24"/>
          <w:szCs w:val="24"/>
        </w:rPr>
        <w:t>60,9 % объема их предоставления</w:t>
      </w:r>
      <w:r w:rsidRPr="00213A5D">
        <w:rPr>
          <w:rFonts w:eastAsia="Times New Roman"/>
          <w:color w:val="000000"/>
          <w:sz w:val="24"/>
          <w:szCs w:val="24"/>
        </w:rPr>
        <w:t>.</w:t>
      </w:r>
    </w:p>
    <w:p w14:paraId="5B75ABBD" w14:textId="77777777" w:rsidR="00721AA7" w:rsidRPr="00213A5D" w:rsidRDefault="00721AA7" w:rsidP="003D26EA">
      <w:pPr>
        <w:widowControl w:val="0"/>
        <w:overflowPunct/>
        <w:autoSpaceDE/>
        <w:autoSpaceDN/>
        <w:adjustRightInd/>
        <w:spacing w:line="348" w:lineRule="auto"/>
        <w:ind w:left="0" w:right="0"/>
        <w:textAlignment w:val="auto"/>
        <w:rPr>
          <w:rFonts w:eastAsia="Times New Roman"/>
          <w:color w:val="000000"/>
          <w:sz w:val="24"/>
          <w:szCs w:val="24"/>
        </w:rPr>
      </w:pPr>
      <w:r w:rsidRPr="00213A5D">
        <w:rPr>
          <w:rFonts w:eastAsia="Times New Roman"/>
          <w:color w:val="000000"/>
          <w:sz w:val="24"/>
          <w:szCs w:val="24"/>
        </w:rPr>
        <w:t xml:space="preserve">За пользование </w:t>
      </w:r>
      <w:r w:rsidR="001D0184" w:rsidRPr="00213A5D">
        <w:rPr>
          <w:rFonts w:eastAsia="Times New Roman"/>
          <w:color w:val="000000"/>
          <w:sz w:val="24"/>
          <w:szCs w:val="24"/>
        </w:rPr>
        <w:t xml:space="preserve">бюджетными кредитами в январе – </w:t>
      </w:r>
      <w:r w:rsidRPr="00213A5D">
        <w:rPr>
          <w:rFonts w:eastAsia="Times New Roman"/>
          <w:color w:val="000000"/>
          <w:sz w:val="24"/>
          <w:szCs w:val="24"/>
        </w:rPr>
        <w:t xml:space="preserve">сентябре 2022 года субъекты Российской Федерации и муниципальные образования перечислили в федеральный бюджет 11,6 млн. рублей. </w:t>
      </w:r>
    </w:p>
    <w:p w14:paraId="4C4A5F34" w14:textId="77777777" w:rsidR="00721AA7" w:rsidRPr="00213A5D" w:rsidRDefault="00721AA7" w:rsidP="004371D4">
      <w:pPr>
        <w:widowControl w:val="0"/>
        <w:overflowPunct/>
        <w:autoSpaceDE/>
        <w:autoSpaceDN/>
        <w:adjustRightInd/>
        <w:spacing w:line="336" w:lineRule="auto"/>
        <w:ind w:left="0" w:right="0"/>
        <w:textAlignment w:val="auto"/>
        <w:rPr>
          <w:rFonts w:eastAsia="Times New Roman"/>
          <w:bCs/>
          <w:color w:val="000000"/>
          <w:sz w:val="24"/>
          <w:szCs w:val="24"/>
        </w:rPr>
      </w:pPr>
      <w:r w:rsidRPr="00213A5D">
        <w:rPr>
          <w:rFonts w:eastAsia="Times New Roman"/>
          <w:b/>
          <w:bCs/>
          <w:color w:val="000000"/>
          <w:sz w:val="24"/>
          <w:szCs w:val="24"/>
        </w:rPr>
        <w:t>11.9. </w:t>
      </w:r>
      <w:r w:rsidRPr="00213A5D">
        <w:rPr>
          <w:rFonts w:eastAsia="Times New Roman"/>
          <w:bCs/>
          <w:color w:val="000000"/>
          <w:sz w:val="24"/>
          <w:szCs w:val="24"/>
        </w:rPr>
        <w:t>Информация о выполнении Программы государственных внешних заимствований представлена в следующей таблице.</w:t>
      </w:r>
    </w:p>
    <w:tbl>
      <w:tblPr>
        <w:tblW w:w="5395" w:type="pct"/>
        <w:tblInd w:w="-459" w:type="dxa"/>
        <w:tblLook w:val="04A0" w:firstRow="1" w:lastRow="0" w:firstColumn="1" w:lastColumn="0" w:noHBand="0" w:noVBand="1"/>
      </w:tblPr>
      <w:tblGrid>
        <w:gridCol w:w="2920"/>
        <w:gridCol w:w="1388"/>
        <w:gridCol w:w="1391"/>
        <w:gridCol w:w="1152"/>
        <w:gridCol w:w="1374"/>
        <w:gridCol w:w="1152"/>
        <w:gridCol w:w="1254"/>
      </w:tblGrid>
      <w:tr w:rsidR="00721AA7" w:rsidRPr="00213A5D" w14:paraId="4C99B43E" w14:textId="77777777" w:rsidTr="004371D4">
        <w:trPr>
          <w:tblHeader/>
        </w:trPr>
        <w:tc>
          <w:tcPr>
            <w:tcW w:w="13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33D2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lastRenderedPageBreak/>
              <w:t>Наименование показателя</w:t>
            </w:r>
          </w:p>
        </w:tc>
        <w:tc>
          <w:tcPr>
            <w:tcW w:w="130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E1D9F"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 xml:space="preserve">Предусмотрено Программой государственных внешних заимствований Российской Федерации на 2022 год и на плановый период 2023 и 2024 годы в части 2022 года </w:t>
            </w:r>
            <w:r w:rsidRPr="00213A5D">
              <w:rPr>
                <w:rFonts w:eastAsia="Times New Roman"/>
                <w:b/>
                <w:bCs/>
                <w:color w:val="000000"/>
                <w:sz w:val="16"/>
                <w:szCs w:val="16"/>
              </w:rPr>
              <w:br/>
              <w:t>(Федеральный закон № 390-ФЗ)</w:t>
            </w:r>
          </w:p>
        </w:tc>
        <w:tc>
          <w:tcPr>
            <w:tcW w:w="232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C831A6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Исполнено на 1 октября 2022 года</w:t>
            </w:r>
          </w:p>
        </w:tc>
      </w:tr>
      <w:tr w:rsidR="00721AA7" w:rsidRPr="00213A5D" w14:paraId="4DC9F1F2" w14:textId="77777777" w:rsidTr="004371D4">
        <w:trPr>
          <w:tblHeader/>
        </w:trPr>
        <w:tc>
          <w:tcPr>
            <w:tcW w:w="1373" w:type="pct"/>
            <w:vMerge/>
            <w:tcBorders>
              <w:top w:val="single" w:sz="4" w:space="0" w:color="auto"/>
              <w:left w:val="single" w:sz="4" w:space="0" w:color="auto"/>
              <w:bottom w:val="single" w:sz="4" w:space="0" w:color="auto"/>
              <w:right w:val="single" w:sz="4" w:space="0" w:color="auto"/>
            </w:tcBorders>
            <w:vAlign w:val="center"/>
            <w:hideMark/>
          </w:tcPr>
          <w:p w14:paraId="3FA4970C"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b/>
                <w:bCs/>
                <w:color w:val="000000"/>
                <w:sz w:val="16"/>
                <w:szCs w:val="16"/>
              </w:rPr>
            </w:pPr>
          </w:p>
        </w:tc>
        <w:tc>
          <w:tcPr>
            <w:tcW w:w="1307" w:type="pct"/>
            <w:gridSpan w:val="2"/>
            <w:vMerge/>
            <w:tcBorders>
              <w:top w:val="single" w:sz="4" w:space="0" w:color="auto"/>
              <w:left w:val="single" w:sz="4" w:space="0" w:color="auto"/>
              <w:bottom w:val="single" w:sz="4" w:space="0" w:color="auto"/>
              <w:right w:val="single" w:sz="4" w:space="0" w:color="auto"/>
            </w:tcBorders>
            <w:vAlign w:val="center"/>
            <w:hideMark/>
          </w:tcPr>
          <w:p w14:paraId="2843901C"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b/>
                <w:bCs/>
                <w:color w:val="000000"/>
                <w:sz w:val="16"/>
                <w:szCs w:val="16"/>
              </w:rPr>
            </w:pPr>
          </w:p>
        </w:tc>
        <w:tc>
          <w:tcPr>
            <w:tcW w:w="11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2FC597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сумма</w:t>
            </w:r>
          </w:p>
        </w:tc>
        <w:tc>
          <w:tcPr>
            <w:tcW w:w="113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00F52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w:t>
            </w:r>
          </w:p>
        </w:tc>
      </w:tr>
      <w:tr w:rsidR="00721AA7" w:rsidRPr="00213A5D" w14:paraId="73720EDB" w14:textId="77777777" w:rsidTr="004371D4">
        <w:trPr>
          <w:tblHeader/>
        </w:trPr>
        <w:tc>
          <w:tcPr>
            <w:tcW w:w="1373" w:type="pct"/>
            <w:vMerge/>
            <w:tcBorders>
              <w:top w:val="single" w:sz="4" w:space="0" w:color="auto"/>
              <w:left w:val="single" w:sz="4" w:space="0" w:color="auto"/>
              <w:bottom w:val="single" w:sz="4" w:space="0" w:color="auto"/>
              <w:right w:val="single" w:sz="4" w:space="0" w:color="auto"/>
            </w:tcBorders>
            <w:vAlign w:val="center"/>
            <w:hideMark/>
          </w:tcPr>
          <w:p w14:paraId="5753B8C3"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b/>
                <w:bCs/>
                <w:color w:val="000000"/>
                <w:sz w:val="16"/>
                <w:szCs w:val="16"/>
              </w:rPr>
            </w:pPr>
          </w:p>
        </w:tc>
        <w:tc>
          <w:tcPr>
            <w:tcW w:w="653" w:type="pct"/>
            <w:tcBorders>
              <w:top w:val="nil"/>
              <w:left w:val="nil"/>
              <w:bottom w:val="single" w:sz="4" w:space="0" w:color="auto"/>
              <w:right w:val="single" w:sz="4" w:space="0" w:color="auto"/>
            </w:tcBorders>
            <w:shd w:val="clear" w:color="auto" w:fill="auto"/>
            <w:vAlign w:val="center"/>
            <w:hideMark/>
          </w:tcPr>
          <w:p w14:paraId="41E4079A"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млн. рублей</w:t>
            </w:r>
          </w:p>
        </w:tc>
        <w:tc>
          <w:tcPr>
            <w:tcW w:w="654" w:type="pct"/>
            <w:tcBorders>
              <w:top w:val="nil"/>
              <w:left w:val="nil"/>
              <w:bottom w:val="single" w:sz="4" w:space="0" w:color="auto"/>
              <w:right w:val="single" w:sz="4" w:space="0" w:color="auto"/>
            </w:tcBorders>
            <w:shd w:val="clear" w:color="auto" w:fill="auto"/>
            <w:vAlign w:val="center"/>
            <w:hideMark/>
          </w:tcPr>
          <w:p w14:paraId="640474F6"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млн. долларов США</w:t>
            </w:r>
          </w:p>
        </w:tc>
        <w:tc>
          <w:tcPr>
            <w:tcW w:w="542" w:type="pct"/>
            <w:tcBorders>
              <w:top w:val="nil"/>
              <w:left w:val="nil"/>
              <w:bottom w:val="single" w:sz="4" w:space="0" w:color="auto"/>
              <w:right w:val="single" w:sz="4" w:space="0" w:color="auto"/>
            </w:tcBorders>
            <w:shd w:val="clear" w:color="auto" w:fill="auto"/>
            <w:vAlign w:val="center"/>
            <w:hideMark/>
          </w:tcPr>
          <w:p w14:paraId="1A07EF4A"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млн. рублей</w:t>
            </w:r>
          </w:p>
        </w:tc>
        <w:tc>
          <w:tcPr>
            <w:tcW w:w="646" w:type="pct"/>
            <w:tcBorders>
              <w:top w:val="nil"/>
              <w:left w:val="nil"/>
              <w:bottom w:val="single" w:sz="4" w:space="0" w:color="auto"/>
              <w:right w:val="single" w:sz="4" w:space="0" w:color="auto"/>
            </w:tcBorders>
            <w:shd w:val="clear" w:color="auto" w:fill="auto"/>
            <w:vAlign w:val="center"/>
            <w:hideMark/>
          </w:tcPr>
          <w:p w14:paraId="3D73AF44"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млн. долларов США</w:t>
            </w:r>
          </w:p>
        </w:tc>
        <w:tc>
          <w:tcPr>
            <w:tcW w:w="542" w:type="pct"/>
            <w:tcBorders>
              <w:top w:val="nil"/>
              <w:left w:val="nil"/>
              <w:bottom w:val="single" w:sz="4" w:space="0" w:color="auto"/>
              <w:right w:val="single" w:sz="4" w:space="0" w:color="auto"/>
            </w:tcBorders>
            <w:shd w:val="clear" w:color="auto" w:fill="auto"/>
            <w:vAlign w:val="center"/>
            <w:hideMark/>
          </w:tcPr>
          <w:p w14:paraId="1A17A530"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млн. рублей</w:t>
            </w:r>
          </w:p>
        </w:tc>
        <w:tc>
          <w:tcPr>
            <w:tcW w:w="590" w:type="pct"/>
            <w:tcBorders>
              <w:top w:val="nil"/>
              <w:left w:val="nil"/>
              <w:bottom w:val="single" w:sz="4" w:space="0" w:color="auto"/>
              <w:right w:val="single" w:sz="4" w:space="0" w:color="auto"/>
            </w:tcBorders>
            <w:shd w:val="clear" w:color="auto" w:fill="auto"/>
            <w:vAlign w:val="center"/>
            <w:hideMark/>
          </w:tcPr>
          <w:p w14:paraId="1828E1FB" w14:textId="77777777" w:rsidR="00721AA7" w:rsidRPr="00213A5D" w:rsidRDefault="00721AA7" w:rsidP="00B008AC">
            <w:pPr>
              <w:widowControl w:val="0"/>
              <w:overflowPunct/>
              <w:autoSpaceDE/>
              <w:autoSpaceDN/>
              <w:adjustRightInd/>
              <w:spacing w:line="240" w:lineRule="auto"/>
              <w:ind w:left="-129" w:right="-109" w:firstLine="0"/>
              <w:jc w:val="center"/>
              <w:textAlignment w:val="auto"/>
              <w:rPr>
                <w:rFonts w:eastAsia="Times New Roman"/>
                <w:b/>
                <w:bCs/>
                <w:color w:val="000000"/>
                <w:sz w:val="16"/>
                <w:szCs w:val="16"/>
              </w:rPr>
            </w:pPr>
            <w:r w:rsidRPr="00213A5D">
              <w:rPr>
                <w:rFonts w:eastAsia="Times New Roman"/>
                <w:b/>
                <w:bCs/>
                <w:color w:val="000000"/>
                <w:sz w:val="16"/>
                <w:szCs w:val="16"/>
              </w:rPr>
              <w:t>млн. долларов США</w:t>
            </w:r>
          </w:p>
        </w:tc>
      </w:tr>
      <w:tr w:rsidR="00721AA7" w:rsidRPr="00213A5D" w14:paraId="2DB17D95" w14:textId="77777777" w:rsidTr="004371D4">
        <w:trPr>
          <w:tblHeader/>
        </w:trPr>
        <w:tc>
          <w:tcPr>
            <w:tcW w:w="1373" w:type="pct"/>
            <w:tcBorders>
              <w:top w:val="nil"/>
              <w:left w:val="single" w:sz="4" w:space="0" w:color="auto"/>
              <w:bottom w:val="single" w:sz="4" w:space="0" w:color="auto"/>
              <w:right w:val="single" w:sz="4" w:space="0" w:color="auto"/>
            </w:tcBorders>
            <w:shd w:val="clear" w:color="auto" w:fill="auto"/>
            <w:vAlign w:val="center"/>
            <w:hideMark/>
          </w:tcPr>
          <w:p w14:paraId="79B0DBF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1</w:t>
            </w:r>
          </w:p>
        </w:tc>
        <w:tc>
          <w:tcPr>
            <w:tcW w:w="653" w:type="pct"/>
            <w:tcBorders>
              <w:top w:val="nil"/>
              <w:left w:val="nil"/>
              <w:bottom w:val="single" w:sz="4" w:space="0" w:color="auto"/>
              <w:right w:val="single" w:sz="4" w:space="0" w:color="auto"/>
            </w:tcBorders>
            <w:shd w:val="clear" w:color="auto" w:fill="auto"/>
            <w:vAlign w:val="center"/>
            <w:hideMark/>
          </w:tcPr>
          <w:p w14:paraId="10F4A9F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2</w:t>
            </w:r>
          </w:p>
        </w:tc>
        <w:tc>
          <w:tcPr>
            <w:tcW w:w="654" w:type="pct"/>
            <w:tcBorders>
              <w:top w:val="nil"/>
              <w:left w:val="nil"/>
              <w:bottom w:val="single" w:sz="4" w:space="0" w:color="auto"/>
              <w:right w:val="single" w:sz="4" w:space="0" w:color="auto"/>
            </w:tcBorders>
            <w:shd w:val="clear" w:color="auto" w:fill="auto"/>
            <w:vAlign w:val="center"/>
            <w:hideMark/>
          </w:tcPr>
          <w:p w14:paraId="15294AF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3</w:t>
            </w:r>
          </w:p>
        </w:tc>
        <w:tc>
          <w:tcPr>
            <w:tcW w:w="542" w:type="pct"/>
            <w:tcBorders>
              <w:top w:val="nil"/>
              <w:left w:val="nil"/>
              <w:bottom w:val="single" w:sz="4" w:space="0" w:color="auto"/>
              <w:right w:val="single" w:sz="4" w:space="0" w:color="auto"/>
            </w:tcBorders>
            <w:shd w:val="clear" w:color="auto" w:fill="auto"/>
            <w:vAlign w:val="center"/>
            <w:hideMark/>
          </w:tcPr>
          <w:p w14:paraId="6C2D9E39"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4</w:t>
            </w:r>
          </w:p>
        </w:tc>
        <w:tc>
          <w:tcPr>
            <w:tcW w:w="646" w:type="pct"/>
            <w:tcBorders>
              <w:top w:val="nil"/>
              <w:left w:val="nil"/>
              <w:bottom w:val="single" w:sz="4" w:space="0" w:color="auto"/>
              <w:right w:val="single" w:sz="4" w:space="0" w:color="auto"/>
            </w:tcBorders>
            <w:shd w:val="clear" w:color="auto" w:fill="auto"/>
            <w:vAlign w:val="center"/>
            <w:hideMark/>
          </w:tcPr>
          <w:p w14:paraId="2D1BEF43"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5</w:t>
            </w:r>
          </w:p>
        </w:tc>
        <w:tc>
          <w:tcPr>
            <w:tcW w:w="542" w:type="pct"/>
            <w:tcBorders>
              <w:top w:val="nil"/>
              <w:left w:val="nil"/>
              <w:bottom w:val="single" w:sz="4" w:space="0" w:color="auto"/>
              <w:right w:val="single" w:sz="4" w:space="0" w:color="auto"/>
            </w:tcBorders>
            <w:shd w:val="clear" w:color="auto" w:fill="auto"/>
            <w:vAlign w:val="center"/>
            <w:hideMark/>
          </w:tcPr>
          <w:p w14:paraId="23B6AF3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6=4/2</w:t>
            </w:r>
          </w:p>
        </w:tc>
        <w:tc>
          <w:tcPr>
            <w:tcW w:w="590" w:type="pct"/>
            <w:tcBorders>
              <w:top w:val="nil"/>
              <w:left w:val="nil"/>
              <w:bottom w:val="single" w:sz="4" w:space="0" w:color="auto"/>
              <w:right w:val="single" w:sz="4" w:space="0" w:color="auto"/>
            </w:tcBorders>
            <w:shd w:val="clear" w:color="auto" w:fill="auto"/>
            <w:vAlign w:val="center"/>
            <w:hideMark/>
          </w:tcPr>
          <w:p w14:paraId="326D7F1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7=5/3</w:t>
            </w:r>
          </w:p>
        </w:tc>
      </w:tr>
      <w:tr w:rsidR="00721AA7" w:rsidRPr="00213A5D" w14:paraId="390F0FD6" w14:textId="77777777" w:rsidTr="004371D4">
        <w:tc>
          <w:tcPr>
            <w:tcW w:w="1373" w:type="pct"/>
            <w:tcBorders>
              <w:top w:val="nil"/>
              <w:left w:val="single" w:sz="4" w:space="0" w:color="auto"/>
              <w:bottom w:val="single" w:sz="4" w:space="0" w:color="auto"/>
              <w:right w:val="single" w:sz="4" w:space="0" w:color="auto"/>
            </w:tcBorders>
            <w:shd w:val="clear" w:color="auto" w:fill="auto"/>
            <w:noWrap/>
            <w:vAlign w:val="center"/>
            <w:hideMark/>
          </w:tcPr>
          <w:p w14:paraId="0D2B8A02"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b/>
                <w:bCs/>
                <w:color w:val="000000"/>
                <w:sz w:val="16"/>
                <w:szCs w:val="16"/>
              </w:rPr>
            </w:pPr>
            <w:r w:rsidRPr="00213A5D">
              <w:rPr>
                <w:rFonts w:eastAsia="Times New Roman"/>
                <w:b/>
                <w:bCs/>
                <w:color w:val="000000"/>
                <w:sz w:val="16"/>
                <w:szCs w:val="16"/>
              </w:rPr>
              <w:t>Всего</w:t>
            </w:r>
          </w:p>
        </w:tc>
        <w:tc>
          <w:tcPr>
            <w:tcW w:w="653" w:type="pct"/>
            <w:tcBorders>
              <w:top w:val="nil"/>
              <w:left w:val="nil"/>
              <w:bottom w:val="single" w:sz="4" w:space="0" w:color="auto"/>
              <w:right w:val="single" w:sz="4" w:space="0" w:color="auto"/>
            </w:tcBorders>
            <w:shd w:val="clear" w:color="auto" w:fill="auto"/>
            <w:vAlign w:val="center"/>
            <w:hideMark/>
          </w:tcPr>
          <w:p w14:paraId="5A5A3023"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108 680,8</w:t>
            </w:r>
          </w:p>
        </w:tc>
        <w:tc>
          <w:tcPr>
            <w:tcW w:w="654" w:type="pct"/>
            <w:tcBorders>
              <w:top w:val="nil"/>
              <w:left w:val="nil"/>
              <w:bottom w:val="single" w:sz="4" w:space="0" w:color="auto"/>
              <w:right w:val="single" w:sz="4" w:space="0" w:color="auto"/>
            </w:tcBorders>
            <w:shd w:val="clear" w:color="auto" w:fill="auto"/>
            <w:vAlign w:val="center"/>
            <w:hideMark/>
          </w:tcPr>
          <w:p w14:paraId="50F59E82"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1 507,4</w:t>
            </w:r>
          </w:p>
        </w:tc>
        <w:tc>
          <w:tcPr>
            <w:tcW w:w="542" w:type="pct"/>
            <w:tcBorders>
              <w:top w:val="nil"/>
              <w:left w:val="nil"/>
              <w:bottom w:val="single" w:sz="4" w:space="0" w:color="auto"/>
              <w:right w:val="single" w:sz="4" w:space="0" w:color="auto"/>
            </w:tcBorders>
            <w:shd w:val="clear" w:color="auto" w:fill="auto"/>
            <w:vAlign w:val="center"/>
            <w:hideMark/>
          </w:tcPr>
          <w:p w14:paraId="79CEBB5D"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-201 154,7</w:t>
            </w:r>
          </w:p>
        </w:tc>
        <w:tc>
          <w:tcPr>
            <w:tcW w:w="646" w:type="pct"/>
            <w:tcBorders>
              <w:top w:val="nil"/>
              <w:left w:val="nil"/>
              <w:bottom w:val="single" w:sz="4" w:space="0" w:color="auto"/>
              <w:right w:val="single" w:sz="4" w:space="0" w:color="auto"/>
            </w:tcBorders>
            <w:shd w:val="clear" w:color="auto" w:fill="auto"/>
            <w:vAlign w:val="center"/>
            <w:hideMark/>
          </w:tcPr>
          <w:p w14:paraId="0AF6CC55"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-2 517,5</w:t>
            </w:r>
          </w:p>
        </w:tc>
        <w:tc>
          <w:tcPr>
            <w:tcW w:w="542" w:type="pct"/>
            <w:tcBorders>
              <w:top w:val="nil"/>
              <w:left w:val="nil"/>
              <w:bottom w:val="single" w:sz="4" w:space="0" w:color="auto"/>
              <w:right w:val="single" w:sz="4" w:space="0" w:color="auto"/>
            </w:tcBorders>
            <w:shd w:val="clear" w:color="auto" w:fill="auto"/>
            <w:vAlign w:val="center"/>
            <w:hideMark/>
          </w:tcPr>
          <w:p w14:paraId="3909A1EF"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p>
        </w:tc>
        <w:tc>
          <w:tcPr>
            <w:tcW w:w="590" w:type="pct"/>
            <w:tcBorders>
              <w:top w:val="nil"/>
              <w:left w:val="nil"/>
              <w:bottom w:val="single" w:sz="4" w:space="0" w:color="auto"/>
              <w:right w:val="single" w:sz="4" w:space="0" w:color="auto"/>
            </w:tcBorders>
            <w:shd w:val="clear" w:color="auto" w:fill="auto"/>
            <w:vAlign w:val="center"/>
            <w:hideMark/>
          </w:tcPr>
          <w:p w14:paraId="41962B7C"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p>
        </w:tc>
      </w:tr>
      <w:tr w:rsidR="00721AA7" w:rsidRPr="00213A5D" w14:paraId="4E945EEE" w14:textId="77777777" w:rsidTr="004371D4">
        <w:tc>
          <w:tcPr>
            <w:tcW w:w="1373" w:type="pct"/>
            <w:tcBorders>
              <w:top w:val="nil"/>
              <w:left w:val="single" w:sz="4" w:space="0" w:color="auto"/>
              <w:bottom w:val="single" w:sz="4" w:space="0" w:color="auto"/>
              <w:right w:val="single" w:sz="4" w:space="0" w:color="auto"/>
            </w:tcBorders>
            <w:shd w:val="clear" w:color="auto" w:fill="auto"/>
            <w:vAlign w:val="center"/>
            <w:hideMark/>
          </w:tcPr>
          <w:p w14:paraId="11DF4BC7" w14:textId="77777777" w:rsidR="00721AA7" w:rsidRPr="00213A5D" w:rsidRDefault="00721AA7" w:rsidP="00B008AC">
            <w:pPr>
              <w:widowControl w:val="0"/>
              <w:overflowPunct/>
              <w:autoSpaceDE/>
              <w:autoSpaceDN/>
              <w:adjustRightInd/>
              <w:spacing w:line="240" w:lineRule="auto"/>
              <w:ind w:left="0" w:right="0" w:firstLine="0"/>
              <w:textAlignment w:val="auto"/>
              <w:rPr>
                <w:rFonts w:eastAsia="Times New Roman"/>
                <w:b/>
                <w:bCs/>
                <w:color w:val="000000"/>
                <w:sz w:val="16"/>
                <w:szCs w:val="16"/>
              </w:rPr>
            </w:pPr>
            <w:r w:rsidRPr="00213A5D">
              <w:rPr>
                <w:rFonts w:eastAsia="Times New Roman"/>
                <w:b/>
                <w:bCs/>
                <w:color w:val="000000"/>
                <w:sz w:val="16"/>
                <w:szCs w:val="16"/>
              </w:rPr>
              <w:t>Государственные ценные бумаги, номинальная стоимость которых указана в иностранной валюте</w:t>
            </w:r>
          </w:p>
        </w:tc>
        <w:tc>
          <w:tcPr>
            <w:tcW w:w="653" w:type="pct"/>
            <w:tcBorders>
              <w:top w:val="nil"/>
              <w:left w:val="nil"/>
              <w:bottom w:val="single" w:sz="4" w:space="0" w:color="auto"/>
              <w:right w:val="single" w:sz="4" w:space="0" w:color="auto"/>
            </w:tcBorders>
            <w:shd w:val="clear" w:color="auto" w:fill="auto"/>
            <w:vAlign w:val="center"/>
            <w:hideMark/>
          </w:tcPr>
          <w:p w14:paraId="3E6ACC43"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34 970,5</w:t>
            </w:r>
          </w:p>
        </w:tc>
        <w:tc>
          <w:tcPr>
            <w:tcW w:w="654" w:type="pct"/>
            <w:tcBorders>
              <w:top w:val="nil"/>
              <w:left w:val="nil"/>
              <w:bottom w:val="single" w:sz="4" w:space="0" w:color="auto"/>
              <w:right w:val="single" w:sz="4" w:space="0" w:color="auto"/>
            </w:tcBorders>
            <w:shd w:val="clear" w:color="auto" w:fill="auto"/>
            <w:vAlign w:val="center"/>
            <w:hideMark/>
          </w:tcPr>
          <w:p w14:paraId="222AFE4F"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485,0</w:t>
            </w:r>
          </w:p>
        </w:tc>
        <w:tc>
          <w:tcPr>
            <w:tcW w:w="542" w:type="pct"/>
            <w:tcBorders>
              <w:top w:val="nil"/>
              <w:left w:val="nil"/>
              <w:bottom w:val="single" w:sz="4" w:space="0" w:color="auto"/>
              <w:right w:val="single" w:sz="4" w:space="0" w:color="auto"/>
            </w:tcBorders>
            <w:shd w:val="clear" w:color="auto" w:fill="auto"/>
            <w:vAlign w:val="center"/>
            <w:hideMark/>
          </w:tcPr>
          <w:p w14:paraId="666AD99D"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-201 338,6</w:t>
            </w:r>
          </w:p>
        </w:tc>
        <w:tc>
          <w:tcPr>
            <w:tcW w:w="646" w:type="pct"/>
            <w:tcBorders>
              <w:top w:val="nil"/>
              <w:left w:val="nil"/>
              <w:bottom w:val="single" w:sz="4" w:space="0" w:color="auto"/>
              <w:right w:val="single" w:sz="4" w:space="0" w:color="auto"/>
            </w:tcBorders>
            <w:shd w:val="clear" w:color="auto" w:fill="auto"/>
            <w:vAlign w:val="center"/>
            <w:hideMark/>
          </w:tcPr>
          <w:p w14:paraId="2C2B4FBA"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-2 515,0</w:t>
            </w:r>
          </w:p>
        </w:tc>
        <w:tc>
          <w:tcPr>
            <w:tcW w:w="542" w:type="pct"/>
            <w:tcBorders>
              <w:top w:val="nil"/>
              <w:left w:val="nil"/>
              <w:bottom w:val="single" w:sz="4" w:space="0" w:color="auto"/>
              <w:right w:val="single" w:sz="4" w:space="0" w:color="auto"/>
            </w:tcBorders>
            <w:shd w:val="clear" w:color="auto" w:fill="auto"/>
            <w:vAlign w:val="center"/>
            <w:hideMark/>
          </w:tcPr>
          <w:p w14:paraId="149E576F"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p>
        </w:tc>
        <w:tc>
          <w:tcPr>
            <w:tcW w:w="590" w:type="pct"/>
            <w:tcBorders>
              <w:top w:val="nil"/>
              <w:left w:val="nil"/>
              <w:bottom w:val="single" w:sz="4" w:space="0" w:color="auto"/>
              <w:right w:val="single" w:sz="4" w:space="0" w:color="auto"/>
            </w:tcBorders>
            <w:shd w:val="clear" w:color="auto" w:fill="auto"/>
            <w:vAlign w:val="center"/>
            <w:hideMark/>
          </w:tcPr>
          <w:p w14:paraId="198CEE08"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p>
        </w:tc>
      </w:tr>
      <w:tr w:rsidR="00721AA7" w:rsidRPr="00213A5D" w14:paraId="43006363" w14:textId="77777777" w:rsidTr="004371D4">
        <w:tc>
          <w:tcPr>
            <w:tcW w:w="1373" w:type="pct"/>
            <w:tcBorders>
              <w:top w:val="nil"/>
              <w:left w:val="single" w:sz="4" w:space="0" w:color="auto"/>
              <w:bottom w:val="single" w:sz="4" w:space="0" w:color="auto"/>
              <w:right w:val="single" w:sz="4" w:space="0" w:color="auto"/>
            </w:tcBorders>
            <w:shd w:val="clear" w:color="auto" w:fill="auto"/>
            <w:vAlign w:val="center"/>
            <w:hideMark/>
          </w:tcPr>
          <w:p w14:paraId="2D0AA8E1" w14:textId="77777777" w:rsidR="00721AA7" w:rsidRPr="00213A5D" w:rsidRDefault="00721AA7" w:rsidP="00B008AC">
            <w:pPr>
              <w:widowControl w:val="0"/>
              <w:overflowPunct/>
              <w:autoSpaceDE/>
              <w:autoSpaceDN/>
              <w:adjustRightInd/>
              <w:spacing w:line="240" w:lineRule="auto"/>
              <w:ind w:left="0" w:right="0" w:firstLine="0"/>
              <w:textAlignment w:val="auto"/>
              <w:rPr>
                <w:rFonts w:eastAsia="Times New Roman"/>
                <w:i/>
                <w:iCs/>
                <w:color w:val="000000"/>
                <w:sz w:val="16"/>
                <w:szCs w:val="16"/>
              </w:rPr>
            </w:pPr>
            <w:r w:rsidRPr="00213A5D">
              <w:rPr>
                <w:rFonts w:eastAsia="Times New Roman"/>
                <w:i/>
                <w:iCs/>
                <w:color w:val="000000"/>
                <w:sz w:val="16"/>
                <w:szCs w:val="16"/>
              </w:rPr>
              <w:t>Привлечение (размещение)</w:t>
            </w:r>
          </w:p>
        </w:tc>
        <w:tc>
          <w:tcPr>
            <w:tcW w:w="653" w:type="pct"/>
            <w:tcBorders>
              <w:top w:val="nil"/>
              <w:left w:val="nil"/>
              <w:bottom w:val="single" w:sz="4" w:space="0" w:color="auto"/>
              <w:right w:val="single" w:sz="4" w:space="0" w:color="auto"/>
            </w:tcBorders>
            <w:shd w:val="clear" w:color="auto" w:fill="auto"/>
            <w:vAlign w:val="center"/>
            <w:hideMark/>
          </w:tcPr>
          <w:p w14:paraId="0CFD801B"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216 300,0</w:t>
            </w:r>
          </w:p>
        </w:tc>
        <w:tc>
          <w:tcPr>
            <w:tcW w:w="654" w:type="pct"/>
            <w:tcBorders>
              <w:top w:val="nil"/>
              <w:left w:val="nil"/>
              <w:bottom w:val="single" w:sz="4" w:space="0" w:color="auto"/>
              <w:right w:val="single" w:sz="4" w:space="0" w:color="auto"/>
            </w:tcBorders>
            <w:shd w:val="clear" w:color="auto" w:fill="auto"/>
            <w:vAlign w:val="center"/>
            <w:hideMark/>
          </w:tcPr>
          <w:p w14:paraId="74284068"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3 000,0</w:t>
            </w:r>
          </w:p>
        </w:tc>
        <w:tc>
          <w:tcPr>
            <w:tcW w:w="542" w:type="pct"/>
            <w:tcBorders>
              <w:top w:val="nil"/>
              <w:left w:val="nil"/>
              <w:bottom w:val="single" w:sz="4" w:space="0" w:color="auto"/>
              <w:right w:val="single" w:sz="4" w:space="0" w:color="auto"/>
            </w:tcBorders>
            <w:shd w:val="clear" w:color="auto" w:fill="auto"/>
            <w:vAlign w:val="center"/>
            <w:hideMark/>
          </w:tcPr>
          <w:p w14:paraId="473BC340"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0,0</w:t>
            </w:r>
          </w:p>
        </w:tc>
        <w:tc>
          <w:tcPr>
            <w:tcW w:w="646" w:type="pct"/>
            <w:tcBorders>
              <w:top w:val="nil"/>
              <w:left w:val="nil"/>
              <w:bottom w:val="single" w:sz="4" w:space="0" w:color="auto"/>
              <w:right w:val="single" w:sz="4" w:space="0" w:color="auto"/>
            </w:tcBorders>
            <w:shd w:val="clear" w:color="auto" w:fill="auto"/>
            <w:vAlign w:val="center"/>
            <w:hideMark/>
          </w:tcPr>
          <w:p w14:paraId="5ABE56A0"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0,0</w:t>
            </w:r>
          </w:p>
        </w:tc>
        <w:tc>
          <w:tcPr>
            <w:tcW w:w="542" w:type="pct"/>
            <w:tcBorders>
              <w:top w:val="nil"/>
              <w:left w:val="nil"/>
              <w:bottom w:val="single" w:sz="4" w:space="0" w:color="auto"/>
              <w:right w:val="single" w:sz="4" w:space="0" w:color="auto"/>
            </w:tcBorders>
            <w:shd w:val="clear" w:color="auto" w:fill="auto"/>
            <w:vAlign w:val="center"/>
            <w:hideMark/>
          </w:tcPr>
          <w:p w14:paraId="530E12F0"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0,0</w:t>
            </w:r>
          </w:p>
        </w:tc>
        <w:tc>
          <w:tcPr>
            <w:tcW w:w="590" w:type="pct"/>
            <w:tcBorders>
              <w:top w:val="nil"/>
              <w:left w:val="nil"/>
              <w:bottom w:val="single" w:sz="4" w:space="0" w:color="auto"/>
              <w:right w:val="single" w:sz="4" w:space="0" w:color="auto"/>
            </w:tcBorders>
            <w:shd w:val="clear" w:color="auto" w:fill="auto"/>
            <w:vAlign w:val="center"/>
            <w:hideMark/>
          </w:tcPr>
          <w:p w14:paraId="5DF960B8"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0,0</w:t>
            </w:r>
          </w:p>
        </w:tc>
      </w:tr>
      <w:tr w:rsidR="00721AA7" w:rsidRPr="00213A5D" w14:paraId="77DA5AAE" w14:textId="77777777" w:rsidTr="004371D4">
        <w:tc>
          <w:tcPr>
            <w:tcW w:w="1373" w:type="pct"/>
            <w:tcBorders>
              <w:top w:val="nil"/>
              <w:left w:val="single" w:sz="4" w:space="0" w:color="auto"/>
              <w:bottom w:val="single" w:sz="4" w:space="0" w:color="auto"/>
              <w:right w:val="single" w:sz="4" w:space="0" w:color="auto"/>
            </w:tcBorders>
            <w:shd w:val="clear" w:color="auto" w:fill="auto"/>
            <w:vAlign w:val="center"/>
            <w:hideMark/>
          </w:tcPr>
          <w:p w14:paraId="00F1A011" w14:textId="77777777" w:rsidR="00721AA7" w:rsidRPr="00213A5D" w:rsidRDefault="00721AA7" w:rsidP="00B008AC">
            <w:pPr>
              <w:widowControl w:val="0"/>
              <w:overflowPunct/>
              <w:autoSpaceDE/>
              <w:autoSpaceDN/>
              <w:adjustRightInd/>
              <w:spacing w:line="240" w:lineRule="auto"/>
              <w:ind w:left="0" w:right="0" w:firstLine="0"/>
              <w:textAlignment w:val="auto"/>
              <w:rPr>
                <w:rFonts w:eastAsia="Times New Roman"/>
                <w:i/>
                <w:iCs/>
                <w:color w:val="000000"/>
                <w:sz w:val="16"/>
                <w:szCs w:val="16"/>
              </w:rPr>
            </w:pPr>
            <w:r w:rsidRPr="00213A5D">
              <w:rPr>
                <w:rFonts w:eastAsia="Times New Roman"/>
                <w:i/>
                <w:iCs/>
                <w:color w:val="000000"/>
                <w:sz w:val="16"/>
                <w:szCs w:val="16"/>
              </w:rPr>
              <w:t>Погашение</w:t>
            </w:r>
          </w:p>
        </w:tc>
        <w:tc>
          <w:tcPr>
            <w:tcW w:w="653" w:type="pct"/>
            <w:tcBorders>
              <w:top w:val="nil"/>
              <w:left w:val="nil"/>
              <w:bottom w:val="single" w:sz="4" w:space="0" w:color="auto"/>
              <w:right w:val="single" w:sz="4" w:space="0" w:color="auto"/>
            </w:tcBorders>
            <w:shd w:val="clear" w:color="auto" w:fill="auto"/>
            <w:vAlign w:val="center"/>
            <w:hideMark/>
          </w:tcPr>
          <w:p w14:paraId="50964A25"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-181 329,5</w:t>
            </w:r>
          </w:p>
        </w:tc>
        <w:tc>
          <w:tcPr>
            <w:tcW w:w="654" w:type="pct"/>
            <w:tcBorders>
              <w:top w:val="nil"/>
              <w:left w:val="nil"/>
              <w:bottom w:val="single" w:sz="4" w:space="0" w:color="auto"/>
              <w:right w:val="single" w:sz="4" w:space="0" w:color="auto"/>
            </w:tcBorders>
            <w:shd w:val="clear" w:color="auto" w:fill="auto"/>
            <w:vAlign w:val="center"/>
            <w:hideMark/>
          </w:tcPr>
          <w:p w14:paraId="30A76075"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-2 515,0</w:t>
            </w:r>
          </w:p>
        </w:tc>
        <w:tc>
          <w:tcPr>
            <w:tcW w:w="542" w:type="pct"/>
            <w:tcBorders>
              <w:top w:val="nil"/>
              <w:left w:val="nil"/>
              <w:bottom w:val="single" w:sz="4" w:space="0" w:color="auto"/>
              <w:right w:val="single" w:sz="4" w:space="0" w:color="auto"/>
            </w:tcBorders>
            <w:shd w:val="clear" w:color="auto" w:fill="auto"/>
            <w:vAlign w:val="center"/>
            <w:hideMark/>
          </w:tcPr>
          <w:p w14:paraId="202C46D7"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-201 338,6</w:t>
            </w:r>
          </w:p>
        </w:tc>
        <w:tc>
          <w:tcPr>
            <w:tcW w:w="646" w:type="pct"/>
            <w:tcBorders>
              <w:top w:val="nil"/>
              <w:left w:val="nil"/>
              <w:bottom w:val="single" w:sz="4" w:space="0" w:color="auto"/>
              <w:right w:val="single" w:sz="4" w:space="0" w:color="auto"/>
            </w:tcBorders>
            <w:shd w:val="clear" w:color="auto" w:fill="auto"/>
            <w:vAlign w:val="center"/>
            <w:hideMark/>
          </w:tcPr>
          <w:p w14:paraId="5DA673E1"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-2 515,0</w:t>
            </w:r>
          </w:p>
        </w:tc>
        <w:tc>
          <w:tcPr>
            <w:tcW w:w="542" w:type="pct"/>
            <w:tcBorders>
              <w:top w:val="nil"/>
              <w:left w:val="nil"/>
              <w:bottom w:val="single" w:sz="4" w:space="0" w:color="auto"/>
              <w:right w:val="single" w:sz="4" w:space="0" w:color="auto"/>
            </w:tcBorders>
            <w:shd w:val="clear" w:color="auto" w:fill="auto"/>
            <w:vAlign w:val="center"/>
            <w:hideMark/>
          </w:tcPr>
          <w:p w14:paraId="55B86D68" w14:textId="77777777" w:rsidR="00721AA7" w:rsidRPr="00213A5D" w:rsidRDefault="009476ED"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111</w:t>
            </w:r>
          </w:p>
        </w:tc>
        <w:tc>
          <w:tcPr>
            <w:tcW w:w="590" w:type="pct"/>
            <w:tcBorders>
              <w:top w:val="nil"/>
              <w:left w:val="nil"/>
              <w:bottom w:val="single" w:sz="4" w:space="0" w:color="auto"/>
              <w:right w:val="single" w:sz="4" w:space="0" w:color="auto"/>
            </w:tcBorders>
            <w:shd w:val="clear" w:color="auto" w:fill="auto"/>
            <w:vAlign w:val="center"/>
            <w:hideMark/>
          </w:tcPr>
          <w:p w14:paraId="1F4A137D" w14:textId="77777777" w:rsidR="00721AA7" w:rsidRPr="00213A5D" w:rsidRDefault="009476ED"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100</w:t>
            </w:r>
          </w:p>
        </w:tc>
      </w:tr>
      <w:tr w:rsidR="00721AA7" w:rsidRPr="00213A5D" w14:paraId="2B913FFE" w14:textId="77777777" w:rsidTr="004371D4">
        <w:tc>
          <w:tcPr>
            <w:tcW w:w="1373" w:type="pct"/>
            <w:tcBorders>
              <w:top w:val="nil"/>
              <w:left w:val="single" w:sz="4" w:space="0" w:color="auto"/>
              <w:bottom w:val="single" w:sz="4" w:space="0" w:color="auto"/>
              <w:right w:val="single" w:sz="4" w:space="0" w:color="auto"/>
            </w:tcBorders>
            <w:shd w:val="clear" w:color="auto" w:fill="auto"/>
            <w:vAlign w:val="center"/>
            <w:hideMark/>
          </w:tcPr>
          <w:p w14:paraId="0ED5AEDD" w14:textId="77777777" w:rsidR="00721AA7" w:rsidRPr="00213A5D" w:rsidRDefault="00721AA7" w:rsidP="00B008AC">
            <w:pPr>
              <w:widowControl w:val="0"/>
              <w:overflowPunct/>
              <w:autoSpaceDE/>
              <w:autoSpaceDN/>
              <w:adjustRightInd/>
              <w:spacing w:line="240" w:lineRule="auto"/>
              <w:ind w:left="0" w:right="0" w:firstLine="0"/>
              <w:textAlignment w:val="auto"/>
              <w:rPr>
                <w:rFonts w:eastAsia="Times New Roman"/>
                <w:b/>
                <w:bCs/>
                <w:color w:val="000000"/>
                <w:sz w:val="16"/>
                <w:szCs w:val="16"/>
              </w:rPr>
            </w:pPr>
            <w:r w:rsidRPr="00213A5D">
              <w:rPr>
                <w:rFonts w:eastAsia="Times New Roman"/>
                <w:b/>
                <w:bCs/>
                <w:color w:val="000000"/>
                <w:sz w:val="16"/>
                <w:szCs w:val="16"/>
              </w:rPr>
              <w:t>Кредиты иностранных государств, включая целевые иностранные кредиты (заимствования), международных финансовых организаций, иных субъектов международного права, иностранных юридических лиц в иностранной валюте</w:t>
            </w:r>
          </w:p>
        </w:tc>
        <w:tc>
          <w:tcPr>
            <w:tcW w:w="653" w:type="pct"/>
            <w:tcBorders>
              <w:top w:val="nil"/>
              <w:left w:val="nil"/>
              <w:bottom w:val="single" w:sz="4" w:space="0" w:color="auto"/>
              <w:right w:val="single" w:sz="4" w:space="0" w:color="auto"/>
            </w:tcBorders>
            <w:shd w:val="clear" w:color="auto" w:fill="auto"/>
            <w:vAlign w:val="center"/>
            <w:hideMark/>
          </w:tcPr>
          <w:p w14:paraId="36A20C42"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73 710,3</w:t>
            </w:r>
          </w:p>
        </w:tc>
        <w:tc>
          <w:tcPr>
            <w:tcW w:w="654" w:type="pct"/>
            <w:tcBorders>
              <w:top w:val="nil"/>
              <w:left w:val="nil"/>
              <w:bottom w:val="single" w:sz="4" w:space="0" w:color="auto"/>
              <w:right w:val="single" w:sz="4" w:space="0" w:color="auto"/>
            </w:tcBorders>
            <w:shd w:val="clear" w:color="auto" w:fill="auto"/>
            <w:vAlign w:val="center"/>
            <w:hideMark/>
          </w:tcPr>
          <w:p w14:paraId="01BD0DC2"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1 022,4</w:t>
            </w:r>
          </w:p>
        </w:tc>
        <w:tc>
          <w:tcPr>
            <w:tcW w:w="542" w:type="pct"/>
            <w:tcBorders>
              <w:top w:val="nil"/>
              <w:left w:val="nil"/>
              <w:bottom w:val="single" w:sz="4" w:space="0" w:color="auto"/>
              <w:right w:val="single" w:sz="4" w:space="0" w:color="auto"/>
            </w:tcBorders>
            <w:shd w:val="clear" w:color="auto" w:fill="auto"/>
            <w:vAlign w:val="center"/>
            <w:hideMark/>
          </w:tcPr>
          <w:p w14:paraId="4CC56D6B"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183,9</w:t>
            </w:r>
          </w:p>
        </w:tc>
        <w:tc>
          <w:tcPr>
            <w:tcW w:w="646" w:type="pct"/>
            <w:tcBorders>
              <w:top w:val="nil"/>
              <w:left w:val="nil"/>
              <w:bottom w:val="single" w:sz="4" w:space="0" w:color="auto"/>
              <w:right w:val="single" w:sz="4" w:space="0" w:color="auto"/>
            </w:tcBorders>
            <w:shd w:val="clear" w:color="auto" w:fill="auto"/>
            <w:vAlign w:val="center"/>
            <w:hideMark/>
          </w:tcPr>
          <w:p w14:paraId="4D038694"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r w:rsidRPr="00213A5D">
              <w:rPr>
                <w:b/>
                <w:bCs/>
                <w:color w:val="000000"/>
                <w:sz w:val="16"/>
                <w:szCs w:val="16"/>
                <w:lang w:eastAsia="en-US"/>
              </w:rPr>
              <w:t>-2,5</w:t>
            </w:r>
          </w:p>
        </w:tc>
        <w:tc>
          <w:tcPr>
            <w:tcW w:w="542" w:type="pct"/>
            <w:tcBorders>
              <w:top w:val="nil"/>
              <w:left w:val="nil"/>
              <w:bottom w:val="single" w:sz="4" w:space="0" w:color="auto"/>
              <w:right w:val="single" w:sz="4" w:space="0" w:color="auto"/>
            </w:tcBorders>
            <w:shd w:val="clear" w:color="auto" w:fill="auto"/>
            <w:vAlign w:val="center"/>
            <w:hideMark/>
          </w:tcPr>
          <w:p w14:paraId="1B4EAB0B"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p>
        </w:tc>
        <w:tc>
          <w:tcPr>
            <w:tcW w:w="590" w:type="pct"/>
            <w:tcBorders>
              <w:top w:val="nil"/>
              <w:left w:val="nil"/>
              <w:bottom w:val="single" w:sz="4" w:space="0" w:color="auto"/>
              <w:right w:val="single" w:sz="4" w:space="0" w:color="auto"/>
            </w:tcBorders>
            <w:shd w:val="clear" w:color="auto" w:fill="auto"/>
            <w:vAlign w:val="center"/>
            <w:hideMark/>
          </w:tcPr>
          <w:p w14:paraId="34047F37" w14:textId="77777777" w:rsidR="00721AA7" w:rsidRPr="00213A5D" w:rsidRDefault="00721AA7" w:rsidP="00AF1852">
            <w:pPr>
              <w:widowControl w:val="0"/>
              <w:overflowPunct/>
              <w:spacing w:line="240" w:lineRule="auto"/>
              <w:ind w:left="0" w:right="0" w:firstLine="0"/>
              <w:jc w:val="center"/>
              <w:textAlignment w:val="auto"/>
              <w:rPr>
                <w:b/>
                <w:bCs/>
                <w:color w:val="000000"/>
                <w:sz w:val="16"/>
                <w:szCs w:val="16"/>
                <w:lang w:eastAsia="en-US"/>
              </w:rPr>
            </w:pPr>
          </w:p>
        </w:tc>
      </w:tr>
      <w:tr w:rsidR="00721AA7" w:rsidRPr="00213A5D" w14:paraId="677B3FB9" w14:textId="77777777" w:rsidTr="004371D4">
        <w:tc>
          <w:tcPr>
            <w:tcW w:w="1373" w:type="pct"/>
            <w:tcBorders>
              <w:top w:val="nil"/>
              <w:left w:val="single" w:sz="4" w:space="0" w:color="auto"/>
              <w:bottom w:val="single" w:sz="4" w:space="0" w:color="auto"/>
              <w:right w:val="single" w:sz="4" w:space="0" w:color="auto"/>
            </w:tcBorders>
            <w:shd w:val="clear" w:color="auto" w:fill="auto"/>
            <w:vAlign w:val="center"/>
            <w:hideMark/>
          </w:tcPr>
          <w:p w14:paraId="7E50B309" w14:textId="77777777" w:rsidR="00721AA7" w:rsidRPr="00213A5D" w:rsidRDefault="00721AA7" w:rsidP="00B008AC">
            <w:pPr>
              <w:widowControl w:val="0"/>
              <w:overflowPunct/>
              <w:autoSpaceDE/>
              <w:autoSpaceDN/>
              <w:adjustRightInd/>
              <w:spacing w:line="240" w:lineRule="auto"/>
              <w:ind w:left="0" w:right="0" w:firstLine="0"/>
              <w:textAlignment w:val="auto"/>
              <w:rPr>
                <w:rFonts w:eastAsia="Times New Roman"/>
                <w:i/>
                <w:iCs/>
                <w:color w:val="000000"/>
                <w:sz w:val="16"/>
                <w:szCs w:val="16"/>
              </w:rPr>
            </w:pPr>
            <w:r w:rsidRPr="00213A5D">
              <w:rPr>
                <w:rFonts w:eastAsia="Times New Roman"/>
                <w:i/>
                <w:iCs/>
                <w:color w:val="000000"/>
                <w:sz w:val="16"/>
                <w:szCs w:val="16"/>
              </w:rPr>
              <w:t>Привлечение (использование)</w:t>
            </w:r>
          </w:p>
        </w:tc>
        <w:tc>
          <w:tcPr>
            <w:tcW w:w="653" w:type="pct"/>
            <w:tcBorders>
              <w:top w:val="nil"/>
              <w:left w:val="nil"/>
              <w:bottom w:val="single" w:sz="4" w:space="0" w:color="auto"/>
              <w:right w:val="single" w:sz="4" w:space="0" w:color="auto"/>
            </w:tcBorders>
            <w:shd w:val="clear" w:color="auto" w:fill="auto"/>
            <w:vAlign w:val="center"/>
            <w:hideMark/>
          </w:tcPr>
          <w:p w14:paraId="78F15036"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83 263,8</w:t>
            </w:r>
          </w:p>
        </w:tc>
        <w:tc>
          <w:tcPr>
            <w:tcW w:w="654" w:type="pct"/>
            <w:tcBorders>
              <w:top w:val="nil"/>
              <w:left w:val="nil"/>
              <w:bottom w:val="single" w:sz="4" w:space="0" w:color="auto"/>
              <w:right w:val="single" w:sz="4" w:space="0" w:color="auto"/>
            </w:tcBorders>
            <w:shd w:val="clear" w:color="auto" w:fill="auto"/>
            <w:vAlign w:val="center"/>
            <w:hideMark/>
          </w:tcPr>
          <w:p w14:paraId="5C9F0FD7"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1 154,9</w:t>
            </w:r>
          </w:p>
        </w:tc>
        <w:tc>
          <w:tcPr>
            <w:tcW w:w="542" w:type="pct"/>
            <w:tcBorders>
              <w:top w:val="nil"/>
              <w:left w:val="nil"/>
              <w:bottom w:val="single" w:sz="4" w:space="0" w:color="auto"/>
              <w:right w:val="single" w:sz="4" w:space="0" w:color="auto"/>
            </w:tcBorders>
            <w:shd w:val="clear" w:color="auto" w:fill="auto"/>
            <w:vAlign w:val="center"/>
            <w:hideMark/>
          </w:tcPr>
          <w:p w14:paraId="5D2F9E6B"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2 791,0</w:t>
            </w:r>
          </w:p>
        </w:tc>
        <w:tc>
          <w:tcPr>
            <w:tcW w:w="646" w:type="pct"/>
            <w:tcBorders>
              <w:top w:val="nil"/>
              <w:left w:val="nil"/>
              <w:bottom w:val="single" w:sz="4" w:space="0" w:color="auto"/>
              <w:right w:val="single" w:sz="4" w:space="0" w:color="auto"/>
            </w:tcBorders>
            <w:shd w:val="clear" w:color="auto" w:fill="auto"/>
            <w:vAlign w:val="center"/>
            <w:hideMark/>
          </w:tcPr>
          <w:p w14:paraId="06DD5D9E"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35,1</w:t>
            </w:r>
          </w:p>
        </w:tc>
        <w:tc>
          <w:tcPr>
            <w:tcW w:w="542" w:type="pct"/>
            <w:tcBorders>
              <w:top w:val="nil"/>
              <w:left w:val="nil"/>
              <w:bottom w:val="single" w:sz="4" w:space="0" w:color="auto"/>
              <w:right w:val="single" w:sz="4" w:space="0" w:color="auto"/>
            </w:tcBorders>
            <w:shd w:val="clear" w:color="auto" w:fill="auto"/>
            <w:vAlign w:val="center"/>
            <w:hideMark/>
          </w:tcPr>
          <w:p w14:paraId="755D3BB4"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3,4</w:t>
            </w:r>
          </w:p>
        </w:tc>
        <w:tc>
          <w:tcPr>
            <w:tcW w:w="590" w:type="pct"/>
            <w:tcBorders>
              <w:top w:val="nil"/>
              <w:left w:val="nil"/>
              <w:bottom w:val="single" w:sz="4" w:space="0" w:color="auto"/>
              <w:right w:val="single" w:sz="4" w:space="0" w:color="auto"/>
            </w:tcBorders>
            <w:shd w:val="clear" w:color="auto" w:fill="auto"/>
            <w:vAlign w:val="center"/>
            <w:hideMark/>
          </w:tcPr>
          <w:p w14:paraId="14C86945" w14:textId="77777777" w:rsidR="00721AA7" w:rsidRPr="00213A5D" w:rsidRDefault="009476ED"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3</w:t>
            </w:r>
          </w:p>
        </w:tc>
      </w:tr>
      <w:tr w:rsidR="00721AA7" w:rsidRPr="00213A5D" w14:paraId="292E9261" w14:textId="77777777" w:rsidTr="004371D4">
        <w:tc>
          <w:tcPr>
            <w:tcW w:w="1373" w:type="pct"/>
            <w:tcBorders>
              <w:top w:val="nil"/>
              <w:left w:val="single" w:sz="4" w:space="0" w:color="auto"/>
              <w:bottom w:val="single" w:sz="4" w:space="0" w:color="auto"/>
              <w:right w:val="single" w:sz="4" w:space="0" w:color="auto"/>
            </w:tcBorders>
            <w:shd w:val="clear" w:color="auto" w:fill="auto"/>
            <w:vAlign w:val="center"/>
            <w:hideMark/>
          </w:tcPr>
          <w:p w14:paraId="7E489D3B" w14:textId="77777777" w:rsidR="00721AA7" w:rsidRPr="00213A5D" w:rsidRDefault="00721AA7" w:rsidP="00B008AC">
            <w:pPr>
              <w:widowControl w:val="0"/>
              <w:overflowPunct/>
              <w:autoSpaceDE/>
              <w:autoSpaceDN/>
              <w:adjustRightInd/>
              <w:spacing w:line="240" w:lineRule="auto"/>
              <w:ind w:left="0" w:right="0" w:firstLine="0"/>
              <w:textAlignment w:val="auto"/>
              <w:rPr>
                <w:rFonts w:eastAsia="Times New Roman"/>
                <w:i/>
                <w:iCs/>
                <w:color w:val="000000"/>
                <w:sz w:val="16"/>
                <w:szCs w:val="16"/>
              </w:rPr>
            </w:pPr>
            <w:r w:rsidRPr="00213A5D">
              <w:rPr>
                <w:rFonts w:eastAsia="Times New Roman"/>
                <w:i/>
                <w:iCs/>
                <w:color w:val="000000"/>
                <w:sz w:val="16"/>
                <w:szCs w:val="16"/>
              </w:rPr>
              <w:t>Погашение</w:t>
            </w:r>
          </w:p>
        </w:tc>
        <w:tc>
          <w:tcPr>
            <w:tcW w:w="653" w:type="pct"/>
            <w:tcBorders>
              <w:top w:val="nil"/>
              <w:left w:val="nil"/>
              <w:bottom w:val="single" w:sz="4" w:space="0" w:color="auto"/>
              <w:right w:val="single" w:sz="4" w:space="0" w:color="auto"/>
            </w:tcBorders>
            <w:shd w:val="clear" w:color="auto" w:fill="auto"/>
            <w:vAlign w:val="center"/>
            <w:hideMark/>
          </w:tcPr>
          <w:p w14:paraId="42C4D865"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-9 553,5</w:t>
            </w:r>
          </w:p>
        </w:tc>
        <w:tc>
          <w:tcPr>
            <w:tcW w:w="654" w:type="pct"/>
            <w:tcBorders>
              <w:top w:val="nil"/>
              <w:left w:val="nil"/>
              <w:bottom w:val="single" w:sz="4" w:space="0" w:color="auto"/>
              <w:right w:val="single" w:sz="4" w:space="0" w:color="auto"/>
            </w:tcBorders>
            <w:shd w:val="clear" w:color="auto" w:fill="auto"/>
            <w:vAlign w:val="center"/>
            <w:hideMark/>
          </w:tcPr>
          <w:p w14:paraId="14AE6D31"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-132,5</w:t>
            </w:r>
          </w:p>
        </w:tc>
        <w:tc>
          <w:tcPr>
            <w:tcW w:w="542" w:type="pct"/>
            <w:tcBorders>
              <w:top w:val="nil"/>
              <w:left w:val="nil"/>
              <w:bottom w:val="single" w:sz="4" w:space="0" w:color="auto"/>
              <w:right w:val="single" w:sz="4" w:space="0" w:color="auto"/>
            </w:tcBorders>
            <w:shd w:val="clear" w:color="auto" w:fill="auto"/>
            <w:vAlign w:val="center"/>
            <w:hideMark/>
          </w:tcPr>
          <w:p w14:paraId="029FA3C2"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-2 607,1</w:t>
            </w:r>
          </w:p>
        </w:tc>
        <w:tc>
          <w:tcPr>
            <w:tcW w:w="646" w:type="pct"/>
            <w:tcBorders>
              <w:top w:val="nil"/>
              <w:left w:val="nil"/>
              <w:bottom w:val="single" w:sz="4" w:space="0" w:color="auto"/>
              <w:right w:val="single" w:sz="4" w:space="0" w:color="auto"/>
            </w:tcBorders>
            <w:shd w:val="clear" w:color="auto" w:fill="auto"/>
            <w:vAlign w:val="center"/>
            <w:hideMark/>
          </w:tcPr>
          <w:p w14:paraId="4159EA5F"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-37,6</w:t>
            </w:r>
          </w:p>
        </w:tc>
        <w:tc>
          <w:tcPr>
            <w:tcW w:w="542" w:type="pct"/>
            <w:tcBorders>
              <w:top w:val="nil"/>
              <w:left w:val="nil"/>
              <w:bottom w:val="single" w:sz="4" w:space="0" w:color="auto"/>
              <w:right w:val="single" w:sz="4" w:space="0" w:color="auto"/>
            </w:tcBorders>
            <w:shd w:val="clear" w:color="auto" w:fill="auto"/>
            <w:vAlign w:val="center"/>
            <w:hideMark/>
          </w:tcPr>
          <w:p w14:paraId="31810E64"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27,3</w:t>
            </w:r>
          </w:p>
        </w:tc>
        <w:tc>
          <w:tcPr>
            <w:tcW w:w="590" w:type="pct"/>
            <w:tcBorders>
              <w:top w:val="nil"/>
              <w:left w:val="nil"/>
              <w:bottom w:val="single" w:sz="4" w:space="0" w:color="auto"/>
              <w:right w:val="single" w:sz="4" w:space="0" w:color="auto"/>
            </w:tcBorders>
            <w:shd w:val="clear" w:color="auto" w:fill="auto"/>
            <w:vAlign w:val="center"/>
            <w:hideMark/>
          </w:tcPr>
          <w:p w14:paraId="3F11CE92" w14:textId="77777777" w:rsidR="00721AA7" w:rsidRPr="00213A5D" w:rsidRDefault="00721AA7" w:rsidP="00AF1852">
            <w:pPr>
              <w:widowControl w:val="0"/>
              <w:overflowPunct/>
              <w:spacing w:line="240" w:lineRule="auto"/>
              <w:ind w:left="0" w:right="0" w:firstLine="0"/>
              <w:jc w:val="center"/>
              <w:textAlignment w:val="auto"/>
              <w:rPr>
                <w:i/>
                <w:iCs/>
                <w:color w:val="000000"/>
                <w:sz w:val="16"/>
                <w:szCs w:val="16"/>
                <w:lang w:eastAsia="en-US"/>
              </w:rPr>
            </w:pPr>
            <w:r w:rsidRPr="00213A5D">
              <w:rPr>
                <w:i/>
                <w:iCs/>
                <w:color w:val="000000"/>
                <w:sz w:val="16"/>
                <w:szCs w:val="16"/>
                <w:lang w:eastAsia="en-US"/>
              </w:rPr>
              <w:t>28,4</w:t>
            </w:r>
          </w:p>
        </w:tc>
      </w:tr>
    </w:tbl>
    <w:p w14:paraId="7AB256D2" w14:textId="77777777" w:rsidR="00721AA7" w:rsidRPr="00213A5D" w:rsidRDefault="00721AA7" w:rsidP="004371D4">
      <w:pPr>
        <w:widowControl w:val="0"/>
        <w:overflowPunct/>
        <w:autoSpaceDE/>
        <w:autoSpaceDN/>
        <w:adjustRightInd/>
        <w:spacing w:line="240" w:lineRule="auto"/>
        <w:ind w:left="0" w:right="0"/>
        <w:textAlignment w:val="auto"/>
        <w:rPr>
          <w:rFonts w:eastAsia="Times New Roman"/>
          <w:bCs/>
          <w:color w:val="000000"/>
          <w:sz w:val="12"/>
          <w:szCs w:val="12"/>
          <w:lang w:val="en-US"/>
        </w:rPr>
      </w:pPr>
    </w:p>
    <w:p w14:paraId="26B9B059" w14:textId="77777777" w:rsidR="00721AA7" w:rsidRPr="00213A5D" w:rsidRDefault="00721AA7" w:rsidP="00BF0A8D">
      <w:pPr>
        <w:widowControl w:val="0"/>
        <w:ind w:left="0" w:right="0"/>
        <w:textAlignment w:val="auto"/>
        <w:rPr>
          <w:rFonts w:eastAsia="Times New Roman"/>
          <w:color w:val="000000"/>
          <w:sz w:val="24"/>
          <w:szCs w:val="24"/>
        </w:rPr>
      </w:pPr>
      <w:r w:rsidRPr="00213A5D">
        <w:rPr>
          <w:rFonts w:eastAsia="Times New Roman"/>
          <w:color w:val="000000"/>
          <w:sz w:val="24"/>
          <w:szCs w:val="24"/>
        </w:rPr>
        <w:t xml:space="preserve">В январе – сентябре 2022 года </w:t>
      </w:r>
      <w:r w:rsidRPr="00213A5D">
        <w:rPr>
          <w:rFonts w:eastAsia="Times New Roman"/>
          <w:b/>
          <w:color w:val="000000"/>
          <w:sz w:val="24"/>
          <w:szCs w:val="24"/>
        </w:rPr>
        <w:t>погашение государственных ценных бумаг в иностранной валюте</w:t>
      </w:r>
      <w:r w:rsidRPr="00213A5D">
        <w:rPr>
          <w:rFonts w:eastAsia="Times New Roman"/>
          <w:color w:val="000000"/>
          <w:sz w:val="24"/>
          <w:szCs w:val="24"/>
        </w:rPr>
        <w:t xml:space="preserve"> по облигациям внешних облигационных займов (далее – еврооблигации):</w:t>
      </w:r>
    </w:p>
    <w:p w14:paraId="3CAF1C20" w14:textId="77777777" w:rsidR="00721AA7" w:rsidRPr="00213A5D" w:rsidRDefault="001D0184" w:rsidP="00BF0A8D">
      <w:pPr>
        <w:pStyle w:val="aff6"/>
        <w:widowControl w:val="0"/>
        <w:numPr>
          <w:ilvl w:val="0"/>
          <w:numId w:val="8"/>
        </w:numPr>
        <w:tabs>
          <w:tab w:val="left" w:pos="1134"/>
        </w:tabs>
        <w:ind w:left="0" w:right="0" w:firstLine="709"/>
        <w:textAlignment w:val="auto"/>
        <w:rPr>
          <w:color w:val="000000"/>
          <w:sz w:val="24"/>
          <w:szCs w:val="24"/>
        </w:rPr>
      </w:pPr>
      <w:r w:rsidRPr="00213A5D">
        <w:rPr>
          <w:color w:val="000000"/>
          <w:sz w:val="24"/>
          <w:szCs w:val="24"/>
        </w:rPr>
        <w:t>частично</w:t>
      </w:r>
      <w:r w:rsidR="00721AA7" w:rsidRPr="00213A5D">
        <w:rPr>
          <w:color w:val="000000"/>
          <w:sz w:val="24"/>
          <w:szCs w:val="24"/>
        </w:rPr>
        <w:t xml:space="preserve"> погашен основной долг по еврооблигациям выпуска № SK-0-CM-128 «Россия-2030» на сумму (-) 38 039,0 млн. рублей, или (-) 529,4 млн. долларов США;</w:t>
      </w:r>
    </w:p>
    <w:p w14:paraId="24D6D0A4" w14:textId="77777777" w:rsidR="00721AA7" w:rsidRPr="00213A5D" w:rsidRDefault="00721AA7" w:rsidP="00BF0A8D">
      <w:pPr>
        <w:pStyle w:val="aff6"/>
        <w:widowControl w:val="0"/>
        <w:numPr>
          <w:ilvl w:val="0"/>
          <w:numId w:val="8"/>
        </w:numPr>
        <w:tabs>
          <w:tab w:val="left" w:pos="1134"/>
        </w:tabs>
        <w:ind w:left="0" w:right="0" w:firstLine="709"/>
        <w:textAlignment w:val="auto"/>
        <w:rPr>
          <w:color w:val="000000"/>
          <w:sz w:val="24"/>
          <w:szCs w:val="24"/>
        </w:rPr>
      </w:pPr>
      <w:r w:rsidRPr="00213A5D">
        <w:rPr>
          <w:color w:val="000000"/>
          <w:sz w:val="24"/>
          <w:szCs w:val="24"/>
        </w:rPr>
        <w:t>осуществлен выкуп части еврооблигаций выпуска № 12840060V «Россия-2022» на сумму (-) 120 841,5 млн. рублей, или (-) 1 437,1 млн. долларов США;</w:t>
      </w:r>
    </w:p>
    <w:p w14:paraId="600EF553" w14:textId="77777777" w:rsidR="00721AA7" w:rsidRPr="00213A5D" w:rsidRDefault="00721AA7" w:rsidP="00BF0A8D">
      <w:pPr>
        <w:pStyle w:val="aff6"/>
        <w:widowControl w:val="0"/>
        <w:numPr>
          <w:ilvl w:val="0"/>
          <w:numId w:val="8"/>
        </w:numPr>
        <w:tabs>
          <w:tab w:val="left" w:pos="1134"/>
        </w:tabs>
        <w:ind w:left="0" w:right="0" w:firstLine="709"/>
        <w:textAlignment w:val="auto"/>
        <w:rPr>
          <w:color w:val="000000"/>
          <w:sz w:val="24"/>
          <w:szCs w:val="24"/>
        </w:rPr>
      </w:pPr>
      <w:r w:rsidRPr="00213A5D">
        <w:rPr>
          <w:color w:val="000000"/>
          <w:sz w:val="24"/>
          <w:szCs w:val="24"/>
        </w:rPr>
        <w:t>осуществлено погашени</w:t>
      </w:r>
      <w:r w:rsidR="001D0184" w:rsidRPr="00213A5D">
        <w:rPr>
          <w:color w:val="000000"/>
          <w:sz w:val="24"/>
          <w:szCs w:val="24"/>
        </w:rPr>
        <w:t>е</w:t>
      </w:r>
      <w:r w:rsidRPr="00213A5D">
        <w:rPr>
          <w:color w:val="000000"/>
          <w:sz w:val="24"/>
          <w:szCs w:val="24"/>
        </w:rPr>
        <w:t xml:space="preserve"> оставшейся после выкупа части еврооблигаций выпуска № 12840060V «Россия-2022» на сумму (-) 39 874,0 млн. рублей, или (-) 548,4 млн. долларов США.</w:t>
      </w:r>
    </w:p>
    <w:p w14:paraId="38E65183" w14:textId="77777777" w:rsidR="00721AA7" w:rsidRPr="00213A5D" w:rsidRDefault="00721AA7" w:rsidP="00BF0A8D">
      <w:pPr>
        <w:widowControl w:val="0"/>
        <w:numPr>
          <w:ilvl w:val="12"/>
          <w:numId w:val="0"/>
        </w:numPr>
        <w:tabs>
          <w:tab w:val="left" w:pos="1134"/>
        </w:tabs>
        <w:ind w:right="0" w:firstLine="709"/>
        <w:textAlignment w:val="auto"/>
        <w:rPr>
          <w:rFonts w:eastAsia="Times New Roman"/>
          <w:b/>
          <w:color w:val="000000"/>
          <w:sz w:val="24"/>
          <w:szCs w:val="24"/>
        </w:rPr>
      </w:pPr>
      <w:r w:rsidRPr="00213A5D">
        <w:rPr>
          <w:rFonts w:eastAsia="Times New Roman"/>
          <w:color w:val="000000"/>
          <w:sz w:val="24"/>
          <w:szCs w:val="24"/>
        </w:rPr>
        <w:t xml:space="preserve">Минфином России в январе – сентябре 2022 года </w:t>
      </w:r>
      <w:r w:rsidRPr="00213A5D">
        <w:rPr>
          <w:rFonts w:eastAsia="Times New Roman"/>
          <w:b/>
          <w:color w:val="000000"/>
          <w:sz w:val="24"/>
          <w:szCs w:val="24"/>
        </w:rPr>
        <w:t>размещение облигаций</w:t>
      </w:r>
      <w:r w:rsidRPr="00213A5D">
        <w:rPr>
          <w:rFonts w:eastAsia="Times New Roman"/>
          <w:color w:val="000000"/>
          <w:sz w:val="24"/>
          <w:szCs w:val="24"/>
        </w:rPr>
        <w:t xml:space="preserve"> внешних облигационных займов Российской Федерации на международных рынках капитала </w:t>
      </w:r>
      <w:r w:rsidRPr="00213A5D">
        <w:rPr>
          <w:rFonts w:eastAsia="Times New Roman"/>
          <w:b/>
          <w:color w:val="000000"/>
          <w:sz w:val="24"/>
          <w:szCs w:val="24"/>
        </w:rPr>
        <w:t>не осуществлялось.</w:t>
      </w:r>
    </w:p>
    <w:p w14:paraId="76D1D8B1" w14:textId="77777777" w:rsidR="00721AA7" w:rsidRPr="00213A5D" w:rsidRDefault="00721AA7" w:rsidP="00BF0A8D">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Cs/>
          <w:color w:val="000000"/>
          <w:sz w:val="24"/>
          <w:szCs w:val="24"/>
        </w:rPr>
        <w:t xml:space="preserve">Согласно прогнозу поступлений и перечислений по источникам финансирования дефицита федерального бюджета на 1 октября 2022 года привлечение </w:t>
      </w:r>
      <w:r w:rsidRPr="00213A5D">
        <w:rPr>
          <w:rFonts w:eastAsia="Times New Roman"/>
          <w:b/>
          <w:bCs/>
          <w:color w:val="000000"/>
          <w:sz w:val="24"/>
          <w:szCs w:val="24"/>
        </w:rPr>
        <w:t>внешних заимствований в 2022 году не планируется</w:t>
      </w:r>
      <w:r w:rsidRPr="00213A5D">
        <w:rPr>
          <w:rFonts w:eastAsia="Times New Roman"/>
          <w:bCs/>
          <w:color w:val="000000"/>
          <w:sz w:val="24"/>
          <w:szCs w:val="24"/>
        </w:rPr>
        <w:t>.</w:t>
      </w:r>
    </w:p>
    <w:p w14:paraId="6B72F0CA" w14:textId="77777777" w:rsidR="00721AA7" w:rsidRPr="00213A5D" w:rsidRDefault="00721AA7" w:rsidP="00BF0A8D">
      <w:pPr>
        <w:widowControl w:val="0"/>
        <w:numPr>
          <w:ilvl w:val="12"/>
          <w:numId w:val="0"/>
        </w:numPr>
        <w:tabs>
          <w:tab w:val="left" w:pos="1134"/>
        </w:tabs>
        <w:overflowPunct/>
        <w:autoSpaceDE/>
        <w:autoSpaceDN/>
        <w:adjustRightInd/>
        <w:ind w:right="0" w:firstLine="709"/>
        <w:textAlignment w:val="auto"/>
        <w:rPr>
          <w:rFonts w:eastAsia="Times New Roman"/>
          <w:color w:val="000000"/>
          <w:sz w:val="24"/>
          <w:szCs w:val="24"/>
        </w:rPr>
      </w:pPr>
      <w:r w:rsidRPr="00213A5D">
        <w:rPr>
          <w:rFonts w:eastAsia="Times New Roman"/>
          <w:b/>
          <w:bCs/>
          <w:color w:val="000000"/>
          <w:sz w:val="24"/>
          <w:szCs w:val="24"/>
        </w:rPr>
        <w:t xml:space="preserve">11.10. </w:t>
      </w:r>
      <w:r w:rsidR="001D0184" w:rsidRPr="00213A5D">
        <w:rPr>
          <w:rFonts w:eastAsia="Times New Roman"/>
          <w:color w:val="000000"/>
          <w:sz w:val="24"/>
          <w:szCs w:val="24"/>
        </w:rPr>
        <w:t xml:space="preserve">В январе – </w:t>
      </w:r>
      <w:r w:rsidRPr="00213A5D">
        <w:rPr>
          <w:rFonts w:eastAsia="Times New Roman"/>
          <w:color w:val="000000"/>
          <w:sz w:val="24"/>
          <w:szCs w:val="24"/>
        </w:rPr>
        <w:t xml:space="preserve">сентябре 2022 года в рамках Программы государственных внешних заимствований осуществлено </w:t>
      </w:r>
      <w:r w:rsidRPr="00213A5D">
        <w:rPr>
          <w:rFonts w:eastAsia="Times New Roman"/>
          <w:b/>
          <w:color w:val="000000"/>
          <w:sz w:val="24"/>
          <w:szCs w:val="24"/>
        </w:rPr>
        <w:t>привлечение кредитов (займов)</w:t>
      </w:r>
      <w:r w:rsidRPr="00213A5D">
        <w:rPr>
          <w:rFonts w:eastAsia="Times New Roman"/>
          <w:color w:val="000000"/>
          <w:sz w:val="24"/>
          <w:szCs w:val="24"/>
        </w:rPr>
        <w:t xml:space="preserve"> по 2 проектам МБРР – 5,5 млн. долларов США (407,5 млн. рублей), 2 проектам НБР – 29,7 млн. долларов США (2</w:t>
      </w:r>
      <w:r w:rsidRPr="00213A5D">
        <w:rPr>
          <w:rFonts w:eastAsia="Times New Roman"/>
          <w:color w:val="000000"/>
          <w:sz w:val="24"/>
          <w:szCs w:val="24"/>
          <w:lang w:val="en-US"/>
        </w:rPr>
        <w:t> </w:t>
      </w:r>
      <w:r w:rsidR="001D0184" w:rsidRPr="00213A5D">
        <w:rPr>
          <w:rFonts w:eastAsia="Times New Roman"/>
          <w:color w:val="000000"/>
          <w:sz w:val="24"/>
          <w:szCs w:val="24"/>
        </w:rPr>
        <w:t>385,3 млн. рублей), а так</w:t>
      </w:r>
      <w:r w:rsidRPr="00213A5D">
        <w:rPr>
          <w:rFonts w:eastAsia="Times New Roman"/>
          <w:color w:val="000000"/>
          <w:sz w:val="24"/>
          <w:szCs w:val="24"/>
        </w:rPr>
        <w:t>же возврат по проекту МБРР (закрытие проекта) – 0,03 млн. долларов США (1,7 млн. рублей).</w:t>
      </w:r>
    </w:p>
    <w:p w14:paraId="338C6434" w14:textId="77777777" w:rsidR="00721AA7" w:rsidRPr="00213A5D" w:rsidRDefault="00721AA7" w:rsidP="00BF0A8D">
      <w:pPr>
        <w:widowControl w:val="0"/>
        <w:numPr>
          <w:ilvl w:val="12"/>
          <w:numId w:val="0"/>
        </w:numPr>
        <w:tabs>
          <w:tab w:val="left" w:pos="1134"/>
        </w:tabs>
        <w:ind w:right="0" w:firstLine="709"/>
        <w:textAlignment w:val="auto"/>
        <w:rPr>
          <w:rFonts w:eastAsia="Times New Roman"/>
          <w:color w:val="000000"/>
          <w:sz w:val="24"/>
          <w:szCs w:val="24"/>
        </w:rPr>
      </w:pPr>
      <w:r w:rsidRPr="00213A5D">
        <w:rPr>
          <w:rFonts w:eastAsia="Times New Roman"/>
          <w:color w:val="000000"/>
          <w:sz w:val="24"/>
          <w:szCs w:val="24"/>
        </w:rPr>
        <w:t xml:space="preserve">В части бюджетных ассигнований, направленных на погашение государственного внешнего долга Российской Федерации выявлено расхождение в объеме (-) 556,5 млн. </w:t>
      </w:r>
      <w:r w:rsidRPr="00213A5D">
        <w:rPr>
          <w:rFonts w:eastAsia="Times New Roman"/>
          <w:color w:val="000000"/>
          <w:sz w:val="24"/>
          <w:szCs w:val="24"/>
        </w:rPr>
        <w:lastRenderedPageBreak/>
        <w:t>рублей между оперативными данными Федерального казначейства об исполнении федерального бюджета на 1 октября 2022 года (-) 204 502,2 млн. рублей и оперативной информаци</w:t>
      </w:r>
      <w:r w:rsidR="001D0184" w:rsidRPr="00213A5D">
        <w:rPr>
          <w:rFonts w:eastAsia="Times New Roman"/>
          <w:color w:val="000000"/>
          <w:sz w:val="24"/>
          <w:szCs w:val="24"/>
        </w:rPr>
        <w:t>ей</w:t>
      </w:r>
      <w:r w:rsidRPr="00213A5D">
        <w:rPr>
          <w:rFonts w:eastAsia="Times New Roman"/>
          <w:color w:val="000000"/>
          <w:sz w:val="24"/>
          <w:szCs w:val="24"/>
        </w:rPr>
        <w:t xml:space="preserve"> Минфина России (-) 203 945,6 млн. рублей.</w:t>
      </w:r>
    </w:p>
    <w:p w14:paraId="2BECEB3E" w14:textId="77777777" w:rsidR="00721AA7" w:rsidRPr="00213A5D" w:rsidRDefault="00721AA7" w:rsidP="00BF0A8D">
      <w:pPr>
        <w:widowControl w:val="0"/>
        <w:numPr>
          <w:ilvl w:val="12"/>
          <w:numId w:val="0"/>
        </w:numPr>
        <w:tabs>
          <w:tab w:val="left" w:pos="1134"/>
        </w:tabs>
        <w:overflowPunct/>
        <w:autoSpaceDE/>
        <w:autoSpaceDN/>
        <w:adjustRightInd/>
        <w:ind w:right="0" w:firstLine="709"/>
        <w:textAlignment w:val="auto"/>
        <w:rPr>
          <w:rFonts w:eastAsia="Times New Roman"/>
          <w:b/>
          <w:color w:val="000000"/>
          <w:sz w:val="24"/>
          <w:szCs w:val="24"/>
        </w:rPr>
      </w:pPr>
      <w:r w:rsidRPr="00213A5D">
        <w:rPr>
          <w:rFonts w:eastAsia="Times New Roman"/>
          <w:b/>
          <w:bCs/>
          <w:color w:val="000000"/>
          <w:sz w:val="24"/>
          <w:szCs w:val="24"/>
        </w:rPr>
        <w:t xml:space="preserve">11.11. </w:t>
      </w:r>
      <w:r w:rsidRPr="00213A5D">
        <w:rPr>
          <w:rFonts w:eastAsia="Times New Roman"/>
          <w:color w:val="000000"/>
          <w:sz w:val="24"/>
          <w:szCs w:val="24"/>
        </w:rPr>
        <w:t xml:space="preserve">Сальдо объемов предоставления и возврата </w:t>
      </w:r>
      <w:r w:rsidRPr="00213A5D">
        <w:rPr>
          <w:rFonts w:eastAsia="Times New Roman"/>
          <w:b/>
          <w:color w:val="000000"/>
          <w:sz w:val="24"/>
          <w:szCs w:val="24"/>
        </w:rPr>
        <w:t>государственных финансовых и государственных экспортных кредитов</w:t>
      </w:r>
      <w:r w:rsidRPr="00213A5D">
        <w:rPr>
          <w:rFonts w:eastAsia="Times New Roman"/>
          <w:color w:val="000000"/>
          <w:sz w:val="24"/>
          <w:szCs w:val="24"/>
        </w:rPr>
        <w:t xml:space="preserve"> в январе – сентябре 2022 года </w:t>
      </w:r>
      <w:r w:rsidRPr="00213A5D">
        <w:rPr>
          <w:rFonts w:eastAsia="Times New Roman"/>
          <w:b/>
          <w:color w:val="000000"/>
          <w:sz w:val="24"/>
          <w:szCs w:val="24"/>
        </w:rPr>
        <w:t xml:space="preserve">составило </w:t>
      </w:r>
      <w:r w:rsidRPr="00213A5D">
        <w:rPr>
          <w:rFonts w:eastAsia="Times New Roman"/>
          <w:b/>
          <w:color w:val="000000"/>
          <w:sz w:val="24"/>
          <w:szCs w:val="24"/>
        </w:rPr>
        <w:br/>
        <w:t>(-) 197 143,4 млн. рублей.</w:t>
      </w:r>
    </w:p>
    <w:p w14:paraId="3B0986E2" w14:textId="77777777" w:rsidR="00721AA7" w:rsidRPr="00213A5D" w:rsidRDefault="00721AA7" w:rsidP="00BF0A8D">
      <w:pPr>
        <w:widowControl w:val="0"/>
        <w:numPr>
          <w:ilvl w:val="12"/>
          <w:numId w:val="0"/>
        </w:numPr>
        <w:tabs>
          <w:tab w:val="left" w:pos="1134"/>
        </w:tabs>
        <w:overflowPunct/>
        <w:autoSpaceDE/>
        <w:autoSpaceDN/>
        <w:adjustRightInd/>
        <w:ind w:right="0" w:firstLine="709"/>
        <w:textAlignment w:val="auto"/>
        <w:rPr>
          <w:rFonts w:eastAsia="Times New Roman"/>
          <w:bCs/>
          <w:color w:val="000000"/>
          <w:sz w:val="24"/>
          <w:szCs w:val="24"/>
        </w:rPr>
      </w:pPr>
      <w:r w:rsidRPr="00213A5D">
        <w:rPr>
          <w:rFonts w:eastAsia="Times New Roman"/>
          <w:color w:val="000000"/>
          <w:sz w:val="24"/>
          <w:szCs w:val="24"/>
        </w:rPr>
        <w:t xml:space="preserve">Объем предоставленных кредитов иностранным государствам и (или) юридическим лицам из федерального бюджета в сумме (-) 229 562,4 млн. рублей или 61,2 % планового показателя (-) 374 920,0 млн. рублей), возвращено в федеральный бюджет 32 419,1 млн. рублей, или 23,4 % планового объема (138 489,8 млн. рублей). </w:t>
      </w:r>
      <w:r w:rsidRPr="00213A5D">
        <w:rPr>
          <w:rFonts w:eastAsia="Times New Roman"/>
          <w:bCs/>
          <w:color w:val="000000"/>
          <w:sz w:val="24"/>
          <w:szCs w:val="24"/>
        </w:rPr>
        <w:t xml:space="preserve">При этом согласно прогнозу поступлений и перечислений по источникам финансирования дефицита федерального бюджета на 1 октября 2022 года предоставление указанных кредитов планируется в полом объеме, а </w:t>
      </w:r>
      <w:r w:rsidRPr="00213A5D">
        <w:rPr>
          <w:rFonts w:eastAsia="Times New Roman"/>
          <w:b/>
          <w:bCs/>
          <w:color w:val="000000"/>
          <w:sz w:val="24"/>
          <w:szCs w:val="24"/>
        </w:rPr>
        <w:t>прогноз возврата снижен до фактических поступлений и не планируется в</w:t>
      </w:r>
      <w:r w:rsidRPr="00213A5D">
        <w:rPr>
          <w:rFonts w:eastAsia="Times New Roman"/>
          <w:b/>
          <w:bCs/>
          <w:color w:val="000000"/>
          <w:sz w:val="24"/>
          <w:szCs w:val="24"/>
          <w:lang w:val="en-US"/>
        </w:rPr>
        <w:t> IV</w:t>
      </w:r>
      <w:r w:rsidRPr="00213A5D">
        <w:rPr>
          <w:rFonts w:eastAsia="Times New Roman"/>
          <w:b/>
          <w:bCs/>
          <w:color w:val="000000"/>
          <w:sz w:val="24"/>
          <w:szCs w:val="24"/>
        </w:rPr>
        <w:t> квартале 2022 года</w:t>
      </w:r>
      <w:r w:rsidRPr="00213A5D">
        <w:rPr>
          <w:rFonts w:eastAsia="Times New Roman"/>
          <w:bCs/>
          <w:color w:val="000000"/>
          <w:sz w:val="24"/>
          <w:szCs w:val="24"/>
        </w:rPr>
        <w:t>.</w:t>
      </w:r>
    </w:p>
    <w:p w14:paraId="77887260" w14:textId="77777777" w:rsidR="00721AA7" w:rsidRPr="00213A5D" w:rsidRDefault="00721AA7" w:rsidP="00BF0A8D">
      <w:pPr>
        <w:widowControl w:val="0"/>
        <w:numPr>
          <w:ilvl w:val="12"/>
          <w:numId w:val="0"/>
        </w:numPr>
        <w:tabs>
          <w:tab w:val="left" w:pos="1134"/>
        </w:tabs>
        <w:overflowPunct/>
        <w:autoSpaceDE/>
        <w:autoSpaceDN/>
        <w:adjustRightInd/>
        <w:ind w:right="0" w:firstLine="709"/>
        <w:textAlignment w:val="auto"/>
        <w:rPr>
          <w:rFonts w:eastAsia="Times New Roman"/>
          <w:b/>
          <w:color w:val="000000"/>
          <w:sz w:val="24"/>
          <w:szCs w:val="24"/>
        </w:rPr>
      </w:pPr>
      <w:r w:rsidRPr="00213A5D">
        <w:rPr>
          <w:rFonts w:eastAsia="Times New Roman"/>
          <w:b/>
          <w:bCs/>
          <w:color w:val="000000"/>
          <w:sz w:val="24"/>
          <w:szCs w:val="24"/>
        </w:rPr>
        <w:t>11.12.</w:t>
      </w:r>
      <w:r w:rsidRPr="00213A5D">
        <w:rPr>
          <w:rFonts w:eastAsia="Times New Roman"/>
          <w:color w:val="000000"/>
          <w:sz w:val="24"/>
          <w:szCs w:val="24"/>
        </w:rPr>
        <w:t xml:space="preserve"> В январе – сентябре 2022 года </w:t>
      </w:r>
      <w:r w:rsidRPr="00213A5D">
        <w:rPr>
          <w:rFonts w:eastAsia="Times New Roman"/>
          <w:b/>
          <w:color w:val="000000"/>
          <w:sz w:val="24"/>
          <w:szCs w:val="24"/>
        </w:rPr>
        <w:t>выплаты</w:t>
      </w:r>
      <w:r w:rsidRPr="00213A5D">
        <w:rPr>
          <w:rFonts w:eastAsia="Times New Roman"/>
          <w:color w:val="000000"/>
          <w:sz w:val="24"/>
          <w:szCs w:val="24"/>
        </w:rPr>
        <w:t xml:space="preserve"> из федерального бюджета за счет источников внешнего финансирования дефицита федерального бюджета </w:t>
      </w:r>
      <w:r w:rsidRPr="00213A5D">
        <w:rPr>
          <w:rFonts w:eastAsia="Times New Roman"/>
          <w:b/>
          <w:color w:val="000000"/>
          <w:sz w:val="24"/>
          <w:szCs w:val="24"/>
        </w:rPr>
        <w:t>по возможным гарантийным случаям не производились.</w:t>
      </w:r>
    </w:p>
    <w:p w14:paraId="4898CAC1" w14:textId="77777777" w:rsidR="00721AA7" w:rsidRPr="00213A5D" w:rsidRDefault="00721AA7" w:rsidP="00BF0A8D">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
          <w:bCs/>
          <w:color w:val="000000"/>
          <w:sz w:val="24"/>
          <w:szCs w:val="24"/>
        </w:rPr>
        <w:t>11.13.</w:t>
      </w:r>
      <w:r w:rsidRPr="00213A5D">
        <w:rPr>
          <w:rFonts w:eastAsia="Times New Roman"/>
          <w:bCs/>
          <w:color w:val="000000"/>
          <w:sz w:val="24"/>
          <w:szCs w:val="24"/>
        </w:rPr>
        <w:t> Информация об остатках средств федерального бюджета на 1 октября 2022 года представлена в</w:t>
      </w:r>
      <w:r w:rsidR="002352E6" w:rsidRPr="00213A5D">
        <w:rPr>
          <w:rFonts w:eastAsia="Times New Roman"/>
          <w:bCs/>
          <w:color w:val="000000"/>
          <w:sz w:val="24"/>
          <w:szCs w:val="24"/>
        </w:rPr>
        <w:t xml:space="preserve"> разделе 3</w:t>
      </w:r>
      <w:r w:rsidRPr="00213A5D">
        <w:rPr>
          <w:rFonts w:eastAsia="Times New Roman"/>
          <w:bCs/>
          <w:color w:val="000000"/>
          <w:sz w:val="24"/>
          <w:szCs w:val="24"/>
        </w:rPr>
        <w:t xml:space="preserve"> </w:t>
      </w:r>
      <w:r w:rsidR="002352E6" w:rsidRPr="00213A5D">
        <w:rPr>
          <w:rFonts w:eastAsia="Times New Roman"/>
          <w:color w:val="000000"/>
          <w:sz w:val="24"/>
          <w:szCs w:val="24"/>
        </w:rPr>
        <w:t xml:space="preserve">аналитической записки, </w:t>
      </w:r>
      <w:r w:rsidR="002352E6" w:rsidRPr="00213A5D">
        <w:rPr>
          <w:rFonts w:eastAsia="Times New Roman"/>
          <w:color w:val="000000"/>
          <w:spacing w:val="-2"/>
          <w:sz w:val="24"/>
          <w:szCs w:val="24"/>
        </w:rPr>
        <w:t>содержащей сведения ограниченного распространения с пометкой «Для служебного пользования»</w:t>
      </w:r>
      <w:r w:rsidRPr="00213A5D">
        <w:rPr>
          <w:rFonts w:eastAsia="Times New Roman"/>
          <w:color w:val="000000"/>
          <w:sz w:val="24"/>
          <w:szCs w:val="24"/>
        </w:rPr>
        <w:t>.</w:t>
      </w:r>
    </w:p>
    <w:p w14:paraId="28A72DF3" w14:textId="77777777" w:rsidR="00721AA7" w:rsidRPr="00213A5D" w:rsidRDefault="00721AA7" w:rsidP="00BF0A8D">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
          <w:bCs/>
          <w:color w:val="000000"/>
          <w:sz w:val="24"/>
          <w:szCs w:val="24"/>
        </w:rPr>
        <w:t xml:space="preserve">11.14. </w:t>
      </w:r>
      <w:r w:rsidRPr="00213A5D">
        <w:rPr>
          <w:rFonts w:eastAsia="Times New Roman"/>
          <w:bCs/>
          <w:iCs/>
          <w:color w:val="000000"/>
          <w:sz w:val="24"/>
          <w:szCs w:val="24"/>
        </w:rPr>
        <w:t xml:space="preserve">Динамика остатков средств </w:t>
      </w:r>
      <w:r w:rsidRPr="00213A5D">
        <w:rPr>
          <w:rFonts w:eastAsia="Times New Roman"/>
          <w:b/>
          <w:bCs/>
          <w:color w:val="000000"/>
          <w:sz w:val="24"/>
          <w:szCs w:val="24"/>
        </w:rPr>
        <w:t xml:space="preserve">на счетах </w:t>
      </w:r>
      <w:r w:rsidRPr="00213A5D">
        <w:rPr>
          <w:rFonts w:eastAsia="Times New Roman"/>
          <w:b/>
          <w:bCs/>
          <w:iCs/>
          <w:color w:val="000000"/>
          <w:sz w:val="24"/>
          <w:szCs w:val="24"/>
        </w:rPr>
        <w:t>ФНБ</w:t>
      </w:r>
      <w:r w:rsidRPr="00213A5D">
        <w:rPr>
          <w:rFonts w:eastAsia="Times New Roman"/>
          <w:b/>
          <w:bCs/>
          <w:color w:val="000000"/>
          <w:sz w:val="24"/>
          <w:szCs w:val="24"/>
        </w:rPr>
        <w:t xml:space="preserve"> </w:t>
      </w:r>
      <w:r w:rsidRPr="00213A5D">
        <w:rPr>
          <w:rFonts w:eastAsia="Times New Roman"/>
          <w:bCs/>
          <w:color w:val="000000"/>
          <w:sz w:val="24"/>
          <w:szCs w:val="24"/>
        </w:rPr>
        <w:t xml:space="preserve">в иностранной валюте </w:t>
      </w:r>
      <w:r w:rsidRPr="00213A5D">
        <w:rPr>
          <w:rFonts w:eastAsia="Times New Roman"/>
          <w:b/>
          <w:bCs/>
          <w:color w:val="000000"/>
          <w:sz w:val="24"/>
          <w:szCs w:val="24"/>
        </w:rPr>
        <w:t>в Банке России и размещенных в разрешенные финансовые активы</w:t>
      </w:r>
      <w:r w:rsidRPr="00213A5D">
        <w:rPr>
          <w:rFonts w:eastAsia="Times New Roman"/>
          <w:bCs/>
          <w:iCs/>
          <w:color w:val="000000"/>
          <w:sz w:val="24"/>
          <w:szCs w:val="24"/>
        </w:rPr>
        <w:t xml:space="preserve"> в 2020–2022 годах представлена</w:t>
      </w:r>
      <w:r w:rsidRPr="00213A5D">
        <w:rPr>
          <w:rFonts w:eastAsia="Times New Roman"/>
          <w:bCs/>
          <w:color w:val="000000"/>
          <w:sz w:val="24"/>
          <w:szCs w:val="24"/>
        </w:rPr>
        <w:t xml:space="preserve"> на следующей диаграмме.</w:t>
      </w:r>
    </w:p>
    <w:bookmarkStart w:id="12" w:name="_MON_1730651406"/>
    <w:bookmarkEnd w:id="12"/>
    <w:bookmarkStart w:id="13" w:name="_MON_1730651211"/>
    <w:bookmarkEnd w:id="13"/>
    <w:p w14:paraId="309A82F8" w14:textId="77777777" w:rsidR="00721AA7" w:rsidRPr="00213A5D" w:rsidRDefault="00CD0E98" w:rsidP="00A3055E">
      <w:pPr>
        <w:widowControl w:val="0"/>
        <w:spacing w:line="240" w:lineRule="auto"/>
        <w:ind w:left="0" w:right="0" w:firstLine="0"/>
        <w:jc w:val="center"/>
        <w:textAlignment w:val="auto"/>
        <w:rPr>
          <w:rFonts w:eastAsia="Times New Roman"/>
          <w:color w:val="000000"/>
          <w:sz w:val="16"/>
          <w:szCs w:val="16"/>
        </w:rPr>
      </w:pPr>
      <w:r w:rsidRPr="00213A5D">
        <w:rPr>
          <w:noProof/>
          <w:color w:val="000000"/>
        </w:rPr>
        <w:object w:dxaOrig="10088" w:dyaOrig="3416" w14:anchorId="1729C8BB">
          <v:shape id="_x0000_i1028" type="#_x0000_t75" alt="" style="width:7in;height:171.15pt;mso-width-percent:0;mso-height-percent:0;mso-width-percent:0;mso-height-percent:0" o:ole="">
            <v:imagedata r:id="rId83" o:title="" cropbottom="-111f" cropright="-28f"/>
            <o:lock v:ext="edit" aspectratio="f"/>
          </v:shape>
          <o:OLEObject Type="Embed" ProgID="Excel.Sheet.8" ShapeID="_x0000_i1028" DrawAspect="Content" ObjectID="_1731305719" r:id="rId84">
            <o:FieldCodes>\s</o:FieldCodes>
          </o:OLEObject>
        </w:object>
      </w:r>
    </w:p>
    <w:p w14:paraId="329F26B5" w14:textId="77777777" w:rsidR="00721AA7" w:rsidRPr="00213A5D" w:rsidRDefault="00721AA7" w:rsidP="00BF0A8D">
      <w:pPr>
        <w:widowControl w:val="0"/>
        <w:overflowPunct/>
        <w:autoSpaceDE/>
        <w:autoSpaceDN/>
        <w:adjustRightInd/>
        <w:ind w:left="0" w:right="0"/>
        <w:textAlignment w:val="auto"/>
        <w:rPr>
          <w:rFonts w:eastAsia="Times New Roman"/>
          <w:bCs/>
          <w:iCs/>
          <w:color w:val="000000"/>
          <w:sz w:val="24"/>
          <w:szCs w:val="24"/>
        </w:rPr>
      </w:pPr>
      <w:r w:rsidRPr="00213A5D">
        <w:rPr>
          <w:rFonts w:eastAsia="Times New Roman"/>
          <w:b/>
          <w:bCs/>
          <w:color w:val="000000"/>
          <w:sz w:val="24"/>
          <w:szCs w:val="24"/>
        </w:rPr>
        <w:t>С</w:t>
      </w:r>
      <w:r w:rsidRPr="00213A5D">
        <w:rPr>
          <w:rFonts w:eastAsia="Times New Roman"/>
          <w:b/>
          <w:bCs/>
          <w:iCs/>
          <w:color w:val="000000"/>
          <w:sz w:val="24"/>
          <w:szCs w:val="24"/>
        </w:rPr>
        <w:t>овокупный объем</w:t>
      </w:r>
      <w:r w:rsidRPr="00213A5D">
        <w:rPr>
          <w:rFonts w:eastAsia="Times New Roman"/>
          <w:bCs/>
          <w:iCs/>
          <w:color w:val="000000"/>
          <w:sz w:val="24"/>
          <w:szCs w:val="24"/>
        </w:rPr>
        <w:t xml:space="preserve"> средств </w:t>
      </w:r>
      <w:r w:rsidRPr="00213A5D">
        <w:rPr>
          <w:rFonts w:eastAsia="Times New Roman"/>
          <w:b/>
          <w:bCs/>
          <w:iCs/>
          <w:color w:val="000000"/>
          <w:sz w:val="24"/>
          <w:szCs w:val="24"/>
        </w:rPr>
        <w:t xml:space="preserve">ФНБ </w:t>
      </w:r>
      <w:r w:rsidRPr="00213A5D">
        <w:rPr>
          <w:rFonts w:eastAsia="Times New Roman"/>
          <w:bCs/>
          <w:iCs/>
          <w:color w:val="000000"/>
          <w:sz w:val="24"/>
          <w:szCs w:val="24"/>
        </w:rPr>
        <w:t xml:space="preserve">в рублевом эквиваленте на 1 октября 2022 года по сравнению с началом года </w:t>
      </w:r>
      <w:r w:rsidRPr="00213A5D">
        <w:rPr>
          <w:rFonts w:eastAsia="Times New Roman"/>
          <w:b/>
          <w:bCs/>
          <w:iCs/>
          <w:color w:val="000000"/>
          <w:sz w:val="24"/>
          <w:szCs w:val="24"/>
        </w:rPr>
        <w:t>уменьшился на 2 793 365,9 млн. рублей</w:t>
      </w:r>
      <w:r w:rsidRPr="00213A5D">
        <w:rPr>
          <w:rFonts w:eastAsia="Times New Roman"/>
          <w:bCs/>
          <w:iCs/>
          <w:color w:val="000000"/>
          <w:sz w:val="24"/>
          <w:szCs w:val="24"/>
        </w:rPr>
        <w:t xml:space="preserve">, или на 20,6 %. </w:t>
      </w:r>
    </w:p>
    <w:p w14:paraId="1E9CB397" w14:textId="77777777" w:rsidR="00721AA7" w:rsidRPr="00213A5D" w:rsidRDefault="00721AA7" w:rsidP="00A3055E">
      <w:pPr>
        <w:widowControl w:val="0"/>
        <w:overflowPunct/>
        <w:autoSpaceDE/>
        <w:autoSpaceDN/>
        <w:adjustRightInd/>
        <w:spacing w:line="353" w:lineRule="auto"/>
        <w:ind w:left="0" w:right="0"/>
        <w:textAlignment w:val="auto"/>
        <w:rPr>
          <w:rFonts w:eastAsia="Times New Roman"/>
          <w:bCs/>
          <w:color w:val="000000"/>
          <w:sz w:val="24"/>
          <w:szCs w:val="24"/>
        </w:rPr>
      </w:pPr>
      <w:r w:rsidRPr="00213A5D">
        <w:rPr>
          <w:rFonts w:eastAsia="Times New Roman"/>
          <w:bCs/>
          <w:color w:val="000000"/>
          <w:sz w:val="24"/>
          <w:szCs w:val="24"/>
        </w:rPr>
        <w:t xml:space="preserve">Изменения, повлиявшие на совокупный объем ФНБ </w:t>
      </w:r>
      <w:r w:rsidRPr="00213A5D">
        <w:rPr>
          <w:rFonts w:eastAsia="Times New Roman"/>
          <w:color w:val="000000"/>
          <w:sz w:val="24"/>
          <w:szCs w:val="24"/>
        </w:rPr>
        <w:t>в отчетном периоде</w:t>
      </w:r>
      <w:r w:rsidRPr="00213A5D">
        <w:rPr>
          <w:rFonts w:eastAsia="Times New Roman"/>
          <w:bCs/>
          <w:color w:val="000000"/>
          <w:sz w:val="24"/>
          <w:szCs w:val="24"/>
        </w:rPr>
        <w:t xml:space="preserve"> 2022 года, </w:t>
      </w:r>
      <w:r w:rsidRPr="00213A5D">
        <w:rPr>
          <w:rFonts w:eastAsia="Times New Roman"/>
          <w:bCs/>
          <w:color w:val="000000"/>
          <w:sz w:val="24"/>
          <w:szCs w:val="24"/>
        </w:rPr>
        <w:lastRenderedPageBreak/>
        <w:t>приведены в следующей таблице.</w:t>
      </w:r>
    </w:p>
    <w:p w14:paraId="7CA2666B" w14:textId="77777777" w:rsidR="00721AA7" w:rsidRPr="00213A5D" w:rsidRDefault="00721AA7" w:rsidP="00AF1852">
      <w:pPr>
        <w:widowControl w:val="0"/>
        <w:overflowPunct/>
        <w:autoSpaceDE/>
        <w:autoSpaceDN/>
        <w:adjustRightInd/>
        <w:spacing w:line="240" w:lineRule="auto"/>
        <w:ind w:left="0" w:right="0"/>
        <w:jc w:val="right"/>
        <w:textAlignment w:val="auto"/>
        <w:rPr>
          <w:rFonts w:eastAsia="Times New Roman"/>
          <w:bCs/>
          <w:color w:val="000000"/>
          <w:sz w:val="24"/>
          <w:szCs w:val="24"/>
        </w:rPr>
      </w:pPr>
      <w:r w:rsidRPr="00213A5D">
        <w:rPr>
          <w:rFonts w:eastAsia="Times New Roman"/>
          <w:bCs/>
          <w:color w:val="000000"/>
          <w:sz w:val="24"/>
          <w:szCs w:val="24"/>
        </w:rPr>
        <w:t>(млн. рублей)</w:t>
      </w: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1766"/>
      </w:tblGrid>
      <w:tr w:rsidR="00721AA7" w:rsidRPr="00213A5D" w14:paraId="47E68A16" w14:textId="77777777" w:rsidTr="00816500">
        <w:trPr>
          <w:trHeight w:val="149"/>
          <w:tblHeader/>
          <w:jc w:val="center"/>
        </w:trPr>
        <w:tc>
          <w:tcPr>
            <w:tcW w:w="4112" w:type="pct"/>
            <w:hideMark/>
          </w:tcPr>
          <w:p w14:paraId="7D400A6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Показатель</w:t>
            </w:r>
          </w:p>
        </w:tc>
        <w:tc>
          <w:tcPr>
            <w:tcW w:w="888" w:type="pct"/>
          </w:tcPr>
          <w:p w14:paraId="1CDC3B9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Объем</w:t>
            </w:r>
          </w:p>
        </w:tc>
      </w:tr>
      <w:tr w:rsidR="00721AA7" w:rsidRPr="00213A5D" w14:paraId="2999196C" w14:textId="77777777" w:rsidTr="00816500">
        <w:trPr>
          <w:trHeight w:val="140"/>
          <w:jc w:val="center"/>
        </w:trPr>
        <w:tc>
          <w:tcPr>
            <w:tcW w:w="4112" w:type="pct"/>
            <w:hideMark/>
          </w:tcPr>
          <w:p w14:paraId="724C485A"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b/>
                <w:color w:val="000000"/>
                <w:sz w:val="24"/>
                <w:szCs w:val="24"/>
              </w:rPr>
            </w:pPr>
            <w:r w:rsidRPr="00213A5D">
              <w:rPr>
                <w:rFonts w:eastAsia="Times New Roman"/>
                <w:b/>
                <w:color w:val="000000"/>
                <w:sz w:val="24"/>
                <w:szCs w:val="24"/>
              </w:rPr>
              <w:t>Совокупный объем ФНБ на 1 января 2022 года</w:t>
            </w:r>
          </w:p>
        </w:tc>
        <w:tc>
          <w:tcPr>
            <w:tcW w:w="888" w:type="pct"/>
            <w:vAlign w:val="center"/>
          </w:tcPr>
          <w:p w14:paraId="7380A725" w14:textId="77777777" w:rsidR="00721AA7" w:rsidRPr="00213A5D" w:rsidRDefault="00721AA7" w:rsidP="00AF1852">
            <w:pPr>
              <w:widowControl w:val="0"/>
              <w:overflowPunct/>
              <w:autoSpaceDE/>
              <w:autoSpaceDN/>
              <w:adjustRightInd/>
              <w:spacing w:line="240" w:lineRule="auto"/>
              <w:ind w:left="0" w:right="0" w:firstLine="0"/>
              <w:jc w:val="right"/>
              <w:textAlignment w:val="auto"/>
              <w:rPr>
                <w:rFonts w:eastAsia="Times New Roman"/>
                <w:b/>
                <w:color w:val="000000"/>
                <w:sz w:val="24"/>
                <w:szCs w:val="24"/>
              </w:rPr>
            </w:pPr>
            <w:r w:rsidRPr="00213A5D">
              <w:rPr>
                <w:rFonts w:eastAsia="Times New Roman"/>
                <w:b/>
                <w:color w:val="000000"/>
                <w:sz w:val="24"/>
                <w:szCs w:val="24"/>
              </w:rPr>
              <w:t>13 585 551,5</w:t>
            </w:r>
          </w:p>
        </w:tc>
      </w:tr>
      <w:tr w:rsidR="00721AA7" w:rsidRPr="00213A5D" w14:paraId="06DF6FA3" w14:textId="77777777" w:rsidTr="00816500">
        <w:trPr>
          <w:trHeight w:val="140"/>
          <w:jc w:val="center"/>
        </w:trPr>
        <w:tc>
          <w:tcPr>
            <w:tcW w:w="4112" w:type="pct"/>
          </w:tcPr>
          <w:p w14:paraId="71711C1F"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4"/>
                <w:szCs w:val="24"/>
              </w:rPr>
            </w:pPr>
            <w:r w:rsidRPr="00213A5D">
              <w:rPr>
                <w:rFonts w:eastAsia="Times New Roman"/>
                <w:color w:val="000000"/>
                <w:sz w:val="24"/>
                <w:szCs w:val="24"/>
              </w:rPr>
              <w:t xml:space="preserve">Объем средств в иностранных валютах и золоте в обезличенной форме, приобретенных за счет средств федерального бюджета в пределах объема </w:t>
            </w:r>
            <w:r w:rsidRPr="00213A5D">
              <w:rPr>
                <w:rFonts w:eastAsia="Times New Roman"/>
                <w:b/>
                <w:color w:val="000000"/>
                <w:sz w:val="24"/>
                <w:szCs w:val="24"/>
              </w:rPr>
              <w:t xml:space="preserve">дополнительных нефтегазовых доходов федерального бюджета за 2021 год </w:t>
            </w:r>
            <w:r w:rsidRPr="00213A5D">
              <w:rPr>
                <w:rFonts w:eastAsia="Times New Roman"/>
                <w:color w:val="000000"/>
                <w:sz w:val="24"/>
                <w:szCs w:val="24"/>
              </w:rPr>
              <w:t xml:space="preserve">и </w:t>
            </w:r>
            <w:r w:rsidRPr="00213A5D">
              <w:rPr>
                <w:rFonts w:eastAsia="Times New Roman"/>
                <w:b/>
                <w:color w:val="000000"/>
                <w:sz w:val="24"/>
                <w:szCs w:val="24"/>
              </w:rPr>
              <w:t>зачисленных на счета в Банке России по учету средств ФНБ</w:t>
            </w:r>
            <w:r w:rsidRPr="00213A5D">
              <w:rPr>
                <w:rFonts w:eastAsia="Times New Roman"/>
                <w:color w:val="000000"/>
                <w:sz w:val="24"/>
                <w:szCs w:val="24"/>
              </w:rPr>
              <w:t xml:space="preserve"> в соответствующих иностранных валютах и золоте (в рублевом эквиваленте)</w:t>
            </w:r>
          </w:p>
        </w:tc>
        <w:tc>
          <w:tcPr>
            <w:tcW w:w="888" w:type="pct"/>
            <w:vAlign w:val="center"/>
          </w:tcPr>
          <w:p w14:paraId="1B50D3F0" w14:textId="77777777" w:rsidR="00721AA7" w:rsidRPr="00213A5D" w:rsidRDefault="00721AA7" w:rsidP="00AF1852">
            <w:pPr>
              <w:widowControl w:val="0"/>
              <w:overflowPunct/>
              <w:autoSpaceDE/>
              <w:autoSpaceDN/>
              <w:adjustRightInd/>
              <w:spacing w:line="240" w:lineRule="auto"/>
              <w:ind w:left="0" w:right="0" w:firstLine="0"/>
              <w:jc w:val="right"/>
              <w:textAlignment w:val="auto"/>
              <w:rPr>
                <w:rFonts w:eastAsia="Times New Roman"/>
                <w:color w:val="000000"/>
                <w:sz w:val="24"/>
                <w:szCs w:val="24"/>
              </w:rPr>
            </w:pPr>
            <w:r w:rsidRPr="00213A5D">
              <w:rPr>
                <w:rFonts w:eastAsia="Times New Roman"/>
                <w:color w:val="000000"/>
                <w:sz w:val="24"/>
                <w:szCs w:val="24"/>
              </w:rPr>
              <w:t>2 657 838,3</w:t>
            </w:r>
          </w:p>
        </w:tc>
      </w:tr>
      <w:tr w:rsidR="00721AA7" w:rsidRPr="00213A5D" w14:paraId="5EB1F507" w14:textId="77777777" w:rsidTr="00816500">
        <w:trPr>
          <w:trHeight w:val="140"/>
          <w:jc w:val="center"/>
        </w:trPr>
        <w:tc>
          <w:tcPr>
            <w:tcW w:w="4112" w:type="pct"/>
          </w:tcPr>
          <w:p w14:paraId="44CA84B3"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4"/>
                <w:szCs w:val="24"/>
              </w:rPr>
            </w:pPr>
            <w:r w:rsidRPr="00213A5D">
              <w:rPr>
                <w:rFonts w:eastAsia="Times New Roman"/>
                <w:color w:val="000000"/>
                <w:sz w:val="24"/>
                <w:szCs w:val="24"/>
              </w:rPr>
              <w:t>Курсовая разница и переоценка стоимости золота</w:t>
            </w:r>
          </w:p>
        </w:tc>
        <w:tc>
          <w:tcPr>
            <w:tcW w:w="888" w:type="pct"/>
            <w:vAlign w:val="center"/>
          </w:tcPr>
          <w:p w14:paraId="2851A19E" w14:textId="77777777" w:rsidR="00721AA7" w:rsidRPr="00213A5D" w:rsidRDefault="00721AA7" w:rsidP="00AF1852">
            <w:pPr>
              <w:widowControl w:val="0"/>
              <w:overflowPunct/>
              <w:autoSpaceDE/>
              <w:autoSpaceDN/>
              <w:adjustRightInd/>
              <w:spacing w:line="240" w:lineRule="auto"/>
              <w:ind w:left="0" w:right="0" w:firstLine="0"/>
              <w:jc w:val="right"/>
              <w:textAlignment w:val="auto"/>
              <w:rPr>
                <w:rFonts w:eastAsia="Times New Roman"/>
                <w:color w:val="000000"/>
                <w:sz w:val="24"/>
                <w:szCs w:val="24"/>
              </w:rPr>
            </w:pPr>
            <w:r w:rsidRPr="00213A5D">
              <w:rPr>
                <w:rFonts w:eastAsia="Times New Roman"/>
                <w:color w:val="000000"/>
                <w:sz w:val="24"/>
                <w:szCs w:val="24"/>
              </w:rPr>
              <w:t>(-) 3 320 378,9</w:t>
            </w:r>
          </w:p>
        </w:tc>
      </w:tr>
      <w:tr w:rsidR="00721AA7" w:rsidRPr="00213A5D" w14:paraId="2BF94756" w14:textId="77777777" w:rsidTr="00816500">
        <w:trPr>
          <w:trHeight w:val="140"/>
          <w:jc w:val="center"/>
        </w:trPr>
        <w:tc>
          <w:tcPr>
            <w:tcW w:w="4112" w:type="pct"/>
            <w:shd w:val="clear" w:color="auto" w:fill="auto"/>
          </w:tcPr>
          <w:p w14:paraId="6C11E415"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i/>
                <w:color w:val="000000"/>
                <w:sz w:val="24"/>
                <w:szCs w:val="24"/>
              </w:rPr>
            </w:pPr>
            <w:r w:rsidRPr="00213A5D">
              <w:rPr>
                <w:rFonts w:eastAsia="Times New Roman"/>
                <w:i/>
                <w:color w:val="000000"/>
                <w:sz w:val="24"/>
                <w:szCs w:val="24"/>
              </w:rPr>
              <w:t>из них:</w:t>
            </w:r>
          </w:p>
          <w:p w14:paraId="0567F1F8"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i/>
                <w:color w:val="000000"/>
                <w:sz w:val="24"/>
                <w:szCs w:val="24"/>
              </w:rPr>
            </w:pPr>
            <w:r w:rsidRPr="00213A5D">
              <w:rPr>
                <w:rFonts w:eastAsia="Times New Roman"/>
                <w:i/>
                <w:color w:val="000000"/>
                <w:sz w:val="24"/>
                <w:szCs w:val="24"/>
              </w:rPr>
              <w:t>по активам, размещенным в Банке России</w:t>
            </w:r>
          </w:p>
        </w:tc>
        <w:tc>
          <w:tcPr>
            <w:tcW w:w="888" w:type="pct"/>
            <w:shd w:val="clear" w:color="auto" w:fill="auto"/>
            <w:vAlign w:val="center"/>
          </w:tcPr>
          <w:p w14:paraId="7FBA5FC7" w14:textId="77777777" w:rsidR="00721AA7" w:rsidRPr="00213A5D" w:rsidRDefault="00721AA7" w:rsidP="00AF1852">
            <w:pPr>
              <w:widowControl w:val="0"/>
              <w:overflowPunct/>
              <w:autoSpaceDE/>
              <w:autoSpaceDN/>
              <w:adjustRightInd/>
              <w:spacing w:line="140" w:lineRule="atLeast"/>
              <w:ind w:left="0" w:right="0" w:firstLine="0"/>
              <w:jc w:val="right"/>
              <w:textAlignment w:val="auto"/>
              <w:rPr>
                <w:i/>
                <w:color w:val="000000"/>
                <w:sz w:val="24"/>
                <w:szCs w:val="24"/>
                <w:lang w:eastAsia="en-US"/>
              </w:rPr>
            </w:pPr>
            <w:r w:rsidRPr="00213A5D">
              <w:rPr>
                <w:rFonts w:eastAsia="Times New Roman"/>
                <w:i/>
                <w:color w:val="000000"/>
                <w:sz w:val="24"/>
                <w:szCs w:val="24"/>
                <w:lang w:eastAsia="en-US"/>
              </w:rPr>
              <w:t>(-) 3 244 412,6</w:t>
            </w:r>
          </w:p>
        </w:tc>
      </w:tr>
      <w:tr w:rsidR="00721AA7" w:rsidRPr="00213A5D" w14:paraId="55B9BC8A" w14:textId="77777777" w:rsidTr="00816500">
        <w:trPr>
          <w:trHeight w:val="140"/>
          <w:jc w:val="center"/>
        </w:trPr>
        <w:tc>
          <w:tcPr>
            <w:tcW w:w="4112" w:type="pct"/>
            <w:shd w:val="clear" w:color="auto" w:fill="auto"/>
          </w:tcPr>
          <w:p w14:paraId="15327367"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i/>
                <w:color w:val="000000"/>
                <w:sz w:val="24"/>
                <w:szCs w:val="24"/>
              </w:rPr>
            </w:pPr>
            <w:r w:rsidRPr="00213A5D">
              <w:rPr>
                <w:rFonts w:eastAsia="Times New Roman"/>
                <w:i/>
                <w:color w:val="000000"/>
                <w:sz w:val="24"/>
                <w:szCs w:val="24"/>
              </w:rPr>
              <w:t>по иным финансовым активам</w:t>
            </w:r>
          </w:p>
        </w:tc>
        <w:tc>
          <w:tcPr>
            <w:tcW w:w="888" w:type="pct"/>
            <w:shd w:val="clear" w:color="auto" w:fill="auto"/>
            <w:vAlign w:val="center"/>
          </w:tcPr>
          <w:p w14:paraId="4B8202FF" w14:textId="77777777" w:rsidR="00721AA7" w:rsidRPr="00213A5D" w:rsidRDefault="00721AA7" w:rsidP="00AF1852">
            <w:pPr>
              <w:widowControl w:val="0"/>
              <w:overflowPunct/>
              <w:autoSpaceDE/>
              <w:autoSpaceDN/>
              <w:adjustRightInd/>
              <w:spacing w:line="140" w:lineRule="atLeast"/>
              <w:ind w:left="0" w:right="0" w:firstLine="0"/>
              <w:jc w:val="right"/>
              <w:textAlignment w:val="auto"/>
              <w:rPr>
                <w:i/>
                <w:color w:val="000000"/>
                <w:sz w:val="24"/>
                <w:szCs w:val="24"/>
                <w:lang w:eastAsia="en-US"/>
              </w:rPr>
            </w:pPr>
            <w:r w:rsidRPr="00213A5D">
              <w:rPr>
                <w:rFonts w:eastAsia="Times New Roman"/>
                <w:i/>
                <w:color w:val="000000"/>
                <w:sz w:val="24"/>
                <w:szCs w:val="24"/>
                <w:lang w:eastAsia="en-US"/>
              </w:rPr>
              <w:t>(-) 75 966,3</w:t>
            </w:r>
          </w:p>
        </w:tc>
      </w:tr>
      <w:tr w:rsidR="00721AA7" w:rsidRPr="00213A5D" w14:paraId="5E193A44" w14:textId="77777777" w:rsidTr="00816500">
        <w:trPr>
          <w:trHeight w:val="140"/>
          <w:jc w:val="center"/>
        </w:trPr>
        <w:tc>
          <w:tcPr>
            <w:tcW w:w="4112" w:type="pct"/>
          </w:tcPr>
          <w:p w14:paraId="5182D40C"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4"/>
                <w:szCs w:val="24"/>
              </w:rPr>
            </w:pPr>
            <w:r w:rsidRPr="00213A5D">
              <w:rPr>
                <w:rFonts w:eastAsia="Times New Roman"/>
                <w:color w:val="000000"/>
                <w:sz w:val="24"/>
                <w:szCs w:val="24"/>
              </w:rPr>
              <w:t xml:space="preserve">Переоценка на 30 сентября 2022 года (за период с начала года) стоимости акций ПАО </w:t>
            </w:r>
            <w:r w:rsidR="00064251" w:rsidRPr="00213A5D">
              <w:rPr>
                <w:rFonts w:eastAsia="Times New Roman"/>
                <w:color w:val="000000"/>
                <w:sz w:val="24"/>
                <w:szCs w:val="24"/>
              </w:rPr>
              <w:t>«</w:t>
            </w:r>
            <w:r w:rsidRPr="00213A5D">
              <w:rPr>
                <w:rFonts w:eastAsia="Times New Roman"/>
                <w:color w:val="000000"/>
                <w:sz w:val="24"/>
                <w:szCs w:val="24"/>
              </w:rPr>
              <w:t>Сбербанк</w:t>
            </w:r>
            <w:r w:rsidR="00064251" w:rsidRPr="00213A5D">
              <w:rPr>
                <w:rFonts w:eastAsia="Times New Roman"/>
                <w:color w:val="000000"/>
                <w:sz w:val="24"/>
                <w:szCs w:val="24"/>
              </w:rPr>
              <w:t xml:space="preserve"> России»</w:t>
            </w:r>
            <w:r w:rsidRPr="00213A5D">
              <w:rPr>
                <w:rFonts w:eastAsia="Times New Roman"/>
                <w:color w:val="000000"/>
                <w:sz w:val="24"/>
                <w:szCs w:val="24"/>
              </w:rPr>
              <w:t xml:space="preserve"> и ПАО «Аэрофлот», приобретенных за счет средств ФНБ</w:t>
            </w:r>
          </w:p>
        </w:tc>
        <w:tc>
          <w:tcPr>
            <w:tcW w:w="888" w:type="pct"/>
            <w:vAlign w:val="center"/>
          </w:tcPr>
          <w:p w14:paraId="230DA900" w14:textId="77777777" w:rsidR="00721AA7" w:rsidRPr="00213A5D" w:rsidRDefault="00721AA7" w:rsidP="00AF1852">
            <w:pPr>
              <w:widowControl w:val="0"/>
              <w:overflowPunct/>
              <w:autoSpaceDE/>
              <w:autoSpaceDN/>
              <w:adjustRightInd/>
              <w:spacing w:line="240" w:lineRule="auto"/>
              <w:ind w:left="0" w:right="0" w:firstLine="0"/>
              <w:jc w:val="right"/>
              <w:textAlignment w:val="auto"/>
              <w:rPr>
                <w:rFonts w:eastAsia="Times New Roman"/>
                <w:color w:val="000000"/>
                <w:sz w:val="24"/>
                <w:szCs w:val="24"/>
              </w:rPr>
            </w:pPr>
            <w:r w:rsidRPr="00213A5D">
              <w:rPr>
                <w:rFonts w:eastAsia="Times New Roman"/>
                <w:color w:val="000000"/>
                <w:sz w:val="24"/>
                <w:szCs w:val="24"/>
              </w:rPr>
              <w:t>(-) 2 128 345,1</w:t>
            </w:r>
          </w:p>
        </w:tc>
      </w:tr>
      <w:tr w:rsidR="00721AA7" w:rsidRPr="00213A5D" w14:paraId="7BC9516D" w14:textId="77777777" w:rsidTr="00816500">
        <w:trPr>
          <w:trHeight w:val="140"/>
          <w:jc w:val="center"/>
        </w:trPr>
        <w:tc>
          <w:tcPr>
            <w:tcW w:w="4112" w:type="pct"/>
          </w:tcPr>
          <w:p w14:paraId="08DD37AB"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4"/>
                <w:szCs w:val="24"/>
              </w:rPr>
            </w:pPr>
            <w:r w:rsidRPr="00213A5D">
              <w:rPr>
                <w:rFonts w:eastAsia="Times New Roman"/>
                <w:color w:val="000000"/>
                <w:sz w:val="24"/>
                <w:szCs w:val="24"/>
              </w:rPr>
              <w:t>Объем средств ФНБ, перечисленных на единый счет федерального бюджета в целях софинансирования формирования пенсионных накоплений застрахованных лиц, уплативших дополнительные страховые взносы на накопительную пенсию (в апреле и июле 2022 года)</w:t>
            </w:r>
          </w:p>
        </w:tc>
        <w:tc>
          <w:tcPr>
            <w:tcW w:w="888" w:type="pct"/>
            <w:vAlign w:val="center"/>
          </w:tcPr>
          <w:p w14:paraId="29AD635B" w14:textId="77777777" w:rsidR="00721AA7" w:rsidRPr="00213A5D" w:rsidRDefault="00721AA7" w:rsidP="00AF1852">
            <w:pPr>
              <w:widowControl w:val="0"/>
              <w:overflowPunct/>
              <w:autoSpaceDE/>
              <w:autoSpaceDN/>
              <w:adjustRightInd/>
              <w:spacing w:line="240" w:lineRule="auto"/>
              <w:ind w:left="0" w:right="0" w:firstLine="0"/>
              <w:jc w:val="right"/>
              <w:textAlignment w:val="auto"/>
              <w:rPr>
                <w:rFonts w:eastAsia="Times New Roman"/>
                <w:color w:val="000000"/>
                <w:sz w:val="24"/>
                <w:szCs w:val="24"/>
              </w:rPr>
            </w:pPr>
            <w:r w:rsidRPr="00213A5D">
              <w:rPr>
                <w:rFonts w:eastAsia="Times New Roman"/>
                <w:color w:val="000000"/>
                <w:sz w:val="24"/>
                <w:szCs w:val="24"/>
              </w:rPr>
              <w:t>(-) 2 480,2</w:t>
            </w:r>
          </w:p>
        </w:tc>
      </w:tr>
      <w:tr w:rsidR="00721AA7" w:rsidRPr="00213A5D" w14:paraId="051FD1A4" w14:textId="77777777" w:rsidTr="00816500">
        <w:trPr>
          <w:trHeight w:val="140"/>
          <w:jc w:val="center"/>
        </w:trPr>
        <w:tc>
          <w:tcPr>
            <w:tcW w:w="4112" w:type="pct"/>
            <w:hideMark/>
          </w:tcPr>
          <w:p w14:paraId="7545CBB7"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b/>
                <w:color w:val="000000"/>
                <w:sz w:val="24"/>
                <w:szCs w:val="24"/>
              </w:rPr>
            </w:pPr>
            <w:r w:rsidRPr="00213A5D">
              <w:rPr>
                <w:rFonts w:eastAsia="Times New Roman"/>
                <w:b/>
                <w:color w:val="000000"/>
                <w:sz w:val="24"/>
                <w:szCs w:val="24"/>
              </w:rPr>
              <w:t>Совокупный объем ФНБ на 1 октября 2022 года</w:t>
            </w:r>
          </w:p>
        </w:tc>
        <w:tc>
          <w:tcPr>
            <w:tcW w:w="888" w:type="pct"/>
            <w:vAlign w:val="center"/>
          </w:tcPr>
          <w:p w14:paraId="11A514E8" w14:textId="77777777" w:rsidR="00721AA7" w:rsidRPr="00213A5D" w:rsidRDefault="00721AA7" w:rsidP="00AF1852">
            <w:pPr>
              <w:widowControl w:val="0"/>
              <w:overflowPunct/>
              <w:autoSpaceDE/>
              <w:autoSpaceDN/>
              <w:adjustRightInd/>
              <w:spacing w:line="240" w:lineRule="auto"/>
              <w:ind w:left="0" w:right="0" w:firstLine="0"/>
              <w:jc w:val="right"/>
              <w:textAlignment w:val="auto"/>
              <w:rPr>
                <w:rFonts w:eastAsia="Times New Roman"/>
                <w:b/>
                <w:color w:val="000000"/>
                <w:sz w:val="24"/>
                <w:szCs w:val="24"/>
              </w:rPr>
            </w:pPr>
            <w:r w:rsidRPr="00213A5D">
              <w:rPr>
                <w:rFonts w:eastAsia="Times New Roman"/>
                <w:b/>
                <w:color w:val="000000"/>
                <w:sz w:val="24"/>
                <w:szCs w:val="24"/>
              </w:rPr>
              <w:t>10 792 185,6</w:t>
            </w:r>
          </w:p>
        </w:tc>
      </w:tr>
    </w:tbl>
    <w:p w14:paraId="30BA2D63" w14:textId="77777777" w:rsidR="00721AA7" w:rsidRPr="00213A5D" w:rsidRDefault="00721AA7" w:rsidP="00AF1852">
      <w:pPr>
        <w:widowControl w:val="0"/>
        <w:overflowPunct/>
        <w:autoSpaceDE/>
        <w:autoSpaceDN/>
        <w:adjustRightInd/>
        <w:ind w:left="0" w:right="0"/>
        <w:textAlignment w:val="auto"/>
        <w:rPr>
          <w:rFonts w:eastAsia="Times New Roman"/>
          <w:bCs/>
          <w:color w:val="000000"/>
          <w:sz w:val="12"/>
          <w:szCs w:val="12"/>
          <w:lang w:val="en-US"/>
        </w:rPr>
      </w:pPr>
    </w:p>
    <w:p w14:paraId="716BFA44" w14:textId="77777777" w:rsidR="00721AA7" w:rsidRPr="00213A5D" w:rsidRDefault="00721AA7" w:rsidP="00AF1852">
      <w:pPr>
        <w:widowControl w:val="0"/>
        <w:spacing w:before="120"/>
        <w:ind w:left="0" w:right="0" w:firstLine="720"/>
        <w:textAlignment w:val="auto"/>
        <w:rPr>
          <w:rFonts w:eastAsia="Times New Roman"/>
          <w:color w:val="000000"/>
          <w:sz w:val="24"/>
          <w:szCs w:val="24"/>
        </w:rPr>
      </w:pPr>
      <w:r w:rsidRPr="00213A5D">
        <w:rPr>
          <w:rFonts w:eastAsia="Times New Roman"/>
          <w:color w:val="000000"/>
          <w:sz w:val="24"/>
          <w:szCs w:val="24"/>
        </w:rPr>
        <w:t xml:space="preserve">Эквивалент дополнительных нефтегазовых доходов федерального бюджета, зачисленных средств по официальным курсам соответствующих иностранных валют, а также по учетной цене на золото, установленным Банком России на дату зачисления (13 мая 2022 года), </w:t>
      </w:r>
      <w:r w:rsidRPr="00213A5D">
        <w:rPr>
          <w:rFonts w:eastAsia="Times New Roman"/>
          <w:b/>
          <w:color w:val="000000"/>
          <w:sz w:val="24"/>
          <w:szCs w:val="24"/>
        </w:rPr>
        <w:t>с учетом отрицательной курсовой разницы</w:t>
      </w:r>
      <w:r w:rsidRPr="00213A5D">
        <w:rPr>
          <w:rFonts w:eastAsia="Times New Roman"/>
          <w:color w:val="000000"/>
          <w:sz w:val="24"/>
          <w:szCs w:val="24"/>
        </w:rPr>
        <w:t xml:space="preserve"> </w:t>
      </w:r>
      <w:r w:rsidRPr="00213A5D">
        <w:rPr>
          <w:rFonts w:eastAsia="Times New Roman"/>
          <w:b/>
          <w:color w:val="000000"/>
          <w:sz w:val="24"/>
          <w:szCs w:val="24"/>
        </w:rPr>
        <w:t>на 509 186,9 млн. рублей</w:t>
      </w:r>
      <w:r w:rsidRPr="00213A5D">
        <w:rPr>
          <w:rFonts w:eastAsia="Times New Roman"/>
          <w:color w:val="000000"/>
          <w:sz w:val="24"/>
          <w:szCs w:val="24"/>
        </w:rPr>
        <w:t xml:space="preserve">, или </w:t>
      </w:r>
      <w:r w:rsidRPr="00213A5D">
        <w:rPr>
          <w:rFonts w:eastAsia="Times New Roman"/>
          <w:b/>
          <w:color w:val="000000"/>
          <w:sz w:val="24"/>
          <w:szCs w:val="24"/>
        </w:rPr>
        <w:t>на 16,1 %, меньше объема дополнительных нефтегазовых доходов федерального бюджета за 2021 год,</w:t>
      </w:r>
      <w:r w:rsidRPr="00213A5D">
        <w:rPr>
          <w:rFonts w:eastAsia="Times New Roman"/>
          <w:color w:val="000000"/>
          <w:sz w:val="24"/>
          <w:szCs w:val="24"/>
        </w:rPr>
        <w:t xml:space="preserve"> направленных на покупку иностранной валюты и золота (3 167 025,2 млн. рублей).</w:t>
      </w:r>
    </w:p>
    <w:p w14:paraId="566CF199" w14:textId="77777777" w:rsidR="00721AA7" w:rsidRPr="00213A5D" w:rsidRDefault="00721AA7" w:rsidP="00AF1852">
      <w:pPr>
        <w:widowControl w:val="0"/>
        <w:ind w:left="0" w:right="0" w:firstLine="720"/>
        <w:textAlignment w:val="auto"/>
        <w:rPr>
          <w:rFonts w:eastAsia="Times New Roman"/>
          <w:color w:val="000000"/>
          <w:sz w:val="24"/>
          <w:szCs w:val="24"/>
        </w:rPr>
      </w:pPr>
      <w:r w:rsidRPr="00213A5D">
        <w:rPr>
          <w:rFonts w:eastAsia="Times New Roman"/>
          <w:b/>
          <w:color w:val="000000"/>
          <w:sz w:val="24"/>
          <w:szCs w:val="24"/>
        </w:rPr>
        <w:t>Рыночная стоимость</w:t>
      </w:r>
      <w:r w:rsidRPr="00213A5D">
        <w:rPr>
          <w:rFonts w:eastAsia="Times New Roman"/>
          <w:color w:val="000000"/>
          <w:sz w:val="24"/>
          <w:szCs w:val="24"/>
        </w:rPr>
        <w:t xml:space="preserve"> приобретенного за счет средств ФНБ пакета обыкновенных акций </w:t>
      </w:r>
      <w:r w:rsidRPr="00213A5D">
        <w:rPr>
          <w:rFonts w:eastAsia="Times New Roman"/>
          <w:b/>
          <w:color w:val="000000"/>
          <w:sz w:val="24"/>
          <w:szCs w:val="24"/>
        </w:rPr>
        <w:t xml:space="preserve">ПАО </w:t>
      </w:r>
      <w:r w:rsidR="00064251" w:rsidRPr="00213A5D">
        <w:rPr>
          <w:rFonts w:eastAsia="Times New Roman"/>
          <w:b/>
          <w:color w:val="000000"/>
          <w:sz w:val="24"/>
          <w:szCs w:val="24"/>
        </w:rPr>
        <w:t>«</w:t>
      </w:r>
      <w:r w:rsidRPr="00213A5D">
        <w:rPr>
          <w:rFonts w:eastAsia="Times New Roman"/>
          <w:b/>
          <w:color w:val="000000"/>
          <w:sz w:val="24"/>
          <w:szCs w:val="24"/>
        </w:rPr>
        <w:t>Сбербанк</w:t>
      </w:r>
      <w:r w:rsidR="00064251" w:rsidRPr="00213A5D">
        <w:rPr>
          <w:rFonts w:eastAsia="Times New Roman"/>
          <w:b/>
          <w:color w:val="000000"/>
          <w:sz w:val="24"/>
          <w:szCs w:val="24"/>
        </w:rPr>
        <w:t xml:space="preserve"> России»</w:t>
      </w:r>
      <w:r w:rsidRPr="00213A5D">
        <w:rPr>
          <w:rFonts w:eastAsia="Times New Roman"/>
          <w:color w:val="000000"/>
          <w:sz w:val="24"/>
          <w:szCs w:val="24"/>
        </w:rPr>
        <w:t xml:space="preserve">, рассчитанная на основании средневзвешенной цены акции, определенной по результатам организованных торгов на ПАО «Московская Биржа» </w:t>
      </w:r>
      <w:r w:rsidR="00064251" w:rsidRPr="00213A5D">
        <w:rPr>
          <w:rFonts w:eastAsia="Times New Roman"/>
          <w:color w:val="000000"/>
          <w:sz w:val="24"/>
          <w:szCs w:val="24"/>
        </w:rPr>
        <w:br/>
      </w:r>
      <w:r w:rsidRPr="00213A5D">
        <w:rPr>
          <w:rFonts w:eastAsia="Times New Roman"/>
          <w:color w:val="000000"/>
          <w:sz w:val="24"/>
          <w:szCs w:val="24"/>
        </w:rPr>
        <w:t xml:space="preserve">за 30 сентября 2022 года, по сравнению с началом года </w:t>
      </w:r>
      <w:r w:rsidRPr="00213A5D">
        <w:rPr>
          <w:rFonts w:eastAsia="Times New Roman"/>
          <w:b/>
          <w:color w:val="000000"/>
          <w:sz w:val="24"/>
          <w:szCs w:val="24"/>
        </w:rPr>
        <w:t>уменьшилась</w:t>
      </w:r>
      <w:r w:rsidRPr="00213A5D">
        <w:rPr>
          <w:rFonts w:eastAsia="Times New Roman"/>
          <w:color w:val="000000"/>
          <w:sz w:val="24"/>
          <w:szCs w:val="24"/>
        </w:rPr>
        <w:t xml:space="preserve"> </w:t>
      </w:r>
      <w:r w:rsidRPr="00213A5D">
        <w:rPr>
          <w:rFonts w:eastAsia="Times New Roman"/>
          <w:b/>
          <w:color w:val="000000"/>
          <w:sz w:val="24"/>
          <w:szCs w:val="24"/>
        </w:rPr>
        <w:t>на 2 080 145,0 млн. рублей</w:t>
      </w:r>
      <w:r w:rsidRPr="00213A5D">
        <w:rPr>
          <w:rFonts w:eastAsia="Times New Roman"/>
          <w:color w:val="000000"/>
          <w:sz w:val="24"/>
          <w:szCs w:val="24"/>
        </w:rPr>
        <w:t>, или на 62,8 % и составила 1 231 892,1 млн. рублей.</w:t>
      </w:r>
    </w:p>
    <w:p w14:paraId="2C7D4DD4" w14:textId="77777777" w:rsidR="00721AA7" w:rsidRPr="00213A5D" w:rsidRDefault="00721AA7" w:rsidP="00AF1852">
      <w:pPr>
        <w:widowControl w:val="0"/>
        <w:ind w:left="0" w:right="0" w:firstLine="720"/>
        <w:textAlignment w:val="auto"/>
        <w:rPr>
          <w:rFonts w:eastAsia="Times New Roman"/>
          <w:color w:val="000000"/>
          <w:sz w:val="24"/>
          <w:szCs w:val="24"/>
        </w:rPr>
      </w:pPr>
      <w:r w:rsidRPr="00213A5D">
        <w:rPr>
          <w:rFonts w:eastAsia="Times New Roman"/>
          <w:color w:val="000000"/>
          <w:sz w:val="24"/>
          <w:szCs w:val="24"/>
        </w:rPr>
        <w:t xml:space="preserve">В части показателя </w:t>
      </w:r>
      <w:r w:rsidRPr="00213A5D">
        <w:rPr>
          <w:rFonts w:eastAsia="Times New Roman"/>
          <w:b/>
          <w:color w:val="000000"/>
          <w:sz w:val="24"/>
          <w:szCs w:val="24"/>
        </w:rPr>
        <w:t>курсовой разницы</w:t>
      </w:r>
      <w:r w:rsidRPr="00213A5D">
        <w:rPr>
          <w:rFonts w:eastAsia="Times New Roman"/>
          <w:color w:val="000000"/>
          <w:sz w:val="24"/>
          <w:szCs w:val="24"/>
        </w:rPr>
        <w:t xml:space="preserve"> (переоценки) по средствам ФНБ на счетах в Банке России выявлено расхождение в размере 20 204,3 млн. рублей между значениями, указанными в оперативном отчете об исполнении федерального бюджета по состоянию на 1 октября 2022 года (-</w:t>
      </w:r>
      <w:r w:rsidR="00064251" w:rsidRPr="00213A5D">
        <w:rPr>
          <w:rFonts w:eastAsia="Times New Roman"/>
          <w:color w:val="000000"/>
          <w:sz w:val="24"/>
          <w:szCs w:val="24"/>
        </w:rPr>
        <w:t>)</w:t>
      </w:r>
      <w:r w:rsidRPr="00213A5D">
        <w:rPr>
          <w:rFonts w:eastAsia="Times New Roman"/>
          <w:color w:val="000000"/>
          <w:sz w:val="24"/>
          <w:szCs w:val="24"/>
        </w:rPr>
        <w:t xml:space="preserve">3 244 412,6 млн. рублей) и в размещенном на официальном сайте Минфина России информационном сообщении о результатах размещения средств ФНБ </w:t>
      </w:r>
      <w:r w:rsidR="00064251" w:rsidRPr="00213A5D">
        <w:rPr>
          <w:rFonts w:eastAsia="Times New Roman"/>
          <w:color w:val="000000"/>
          <w:sz w:val="24"/>
          <w:szCs w:val="24"/>
        </w:rPr>
        <w:br/>
      </w:r>
      <w:r w:rsidRPr="00213A5D">
        <w:rPr>
          <w:rFonts w:eastAsia="Times New Roman"/>
          <w:color w:val="000000"/>
          <w:sz w:val="24"/>
          <w:szCs w:val="24"/>
        </w:rPr>
        <w:t xml:space="preserve">за период с 1 января по 30 сентября 2022 года, а также в оперативной информации Минфина </w:t>
      </w:r>
      <w:r w:rsidRPr="00213A5D">
        <w:rPr>
          <w:rFonts w:eastAsia="Times New Roman"/>
          <w:color w:val="000000"/>
          <w:sz w:val="24"/>
          <w:szCs w:val="24"/>
        </w:rPr>
        <w:lastRenderedPageBreak/>
        <w:t>России об исполнении федерального бюджета за январь</w:t>
      </w:r>
      <w:r w:rsidR="00064251" w:rsidRPr="00213A5D">
        <w:rPr>
          <w:rFonts w:eastAsia="Times New Roman"/>
          <w:color w:val="000000"/>
          <w:sz w:val="24"/>
          <w:szCs w:val="24"/>
        </w:rPr>
        <w:t xml:space="preserve"> – </w:t>
      </w:r>
      <w:r w:rsidRPr="00213A5D">
        <w:rPr>
          <w:rFonts w:eastAsia="Times New Roman"/>
          <w:color w:val="000000"/>
          <w:sz w:val="24"/>
          <w:szCs w:val="24"/>
        </w:rPr>
        <w:t>сентябрь 2022 года</w:t>
      </w:r>
      <w:r w:rsidRPr="00213A5D">
        <w:rPr>
          <w:rFonts w:eastAsia="Times New Roman"/>
          <w:color w:val="000000"/>
          <w:sz w:val="24"/>
          <w:szCs w:val="24"/>
          <w:vertAlign w:val="superscript"/>
        </w:rPr>
        <w:footnoteReference w:id="55"/>
      </w:r>
      <w:r w:rsidRPr="00213A5D">
        <w:rPr>
          <w:rFonts w:eastAsia="Times New Roman"/>
          <w:color w:val="000000"/>
          <w:sz w:val="24"/>
          <w:szCs w:val="24"/>
        </w:rPr>
        <w:t xml:space="preserve"> </w:t>
      </w:r>
      <w:r w:rsidRPr="00213A5D">
        <w:rPr>
          <w:rFonts w:eastAsia="Times New Roman"/>
          <w:color w:val="000000"/>
          <w:sz w:val="24"/>
          <w:szCs w:val="24"/>
        </w:rPr>
        <w:br/>
        <w:t>(-</w:t>
      </w:r>
      <w:r w:rsidR="00BD1572" w:rsidRPr="00213A5D">
        <w:rPr>
          <w:rFonts w:eastAsia="Times New Roman"/>
          <w:color w:val="000000"/>
          <w:sz w:val="24"/>
          <w:szCs w:val="24"/>
        </w:rPr>
        <w:t>)</w:t>
      </w:r>
      <w:r w:rsidRPr="00213A5D">
        <w:rPr>
          <w:rFonts w:eastAsia="Times New Roman"/>
          <w:color w:val="000000"/>
          <w:sz w:val="24"/>
          <w:szCs w:val="24"/>
        </w:rPr>
        <w:t>3 224 208,3 млн. рублей).</w:t>
      </w:r>
    </w:p>
    <w:p w14:paraId="5E1F9049" w14:textId="77777777" w:rsidR="00721AA7" w:rsidRPr="00213A5D" w:rsidRDefault="00721AA7" w:rsidP="00AF1852">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Cs/>
          <w:color w:val="000000"/>
          <w:sz w:val="24"/>
          <w:szCs w:val="24"/>
        </w:rPr>
        <w:t xml:space="preserve">Информация об управлении средствами Фонда национального благосостояния </w:t>
      </w:r>
      <w:r w:rsidRPr="00213A5D">
        <w:rPr>
          <w:rFonts w:eastAsia="Times New Roman"/>
          <w:b/>
          <w:bCs/>
          <w:color w:val="000000"/>
          <w:sz w:val="24"/>
          <w:szCs w:val="24"/>
        </w:rPr>
        <w:t>в части разрешенных финансовых активов</w:t>
      </w:r>
      <w:r w:rsidR="007569C8" w:rsidRPr="00213A5D">
        <w:rPr>
          <w:rFonts w:eastAsia="Times New Roman"/>
          <w:b/>
          <w:bCs/>
          <w:color w:val="000000"/>
          <w:sz w:val="24"/>
          <w:szCs w:val="24"/>
        </w:rPr>
        <w:t xml:space="preserve"> </w:t>
      </w:r>
      <w:r w:rsidR="007569C8" w:rsidRPr="00213A5D">
        <w:rPr>
          <w:rFonts w:eastAsia="Times New Roman"/>
          <w:bCs/>
          <w:color w:val="000000"/>
          <w:sz w:val="24"/>
          <w:szCs w:val="24"/>
        </w:rPr>
        <w:t>представлена в следующей таблице</w:t>
      </w:r>
      <w:r w:rsidRPr="00213A5D">
        <w:rPr>
          <w:rFonts w:eastAsia="Times New Roman"/>
          <w:bCs/>
          <w:color w:val="000000"/>
          <w:sz w:val="24"/>
          <w:szCs w:val="24"/>
        </w:rPr>
        <w:t>.</w:t>
      </w:r>
    </w:p>
    <w:p w14:paraId="7BEF2B4A" w14:textId="77777777" w:rsidR="00721AA7" w:rsidRPr="00213A5D" w:rsidRDefault="00721AA7" w:rsidP="00AF1852">
      <w:pPr>
        <w:widowControl w:val="0"/>
        <w:overflowPunct/>
        <w:autoSpaceDE/>
        <w:autoSpaceDN/>
        <w:adjustRightInd/>
        <w:spacing w:line="240" w:lineRule="auto"/>
        <w:ind w:left="0" w:right="0" w:firstLine="8080"/>
        <w:jc w:val="right"/>
        <w:textAlignment w:val="auto"/>
        <w:rPr>
          <w:rFonts w:eastAsia="Times New Roman"/>
          <w:bCs/>
          <w:color w:val="000000"/>
          <w:sz w:val="22"/>
          <w:szCs w:val="22"/>
        </w:rPr>
      </w:pPr>
      <w:r w:rsidRPr="00213A5D">
        <w:rPr>
          <w:rFonts w:eastAsia="Times New Roman"/>
          <w:bCs/>
          <w:color w:val="000000"/>
          <w:sz w:val="22"/>
          <w:szCs w:val="22"/>
        </w:rPr>
        <w:t>(млн. рублей)</w:t>
      </w:r>
    </w:p>
    <w:tbl>
      <w:tblPr>
        <w:tblW w:w="9776" w:type="dxa"/>
        <w:tblInd w:w="113" w:type="dxa"/>
        <w:tblLook w:val="04A0" w:firstRow="1" w:lastRow="0" w:firstColumn="1" w:lastColumn="0" w:noHBand="0" w:noVBand="1"/>
      </w:tblPr>
      <w:tblGrid>
        <w:gridCol w:w="3823"/>
        <w:gridCol w:w="5953"/>
      </w:tblGrid>
      <w:tr w:rsidR="00721AA7" w:rsidRPr="00213A5D" w14:paraId="01A36D3A" w14:textId="77777777" w:rsidTr="004371D4">
        <w:trPr>
          <w:tblHead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CAFD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 xml:space="preserve">Наименование направления </w:t>
            </w:r>
            <w:r w:rsidRPr="00213A5D">
              <w:rPr>
                <w:rFonts w:eastAsia="Times New Roman"/>
                <w:b/>
                <w:bCs/>
                <w:color w:val="000000"/>
                <w:sz w:val="20"/>
                <w:szCs w:val="20"/>
              </w:rPr>
              <w:br/>
              <w:t>(вида финансового актива)</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14:paraId="7BD3A66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Объем размещения (возврата)/основание размещения</w:t>
            </w:r>
          </w:p>
        </w:tc>
      </w:tr>
      <w:tr w:rsidR="00721AA7" w:rsidRPr="00213A5D" w14:paraId="1241DD76" w14:textId="77777777" w:rsidTr="004371D4">
        <w:tc>
          <w:tcPr>
            <w:tcW w:w="3823" w:type="dxa"/>
            <w:tcBorders>
              <w:top w:val="nil"/>
              <w:left w:val="single" w:sz="4" w:space="0" w:color="auto"/>
              <w:bottom w:val="single" w:sz="4" w:space="0" w:color="auto"/>
              <w:right w:val="single" w:sz="4" w:space="0" w:color="auto"/>
            </w:tcBorders>
            <w:shd w:val="clear" w:color="auto" w:fill="auto"/>
            <w:vAlign w:val="center"/>
            <w:hideMark/>
          </w:tcPr>
          <w:p w14:paraId="75A1F959"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Средства ФНБ, </w:t>
            </w:r>
            <w:r w:rsidRPr="00213A5D">
              <w:rPr>
                <w:rFonts w:eastAsia="Times New Roman"/>
                <w:b/>
                <w:bCs/>
                <w:color w:val="000000"/>
                <w:sz w:val="20"/>
                <w:szCs w:val="20"/>
              </w:rPr>
              <w:t xml:space="preserve">размещенные в разрешенные финансовые активы </w:t>
            </w:r>
            <w:r w:rsidRPr="00213A5D">
              <w:rPr>
                <w:rFonts w:eastAsia="Times New Roman"/>
                <w:b/>
                <w:bCs/>
                <w:color w:val="000000"/>
                <w:sz w:val="20"/>
                <w:szCs w:val="20"/>
              </w:rPr>
              <w:br/>
              <w:t>на 1 января 2022 года</w:t>
            </w:r>
          </w:p>
        </w:tc>
        <w:tc>
          <w:tcPr>
            <w:tcW w:w="5953" w:type="dxa"/>
            <w:tcBorders>
              <w:top w:val="nil"/>
              <w:left w:val="nil"/>
              <w:bottom w:val="single" w:sz="4" w:space="0" w:color="auto"/>
              <w:right w:val="single" w:sz="4" w:space="0" w:color="auto"/>
            </w:tcBorders>
            <w:shd w:val="clear" w:color="auto" w:fill="auto"/>
            <w:vAlign w:val="center"/>
            <w:hideMark/>
          </w:tcPr>
          <w:p w14:paraId="61E7BCC6"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5 132 784,3</w:t>
            </w:r>
          </w:p>
        </w:tc>
      </w:tr>
      <w:tr w:rsidR="00721AA7" w:rsidRPr="00213A5D" w14:paraId="41381C14" w14:textId="77777777" w:rsidTr="004371D4">
        <w:tc>
          <w:tcPr>
            <w:tcW w:w="3823" w:type="dxa"/>
            <w:tcBorders>
              <w:top w:val="nil"/>
              <w:left w:val="single" w:sz="4" w:space="0" w:color="auto"/>
              <w:bottom w:val="single" w:sz="4" w:space="0" w:color="auto"/>
              <w:right w:val="single" w:sz="4" w:space="0" w:color="auto"/>
            </w:tcBorders>
            <w:shd w:val="clear" w:color="auto" w:fill="auto"/>
            <w:vAlign w:val="center"/>
            <w:hideMark/>
          </w:tcPr>
          <w:p w14:paraId="03D9B011"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1. Размещено</w:t>
            </w:r>
          </w:p>
        </w:tc>
        <w:tc>
          <w:tcPr>
            <w:tcW w:w="5953" w:type="dxa"/>
            <w:tcBorders>
              <w:top w:val="nil"/>
              <w:left w:val="nil"/>
              <w:bottom w:val="single" w:sz="4" w:space="0" w:color="auto"/>
              <w:right w:val="single" w:sz="4" w:space="0" w:color="auto"/>
            </w:tcBorders>
            <w:shd w:val="clear" w:color="auto" w:fill="auto"/>
            <w:vAlign w:val="center"/>
            <w:hideMark/>
          </w:tcPr>
          <w:p w14:paraId="5144387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494 502,1</w:t>
            </w:r>
          </w:p>
        </w:tc>
      </w:tr>
      <w:tr w:rsidR="006C4D23" w:rsidRPr="00213A5D" w14:paraId="66AEAC94" w14:textId="77777777" w:rsidTr="004371D4">
        <w:tc>
          <w:tcPr>
            <w:tcW w:w="3823" w:type="dxa"/>
            <w:vMerge w:val="restart"/>
            <w:tcBorders>
              <w:top w:val="single" w:sz="4" w:space="0" w:color="auto"/>
              <w:left w:val="single" w:sz="4" w:space="0" w:color="auto"/>
              <w:right w:val="single" w:sz="4" w:space="0" w:color="auto"/>
            </w:tcBorders>
            <w:shd w:val="clear" w:color="auto" w:fill="auto"/>
            <w:hideMark/>
          </w:tcPr>
          <w:p w14:paraId="209A1118"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в акции юридических лиц, не связанные с финансированием самоокупаемых инфраструктурных проектов, перечень которых утвержден Правительством Российской Федерации</w:t>
            </w:r>
          </w:p>
        </w:tc>
        <w:tc>
          <w:tcPr>
            <w:tcW w:w="5953" w:type="dxa"/>
            <w:tcBorders>
              <w:top w:val="nil"/>
              <w:left w:val="single" w:sz="4" w:space="0" w:color="auto"/>
              <w:bottom w:val="single" w:sz="4" w:space="0" w:color="auto"/>
              <w:right w:val="single" w:sz="4" w:space="0" w:color="auto"/>
            </w:tcBorders>
            <w:shd w:val="clear" w:color="auto" w:fill="auto"/>
            <w:vAlign w:val="center"/>
            <w:hideMark/>
          </w:tcPr>
          <w:p w14:paraId="518E99CA" w14:textId="77777777" w:rsidR="006C4D23" w:rsidRPr="00213A5D" w:rsidRDefault="006C4D23" w:rsidP="009C0C38">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марте 2022 года в соответствии с постановлениями Правительства Российской Федерации от 19 января 2008 г. № 18 и от 9 марта 2022 г. № 307 средства ФНБ в сумме </w:t>
            </w:r>
            <w:r w:rsidRPr="00213A5D">
              <w:rPr>
                <w:rFonts w:eastAsia="Times New Roman"/>
                <w:b/>
                <w:bCs/>
                <w:color w:val="000000"/>
                <w:sz w:val="20"/>
                <w:szCs w:val="20"/>
              </w:rPr>
              <w:t>50 000,0 млн. рублей (100 % показателя сводной росписи)</w:t>
            </w:r>
            <w:r w:rsidRPr="00213A5D">
              <w:rPr>
                <w:rFonts w:eastAsia="Times New Roman"/>
                <w:color w:val="000000"/>
                <w:sz w:val="20"/>
                <w:szCs w:val="20"/>
              </w:rPr>
              <w:t xml:space="preserve"> размещены в обыкновенные акции </w:t>
            </w:r>
            <w:r w:rsidRPr="00213A5D">
              <w:rPr>
                <w:rFonts w:eastAsia="Times New Roman"/>
                <w:b/>
                <w:bCs/>
                <w:color w:val="000000"/>
                <w:sz w:val="20"/>
                <w:szCs w:val="20"/>
              </w:rPr>
              <w:t>АО «ДОМ.РФ»</w:t>
            </w:r>
            <w:r w:rsidRPr="00213A5D">
              <w:rPr>
                <w:rFonts w:eastAsia="Times New Roman"/>
                <w:color w:val="000000"/>
                <w:sz w:val="20"/>
                <w:szCs w:val="20"/>
              </w:rPr>
              <w:t xml:space="preserve"> в количестве 35 714 285 штук по цене одной акции равной ее номинальной стоимости – 1 400 рублей</w:t>
            </w:r>
          </w:p>
        </w:tc>
      </w:tr>
      <w:tr w:rsidR="006C4D23" w:rsidRPr="00213A5D" w14:paraId="3AF65408" w14:textId="77777777" w:rsidTr="004371D4">
        <w:tc>
          <w:tcPr>
            <w:tcW w:w="3823" w:type="dxa"/>
            <w:vMerge/>
            <w:tcBorders>
              <w:left w:val="single" w:sz="4" w:space="0" w:color="auto"/>
              <w:right w:val="single" w:sz="4" w:space="0" w:color="auto"/>
            </w:tcBorders>
            <w:shd w:val="clear" w:color="auto" w:fill="auto"/>
            <w:hideMark/>
          </w:tcPr>
          <w:p w14:paraId="561F8D92" w14:textId="77777777" w:rsidR="006C4D23" w:rsidRPr="00213A5D" w:rsidRDefault="006C4D23" w:rsidP="00AF1852">
            <w:pPr>
              <w:widowControl w:val="0"/>
              <w:spacing w:line="240" w:lineRule="auto"/>
              <w:ind w:left="0" w:right="0"/>
              <w:rPr>
                <w:rFonts w:eastAsia="Times New Roman"/>
                <w:color w:val="000000"/>
                <w:sz w:val="20"/>
                <w:szCs w:val="20"/>
              </w:rPr>
            </w:pPr>
          </w:p>
        </w:tc>
        <w:tc>
          <w:tcPr>
            <w:tcW w:w="5953" w:type="dxa"/>
            <w:tcBorders>
              <w:top w:val="nil"/>
              <w:left w:val="single" w:sz="4" w:space="0" w:color="auto"/>
              <w:bottom w:val="single" w:sz="4" w:space="0" w:color="auto"/>
              <w:right w:val="single" w:sz="4" w:space="0" w:color="auto"/>
            </w:tcBorders>
            <w:shd w:val="clear" w:color="auto" w:fill="auto"/>
            <w:vAlign w:val="center"/>
            <w:hideMark/>
          </w:tcPr>
          <w:p w14:paraId="1386F1C8" w14:textId="77777777" w:rsidR="006C4D23" w:rsidRPr="00213A5D" w:rsidRDefault="006C4D23" w:rsidP="009C0C38">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мае 2022 года в соответствии с постановлениями Правительства Российской Федерации от 19 января 2008 г. № 18 и от 6 апреля 2022 г. № 602 средства ФНБ в сумме </w:t>
            </w:r>
            <w:r w:rsidRPr="00213A5D">
              <w:rPr>
                <w:rFonts w:eastAsia="Times New Roman"/>
                <w:b/>
                <w:bCs/>
                <w:color w:val="000000"/>
                <w:sz w:val="20"/>
                <w:szCs w:val="20"/>
              </w:rPr>
              <w:t>250 000,0 млн. рублей (100 % показателя сводной росписи)</w:t>
            </w:r>
            <w:r w:rsidRPr="00213A5D">
              <w:rPr>
                <w:rFonts w:eastAsia="Times New Roman"/>
                <w:color w:val="000000"/>
                <w:sz w:val="20"/>
                <w:szCs w:val="20"/>
              </w:rPr>
              <w:t xml:space="preserve"> размещены в привилегированные акции </w:t>
            </w:r>
            <w:r w:rsidRPr="00213A5D">
              <w:rPr>
                <w:rFonts w:eastAsia="Times New Roman"/>
                <w:b/>
                <w:bCs/>
                <w:color w:val="000000"/>
                <w:sz w:val="20"/>
                <w:szCs w:val="20"/>
              </w:rPr>
              <w:t>ОАО «РЖД»</w:t>
            </w:r>
            <w:r w:rsidRPr="00213A5D">
              <w:rPr>
                <w:rFonts w:eastAsia="Times New Roman"/>
                <w:color w:val="000000"/>
                <w:sz w:val="20"/>
                <w:szCs w:val="20"/>
              </w:rPr>
              <w:t xml:space="preserve"> в количестве 250 000 000 штук по цене одной акции равной ее номинальной стоимости, – 1 000 рублей</w:t>
            </w:r>
          </w:p>
        </w:tc>
      </w:tr>
      <w:tr w:rsidR="006C4D23" w:rsidRPr="00213A5D" w14:paraId="28A9620F" w14:textId="77777777" w:rsidTr="004371D4">
        <w:tc>
          <w:tcPr>
            <w:tcW w:w="3823" w:type="dxa"/>
            <w:vMerge/>
            <w:tcBorders>
              <w:left w:val="single" w:sz="4" w:space="0" w:color="auto"/>
              <w:right w:val="single" w:sz="4" w:space="0" w:color="auto"/>
            </w:tcBorders>
            <w:shd w:val="clear" w:color="auto" w:fill="auto"/>
            <w:hideMark/>
          </w:tcPr>
          <w:p w14:paraId="17029099" w14:textId="77777777" w:rsidR="006C4D23" w:rsidRPr="00213A5D" w:rsidRDefault="006C4D23" w:rsidP="00AF1852">
            <w:pPr>
              <w:widowControl w:val="0"/>
              <w:spacing w:line="240" w:lineRule="auto"/>
              <w:ind w:left="0" w:right="0"/>
              <w:rPr>
                <w:rFonts w:eastAsia="Times New Roman"/>
                <w:color w:val="000000"/>
                <w:sz w:val="20"/>
                <w:szCs w:val="20"/>
              </w:rPr>
            </w:pPr>
          </w:p>
        </w:tc>
        <w:tc>
          <w:tcPr>
            <w:tcW w:w="5953" w:type="dxa"/>
            <w:tcBorders>
              <w:top w:val="nil"/>
              <w:left w:val="single" w:sz="4" w:space="0" w:color="auto"/>
              <w:bottom w:val="single" w:sz="4" w:space="0" w:color="auto"/>
              <w:right w:val="single" w:sz="4" w:space="0" w:color="auto"/>
            </w:tcBorders>
            <w:shd w:val="clear" w:color="auto" w:fill="auto"/>
            <w:vAlign w:val="center"/>
            <w:hideMark/>
          </w:tcPr>
          <w:p w14:paraId="58720151" w14:textId="77777777" w:rsidR="006C4D23" w:rsidRPr="00213A5D" w:rsidRDefault="006C4D23" w:rsidP="009C0C38">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В июне 2022 года в соответствии с частью 3</w:t>
            </w:r>
            <w:r w:rsidRPr="00213A5D">
              <w:rPr>
                <w:rFonts w:eastAsia="Times New Roman"/>
                <w:color w:val="000000"/>
                <w:sz w:val="20"/>
                <w:szCs w:val="20"/>
                <w:vertAlign w:val="superscript"/>
              </w:rPr>
              <w:t>1</w:t>
            </w:r>
            <w:r w:rsidRPr="00213A5D">
              <w:rPr>
                <w:rFonts w:eastAsia="Times New Roman"/>
                <w:color w:val="000000"/>
                <w:sz w:val="20"/>
                <w:szCs w:val="20"/>
              </w:rPr>
              <w:t xml:space="preserve"> статьи 4 Федерального закона от 13 октября 2008 г. № 173-ФЗ «О дополнительных мерах по поддержке финансовой системы Российской Федерации» и постановлением Правительства Российской Федерации от 19 января 2008 г. № 18 средства ФНБ в сумме </w:t>
            </w:r>
            <w:r w:rsidRPr="00213A5D">
              <w:rPr>
                <w:rFonts w:eastAsia="Times New Roman"/>
                <w:b/>
                <w:bCs/>
                <w:color w:val="000000"/>
                <w:sz w:val="20"/>
                <w:szCs w:val="20"/>
              </w:rPr>
              <w:t>50 000,0 млн. рублей (100 % показателя сводной росписи)</w:t>
            </w:r>
            <w:r w:rsidRPr="00213A5D">
              <w:rPr>
                <w:rFonts w:eastAsia="Times New Roman"/>
                <w:color w:val="000000"/>
                <w:sz w:val="20"/>
                <w:szCs w:val="20"/>
              </w:rPr>
              <w:t xml:space="preserve"> размещены в привилегированные акции Банка ГПБ (АО) в количестве 50 000 000 штук по цене одной акции равной ее номинальной стоимости</w:t>
            </w:r>
            <w:r w:rsidR="002544CB" w:rsidRPr="00213A5D">
              <w:rPr>
                <w:rFonts w:eastAsia="Times New Roman"/>
                <w:color w:val="000000"/>
                <w:sz w:val="20"/>
                <w:szCs w:val="20"/>
              </w:rPr>
              <w:t>,</w:t>
            </w:r>
            <w:r w:rsidRPr="00213A5D">
              <w:rPr>
                <w:rFonts w:eastAsia="Times New Roman"/>
                <w:color w:val="000000"/>
                <w:sz w:val="20"/>
                <w:szCs w:val="20"/>
              </w:rPr>
              <w:t xml:space="preserve"> – 1 000 рублей</w:t>
            </w:r>
          </w:p>
        </w:tc>
      </w:tr>
      <w:tr w:rsidR="006C4D23" w:rsidRPr="00213A5D" w14:paraId="5D0DB404" w14:textId="77777777" w:rsidTr="004371D4">
        <w:tc>
          <w:tcPr>
            <w:tcW w:w="3823" w:type="dxa"/>
            <w:vMerge/>
            <w:tcBorders>
              <w:left w:val="single" w:sz="4" w:space="0" w:color="auto"/>
              <w:right w:val="single" w:sz="4" w:space="0" w:color="auto"/>
            </w:tcBorders>
            <w:shd w:val="clear" w:color="auto" w:fill="auto"/>
            <w:hideMark/>
          </w:tcPr>
          <w:p w14:paraId="0523A6EE" w14:textId="77777777" w:rsidR="006C4D23" w:rsidRPr="00213A5D" w:rsidRDefault="006C4D23" w:rsidP="00AF1852">
            <w:pPr>
              <w:widowControl w:val="0"/>
              <w:spacing w:line="240" w:lineRule="auto"/>
              <w:ind w:left="0" w:right="0"/>
              <w:rPr>
                <w:rFonts w:eastAsia="Times New Roman"/>
                <w:color w:val="000000"/>
                <w:sz w:val="20"/>
                <w:szCs w:val="20"/>
              </w:rPr>
            </w:pPr>
          </w:p>
        </w:tc>
        <w:tc>
          <w:tcPr>
            <w:tcW w:w="5953" w:type="dxa"/>
            <w:tcBorders>
              <w:top w:val="nil"/>
              <w:left w:val="single" w:sz="4" w:space="0" w:color="auto"/>
              <w:bottom w:val="single" w:sz="4" w:space="0" w:color="auto"/>
              <w:right w:val="single" w:sz="4" w:space="0" w:color="auto"/>
            </w:tcBorders>
            <w:shd w:val="clear" w:color="auto" w:fill="auto"/>
            <w:vAlign w:val="center"/>
            <w:hideMark/>
          </w:tcPr>
          <w:p w14:paraId="43C7A4E5"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июле 2022 года в соответствии с постановлением Правительства Российской Федерации от 19 января 2008 г. № 18 средства ФНБ в сумме </w:t>
            </w:r>
            <w:r w:rsidRPr="00213A5D">
              <w:rPr>
                <w:rFonts w:eastAsia="Times New Roman"/>
                <w:b/>
                <w:bCs/>
                <w:color w:val="000000"/>
                <w:sz w:val="20"/>
                <w:szCs w:val="20"/>
              </w:rPr>
              <w:t>52 506,0 млн. рублей (49,2 % показателя сводной росписи)</w:t>
            </w:r>
            <w:r w:rsidRPr="00213A5D">
              <w:rPr>
                <w:rFonts w:eastAsia="Times New Roman"/>
                <w:color w:val="000000"/>
                <w:sz w:val="20"/>
                <w:szCs w:val="20"/>
              </w:rPr>
              <w:t xml:space="preserve"> размещены в обыкновенные акции ПАО «Аэрофлот» в количестве 1 531 234 889 штук по цене, составляющей 34,29 рубля за одну акцию</w:t>
            </w:r>
          </w:p>
        </w:tc>
      </w:tr>
      <w:tr w:rsidR="006C4D23" w:rsidRPr="00213A5D" w14:paraId="53762919" w14:textId="77777777" w:rsidTr="004371D4">
        <w:tc>
          <w:tcPr>
            <w:tcW w:w="3823" w:type="dxa"/>
            <w:vMerge/>
            <w:tcBorders>
              <w:left w:val="single" w:sz="4" w:space="0" w:color="auto"/>
              <w:bottom w:val="single" w:sz="4" w:space="0" w:color="auto"/>
              <w:right w:val="single" w:sz="4" w:space="0" w:color="auto"/>
            </w:tcBorders>
            <w:shd w:val="clear" w:color="auto" w:fill="auto"/>
            <w:hideMark/>
          </w:tcPr>
          <w:p w14:paraId="71BFDA96"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color w:val="000000"/>
                <w:sz w:val="20"/>
                <w:szCs w:val="20"/>
              </w:rPr>
            </w:pPr>
          </w:p>
        </w:tc>
        <w:tc>
          <w:tcPr>
            <w:tcW w:w="5953" w:type="dxa"/>
            <w:tcBorders>
              <w:top w:val="nil"/>
              <w:left w:val="single" w:sz="4" w:space="0" w:color="auto"/>
              <w:bottom w:val="single" w:sz="4" w:space="0" w:color="auto"/>
              <w:right w:val="single" w:sz="4" w:space="0" w:color="auto"/>
            </w:tcBorders>
            <w:shd w:val="clear" w:color="auto" w:fill="auto"/>
            <w:vAlign w:val="center"/>
            <w:hideMark/>
          </w:tcPr>
          <w:p w14:paraId="6831A43A"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августе 2022 года в соответствии с постановлением Правительства Российской Федерации от 19 января 2008 г. № 18 средства ФНБ в сумме </w:t>
            </w:r>
            <w:r w:rsidRPr="00213A5D">
              <w:rPr>
                <w:rFonts w:eastAsia="Times New Roman"/>
                <w:b/>
                <w:bCs/>
                <w:color w:val="000000"/>
                <w:sz w:val="20"/>
                <w:szCs w:val="20"/>
              </w:rPr>
              <w:t>58 334,0 млн. рублей</w:t>
            </w:r>
            <w:r w:rsidRPr="00213A5D">
              <w:rPr>
                <w:rFonts w:eastAsia="Times New Roman"/>
                <w:color w:val="000000"/>
                <w:sz w:val="20"/>
                <w:szCs w:val="20"/>
              </w:rPr>
              <w:t xml:space="preserve"> размещены в обыкновенные акции АО «ГТЛК» в количестве 5 833 402 штук по цене, составляющей 10 000,0 рублей за одну акцию</w:t>
            </w:r>
          </w:p>
        </w:tc>
      </w:tr>
      <w:tr w:rsidR="006C4D23" w:rsidRPr="00213A5D" w14:paraId="663779CD" w14:textId="77777777" w:rsidTr="004371D4">
        <w:tc>
          <w:tcPr>
            <w:tcW w:w="3823" w:type="dxa"/>
            <w:vMerge w:val="restart"/>
            <w:tcBorders>
              <w:top w:val="nil"/>
              <w:left w:val="single" w:sz="4" w:space="0" w:color="auto"/>
              <w:right w:val="single" w:sz="4" w:space="0" w:color="auto"/>
            </w:tcBorders>
            <w:shd w:val="clear" w:color="auto" w:fill="auto"/>
            <w:hideMark/>
          </w:tcPr>
          <w:p w14:paraId="771390BA"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в долговые обязательства юридических лиц, не связанные с финансированием самоокупаемых инфраструктурных проектов, перечень которых утвержден Правительством Российской Федерации</w:t>
            </w:r>
          </w:p>
        </w:tc>
        <w:tc>
          <w:tcPr>
            <w:tcW w:w="5953" w:type="dxa"/>
            <w:tcBorders>
              <w:top w:val="nil"/>
              <w:left w:val="single" w:sz="4" w:space="0" w:color="auto"/>
              <w:bottom w:val="single" w:sz="4" w:space="0" w:color="auto"/>
              <w:right w:val="single" w:sz="4" w:space="0" w:color="auto"/>
            </w:tcBorders>
            <w:shd w:val="clear" w:color="auto" w:fill="auto"/>
            <w:vAlign w:val="center"/>
            <w:hideMark/>
          </w:tcPr>
          <w:p w14:paraId="44A417F2"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bCs/>
                <w:color w:val="000000"/>
                <w:sz w:val="20"/>
                <w:szCs w:val="20"/>
              </w:rPr>
            </w:pPr>
            <w:r w:rsidRPr="00213A5D">
              <w:rPr>
                <w:rFonts w:eastAsia="Times New Roman"/>
                <w:color w:val="000000"/>
                <w:sz w:val="20"/>
                <w:szCs w:val="20"/>
              </w:rPr>
              <w:t xml:space="preserve">В соответствии с постановлениями Правительства Российской Федерации от 19 января 2008 г. № 18 и от 2 июня 2022 г. № 1015 средства ФНБ в сумме </w:t>
            </w:r>
            <w:r w:rsidRPr="00213A5D">
              <w:rPr>
                <w:rFonts w:eastAsia="Times New Roman"/>
                <w:b/>
                <w:bCs/>
                <w:color w:val="000000"/>
                <w:sz w:val="20"/>
                <w:szCs w:val="20"/>
              </w:rPr>
              <w:t xml:space="preserve">14 150,8 млн. рублей (82,9 % показателя сводной росписи), </w:t>
            </w:r>
            <w:r w:rsidRPr="00213A5D">
              <w:rPr>
                <w:rFonts w:eastAsia="Times New Roman"/>
                <w:bCs/>
                <w:color w:val="000000"/>
                <w:sz w:val="20"/>
                <w:szCs w:val="20"/>
              </w:rPr>
              <w:t>в том числе:</w:t>
            </w:r>
          </w:p>
        </w:tc>
      </w:tr>
      <w:tr w:rsidR="006C4D23" w:rsidRPr="00213A5D" w14:paraId="6CD8C248" w14:textId="77777777" w:rsidTr="004371D4">
        <w:tc>
          <w:tcPr>
            <w:tcW w:w="3823" w:type="dxa"/>
            <w:vMerge/>
            <w:tcBorders>
              <w:left w:val="single" w:sz="4" w:space="0" w:color="auto"/>
              <w:right w:val="single" w:sz="4" w:space="0" w:color="auto"/>
            </w:tcBorders>
            <w:shd w:val="clear" w:color="auto" w:fill="auto"/>
          </w:tcPr>
          <w:p w14:paraId="794893F9" w14:textId="77777777" w:rsidR="006C4D23" w:rsidRPr="00213A5D" w:rsidRDefault="006C4D23" w:rsidP="00AF1852">
            <w:pPr>
              <w:widowControl w:val="0"/>
              <w:spacing w:line="240" w:lineRule="auto"/>
              <w:ind w:left="0" w:right="0"/>
              <w:rPr>
                <w:rFonts w:eastAsia="Times New Roman"/>
                <w:color w:val="000000"/>
                <w:sz w:val="20"/>
                <w:szCs w:val="20"/>
              </w:rPr>
            </w:pPr>
          </w:p>
        </w:tc>
        <w:tc>
          <w:tcPr>
            <w:tcW w:w="5953" w:type="dxa"/>
            <w:tcBorders>
              <w:top w:val="nil"/>
              <w:left w:val="single" w:sz="4" w:space="0" w:color="auto"/>
              <w:bottom w:val="single" w:sz="4" w:space="0" w:color="auto"/>
              <w:right w:val="single" w:sz="4" w:space="0" w:color="auto"/>
            </w:tcBorders>
            <w:shd w:val="clear" w:color="auto" w:fill="auto"/>
            <w:vAlign w:val="center"/>
          </w:tcPr>
          <w:p w14:paraId="7061A3E0"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июле 2022 года в сумме </w:t>
            </w:r>
            <w:r w:rsidRPr="00213A5D">
              <w:rPr>
                <w:rFonts w:eastAsia="Times New Roman"/>
                <w:b/>
                <w:bCs/>
                <w:color w:val="000000"/>
                <w:sz w:val="20"/>
                <w:szCs w:val="20"/>
              </w:rPr>
              <w:t xml:space="preserve">11 851,9 млн. рублей </w:t>
            </w:r>
            <w:r w:rsidRPr="00213A5D">
              <w:rPr>
                <w:rFonts w:eastAsia="Times New Roman"/>
                <w:color w:val="000000"/>
                <w:sz w:val="20"/>
                <w:szCs w:val="20"/>
              </w:rPr>
              <w:t xml:space="preserve">размещены в облигации АО «Авиакомпания «Сибирь» в количестве </w:t>
            </w:r>
            <w:r w:rsidRPr="00213A5D">
              <w:rPr>
                <w:rFonts w:eastAsia="Times New Roman"/>
                <w:color w:val="000000"/>
                <w:sz w:val="20"/>
                <w:szCs w:val="20"/>
              </w:rPr>
              <w:br/>
              <w:t>11 851 945 штук по цене одной облигации, равной ее номинальной стоимости, – 1 000 рублей</w:t>
            </w:r>
          </w:p>
        </w:tc>
      </w:tr>
      <w:tr w:rsidR="006C4D23" w:rsidRPr="00213A5D" w14:paraId="6E57BF38" w14:textId="77777777" w:rsidTr="004371D4">
        <w:tc>
          <w:tcPr>
            <w:tcW w:w="3823" w:type="dxa"/>
            <w:vMerge/>
            <w:tcBorders>
              <w:left w:val="single" w:sz="4" w:space="0" w:color="auto"/>
              <w:bottom w:val="single" w:sz="4" w:space="0" w:color="auto"/>
              <w:right w:val="single" w:sz="4" w:space="0" w:color="auto"/>
            </w:tcBorders>
            <w:shd w:val="clear" w:color="auto" w:fill="auto"/>
            <w:hideMark/>
          </w:tcPr>
          <w:p w14:paraId="52A23260"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color w:val="000000"/>
                <w:sz w:val="20"/>
                <w:szCs w:val="20"/>
              </w:rPr>
            </w:pPr>
          </w:p>
        </w:tc>
        <w:tc>
          <w:tcPr>
            <w:tcW w:w="5953" w:type="dxa"/>
            <w:tcBorders>
              <w:top w:val="nil"/>
              <w:left w:val="single" w:sz="4" w:space="0" w:color="auto"/>
              <w:bottom w:val="single" w:sz="4" w:space="0" w:color="auto"/>
              <w:right w:val="single" w:sz="4" w:space="0" w:color="auto"/>
            </w:tcBorders>
            <w:shd w:val="clear" w:color="auto" w:fill="auto"/>
            <w:vAlign w:val="center"/>
            <w:hideMark/>
          </w:tcPr>
          <w:p w14:paraId="33736E35" w14:textId="77777777" w:rsidR="006C4D23" w:rsidRPr="00213A5D" w:rsidRDefault="006C4D23"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августе 2022 года в сумме </w:t>
            </w:r>
            <w:r w:rsidRPr="00213A5D">
              <w:rPr>
                <w:rFonts w:eastAsia="Times New Roman"/>
                <w:b/>
                <w:bCs/>
                <w:color w:val="000000"/>
                <w:sz w:val="20"/>
                <w:szCs w:val="20"/>
              </w:rPr>
              <w:t xml:space="preserve">2 298,9 млн. рублей </w:t>
            </w:r>
            <w:r w:rsidRPr="00213A5D">
              <w:rPr>
                <w:rFonts w:eastAsia="Times New Roman"/>
                <w:color w:val="000000"/>
                <w:sz w:val="20"/>
                <w:szCs w:val="20"/>
              </w:rPr>
              <w:t>размещены в облигации ОАО АК «Уральские авиалинии» в количестве 2 298 929 штук по цене одной облигации, равной ее номинальной стоимости, – 1 000 рублей</w:t>
            </w:r>
          </w:p>
        </w:tc>
      </w:tr>
      <w:tr w:rsidR="00721AA7" w:rsidRPr="00213A5D" w14:paraId="0115CBE0" w14:textId="77777777" w:rsidTr="004371D4">
        <w:tc>
          <w:tcPr>
            <w:tcW w:w="3823" w:type="dxa"/>
            <w:tcBorders>
              <w:top w:val="nil"/>
              <w:left w:val="single" w:sz="4" w:space="0" w:color="auto"/>
              <w:bottom w:val="nil"/>
              <w:right w:val="single" w:sz="4" w:space="0" w:color="auto"/>
            </w:tcBorders>
            <w:shd w:val="clear" w:color="auto" w:fill="auto"/>
            <w:hideMark/>
          </w:tcPr>
          <w:p w14:paraId="374FAAA0"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lastRenderedPageBreak/>
              <w:t>в российские ценные бумаги, связанные с реализацией самоокупаемых инфраструктурных проектов, перечень которых утверждается Правительством Российской Федерации</w:t>
            </w:r>
          </w:p>
        </w:tc>
        <w:tc>
          <w:tcPr>
            <w:tcW w:w="5953" w:type="dxa"/>
            <w:tcBorders>
              <w:top w:val="nil"/>
              <w:left w:val="single" w:sz="4" w:space="0" w:color="auto"/>
              <w:bottom w:val="single" w:sz="4" w:space="0" w:color="auto"/>
              <w:right w:val="single" w:sz="4" w:space="0" w:color="auto"/>
            </w:tcBorders>
            <w:shd w:val="clear" w:color="auto" w:fill="auto"/>
            <w:vAlign w:val="center"/>
            <w:hideMark/>
          </w:tcPr>
          <w:p w14:paraId="06518988" w14:textId="77777777" w:rsidR="00721AA7" w:rsidRPr="00213A5D" w:rsidRDefault="002544CB"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апреле – </w:t>
            </w:r>
            <w:r w:rsidR="00721AA7" w:rsidRPr="00213A5D">
              <w:rPr>
                <w:rFonts w:eastAsia="Times New Roman"/>
                <w:color w:val="000000"/>
                <w:sz w:val="20"/>
                <w:szCs w:val="20"/>
              </w:rPr>
              <w:t xml:space="preserve">сентябре 2022 года в соответствии с постановлениями Правительства Российской Федерации от 19 января 2008 г. № 18 и от </w:t>
            </w:r>
            <w:r w:rsidR="00721AA7" w:rsidRPr="00213A5D">
              <w:rPr>
                <w:rFonts w:eastAsia="Times New Roman"/>
                <w:color w:val="000000"/>
                <w:sz w:val="20"/>
                <w:szCs w:val="20"/>
              </w:rPr>
              <w:br w:type="page"/>
              <w:t xml:space="preserve">5 ноября 2013 г. № 990 средства ФНБ в сумме </w:t>
            </w:r>
            <w:r w:rsidR="00721AA7" w:rsidRPr="00213A5D">
              <w:rPr>
                <w:rFonts w:eastAsia="Times New Roman"/>
                <w:b/>
                <w:bCs/>
                <w:color w:val="000000"/>
                <w:sz w:val="20"/>
                <w:szCs w:val="20"/>
              </w:rPr>
              <w:t xml:space="preserve">19 511,2 млн. рублей </w:t>
            </w:r>
            <w:r w:rsidR="00721AA7" w:rsidRPr="00213A5D">
              <w:rPr>
                <w:rFonts w:eastAsia="Times New Roman"/>
                <w:b/>
                <w:bCs/>
                <w:color w:val="000000"/>
                <w:sz w:val="20"/>
                <w:szCs w:val="20"/>
              </w:rPr>
              <w:br w:type="page"/>
              <w:t>(97,6 % показателя сводной росписи)</w:t>
            </w:r>
            <w:r w:rsidR="00721AA7" w:rsidRPr="00213A5D">
              <w:rPr>
                <w:rFonts w:eastAsia="Times New Roman"/>
                <w:color w:val="000000"/>
                <w:sz w:val="20"/>
                <w:szCs w:val="20"/>
              </w:rPr>
              <w:t xml:space="preserve"> размещены в облигац</w:t>
            </w:r>
            <w:r w:rsidR="008D1CE4" w:rsidRPr="00213A5D">
              <w:rPr>
                <w:rFonts w:eastAsia="Times New Roman"/>
                <w:color w:val="000000"/>
                <w:sz w:val="20"/>
                <w:szCs w:val="20"/>
              </w:rPr>
              <w:t xml:space="preserve">ии государственной корпорации – </w:t>
            </w:r>
            <w:r w:rsidR="00721AA7" w:rsidRPr="00213A5D">
              <w:rPr>
                <w:rFonts w:eastAsia="Times New Roman"/>
                <w:color w:val="000000"/>
                <w:sz w:val="20"/>
                <w:szCs w:val="20"/>
              </w:rPr>
              <w:t>Фонда содействия реформированию жилищно-коммунального хозяйства в количестве 19 511 248 штук по цене одной облигации равной ее номинальной стоимости</w:t>
            </w:r>
            <w:r w:rsidR="008D1CE4" w:rsidRPr="00213A5D">
              <w:rPr>
                <w:rFonts w:eastAsia="Times New Roman"/>
                <w:color w:val="000000"/>
                <w:sz w:val="20"/>
                <w:szCs w:val="20"/>
              </w:rPr>
              <w:t>,</w:t>
            </w:r>
            <w:r w:rsidR="00721AA7" w:rsidRPr="00213A5D">
              <w:rPr>
                <w:rFonts w:eastAsia="Times New Roman"/>
                <w:color w:val="000000"/>
                <w:sz w:val="20"/>
                <w:szCs w:val="20"/>
              </w:rPr>
              <w:t xml:space="preserve"> – 1 000 рублей – в целях финансирования </w:t>
            </w:r>
            <w:r w:rsidR="00721AA7" w:rsidRPr="00213A5D">
              <w:rPr>
                <w:rFonts w:eastAsia="Times New Roman"/>
                <w:b/>
                <w:color w:val="000000"/>
                <w:sz w:val="20"/>
                <w:szCs w:val="20"/>
              </w:rPr>
              <w:t>инфраструктурного проекта</w:t>
            </w:r>
            <w:r w:rsidR="00721AA7" w:rsidRPr="00213A5D">
              <w:rPr>
                <w:rFonts w:eastAsia="Times New Roman"/>
                <w:color w:val="000000"/>
                <w:sz w:val="20"/>
                <w:szCs w:val="20"/>
              </w:rPr>
              <w:t xml:space="preserve"> «Программа финансирования строительства, реконструкции и модернизации объектов инфраструктуры за счет средств государственной корпорации </w:t>
            </w:r>
            <w:r w:rsidR="008D1CE4" w:rsidRPr="00213A5D">
              <w:rPr>
                <w:rFonts w:eastAsia="Times New Roman"/>
                <w:color w:val="000000"/>
                <w:sz w:val="20"/>
                <w:szCs w:val="20"/>
              </w:rPr>
              <w:t xml:space="preserve">– </w:t>
            </w:r>
            <w:r w:rsidR="00721AA7" w:rsidRPr="00213A5D">
              <w:rPr>
                <w:rFonts w:eastAsia="Times New Roman"/>
                <w:color w:val="000000"/>
                <w:sz w:val="20"/>
                <w:szCs w:val="20"/>
              </w:rPr>
              <w:t>Фонда содействия реформированию жилищно-коммунального хозяйства, полученных из средств Фонда национального благосостояния</w:t>
            </w:r>
            <w:r w:rsidR="008D1CE4" w:rsidRPr="00213A5D">
              <w:rPr>
                <w:rFonts w:eastAsia="Times New Roman"/>
                <w:color w:val="000000"/>
                <w:sz w:val="20"/>
                <w:szCs w:val="20"/>
              </w:rPr>
              <w:t>», предусмотренного пунктом 13 п</w:t>
            </w:r>
            <w:r w:rsidR="00721AA7" w:rsidRPr="00213A5D">
              <w:rPr>
                <w:rFonts w:eastAsia="Times New Roman"/>
                <w:color w:val="000000"/>
                <w:sz w:val="20"/>
                <w:szCs w:val="20"/>
              </w:rPr>
              <w:t xml:space="preserve">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 утвержденного распоряжением Правительства Российской Федерации от 5 ноября 2013 г. </w:t>
            </w:r>
            <w:r w:rsidR="008D1CE4" w:rsidRPr="00213A5D">
              <w:rPr>
                <w:rFonts w:eastAsia="Times New Roman"/>
                <w:color w:val="000000"/>
                <w:sz w:val="20"/>
                <w:szCs w:val="20"/>
              </w:rPr>
              <w:br/>
            </w:r>
            <w:r w:rsidR="00721AA7" w:rsidRPr="00213A5D">
              <w:rPr>
                <w:rFonts w:eastAsia="Times New Roman"/>
                <w:color w:val="000000"/>
                <w:sz w:val="20"/>
                <w:szCs w:val="20"/>
              </w:rPr>
              <w:t>№ 2044-р</w:t>
            </w:r>
          </w:p>
        </w:tc>
      </w:tr>
      <w:tr w:rsidR="00721AA7" w:rsidRPr="00213A5D" w14:paraId="325A8290" w14:textId="77777777" w:rsidTr="004371D4">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AFCF5"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2. Возвращено</w:t>
            </w:r>
          </w:p>
        </w:tc>
        <w:tc>
          <w:tcPr>
            <w:tcW w:w="5953" w:type="dxa"/>
            <w:tcBorders>
              <w:top w:val="nil"/>
              <w:left w:val="nil"/>
              <w:bottom w:val="single" w:sz="4" w:space="0" w:color="auto"/>
              <w:right w:val="single" w:sz="4" w:space="0" w:color="auto"/>
            </w:tcBorders>
            <w:shd w:val="clear" w:color="auto" w:fill="auto"/>
            <w:hideMark/>
          </w:tcPr>
          <w:p w14:paraId="3E071FC4"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155 150,7</w:t>
            </w:r>
          </w:p>
        </w:tc>
      </w:tr>
      <w:tr w:rsidR="00700960" w:rsidRPr="00213A5D" w14:paraId="62DA8174" w14:textId="77777777" w:rsidTr="004371D4">
        <w:tc>
          <w:tcPr>
            <w:tcW w:w="3823" w:type="dxa"/>
            <w:vMerge w:val="restart"/>
            <w:tcBorders>
              <w:top w:val="single" w:sz="4" w:space="0" w:color="auto"/>
              <w:left w:val="single" w:sz="4" w:space="0" w:color="auto"/>
              <w:right w:val="single" w:sz="4" w:space="0" w:color="auto"/>
            </w:tcBorders>
            <w:shd w:val="clear" w:color="auto" w:fill="auto"/>
            <w:hideMark/>
          </w:tcPr>
          <w:p w14:paraId="554F986A" w14:textId="77777777" w:rsidR="00700960" w:rsidRPr="00213A5D" w:rsidRDefault="00700960"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с депозитов в ВЭБ.РФ в целях финансирования проектов ВЭБ.РФ в реальном секторе экономики, реализуемых российскими организациями</w:t>
            </w:r>
          </w:p>
        </w:tc>
        <w:tc>
          <w:tcPr>
            <w:tcW w:w="5953" w:type="dxa"/>
            <w:tcBorders>
              <w:top w:val="single" w:sz="4" w:space="0" w:color="auto"/>
              <w:left w:val="nil"/>
              <w:bottom w:val="nil"/>
              <w:right w:val="single" w:sz="4" w:space="0" w:color="auto"/>
            </w:tcBorders>
            <w:shd w:val="clear" w:color="auto" w:fill="auto"/>
            <w:hideMark/>
          </w:tcPr>
          <w:p w14:paraId="69970CFF" w14:textId="77777777" w:rsidR="00700960" w:rsidRPr="00213A5D" w:rsidRDefault="00700960"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b/>
                <w:bCs/>
                <w:color w:val="000000"/>
                <w:sz w:val="20"/>
                <w:szCs w:val="20"/>
              </w:rPr>
              <w:t>ВЭБ.РФ</w:t>
            </w:r>
            <w:r w:rsidRPr="00213A5D">
              <w:rPr>
                <w:rFonts w:eastAsia="Times New Roman"/>
                <w:color w:val="000000"/>
                <w:sz w:val="20"/>
                <w:szCs w:val="20"/>
              </w:rPr>
              <w:t xml:space="preserve"> досрочно возвратил часть средств ФНБ, размещенных </w:t>
            </w:r>
            <w:r w:rsidRPr="00213A5D">
              <w:rPr>
                <w:rFonts w:eastAsia="Times New Roman"/>
                <w:color w:val="000000"/>
                <w:sz w:val="20"/>
                <w:szCs w:val="20"/>
              </w:rPr>
              <w:br/>
              <w:t>на депозитах в 2016–2020 годах</w:t>
            </w:r>
            <w:r w:rsidR="007664F0" w:rsidRPr="00213A5D">
              <w:rPr>
                <w:rFonts w:eastAsia="Times New Roman"/>
                <w:color w:val="000000"/>
                <w:sz w:val="20"/>
                <w:szCs w:val="20"/>
              </w:rPr>
              <w:t>,</w:t>
            </w:r>
            <w:r w:rsidRPr="00213A5D">
              <w:rPr>
                <w:rFonts w:eastAsia="Times New Roman"/>
                <w:color w:val="000000"/>
                <w:sz w:val="20"/>
                <w:szCs w:val="20"/>
              </w:rPr>
              <w:t xml:space="preserve"> на общую сумму </w:t>
            </w:r>
            <w:r w:rsidRPr="00213A5D">
              <w:rPr>
                <w:rFonts w:eastAsia="Times New Roman"/>
                <w:color w:val="000000"/>
                <w:sz w:val="20"/>
                <w:szCs w:val="20"/>
              </w:rPr>
              <w:br/>
            </w:r>
            <w:r w:rsidRPr="00213A5D">
              <w:rPr>
                <w:rFonts w:eastAsia="Times New Roman"/>
                <w:b/>
                <w:bCs/>
                <w:color w:val="000000"/>
                <w:sz w:val="20"/>
                <w:szCs w:val="20"/>
              </w:rPr>
              <w:t>2 424,4 млн. рублей</w:t>
            </w:r>
            <w:r w:rsidRPr="00213A5D">
              <w:rPr>
                <w:rFonts w:eastAsia="Times New Roman"/>
                <w:color w:val="000000"/>
                <w:sz w:val="20"/>
                <w:szCs w:val="20"/>
              </w:rPr>
              <w:t xml:space="preserve"> в целях финансирования следующих проектов:</w:t>
            </w:r>
          </w:p>
        </w:tc>
      </w:tr>
      <w:tr w:rsidR="00700960" w:rsidRPr="00213A5D" w14:paraId="253662D6" w14:textId="77777777" w:rsidTr="004371D4">
        <w:tc>
          <w:tcPr>
            <w:tcW w:w="3823" w:type="dxa"/>
            <w:vMerge/>
            <w:tcBorders>
              <w:left w:val="single" w:sz="4" w:space="0" w:color="auto"/>
              <w:right w:val="single" w:sz="4" w:space="0" w:color="auto"/>
            </w:tcBorders>
            <w:shd w:val="clear" w:color="auto" w:fill="auto"/>
            <w:hideMark/>
          </w:tcPr>
          <w:p w14:paraId="73A531C7" w14:textId="77777777" w:rsidR="00700960" w:rsidRPr="00213A5D" w:rsidRDefault="00700960" w:rsidP="00AF1852">
            <w:pPr>
              <w:widowControl w:val="0"/>
              <w:spacing w:line="240" w:lineRule="auto"/>
              <w:ind w:left="0" w:right="0"/>
              <w:rPr>
                <w:rFonts w:eastAsia="Times New Roman"/>
                <w:color w:val="000000"/>
                <w:sz w:val="20"/>
                <w:szCs w:val="20"/>
              </w:rPr>
            </w:pPr>
          </w:p>
        </w:tc>
        <w:tc>
          <w:tcPr>
            <w:tcW w:w="5953" w:type="dxa"/>
            <w:tcBorders>
              <w:top w:val="nil"/>
              <w:left w:val="nil"/>
              <w:bottom w:val="nil"/>
              <w:right w:val="single" w:sz="4" w:space="0" w:color="auto"/>
            </w:tcBorders>
            <w:shd w:val="clear" w:color="auto" w:fill="auto"/>
            <w:hideMark/>
          </w:tcPr>
          <w:p w14:paraId="23739C0D" w14:textId="77777777" w:rsidR="00700960" w:rsidRPr="00213A5D" w:rsidRDefault="00700960"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«Приобретение и предоставление во владение и пользование (лизинг) вагонов Московского метро» (КЖЦ-1) – в январе</w:t>
            </w:r>
            <w:r w:rsidR="007664F0" w:rsidRPr="00213A5D">
              <w:rPr>
                <w:rFonts w:eastAsia="Times New Roman"/>
                <w:color w:val="000000"/>
                <w:sz w:val="20"/>
                <w:szCs w:val="20"/>
              </w:rPr>
              <w:t xml:space="preserve"> – </w:t>
            </w:r>
            <w:r w:rsidRPr="00213A5D">
              <w:rPr>
                <w:rFonts w:eastAsia="Times New Roman"/>
                <w:color w:val="000000"/>
                <w:sz w:val="20"/>
                <w:szCs w:val="20"/>
              </w:rPr>
              <w:t>сентябре 2022 года в сумме 1 117,98 млн. рублей;</w:t>
            </w:r>
          </w:p>
        </w:tc>
      </w:tr>
      <w:tr w:rsidR="00700960" w:rsidRPr="00213A5D" w14:paraId="00AB3B9D" w14:textId="77777777" w:rsidTr="004371D4">
        <w:tc>
          <w:tcPr>
            <w:tcW w:w="3823" w:type="dxa"/>
            <w:vMerge/>
            <w:tcBorders>
              <w:left w:val="single" w:sz="4" w:space="0" w:color="auto"/>
              <w:right w:val="single" w:sz="4" w:space="0" w:color="auto"/>
            </w:tcBorders>
            <w:shd w:val="clear" w:color="auto" w:fill="auto"/>
            <w:hideMark/>
          </w:tcPr>
          <w:p w14:paraId="327A637D" w14:textId="77777777" w:rsidR="00700960" w:rsidRPr="00213A5D" w:rsidRDefault="00700960" w:rsidP="00AF1852">
            <w:pPr>
              <w:widowControl w:val="0"/>
              <w:spacing w:line="240" w:lineRule="auto"/>
              <w:ind w:left="0" w:right="0"/>
              <w:rPr>
                <w:rFonts w:eastAsia="Times New Roman"/>
                <w:color w:val="000000"/>
                <w:sz w:val="20"/>
                <w:szCs w:val="20"/>
              </w:rPr>
            </w:pPr>
          </w:p>
        </w:tc>
        <w:tc>
          <w:tcPr>
            <w:tcW w:w="5953" w:type="dxa"/>
            <w:tcBorders>
              <w:top w:val="nil"/>
              <w:left w:val="nil"/>
              <w:bottom w:val="nil"/>
              <w:right w:val="single" w:sz="4" w:space="0" w:color="auto"/>
            </w:tcBorders>
            <w:shd w:val="clear" w:color="auto" w:fill="auto"/>
            <w:hideMark/>
          </w:tcPr>
          <w:p w14:paraId="1C4791A6" w14:textId="77777777" w:rsidR="00700960" w:rsidRPr="00213A5D" w:rsidRDefault="00700960"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«Приобретение и предоставление во владение и пользование (лизинг) вагонов Москов</w:t>
            </w:r>
            <w:r w:rsidR="007664F0" w:rsidRPr="00213A5D">
              <w:rPr>
                <w:rFonts w:eastAsia="Times New Roman"/>
                <w:color w:val="000000"/>
                <w:sz w:val="20"/>
                <w:szCs w:val="20"/>
              </w:rPr>
              <w:t xml:space="preserve">ского метро» (КЖЦ-2) – в январе – </w:t>
            </w:r>
            <w:r w:rsidRPr="00213A5D">
              <w:rPr>
                <w:rFonts w:eastAsia="Times New Roman"/>
                <w:color w:val="000000"/>
                <w:sz w:val="20"/>
                <w:szCs w:val="20"/>
              </w:rPr>
              <w:t>сентябре 2022 года в сумме 1 150,17 млн. рублей;</w:t>
            </w:r>
          </w:p>
        </w:tc>
      </w:tr>
      <w:tr w:rsidR="00700960" w:rsidRPr="00213A5D" w14:paraId="05682CFC" w14:textId="77777777" w:rsidTr="004371D4">
        <w:tc>
          <w:tcPr>
            <w:tcW w:w="3823" w:type="dxa"/>
            <w:vMerge/>
            <w:tcBorders>
              <w:left w:val="single" w:sz="4" w:space="0" w:color="auto"/>
              <w:bottom w:val="single" w:sz="4" w:space="0" w:color="auto"/>
              <w:right w:val="single" w:sz="4" w:space="0" w:color="auto"/>
            </w:tcBorders>
            <w:shd w:val="clear" w:color="auto" w:fill="auto"/>
            <w:hideMark/>
          </w:tcPr>
          <w:p w14:paraId="441AB340" w14:textId="77777777" w:rsidR="00700960" w:rsidRPr="00213A5D" w:rsidRDefault="00700960" w:rsidP="00AF1852">
            <w:pPr>
              <w:widowControl w:val="0"/>
              <w:overflowPunct/>
              <w:autoSpaceDE/>
              <w:autoSpaceDN/>
              <w:adjustRightInd/>
              <w:spacing w:line="240" w:lineRule="auto"/>
              <w:ind w:left="0" w:right="0" w:firstLine="0"/>
              <w:textAlignment w:val="auto"/>
              <w:rPr>
                <w:rFonts w:eastAsia="Times New Roman"/>
                <w:color w:val="000000"/>
                <w:sz w:val="20"/>
                <w:szCs w:val="20"/>
              </w:rPr>
            </w:pPr>
          </w:p>
        </w:tc>
        <w:tc>
          <w:tcPr>
            <w:tcW w:w="5953" w:type="dxa"/>
            <w:tcBorders>
              <w:top w:val="nil"/>
              <w:left w:val="nil"/>
              <w:bottom w:val="single" w:sz="4" w:space="0" w:color="auto"/>
              <w:right w:val="single" w:sz="4" w:space="0" w:color="auto"/>
            </w:tcBorders>
            <w:shd w:val="clear" w:color="auto" w:fill="auto"/>
            <w:hideMark/>
          </w:tcPr>
          <w:p w14:paraId="4F5B8773" w14:textId="77777777" w:rsidR="00700960" w:rsidRPr="00213A5D" w:rsidRDefault="00700960"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«Строительство нового аэропортового комплекса «Центральный»                  (г. Саратов)» – в марте и июне 2022 года в сумме </w:t>
            </w:r>
            <w:r w:rsidR="007664F0" w:rsidRPr="00213A5D">
              <w:rPr>
                <w:rFonts w:eastAsia="Times New Roman"/>
                <w:color w:val="000000"/>
                <w:sz w:val="20"/>
                <w:szCs w:val="20"/>
              </w:rPr>
              <w:t>156,28 млн. рублей</w:t>
            </w:r>
          </w:p>
        </w:tc>
      </w:tr>
      <w:tr w:rsidR="008C4B04" w:rsidRPr="00213A5D" w14:paraId="351B0025" w14:textId="77777777" w:rsidTr="004371D4">
        <w:tc>
          <w:tcPr>
            <w:tcW w:w="3823" w:type="dxa"/>
            <w:vMerge w:val="restart"/>
            <w:tcBorders>
              <w:top w:val="nil"/>
              <w:left w:val="single" w:sz="4" w:space="0" w:color="auto"/>
              <w:right w:val="single" w:sz="4" w:space="0" w:color="auto"/>
            </w:tcBorders>
            <w:shd w:val="clear" w:color="auto" w:fill="auto"/>
            <w:hideMark/>
          </w:tcPr>
          <w:p w14:paraId="089269BC" w14:textId="77777777" w:rsidR="008C4B04" w:rsidRPr="00213A5D" w:rsidRDefault="008C4B04"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из российских ценных бумаг, связанных с реализацией самоокупаемых инфраструктурных проектов, перечень которых утверждается Правительством Российской Федерации</w:t>
            </w:r>
          </w:p>
        </w:tc>
        <w:tc>
          <w:tcPr>
            <w:tcW w:w="5953" w:type="dxa"/>
            <w:tcBorders>
              <w:top w:val="single" w:sz="4" w:space="0" w:color="auto"/>
              <w:left w:val="single" w:sz="4" w:space="0" w:color="auto"/>
              <w:bottom w:val="single" w:sz="4" w:space="0" w:color="auto"/>
              <w:right w:val="single" w:sz="4" w:space="0" w:color="auto"/>
            </w:tcBorders>
            <w:shd w:val="clear" w:color="auto" w:fill="auto"/>
            <w:hideMark/>
          </w:tcPr>
          <w:p w14:paraId="73EF0EE3" w14:textId="77777777" w:rsidR="008C4B04" w:rsidRPr="00213A5D" w:rsidRDefault="008C4B04"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феврале 2022 года в соответствии с постановлением Правительства Российской Федерации от 19 января 2008 г. № 18 </w:t>
            </w:r>
            <w:r w:rsidRPr="00213A5D">
              <w:rPr>
                <w:rFonts w:eastAsia="Times New Roman"/>
                <w:b/>
                <w:bCs/>
                <w:color w:val="000000"/>
                <w:sz w:val="20"/>
                <w:szCs w:val="20"/>
              </w:rPr>
              <w:t>ООО «ЗапСибНефтехим»</w:t>
            </w:r>
            <w:r w:rsidRPr="00213A5D">
              <w:rPr>
                <w:rFonts w:eastAsia="Times New Roman"/>
                <w:color w:val="000000"/>
                <w:sz w:val="20"/>
                <w:szCs w:val="20"/>
              </w:rPr>
              <w:t xml:space="preserve"> осуществило выкуп у Минфина России своих облигаций в количестве 1 750 тыс. штук общей номинальной стоимостью 1 750,0 млн. долларов США с погашением в 2030 году, приобретенных Минфином России в 2015 году за счет средств ФНБ в объеме 118 595,9 млн. рублей в целях финансирования проекта «Строительство интегрированного нефтехимического комплекса «Западно-Сибирский нефтехимический комбинат». Выкуп облигаций осуществлен по цене, равной их номинальной стоимости, увеличенной на 1 %, а также на сумму накопленного купонного дохода на дату выкупа. Расчеты в соответствии с паспортом проекта произведены в рублях по официальному курсу Банка России. Сумма средств, зачисленных в феврале – марте 2022 года на счет по учету средств ФНБ в Банке России, составила </w:t>
            </w:r>
            <w:r w:rsidRPr="00213A5D">
              <w:rPr>
                <w:rFonts w:eastAsia="Times New Roman"/>
                <w:b/>
                <w:bCs/>
                <w:color w:val="000000"/>
                <w:sz w:val="20"/>
                <w:szCs w:val="20"/>
              </w:rPr>
              <w:t>141 802,0 млн. рублей</w:t>
            </w:r>
          </w:p>
        </w:tc>
      </w:tr>
      <w:tr w:rsidR="008C4B04" w:rsidRPr="00213A5D" w14:paraId="6A3ADB0D" w14:textId="77777777" w:rsidTr="004371D4">
        <w:tc>
          <w:tcPr>
            <w:tcW w:w="3823" w:type="dxa"/>
            <w:vMerge/>
            <w:tcBorders>
              <w:left w:val="single" w:sz="4" w:space="0" w:color="auto"/>
              <w:bottom w:val="single" w:sz="4" w:space="0" w:color="auto"/>
              <w:right w:val="single" w:sz="4" w:space="0" w:color="auto"/>
            </w:tcBorders>
            <w:shd w:val="clear" w:color="auto" w:fill="auto"/>
            <w:hideMark/>
          </w:tcPr>
          <w:p w14:paraId="67E151A6" w14:textId="77777777" w:rsidR="008C4B04" w:rsidRPr="00213A5D" w:rsidRDefault="008C4B04" w:rsidP="00AF1852">
            <w:pPr>
              <w:widowControl w:val="0"/>
              <w:overflowPunct/>
              <w:autoSpaceDE/>
              <w:autoSpaceDN/>
              <w:adjustRightInd/>
              <w:spacing w:line="240" w:lineRule="auto"/>
              <w:ind w:left="0" w:right="0" w:firstLine="0"/>
              <w:textAlignment w:val="auto"/>
              <w:rPr>
                <w:rFonts w:eastAsia="Times New Roman"/>
                <w:color w:val="000000"/>
                <w:sz w:val="20"/>
                <w:szCs w:val="20"/>
              </w:rPr>
            </w:pPr>
          </w:p>
        </w:tc>
        <w:tc>
          <w:tcPr>
            <w:tcW w:w="5953" w:type="dxa"/>
            <w:tcBorders>
              <w:top w:val="nil"/>
              <w:left w:val="nil"/>
              <w:bottom w:val="nil"/>
              <w:right w:val="single" w:sz="4" w:space="0" w:color="auto"/>
            </w:tcBorders>
            <w:shd w:val="clear" w:color="auto" w:fill="auto"/>
            <w:hideMark/>
          </w:tcPr>
          <w:p w14:paraId="4A062EB6" w14:textId="77777777" w:rsidR="008C4B04" w:rsidRPr="00213A5D" w:rsidRDefault="008C4B04"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В марте и августе 2022 года </w:t>
            </w:r>
            <w:r w:rsidRPr="00213A5D">
              <w:rPr>
                <w:rFonts w:eastAsia="Times New Roman"/>
                <w:b/>
                <w:bCs/>
                <w:color w:val="000000"/>
                <w:sz w:val="20"/>
                <w:szCs w:val="20"/>
              </w:rPr>
              <w:t>ОАО «Ямал СПГ»</w:t>
            </w:r>
            <w:r w:rsidRPr="00213A5D">
              <w:rPr>
                <w:rFonts w:eastAsia="Times New Roman"/>
                <w:color w:val="000000"/>
                <w:sz w:val="20"/>
                <w:szCs w:val="20"/>
              </w:rPr>
              <w:t xml:space="preserve"> осуществило предусмотренные эмиссионной документацией 2 частичных </w:t>
            </w:r>
            <w:r w:rsidRPr="00213A5D">
              <w:rPr>
                <w:rFonts w:eastAsia="Times New Roman"/>
                <w:color w:val="000000"/>
                <w:sz w:val="20"/>
                <w:szCs w:val="20"/>
              </w:rPr>
              <w:br/>
              <w:t xml:space="preserve">(по 5,88 % номинальной стоимости, составляющий 1 тыс. долларов США)  погашения облигаций серии 01 (количество – </w:t>
            </w:r>
            <w:r w:rsidRPr="00213A5D">
              <w:rPr>
                <w:rFonts w:eastAsia="Times New Roman"/>
                <w:color w:val="000000"/>
                <w:sz w:val="20"/>
                <w:szCs w:val="20"/>
              </w:rPr>
              <w:br/>
              <w:t xml:space="preserve">1 207 024 штуки, общая номинальная стоимость – 1 207 024,0 тыс. долларов США), приобретенных Минфином России в 2015 году за счет средств ФНБ в объеме 75 000,0 млн. рублей в целях финансирования инвестиционного проекта «Строительство комплекса по добыче и подготовке газа, завода сжиженного </w:t>
            </w:r>
            <w:r w:rsidRPr="00213A5D">
              <w:rPr>
                <w:rFonts w:eastAsia="Times New Roman"/>
                <w:color w:val="000000"/>
                <w:sz w:val="20"/>
                <w:szCs w:val="20"/>
              </w:rPr>
              <w:lastRenderedPageBreak/>
              <w:t xml:space="preserve">природного газа и мощностей по отгрузке сжиженного природного газа и газового конденсата Южно-Тамбейского газоконденсатного месторождения на полуострове Ямал». В результате указанных частичных погашений на счет по учету средств ФНБ в Банке России зачислены средства в сумме </w:t>
            </w:r>
            <w:r w:rsidRPr="00213A5D">
              <w:rPr>
                <w:rFonts w:eastAsia="Times New Roman"/>
                <w:b/>
                <w:bCs/>
                <w:color w:val="000000"/>
                <w:sz w:val="20"/>
                <w:szCs w:val="20"/>
              </w:rPr>
              <w:t>10 924,3 млн. рублей</w:t>
            </w:r>
          </w:p>
        </w:tc>
      </w:tr>
      <w:tr w:rsidR="00721AA7" w:rsidRPr="00213A5D" w14:paraId="15AF1F40" w14:textId="77777777" w:rsidTr="004371D4">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260E1"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 xml:space="preserve">Средства ФНБ, </w:t>
            </w:r>
            <w:r w:rsidRPr="00213A5D">
              <w:rPr>
                <w:rFonts w:eastAsia="Times New Roman"/>
                <w:b/>
                <w:bCs/>
                <w:color w:val="000000"/>
                <w:sz w:val="20"/>
                <w:szCs w:val="20"/>
              </w:rPr>
              <w:t xml:space="preserve">размещенные в разрешенные финансовые активы на 1 октября 2022 года </w:t>
            </w:r>
            <w:r w:rsidRPr="00213A5D">
              <w:rPr>
                <w:rFonts w:eastAsia="Times New Roman"/>
                <w:b/>
                <w:bCs/>
                <w:color w:val="000000"/>
                <w:sz w:val="20"/>
                <w:szCs w:val="20"/>
              </w:rPr>
              <w:br/>
            </w:r>
            <w:r w:rsidRPr="00213A5D">
              <w:rPr>
                <w:rFonts w:eastAsia="Times New Roman"/>
                <w:bCs/>
                <w:color w:val="000000"/>
                <w:sz w:val="20"/>
                <w:szCs w:val="20"/>
              </w:rPr>
              <w:t>(с учетом курсовой разницы и переоценки рыночной стоимости в объеме (-)2 204 311,4 млн. рублей)</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14:paraId="637B8BC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3 267 824,3</w:t>
            </w:r>
          </w:p>
        </w:tc>
      </w:tr>
    </w:tbl>
    <w:p w14:paraId="7A4EA3AD" w14:textId="77777777" w:rsidR="00721AA7" w:rsidRPr="00213A5D" w:rsidRDefault="00721AA7" w:rsidP="00AF1852">
      <w:pPr>
        <w:widowControl w:val="0"/>
        <w:overflowPunct/>
        <w:autoSpaceDE/>
        <w:autoSpaceDN/>
        <w:adjustRightInd/>
        <w:ind w:left="0" w:right="0"/>
        <w:textAlignment w:val="auto"/>
        <w:rPr>
          <w:rFonts w:eastAsia="Times New Roman"/>
          <w:bCs/>
          <w:color w:val="000000"/>
          <w:sz w:val="12"/>
          <w:szCs w:val="12"/>
          <w:lang w:val="en-US"/>
        </w:rPr>
      </w:pPr>
    </w:p>
    <w:p w14:paraId="35EA245A" w14:textId="77777777" w:rsidR="00721AA7" w:rsidRPr="00213A5D" w:rsidRDefault="00721AA7" w:rsidP="00AF1852">
      <w:pPr>
        <w:widowControl w:val="0"/>
        <w:overflowPunct/>
        <w:autoSpaceDE/>
        <w:autoSpaceDN/>
        <w:adjustRightInd/>
        <w:spacing w:line="324" w:lineRule="auto"/>
        <w:ind w:left="0" w:right="0"/>
        <w:textAlignment w:val="auto"/>
        <w:rPr>
          <w:rFonts w:eastAsia="Times New Roman"/>
          <w:b/>
          <w:bCs/>
          <w:color w:val="000000"/>
          <w:sz w:val="24"/>
          <w:szCs w:val="24"/>
        </w:rPr>
      </w:pPr>
      <w:r w:rsidRPr="00213A5D">
        <w:rPr>
          <w:rFonts w:eastAsia="Times New Roman"/>
          <w:bCs/>
          <w:color w:val="000000"/>
          <w:sz w:val="24"/>
          <w:szCs w:val="24"/>
        </w:rPr>
        <w:t xml:space="preserve">Следует отметить, что в связи с планируемым размещением средств ФНБ в обыкновенные акции акционерного общества «Государственная транспортная лизинговая компания» в сводную бюджетную роспись по источникам финансирования дефицита федерального бюджета </w:t>
      </w:r>
      <w:r w:rsidRPr="00213A5D">
        <w:rPr>
          <w:rFonts w:eastAsia="Times New Roman"/>
          <w:b/>
          <w:bCs/>
          <w:color w:val="000000"/>
          <w:sz w:val="24"/>
          <w:szCs w:val="24"/>
        </w:rPr>
        <w:t>внесены изменения в объеме (-) 4 190,1</w:t>
      </w:r>
      <w:r w:rsidRPr="00213A5D">
        <w:rPr>
          <w:rFonts w:eastAsia="Times New Roman"/>
          <w:b/>
          <w:bCs/>
          <w:color w:val="000000"/>
          <w:sz w:val="24"/>
          <w:szCs w:val="24"/>
          <w:vertAlign w:val="superscript"/>
        </w:rPr>
        <w:footnoteReference w:id="56"/>
      </w:r>
      <w:r w:rsidRPr="00213A5D">
        <w:rPr>
          <w:rFonts w:eastAsia="Times New Roman"/>
          <w:b/>
          <w:bCs/>
          <w:color w:val="000000"/>
          <w:sz w:val="24"/>
          <w:szCs w:val="24"/>
        </w:rPr>
        <w:t xml:space="preserve"> млн. рублей, при этом размещение средств  ФНБ на указанные цели произведено в объеме 58 334,0 млн. рублей, что в 13,9 раза больше соответствующих бюджетных ассигнований.</w:t>
      </w:r>
    </w:p>
    <w:p w14:paraId="728157F3" w14:textId="77777777" w:rsidR="00721AA7" w:rsidRPr="00213A5D" w:rsidRDefault="00721AA7" w:rsidP="00AF1852">
      <w:pPr>
        <w:widowControl w:val="0"/>
        <w:overflowPunct/>
        <w:autoSpaceDE/>
        <w:autoSpaceDN/>
        <w:adjustRightInd/>
        <w:spacing w:line="324" w:lineRule="auto"/>
        <w:ind w:left="0" w:right="0"/>
        <w:textAlignment w:val="auto"/>
        <w:rPr>
          <w:rFonts w:eastAsia="Times New Roman"/>
          <w:bCs/>
          <w:color w:val="000000"/>
          <w:sz w:val="24"/>
          <w:szCs w:val="24"/>
        </w:rPr>
      </w:pPr>
      <w:r w:rsidRPr="00213A5D">
        <w:rPr>
          <w:rFonts w:eastAsia="Times New Roman"/>
          <w:bCs/>
          <w:color w:val="000000"/>
          <w:sz w:val="24"/>
          <w:szCs w:val="24"/>
        </w:rPr>
        <w:t xml:space="preserve">С учетом указанных изменений структура </w:t>
      </w:r>
      <w:r w:rsidRPr="00213A5D">
        <w:rPr>
          <w:rFonts w:eastAsia="Times New Roman"/>
          <w:b/>
          <w:bCs/>
          <w:color w:val="000000"/>
          <w:sz w:val="24"/>
          <w:szCs w:val="24"/>
        </w:rPr>
        <w:t>средств ФНБ, размещенных в разрешенные финансовые активы</w:t>
      </w:r>
      <w:r w:rsidRPr="00213A5D">
        <w:rPr>
          <w:rFonts w:eastAsia="Times New Roman"/>
          <w:bCs/>
          <w:color w:val="000000"/>
          <w:sz w:val="24"/>
          <w:szCs w:val="24"/>
        </w:rPr>
        <w:t xml:space="preserve"> (за исключением средств на счетах в Банке России), представлена на следующей диаграмме.</w:t>
      </w:r>
    </w:p>
    <w:p w14:paraId="6717FB83" w14:textId="77777777" w:rsidR="00721AA7" w:rsidRPr="00213A5D" w:rsidRDefault="00CD0E98" w:rsidP="00AF1852">
      <w:pPr>
        <w:widowControl w:val="0"/>
        <w:overflowPunct/>
        <w:autoSpaceDE/>
        <w:autoSpaceDN/>
        <w:adjustRightInd/>
        <w:ind w:left="0" w:right="0" w:firstLine="0"/>
        <w:jc w:val="center"/>
        <w:textAlignment w:val="auto"/>
        <w:rPr>
          <w:rFonts w:eastAsia="Times New Roman"/>
          <w:bCs/>
          <w:color w:val="000000"/>
          <w:sz w:val="24"/>
          <w:szCs w:val="24"/>
        </w:rPr>
      </w:pPr>
      <w:r>
        <w:rPr>
          <w:noProof/>
          <w:color w:val="000000"/>
        </w:rPr>
        <w:pict w14:anchorId="46E4B305">
          <v:shape id="_x0000_i1027" type="#_x0000_t75" alt="" style="width:317.2pt;height:231.6pt;visibility:visible;mso-width-percent:0;mso-height-percent:0;mso-width-percent:0;mso-height-percent:0">
            <v:imagedata r:id="rId85" o:title=""/>
          </v:shape>
        </w:pict>
      </w:r>
    </w:p>
    <w:p w14:paraId="1E18C2B5" w14:textId="77777777" w:rsidR="00721AA7" w:rsidRPr="00213A5D" w:rsidRDefault="00721AA7" w:rsidP="00F606CF">
      <w:pPr>
        <w:widowControl w:val="0"/>
        <w:overflowPunct/>
        <w:autoSpaceDE/>
        <w:autoSpaceDN/>
        <w:adjustRightInd/>
        <w:ind w:left="0" w:right="0" w:firstLine="720"/>
        <w:textAlignment w:val="auto"/>
        <w:rPr>
          <w:rFonts w:eastAsia="Times New Roman"/>
          <w:b/>
          <w:color w:val="000000"/>
          <w:sz w:val="24"/>
          <w:szCs w:val="24"/>
        </w:rPr>
      </w:pPr>
      <w:r w:rsidRPr="00213A5D">
        <w:rPr>
          <w:rFonts w:eastAsia="Times New Roman"/>
          <w:color w:val="000000"/>
          <w:sz w:val="24"/>
          <w:szCs w:val="24"/>
        </w:rPr>
        <w:t xml:space="preserve">В рамках реализации отдельных пунктов Плана первоочередных действий по обеспечению развития российской экономики </w:t>
      </w:r>
      <w:r w:rsidRPr="00213A5D">
        <w:rPr>
          <w:rFonts w:eastAsia="Times New Roman"/>
          <w:b/>
          <w:color w:val="000000"/>
          <w:sz w:val="24"/>
          <w:szCs w:val="24"/>
        </w:rPr>
        <w:t>в условиях внешнего санкционного давления средства ФНБ размещались в следующие финансовые активы:</w:t>
      </w:r>
    </w:p>
    <w:p w14:paraId="36F265BB" w14:textId="77777777" w:rsidR="00721AA7" w:rsidRPr="00213A5D" w:rsidRDefault="00721AA7" w:rsidP="00F606CF">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color w:val="000000"/>
          <w:sz w:val="24"/>
          <w:szCs w:val="24"/>
        </w:rPr>
        <w:t xml:space="preserve">в сумме 250 000,0 млн. рублей в привилегированные акции ОАО «РЖД» (100 % меры 7.3.3 </w:t>
      </w:r>
      <w:r w:rsidR="005A6AAD" w:rsidRPr="00213A5D">
        <w:rPr>
          <w:rFonts w:eastAsia="Times New Roman"/>
          <w:color w:val="000000"/>
          <w:sz w:val="24"/>
          <w:szCs w:val="24"/>
        </w:rPr>
        <w:t xml:space="preserve">указанного </w:t>
      </w:r>
      <w:r w:rsidRPr="00213A5D">
        <w:rPr>
          <w:rFonts w:eastAsia="Times New Roman"/>
          <w:color w:val="000000"/>
          <w:sz w:val="24"/>
          <w:szCs w:val="24"/>
        </w:rPr>
        <w:t>Плана);</w:t>
      </w:r>
    </w:p>
    <w:p w14:paraId="0C3597D2" w14:textId="77777777" w:rsidR="00721AA7" w:rsidRPr="00213A5D" w:rsidRDefault="00721AA7" w:rsidP="00F606CF">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color w:val="000000"/>
          <w:sz w:val="24"/>
          <w:szCs w:val="24"/>
        </w:rPr>
        <w:t xml:space="preserve">в сумме 52 506,0 млн. рублей в обыкновенные акции ПАО «Аэрофлот» (49,2 % меры </w:t>
      </w:r>
      <w:r w:rsidRPr="00213A5D">
        <w:rPr>
          <w:rFonts w:eastAsia="Times New Roman"/>
          <w:color w:val="000000"/>
          <w:sz w:val="24"/>
          <w:szCs w:val="24"/>
        </w:rPr>
        <w:lastRenderedPageBreak/>
        <w:t xml:space="preserve">7.3.8 </w:t>
      </w:r>
      <w:r w:rsidR="005A6AAD" w:rsidRPr="00213A5D">
        <w:rPr>
          <w:rFonts w:eastAsia="Times New Roman"/>
          <w:color w:val="000000"/>
          <w:sz w:val="24"/>
          <w:szCs w:val="24"/>
        </w:rPr>
        <w:t xml:space="preserve">указанного </w:t>
      </w:r>
      <w:r w:rsidRPr="00213A5D">
        <w:rPr>
          <w:rFonts w:eastAsia="Times New Roman"/>
          <w:color w:val="000000"/>
          <w:sz w:val="24"/>
          <w:szCs w:val="24"/>
        </w:rPr>
        <w:t>Плана);</w:t>
      </w:r>
    </w:p>
    <w:p w14:paraId="7F0E0171" w14:textId="77777777" w:rsidR="00721AA7" w:rsidRPr="00213A5D" w:rsidRDefault="00721AA7" w:rsidP="00F606CF">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color w:val="000000"/>
          <w:sz w:val="24"/>
          <w:szCs w:val="24"/>
        </w:rPr>
        <w:t>в сумме 14 150,8 млн. рублей в облигации АО «Авиакомпания «Сибирь» (11 851,9 млн. рублей) и в облигации ОАО АК «Уральские авиалинии» (2 298,9 млн. рублей) (24,</w:t>
      </w:r>
      <w:r w:rsidR="00266A8E" w:rsidRPr="00213A5D">
        <w:rPr>
          <w:rFonts w:eastAsia="Times New Roman"/>
          <w:color w:val="000000"/>
          <w:sz w:val="24"/>
          <w:szCs w:val="24"/>
        </w:rPr>
        <w:t>7</w:t>
      </w:r>
      <w:r w:rsidRPr="00213A5D">
        <w:rPr>
          <w:rFonts w:eastAsia="Times New Roman"/>
          <w:color w:val="000000"/>
          <w:sz w:val="24"/>
          <w:szCs w:val="24"/>
        </w:rPr>
        <w:t xml:space="preserve"> % меры 7.3.9 </w:t>
      </w:r>
      <w:r w:rsidR="005A6AAD" w:rsidRPr="00213A5D">
        <w:rPr>
          <w:rFonts w:eastAsia="Times New Roman"/>
          <w:color w:val="000000"/>
          <w:sz w:val="24"/>
          <w:szCs w:val="24"/>
        </w:rPr>
        <w:t xml:space="preserve">указанного </w:t>
      </w:r>
      <w:r w:rsidRPr="00213A5D">
        <w:rPr>
          <w:rFonts w:eastAsia="Times New Roman"/>
          <w:color w:val="000000"/>
          <w:sz w:val="24"/>
          <w:szCs w:val="24"/>
        </w:rPr>
        <w:t>Плана);</w:t>
      </w:r>
    </w:p>
    <w:p w14:paraId="575A480E" w14:textId="77777777" w:rsidR="00721AA7" w:rsidRPr="00213A5D" w:rsidRDefault="00721AA7" w:rsidP="00F606CF">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color w:val="000000"/>
          <w:sz w:val="24"/>
          <w:szCs w:val="24"/>
        </w:rPr>
        <w:t>в сумме 19 511,2 млн. рублей в облигации государственной корпорации - Фонда содействия реформированию жилищно-коммунального хозяйства (</w:t>
      </w:r>
      <w:r w:rsidR="00266A8E" w:rsidRPr="00213A5D">
        <w:rPr>
          <w:rFonts w:eastAsia="Times New Roman"/>
          <w:color w:val="000000"/>
          <w:sz w:val="24"/>
          <w:szCs w:val="24"/>
        </w:rPr>
        <w:t>мера</w:t>
      </w:r>
      <w:r w:rsidRPr="00213A5D">
        <w:rPr>
          <w:rFonts w:eastAsia="Times New Roman"/>
          <w:color w:val="000000"/>
          <w:sz w:val="24"/>
          <w:szCs w:val="24"/>
        </w:rPr>
        <w:t xml:space="preserve"> </w:t>
      </w:r>
      <w:r w:rsidR="00266A8E" w:rsidRPr="00213A5D">
        <w:rPr>
          <w:rFonts w:eastAsia="Times New Roman"/>
          <w:color w:val="000000"/>
          <w:sz w:val="24"/>
          <w:szCs w:val="24"/>
        </w:rPr>
        <w:t>7</w:t>
      </w:r>
      <w:r w:rsidRPr="00213A5D">
        <w:rPr>
          <w:rFonts w:eastAsia="Times New Roman"/>
          <w:color w:val="000000"/>
          <w:sz w:val="24"/>
          <w:szCs w:val="24"/>
        </w:rPr>
        <w:t>.</w:t>
      </w:r>
      <w:r w:rsidR="00266A8E" w:rsidRPr="00213A5D">
        <w:rPr>
          <w:rFonts w:eastAsia="Times New Roman"/>
          <w:color w:val="000000"/>
          <w:sz w:val="24"/>
          <w:szCs w:val="24"/>
        </w:rPr>
        <w:t>7</w:t>
      </w:r>
      <w:r w:rsidRPr="00213A5D">
        <w:rPr>
          <w:rFonts w:eastAsia="Times New Roman"/>
          <w:color w:val="000000"/>
          <w:sz w:val="24"/>
          <w:szCs w:val="24"/>
        </w:rPr>
        <w:t>.7</w:t>
      </w:r>
      <w:r w:rsidR="00266A8E" w:rsidRPr="00213A5D">
        <w:rPr>
          <w:rFonts w:eastAsia="Times New Roman"/>
          <w:color w:val="000000"/>
          <w:sz w:val="24"/>
          <w:szCs w:val="24"/>
        </w:rPr>
        <w:t>(5)</w:t>
      </w:r>
      <w:r w:rsidRPr="00213A5D">
        <w:rPr>
          <w:rFonts w:eastAsia="Times New Roman"/>
          <w:color w:val="000000"/>
          <w:sz w:val="24"/>
          <w:szCs w:val="24"/>
        </w:rPr>
        <w:t xml:space="preserve"> </w:t>
      </w:r>
      <w:r w:rsidR="005A6AAD" w:rsidRPr="00213A5D">
        <w:rPr>
          <w:rFonts w:eastAsia="Times New Roman"/>
          <w:color w:val="000000"/>
          <w:sz w:val="24"/>
          <w:szCs w:val="24"/>
        </w:rPr>
        <w:t xml:space="preserve">указанного </w:t>
      </w:r>
      <w:r w:rsidRPr="00213A5D">
        <w:rPr>
          <w:rFonts w:eastAsia="Times New Roman"/>
          <w:color w:val="000000"/>
          <w:sz w:val="24"/>
          <w:szCs w:val="24"/>
        </w:rPr>
        <w:t>Плана).</w:t>
      </w:r>
    </w:p>
    <w:p w14:paraId="3D8B329A" w14:textId="77777777" w:rsidR="00721AA7" w:rsidRPr="00213A5D" w:rsidRDefault="00721AA7" w:rsidP="00F606CF">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color w:val="000000"/>
          <w:sz w:val="24"/>
          <w:szCs w:val="24"/>
        </w:rPr>
        <w:t xml:space="preserve">Кроме того, </w:t>
      </w:r>
      <w:r w:rsidRPr="00213A5D">
        <w:rPr>
          <w:rFonts w:eastAsia="Times New Roman"/>
          <w:b/>
          <w:color w:val="000000"/>
          <w:sz w:val="24"/>
          <w:szCs w:val="24"/>
        </w:rPr>
        <w:t>принят ряд актов</w:t>
      </w:r>
      <w:r w:rsidRPr="00213A5D">
        <w:rPr>
          <w:rFonts w:eastAsia="Times New Roman"/>
          <w:color w:val="000000"/>
          <w:sz w:val="24"/>
          <w:szCs w:val="24"/>
        </w:rPr>
        <w:t xml:space="preserve"> Правительства Российской Федерации о размещении средств ФНБ в иные финансовые активы, но средства в отчетном периоде </w:t>
      </w:r>
      <w:r w:rsidRPr="00213A5D">
        <w:rPr>
          <w:rFonts w:eastAsia="Times New Roman"/>
          <w:b/>
          <w:color w:val="000000"/>
          <w:sz w:val="24"/>
          <w:szCs w:val="24"/>
        </w:rPr>
        <w:t>не направлены</w:t>
      </w:r>
      <w:r w:rsidRPr="00213A5D">
        <w:rPr>
          <w:rFonts w:eastAsia="Times New Roman"/>
          <w:color w:val="000000"/>
          <w:sz w:val="24"/>
          <w:szCs w:val="24"/>
        </w:rPr>
        <w:t xml:space="preserve"> (постановления Правительства Российск</w:t>
      </w:r>
      <w:r w:rsidR="00266A8E" w:rsidRPr="00213A5D">
        <w:rPr>
          <w:rFonts w:eastAsia="Times New Roman"/>
          <w:color w:val="000000"/>
          <w:sz w:val="24"/>
          <w:szCs w:val="24"/>
        </w:rPr>
        <w:t xml:space="preserve">ой Федерации 2 августа 2022 г. </w:t>
      </w:r>
      <w:r w:rsidRPr="00213A5D">
        <w:rPr>
          <w:rFonts w:eastAsia="Times New Roman"/>
          <w:color w:val="000000"/>
          <w:sz w:val="24"/>
          <w:szCs w:val="24"/>
        </w:rPr>
        <w:t>№ 1374, от</w:t>
      </w:r>
      <w:r w:rsidRPr="00213A5D">
        <w:rPr>
          <w:rFonts w:eastAsia="Times New Roman"/>
          <w:color w:val="000000"/>
          <w:sz w:val="24"/>
          <w:szCs w:val="24"/>
          <w:lang w:val="en-US"/>
        </w:rPr>
        <w:t> </w:t>
      </w:r>
      <w:r w:rsidRPr="00213A5D">
        <w:rPr>
          <w:rFonts w:eastAsia="Times New Roman"/>
          <w:color w:val="000000"/>
          <w:sz w:val="24"/>
          <w:szCs w:val="24"/>
        </w:rPr>
        <w:t>15 сентября 2022 г. № 1615, распоряжения Правительства Российской Федерации от</w:t>
      </w:r>
      <w:r w:rsidRPr="00213A5D">
        <w:rPr>
          <w:rFonts w:eastAsia="Times New Roman"/>
          <w:color w:val="000000"/>
          <w:sz w:val="24"/>
          <w:szCs w:val="24"/>
          <w:lang w:val="en-US"/>
        </w:rPr>
        <w:t> </w:t>
      </w:r>
      <w:r w:rsidRPr="00213A5D">
        <w:rPr>
          <w:rFonts w:eastAsia="Times New Roman"/>
          <w:color w:val="000000"/>
          <w:sz w:val="24"/>
          <w:szCs w:val="24"/>
        </w:rPr>
        <w:t>25 января 2022 г. № 82-р,  от 5 мая 2022 г. № 1106-р и от 18 августа 2022 г. № 2317-р и др.)</w:t>
      </w:r>
    </w:p>
    <w:p w14:paraId="20211EE8" w14:textId="77777777" w:rsidR="00721AA7" w:rsidRPr="00213A5D" w:rsidRDefault="00721AA7" w:rsidP="00F606CF">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color w:val="000000"/>
          <w:sz w:val="24"/>
          <w:szCs w:val="24"/>
        </w:rPr>
        <w:t>Информация о структуре финансовых активов, в которые размещены средства ФНБ, в отчетном периоде приведена в следующей таблице.</w:t>
      </w:r>
    </w:p>
    <w:p w14:paraId="31AB5F68" w14:textId="77777777" w:rsidR="00721AA7" w:rsidRPr="00213A5D" w:rsidRDefault="00721AA7" w:rsidP="00AF1852">
      <w:pPr>
        <w:widowControl w:val="0"/>
        <w:overflowPunct/>
        <w:autoSpaceDE/>
        <w:autoSpaceDN/>
        <w:adjustRightInd/>
        <w:spacing w:line="240" w:lineRule="auto"/>
        <w:ind w:left="0" w:right="-2" w:firstLine="0"/>
        <w:jc w:val="right"/>
        <w:textAlignment w:val="auto"/>
        <w:rPr>
          <w:rFonts w:eastAsia="Times New Roman"/>
          <w:color w:val="000000"/>
          <w:sz w:val="20"/>
          <w:szCs w:val="24"/>
        </w:rPr>
      </w:pPr>
      <w:r w:rsidRPr="00213A5D">
        <w:rPr>
          <w:rFonts w:eastAsia="Times New Roman"/>
          <w:color w:val="000000"/>
          <w:sz w:val="20"/>
          <w:szCs w:val="24"/>
        </w:rPr>
        <w:t>(млн.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8"/>
        <w:gridCol w:w="1793"/>
        <w:gridCol w:w="1892"/>
      </w:tblGrid>
      <w:tr w:rsidR="00721AA7" w:rsidRPr="00213A5D" w14:paraId="7B076A32" w14:textId="77777777" w:rsidTr="00721AA7">
        <w:trPr>
          <w:trHeight w:val="149"/>
          <w:tblHeader/>
        </w:trPr>
        <w:tc>
          <w:tcPr>
            <w:tcW w:w="3130" w:type="pct"/>
            <w:vAlign w:val="center"/>
            <w:hideMark/>
          </w:tcPr>
          <w:p w14:paraId="1677EA4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Показатель</w:t>
            </w:r>
          </w:p>
        </w:tc>
        <w:tc>
          <w:tcPr>
            <w:tcW w:w="910" w:type="pct"/>
            <w:hideMark/>
          </w:tcPr>
          <w:p w14:paraId="11647DC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На 01.01.2022</w:t>
            </w:r>
          </w:p>
        </w:tc>
        <w:tc>
          <w:tcPr>
            <w:tcW w:w="960" w:type="pct"/>
            <w:vAlign w:val="center"/>
            <w:hideMark/>
          </w:tcPr>
          <w:p w14:paraId="573A84D9"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На 01.10.2022</w:t>
            </w:r>
          </w:p>
        </w:tc>
      </w:tr>
      <w:tr w:rsidR="00721AA7" w:rsidRPr="00213A5D" w14:paraId="705A2AFB" w14:textId="77777777" w:rsidTr="00721AA7">
        <w:tc>
          <w:tcPr>
            <w:tcW w:w="3130" w:type="pct"/>
            <w:hideMark/>
          </w:tcPr>
          <w:p w14:paraId="6681F98C"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color w:val="000000"/>
                <w:sz w:val="24"/>
                <w:szCs w:val="24"/>
              </w:rPr>
              <w:t>Совокупный объем ФНБ</w:t>
            </w:r>
          </w:p>
        </w:tc>
        <w:tc>
          <w:tcPr>
            <w:tcW w:w="910" w:type="pct"/>
            <w:vAlign w:val="center"/>
            <w:hideMark/>
          </w:tcPr>
          <w:p w14:paraId="234F539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13 585 551,5</w:t>
            </w:r>
          </w:p>
        </w:tc>
        <w:tc>
          <w:tcPr>
            <w:tcW w:w="960" w:type="pct"/>
            <w:vAlign w:val="center"/>
            <w:hideMark/>
          </w:tcPr>
          <w:p w14:paraId="354698A1"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10 792 185,6</w:t>
            </w:r>
          </w:p>
        </w:tc>
      </w:tr>
      <w:tr w:rsidR="00721AA7" w:rsidRPr="00213A5D" w14:paraId="6F24BF1D" w14:textId="77777777" w:rsidTr="00721AA7">
        <w:tc>
          <w:tcPr>
            <w:tcW w:w="3130" w:type="pct"/>
            <w:vAlign w:val="center"/>
            <w:hideMark/>
          </w:tcPr>
          <w:p w14:paraId="4E2FDEDC"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i/>
                <w:color w:val="000000"/>
                <w:sz w:val="24"/>
                <w:szCs w:val="24"/>
                <w:shd w:val="clear" w:color="auto" w:fill="FFFFFF"/>
              </w:rPr>
              <w:t>% к ВВП*</w:t>
            </w:r>
          </w:p>
        </w:tc>
        <w:tc>
          <w:tcPr>
            <w:tcW w:w="910" w:type="pct"/>
            <w:vAlign w:val="center"/>
            <w:hideMark/>
          </w:tcPr>
          <w:p w14:paraId="1D858B8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10,2</w:t>
            </w:r>
          </w:p>
        </w:tc>
        <w:tc>
          <w:tcPr>
            <w:tcW w:w="960" w:type="pct"/>
            <w:vAlign w:val="center"/>
            <w:hideMark/>
          </w:tcPr>
          <w:p w14:paraId="2747235F"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8,1</w:t>
            </w:r>
          </w:p>
        </w:tc>
      </w:tr>
      <w:tr w:rsidR="00721AA7" w:rsidRPr="00213A5D" w14:paraId="08E232F1" w14:textId="77777777" w:rsidTr="00721AA7">
        <w:trPr>
          <w:trHeight w:val="102"/>
        </w:trPr>
        <w:tc>
          <w:tcPr>
            <w:tcW w:w="3130" w:type="pct"/>
            <w:tcBorders>
              <w:right w:val="nil"/>
            </w:tcBorders>
            <w:vAlign w:val="center"/>
            <w:hideMark/>
          </w:tcPr>
          <w:p w14:paraId="6FC49FF0"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i/>
                <w:color w:val="000000"/>
                <w:sz w:val="24"/>
                <w:szCs w:val="24"/>
                <w:shd w:val="clear" w:color="auto" w:fill="FFFFFF"/>
              </w:rPr>
              <w:t>в том числе:</w:t>
            </w:r>
          </w:p>
        </w:tc>
        <w:tc>
          <w:tcPr>
            <w:tcW w:w="910" w:type="pct"/>
            <w:tcBorders>
              <w:left w:val="nil"/>
              <w:right w:val="nil"/>
            </w:tcBorders>
            <w:vAlign w:val="center"/>
          </w:tcPr>
          <w:p w14:paraId="6538A34F"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p>
        </w:tc>
        <w:tc>
          <w:tcPr>
            <w:tcW w:w="960" w:type="pct"/>
            <w:tcBorders>
              <w:left w:val="nil"/>
            </w:tcBorders>
            <w:vAlign w:val="center"/>
          </w:tcPr>
          <w:p w14:paraId="48DE07E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p>
        </w:tc>
      </w:tr>
      <w:tr w:rsidR="00721AA7" w:rsidRPr="00213A5D" w14:paraId="5F318F6B" w14:textId="77777777" w:rsidTr="00721AA7">
        <w:trPr>
          <w:trHeight w:val="289"/>
        </w:trPr>
        <w:tc>
          <w:tcPr>
            <w:tcW w:w="3130" w:type="pct"/>
            <w:vAlign w:val="center"/>
            <w:hideMark/>
          </w:tcPr>
          <w:p w14:paraId="68C8EAFD"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i/>
                <w:color w:val="000000"/>
                <w:sz w:val="24"/>
                <w:szCs w:val="24"/>
                <w:shd w:val="clear" w:color="auto" w:fill="FFFFFF"/>
              </w:rPr>
            </w:pPr>
            <w:r w:rsidRPr="00213A5D">
              <w:rPr>
                <w:rFonts w:eastAsia="Times New Roman"/>
                <w:color w:val="000000"/>
                <w:sz w:val="24"/>
                <w:szCs w:val="24"/>
                <w:shd w:val="clear" w:color="auto" w:fill="FFFFFF"/>
              </w:rPr>
              <w:t>объем средств ФНБ на счетах в Банке России</w:t>
            </w:r>
          </w:p>
        </w:tc>
        <w:tc>
          <w:tcPr>
            <w:tcW w:w="910" w:type="pct"/>
            <w:vAlign w:val="center"/>
            <w:hideMark/>
          </w:tcPr>
          <w:p w14:paraId="7EEBE8E3"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8 452 767,2</w:t>
            </w:r>
          </w:p>
        </w:tc>
        <w:tc>
          <w:tcPr>
            <w:tcW w:w="960" w:type="pct"/>
            <w:vAlign w:val="center"/>
            <w:hideMark/>
          </w:tcPr>
          <w:p w14:paraId="3B524BC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7 524 361,3</w:t>
            </w:r>
          </w:p>
        </w:tc>
      </w:tr>
      <w:tr w:rsidR="00721AA7" w:rsidRPr="00213A5D" w14:paraId="61EA37CE" w14:textId="77777777" w:rsidTr="00721AA7">
        <w:tc>
          <w:tcPr>
            <w:tcW w:w="3130" w:type="pct"/>
            <w:vAlign w:val="center"/>
            <w:hideMark/>
          </w:tcPr>
          <w:p w14:paraId="0B57E752"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i/>
                <w:color w:val="000000"/>
                <w:sz w:val="24"/>
                <w:szCs w:val="24"/>
                <w:shd w:val="clear" w:color="auto" w:fill="FFFFFF"/>
              </w:rPr>
              <w:t>% к ВВП*</w:t>
            </w:r>
          </w:p>
        </w:tc>
        <w:tc>
          <w:tcPr>
            <w:tcW w:w="910" w:type="pct"/>
            <w:vAlign w:val="center"/>
            <w:hideMark/>
          </w:tcPr>
          <w:p w14:paraId="4651FA66"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6,3</w:t>
            </w:r>
          </w:p>
        </w:tc>
        <w:tc>
          <w:tcPr>
            <w:tcW w:w="960" w:type="pct"/>
            <w:vAlign w:val="center"/>
            <w:hideMark/>
          </w:tcPr>
          <w:p w14:paraId="51FFEB14"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5,6</w:t>
            </w:r>
          </w:p>
        </w:tc>
      </w:tr>
      <w:tr w:rsidR="00721AA7" w:rsidRPr="00213A5D" w14:paraId="4B7E7C23" w14:textId="77777777" w:rsidTr="00721AA7">
        <w:tc>
          <w:tcPr>
            <w:tcW w:w="3130" w:type="pct"/>
            <w:vAlign w:val="center"/>
            <w:hideMark/>
          </w:tcPr>
          <w:p w14:paraId="716BB5FF"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color w:val="000000"/>
                <w:sz w:val="24"/>
                <w:szCs w:val="24"/>
                <w:shd w:val="clear" w:color="auto" w:fill="FFFFFF"/>
              </w:rPr>
              <w:t>объем средств ФНБ в иных финансовых активах</w:t>
            </w:r>
          </w:p>
        </w:tc>
        <w:tc>
          <w:tcPr>
            <w:tcW w:w="910" w:type="pct"/>
            <w:vAlign w:val="center"/>
            <w:hideMark/>
          </w:tcPr>
          <w:p w14:paraId="4C31E183"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5 132 784,3</w:t>
            </w:r>
          </w:p>
        </w:tc>
        <w:tc>
          <w:tcPr>
            <w:tcW w:w="960" w:type="pct"/>
            <w:vAlign w:val="center"/>
            <w:hideMark/>
          </w:tcPr>
          <w:p w14:paraId="30A52B6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4"/>
                <w:szCs w:val="24"/>
              </w:rPr>
            </w:pPr>
            <w:r w:rsidRPr="00213A5D">
              <w:rPr>
                <w:rFonts w:eastAsia="Times New Roman"/>
                <w:color w:val="000000"/>
                <w:sz w:val="24"/>
                <w:szCs w:val="24"/>
              </w:rPr>
              <w:t>3 267 824,3</w:t>
            </w:r>
          </w:p>
        </w:tc>
      </w:tr>
      <w:tr w:rsidR="00721AA7" w:rsidRPr="00213A5D" w14:paraId="4F04811F" w14:textId="77777777" w:rsidTr="00721AA7">
        <w:tc>
          <w:tcPr>
            <w:tcW w:w="3130" w:type="pct"/>
            <w:vAlign w:val="center"/>
            <w:hideMark/>
          </w:tcPr>
          <w:p w14:paraId="4E6D1844"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color w:val="000000"/>
                <w:sz w:val="24"/>
                <w:szCs w:val="24"/>
              </w:rPr>
            </w:pPr>
            <w:r w:rsidRPr="00213A5D">
              <w:rPr>
                <w:rFonts w:eastAsia="Times New Roman"/>
                <w:i/>
                <w:color w:val="000000"/>
                <w:sz w:val="24"/>
                <w:szCs w:val="24"/>
                <w:shd w:val="clear" w:color="auto" w:fill="FFFFFF"/>
              </w:rPr>
              <w:t>% к ВВП*</w:t>
            </w:r>
          </w:p>
        </w:tc>
        <w:tc>
          <w:tcPr>
            <w:tcW w:w="910" w:type="pct"/>
            <w:vAlign w:val="center"/>
            <w:hideMark/>
          </w:tcPr>
          <w:p w14:paraId="4A48C27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3,8</w:t>
            </w:r>
          </w:p>
        </w:tc>
        <w:tc>
          <w:tcPr>
            <w:tcW w:w="960" w:type="pct"/>
            <w:vAlign w:val="center"/>
            <w:hideMark/>
          </w:tcPr>
          <w:p w14:paraId="6459404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i/>
                <w:color w:val="000000"/>
                <w:sz w:val="24"/>
                <w:szCs w:val="24"/>
              </w:rPr>
            </w:pPr>
            <w:r w:rsidRPr="00213A5D">
              <w:rPr>
                <w:rFonts w:eastAsia="Times New Roman"/>
                <w:i/>
                <w:color w:val="000000"/>
                <w:sz w:val="24"/>
                <w:szCs w:val="24"/>
              </w:rPr>
              <w:t>2,5</w:t>
            </w:r>
          </w:p>
        </w:tc>
      </w:tr>
    </w:tbl>
    <w:p w14:paraId="7ADA501C" w14:textId="77777777" w:rsidR="00721AA7" w:rsidRPr="00213A5D" w:rsidRDefault="00721AA7" w:rsidP="00AF1852">
      <w:pPr>
        <w:widowControl w:val="0"/>
        <w:overflowPunct/>
        <w:autoSpaceDE/>
        <w:autoSpaceDN/>
        <w:adjustRightInd/>
        <w:spacing w:after="200" w:line="240" w:lineRule="auto"/>
        <w:ind w:left="0" w:right="0" w:firstLine="0"/>
        <w:textAlignment w:val="auto"/>
        <w:rPr>
          <w:rFonts w:eastAsia="Times New Roman"/>
          <w:color w:val="000000"/>
          <w:sz w:val="20"/>
          <w:szCs w:val="20"/>
          <w:vertAlign w:val="superscript"/>
        </w:rPr>
      </w:pPr>
      <w:r w:rsidRPr="00213A5D">
        <w:rPr>
          <w:rFonts w:eastAsia="Times New Roman"/>
          <w:color w:val="000000"/>
          <w:sz w:val="20"/>
          <w:szCs w:val="20"/>
          <w:vertAlign w:val="superscript"/>
        </w:rPr>
        <w:t xml:space="preserve">* </w:t>
      </w:r>
      <w:r w:rsidRPr="00213A5D">
        <w:rPr>
          <w:rFonts w:eastAsia="Times New Roman"/>
          <w:color w:val="000000"/>
          <w:sz w:val="20"/>
          <w:szCs w:val="20"/>
        </w:rPr>
        <w:t>Для расчета применен прогнозируемый объем ВВП (133 328 млрд. рублей), утвержденный на 2022 год Федеральным законом от 6 декабря 2021 г. № 390-ФЗ.</w:t>
      </w:r>
    </w:p>
    <w:p w14:paraId="244037D0" w14:textId="77777777" w:rsidR="00721AA7" w:rsidRPr="00213A5D" w:rsidRDefault="00721AA7" w:rsidP="00F606CF">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color w:val="000000"/>
          <w:sz w:val="24"/>
          <w:szCs w:val="24"/>
        </w:rPr>
        <w:t xml:space="preserve">По состоянию на 1 октября 2022 года </w:t>
      </w:r>
      <w:r w:rsidRPr="00213A5D">
        <w:rPr>
          <w:rFonts w:eastAsia="Times New Roman"/>
          <w:b/>
          <w:color w:val="000000"/>
          <w:sz w:val="24"/>
          <w:szCs w:val="24"/>
        </w:rPr>
        <w:t>объем ликвидных активов</w:t>
      </w:r>
      <w:r w:rsidRPr="00213A5D">
        <w:rPr>
          <w:rFonts w:eastAsia="Times New Roman"/>
          <w:color w:val="000000"/>
          <w:sz w:val="24"/>
          <w:szCs w:val="24"/>
        </w:rPr>
        <w:t xml:space="preserve"> (средств ФНБ, размещенных на счетах в Банке России) </w:t>
      </w:r>
      <w:r w:rsidRPr="00213A5D">
        <w:rPr>
          <w:rFonts w:eastAsia="Times New Roman"/>
          <w:b/>
          <w:color w:val="000000"/>
          <w:sz w:val="24"/>
          <w:szCs w:val="24"/>
        </w:rPr>
        <w:t>уменьшился</w:t>
      </w:r>
      <w:r w:rsidRPr="00213A5D">
        <w:rPr>
          <w:rFonts w:eastAsia="Times New Roman"/>
          <w:color w:val="000000"/>
          <w:sz w:val="24"/>
          <w:szCs w:val="24"/>
        </w:rPr>
        <w:t xml:space="preserve"> по сравнению с началом годом на </w:t>
      </w:r>
      <w:r w:rsidRPr="00213A5D">
        <w:rPr>
          <w:rFonts w:eastAsia="Times New Roman"/>
          <w:b/>
          <w:color w:val="000000"/>
          <w:sz w:val="24"/>
          <w:szCs w:val="24"/>
        </w:rPr>
        <w:t>928 405,9 млн. рублей, или на 11 %,</w:t>
      </w:r>
      <w:r w:rsidRPr="00213A5D">
        <w:rPr>
          <w:rFonts w:eastAsia="Times New Roman"/>
          <w:color w:val="000000"/>
          <w:sz w:val="24"/>
          <w:szCs w:val="24"/>
        </w:rPr>
        <w:t xml:space="preserve"> а </w:t>
      </w:r>
      <w:r w:rsidRPr="00213A5D">
        <w:rPr>
          <w:rFonts w:eastAsia="Times New Roman"/>
          <w:b/>
          <w:color w:val="000000"/>
          <w:sz w:val="24"/>
          <w:szCs w:val="24"/>
        </w:rPr>
        <w:t xml:space="preserve">доля </w:t>
      </w:r>
      <w:r w:rsidRPr="00213A5D">
        <w:rPr>
          <w:rFonts w:eastAsia="Times New Roman"/>
          <w:color w:val="000000"/>
          <w:sz w:val="24"/>
          <w:szCs w:val="24"/>
        </w:rPr>
        <w:t xml:space="preserve">указанных средств в совокупном объеме ФНБ </w:t>
      </w:r>
      <w:r w:rsidRPr="00213A5D">
        <w:rPr>
          <w:rFonts w:eastAsia="Times New Roman"/>
          <w:b/>
          <w:color w:val="000000"/>
          <w:sz w:val="24"/>
          <w:szCs w:val="24"/>
        </w:rPr>
        <w:t>увеличилась с 62,2 % до 69,7 %.</w:t>
      </w:r>
      <w:r w:rsidRPr="00213A5D">
        <w:rPr>
          <w:rFonts w:eastAsia="Times New Roman"/>
          <w:color w:val="000000"/>
          <w:sz w:val="24"/>
          <w:szCs w:val="24"/>
        </w:rPr>
        <w:t xml:space="preserve"> При этом </w:t>
      </w:r>
      <w:r w:rsidRPr="00213A5D">
        <w:rPr>
          <w:rFonts w:eastAsia="Times New Roman"/>
          <w:b/>
          <w:color w:val="000000"/>
          <w:sz w:val="24"/>
          <w:szCs w:val="24"/>
        </w:rPr>
        <w:t>объем средств ФНБ, размещенных в иные финансовые активы,</w:t>
      </w:r>
      <w:r w:rsidRPr="00213A5D">
        <w:rPr>
          <w:rFonts w:eastAsia="Times New Roman"/>
          <w:color w:val="000000"/>
          <w:sz w:val="24"/>
          <w:szCs w:val="24"/>
        </w:rPr>
        <w:t xml:space="preserve"> </w:t>
      </w:r>
      <w:r w:rsidRPr="00213A5D">
        <w:rPr>
          <w:rFonts w:eastAsia="Times New Roman"/>
          <w:b/>
          <w:color w:val="000000"/>
          <w:sz w:val="24"/>
          <w:szCs w:val="24"/>
        </w:rPr>
        <w:t>уменьшился</w:t>
      </w:r>
      <w:r w:rsidRPr="00213A5D">
        <w:rPr>
          <w:rFonts w:eastAsia="Times New Roman"/>
          <w:color w:val="000000"/>
          <w:sz w:val="24"/>
          <w:szCs w:val="24"/>
        </w:rPr>
        <w:t xml:space="preserve"> в отчетном периоде на 1 864 960,0 млн. рублей, или на</w:t>
      </w:r>
      <w:r w:rsidRPr="00213A5D">
        <w:rPr>
          <w:rFonts w:eastAsia="Times New Roman"/>
          <w:color w:val="000000"/>
          <w:sz w:val="24"/>
          <w:szCs w:val="24"/>
          <w:lang w:val="en-US"/>
        </w:rPr>
        <w:t> </w:t>
      </w:r>
      <w:r w:rsidRPr="00213A5D">
        <w:rPr>
          <w:rFonts w:eastAsia="Times New Roman"/>
          <w:color w:val="000000"/>
          <w:sz w:val="24"/>
          <w:szCs w:val="24"/>
        </w:rPr>
        <w:t xml:space="preserve">36,3 %, а </w:t>
      </w:r>
      <w:r w:rsidRPr="00213A5D">
        <w:rPr>
          <w:rFonts w:eastAsia="Times New Roman"/>
          <w:b/>
          <w:color w:val="000000"/>
          <w:sz w:val="24"/>
          <w:szCs w:val="24"/>
        </w:rPr>
        <w:t>доля</w:t>
      </w:r>
      <w:r w:rsidRPr="00213A5D">
        <w:rPr>
          <w:rFonts w:eastAsia="Times New Roman"/>
          <w:color w:val="000000"/>
          <w:sz w:val="24"/>
          <w:szCs w:val="24"/>
        </w:rPr>
        <w:t xml:space="preserve"> указанных средств в совокупном объеме ФНБ </w:t>
      </w:r>
      <w:r w:rsidRPr="00213A5D">
        <w:rPr>
          <w:rFonts w:eastAsia="Times New Roman"/>
          <w:b/>
          <w:color w:val="000000"/>
          <w:sz w:val="24"/>
          <w:szCs w:val="24"/>
        </w:rPr>
        <w:t>снизилась с 37,8</w:t>
      </w:r>
      <w:r w:rsidRPr="00213A5D">
        <w:rPr>
          <w:rFonts w:eastAsia="Times New Roman"/>
          <w:b/>
          <w:color w:val="000000"/>
          <w:sz w:val="24"/>
          <w:szCs w:val="24"/>
          <w:lang w:val="en-US"/>
        </w:rPr>
        <w:t> </w:t>
      </w:r>
      <w:r w:rsidRPr="00213A5D">
        <w:rPr>
          <w:rFonts w:eastAsia="Times New Roman"/>
          <w:b/>
          <w:color w:val="000000"/>
          <w:sz w:val="24"/>
          <w:szCs w:val="24"/>
        </w:rPr>
        <w:t>% до</w:t>
      </w:r>
      <w:r w:rsidRPr="00213A5D">
        <w:rPr>
          <w:rFonts w:eastAsia="Times New Roman"/>
          <w:b/>
          <w:color w:val="000000"/>
          <w:sz w:val="24"/>
          <w:szCs w:val="24"/>
          <w:lang w:val="en-US"/>
        </w:rPr>
        <w:t> </w:t>
      </w:r>
      <w:r w:rsidRPr="00213A5D">
        <w:rPr>
          <w:rFonts w:eastAsia="Times New Roman"/>
          <w:b/>
          <w:color w:val="000000"/>
          <w:sz w:val="24"/>
          <w:szCs w:val="24"/>
        </w:rPr>
        <w:t>30,3</w:t>
      </w:r>
      <w:r w:rsidRPr="00213A5D">
        <w:rPr>
          <w:rFonts w:eastAsia="Times New Roman"/>
          <w:b/>
          <w:color w:val="000000"/>
          <w:sz w:val="24"/>
          <w:szCs w:val="24"/>
          <w:lang w:val="en-US"/>
        </w:rPr>
        <w:t> </w:t>
      </w:r>
      <w:r w:rsidRPr="00213A5D">
        <w:rPr>
          <w:rFonts w:eastAsia="Times New Roman"/>
          <w:b/>
          <w:color w:val="000000"/>
          <w:sz w:val="24"/>
          <w:szCs w:val="24"/>
        </w:rPr>
        <w:t>%</w:t>
      </w:r>
      <w:r w:rsidRPr="00213A5D">
        <w:rPr>
          <w:rFonts w:eastAsia="Times New Roman"/>
          <w:color w:val="000000"/>
          <w:sz w:val="24"/>
          <w:szCs w:val="24"/>
        </w:rPr>
        <w:t>.</w:t>
      </w:r>
    </w:p>
    <w:p w14:paraId="4EA9E0EE" w14:textId="77777777" w:rsidR="00721AA7" w:rsidRPr="00213A5D" w:rsidRDefault="00721AA7" w:rsidP="00F606CF">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b/>
          <w:color w:val="000000"/>
          <w:sz w:val="24"/>
          <w:szCs w:val="24"/>
        </w:rPr>
        <w:t>Сумма доходов</w:t>
      </w:r>
      <w:r w:rsidRPr="00213A5D">
        <w:rPr>
          <w:rFonts w:eastAsia="Times New Roman"/>
          <w:color w:val="000000"/>
          <w:sz w:val="24"/>
          <w:szCs w:val="24"/>
        </w:rPr>
        <w:t xml:space="preserve"> от управления средствами ФНБ, зачисленных в федеральный </w:t>
      </w:r>
      <w:r w:rsidR="00F606CF" w:rsidRPr="00213A5D">
        <w:rPr>
          <w:rFonts w:eastAsia="Times New Roman"/>
          <w:color w:val="000000"/>
          <w:sz w:val="24"/>
          <w:szCs w:val="24"/>
        </w:rPr>
        <w:br/>
      </w:r>
      <w:r w:rsidRPr="00213A5D">
        <w:rPr>
          <w:rFonts w:eastAsia="Times New Roman"/>
          <w:color w:val="000000"/>
          <w:sz w:val="24"/>
          <w:szCs w:val="24"/>
        </w:rPr>
        <w:t xml:space="preserve">бюджет в отчетном периоде, составила 34 307,2 млн. рублей, или 9,9 % </w:t>
      </w:r>
      <w:r w:rsidR="00F606CF" w:rsidRPr="00213A5D">
        <w:rPr>
          <w:rFonts w:eastAsia="Times New Roman"/>
          <w:color w:val="000000"/>
          <w:sz w:val="24"/>
          <w:szCs w:val="24"/>
        </w:rPr>
        <w:br/>
      </w:r>
      <w:r w:rsidRPr="00213A5D">
        <w:rPr>
          <w:rFonts w:eastAsia="Times New Roman"/>
          <w:color w:val="000000"/>
          <w:sz w:val="24"/>
          <w:szCs w:val="24"/>
        </w:rPr>
        <w:t xml:space="preserve">прогноза поступлений указанных доходов в федеральный бюджет в 2022 году </w:t>
      </w:r>
      <w:r w:rsidR="00F606CF" w:rsidRPr="00213A5D">
        <w:rPr>
          <w:rFonts w:eastAsia="Times New Roman"/>
          <w:color w:val="000000"/>
          <w:sz w:val="24"/>
          <w:szCs w:val="24"/>
        </w:rPr>
        <w:br/>
      </w:r>
      <w:r w:rsidRPr="00213A5D">
        <w:rPr>
          <w:rFonts w:eastAsia="Times New Roman"/>
          <w:color w:val="000000"/>
          <w:sz w:val="24"/>
          <w:szCs w:val="24"/>
        </w:rPr>
        <w:t>(348 075,4 млн. рублей).</w:t>
      </w:r>
    </w:p>
    <w:p w14:paraId="6626F768" w14:textId="77777777" w:rsidR="00721AA7" w:rsidRPr="00213A5D" w:rsidRDefault="00721AA7" w:rsidP="00F606CF">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
          <w:bCs/>
          <w:color w:val="000000"/>
          <w:sz w:val="24"/>
          <w:szCs w:val="24"/>
        </w:rPr>
        <w:t>11.15.</w:t>
      </w:r>
      <w:r w:rsidRPr="00213A5D">
        <w:rPr>
          <w:rFonts w:eastAsia="Times New Roman"/>
          <w:bCs/>
          <w:color w:val="000000"/>
          <w:sz w:val="24"/>
          <w:szCs w:val="24"/>
        </w:rPr>
        <w:t> </w:t>
      </w:r>
      <w:r w:rsidRPr="00213A5D">
        <w:rPr>
          <w:rFonts w:eastAsia="Times New Roman"/>
          <w:bCs/>
          <w:iCs/>
          <w:color w:val="000000"/>
          <w:sz w:val="24"/>
          <w:szCs w:val="24"/>
        </w:rPr>
        <w:t>Сведения об изменении объема государственного долга Российской Федерации в 2020 – 2022 годах представлены</w:t>
      </w:r>
      <w:r w:rsidRPr="00213A5D">
        <w:rPr>
          <w:rFonts w:eastAsia="Times New Roman"/>
          <w:bCs/>
          <w:color w:val="000000"/>
          <w:sz w:val="24"/>
          <w:szCs w:val="24"/>
        </w:rPr>
        <w:t xml:space="preserve"> на следующей диаграмме.</w:t>
      </w:r>
    </w:p>
    <w:p w14:paraId="7FEE2EAA" w14:textId="77777777" w:rsidR="00721AA7" w:rsidRPr="00213A5D" w:rsidRDefault="00CD0E98" w:rsidP="00AF1852">
      <w:pPr>
        <w:widowControl w:val="0"/>
        <w:overflowPunct/>
        <w:autoSpaceDE/>
        <w:autoSpaceDN/>
        <w:adjustRightInd/>
        <w:ind w:left="0" w:right="0" w:firstLine="0"/>
        <w:jc w:val="center"/>
        <w:textAlignment w:val="auto"/>
        <w:rPr>
          <w:rFonts w:eastAsia="Times New Roman"/>
          <w:color w:val="000000"/>
          <w:sz w:val="24"/>
          <w:szCs w:val="24"/>
        </w:rPr>
      </w:pPr>
      <w:r w:rsidRPr="00213A5D">
        <w:rPr>
          <w:noProof/>
          <w:color w:val="000000"/>
        </w:rPr>
        <w:object w:dxaOrig="9457" w:dyaOrig="2439" w14:anchorId="03CBCFF7">
          <v:shape id="_x0000_i1026" type="#_x0000_t75" alt="" style="width:472.1pt;height:122.25pt;visibility:visible;mso-width-percent:0;mso-height-percent:0;mso-width-percent:0;mso-height-percent:0" o:ole="">
            <v:imagedata r:id="rId86" o:title=""/>
            <o:lock v:ext="edit" aspectratio="f"/>
          </v:shape>
          <o:OLEObject Type="Embed" ProgID="Excel.Sheet.8" ShapeID="_x0000_i1026" DrawAspect="Content" ObjectID="_1731305720" r:id="rId87">
            <o:FieldCodes>\s</o:FieldCodes>
          </o:OLEObject>
        </w:object>
      </w:r>
    </w:p>
    <w:p w14:paraId="6F812073" w14:textId="77777777" w:rsidR="00721AA7" w:rsidRPr="00213A5D" w:rsidRDefault="00721AA7" w:rsidP="00AF1852">
      <w:pPr>
        <w:widowControl w:val="0"/>
        <w:overflowPunct/>
        <w:autoSpaceDE/>
        <w:adjustRightInd/>
        <w:spacing w:line="264" w:lineRule="auto"/>
        <w:ind w:left="0" w:right="0" w:firstLine="0"/>
        <w:rPr>
          <w:rFonts w:eastAsia="Times New Roman"/>
          <w:sz w:val="12"/>
          <w:szCs w:val="12"/>
          <w:lang w:eastAsia="en-US"/>
        </w:rPr>
      </w:pPr>
    </w:p>
    <w:p w14:paraId="47C6BCCF" w14:textId="77777777" w:rsidR="00721AA7" w:rsidRPr="00213A5D" w:rsidRDefault="00721AA7" w:rsidP="00AF1852">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Cs/>
          <w:color w:val="000000"/>
          <w:sz w:val="24"/>
          <w:szCs w:val="24"/>
        </w:rPr>
        <w:t xml:space="preserve">За январь – сентябрь 2022 года </w:t>
      </w:r>
      <w:r w:rsidRPr="00213A5D">
        <w:rPr>
          <w:rFonts w:eastAsia="Times New Roman"/>
          <w:b/>
          <w:bCs/>
          <w:color w:val="000000"/>
          <w:sz w:val="24"/>
          <w:szCs w:val="24"/>
        </w:rPr>
        <w:t>государственный долг</w:t>
      </w:r>
      <w:r w:rsidRPr="00213A5D">
        <w:rPr>
          <w:rFonts w:eastAsia="Times New Roman"/>
          <w:bCs/>
          <w:color w:val="000000"/>
          <w:sz w:val="24"/>
          <w:szCs w:val="24"/>
        </w:rPr>
        <w:t xml:space="preserve"> Российской Федерации </w:t>
      </w:r>
      <w:r w:rsidRPr="00213A5D">
        <w:rPr>
          <w:rFonts w:eastAsia="Times New Roman"/>
          <w:b/>
          <w:bCs/>
          <w:color w:val="000000"/>
          <w:sz w:val="24"/>
          <w:szCs w:val="24"/>
        </w:rPr>
        <w:t>уменьшился</w:t>
      </w:r>
      <w:r w:rsidRPr="00213A5D">
        <w:rPr>
          <w:rFonts w:eastAsia="Times New Roman"/>
          <w:bCs/>
          <w:color w:val="000000"/>
          <w:sz w:val="24"/>
          <w:szCs w:val="24"/>
        </w:rPr>
        <w:t xml:space="preserve"> на 1 443 930,7 млн. рублей, или на 6,9 %, и по состоянию на 1 октября 2022 года составил 14,6 % прогнозируемого объема ВВП.</w:t>
      </w:r>
    </w:p>
    <w:p w14:paraId="2E4633BB" w14:textId="77777777" w:rsidR="00721AA7" w:rsidRPr="00213A5D" w:rsidRDefault="00721AA7" w:rsidP="00AF1852">
      <w:pPr>
        <w:widowControl w:val="0"/>
        <w:ind w:left="0" w:right="0" w:firstLine="720"/>
        <w:textAlignment w:val="auto"/>
        <w:rPr>
          <w:rFonts w:eastAsia="Times New Roman"/>
          <w:color w:val="000000"/>
          <w:sz w:val="24"/>
          <w:szCs w:val="24"/>
        </w:rPr>
      </w:pPr>
      <w:r w:rsidRPr="00213A5D">
        <w:rPr>
          <w:rFonts w:eastAsia="Times New Roman"/>
          <w:color w:val="000000"/>
          <w:sz w:val="24"/>
          <w:szCs w:val="24"/>
        </w:rPr>
        <w:t xml:space="preserve">Объем государственного </w:t>
      </w:r>
      <w:r w:rsidRPr="00213A5D">
        <w:rPr>
          <w:rFonts w:eastAsia="Times New Roman"/>
          <w:b/>
          <w:color w:val="000000"/>
          <w:sz w:val="24"/>
          <w:szCs w:val="24"/>
        </w:rPr>
        <w:t>внутреннего долга</w:t>
      </w:r>
      <w:r w:rsidRPr="00213A5D">
        <w:rPr>
          <w:rFonts w:eastAsia="Times New Roman"/>
          <w:color w:val="000000"/>
          <w:sz w:val="24"/>
          <w:szCs w:val="24"/>
        </w:rPr>
        <w:t xml:space="preserve"> Российской Федерации </w:t>
      </w:r>
      <w:r w:rsidRPr="00213A5D">
        <w:rPr>
          <w:rFonts w:eastAsia="Times New Roman"/>
          <w:b/>
          <w:color w:val="000000"/>
          <w:sz w:val="24"/>
          <w:szCs w:val="24"/>
        </w:rPr>
        <w:t>уменьшился</w:t>
      </w:r>
      <w:r w:rsidRPr="00213A5D">
        <w:rPr>
          <w:rFonts w:eastAsia="Times New Roman"/>
          <w:color w:val="000000"/>
          <w:sz w:val="24"/>
          <w:szCs w:val="24"/>
        </w:rPr>
        <w:t xml:space="preserve"> </w:t>
      </w:r>
      <w:r w:rsidRPr="00213A5D">
        <w:rPr>
          <w:rFonts w:eastAsia="Times New Roman"/>
          <w:color w:val="000000"/>
          <w:sz w:val="24"/>
          <w:szCs w:val="24"/>
        </w:rPr>
        <w:br/>
        <w:t xml:space="preserve">на 257 611,6 млн. рублей, или на 1,6 %, и составил 16 228 831,6 млн. рублей, или 78 % верхнего предела государственного внутреннего долга Российской Федерации (20 814 969,7 млн. рублей). Его </w:t>
      </w:r>
      <w:r w:rsidRPr="00213A5D">
        <w:rPr>
          <w:rFonts w:eastAsia="Times New Roman"/>
          <w:b/>
          <w:color w:val="000000"/>
          <w:sz w:val="24"/>
          <w:szCs w:val="24"/>
        </w:rPr>
        <w:t>доля</w:t>
      </w:r>
      <w:r w:rsidRPr="00213A5D">
        <w:rPr>
          <w:rFonts w:eastAsia="Times New Roman"/>
          <w:color w:val="000000"/>
          <w:sz w:val="24"/>
          <w:szCs w:val="24"/>
        </w:rPr>
        <w:t xml:space="preserve"> в общем объеме государственного долга Российской Федерации </w:t>
      </w:r>
      <w:r w:rsidRPr="00213A5D">
        <w:rPr>
          <w:rFonts w:eastAsia="Times New Roman"/>
          <w:b/>
          <w:color w:val="000000"/>
          <w:sz w:val="24"/>
          <w:szCs w:val="24"/>
        </w:rPr>
        <w:t>увеличилась</w:t>
      </w:r>
      <w:r w:rsidRPr="00213A5D">
        <w:rPr>
          <w:rFonts w:eastAsia="Times New Roman"/>
          <w:color w:val="000000"/>
          <w:sz w:val="24"/>
          <w:szCs w:val="24"/>
        </w:rPr>
        <w:t xml:space="preserve"> с 78,8 % до 83,3 %.</w:t>
      </w:r>
    </w:p>
    <w:p w14:paraId="563B614D" w14:textId="77777777" w:rsidR="00721AA7" w:rsidRPr="00213A5D" w:rsidRDefault="00721AA7" w:rsidP="00AF1852">
      <w:pPr>
        <w:widowControl w:val="0"/>
        <w:ind w:left="0" w:right="0" w:firstLine="720"/>
        <w:textAlignment w:val="auto"/>
        <w:rPr>
          <w:rFonts w:eastAsia="Times New Roman"/>
          <w:color w:val="000000"/>
          <w:sz w:val="24"/>
          <w:szCs w:val="24"/>
        </w:rPr>
      </w:pPr>
      <w:r w:rsidRPr="00213A5D">
        <w:rPr>
          <w:rFonts w:eastAsia="Times New Roman"/>
          <w:color w:val="000000"/>
          <w:sz w:val="24"/>
          <w:szCs w:val="24"/>
        </w:rPr>
        <w:t xml:space="preserve">Государственный </w:t>
      </w:r>
      <w:r w:rsidRPr="00213A5D">
        <w:rPr>
          <w:rFonts w:eastAsia="Times New Roman"/>
          <w:b/>
          <w:color w:val="000000"/>
          <w:sz w:val="24"/>
          <w:szCs w:val="24"/>
        </w:rPr>
        <w:t>внешний долг</w:t>
      </w:r>
      <w:r w:rsidRPr="00213A5D">
        <w:rPr>
          <w:rFonts w:eastAsia="Times New Roman"/>
          <w:color w:val="000000"/>
          <w:sz w:val="24"/>
          <w:szCs w:val="24"/>
        </w:rPr>
        <w:t xml:space="preserve"> Российской Федерации по состоянию на 1 октября 2022 года составил 56 591,7 млн. долларов США (80 % верхнего предела государственного внешнего долга Российской Федерации в размере 70,7 млрд. долларов США) и </w:t>
      </w:r>
      <w:r w:rsidRPr="00213A5D">
        <w:rPr>
          <w:rFonts w:eastAsia="Times New Roman"/>
          <w:b/>
          <w:color w:val="000000"/>
          <w:sz w:val="24"/>
          <w:szCs w:val="24"/>
        </w:rPr>
        <w:t>уменьшился</w:t>
      </w:r>
      <w:r w:rsidRPr="00213A5D">
        <w:rPr>
          <w:rFonts w:eastAsia="Times New Roman"/>
          <w:color w:val="000000"/>
          <w:sz w:val="24"/>
          <w:szCs w:val="24"/>
        </w:rPr>
        <w:t xml:space="preserve"> </w:t>
      </w:r>
      <w:r w:rsidRPr="00213A5D">
        <w:rPr>
          <w:rFonts w:eastAsia="Times New Roman"/>
          <w:color w:val="000000"/>
          <w:sz w:val="24"/>
          <w:szCs w:val="24"/>
        </w:rPr>
        <w:br/>
        <w:t xml:space="preserve">на 3 110,3 млн. долларов США, или на 5,2 % по сравнению с объемом на 1 января 2022 года (59 702,0 млн. долларов США). </w:t>
      </w:r>
      <w:r w:rsidRPr="00213A5D">
        <w:rPr>
          <w:rFonts w:eastAsia="Times New Roman"/>
          <w:b/>
          <w:color w:val="000000"/>
          <w:sz w:val="24"/>
          <w:szCs w:val="24"/>
        </w:rPr>
        <w:t>В рублевом эквиваленте</w:t>
      </w:r>
      <w:r w:rsidRPr="00213A5D">
        <w:rPr>
          <w:rFonts w:eastAsia="Times New Roman"/>
          <w:color w:val="000000"/>
          <w:sz w:val="24"/>
          <w:szCs w:val="24"/>
        </w:rPr>
        <w:t xml:space="preserve"> государственный внешний долг </w:t>
      </w:r>
      <w:r w:rsidRPr="00213A5D">
        <w:rPr>
          <w:rFonts w:eastAsia="Times New Roman"/>
          <w:b/>
          <w:color w:val="000000"/>
          <w:sz w:val="24"/>
          <w:szCs w:val="24"/>
        </w:rPr>
        <w:t>уменьшился</w:t>
      </w:r>
      <w:r w:rsidRPr="00213A5D">
        <w:rPr>
          <w:rFonts w:eastAsia="Times New Roman"/>
          <w:color w:val="000000"/>
          <w:sz w:val="24"/>
          <w:szCs w:val="24"/>
        </w:rPr>
        <w:t xml:space="preserve"> с начала года на 1 186 319,1 млн. рублей, или на 26,7 %, и на 1 октября 2022 года составил 3 249 100,8 млн. рублей.</w:t>
      </w:r>
    </w:p>
    <w:p w14:paraId="3F10B50B" w14:textId="77777777" w:rsidR="00721AA7" w:rsidRPr="00213A5D" w:rsidRDefault="00721AA7"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b/>
          <w:bCs/>
          <w:color w:val="000000"/>
          <w:sz w:val="24"/>
          <w:szCs w:val="24"/>
        </w:rPr>
        <w:t>11.15.1.</w:t>
      </w:r>
      <w:r w:rsidRPr="00213A5D">
        <w:rPr>
          <w:rFonts w:eastAsia="Times New Roman"/>
          <w:bCs/>
          <w:color w:val="000000"/>
          <w:sz w:val="24"/>
          <w:szCs w:val="24"/>
        </w:rPr>
        <w:t> </w:t>
      </w:r>
      <w:r w:rsidRPr="00213A5D">
        <w:rPr>
          <w:rFonts w:eastAsia="Times New Roman"/>
          <w:color w:val="000000"/>
          <w:sz w:val="24"/>
          <w:szCs w:val="24"/>
        </w:rPr>
        <w:t xml:space="preserve">Сведения об изменении объема и структуры государственного </w:t>
      </w:r>
      <w:r w:rsidRPr="00213A5D">
        <w:rPr>
          <w:rFonts w:eastAsia="Times New Roman"/>
          <w:b/>
          <w:color w:val="000000"/>
          <w:sz w:val="24"/>
          <w:szCs w:val="24"/>
        </w:rPr>
        <w:t>внутреннего долга</w:t>
      </w:r>
      <w:r w:rsidRPr="00213A5D">
        <w:rPr>
          <w:rFonts w:eastAsia="Times New Roman"/>
          <w:color w:val="000000"/>
          <w:sz w:val="24"/>
          <w:szCs w:val="24"/>
        </w:rPr>
        <w:t xml:space="preserve"> Российской Федерации в январе – сентябре 2022 года представлены в следующей таблице.</w:t>
      </w:r>
    </w:p>
    <w:p w14:paraId="7EFE3A50" w14:textId="77777777" w:rsidR="00721AA7" w:rsidRPr="00213A5D" w:rsidRDefault="00721AA7" w:rsidP="00AF1852">
      <w:pPr>
        <w:widowControl w:val="0"/>
        <w:overflowPunct/>
        <w:autoSpaceDE/>
        <w:autoSpaceDN/>
        <w:adjustRightInd/>
        <w:spacing w:line="240" w:lineRule="auto"/>
        <w:ind w:left="0" w:right="0" w:firstLine="7938"/>
        <w:jc w:val="right"/>
        <w:textAlignment w:val="auto"/>
        <w:rPr>
          <w:rFonts w:eastAsia="Times New Roman"/>
          <w:color w:val="000000"/>
          <w:sz w:val="20"/>
          <w:szCs w:val="20"/>
        </w:rPr>
      </w:pPr>
      <w:r w:rsidRPr="00213A5D">
        <w:rPr>
          <w:rFonts w:eastAsia="Times New Roman"/>
          <w:color w:val="000000"/>
          <w:sz w:val="20"/>
          <w:szCs w:val="20"/>
        </w:rPr>
        <w:t>(млрд. рублей)</w:t>
      </w:r>
    </w:p>
    <w:tbl>
      <w:tblPr>
        <w:tblW w:w="5305" w:type="pct"/>
        <w:tblInd w:w="-601" w:type="dxa"/>
        <w:tblLook w:val="04A0" w:firstRow="1" w:lastRow="0" w:firstColumn="1" w:lastColumn="0" w:noHBand="0" w:noVBand="1"/>
      </w:tblPr>
      <w:tblGrid>
        <w:gridCol w:w="3062"/>
        <w:gridCol w:w="1216"/>
        <w:gridCol w:w="1217"/>
        <w:gridCol w:w="1116"/>
        <w:gridCol w:w="1116"/>
        <w:gridCol w:w="1066"/>
        <w:gridCol w:w="634"/>
        <w:gridCol w:w="1027"/>
      </w:tblGrid>
      <w:tr w:rsidR="00721AA7" w:rsidRPr="00213A5D" w14:paraId="64A1205A" w14:textId="77777777" w:rsidTr="00C43266">
        <w:trPr>
          <w:trHeight w:val="960"/>
          <w:tblHeader/>
        </w:trPr>
        <w:tc>
          <w:tcPr>
            <w:tcW w:w="1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00EAA"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Наименование показателя</w:t>
            </w:r>
          </w:p>
        </w:tc>
        <w:tc>
          <w:tcPr>
            <w:tcW w:w="1164" w:type="pct"/>
            <w:gridSpan w:val="2"/>
            <w:tcBorders>
              <w:top w:val="single" w:sz="4" w:space="0" w:color="auto"/>
              <w:left w:val="nil"/>
              <w:bottom w:val="single" w:sz="4" w:space="0" w:color="auto"/>
              <w:right w:val="single" w:sz="4" w:space="0" w:color="auto"/>
            </w:tcBorders>
            <w:shd w:val="clear" w:color="auto" w:fill="auto"/>
            <w:vAlign w:val="center"/>
            <w:hideMark/>
          </w:tcPr>
          <w:p w14:paraId="550F767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Объем государственного внутреннего долга Российской Федерации</w:t>
            </w:r>
          </w:p>
        </w:tc>
        <w:tc>
          <w:tcPr>
            <w:tcW w:w="10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414E16"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Структура</w:t>
            </w:r>
          </w:p>
        </w:tc>
        <w:tc>
          <w:tcPr>
            <w:tcW w:w="1304" w:type="pct"/>
            <w:gridSpan w:val="3"/>
            <w:tcBorders>
              <w:top w:val="single" w:sz="4" w:space="0" w:color="auto"/>
              <w:left w:val="nil"/>
              <w:bottom w:val="single" w:sz="4" w:space="0" w:color="auto"/>
              <w:right w:val="single" w:sz="4" w:space="0" w:color="auto"/>
            </w:tcBorders>
            <w:shd w:val="clear" w:color="auto" w:fill="auto"/>
            <w:vAlign w:val="center"/>
            <w:hideMark/>
          </w:tcPr>
          <w:p w14:paraId="5D5D7011"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Изменение (+/-) за январь</w:t>
            </w:r>
            <w:r w:rsidR="00A62843" w:rsidRPr="00213A5D">
              <w:rPr>
                <w:rFonts w:eastAsia="Times New Roman"/>
                <w:b/>
                <w:bCs/>
                <w:color w:val="000000"/>
                <w:sz w:val="20"/>
                <w:szCs w:val="20"/>
              </w:rPr>
              <w:t xml:space="preserve"> – </w:t>
            </w:r>
            <w:r w:rsidRPr="00213A5D">
              <w:rPr>
                <w:rFonts w:eastAsia="Times New Roman"/>
                <w:b/>
                <w:bCs/>
                <w:color w:val="000000"/>
                <w:sz w:val="20"/>
                <w:szCs w:val="20"/>
              </w:rPr>
              <w:t>сентябрь 2022 год</w:t>
            </w:r>
          </w:p>
        </w:tc>
      </w:tr>
      <w:tr w:rsidR="00721AA7" w:rsidRPr="00213A5D" w14:paraId="2380AE50" w14:textId="77777777" w:rsidTr="00C43266">
        <w:trPr>
          <w:trHeight w:val="765"/>
          <w:tblHeader/>
        </w:trPr>
        <w:tc>
          <w:tcPr>
            <w:tcW w:w="1465" w:type="pct"/>
            <w:vMerge/>
            <w:tcBorders>
              <w:top w:val="single" w:sz="4" w:space="0" w:color="auto"/>
              <w:left w:val="single" w:sz="4" w:space="0" w:color="auto"/>
              <w:bottom w:val="single" w:sz="4" w:space="0" w:color="auto"/>
              <w:right w:val="single" w:sz="4" w:space="0" w:color="auto"/>
            </w:tcBorders>
            <w:vAlign w:val="center"/>
            <w:hideMark/>
          </w:tcPr>
          <w:p w14:paraId="14631748" w14:textId="77777777" w:rsidR="00721AA7" w:rsidRPr="00213A5D" w:rsidRDefault="00721AA7" w:rsidP="00AF1852">
            <w:pPr>
              <w:widowControl w:val="0"/>
              <w:overflowPunct/>
              <w:autoSpaceDE/>
              <w:autoSpaceDN/>
              <w:adjustRightInd/>
              <w:spacing w:line="240" w:lineRule="auto"/>
              <w:ind w:left="0" w:right="0" w:firstLine="0"/>
              <w:jc w:val="left"/>
              <w:textAlignment w:val="auto"/>
              <w:rPr>
                <w:rFonts w:eastAsia="Times New Roman"/>
                <w:b/>
                <w:bCs/>
                <w:color w:val="000000"/>
                <w:sz w:val="20"/>
                <w:szCs w:val="20"/>
              </w:rPr>
            </w:pPr>
          </w:p>
        </w:tc>
        <w:tc>
          <w:tcPr>
            <w:tcW w:w="582" w:type="pct"/>
            <w:tcBorders>
              <w:top w:val="nil"/>
              <w:left w:val="nil"/>
              <w:bottom w:val="single" w:sz="4" w:space="0" w:color="auto"/>
              <w:right w:val="single" w:sz="4" w:space="0" w:color="auto"/>
            </w:tcBorders>
            <w:shd w:val="clear" w:color="auto" w:fill="auto"/>
            <w:vAlign w:val="center"/>
            <w:hideMark/>
          </w:tcPr>
          <w:p w14:paraId="3880DEE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на 1 января 2022 года</w:t>
            </w:r>
          </w:p>
        </w:tc>
        <w:tc>
          <w:tcPr>
            <w:tcW w:w="582" w:type="pct"/>
            <w:tcBorders>
              <w:top w:val="nil"/>
              <w:left w:val="nil"/>
              <w:bottom w:val="single" w:sz="4" w:space="0" w:color="auto"/>
              <w:right w:val="single" w:sz="4" w:space="0" w:color="auto"/>
            </w:tcBorders>
            <w:shd w:val="clear" w:color="auto" w:fill="auto"/>
            <w:vAlign w:val="center"/>
            <w:hideMark/>
          </w:tcPr>
          <w:p w14:paraId="42F505A9"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на 1 октября 2022 года</w:t>
            </w:r>
          </w:p>
        </w:tc>
        <w:tc>
          <w:tcPr>
            <w:tcW w:w="534" w:type="pct"/>
            <w:tcBorders>
              <w:top w:val="nil"/>
              <w:left w:val="nil"/>
              <w:bottom w:val="single" w:sz="4" w:space="0" w:color="auto"/>
              <w:right w:val="single" w:sz="4" w:space="0" w:color="auto"/>
            </w:tcBorders>
            <w:shd w:val="clear" w:color="auto" w:fill="auto"/>
            <w:vAlign w:val="center"/>
            <w:hideMark/>
          </w:tcPr>
          <w:p w14:paraId="4CE6FCE2"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на 1 января 2022 года</w:t>
            </w:r>
          </w:p>
        </w:tc>
        <w:tc>
          <w:tcPr>
            <w:tcW w:w="534" w:type="pct"/>
            <w:tcBorders>
              <w:top w:val="nil"/>
              <w:left w:val="nil"/>
              <w:bottom w:val="single" w:sz="4" w:space="0" w:color="auto"/>
              <w:right w:val="single" w:sz="4" w:space="0" w:color="auto"/>
            </w:tcBorders>
            <w:shd w:val="clear" w:color="auto" w:fill="auto"/>
            <w:vAlign w:val="center"/>
            <w:hideMark/>
          </w:tcPr>
          <w:p w14:paraId="548057C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на 1 октября 2022 года</w:t>
            </w:r>
          </w:p>
        </w:tc>
        <w:tc>
          <w:tcPr>
            <w:tcW w:w="510" w:type="pct"/>
            <w:tcBorders>
              <w:top w:val="nil"/>
              <w:left w:val="nil"/>
              <w:bottom w:val="single" w:sz="4" w:space="0" w:color="auto"/>
              <w:right w:val="single" w:sz="4" w:space="0" w:color="auto"/>
            </w:tcBorders>
            <w:shd w:val="clear" w:color="auto" w:fill="auto"/>
            <w:vAlign w:val="center"/>
            <w:hideMark/>
          </w:tcPr>
          <w:p w14:paraId="5AB503F3"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сумма</w:t>
            </w:r>
          </w:p>
        </w:tc>
        <w:tc>
          <w:tcPr>
            <w:tcW w:w="303" w:type="pct"/>
            <w:tcBorders>
              <w:top w:val="nil"/>
              <w:left w:val="nil"/>
              <w:bottom w:val="single" w:sz="4" w:space="0" w:color="auto"/>
              <w:right w:val="single" w:sz="4" w:space="0" w:color="auto"/>
            </w:tcBorders>
            <w:shd w:val="clear" w:color="auto" w:fill="auto"/>
            <w:vAlign w:val="center"/>
            <w:hideMark/>
          </w:tcPr>
          <w:p w14:paraId="6D656F1F"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w:t>
            </w:r>
          </w:p>
        </w:tc>
        <w:tc>
          <w:tcPr>
            <w:tcW w:w="491" w:type="pct"/>
            <w:tcBorders>
              <w:top w:val="nil"/>
              <w:left w:val="nil"/>
              <w:bottom w:val="single" w:sz="4" w:space="0" w:color="auto"/>
              <w:right w:val="single" w:sz="4" w:space="0" w:color="auto"/>
            </w:tcBorders>
            <w:shd w:val="clear" w:color="auto" w:fill="auto"/>
            <w:vAlign w:val="center"/>
            <w:hideMark/>
          </w:tcPr>
          <w:p w14:paraId="6764DD0A"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b/>
                <w:bCs/>
                <w:color w:val="000000"/>
                <w:sz w:val="20"/>
                <w:szCs w:val="20"/>
              </w:rPr>
            </w:pPr>
            <w:r w:rsidRPr="00213A5D">
              <w:rPr>
                <w:rFonts w:eastAsia="Times New Roman"/>
                <w:b/>
                <w:bCs/>
                <w:color w:val="000000"/>
                <w:sz w:val="20"/>
                <w:szCs w:val="20"/>
              </w:rPr>
              <w:t>процент-ные пункты</w:t>
            </w:r>
          </w:p>
        </w:tc>
      </w:tr>
      <w:tr w:rsidR="00721AA7" w:rsidRPr="00213A5D" w14:paraId="4D06749D" w14:textId="77777777" w:rsidTr="00C43266">
        <w:trPr>
          <w:trHeight w:val="51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1AABF933"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b/>
                <w:bCs/>
                <w:color w:val="000000"/>
                <w:sz w:val="20"/>
                <w:szCs w:val="20"/>
              </w:rPr>
            </w:pPr>
            <w:r w:rsidRPr="00213A5D">
              <w:rPr>
                <w:rFonts w:eastAsia="Times New Roman"/>
                <w:b/>
                <w:bCs/>
                <w:color w:val="000000"/>
                <w:sz w:val="20"/>
                <w:szCs w:val="20"/>
              </w:rPr>
              <w:t>Государственный внутренний долг Российской Федерации</w:t>
            </w:r>
          </w:p>
        </w:tc>
        <w:tc>
          <w:tcPr>
            <w:tcW w:w="582" w:type="pct"/>
            <w:tcBorders>
              <w:top w:val="nil"/>
              <w:left w:val="nil"/>
              <w:bottom w:val="single" w:sz="4" w:space="0" w:color="auto"/>
              <w:right w:val="single" w:sz="4" w:space="0" w:color="auto"/>
            </w:tcBorders>
            <w:shd w:val="clear" w:color="auto" w:fill="auto"/>
            <w:noWrap/>
            <w:vAlign w:val="center"/>
            <w:hideMark/>
          </w:tcPr>
          <w:p w14:paraId="5283CD9A"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16 486,4</w:t>
            </w:r>
          </w:p>
        </w:tc>
        <w:tc>
          <w:tcPr>
            <w:tcW w:w="582" w:type="pct"/>
            <w:tcBorders>
              <w:top w:val="nil"/>
              <w:left w:val="nil"/>
              <w:bottom w:val="single" w:sz="4" w:space="0" w:color="auto"/>
              <w:right w:val="single" w:sz="4" w:space="0" w:color="auto"/>
            </w:tcBorders>
            <w:shd w:val="clear" w:color="auto" w:fill="auto"/>
            <w:noWrap/>
            <w:vAlign w:val="center"/>
            <w:hideMark/>
          </w:tcPr>
          <w:p w14:paraId="25737001"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16 228,8</w:t>
            </w:r>
          </w:p>
        </w:tc>
        <w:tc>
          <w:tcPr>
            <w:tcW w:w="534" w:type="pct"/>
            <w:tcBorders>
              <w:top w:val="nil"/>
              <w:left w:val="nil"/>
              <w:bottom w:val="single" w:sz="4" w:space="0" w:color="auto"/>
              <w:right w:val="single" w:sz="4" w:space="0" w:color="auto"/>
            </w:tcBorders>
            <w:shd w:val="clear" w:color="auto" w:fill="auto"/>
            <w:noWrap/>
            <w:vAlign w:val="center"/>
            <w:hideMark/>
          </w:tcPr>
          <w:p w14:paraId="589C8EC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100,0</w:t>
            </w:r>
          </w:p>
        </w:tc>
        <w:tc>
          <w:tcPr>
            <w:tcW w:w="534" w:type="pct"/>
            <w:tcBorders>
              <w:top w:val="nil"/>
              <w:left w:val="nil"/>
              <w:bottom w:val="single" w:sz="4" w:space="0" w:color="auto"/>
              <w:right w:val="single" w:sz="4" w:space="0" w:color="auto"/>
            </w:tcBorders>
            <w:shd w:val="clear" w:color="auto" w:fill="auto"/>
            <w:noWrap/>
            <w:vAlign w:val="center"/>
            <w:hideMark/>
          </w:tcPr>
          <w:p w14:paraId="091E863F"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100,0</w:t>
            </w:r>
          </w:p>
        </w:tc>
        <w:tc>
          <w:tcPr>
            <w:tcW w:w="510" w:type="pct"/>
            <w:tcBorders>
              <w:top w:val="nil"/>
              <w:left w:val="nil"/>
              <w:bottom w:val="single" w:sz="4" w:space="0" w:color="auto"/>
              <w:right w:val="single" w:sz="4" w:space="0" w:color="auto"/>
            </w:tcBorders>
            <w:shd w:val="clear" w:color="auto" w:fill="auto"/>
            <w:noWrap/>
            <w:vAlign w:val="center"/>
            <w:hideMark/>
          </w:tcPr>
          <w:p w14:paraId="7310CE7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-257,6</w:t>
            </w:r>
          </w:p>
        </w:tc>
        <w:tc>
          <w:tcPr>
            <w:tcW w:w="303" w:type="pct"/>
            <w:tcBorders>
              <w:top w:val="nil"/>
              <w:left w:val="nil"/>
              <w:bottom w:val="single" w:sz="4" w:space="0" w:color="auto"/>
              <w:right w:val="single" w:sz="4" w:space="0" w:color="auto"/>
            </w:tcBorders>
            <w:shd w:val="clear" w:color="auto" w:fill="auto"/>
            <w:noWrap/>
            <w:vAlign w:val="center"/>
            <w:hideMark/>
          </w:tcPr>
          <w:p w14:paraId="66CD922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-1,6</w:t>
            </w:r>
          </w:p>
        </w:tc>
        <w:tc>
          <w:tcPr>
            <w:tcW w:w="491" w:type="pct"/>
            <w:tcBorders>
              <w:top w:val="nil"/>
              <w:left w:val="nil"/>
              <w:bottom w:val="single" w:sz="4" w:space="0" w:color="auto"/>
              <w:right w:val="single" w:sz="4" w:space="0" w:color="auto"/>
            </w:tcBorders>
            <w:shd w:val="clear" w:color="auto" w:fill="auto"/>
            <w:noWrap/>
            <w:vAlign w:val="center"/>
            <w:hideMark/>
          </w:tcPr>
          <w:p w14:paraId="776DDEBA"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r>
      <w:tr w:rsidR="00721AA7" w:rsidRPr="00213A5D" w14:paraId="4D65ECDD" w14:textId="77777777" w:rsidTr="00C43266">
        <w:trPr>
          <w:trHeight w:val="51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0BB48C5F"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b/>
                <w:bCs/>
                <w:color w:val="000000"/>
                <w:sz w:val="20"/>
                <w:szCs w:val="20"/>
              </w:rPr>
            </w:pPr>
            <w:r w:rsidRPr="00213A5D">
              <w:rPr>
                <w:rFonts w:eastAsia="Times New Roman"/>
                <w:b/>
                <w:bCs/>
                <w:color w:val="000000"/>
                <w:sz w:val="20"/>
                <w:szCs w:val="20"/>
              </w:rPr>
              <w:t>1. Государственные ценные бумаги - всего</w:t>
            </w:r>
          </w:p>
        </w:tc>
        <w:tc>
          <w:tcPr>
            <w:tcW w:w="582" w:type="pct"/>
            <w:tcBorders>
              <w:top w:val="nil"/>
              <w:left w:val="nil"/>
              <w:bottom w:val="single" w:sz="4" w:space="0" w:color="auto"/>
              <w:right w:val="single" w:sz="4" w:space="0" w:color="auto"/>
            </w:tcBorders>
            <w:shd w:val="clear" w:color="auto" w:fill="auto"/>
            <w:noWrap/>
            <w:vAlign w:val="center"/>
            <w:hideMark/>
          </w:tcPr>
          <w:p w14:paraId="2879CA1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15 759,9</w:t>
            </w:r>
          </w:p>
        </w:tc>
        <w:tc>
          <w:tcPr>
            <w:tcW w:w="582" w:type="pct"/>
            <w:tcBorders>
              <w:top w:val="nil"/>
              <w:left w:val="nil"/>
              <w:bottom w:val="single" w:sz="4" w:space="0" w:color="auto"/>
              <w:right w:val="single" w:sz="4" w:space="0" w:color="auto"/>
            </w:tcBorders>
            <w:shd w:val="clear" w:color="auto" w:fill="auto"/>
            <w:noWrap/>
            <w:vAlign w:val="center"/>
            <w:hideMark/>
          </w:tcPr>
          <w:p w14:paraId="634B9DD0"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15 507,0</w:t>
            </w:r>
          </w:p>
        </w:tc>
        <w:tc>
          <w:tcPr>
            <w:tcW w:w="534" w:type="pct"/>
            <w:tcBorders>
              <w:top w:val="nil"/>
              <w:left w:val="nil"/>
              <w:bottom w:val="single" w:sz="4" w:space="0" w:color="auto"/>
              <w:right w:val="single" w:sz="4" w:space="0" w:color="auto"/>
            </w:tcBorders>
            <w:shd w:val="clear" w:color="auto" w:fill="auto"/>
            <w:noWrap/>
            <w:vAlign w:val="center"/>
            <w:hideMark/>
          </w:tcPr>
          <w:p w14:paraId="66F22840"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95,6</w:t>
            </w:r>
          </w:p>
        </w:tc>
        <w:tc>
          <w:tcPr>
            <w:tcW w:w="534" w:type="pct"/>
            <w:tcBorders>
              <w:top w:val="nil"/>
              <w:left w:val="nil"/>
              <w:bottom w:val="single" w:sz="4" w:space="0" w:color="auto"/>
              <w:right w:val="single" w:sz="4" w:space="0" w:color="auto"/>
            </w:tcBorders>
            <w:shd w:val="clear" w:color="auto" w:fill="auto"/>
            <w:noWrap/>
            <w:vAlign w:val="center"/>
            <w:hideMark/>
          </w:tcPr>
          <w:p w14:paraId="72FF0A7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95,6</w:t>
            </w:r>
          </w:p>
        </w:tc>
        <w:tc>
          <w:tcPr>
            <w:tcW w:w="510" w:type="pct"/>
            <w:tcBorders>
              <w:top w:val="nil"/>
              <w:left w:val="nil"/>
              <w:bottom w:val="single" w:sz="4" w:space="0" w:color="auto"/>
              <w:right w:val="single" w:sz="4" w:space="0" w:color="auto"/>
            </w:tcBorders>
            <w:shd w:val="clear" w:color="auto" w:fill="auto"/>
            <w:noWrap/>
            <w:vAlign w:val="center"/>
            <w:hideMark/>
          </w:tcPr>
          <w:p w14:paraId="3D419B06"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-252,9</w:t>
            </w:r>
          </w:p>
        </w:tc>
        <w:tc>
          <w:tcPr>
            <w:tcW w:w="303" w:type="pct"/>
            <w:tcBorders>
              <w:top w:val="nil"/>
              <w:left w:val="nil"/>
              <w:bottom w:val="single" w:sz="4" w:space="0" w:color="auto"/>
              <w:right w:val="single" w:sz="4" w:space="0" w:color="auto"/>
            </w:tcBorders>
            <w:shd w:val="clear" w:color="auto" w:fill="auto"/>
            <w:noWrap/>
            <w:vAlign w:val="center"/>
            <w:hideMark/>
          </w:tcPr>
          <w:p w14:paraId="18E511B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-1,6</w:t>
            </w:r>
          </w:p>
        </w:tc>
        <w:tc>
          <w:tcPr>
            <w:tcW w:w="491" w:type="pct"/>
            <w:tcBorders>
              <w:top w:val="nil"/>
              <w:left w:val="nil"/>
              <w:bottom w:val="single" w:sz="4" w:space="0" w:color="auto"/>
              <w:right w:val="single" w:sz="4" w:space="0" w:color="auto"/>
            </w:tcBorders>
            <w:shd w:val="clear" w:color="auto" w:fill="auto"/>
            <w:noWrap/>
            <w:vAlign w:val="center"/>
            <w:hideMark/>
          </w:tcPr>
          <w:p w14:paraId="26E57FD6"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0,0</w:t>
            </w:r>
          </w:p>
        </w:tc>
      </w:tr>
      <w:tr w:rsidR="00721AA7" w:rsidRPr="00213A5D" w14:paraId="34ABE763" w14:textId="77777777" w:rsidTr="00C43266">
        <w:trPr>
          <w:trHeight w:val="7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5A3CB5FF"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i/>
                <w:iCs/>
                <w:color w:val="000000"/>
                <w:sz w:val="20"/>
                <w:szCs w:val="20"/>
              </w:rPr>
            </w:pPr>
            <w:r w:rsidRPr="00213A5D">
              <w:rPr>
                <w:rFonts w:eastAsia="Times New Roman"/>
                <w:i/>
                <w:iCs/>
                <w:color w:val="000000"/>
                <w:sz w:val="20"/>
                <w:szCs w:val="20"/>
              </w:rPr>
              <w:t>в том числе в структуре государственных ценных бумаг:</w:t>
            </w:r>
          </w:p>
        </w:tc>
        <w:tc>
          <w:tcPr>
            <w:tcW w:w="582" w:type="pct"/>
            <w:tcBorders>
              <w:top w:val="nil"/>
              <w:left w:val="nil"/>
              <w:bottom w:val="single" w:sz="4" w:space="0" w:color="auto"/>
              <w:right w:val="single" w:sz="4" w:space="0" w:color="auto"/>
            </w:tcBorders>
            <w:shd w:val="clear" w:color="auto" w:fill="auto"/>
            <w:noWrap/>
            <w:vAlign w:val="center"/>
            <w:hideMark/>
          </w:tcPr>
          <w:p w14:paraId="661EDE10"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582" w:type="pct"/>
            <w:tcBorders>
              <w:top w:val="nil"/>
              <w:left w:val="nil"/>
              <w:bottom w:val="single" w:sz="4" w:space="0" w:color="auto"/>
              <w:right w:val="single" w:sz="4" w:space="0" w:color="auto"/>
            </w:tcBorders>
            <w:shd w:val="clear" w:color="auto" w:fill="auto"/>
            <w:vAlign w:val="center"/>
            <w:hideMark/>
          </w:tcPr>
          <w:p w14:paraId="4939F144"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534" w:type="pct"/>
            <w:tcBorders>
              <w:top w:val="nil"/>
              <w:left w:val="nil"/>
              <w:bottom w:val="single" w:sz="4" w:space="0" w:color="auto"/>
              <w:right w:val="single" w:sz="4" w:space="0" w:color="auto"/>
            </w:tcBorders>
            <w:shd w:val="clear" w:color="auto" w:fill="auto"/>
            <w:noWrap/>
            <w:vAlign w:val="center"/>
            <w:hideMark/>
          </w:tcPr>
          <w:p w14:paraId="4EE9954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534" w:type="pct"/>
            <w:tcBorders>
              <w:top w:val="nil"/>
              <w:left w:val="nil"/>
              <w:bottom w:val="single" w:sz="4" w:space="0" w:color="auto"/>
              <w:right w:val="single" w:sz="4" w:space="0" w:color="auto"/>
            </w:tcBorders>
            <w:shd w:val="clear" w:color="auto" w:fill="auto"/>
            <w:noWrap/>
            <w:vAlign w:val="center"/>
            <w:hideMark/>
          </w:tcPr>
          <w:p w14:paraId="7211450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510" w:type="pct"/>
            <w:tcBorders>
              <w:top w:val="nil"/>
              <w:left w:val="nil"/>
              <w:bottom w:val="single" w:sz="4" w:space="0" w:color="auto"/>
              <w:right w:val="single" w:sz="4" w:space="0" w:color="auto"/>
            </w:tcBorders>
            <w:shd w:val="clear" w:color="auto" w:fill="auto"/>
            <w:noWrap/>
            <w:vAlign w:val="center"/>
            <w:hideMark/>
          </w:tcPr>
          <w:p w14:paraId="1B92BF4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303" w:type="pct"/>
            <w:tcBorders>
              <w:top w:val="nil"/>
              <w:left w:val="nil"/>
              <w:bottom w:val="single" w:sz="4" w:space="0" w:color="auto"/>
              <w:right w:val="single" w:sz="4" w:space="0" w:color="auto"/>
            </w:tcBorders>
            <w:shd w:val="clear" w:color="auto" w:fill="auto"/>
            <w:noWrap/>
            <w:vAlign w:val="center"/>
            <w:hideMark/>
          </w:tcPr>
          <w:p w14:paraId="67C1634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c>
          <w:tcPr>
            <w:tcW w:w="491" w:type="pct"/>
            <w:tcBorders>
              <w:top w:val="nil"/>
              <w:left w:val="nil"/>
              <w:bottom w:val="single" w:sz="4" w:space="0" w:color="auto"/>
              <w:right w:val="single" w:sz="4" w:space="0" w:color="auto"/>
            </w:tcBorders>
            <w:shd w:val="clear" w:color="auto" w:fill="auto"/>
            <w:noWrap/>
            <w:vAlign w:val="center"/>
            <w:hideMark/>
          </w:tcPr>
          <w:p w14:paraId="010B96F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p>
        </w:tc>
      </w:tr>
      <w:tr w:rsidR="00721AA7" w:rsidRPr="00213A5D" w14:paraId="10C623C0" w14:textId="77777777" w:rsidTr="00C43266">
        <w:trPr>
          <w:trHeight w:val="7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41D89064"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ОФЗ-ПД</w:t>
            </w:r>
          </w:p>
        </w:tc>
        <w:tc>
          <w:tcPr>
            <w:tcW w:w="582" w:type="pct"/>
            <w:tcBorders>
              <w:top w:val="nil"/>
              <w:left w:val="nil"/>
              <w:bottom w:val="single" w:sz="4" w:space="0" w:color="auto"/>
              <w:right w:val="single" w:sz="4" w:space="0" w:color="auto"/>
            </w:tcBorders>
            <w:shd w:val="clear" w:color="auto" w:fill="auto"/>
            <w:noWrap/>
            <w:vAlign w:val="center"/>
            <w:hideMark/>
          </w:tcPr>
          <w:p w14:paraId="2C281FF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9 812,7</w:t>
            </w:r>
          </w:p>
        </w:tc>
        <w:tc>
          <w:tcPr>
            <w:tcW w:w="582" w:type="pct"/>
            <w:tcBorders>
              <w:top w:val="nil"/>
              <w:left w:val="nil"/>
              <w:bottom w:val="single" w:sz="4" w:space="0" w:color="auto"/>
              <w:right w:val="single" w:sz="4" w:space="0" w:color="auto"/>
            </w:tcBorders>
            <w:shd w:val="clear" w:color="auto" w:fill="auto"/>
            <w:noWrap/>
            <w:vAlign w:val="center"/>
            <w:hideMark/>
          </w:tcPr>
          <w:p w14:paraId="1A5FEC01"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9 641,0</w:t>
            </w:r>
          </w:p>
        </w:tc>
        <w:tc>
          <w:tcPr>
            <w:tcW w:w="534" w:type="pct"/>
            <w:tcBorders>
              <w:top w:val="nil"/>
              <w:left w:val="nil"/>
              <w:bottom w:val="single" w:sz="4" w:space="0" w:color="auto"/>
              <w:right w:val="single" w:sz="4" w:space="0" w:color="auto"/>
            </w:tcBorders>
            <w:shd w:val="clear" w:color="auto" w:fill="auto"/>
            <w:noWrap/>
            <w:vAlign w:val="center"/>
            <w:hideMark/>
          </w:tcPr>
          <w:p w14:paraId="6CED939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62,3</w:t>
            </w:r>
          </w:p>
        </w:tc>
        <w:tc>
          <w:tcPr>
            <w:tcW w:w="534" w:type="pct"/>
            <w:tcBorders>
              <w:top w:val="nil"/>
              <w:left w:val="nil"/>
              <w:bottom w:val="single" w:sz="4" w:space="0" w:color="auto"/>
              <w:right w:val="single" w:sz="4" w:space="0" w:color="auto"/>
            </w:tcBorders>
            <w:shd w:val="clear" w:color="auto" w:fill="auto"/>
            <w:noWrap/>
            <w:vAlign w:val="center"/>
            <w:hideMark/>
          </w:tcPr>
          <w:p w14:paraId="7143EEA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62,2</w:t>
            </w:r>
          </w:p>
        </w:tc>
        <w:tc>
          <w:tcPr>
            <w:tcW w:w="510" w:type="pct"/>
            <w:tcBorders>
              <w:top w:val="nil"/>
              <w:left w:val="nil"/>
              <w:bottom w:val="single" w:sz="4" w:space="0" w:color="auto"/>
              <w:right w:val="single" w:sz="4" w:space="0" w:color="auto"/>
            </w:tcBorders>
            <w:shd w:val="clear" w:color="auto" w:fill="auto"/>
            <w:noWrap/>
            <w:vAlign w:val="center"/>
            <w:hideMark/>
          </w:tcPr>
          <w:p w14:paraId="562784F6"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-171,7</w:t>
            </w:r>
          </w:p>
        </w:tc>
        <w:tc>
          <w:tcPr>
            <w:tcW w:w="303" w:type="pct"/>
            <w:tcBorders>
              <w:top w:val="nil"/>
              <w:left w:val="nil"/>
              <w:bottom w:val="single" w:sz="4" w:space="0" w:color="auto"/>
              <w:right w:val="single" w:sz="4" w:space="0" w:color="auto"/>
            </w:tcBorders>
            <w:shd w:val="clear" w:color="auto" w:fill="auto"/>
            <w:noWrap/>
            <w:vAlign w:val="center"/>
            <w:hideMark/>
          </w:tcPr>
          <w:p w14:paraId="4524BAC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-1,7</w:t>
            </w:r>
          </w:p>
        </w:tc>
        <w:tc>
          <w:tcPr>
            <w:tcW w:w="491" w:type="pct"/>
            <w:tcBorders>
              <w:top w:val="nil"/>
              <w:left w:val="nil"/>
              <w:bottom w:val="single" w:sz="4" w:space="0" w:color="auto"/>
              <w:right w:val="single" w:sz="4" w:space="0" w:color="auto"/>
            </w:tcBorders>
            <w:shd w:val="clear" w:color="auto" w:fill="auto"/>
            <w:noWrap/>
            <w:vAlign w:val="center"/>
            <w:hideMark/>
          </w:tcPr>
          <w:p w14:paraId="2D1EC70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-0,1</w:t>
            </w:r>
          </w:p>
        </w:tc>
      </w:tr>
      <w:tr w:rsidR="00721AA7" w:rsidRPr="00213A5D" w14:paraId="0F4A1A60" w14:textId="77777777" w:rsidTr="00C43266">
        <w:trPr>
          <w:trHeight w:val="7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1C5625D0"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ОФЗ-ПК</w:t>
            </w:r>
          </w:p>
        </w:tc>
        <w:tc>
          <w:tcPr>
            <w:tcW w:w="582" w:type="pct"/>
            <w:tcBorders>
              <w:top w:val="nil"/>
              <w:left w:val="nil"/>
              <w:bottom w:val="single" w:sz="4" w:space="0" w:color="auto"/>
              <w:right w:val="single" w:sz="4" w:space="0" w:color="auto"/>
            </w:tcBorders>
            <w:shd w:val="clear" w:color="auto" w:fill="auto"/>
            <w:noWrap/>
            <w:vAlign w:val="center"/>
            <w:hideMark/>
          </w:tcPr>
          <w:p w14:paraId="2FF564B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4 709,3</w:t>
            </w:r>
          </w:p>
        </w:tc>
        <w:tc>
          <w:tcPr>
            <w:tcW w:w="582" w:type="pct"/>
            <w:tcBorders>
              <w:top w:val="nil"/>
              <w:left w:val="nil"/>
              <w:bottom w:val="single" w:sz="4" w:space="0" w:color="auto"/>
              <w:right w:val="single" w:sz="4" w:space="0" w:color="auto"/>
            </w:tcBorders>
            <w:shd w:val="clear" w:color="auto" w:fill="auto"/>
            <w:noWrap/>
            <w:vAlign w:val="center"/>
            <w:hideMark/>
          </w:tcPr>
          <w:p w14:paraId="7425BD9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4 609,3</w:t>
            </w:r>
          </w:p>
        </w:tc>
        <w:tc>
          <w:tcPr>
            <w:tcW w:w="534" w:type="pct"/>
            <w:tcBorders>
              <w:top w:val="nil"/>
              <w:left w:val="nil"/>
              <w:bottom w:val="single" w:sz="4" w:space="0" w:color="auto"/>
              <w:right w:val="single" w:sz="4" w:space="0" w:color="auto"/>
            </w:tcBorders>
            <w:shd w:val="clear" w:color="auto" w:fill="auto"/>
            <w:noWrap/>
            <w:vAlign w:val="center"/>
            <w:hideMark/>
          </w:tcPr>
          <w:p w14:paraId="66E7F08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29,9</w:t>
            </w:r>
          </w:p>
        </w:tc>
        <w:tc>
          <w:tcPr>
            <w:tcW w:w="534" w:type="pct"/>
            <w:tcBorders>
              <w:top w:val="nil"/>
              <w:left w:val="nil"/>
              <w:bottom w:val="single" w:sz="4" w:space="0" w:color="auto"/>
              <w:right w:val="single" w:sz="4" w:space="0" w:color="auto"/>
            </w:tcBorders>
            <w:shd w:val="clear" w:color="auto" w:fill="auto"/>
            <w:noWrap/>
            <w:vAlign w:val="center"/>
            <w:hideMark/>
          </w:tcPr>
          <w:p w14:paraId="6B0413D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29,7</w:t>
            </w:r>
          </w:p>
        </w:tc>
        <w:tc>
          <w:tcPr>
            <w:tcW w:w="510" w:type="pct"/>
            <w:tcBorders>
              <w:top w:val="nil"/>
              <w:left w:val="nil"/>
              <w:bottom w:val="single" w:sz="4" w:space="0" w:color="auto"/>
              <w:right w:val="single" w:sz="4" w:space="0" w:color="auto"/>
            </w:tcBorders>
            <w:shd w:val="clear" w:color="auto" w:fill="auto"/>
            <w:noWrap/>
            <w:vAlign w:val="center"/>
            <w:hideMark/>
          </w:tcPr>
          <w:p w14:paraId="1679BE94"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-100,0</w:t>
            </w:r>
          </w:p>
        </w:tc>
        <w:tc>
          <w:tcPr>
            <w:tcW w:w="303" w:type="pct"/>
            <w:tcBorders>
              <w:top w:val="nil"/>
              <w:left w:val="nil"/>
              <w:bottom w:val="single" w:sz="4" w:space="0" w:color="auto"/>
              <w:right w:val="single" w:sz="4" w:space="0" w:color="auto"/>
            </w:tcBorders>
            <w:shd w:val="clear" w:color="auto" w:fill="auto"/>
            <w:noWrap/>
            <w:vAlign w:val="center"/>
            <w:hideMark/>
          </w:tcPr>
          <w:p w14:paraId="5790F254"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-2,1</w:t>
            </w:r>
          </w:p>
        </w:tc>
        <w:tc>
          <w:tcPr>
            <w:tcW w:w="491" w:type="pct"/>
            <w:tcBorders>
              <w:top w:val="nil"/>
              <w:left w:val="nil"/>
              <w:bottom w:val="single" w:sz="4" w:space="0" w:color="auto"/>
              <w:right w:val="single" w:sz="4" w:space="0" w:color="auto"/>
            </w:tcBorders>
            <w:shd w:val="clear" w:color="auto" w:fill="auto"/>
            <w:noWrap/>
            <w:vAlign w:val="center"/>
            <w:hideMark/>
          </w:tcPr>
          <w:p w14:paraId="6EAD740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-0,2</w:t>
            </w:r>
          </w:p>
        </w:tc>
      </w:tr>
      <w:tr w:rsidR="00721AA7" w:rsidRPr="00213A5D" w14:paraId="1FB2E211" w14:textId="77777777" w:rsidTr="00C43266">
        <w:trPr>
          <w:trHeight w:val="7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28E28DE6"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ОФЗ-АД</w:t>
            </w:r>
          </w:p>
        </w:tc>
        <w:tc>
          <w:tcPr>
            <w:tcW w:w="582" w:type="pct"/>
            <w:tcBorders>
              <w:top w:val="nil"/>
              <w:left w:val="nil"/>
              <w:bottom w:val="single" w:sz="4" w:space="0" w:color="auto"/>
              <w:right w:val="single" w:sz="4" w:space="0" w:color="auto"/>
            </w:tcBorders>
            <w:shd w:val="clear" w:color="auto" w:fill="auto"/>
            <w:noWrap/>
            <w:vAlign w:val="center"/>
            <w:hideMark/>
          </w:tcPr>
          <w:p w14:paraId="166A6CC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209,3</w:t>
            </w:r>
          </w:p>
        </w:tc>
        <w:tc>
          <w:tcPr>
            <w:tcW w:w="582" w:type="pct"/>
            <w:tcBorders>
              <w:top w:val="nil"/>
              <w:left w:val="nil"/>
              <w:bottom w:val="single" w:sz="4" w:space="0" w:color="auto"/>
              <w:right w:val="single" w:sz="4" w:space="0" w:color="auto"/>
            </w:tcBorders>
            <w:shd w:val="clear" w:color="auto" w:fill="auto"/>
            <w:noWrap/>
            <w:vAlign w:val="center"/>
            <w:hideMark/>
          </w:tcPr>
          <w:p w14:paraId="0BDCA973"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166,0</w:t>
            </w:r>
          </w:p>
        </w:tc>
        <w:tc>
          <w:tcPr>
            <w:tcW w:w="534" w:type="pct"/>
            <w:tcBorders>
              <w:top w:val="nil"/>
              <w:left w:val="nil"/>
              <w:bottom w:val="single" w:sz="4" w:space="0" w:color="auto"/>
              <w:right w:val="single" w:sz="4" w:space="0" w:color="auto"/>
            </w:tcBorders>
            <w:shd w:val="clear" w:color="auto" w:fill="auto"/>
            <w:noWrap/>
            <w:vAlign w:val="center"/>
            <w:hideMark/>
          </w:tcPr>
          <w:p w14:paraId="2B5D645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1,3</w:t>
            </w:r>
          </w:p>
        </w:tc>
        <w:tc>
          <w:tcPr>
            <w:tcW w:w="534" w:type="pct"/>
            <w:tcBorders>
              <w:top w:val="nil"/>
              <w:left w:val="nil"/>
              <w:bottom w:val="single" w:sz="4" w:space="0" w:color="auto"/>
              <w:right w:val="single" w:sz="4" w:space="0" w:color="auto"/>
            </w:tcBorders>
            <w:shd w:val="clear" w:color="auto" w:fill="auto"/>
            <w:noWrap/>
            <w:vAlign w:val="center"/>
            <w:hideMark/>
          </w:tcPr>
          <w:p w14:paraId="38E0177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1,1</w:t>
            </w:r>
          </w:p>
        </w:tc>
        <w:tc>
          <w:tcPr>
            <w:tcW w:w="510" w:type="pct"/>
            <w:tcBorders>
              <w:top w:val="nil"/>
              <w:left w:val="nil"/>
              <w:bottom w:val="single" w:sz="4" w:space="0" w:color="auto"/>
              <w:right w:val="single" w:sz="4" w:space="0" w:color="auto"/>
            </w:tcBorders>
            <w:shd w:val="clear" w:color="auto" w:fill="auto"/>
            <w:noWrap/>
            <w:vAlign w:val="center"/>
            <w:hideMark/>
          </w:tcPr>
          <w:p w14:paraId="07F19F6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-43,3</w:t>
            </w:r>
          </w:p>
        </w:tc>
        <w:tc>
          <w:tcPr>
            <w:tcW w:w="303" w:type="pct"/>
            <w:tcBorders>
              <w:top w:val="nil"/>
              <w:left w:val="nil"/>
              <w:bottom w:val="single" w:sz="4" w:space="0" w:color="auto"/>
              <w:right w:val="single" w:sz="4" w:space="0" w:color="auto"/>
            </w:tcBorders>
            <w:shd w:val="clear" w:color="auto" w:fill="auto"/>
            <w:noWrap/>
            <w:vAlign w:val="center"/>
            <w:hideMark/>
          </w:tcPr>
          <w:p w14:paraId="5B7D047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-20,7</w:t>
            </w:r>
          </w:p>
        </w:tc>
        <w:tc>
          <w:tcPr>
            <w:tcW w:w="491" w:type="pct"/>
            <w:tcBorders>
              <w:top w:val="nil"/>
              <w:left w:val="nil"/>
              <w:bottom w:val="single" w:sz="4" w:space="0" w:color="auto"/>
              <w:right w:val="single" w:sz="4" w:space="0" w:color="auto"/>
            </w:tcBorders>
            <w:shd w:val="clear" w:color="auto" w:fill="auto"/>
            <w:noWrap/>
            <w:vAlign w:val="center"/>
            <w:hideMark/>
          </w:tcPr>
          <w:p w14:paraId="66211F19"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-0,3</w:t>
            </w:r>
          </w:p>
        </w:tc>
      </w:tr>
      <w:tr w:rsidR="00721AA7" w:rsidRPr="00213A5D" w14:paraId="479355F8" w14:textId="77777777" w:rsidTr="00C43266">
        <w:trPr>
          <w:trHeight w:val="7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2C9773CE"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lastRenderedPageBreak/>
              <w:t>ОФЗ-ИН</w:t>
            </w:r>
          </w:p>
        </w:tc>
        <w:tc>
          <w:tcPr>
            <w:tcW w:w="582" w:type="pct"/>
            <w:tcBorders>
              <w:top w:val="nil"/>
              <w:left w:val="nil"/>
              <w:bottom w:val="single" w:sz="4" w:space="0" w:color="auto"/>
              <w:right w:val="single" w:sz="4" w:space="0" w:color="auto"/>
            </w:tcBorders>
            <w:shd w:val="clear" w:color="auto" w:fill="auto"/>
            <w:noWrap/>
            <w:vAlign w:val="center"/>
            <w:hideMark/>
          </w:tcPr>
          <w:p w14:paraId="49426034"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763,1</w:t>
            </w:r>
          </w:p>
        </w:tc>
        <w:tc>
          <w:tcPr>
            <w:tcW w:w="582" w:type="pct"/>
            <w:tcBorders>
              <w:top w:val="nil"/>
              <w:left w:val="nil"/>
              <w:bottom w:val="single" w:sz="4" w:space="0" w:color="auto"/>
              <w:right w:val="single" w:sz="4" w:space="0" w:color="auto"/>
            </w:tcBorders>
            <w:shd w:val="clear" w:color="auto" w:fill="auto"/>
            <w:noWrap/>
            <w:vAlign w:val="center"/>
            <w:hideMark/>
          </w:tcPr>
          <w:p w14:paraId="127197D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893,7</w:t>
            </w:r>
          </w:p>
        </w:tc>
        <w:tc>
          <w:tcPr>
            <w:tcW w:w="534" w:type="pct"/>
            <w:tcBorders>
              <w:top w:val="nil"/>
              <w:left w:val="nil"/>
              <w:bottom w:val="single" w:sz="4" w:space="0" w:color="auto"/>
              <w:right w:val="single" w:sz="4" w:space="0" w:color="auto"/>
            </w:tcBorders>
            <w:shd w:val="clear" w:color="auto" w:fill="auto"/>
            <w:noWrap/>
            <w:vAlign w:val="center"/>
            <w:hideMark/>
          </w:tcPr>
          <w:p w14:paraId="2ADACAA1"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4,8</w:t>
            </w:r>
          </w:p>
        </w:tc>
        <w:tc>
          <w:tcPr>
            <w:tcW w:w="534" w:type="pct"/>
            <w:tcBorders>
              <w:top w:val="nil"/>
              <w:left w:val="nil"/>
              <w:bottom w:val="single" w:sz="4" w:space="0" w:color="auto"/>
              <w:right w:val="single" w:sz="4" w:space="0" w:color="auto"/>
            </w:tcBorders>
            <w:shd w:val="clear" w:color="auto" w:fill="auto"/>
            <w:noWrap/>
            <w:vAlign w:val="center"/>
            <w:hideMark/>
          </w:tcPr>
          <w:p w14:paraId="269C4CD2"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5,8</w:t>
            </w:r>
          </w:p>
        </w:tc>
        <w:tc>
          <w:tcPr>
            <w:tcW w:w="510" w:type="pct"/>
            <w:tcBorders>
              <w:top w:val="nil"/>
              <w:left w:val="nil"/>
              <w:bottom w:val="single" w:sz="4" w:space="0" w:color="auto"/>
              <w:right w:val="single" w:sz="4" w:space="0" w:color="auto"/>
            </w:tcBorders>
            <w:shd w:val="clear" w:color="auto" w:fill="auto"/>
            <w:noWrap/>
            <w:vAlign w:val="center"/>
            <w:hideMark/>
          </w:tcPr>
          <w:p w14:paraId="553BCEF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130,6</w:t>
            </w:r>
          </w:p>
        </w:tc>
        <w:tc>
          <w:tcPr>
            <w:tcW w:w="303" w:type="pct"/>
            <w:tcBorders>
              <w:top w:val="nil"/>
              <w:left w:val="nil"/>
              <w:bottom w:val="single" w:sz="4" w:space="0" w:color="auto"/>
              <w:right w:val="single" w:sz="4" w:space="0" w:color="auto"/>
            </w:tcBorders>
            <w:shd w:val="clear" w:color="auto" w:fill="auto"/>
            <w:noWrap/>
            <w:vAlign w:val="center"/>
            <w:hideMark/>
          </w:tcPr>
          <w:p w14:paraId="727F6F7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17,1</w:t>
            </w:r>
          </w:p>
        </w:tc>
        <w:tc>
          <w:tcPr>
            <w:tcW w:w="491" w:type="pct"/>
            <w:tcBorders>
              <w:top w:val="nil"/>
              <w:left w:val="nil"/>
              <w:bottom w:val="single" w:sz="4" w:space="0" w:color="auto"/>
              <w:right w:val="single" w:sz="4" w:space="0" w:color="auto"/>
            </w:tcBorders>
            <w:shd w:val="clear" w:color="auto" w:fill="auto"/>
            <w:noWrap/>
            <w:vAlign w:val="center"/>
            <w:hideMark/>
          </w:tcPr>
          <w:p w14:paraId="1DE3CF4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0,9</w:t>
            </w:r>
          </w:p>
        </w:tc>
      </w:tr>
      <w:tr w:rsidR="00721AA7" w:rsidRPr="00213A5D" w14:paraId="763484FB" w14:textId="77777777" w:rsidTr="00C43266">
        <w:trPr>
          <w:trHeight w:val="7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7A55E501"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ГСО-ППС</w:t>
            </w:r>
          </w:p>
        </w:tc>
        <w:tc>
          <w:tcPr>
            <w:tcW w:w="582" w:type="pct"/>
            <w:tcBorders>
              <w:top w:val="nil"/>
              <w:left w:val="nil"/>
              <w:bottom w:val="single" w:sz="4" w:space="0" w:color="auto"/>
              <w:right w:val="single" w:sz="4" w:space="0" w:color="auto"/>
            </w:tcBorders>
            <w:shd w:val="clear" w:color="auto" w:fill="auto"/>
            <w:noWrap/>
            <w:vAlign w:val="center"/>
            <w:hideMark/>
          </w:tcPr>
          <w:p w14:paraId="4C3F565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94,4</w:t>
            </w:r>
          </w:p>
        </w:tc>
        <w:tc>
          <w:tcPr>
            <w:tcW w:w="582" w:type="pct"/>
            <w:tcBorders>
              <w:top w:val="nil"/>
              <w:left w:val="nil"/>
              <w:bottom w:val="single" w:sz="4" w:space="0" w:color="auto"/>
              <w:right w:val="single" w:sz="4" w:space="0" w:color="auto"/>
            </w:tcBorders>
            <w:shd w:val="clear" w:color="auto" w:fill="auto"/>
            <w:noWrap/>
            <w:vAlign w:val="center"/>
            <w:hideMark/>
          </w:tcPr>
          <w:p w14:paraId="34E1297E"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94,4</w:t>
            </w:r>
          </w:p>
        </w:tc>
        <w:tc>
          <w:tcPr>
            <w:tcW w:w="534" w:type="pct"/>
            <w:tcBorders>
              <w:top w:val="nil"/>
              <w:left w:val="nil"/>
              <w:bottom w:val="single" w:sz="4" w:space="0" w:color="auto"/>
              <w:right w:val="single" w:sz="4" w:space="0" w:color="auto"/>
            </w:tcBorders>
            <w:shd w:val="clear" w:color="auto" w:fill="auto"/>
            <w:noWrap/>
            <w:vAlign w:val="center"/>
            <w:hideMark/>
          </w:tcPr>
          <w:p w14:paraId="3D019C5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0,6</w:t>
            </w:r>
          </w:p>
        </w:tc>
        <w:tc>
          <w:tcPr>
            <w:tcW w:w="534" w:type="pct"/>
            <w:tcBorders>
              <w:top w:val="nil"/>
              <w:left w:val="nil"/>
              <w:bottom w:val="single" w:sz="4" w:space="0" w:color="auto"/>
              <w:right w:val="single" w:sz="4" w:space="0" w:color="auto"/>
            </w:tcBorders>
            <w:shd w:val="clear" w:color="auto" w:fill="auto"/>
            <w:noWrap/>
            <w:vAlign w:val="center"/>
            <w:hideMark/>
          </w:tcPr>
          <w:p w14:paraId="01D7A01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0,6</w:t>
            </w:r>
          </w:p>
        </w:tc>
        <w:tc>
          <w:tcPr>
            <w:tcW w:w="510" w:type="pct"/>
            <w:tcBorders>
              <w:top w:val="nil"/>
              <w:left w:val="nil"/>
              <w:bottom w:val="single" w:sz="4" w:space="0" w:color="auto"/>
              <w:right w:val="single" w:sz="4" w:space="0" w:color="auto"/>
            </w:tcBorders>
            <w:shd w:val="clear" w:color="auto" w:fill="auto"/>
            <w:noWrap/>
            <w:vAlign w:val="center"/>
            <w:hideMark/>
          </w:tcPr>
          <w:p w14:paraId="4824FD60"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0,0</w:t>
            </w:r>
          </w:p>
        </w:tc>
        <w:tc>
          <w:tcPr>
            <w:tcW w:w="303" w:type="pct"/>
            <w:tcBorders>
              <w:top w:val="nil"/>
              <w:left w:val="nil"/>
              <w:bottom w:val="single" w:sz="4" w:space="0" w:color="auto"/>
              <w:right w:val="single" w:sz="4" w:space="0" w:color="auto"/>
            </w:tcBorders>
            <w:shd w:val="clear" w:color="auto" w:fill="auto"/>
            <w:noWrap/>
            <w:vAlign w:val="center"/>
            <w:hideMark/>
          </w:tcPr>
          <w:p w14:paraId="4E192B1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0,0</w:t>
            </w:r>
          </w:p>
        </w:tc>
        <w:tc>
          <w:tcPr>
            <w:tcW w:w="491" w:type="pct"/>
            <w:tcBorders>
              <w:top w:val="nil"/>
              <w:left w:val="nil"/>
              <w:bottom w:val="single" w:sz="4" w:space="0" w:color="auto"/>
              <w:right w:val="single" w:sz="4" w:space="0" w:color="auto"/>
            </w:tcBorders>
            <w:shd w:val="clear" w:color="auto" w:fill="auto"/>
            <w:noWrap/>
            <w:vAlign w:val="center"/>
            <w:hideMark/>
          </w:tcPr>
          <w:p w14:paraId="3697BCD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0,0</w:t>
            </w:r>
          </w:p>
        </w:tc>
      </w:tr>
      <w:tr w:rsidR="00721AA7" w:rsidRPr="00213A5D" w14:paraId="23C67445" w14:textId="77777777" w:rsidTr="00C43266">
        <w:trPr>
          <w:trHeight w:val="7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57DE7B35"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ГСО-ФПС</w:t>
            </w:r>
          </w:p>
        </w:tc>
        <w:tc>
          <w:tcPr>
            <w:tcW w:w="582" w:type="pct"/>
            <w:tcBorders>
              <w:top w:val="nil"/>
              <w:left w:val="nil"/>
              <w:bottom w:val="single" w:sz="4" w:space="0" w:color="auto"/>
              <w:right w:val="single" w:sz="4" w:space="0" w:color="auto"/>
            </w:tcBorders>
            <w:shd w:val="clear" w:color="auto" w:fill="auto"/>
            <w:noWrap/>
            <w:vAlign w:val="center"/>
            <w:hideMark/>
          </w:tcPr>
          <w:p w14:paraId="0D297AFF"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132,0</w:t>
            </w:r>
          </w:p>
        </w:tc>
        <w:tc>
          <w:tcPr>
            <w:tcW w:w="582" w:type="pct"/>
            <w:tcBorders>
              <w:top w:val="nil"/>
              <w:left w:val="nil"/>
              <w:bottom w:val="single" w:sz="4" w:space="0" w:color="auto"/>
              <w:right w:val="single" w:sz="4" w:space="0" w:color="auto"/>
            </w:tcBorders>
            <w:shd w:val="clear" w:color="auto" w:fill="auto"/>
            <w:noWrap/>
            <w:vAlign w:val="center"/>
            <w:hideMark/>
          </w:tcPr>
          <w:p w14:paraId="0B603AD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80,0</w:t>
            </w:r>
          </w:p>
        </w:tc>
        <w:tc>
          <w:tcPr>
            <w:tcW w:w="534" w:type="pct"/>
            <w:tcBorders>
              <w:top w:val="nil"/>
              <w:left w:val="nil"/>
              <w:bottom w:val="single" w:sz="4" w:space="0" w:color="auto"/>
              <w:right w:val="single" w:sz="4" w:space="0" w:color="auto"/>
            </w:tcBorders>
            <w:shd w:val="clear" w:color="auto" w:fill="auto"/>
            <w:noWrap/>
            <w:vAlign w:val="center"/>
            <w:hideMark/>
          </w:tcPr>
          <w:p w14:paraId="05BE1869"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0,8</w:t>
            </w:r>
          </w:p>
        </w:tc>
        <w:tc>
          <w:tcPr>
            <w:tcW w:w="534" w:type="pct"/>
            <w:tcBorders>
              <w:top w:val="nil"/>
              <w:left w:val="nil"/>
              <w:bottom w:val="single" w:sz="4" w:space="0" w:color="auto"/>
              <w:right w:val="single" w:sz="4" w:space="0" w:color="auto"/>
            </w:tcBorders>
            <w:shd w:val="clear" w:color="auto" w:fill="auto"/>
            <w:noWrap/>
            <w:vAlign w:val="center"/>
            <w:hideMark/>
          </w:tcPr>
          <w:p w14:paraId="68BB2080"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0,5</w:t>
            </w:r>
          </w:p>
        </w:tc>
        <w:tc>
          <w:tcPr>
            <w:tcW w:w="510" w:type="pct"/>
            <w:tcBorders>
              <w:top w:val="nil"/>
              <w:left w:val="nil"/>
              <w:bottom w:val="single" w:sz="4" w:space="0" w:color="auto"/>
              <w:right w:val="single" w:sz="4" w:space="0" w:color="auto"/>
            </w:tcBorders>
            <w:shd w:val="clear" w:color="auto" w:fill="auto"/>
            <w:noWrap/>
            <w:vAlign w:val="center"/>
            <w:hideMark/>
          </w:tcPr>
          <w:p w14:paraId="6DDABCB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-52,0</w:t>
            </w:r>
          </w:p>
        </w:tc>
        <w:tc>
          <w:tcPr>
            <w:tcW w:w="303" w:type="pct"/>
            <w:tcBorders>
              <w:top w:val="nil"/>
              <w:left w:val="nil"/>
              <w:bottom w:val="single" w:sz="4" w:space="0" w:color="auto"/>
              <w:right w:val="single" w:sz="4" w:space="0" w:color="auto"/>
            </w:tcBorders>
            <w:shd w:val="clear" w:color="auto" w:fill="auto"/>
            <w:noWrap/>
            <w:vAlign w:val="center"/>
            <w:hideMark/>
          </w:tcPr>
          <w:p w14:paraId="7B86C019"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-39,4</w:t>
            </w:r>
          </w:p>
        </w:tc>
        <w:tc>
          <w:tcPr>
            <w:tcW w:w="491" w:type="pct"/>
            <w:tcBorders>
              <w:top w:val="nil"/>
              <w:left w:val="nil"/>
              <w:bottom w:val="single" w:sz="4" w:space="0" w:color="auto"/>
              <w:right w:val="single" w:sz="4" w:space="0" w:color="auto"/>
            </w:tcBorders>
            <w:shd w:val="clear" w:color="auto" w:fill="auto"/>
            <w:noWrap/>
            <w:vAlign w:val="center"/>
            <w:hideMark/>
          </w:tcPr>
          <w:p w14:paraId="7B84769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-0,3</w:t>
            </w:r>
          </w:p>
        </w:tc>
      </w:tr>
      <w:tr w:rsidR="00721AA7" w:rsidRPr="00213A5D" w14:paraId="061D0837" w14:textId="77777777" w:rsidTr="00C43266">
        <w:trPr>
          <w:trHeight w:val="70"/>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0F6746D2"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color w:val="000000"/>
                <w:sz w:val="20"/>
                <w:szCs w:val="20"/>
              </w:rPr>
            </w:pPr>
            <w:r w:rsidRPr="00213A5D">
              <w:rPr>
                <w:rFonts w:eastAsia="Times New Roman"/>
                <w:color w:val="000000"/>
                <w:sz w:val="20"/>
                <w:szCs w:val="20"/>
              </w:rPr>
              <w:t>ОФЗ-н</w:t>
            </w:r>
          </w:p>
        </w:tc>
        <w:tc>
          <w:tcPr>
            <w:tcW w:w="582" w:type="pct"/>
            <w:tcBorders>
              <w:top w:val="nil"/>
              <w:left w:val="nil"/>
              <w:bottom w:val="single" w:sz="4" w:space="0" w:color="auto"/>
              <w:right w:val="single" w:sz="4" w:space="0" w:color="auto"/>
            </w:tcBorders>
            <w:shd w:val="clear" w:color="auto" w:fill="auto"/>
            <w:noWrap/>
            <w:vAlign w:val="center"/>
            <w:hideMark/>
          </w:tcPr>
          <w:p w14:paraId="0814B24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39,2</w:t>
            </w:r>
          </w:p>
        </w:tc>
        <w:tc>
          <w:tcPr>
            <w:tcW w:w="582" w:type="pct"/>
            <w:tcBorders>
              <w:top w:val="nil"/>
              <w:left w:val="nil"/>
              <w:bottom w:val="single" w:sz="4" w:space="0" w:color="auto"/>
              <w:right w:val="single" w:sz="4" w:space="0" w:color="auto"/>
            </w:tcBorders>
            <w:shd w:val="clear" w:color="auto" w:fill="auto"/>
            <w:noWrap/>
            <w:vAlign w:val="center"/>
            <w:hideMark/>
          </w:tcPr>
          <w:p w14:paraId="1D07BB96"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22,6</w:t>
            </w:r>
          </w:p>
        </w:tc>
        <w:tc>
          <w:tcPr>
            <w:tcW w:w="534" w:type="pct"/>
            <w:tcBorders>
              <w:top w:val="nil"/>
              <w:left w:val="nil"/>
              <w:bottom w:val="single" w:sz="4" w:space="0" w:color="auto"/>
              <w:right w:val="single" w:sz="4" w:space="0" w:color="auto"/>
            </w:tcBorders>
            <w:shd w:val="clear" w:color="auto" w:fill="auto"/>
            <w:noWrap/>
            <w:vAlign w:val="center"/>
            <w:hideMark/>
          </w:tcPr>
          <w:p w14:paraId="4CB43E03"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0,2</w:t>
            </w:r>
          </w:p>
        </w:tc>
        <w:tc>
          <w:tcPr>
            <w:tcW w:w="534" w:type="pct"/>
            <w:tcBorders>
              <w:top w:val="nil"/>
              <w:left w:val="nil"/>
              <w:bottom w:val="single" w:sz="4" w:space="0" w:color="auto"/>
              <w:right w:val="single" w:sz="4" w:space="0" w:color="auto"/>
            </w:tcBorders>
            <w:shd w:val="clear" w:color="auto" w:fill="auto"/>
            <w:noWrap/>
            <w:vAlign w:val="center"/>
            <w:hideMark/>
          </w:tcPr>
          <w:p w14:paraId="39BBCEBC"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0,1</w:t>
            </w:r>
          </w:p>
        </w:tc>
        <w:tc>
          <w:tcPr>
            <w:tcW w:w="510" w:type="pct"/>
            <w:tcBorders>
              <w:top w:val="nil"/>
              <w:left w:val="nil"/>
              <w:bottom w:val="single" w:sz="4" w:space="0" w:color="auto"/>
              <w:right w:val="single" w:sz="4" w:space="0" w:color="auto"/>
            </w:tcBorders>
            <w:shd w:val="clear" w:color="auto" w:fill="auto"/>
            <w:noWrap/>
            <w:vAlign w:val="center"/>
            <w:hideMark/>
          </w:tcPr>
          <w:p w14:paraId="74F6CD5F"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-16,5</w:t>
            </w:r>
          </w:p>
        </w:tc>
        <w:tc>
          <w:tcPr>
            <w:tcW w:w="303" w:type="pct"/>
            <w:tcBorders>
              <w:top w:val="nil"/>
              <w:left w:val="nil"/>
              <w:bottom w:val="single" w:sz="4" w:space="0" w:color="auto"/>
              <w:right w:val="single" w:sz="4" w:space="0" w:color="auto"/>
            </w:tcBorders>
            <w:shd w:val="clear" w:color="auto" w:fill="auto"/>
            <w:noWrap/>
            <w:vAlign w:val="center"/>
            <w:hideMark/>
          </w:tcPr>
          <w:p w14:paraId="3B31B5DD"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-42,3</w:t>
            </w:r>
          </w:p>
        </w:tc>
        <w:tc>
          <w:tcPr>
            <w:tcW w:w="491" w:type="pct"/>
            <w:tcBorders>
              <w:top w:val="nil"/>
              <w:left w:val="nil"/>
              <w:bottom w:val="single" w:sz="4" w:space="0" w:color="auto"/>
              <w:right w:val="single" w:sz="4" w:space="0" w:color="auto"/>
            </w:tcBorders>
            <w:shd w:val="clear" w:color="auto" w:fill="auto"/>
            <w:noWrap/>
            <w:vAlign w:val="center"/>
            <w:hideMark/>
          </w:tcPr>
          <w:p w14:paraId="7D1ABEF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-0,1</w:t>
            </w:r>
          </w:p>
        </w:tc>
      </w:tr>
      <w:tr w:rsidR="00721AA7" w:rsidRPr="00213A5D" w14:paraId="46FA9750" w14:textId="77777777" w:rsidTr="00C43266">
        <w:trPr>
          <w:trHeight w:val="765"/>
        </w:trPr>
        <w:tc>
          <w:tcPr>
            <w:tcW w:w="1465" w:type="pct"/>
            <w:tcBorders>
              <w:top w:val="nil"/>
              <w:left w:val="single" w:sz="4" w:space="0" w:color="auto"/>
              <w:bottom w:val="single" w:sz="4" w:space="0" w:color="auto"/>
              <w:right w:val="single" w:sz="4" w:space="0" w:color="auto"/>
            </w:tcBorders>
            <w:shd w:val="clear" w:color="auto" w:fill="auto"/>
            <w:vAlign w:val="center"/>
            <w:hideMark/>
          </w:tcPr>
          <w:p w14:paraId="22D0CA79" w14:textId="77777777" w:rsidR="00721AA7" w:rsidRPr="00213A5D" w:rsidRDefault="00721AA7" w:rsidP="00AF1852">
            <w:pPr>
              <w:widowControl w:val="0"/>
              <w:overflowPunct/>
              <w:autoSpaceDE/>
              <w:autoSpaceDN/>
              <w:adjustRightInd/>
              <w:spacing w:line="240" w:lineRule="auto"/>
              <w:ind w:left="0" w:right="0" w:firstLine="0"/>
              <w:textAlignment w:val="auto"/>
              <w:rPr>
                <w:rFonts w:eastAsia="Times New Roman"/>
                <w:b/>
                <w:bCs/>
                <w:color w:val="000000"/>
                <w:sz w:val="20"/>
                <w:szCs w:val="20"/>
              </w:rPr>
            </w:pPr>
            <w:r w:rsidRPr="00213A5D">
              <w:rPr>
                <w:rFonts w:eastAsia="Times New Roman"/>
                <w:b/>
                <w:bCs/>
                <w:color w:val="000000"/>
                <w:sz w:val="20"/>
                <w:szCs w:val="20"/>
              </w:rPr>
              <w:t>2. Государственные гарантии Российской Федерации в валюте Российской Федерации</w:t>
            </w:r>
          </w:p>
        </w:tc>
        <w:tc>
          <w:tcPr>
            <w:tcW w:w="582" w:type="pct"/>
            <w:tcBorders>
              <w:top w:val="nil"/>
              <w:left w:val="nil"/>
              <w:bottom w:val="single" w:sz="4" w:space="0" w:color="auto"/>
              <w:right w:val="single" w:sz="4" w:space="0" w:color="auto"/>
            </w:tcBorders>
            <w:shd w:val="clear" w:color="auto" w:fill="auto"/>
            <w:vAlign w:val="center"/>
            <w:hideMark/>
          </w:tcPr>
          <w:p w14:paraId="3EF4490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726,6</w:t>
            </w:r>
          </w:p>
        </w:tc>
        <w:tc>
          <w:tcPr>
            <w:tcW w:w="582" w:type="pct"/>
            <w:tcBorders>
              <w:top w:val="nil"/>
              <w:left w:val="nil"/>
              <w:bottom w:val="single" w:sz="4" w:space="0" w:color="auto"/>
              <w:right w:val="single" w:sz="4" w:space="0" w:color="auto"/>
            </w:tcBorders>
            <w:shd w:val="clear" w:color="auto" w:fill="auto"/>
            <w:vAlign w:val="center"/>
            <w:hideMark/>
          </w:tcPr>
          <w:p w14:paraId="3CA2F09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721,8</w:t>
            </w:r>
          </w:p>
        </w:tc>
        <w:tc>
          <w:tcPr>
            <w:tcW w:w="534" w:type="pct"/>
            <w:tcBorders>
              <w:top w:val="nil"/>
              <w:left w:val="nil"/>
              <w:bottom w:val="single" w:sz="4" w:space="0" w:color="auto"/>
              <w:right w:val="single" w:sz="4" w:space="0" w:color="auto"/>
            </w:tcBorders>
            <w:shd w:val="clear" w:color="auto" w:fill="auto"/>
            <w:noWrap/>
            <w:vAlign w:val="center"/>
            <w:hideMark/>
          </w:tcPr>
          <w:p w14:paraId="51F53A55"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4,4</w:t>
            </w:r>
          </w:p>
        </w:tc>
        <w:tc>
          <w:tcPr>
            <w:tcW w:w="534" w:type="pct"/>
            <w:tcBorders>
              <w:top w:val="nil"/>
              <w:left w:val="nil"/>
              <w:bottom w:val="single" w:sz="4" w:space="0" w:color="auto"/>
              <w:right w:val="single" w:sz="4" w:space="0" w:color="auto"/>
            </w:tcBorders>
            <w:shd w:val="clear" w:color="auto" w:fill="auto"/>
            <w:noWrap/>
            <w:vAlign w:val="center"/>
            <w:hideMark/>
          </w:tcPr>
          <w:p w14:paraId="47CBA86B"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4,4</w:t>
            </w:r>
          </w:p>
        </w:tc>
        <w:tc>
          <w:tcPr>
            <w:tcW w:w="510" w:type="pct"/>
            <w:tcBorders>
              <w:top w:val="nil"/>
              <w:left w:val="nil"/>
              <w:bottom w:val="single" w:sz="4" w:space="0" w:color="auto"/>
              <w:right w:val="single" w:sz="4" w:space="0" w:color="auto"/>
            </w:tcBorders>
            <w:shd w:val="clear" w:color="auto" w:fill="auto"/>
            <w:noWrap/>
            <w:vAlign w:val="center"/>
            <w:hideMark/>
          </w:tcPr>
          <w:p w14:paraId="6B08ED08"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-4,8</w:t>
            </w:r>
          </w:p>
        </w:tc>
        <w:tc>
          <w:tcPr>
            <w:tcW w:w="303" w:type="pct"/>
            <w:tcBorders>
              <w:top w:val="nil"/>
              <w:left w:val="nil"/>
              <w:bottom w:val="single" w:sz="4" w:space="0" w:color="auto"/>
              <w:right w:val="single" w:sz="4" w:space="0" w:color="auto"/>
            </w:tcBorders>
            <w:shd w:val="clear" w:color="auto" w:fill="auto"/>
            <w:noWrap/>
            <w:vAlign w:val="center"/>
            <w:hideMark/>
          </w:tcPr>
          <w:p w14:paraId="507A35C7"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-0,7</w:t>
            </w:r>
          </w:p>
        </w:tc>
        <w:tc>
          <w:tcPr>
            <w:tcW w:w="491" w:type="pct"/>
            <w:tcBorders>
              <w:top w:val="nil"/>
              <w:left w:val="nil"/>
              <w:bottom w:val="single" w:sz="4" w:space="0" w:color="auto"/>
              <w:right w:val="single" w:sz="4" w:space="0" w:color="auto"/>
            </w:tcBorders>
            <w:shd w:val="clear" w:color="auto" w:fill="auto"/>
            <w:noWrap/>
            <w:vAlign w:val="center"/>
            <w:hideMark/>
          </w:tcPr>
          <w:p w14:paraId="7B6E0674" w14:textId="77777777" w:rsidR="00721AA7" w:rsidRPr="00213A5D" w:rsidRDefault="00721AA7" w:rsidP="00AF1852">
            <w:pPr>
              <w:widowControl w:val="0"/>
              <w:overflowPunct/>
              <w:autoSpaceDE/>
              <w:autoSpaceDN/>
              <w:adjustRightInd/>
              <w:spacing w:line="240" w:lineRule="auto"/>
              <w:ind w:left="0" w:right="0" w:firstLine="0"/>
              <w:jc w:val="center"/>
              <w:textAlignment w:val="auto"/>
              <w:rPr>
                <w:rFonts w:eastAsia="Times New Roman"/>
                <w:color w:val="000000"/>
                <w:sz w:val="20"/>
                <w:szCs w:val="20"/>
              </w:rPr>
            </w:pPr>
            <w:r w:rsidRPr="00213A5D">
              <w:rPr>
                <w:rFonts w:eastAsia="Times New Roman"/>
                <w:color w:val="000000"/>
                <w:sz w:val="20"/>
                <w:szCs w:val="20"/>
              </w:rPr>
              <w:t>0,0</w:t>
            </w:r>
          </w:p>
        </w:tc>
      </w:tr>
    </w:tbl>
    <w:p w14:paraId="168BA59E" w14:textId="77777777" w:rsidR="00721AA7" w:rsidRPr="00213A5D" w:rsidRDefault="00721AA7" w:rsidP="00AF1852">
      <w:pPr>
        <w:widowControl w:val="0"/>
        <w:overflowPunct/>
        <w:autoSpaceDE/>
        <w:autoSpaceDN/>
        <w:adjustRightInd/>
        <w:ind w:left="0" w:right="0"/>
        <w:textAlignment w:val="auto"/>
        <w:rPr>
          <w:rFonts w:eastAsia="Times New Roman"/>
          <w:bCs/>
          <w:color w:val="000000"/>
          <w:sz w:val="12"/>
          <w:szCs w:val="12"/>
          <w:lang w:val="en-US"/>
        </w:rPr>
      </w:pPr>
    </w:p>
    <w:p w14:paraId="065D51CE" w14:textId="77777777" w:rsidR="00721AA7" w:rsidRPr="00213A5D" w:rsidRDefault="00721AA7" w:rsidP="00AF1852">
      <w:pPr>
        <w:widowControl w:val="0"/>
        <w:overflowPunct/>
        <w:autoSpaceDE/>
        <w:autoSpaceDN/>
        <w:adjustRightInd/>
        <w:ind w:left="0" w:right="0"/>
        <w:textAlignment w:val="auto"/>
        <w:rPr>
          <w:rFonts w:eastAsia="Times New Roman"/>
          <w:b/>
          <w:bCs/>
          <w:color w:val="000000"/>
          <w:sz w:val="24"/>
          <w:szCs w:val="24"/>
        </w:rPr>
      </w:pPr>
      <w:r w:rsidRPr="00213A5D">
        <w:rPr>
          <w:rFonts w:eastAsia="Times New Roman"/>
          <w:b/>
          <w:bCs/>
          <w:color w:val="000000"/>
          <w:sz w:val="24"/>
          <w:szCs w:val="24"/>
        </w:rPr>
        <w:t>Уменьшение</w:t>
      </w:r>
      <w:r w:rsidRPr="00213A5D">
        <w:rPr>
          <w:rFonts w:eastAsia="Times New Roman"/>
          <w:bCs/>
          <w:color w:val="000000"/>
          <w:sz w:val="24"/>
          <w:szCs w:val="24"/>
        </w:rPr>
        <w:t xml:space="preserve"> государственного </w:t>
      </w:r>
      <w:r w:rsidRPr="00213A5D">
        <w:rPr>
          <w:rFonts w:eastAsia="Times New Roman"/>
          <w:b/>
          <w:bCs/>
          <w:color w:val="000000"/>
          <w:sz w:val="24"/>
          <w:szCs w:val="24"/>
        </w:rPr>
        <w:t>внутреннего д</w:t>
      </w:r>
      <w:r w:rsidRPr="00213A5D">
        <w:rPr>
          <w:rFonts w:eastAsia="Times New Roman"/>
          <w:bCs/>
          <w:color w:val="000000"/>
          <w:sz w:val="24"/>
          <w:szCs w:val="24"/>
        </w:rPr>
        <w:t xml:space="preserve">олга Российской Федерации, </w:t>
      </w:r>
      <w:r w:rsidRPr="00213A5D">
        <w:rPr>
          <w:rFonts w:eastAsia="Times New Roman"/>
          <w:b/>
          <w:bCs/>
          <w:color w:val="000000"/>
          <w:sz w:val="24"/>
          <w:szCs w:val="24"/>
        </w:rPr>
        <w:t>выраженного в государственных ценных бумагах</w:t>
      </w:r>
      <w:r w:rsidRPr="00213A5D">
        <w:rPr>
          <w:rFonts w:eastAsia="Times New Roman"/>
          <w:bCs/>
          <w:color w:val="000000"/>
          <w:sz w:val="24"/>
          <w:szCs w:val="24"/>
        </w:rPr>
        <w:t xml:space="preserve"> Российской Федерации, за январь –</w:t>
      </w:r>
      <w:r w:rsidR="00A62843" w:rsidRPr="00213A5D">
        <w:rPr>
          <w:rFonts w:eastAsia="Times New Roman"/>
          <w:bCs/>
          <w:color w:val="000000"/>
          <w:sz w:val="24"/>
          <w:szCs w:val="24"/>
        </w:rPr>
        <w:t xml:space="preserve"> </w:t>
      </w:r>
      <w:r w:rsidRPr="00213A5D">
        <w:rPr>
          <w:rFonts w:eastAsia="Times New Roman"/>
          <w:bCs/>
          <w:color w:val="000000"/>
          <w:sz w:val="24"/>
          <w:szCs w:val="24"/>
        </w:rPr>
        <w:t xml:space="preserve">сентябрь 2022 года связано в основном с уменьшением объема государственного долга по ОФЗ-ПД на сумму 171 664,0 млн. рублей, или на 1,7 %, а также объема госдолга по ОФЗ-ПК </w:t>
      </w:r>
      <w:r w:rsidRPr="00213A5D">
        <w:rPr>
          <w:rFonts w:eastAsia="Times New Roman"/>
          <w:b/>
          <w:bCs/>
          <w:color w:val="000000"/>
          <w:sz w:val="24"/>
          <w:szCs w:val="24"/>
        </w:rPr>
        <w:t xml:space="preserve">на 100 000,0 млн. рублей, или на 2,1 %. </w:t>
      </w:r>
    </w:p>
    <w:p w14:paraId="4517F02D" w14:textId="77777777" w:rsidR="00721AA7" w:rsidRPr="00213A5D" w:rsidRDefault="00721AA7" w:rsidP="00AF1852">
      <w:pPr>
        <w:widowControl w:val="0"/>
        <w:overflowPunct/>
        <w:autoSpaceDE/>
        <w:autoSpaceDN/>
        <w:adjustRightInd/>
        <w:ind w:left="0" w:right="0" w:firstLine="720"/>
        <w:textAlignment w:val="auto"/>
        <w:rPr>
          <w:rFonts w:eastAsia="Times New Roman"/>
          <w:color w:val="000000"/>
          <w:sz w:val="24"/>
          <w:szCs w:val="24"/>
        </w:rPr>
      </w:pPr>
      <w:r w:rsidRPr="00213A5D">
        <w:rPr>
          <w:rFonts w:eastAsia="Times New Roman"/>
          <w:b/>
          <w:color w:val="000000"/>
          <w:sz w:val="24"/>
          <w:szCs w:val="24"/>
        </w:rPr>
        <w:t>Государственный долг по государственным гарантиям</w:t>
      </w:r>
      <w:r w:rsidRPr="00213A5D">
        <w:rPr>
          <w:rFonts w:eastAsia="Times New Roman"/>
          <w:color w:val="000000"/>
          <w:sz w:val="24"/>
          <w:szCs w:val="24"/>
        </w:rPr>
        <w:t xml:space="preserve"> Российской Федерации </w:t>
      </w:r>
      <w:r w:rsidRPr="00213A5D">
        <w:rPr>
          <w:rFonts w:eastAsia="Times New Roman"/>
          <w:color w:val="000000"/>
          <w:sz w:val="24"/>
          <w:szCs w:val="24"/>
        </w:rPr>
        <w:br/>
        <w:t xml:space="preserve">в валюте Российской Федерации на 1 октября 2022 года составил 721 831,1 млн. рублей, </w:t>
      </w:r>
      <w:r w:rsidRPr="00213A5D">
        <w:rPr>
          <w:rFonts w:eastAsia="Times New Roman"/>
          <w:color w:val="000000"/>
          <w:sz w:val="24"/>
          <w:szCs w:val="24"/>
        </w:rPr>
        <w:br/>
        <w:t xml:space="preserve">за январь – сентябрь 2022 года его объем </w:t>
      </w:r>
      <w:r w:rsidRPr="00213A5D">
        <w:rPr>
          <w:rFonts w:eastAsia="Times New Roman"/>
          <w:b/>
          <w:color w:val="000000"/>
          <w:sz w:val="24"/>
          <w:szCs w:val="24"/>
        </w:rPr>
        <w:t>уменьшился</w:t>
      </w:r>
      <w:r w:rsidRPr="00213A5D">
        <w:rPr>
          <w:rFonts w:eastAsia="Times New Roman"/>
          <w:color w:val="000000"/>
          <w:sz w:val="24"/>
          <w:szCs w:val="24"/>
        </w:rPr>
        <w:t xml:space="preserve"> на 4 761,6 млн. рублей, или на 0,7 %, что обусловлено:</w:t>
      </w:r>
    </w:p>
    <w:p w14:paraId="4265CBDC" w14:textId="77777777" w:rsidR="001A141F" w:rsidRPr="00213A5D" w:rsidRDefault="001A141F" w:rsidP="00B842E1">
      <w:pPr>
        <w:pStyle w:val="aff6"/>
        <w:widowControl w:val="0"/>
        <w:numPr>
          <w:ilvl w:val="0"/>
          <w:numId w:val="8"/>
        </w:numPr>
        <w:tabs>
          <w:tab w:val="left" w:pos="1134"/>
        </w:tabs>
        <w:overflowPunct/>
        <w:autoSpaceDE/>
        <w:autoSpaceDN/>
        <w:adjustRightInd/>
        <w:ind w:left="0" w:right="0" w:firstLine="709"/>
        <w:textAlignment w:val="auto"/>
        <w:rPr>
          <w:color w:val="000000"/>
          <w:sz w:val="24"/>
          <w:szCs w:val="24"/>
        </w:rPr>
      </w:pPr>
      <w:r w:rsidRPr="00213A5D">
        <w:rPr>
          <w:color w:val="000000"/>
          <w:sz w:val="24"/>
          <w:szCs w:val="24"/>
        </w:rPr>
        <w:t>уменьшением фактических обязательств принципалов на сумму 26 293,0 млн. рублей по 29 государственн</w:t>
      </w:r>
      <w:r w:rsidR="00D27C93" w:rsidRPr="00213A5D">
        <w:rPr>
          <w:color w:val="000000"/>
          <w:sz w:val="24"/>
          <w:szCs w:val="24"/>
        </w:rPr>
        <w:t>ым</w:t>
      </w:r>
      <w:r w:rsidRPr="00213A5D">
        <w:rPr>
          <w:color w:val="000000"/>
          <w:sz w:val="24"/>
          <w:szCs w:val="24"/>
        </w:rPr>
        <w:t xml:space="preserve"> гаранти</w:t>
      </w:r>
      <w:r w:rsidR="00D27C93" w:rsidRPr="00213A5D">
        <w:rPr>
          <w:color w:val="000000"/>
          <w:sz w:val="24"/>
          <w:szCs w:val="24"/>
        </w:rPr>
        <w:t>ям</w:t>
      </w:r>
      <w:r w:rsidRPr="00213A5D">
        <w:rPr>
          <w:color w:val="000000"/>
          <w:sz w:val="24"/>
          <w:szCs w:val="24"/>
        </w:rPr>
        <w:t>;</w:t>
      </w:r>
    </w:p>
    <w:p w14:paraId="564A84C5" w14:textId="77777777" w:rsidR="0080509B" w:rsidRPr="00213A5D" w:rsidRDefault="0080509B" w:rsidP="00B842E1">
      <w:pPr>
        <w:pStyle w:val="aff6"/>
        <w:widowControl w:val="0"/>
        <w:numPr>
          <w:ilvl w:val="0"/>
          <w:numId w:val="8"/>
        </w:numPr>
        <w:tabs>
          <w:tab w:val="left" w:pos="1134"/>
        </w:tabs>
        <w:overflowPunct/>
        <w:autoSpaceDE/>
        <w:autoSpaceDN/>
        <w:adjustRightInd/>
        <w:ind w:left="0" w:right="0" w:firstLine="709"/>
        <w:textAlignment w:val="auto"/>
        <w:rPr>
          <w:color w:val="000000"/>
          <w:sz w:val="24"/>
          <w:szCs w:val="24"/>
        </w:rPr>
      </w:pPr>
      <w:r w:rsidRPr="00213A5D">
        <w:rPr>
          <w:color w:val="000000"/>
          <w:sz w:val="24"/>
          <w:szCs w:val="24"/>
        </w:rPr>
        <w:t>увеличением фактических обязательств принципалов на сумму 21 531,4 млн. рублей по 3 государственным гарантиям.</w:t>
      </w:r>
    </w:p>
    <w:p w14:paraId="03D46F35" w14:textId="77777777" w:rsidR="001A141F" w:rsidRPr="00213A5D" w:rsidRDefault="001A141F" w:rsidP="00AF1852">
      <w:pPr>
        <w:widowControl w:val="0"/>
        <w:overflowPunct/>
        <w:autoSpaceDE/>
        <w:adjustRightInd/>
        <w:spacing w:line="348" w:lineRule="auto"/>
        <w:ind w:left="0" w:right="0"/>
        <w:rPr>
          <w:rFonts w:eastAsia="Times New Roman"/>
          <w:color w:val="000000"/>
          <w:sz w:val="24"/>
          <w:szCs w:val="24"/>
        </w:rPr>
      </w:pPr>
      <w:r w:rsidRPr="00213A5D">
        <w:rPr>
          <w:rFonts w:eastAsia="Times New Roman"/>
          <w:b/>
          <w:color w:val="000000"/>
          <w:sz w:val="24"/>
          <w:szCs w:val="24"/>
        </w:rPr>
        <w:t>Планом первоочередных действий по обеспечению развития российской экономики</w:t>
      </w:r>
      <w:r w:rsidRPr="00213A5D">
        <w:rPr>
          <w:rFonts w:eastAsia="Times New Roman"/>
          <w:color w:val="000000"/>
          <w:sz w:val="24"/>
          <w:szCs w:val="24"/>
        </w:rPr>
        <w:t xml:space="preserve"> в условиях внешнего санкционного давления предусмотрен пересмотр механизма предоставления государственных гарантий:</w:t>
      </w:r>
    </w:p>
    <w:p w14:paraId="07BAFE7A" w14:textId="77777777" w:rsidR="001A141F" w:rsidRPr="00213A5D" w:rsidRDefault="001A141F" w:rsidP="00AF1852">
      <w:pPr>
        <w:widowControl w:val="0"/>
        <w:overflowPunct/>
        <w:autoSpaceDE/>
        <w:adjustRightInd/>
        <w:spacing w:line="348" w:lineRule="auto"/>
        <w:ind w:left="0" w:right="0"/>
        <w:rPr>
          <w:rFonts w:eastAsia="Times New Roman"/>
          <w:color w:val="000000"/>
          <w:sz w:val="24"/>
          <w:szCs w:val="24"/>
        </w:rPr>
      </w:pPr>
      <w:r w:rsidRPr="00213A5D">
        <w:rPr>
          <w:rFonts w:eastAsia="Times New Roman"/>
          <w:color w:val="000000"/>
          <w:sz w:val="24"/>
          <w:szCs w:val="24"/>
        </w:rPr>
        <w:t xml:space="preserve">1) Федеральным законом от 14 марта 2022 г. № 59-ФЗ Правительству Российской Федерации в 2022 году предоставлено право </w:t>
      </w:r>
      <w:r w:rsidRPr="00213A5D">
        <w:rPr>
          <w:rFonts w:eastAsia="Times New Roman"/>
          <w:b/>
          <w:color w:val="000000"/>
          <w:sz w:val="24"/>
          <w:szCs w:val="24"/>
        </w:rPr>
        <w:t>предоставлять государственные гарантии Российской Федерации с превышением предусмотренных</w:t>
      </w:r>
      <w:r w:rsidRPr="00213A5D">
        <w:rPr>
          <w:rFonts w:eastAsia="Times New Roman"/>
          <w:color w:val="000000"/>
          <w:sz w:val="24"/>
          <w:szCs w:val="24"/>
        </w:rPr>
        <w:t xml:space="preserve"> Федеральным законом </w:t>
      </w:r>
      <w:r w:rsidR="005A6AAD" w:rsidRPr="00213A5D">
        <w:rPr>
          <w:rFonts w:eastAsia="Times New Roman"/>
          <w:color w:val="000000"/>
          <w:sz w:val="24"/>
          <w:szCs w:val="24"/>
        </w:rPr>
        <w:br/>
      </w:r>
      <w:r w:rsidRPr="00213A5D">
        <w:rPr>
          <w:rFonts w:eastAsia="Times New Roman"/>
          <w:color w:val="000000"/>
          <w:sz w:val="24"/>
          <w:szCs w:val="24"/>
        </w:rPr>
        <w:t xml:space="preserve">№ 390-ФЗ </w:t>
      </w:r>
      <w:r w:rsidRPr="00213A5D">
        <w:rPr>
          <w:rFonts w:eastAsia="Times New Roman"/>
          <w:b/>
          <w:color w:val="000000"/>
          <w:sz w:val="24"/>
          <w:szCs w:val="24"/>
        </w:rPr>
        <w:t>показателей программ</w:t>
      </w:r>
      <w:r w:rsidRPr="00213A5D">
        <w:rPr>
          <w:rFonts w:eastAsia="Times New Roman"/>
          <w:color w:val="000000"/>
          <w:sz w:val="24"/>
          <w:szCs w:val="24"/>
        </w:rPr>
        <w:t xml:space="preserve"> государственных гарантий Российской Федерации, а также принимать решения о предоставлении в 2022 году государственных гарантий Российской Федерации, не предусмотренных законом о бюджете, а также на условиях, отличных от установленных программами государственных гарантий Российской Федерации, соответствующих требованиям Бюджетного кодекса Российской Федерации;</w:t>
      </w:r>
    </w:p>
    <w:p w14:paraId="2BC146F8" w14:textId="77777777" w:rsidR="001A141F" w:rsidRPr="00213A5D" w:rsidRDefault="001A141F" w:rsidP="00AF1852">
      <w:pPr>
        <w:widowControl w:val="0"/>
        <w:overflowPunct/>
        <w:autoSpaceDE/>
        <w:adjustRightInd/>
        <w:spacing w:line="336" w:lineRule="auto"/>
        <w:ind w:left="0" w:right="0"/>
        <w:rPr>
          <w:rFonts w:eastAsia="Times New Roman"/>
          <w:color w:val="000000"/>
          <w:sz w:val="24"/>
          <w:szCs w:val="24"/>
        </w:rPr>
      </w:pPr>
      <w:r w:rsidRPr="00213A5D">
        <w:rPr>
          <w:rFonts w:eastAsia="Times New Roman"/>
          <w:color w:val="000000"/>
          <w:sz w:val="24"/>
          <w:szCs w:val="24"/>
        </w:rPr>
        <w:t xml:space="preserve">2) Федеральным законом от 28 мая 2022 г. № 146-ФЗ предусмотрено </w:t>
      </w:r>
      <w:r w:rsidRPr="00213A5D">
        <w:rPr>
          <w:rFonts w:eastAsia="Times New Roman"/>
          <w:b/>
          <w:color w:val="000000"/>
          <w:sz w:val="24"/>
          <w:szCs w:val="24"/>
        </w:rPr>
        <w:t>оказание государственной гарантийной поддержки</w:t>
      </w:r>
      <w:r w:rsidRPr="00213A5D">
        <w:rPr>
          <w:rFonts w:eastAsia="Times New Roman"/>
          <w:color w:val="000000"/>
          <w:sz w:val="24"/>
          <w:szCs w:val="24"/>
        </w:rPr>
        <w:t xml:space="preserve"> Российской Федерации в 2022 году </w:t>
      </w:r>
      <w:r w:rsidRPr="00213A5D">
        <w:rPr>
          <w:rFonts w:eastAsia="Times New Roman"/>
          <w:b/>
          <w:color w:val="000000"/>
          <w:sz w:val="24"/>
          <w:szCs w:val="24"/>
        </w:rPr>
        <w:t>с превышением</w:t>
      </w:r>
      <w:r w:rsidRPr="00213A5D">
        <w:rPr>
          <w:rFonts w:eastAsia="Times New Roman"/>
          <w:color w:val="000000"/>
          <w:sz w:val="24"/>
          <w:szCs w:val="24"/>
        </w:rPr>
        <w:t xml:space="preserve"> предусмотренных Федеральным законом № 390-ФЗ </w:t>
      </w:r>
      <w:r w:rsidRPr="00213A5D">
        <w:rPr>
          <w:rFonts w:eastAsia="Times New Roman"/>
          <w:b/>
          <w:color w:val="000000"/>
          <w:sz w:val="24"/>
          <w:szCs w:val="24"/>
        </w:rPr>
        <w:t xml:space="preserve">показателей верхнего </w:t>
      </w:r>
      <w:r w:rsidRPr="00213A5D">
        <w:rPr>
          <w:rFonts w:eastAsia="Times New Roman"/>
          <w:b/>
          <w:color w:val="000000"/>
          <w:sz w:val="24"/>
          <w:szCs w:val="24"/>
        </w:rPr>
        <w:lastRenderedPageBreak/>
        <w:t>предела государственного</w:t>
      </w:r>
      <w:r w:rsidRPr="00213A5D">
        <w:rPr>
          <w:rFonts w:eastAsia="Times New Roman"/>
          <w:color w:val="000000"/>
          <w:sz w:val="24"/>
          <w:szCs w:val="24"/>
        </w:rPr>
        <w:t xml:space="preserve"> внешнего и внутреннего </w:t>
      </w:r>
      <w:r w:rsidRPr="00213A5D">
        <w:rPr>
          <w:rFonts w:eastAsia="Times New Roman"/>
          <w:b/>
          <w:color w:val="000000"/>
          <w:sz w:val="24"/>
          <w:szCs w:val="24"/>
        </w:rPr>
        <w:t>долга</w:t>
      </w:r>
      <w:r w:rsidRPr="00213A5D">
        <w:rPr>
          <w:rFonts w:eastAsia="Times New Roman"/>
          <w:color w:val="000000"/>
          <w:sz w:val="24"/>
          <w:szCs w:val="24"/>
        </w:rPr>
        <w:t xml:space="preserve"> Российской Федерации по государственным гарантиям Российской Федерации в иностранной валюте и в валюте Российской Федерации</w:t>
      </w:r>
      <w:r w:rsidR="001130C8" w:rsidRPr="00213A5D">
        <w:rPr>
          <w:rFonts w:eastAsia="Times New Roman"/>
          <w:color w:val="000000"/>
          <w:sz w:val="24"/>
          <w:szCs w:val="24"/>
        </w:rPr>
        <w:t xml:space="preserve"> соответственно</w:t>
      </w:r>
      <w:r w:rsidRPr="00213A5D">
        <w:rPr>
          <w:rFonts w:eastAsia="Times New Roman"/>
          <w:color w:val="000000"/>
          <w:sz w:val="24"/>
          <w:szCs w:val="24"/>
        </w:rPr>
        <w:t>;</w:t>
      </w:r>
    </w:p>
    <w:p w14:paraId="30CC57DC" w14:textId="77777777" w:rsidR="001A141F" w:rsidRPr="00213A5D" w:rsidRDefault="001A141F" w:rsidP="00AF1852">
      <w:pPr>
        <w:widowControl w:val="0"/>
        <w:overflowPunct/>
        <w:autoSpaceDE/>
        <w:adjustRightInd/>
        <w:spacing w:line="336" w:lineRule="auto"/>
        <w:ind w:left="0" w:right="0"/>
        <w:rPr>
          <w:rFonts w:eastAsia="Times New Roman"/>
          <w:color w:val="000000"/>
          <w:sz w:val="24"/>
          <w:szCs w:val="24"/>
        </w:rPr>
      </w:pPr>
      <w:r w:rsidRPr="00213A5D">
        <w:rPr>
          <w:rFonts w:eastAsia="Times New Roman"/>
          <w:color w:val="000000"/>
          <w:sz w:val="24"/>
          <w:szCs w:val="24"/>
        </w:rPr>
        <w:t xml:space="preserve">3) постановлением Правительства Российской Федерации от 7 апреля 2022 г. № 613 </w:t>
      </w:r>
      <w:r w:rsidRPr="00213A5D">
        <w:rPr>
          <w:rFonts w:eastAsia="Times New Roman"/>
          <w:b/>
          <w:color w:val="000000"/>
          <w:sz w:val="24"/>
          <w:szCs w:val="24"/>
        </w:rPr>
        <w:t>продлено на 2022 год действие Правил предоставления государственных гарантий</w:t>
      </w:r>
      <w:r w:rsidRPr="00213A5D">
        <w:rPr>
          <w:rFonts w:eastAsia="Times New Roman"/>
          <w:color w:val="000000"/>
          <w:sz w:val="24"/>
          <w:szCs w:val="24"/>
        </w:rPr>
        <w:t xml:space="preserve"> Российской Федерации по кредитам или облигационным займам, привлекаемым юридическими лицами на цели, установленные Правительством Российской Федерации в рамках мер, направленных на решение неотложных задач по обеспечению устойчивости экономического развития;</w:t>
      </w:r>
    </w:p>
    <w:p w14:paraId="2A535C81" w14:textId="77777777" w:rsidR="001A141F" w:rsidRPr="00213A5D" w:rsidRDefault="001A141F" w:rsidP="00AF1852">
      <w:pPr>
        <w:widowControl w:val="0"/>
        <w:overflowPunct/>
        <w:autoSpaceDE/>
        <w:adjustRightInd/>
        <w:spacing w:line="336" w:lineRule="auto"/>
        <w:ind w:left="0" w:right="0"/>
        <w:rPr>
          <w:rFonts w:eastAsia="Times New Roman"/>
          <w:color w:val="000000"/>
          <w:sz w:val="24"/>
          <w:szCs w:val="24"/>
        </w:rPr>
      </w:pPr>
      <w:r w:rsidRPr="00213A5D">
        <w:rPr>
          <w:rFonts w:eastAsia="Times New Roman"/>
          <w:color w:val="000000"/>
          <w:sz w:val="24"/>
          <w:szCs w:val="24"/>
        </w:rPr>
        <w:t xml:space="preserve">4) постановлением Правительства Российской Федерации от 8 августа 2022 г. № 1395 предусмотрено </w:t>
      </w:r>
      <w:r w:rsidRPr="00213A5D">
        <w:rPr>
          <w:rFonts w:eastAsia="Times New Roman"/>
          <w:b/>
          <w:color w:val="000000"/>
          <w:sz w:val="24"/>
          <w:szCs w:val="24"/>
        </w:rPr>
        <w:t>предоставление государственных гарантий</w:t>
      </w:r>
      <w:r w:rsidRPr="00213A5D">
        <w:rPr>
          <w:rFonts w:eastAsia="Times New Roman"/>
          <w:color w:val="000000"/>
          <w:sz w:val="24"/>
          <w:szCs w:val="24"/>
        </w:rPr>
        <w:t xml:space="preserve"> Российской Федерации в валюте Российской Федерации </w:t>
      </w:r>
      <w:r w:rsidRPr="00213A5D">
        <w:rPr>
          <w:rFonts w:eastAsia="Times New Roman"/>
          <w:b/>
          <w:color w:val="000000"/>
          <w:sz w:val="24"/>
          <w:szCs w:val="24"/>
        </w:rPr>
        <w:t>по кредитам или облигационным займам</w:t>
      </w:r>
      <w:r w:rsidRPr="00213A5D">
        <w:rPr>
          <w:rFonts w:eastAsia="Times New Roman"/>
          <w:color w:val="000000"/>
          <w:sz w:val="24"/>
          <w:szCs w:val="24"/>
        </w:rPr>
        <w:t xml:space="preserve">, привлекаемым в валюте Российской Федерации </w:t>
      </w:r>
      <w:r w:rsidRPr="00213A5D">
        <w:rPr>
          <w:rFonts w:eastAsia="Times New Roman"/>
          <w:b/>
          <w:color w:val="000000"/>
          <w:sz w:val="24"/>
          <w:szCs w:val="24"/>
        </w:rPr>
        <w:t>на срок от 3 до 30 лет</w:t>
      </w:r>
      <w:r w:rsidRPr="00213A5D">
        <w:rPr>
          <w:rFonts w:eastAsia="Times New Roman"/>
          <w:color w:val="000000"/>
          <w:sz w:val="24"/>
          <w:szCs w:val="24"/>
        </w:rPr>
        <w:t xml:space="preserve"> российскими юридическими лицами, осуществляющими деятельность в отраслях транспорта, строительства, жилищно-коммунального хозяйства, энергетики, связи и информационных технологий;</w:t>
      </w:r>
    </w:p>
    <w:p w14:paraId="5B108293" w14:textId="77777777" w:rsidR="001A141F" w:rsidRPr="00213A5D" w:rsidRDefault="001A141F" w:rsidP="00AF1852">
      <w:pPr>
        <w:widowControl w:val="0"/>
        <w:overflowPunct/>
        <w:autoSpaceDE/>
        <w:adjustRightInd/>
        <w:spacing w:line="336" w:lineRule="auto"/>
        <w:ind w:left="0" w:right="0"/>
        <w:rPr>
          <w:rFonts w:eastAsia="Times New Roman"/>
          <w:color w:val="000000"/>
          <w:sz w:val="24"/>
          <w:szCs w:val="24"/>
        </w:rPr>
      </w:pPr>
      <w:r w:rsidRPr="00213A5D">
        <w:rPr>
          <w:rFonts w:eastAsia="Times New Roman"/>
          <w:color w:val="000000"/>
          <w:sz w:val="24"/>
          <w:szCs w:val="24"/>
        </w:rPr>
        <w:t xml:space="preserve">5) постановлением Правительства Российской Федерации от 22 сентября 2022 г. № 1672 в рамках поддержки импорта предусмотрено </w:t>
      </w:r>
      <w:r w:rsidRPr="00213A5D">
        <w:rPr>
          <w:rFonts w:eastAsia="Times New Roman"/>
          <w:b/>
          <w:color w:val="000000"/>
          <w:sz w:val="24"/>
          <w:szCs w:val="24"/>
        </w:rPr>
        <w:t>внесение изменений в Правила определения минимального объема (суммы) обеспечения исполнения обязательств</w:t>
      </w:r>
      <w:r w:rsidRPr="00213A5D">
        <w:rPr>
          <w:rFonts w:eastAsia="Times New Roman"/>
          <w:color w:val="000000"/>
          <w:sz w:val="24"/>
          <w:szCs w:val="24"/>
        </w:rPr>
        <w:t xml:space="preserve"> принципала по удовлетворению регрессного требования гаранта к принципалу по государственной гарантии Российской Федерации в зависимости от степени удовлетворительности финансового состояния принципала, а также осуществления анализа финансового состояния принципала.</w:t>
      </w:r>
    </w:p>
    <w:p w14:paraId="236E26B5" w14:textId="77777777" w:rsidR="001A141F" w:rsidRPr="00213A5D" w:rsidRDefault="001A141F" w:rsidP="00AF1852">
      <w:pPr>
        <w:widowControl w:val="0"/>
        <w:spacing w:line="336" w:lineRule="auto"/>
        <w:ind w:left="0" w:right="0" w:firstLine="720"/>
        <w:textAlignment w:val="auto"/>
        <w:rPr>
          <w:rFonts w:eastAsia="Times New Roman"/>
          <w:b/>
          <w:color w:val="000000"/>
          <w:sz w:val="24"/>
          <w:szCs w:val="24"/>
        </w:rPr>
      </w:pPr>
      <w:r w:rsidRPr="00213A5D">
        <w:rPr>
          <w:rFonts w:eastAsia="Times New Roman"/>
          <w:color w:val="000000"/>
          <w:sz w:val="24"/>
          <w:szCs w:val="24"/>
        </w:rPr>
        <w:t xml:space="preserve">По данным </w:t>
      </w:r>
      <w:r w:rsidR="001130C8" w:rsidRPr="00213A5D">
        <w:rPr>
          <w:rFonts w:eastAsia="Times New Roman"/>
          <w:color w:val="000000"/>
          <w:sz w:val="24"/>
          <w:szCs w:val="24"/>
        </w:rPr>
        <w:t>Г</w:t>
      </w:r>
      <w:r w:rsidRPr="00213A5D">
        <w:rPr>
          <w:rFonts w:eastAsia="Times New Roman"/>
          <w:color w:val="000000"/>
          <w:sz w:val="24"/>
          <w:szCs w:val="24"/>
        </w:rPr>
        <w:t>осударственной долговой книги Российской Федер</w:t>
      </w:r>
      <w:r w:rsidR="001130C8" w:rsidRPr="00213A5D">
        <w:rPr>
          <w:rFonts w:eastAsia="Times New Roman"/>
          <w:color w:val="000000"/>
          <w:sz w:val="24"/>
          <w:szCs w:val="24"/>
        </w:rPr>
        <w:t xml:space="preserve">ации, Минфином России в январе – </w:t>
      </w:r>
      <w:r w:rsidRPr="00213A5D">
        <w:rPr>
          <w:rFonts w:eastAsia="Times New Roman"/>
          <w:color w:val="000000"/>
          <w:sz w:val="24"/>
          <w:szCs w:val="24"/>
        </w:rPr>
        <w:t xml:space="preserve">сентябре 2022 года </w:t>
      </w:r>
      <w:r w:rsidRPr="00213A5D">
        <w:rPr>
          <w:rFonts w:eastAsia="Times New Roman"/>
          <w:b/>
          <w:color w:val="000000"/>
          <w:sz w:val="24"/>
          <w:szCs w:val="24"/>
        </w:rPr>
        <w:t>государственные гарантии Российской Федерации в валюте Российской Федерации не предоставлялись.</w:t>
      </w:r>
    </w:p>
    <w:p w14:paraId="53CFB768" w14:textId="77777777" w:rsidR="001A141F" w:rsidRPr="00213A5D" w:rsidRDefault="001A141F" w:rsidP="00AF1852">
      <w:pPr>
        <w:widowControl w:val="0"/>
        <w:overflowPunct/>
        <w:autoSpaceDE/>
        <w:autoSpaceDN/>
        <w:adjustRightInd/>
        <w:spacing w:line="336" w:lineRule="auto"/>
        <w:ind w:left="0" w:right="0"/>
        <w:textAlignment w:val="auto"/>
        <w:rPr>
          <w:rFonts w:eastAsia="Times New Roman"/>
          <w:bCs/>
          <w:color w:val="000000"/>
          <w:sz w:val="24"/>
          <w:szCs w:val="24"/>
        </w:rPr>
      </w:pPr>
      <w:r w:rsidRPr="00213A5D">
        <w:rPr>
          <w:rFonts w:eastAsia="Times New Roman"/>
          <w:b/>
          <w:bCs/>
          <w:color w:val="000000"/>
          <w:sz w:val="24"/>
          <w:szCs w:val="24"/>
        </w:rPr>
        <w:t>11.15.2.</w:t>
      </w:r>
      <w:r w:rsidRPr="00213A5D">
        <w:rPr>
          <w:rFonts w:eastAsia="Times New Roman"/>
          <w:bCs/>
          <w:color w:val="000000"/>
          <w:sz w:val="24"/>
          <w:szCs w:val="24"/>
        </w:rPr>
        <w:t xml:space="preserve"> Сведения об изменении объема и структуры государственного внешнего долга Российской Федерации за январь </w:t>
      </w:r>
      <w:r w:rsidR="001130C8" w:rsidRPr="00213A5D">
        <w:rPr>
          <w:rFonts w:eastAsia="Times New Roman"/>
          <w:color w:val="000000"/>
          <w:sz w:val="24"/>
          <w:szCs w:val="24"/>
        </w:rPr>
        <w:t>–</w:t>
      </w:r>
      <w:r w:rsidRPr="00213A5D">
        <w:rPr>
          <w:rFonts w:eastAsia="Times New Roman"/>
          <w:bCs/>
          <w:color w:val="000000"/>
          <w:sz w:val="24"/>
          <w:szCs w:val="24"/>
        </w:rPr>
        <w:t xml:space="preserve"> сентябрь 2022 года представлены в следующей таблице.</w:t>
      </w:r>
    </w:p>
    <w:p w14:paraId="62BBFFD3" w14:textId="77777777" w:rsidR="001A141F" w:rsidRPr="00213A5D" w:rsidRDefault="001A141F" w:rsidP="00AF1852">
      <w:pPr>
        <w:widowControl w:val="0"/>
        <w:overflowPunct/>
        <w:autoSpaceDE/>
        <w:autoSpaceDN/>
        <w:adjustRightInd/>
        <w:spacing w:line="240" w:lineRule="auto"/>
        <w:ind w:left="0" w:right="0" w:firstLine="7371"/>
        <w:jc w:val="right"/>
        <w:textAlignment w:val="auto"/>
        <w:rPr>
          <w:rFonts w:eastAsia="Times New Roman"/>
          <w:color w:val="000000"/>
          <w:sz w:val="20"/>
          <w:szCs w:val="20"/>
        </w:rPr>
      </w:pPr>
      <w:r w:rsidRPr="00213A5D">
        <w:rPr>
          <w:rFonts w:eastAsia="Times New Roman"/>
          <w:color w:val="000000"/>
          <w:sz w:val="20"/>
          <w:szCs w:val="20"/>
        </w:rPr>
        <w:t>(млн. долларов США)</w:t>
      </w:r>
    </w:p>
    <w:tbl>
      <w:tblPr>
        <w:tblW w:w="5377" w:type="pct"/>
        <w:tblInd w:w="-743" w:type="dxa"/>
        <w:tblLook w:val="04A0" w:firstRow="1" w:lastRow="0" w:firstColumn="1" w:lastColumn="0" w:noHBand="0" w:noVBand="1"/>
      </w:tblPr>
      <w:tblGrid>
        <w:gridCol w:w="2986"/>
        <w:gridCol w:w="1085"/>
        <w:gridCol w:w="1085"/>
        <w:gridCol w:w="1085"/>
        <w:gridCol w:w="1085"/>
        <w:gridCol w:w="1085"/>
        <w:gridCol w:w="1085"/>
        <w:gridCol w:w="1100"/>
      </w:tblGrid>
      <w:tr w:rsidR="001A141F" w:rsidRPr="00213A5D" w14:paraId="27598D7C" w14:textId="77777777" w:rsidTr="00C43266">
        <w:trPr>
          <w:trHeight w:val="555"/>
          <w:tblHeader/>
        </w:trPr>
        <w:tc>
          <w:tcPr>
            <w:tcW w:w="14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5222D5"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Категория долга</w:t>
            </w:r>
          </w:p>
        </w:tc>
        <w:tc>
          <w:tcPr>
            <w:tcW w:w="1024" w:type="pct"/>
            <w:gridSpan w:val="2"/>
            <w:tcBorders>
              <w:top w:val="single" w:sz="4" w:space="0" w:color="auto"/>
              <w:left w:val="nil"/>
              <w:bottom w:val="single" w:sz="4" w:space="0" w:color="auto"/>
              <w:right w:val="single" w:sz="4" w:space="0" w:color="auto"/>
            </w:tcBorders>
            <w:shd w:val="clear" w:color="auto" w:fill="auto"/>
            <w:vAlign w:val="center"/>
            <w:hideMark/>
          </w:tcPr>
          <w:p w14:paraId="270F35C6"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Объем государственного внешнего долга Российской Федерации</w:t>
            </w:r>
          </w:p>
        </w:tc>
        <w:tc>
          <w:tcPr>
            <w:tcW w:w="1024" w:type="pct"/>
            <w:gridSpan w:val="2"/>
            <w:tcBorders>
              <w:top w:val="single" w:sz="4" w:space="0" w:color="auto"/>
              <w:left w:val="nil"/>
              <w:bottom w:val="single" w:sz="4" w:space="0" w:color="auto"/>
              <w:right w:val="single" w:sz="4" w:space="0" w:color="auto"/>
            </w:tcBorders>
            <w:shd w:val="clear" w:color="auto" w:fill="auto"/>
            <w:vAlign w:val="center"/>
            <w:hideMark/>
          </w:tcPr>
          <w:p w14:paraId="0D8EB218"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Структура</w:t>
            </w:r>
          </w:p>
        </w:tc>
        <w:tc>
          <w:tcPr>
            <w:tcW w:w="1543" w:type="pct"/>
            <w:gridSpan w:val="3"/>
            <w:tcBorders>
              <w:top w:val="single" w:sz="4" w:space="0" w:color="auto"/>
              <w:left w:val="nil"/>
              <w:bottom w:val="single" w:sz="4" w:space="0" w:color="auto"/>
              <w:right w:val="single" w:sz="4" w:space="0" w:color="auto"/>
            </w:tcBorders>
            <w:shd w:val="clear" w:color="auto" w:fill="auto"/>
            <w:vAlign w:val="center"/>
            <w:hideMark/>
          </w:tcPr>
          <w:p w14:paraId="3652E8EF"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 xml:space="preserve">Изменение (+/-) </w:t>
            </w:r>
          </w:p>
          <w:p w14:paraId="25BEE4BA" w14:textId="77777777" w:rsidR="001A141F" w:rsidRPr="00213A5D" w:rsidRDefault="00A62843"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 xml:space="preserve">за январь – </w:t>
            </w:r>
            <w:r w:rsidR="001A141F" w:rsidRPr="00213A5D">
              <w:rPr>
                <w:rFonts w:eastAsia="Times New Roman"/>
                <w:b/>
                <w:bCs/>
                <w:color w:val="000000"/>
                <w:sz w:val="16"/>
                <w:szCs w:val="16"/>
              </w:rPr>
              <w:t>сентябрь 2022 год</w:t>
            </w:r>
          </w:p>
        </w:tc>
      </w:tr>
      <w:tr w:rsidR="001A141F" w:rsidRPr="00213A5D" w14:paraId="37ED856C" w14:textId="77777777" w:rsidTr="00C43266">
        <w:trPr>
          <w:trHeight w:val="420"/>
          <w:tblHeader/>
        </w:trPr>
        <w:tc>
          <w:tcPr>
            <w:tcW w:w="1409" w:type="pct"/>
            <w:vMerge/>
            <w:tcBorders>
              <w:top w:val="single" w:sz="4" w:space="0" w:color="auto"/>
              <w:left w:val="single" w:sz="4" w:space="0" w:color="auto"/>
              <w:bottom w:val="single" w:sz="4" w:space="0" w:color="auto"/>
              <w:right w:val="single" w:sz="4" w:space="0" w:color="auto"/>
            </w:tcBorders>
            <w:vAlign w:val="center"/>
            <w:hideMark/>
          </w:tcPr>
          <w:p w14:paraId="3195A6B0"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b/>
                <w:bCs/>
                <w:color w:val="000000"/>
                <w:sz w:val="16"/>
                <w:szCs w:val="16"/>
              </w:rPr>
            </w:pPr>
          </w:p>
        </w:tc>
        <w:tc>
          <w:tcPr>
            <w:tcW w:w="512" w:type="pct"/>
            <w:tcBorders>
              <w:top w:val="nil"/>
              <w:left w:val="nil"/>
              <w:bottom w:val="single" w:sz="4" w:space="0" w:color="auto"/>
              <w:right w:val="single" w:sz="4" w:space="0" w:color="auto"/>
            </w:tcBorders>
            <w:shd w:val="clear" w:color="auto" w:fill="auto"/>
            <w:vAlign w:val="center"/>
            <w:hideMark/>
          </w:tcPr>
          <w:p w14:paraId="55288334"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 xml:space="preserve">на 1 января </w:t>
            </w:r>
            <w:r w:rsidRPr="00213A5D">
              <w:rPr>
                <w:rFonts w:eastAsia="Times New Roman"/>
                <w:b/>
                <w:bCs/>
                <w:color w:val="000000"/>
                <w:sz w:val="16"/>
                <w:szCs w:val="16"/>
              </w:rPr>
              <w:br/>
              <w:t>2022 года</w:t>
            </w:r>
          </w:p>
        </w:tc>
        <w:tc>
          <w:tcPr>
            <w:tcW w:w="512" w:type="pct"/>
            <w:tcBorders>
              <w:top w:val="nil"/>
              <w:left w:val="nil"/>
              <w:bottom w:val="single" w:sz="4" w:space="0" w:color="auto"/>
              <w:right w:val="single" w:sz="4" w:space="0" w:color="auto"/>
            </w:tcBorders>
            <w:shd w:val="clear" w:color="auto" w:fill="auto"/>
            <w:vAlign w:val="center"/>
            <w:hideMark/>
          </w:tcPr>
          <w:p w14:paraId="0E3E56DB" w14:textId="77777777" w:rsidR="001A141F" w:rsidRPr="00213A5D" w:rsidRDefault="001A141F" w:rsidP="004E7886">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на 1 октября</w:t>
            </w:r>
            <w:r w:rsidR="004E7886" w:rsidRPr="00213A5D">
              <w:rPr>
                <w:rFonts w:eastAsia="Times New Roman"/>
                <w:b/>
                <w:bCs/>
                <w:color w:val="000000"/>
                <w:sz w:val="16"/>
                <w:szCs w:val="16"/>
              </w:rPr>
              <w:t xml:space="preserve"> </w:t>
            </w:r>
            <w:r w:rsidRPr="00213A5D">
              <w:rPr>
                <w:rFonts w:eastAsia="Times New Roman"/>
                <w:b/>
                <w:bCs/>
                <w:color w:val="000000"/>
                <w:sz w:val="16"/>
                <w:szCs w:val="16"/>
              </w:rPr>
              <w:br/>
              <w:t>2022 года</w:t>
            </w:r>
          </w:p>
        </w:tc>
        <w:tc>
          <w:tcPr>
            <w:tcW w:w="512" w:type="pct"/>
            <w:tcBorders>
              <w:top w:val="nil"/>
              <w:left w:val="nil"/>
              <w:bottom w:val="single" w:sz="4" w:space="0" w:color="auto"/>
              <w:right w:val="single" w:sz="4" w:space="0" w:color="auto"/>
            </w:tcBorders>
            <w:shd w:val="clear" w:color="auto" w:fill="auto"/>
            <w:vAlign w:val="center"/>
            <w:hideMark/>
          </w:tcPr>
          <w:p w14:paraId="0896D7CB"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 xml:space="preserve">на 1 января </w:t>
            </w:r>
            <w:r w:rsidRPr="00213A5D">
              <w:rPr>
                <w:rFonts w:eastAsia="Times New Roman"/>
                <w:b/>
                <w:bCs/>
                <w:color w:val="000000"/>
                <w:sz w:val="16"/>
                <w:szCs w:val="16"/>
              </w:rPr>
              <w:br/>
              <w:t>2022 года</w:t>
            </w:r>
          </w:p>
        </w:tc>
        <w:tc>
          <w:tcPr>
            <w:tcW w:w="512" w:type="pct"/>
            <w:tcBorders>
              <w:top w:val="nil"/>
              <w:left w:val="nil"/>
              <w:bottom w:val="single" w:sz="4" w:space="0" w:color="auto"/>
              <w:right w:val="single" w:sz="4" w:space="0" w:color="auto"/>
            </w:tcBorders>
            <w:shd w:val="clear" w:color="auto" w:fill="auto"/>
            <w:vAlign w:val="center"/>
            <w:hideMark/>
          </w:tcPr>
          <w:p w14:paraId="1DE13E1F" w14:textId="77777777" w:rsidR="001A141F" w:rsidRPr="00213A5D" w:rsidRDefault="001A141F" w:rsidP="004E7886">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на 1 октября</w:t>
            </w:r>
            <w:r w:rsidR="004E7886" w:rsidRPr="00213A5D">
              <w:rPr>
                <w:rFonts w:eastAsia="Times New Roman"/>
                <w:b/>
                <w:bCs/>
                <w:color w:val="000000"/>
                <w:sz w:val="16"/>
                <w:szCs w:val="16"/>
              </w:rPr>
              <w:t xml:space="preserve"> </w:t>
            </w:r>
            <w:r w:rsidRPr="00213A5D">
              <w:rPr>
                <w:rFonts w:eastAsia="Times New Roman"/>
                <w:b/>
                <w:bCs/>
                <w:color w:val="000000"/>
                <w:sz w:val="16"/>
                <w:szCs w:val="16"/>
              </w:rPr>
              <w:br/>
              <w:t>2022 года</w:t>
            </w:r>
          </w:p>
        </w:tc>
        <w:tc>
          <w:tcPr>
            <w:tcW w:w="512" w:type="pct"/>
            <w:tcBorders>
              <w:top w:val="nil"/>
              <w:left w:val="nil"/>
              <w:bottom w:val="single" w:sz="4" w:space="0" w:color="auto"/>
              <w:right w:val="single" w:sz="4" w:space="0" w:color="auto"/>
            </w:tcBorders>
            <w:shd w:val="clear" w:color="auto" w:fill="auto"/>
            <w:vAlign w:val="center"/>
            <w:hideMark/>
          </w:tcPr>
          <w:p w14:paraId="6518E7A7"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сумма</w:t>
            </w:r>
          </w:p>
        </w:tc>
        <w:tc>
          <w:tcPr>
            <w:tcW w:w="512" w:type="pct"/>
            <w:tcBorders>
              <w:top w:val="nil"/>
              <w:left w:val="nil"/>
              <w:bottom w:val="single" w:sz="4" w:space="0" w:color="auto"/>
              <w:right w:val="single" w:sz="4" w:space="0" w:color="auto"/>
            </w:tcBorders>
            <w:shd w:val="clear" w:color="auto" w:fill="auto"/>
            <w:vAlign w:val="center"/>
            <w:hideMark/>
          </w:tcPr>
          <w:p w14:paraId="077BDAF2"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w:t>
            </w:r>
          </w:p>
        </w:tc>
        <w:tc>
          <w:tcPr>
            <w:tcW w:w="519" w:type="pct"/>
            <w:tcBorders>
              <w:top w:val="nil"/>
              <w:left w:val="nil"/>
              <w:bottom w:val="single" w:sz="4" w:space="0" w:color="auto"/>
              <w:right w:val="single" w:sz="4" w:space="0" w:color="auto"/>
            </w:tcBorders>
            <w:shd w:val="clear" w:color="auto" w:fill="auto"/>
            <w:vAlign w:val="center"/>
            <w:hideMark/>
          </w:tcPr>
          <w:p w14:paraId="358B3142"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6"/>
                <w:szCs w:val="16"/>
              </w:rPr>
            </w:pPr>
            <w:r w:rsidRPr="00213A5D">
              <w:rPr>
                <w:rFonts w:eastAsia="Times New Roman"/>
                <w:b/>
                <w:bCs/>
                <w:color w:val="000000"/>
                <w:sz w:val="16"/>
                <w:szCs w:val="16"/>
              </w:rPr>
              <w:t>процентные пункты</w:t>
            </w:r>
          </w:p>
        </w:tc>
      </w:tr>
      <w:tr w:rsidR="001A141F" w:rsidRPr="00213A5D" w14:paraId="0E70B280" w14:textId="77777777" w:rsidTr="00C43266">
        <w:trPr>
          <w:trHeight w:val="70"/>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2E244EE9"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b/>
                <w:bCs/>
                <w:color w:val="000000"/>
                <w:sz w:val="18"/>
                <w:szCs w:val="18"/>
              </w:rPr>
            </w:pPr>
            <w:r w:rsidRPr="00213A5D">
              <w:rPr>
                <w:rFonts w:eastAsia="Times New Roman"/>
                <w:b/>
                <w:bCs/>
                <w:color w:val="000000"/>
                <w:sz w:val="18"/>
                <w:szCs w:val="18"/>
              </w:rPr>
              <w:t xml:space="preserve">Государственный внешний долг Российской Федерации </w:t>
            </w:r>
          </w:p>
        </w:tc>
        <w:tc>
          <w:tcPr>
            <w:tcW w:w="512" w:type="pct"/>
            <w:tcBorders>
              <w:top w:val="nil"/>
              <w:left w:val="nil"/>
              <w:bottom w:val="single" w:sz="4" w:space="0" w:color="auto"/>
              <w:right w:val="single" w:sz="4" w:space="0" w:color="auto"/>
            </w:tcBorders>
            <w:shd w:val="clear" w:color="auto" w:fill="auto"/>
            <w:vAlign w:val="center"/>
            <w:hideMark/>
          </w:tcPr>
          <w:p w14:paraId="41F40FD8"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59 702,0</w:t>
            </w:r>
          </w:p>
        </w:tc>
        <w:tc>
          <w:tcPr>
            <w:tcW w:w="512" w:type="pct"/>
            <w:tcBorders>
              <w:top w:val="nil"/>
              <w:left w:val="nil"/>
              <w:bottom w:val="single" w:sz="4" w:space="0" w:color="auto"/>
              <w:right w:val="single" w:sz="4" w:space="0" w:color="auto"/>
            </w:tcBorders>
            <w:shd w:val="clear" w:color="auto" w:fill="auto"/>
            <w:vAlign w:val="center"/>
            <w:hideMark/>
          </w:tcPr>
          <w:p w14:paraId="4B10AB15"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56 591,8</w:t>
            </w:r>
          </w:p>
        </w:tc>
        <w:tc>
          <w:tcPr>
            <w:tcW w:w="512" w:type="pct"/>
            <w:tcBorders>
              <w:top w:val="nil"/>
              <w:left w:val="nil"/>
              <w:bottom w:val="single" w:sz="4" w:space="0" w:color="auto"/>
              <w:right w:val="single" w:sz="4" w:space="0" w:color="auto"/>
            </w:tcBorders>
            <w:shd w:val="clear" w:color="auto" w:fill="auto"/>
            <w:vAlign w:val="center"/>
            <w:hideMark/>
          </w:tcPr>
          <w:p w14:paraId="598027C2"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100,0</w:t>
            </w:r>
          </w:p>
        </w:tc>
        <w:tc>
          <w:tcPr>
            <w:tcW w:w="512" w:type="pct"/>
            <w:tcBorders>
              <w:top w:val="nil"/>
              <w:left w:val="nil"/>
              <w:bottom w:val="single" w:sz="4" w:space="0" w:color="auto"/>
              <w:right w:val="single" w:sz="4" w:space="0" w:color="auto"/>
            </w:tcBorders>
            <w:shd w:val="clear" w:color="auto" w:fill="auto"/>
            <w:vAlign w:val="center"/>
            <w:hideMark/>
          </w:tcPr>
          <w:p w14:paraId="2482233B"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100,0</w:t>
            </w:r>
          </w:p>
        </w:tc>
        <w:tc>
          <w:tcPr>
            <w:tcW w:w="512" w:type="pct"/>
            <w:tcBorders>
              <w:top w:val="nil"/>
              <w:left w:val="nil"/>
              <w:bottom w:val="single" w:sz="4" w:space="0" w:color="auto"/>
              <w:right w:val="single" w:sz="4" w:space="0" w:color="auto"/>
            </w:tcBorders>
            <w:shd w:val="clear" w:color="auto" w:fill="auto"/>
            <w:noWrap/>
            <w:vAlign w:val="center"/>
            <w:hideMark/>
          </w:tcPr>
          <w:p w14:paraId="2F8E5B89"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-3 110,2</w:t>
            </w:r>
          </w:p>
        </w:tc>
        <w:tc>
          <w:tcPr>
            <w:tcW w:w="512" w:type="pct"/>
            <w:tcBorders>
              <w:top w:val="nil"/>
              <w:left w:val="nil"/>
              <w:bottom w:val="single" w:sz="4" w:space="0" w:color="auto"/>
              <w:right w:val="single" w:sz="4" w:space="0" w:color="auto"/>
            </w:tcBorders>
            <w:shd w:val="clear" w:color="auto" w:fill="auto"/>
            <w:vAlign w:val="center"/>
            <w:hideMark/>
          </w:tcPr>
          <w:p w14:paraId="035A6D17"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-5,2</w:t>
            </w:r>
          </w:p>
        </w:tc>
        <w:tc>
          <w:tcPr>
            <w:tcW w:w="519" w:type="pct"/>
            <w:tcBorders>
              <w:top w:val="nil"/>
              <w:left w:val="nil"/>
              <w:bottom w:val="single" w:sz="4" w:space="0" w:color="auto"/>
              <w:right w:val="single" w:sz="4" w:space="0" w:color="auto"/>
            </w:tcBorders>
            <w:shd w:val="clear" w:color="auto" w:fill="auto"/>
            <w:vAlign w:val="center"/>
            <w:hideMark/>
          </w:tcPr>
          <w:p w14:paraId="3F17C86C"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w:t>
            </w:r>
          </w:p>
        </w:tc>
      </w:tr>
      <w:tr w:rsidR="001A141F" w:rsidRPr="00213A5D" w14:paraId="72A94022" w14:textId="77777777" w:rsidTr="00382B34">
        <w:trPr>
          <w:trHeight w:val="56"/>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147C951F"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в том числе:</w:t>
            </w:r>
          </w:p>
        </w:tc>
        <w:tc>
          <w:tcPr>
            <w:tcW w:w="512" w:type="pct"/>
            <w:tcBorders>
              <w:top w:val="nil"/>
              <w:left w:val="nil"/>
              <w:bottom w:val="single" w:sz="4" w:space="0" w:color="auto"/>
              <w:right w:val="single" w:sz="4" w:space="0" w:color="auto"/>
            </w:tcBorders>
            <w:shd w:val="clear" w:color="auto" w:fill="auto"/>
            <w:vAlign w:val="center"/>
            <w:hideMark/>
          </w:tcPr>
          <w:p w14:paraId="0A7177B8" w14:textId="77777777" w:rsidR="001A141F" w:rsidRPr="00213A5D" w:rsidRDefault="001A141F" w:rsidP="00AF1852">
            <w:pPr>
              <w:widowControl w:val="0"/>
              <w:overflowPunct/>
              <w:autoSpaceDE/>
              <w:autoSpaceDN/>
              <w:adjustRightInd/>
              <w:spacing w:line="240" w:lineRule="auto"/>
              <w:ind w:left="0" w:right="0" w:firstLine="0"/>
              <w:jc w:val="left"/>
              <w:textAlignment w:val="auto"/>
              <w:rPr>
                <w:rFonts w:ascii="Calibri" w:eastAsia="Times New Roman" w:hAnsi="Calibri" w:cs="Calibri"/>
                <w:color w:val="000000"/>
                <w:sz w:val="22"/>
                <w:szCs w:val="22"/>
              </w:rPr>
            </w:pPr>
            <w:r w:rsidRPr="00213A5D">
              <w:rPr>
                <w:rFonts w:ascii="Calibri" w:eastAsia="Times New Roman" w:hAnsi="Calibri" w:cs="Calibri"/>
                <w:color w:val="000000"/>
                <w:sz w:val="22"/>
                <w:szCs w:val="22"/>
              </w:rPr>
              <w:t> </w:t>
            </w:r>
          </w:p>
        </w:tc>
        <w:tc>
          <w:tcPr>
            <w:tcW w:w="512" w:type="pct"/>
            <w:tcBorders>
              <w:top w:val="nil"/>
              <w:left w:val="nil"/>
              <w:bottom w:val="single" w:sz="4" w:space="0" w:color="auto"/>
              <w:right w:val="single" w:sz="4" w:space="0" w:color="auto"/>
            </w:tcBorders>
            <w:shd w:val="clear" w:color="auto" w:fill="auto"/>
            <w:vAlign w:val="center"/>
            <w:hideMark/>
          </w:tcPr>
          <w:p w14:paraId="3E0A7CD3"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w:t>
            </w:r>
          </w:p>
        </w:tc>
        <w:tc>
          <w:tcPr>
            <w:tcW w:w="512" w:type="pct"/>
            <w:tcBorders>
              <w:top w:val="nil"/>
              <w:left w:val="nil"/>
              <w:bottom w:val="single" w:sz="4" w:space="0" w:color="auto"/>
              <w:right w:val="single" w:sz="4" w:space="0" w:color="auto"/>
            </w:tcBorders>
            <w:shd w:val="clear" w:color="auto" w:fill="auto"/>
            <w:vAlign w:val="center"/>
            <w:hideMark/>
          </w:tcPr>
          <w:p w14:paraId="33638039" w14:textId="77777777" w:rsidR="001A141F" w:rsidRPr="00213A5D" w:rsidRDefault="001A141F" w:rsidP="00AF1852">
            <w:pPr>
              <w:widowControl w:val="0"/>
              <w:overflowPunct/>
              <w:autoSpaceDE/>
              <w:autoSpaceDN/>
              <w:adjustRightInd/>
              <w:spacing w:line="240" w:lineRule="auto"/>
              <w:ind w:left="0" w:right="0" w:firstLine="0"/>
              <w:jc w:val="left"/>
              <w:textAlignment w:val="auto"/>
              <w:rPr>
                <w:rFonts w:ascii="Calibri" w:eastAsia="Times New Roman" w:hAnsi="Calibri" w:cs="Calibri"/>
                <w:color w:val="000000"/>
                <w:sz w:val="22"/>
                <w:szCs w:val="22"/>
              </w:rPr>
            </w:pPr>
            <w:r w:rsidRPr="00213A5D">
              <w:rPr>
                <w:rFonts w:ascii="Calibri" w:eastAsia="Times New Roman" w:hAnsi="Calibri" w:cs="Calibri"/>
                <w:color w:val="000000"/>
                <w:sz w:val="22"/>
                <w:szCs w:val="22"/>
              </w:rPr>
              <w:t> </w:t>
            </w:r>
          </w:p>
        </w:tc>
        <w:tc>
          <w:tcPr>
            <w:tcW w:w="512" w:type="pct"/>
            <w:tcBorders>
              <w:top w:val="nil"/>
              <w:left w:val="nil"/>
              <w:bottom w:val="single" w:sz="4" w:space="0" w:color="auto"/>
              <w:right w:val="single" w:sz="4" w:space="0" w:color="auto"/>
            </w:tcBorders>
            <w:shd w:val="clear" w:color="auto" w:fill="auto"/>
            <w:vAlign w:val="center"/>
            <w:hideMark/>
          </w:tcPr>
          <w:p w14:paraId="0B3ACED2" w14:textId="77777777" w:rsidR="001A141F" w:rsidRPr="00213A5D" w:rsidRDefault="001A141F" w:rsidP="00AF1852">
            <w:pPr>
              <w:widowControl w:val="0"/>
              <w:overflowPunct/>
              <w:autoSpaceDE/>
              <w:autoSpaceDN/>
              <w:adjustRightInd/>
              <w:spacing w:line="240" w:lineRule="auto"/>
              <w:ind w:left="0" w:right="0" w:firstLine="0"/>
              <w:jc w:val="left"/>
              <w:textAlignment w:val="auto"/>
              <w:rPr>
                <w:rFonts w:ascii="Calibri" w:eastAsia="Times New Roman" w:hAnsi="Calibri" w:cs="Calibri"/>
                <w:color w:val="000000"/>
                <w:sz w:val="22"/>
                <w:szCs w:val="22"/>
              </w:rPr>
            </w:pPr>
            <w:r w:rsidRPr="00213A5D">
              <w:rPr>
                <w:rFonts w:ascii="Calibri" w:eastAsia="Times New Roman" w:hAnsi="Calibri" w:cs="Calibri"/>
                <w:color w:val="000000"/>
                <w:sz w:val="22"/>
                <w:szCs w:val="22"/>
              </w:rPr>
              <w:t> </w:t>
            </w:r>
          </w:p>
        </w:tc>
        <w:tc>
          <w:tcPr>
            <w:tcW w:w="512" w:type="pct"/>
            <w:tcBorders>
              <w:top w:val="nil"/>
              <w:left w:val="nil"/>
              <w:bottom w:val="single" w:sz="4" w:space="0" w:color="auto"/>
              <w:right w:val="single" w:sz="4" w:space="0" w:color="auto"/>
            </w:tcBorders>
            <w:shd w:val="clear" w:color="auto" w:fill="auto"/>
            <w:noWrap/>
            <w:vAlign w:val="center"/>
            <w:hideMark/>
          </w:tcPr>
          <w:p w14:paraId="6A1D0609"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 </w:t>
            </w:r>
          </w:p>
        </w:tc>
        <w:tc>
          <w:tcPr>
            <w:tcW w:w="512" w:type="pct"/>
            <w:tcBorders>
              <w:top w:val="nil"/>
              <w:left w:val="nil"/>
              <w:bottom w:val="single" w:sz="4" w:space="0" w:color="auto"/>
              <w:right w:val="single" w:sz="4" w:space="0" w:color="auto"/>
            </w:tcBorders>
            <w:shd w:val="clear" w:color="auto" w:fill="auto"/>
            <w:vAlign w:val="center"/>
            <w:hideMark/>
          </w:tcPr>
          <w:p w14:paraId="767D6680"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 </w:t>
            </w:r>
          </w:p>
        </w:tc>
        <w:tc>
          <w:tcPr>
            <w:tcW w:w="519" w:type="pct"/>
            <w:tcBorders>
              <w:top w:val="nil"/>
              <w:left w:val="nil"/>
              <w:bottom w:val="single" w:sz="4" w:space="0" w:color="auto"/>
              <w:right w:val="single" w:sz="4" w:space="0" w:color="auto"/>
            </w:tcBorders>
            <w:shd w:val="clear" w:color="auto" w:fill="auto"/>
            <w:vAlign w:val="center"/>
            <w:hideMark/>
          </w:tcPr>
          <w:p w14:paraId="43D23788"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 </w:t>
            </w:r>
          </w:p>
        </w:tc>
      </w:tr>
      <w:tr w:rsidR="001A141F" w:rsidRPr="00213A5D" w14:paraId="4314CE67" w14:textId="77777777" w:rsidTr="00C43266">
        <w:trPr>
          <w:trHeight w:val="70"/>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620E4F7C"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b/>
                <w:bCs/>
                <w:color w:val="000000"/>
                <w:sz w:val="18"/>
                <w:szCs w:val="18"/>
              </w:rPr>
            </w:pPr>
            <w:r w:rsidRPr="00213A5D">
              <w:rPr>
                <w:rFonts w:eastAsia="Times New Roman"/>
                <w:b/>
                <w:bCs/>
                <w:color w:val="000000"/>
                <w:sz w:val="18"/>
                <w:szCs w:val="18"/>
              </w:rPr>
              <w:t>по государственным ценным бумагам Российской Федерации, номинальная стоимость которых указана в иностранной валюте:</w:t>
            </w:r>
          </w:p>
        </w:tc>
        <w:tc>
          <w:tcPr>
            <w:tcW w:w="512" w:type="pct"/>
            <w:tcBorders>
              <w:top w:val="nil"/>
              <w:left w:val="nil"/>
              <w:bottom w:val="single" w:sz="4" w:space="0" w:color="auto"/>
              <w:right w:val="single" w:sz="4" w:space="0" w:color="auto"/>
            </w:tcBorders>
            <w:shd w:val="clear" w:color="auto" w:fill="auto"/>
            <w:vAlign w:val="center"/>
            <w:hideMark/>
          </w:tcPr>
          <w:p w14:paraId="5A0C410E"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39 066,0</w:t>
            </w:r>
          </w:p>
        </w:tc>
        <w:tc>
          <w:tcPr>
            <w:tcW w:w="512" w:type="pct"/>
            <w:tcBorders>
              <w:top w:val="nil"/>
              <w:left w:val="nil"/>
              <w:bottom w:val="single" w:sz="4" w:space="0" w:color="auto"/>
              <w:right w:val="single" w:sz="4" w:space="0" w:color="auto"/>
            </w:tcBorders>
            <w:shd w:val="clear" w:color="auto" w:fill="auto"/>
            <w:vAlign w:val="center"/>
            <w:hideMark/>
          </w:tcPr>
          <w:p w14:paraId="23289D57"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35 662,2</w:t>
            </w:r>
          </w:p>
        </w:tc>
        <w:tc>
          <w:tcPr>
            <w:tcW w:w="512" w:type="pct"/>
            <w:tcBorders>
              <w:top w:val="nil"/>
              <w:left w:val="nil"/>
              <w:bottom w:val="single" w:sz="4" w:space="0" w:color="auto"/>
              <w:right w:val="single" w:sz="4" w:space="0" w:color="auto"/>
            </w:tcBorders>
            <w:shd w:val="clear" w:color="auto" w:fill="auto"/>
            <w:vAlign w:val="center"/>
            <w:hideMark/>
          </w:tcPr>
          <w:p w14:paraId="6828D19E"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65,4</w:t>
            </w:r>
          </w:p>
        </w:tc>
        <w:tc>
          <w:tcPr>
            <w:tcW w:w="512" w:type="pct"/>
            <w:tcBorders>
              <w:top w:val="nil"/>
              <w:left w:val="nil"/>
              <w:bottom w:val="single" w:sz="4" w:space="0" w:color="auto"/>
              <w:right w:val="single" w:sz="4" w:space="0" w:color="auto"/>
            </w:tcBorders>
            <w:shd w:val="clear" w:color="auto" w:fill="auto"/>
            <w:vAlign w:val="center"/>
            <w:hideMark/>
          </w:tcPr>
          <w:p w14:paraId="00FE9164"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63,0</w:t>
            </w:r>
          </w:p>
        </w:tc>
        <w:tc>
          <w:tcPr>
            <w:tcW w:w="512" w:type="pct"/>
            <w:tcBorders>
              <w:top w:val="nil"/>
              <w:left w:val="nil"/>
              <w:bottom w:val="single" w:sz="4" w:space="0" w:color="auto"/>
              <w:right w:val="single" w:sz="4" w:space="0" w:color="auto"/>
            </w:tcBorders>
            <w:shd w:val="clear" w:color="auto" w:fill="auto"/>
            <w:noWrap/>
            <w:vAlign w:val="center"/>
            <w:hideMark/>
          </w:tcPr>
          <w:p w14:paraId="411C4786"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-3 403,8</w:t>
            </w:r>
          </w:p>
        </w:tc>
        <w:tc>
          <w:tcPr>
            <w:tcW w:w="512" w:type="pct"/>
            <w:tcBorders>
              <w:top w:val="nil"/>
              <w:left w:val="nil"/>
              <w:bottom w:val="single" w:sz="4" w:space="0" w:color="auto"/>
              <w:right w:val="single" w:sz="4" w:space="0" w:color="auto"/>
            </w:tcBorders>
            <w:shd w:val="clear" w:color="auto" w:fill="auto"/>
            <w:vAlign w:val="center"/>
            <w:hideMark/>
          </w:tcPr>
          <w:p w14:paraId="74F0C13C"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-8,7</w:t>
            </w:r>
          </w:p>
        </w:tc>
        <w:tc>
          <w:tcPr>
            <w:tcW w:w="519" w:type="pct"/>
            <w:tcBorders>
              <w:top w:val="nil"/>
              <w:left w:val="nil"/>
              <w:bottom w:val="single" w:sz="4" w:space="0" w:color="auto"/>
              <w:right w:val="single" w:sz="4" w:space="0" w:color="auto"/>
            </w:tcBorders>
            <w:shd w:val="clear" w:color="auto" w:fill="auto"/>
            <w:vAlign w:val="center"/>
            <w:hideMark/>
          </w:tcPr>
          <w:p w14:paraId="53321322"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-2,4</w:t>
            </w:r>
          </w:p>
        </w:tc>
      </w:tr>
      <w:tr w:rsidR="001A141F" w:rsidRPr="00213A5D" w14:paraId="47797525" w14:textId="77777777" w:rsidTr="00C43266">
        <w:trPr>
          <w:trHeight w:val="70"/>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103F1119"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задолженность по внешним облигационным займам</w:t>
            </w:r>
          </w:p>
        </w:tc>
        <w:tc>
          <w:tcPr>
            <w:tcW w:w="512" w:type="pct"/>
            <w:tcBorders>
              <w:top w:val="nil"/>
              <w:left w:val="nil"/>
              <w:bottom w:val="single" w:sz="4" w:space="0" w:color="auto"/>
              <w:right w:val="single" w:sz="4" w:space="0" w:color="auto"/>
            </w:tcBorders>
            <w:shd w:val="clear" w:color="auto" w:fill="auto"/>
            <w:vAlign w:val="center"/>
            <w:hideMark/>
          </w:tcPr>
          <w:p w14:paraId="5E7FB117"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39 066,0</w:t>
            </w:r>
          </w:p>
        </w:tc>
        <w:tc>
          <w:tcPr>
            <w:tcW w:w="512" w:type="pct"/>
            <w:tcBorders>
              <w:top w:val="nil"/>
              <w:left w:val="nil"/>
              <w:bottom w:val="single" w:sz="4" w:space="0" w:color="auto"/>
              <w:right w:val="single" w:sz="4" w:space="0" w:color="auto"/>
            </w:tcBorders>
            <w:shd w:val="clear" w:color="auto" w:fill="auto"/>
            <w:vAlign w:val="center"/>
            <w:hideMark/>
          </w:tcPr>
          <w:p w14:paraId="63B9A45B"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35 662,2</w:t>
            </w:r>
          </w:p>
        </w:tc>
        <w:tc>
          <w:tcPr>
            <w:tcW w:w="512" w:type="pct"/>
            <w:tcBorders>
              <w:top w:val="nil"/>
              <w:left w:val="nil"/>
              <w:bottom w:val="single" w:sz="4" w:space="0" w:color="auto"/>
              <w:right w:val="single" w:sz="4" w:space="0" w:color="auto"/>
            </w:tcBorders>
            <w:shd w:val="clear" w:color="auto" w:fill="auto"/>
            <w:vAlign w:val="center"/>
            <w:hideMark/>
          </w:tcPr>
          <w:p w14:paraId="63E33191"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65,4</w:t>
            </w:r>
          </w:p>
        </w:tc>
        <w:tc>
          <w:tcPr>
            <w:tcW w:w="512" w:type="pct"/>
            <w:tcBorders>
              <w:top w:val="nil"/>
              <w:left w:val="nil"/>
              <w:bottom w:val="single" w:sz="4" w:space="0" w:color="auto"/>
              <w:right w:val="single" w:sz="4" w:space="0" w:color="auto"/>
            </w:tcBorders>
            <w:shd w:val="clear" w:color="auto" w:fill="auto"/>
            <w:vAlign w:val="center"/>
            <w:hideMark/>
          </w:tcPr>
          <w:p w14:paraId="1DF160D8"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63,0</w:t>
            </w:r>
          </w:p>
        </w:tc>
        <w:tc>
          <w:tcPr>
            <w:tcW w:w="512" w:type="pct"/>
            <w:tcBorders>
              <w:top w:val="nil"/>
              <w:left w:val="nil"/>
              <w:bottom w:val="single" w:sz="4" w:space="0" w:color="auto"/>
              <w:right w:val="single" w:sz="4" w:space="0" w:color="auto"/>
            </w:tcBorders>
            <w:shd w:val="clear" w:color="auto" w:fill="auto"/>
            <w:noWrap/>
            <w:vAlign w:val="center"/>
            <w:hideMark/>
          </w:tcPr>
          <w:p w14:paraId="501CF7CA"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-3 403,8</w:t>
            </w:r>
          </w:p>
        </w:tc>
        <w:tc>
          <w:tcPr>
            <w:tcW w:w="512" w:type="pct"/>
            <w:tcBorders>
              <w:top w:val="nil"/>
              <w:left w:val="nil"/>
              <w:bottom w:val="single" w:sz="4" w:space="0" w:color="auto"/>
              <w:right w:val="single" w:sz="4" w:space="0" w:color="auto"/>
            </w:tcBorders>
            <w:shd w:val="clear" w:color="auto" w:fill="auto"/>
            <w:vAlign w:val="center"/>
            <w:hideMark/>
          </w:tcPr>
          <w:p w14:paraId="025AD881"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-8,7</w:t>
            </w:r>
          </w:p>
        </w:tc>
        <w:tc>
          <w:tcPr>
            <w:tcW w:w="519" w:type="pct"/>
            <w:tcBorders>
              <w:top w:val="nil"/>
              <w:left w:val="nil"/>
              <w:bottom w:val="single" w:sz="4" w:space="0" w:color="auto"/>
              <w:right w:val="single" w:sz="4" w:space="0" w:color="auto"/>
            </w:tcBorders>
            <w:shd w:val="clear" w:color="auto" w:fill="auto"/>
            <w:vAlign w:val="center"/>
            <w:hideMark/>
          </w:tcPr>
          <w:p w14:paraId="7230715A"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-2,4</w:t>
            </w:r>
          </w:p>
        </w:tc>
      </w:tr>
      <w:tr w:rsidR="001A141F" w:rsidRPr="00213A5D" w14:paraId="53F5C43A" w14:textId="77777777" w:rsidTr="00C43266">
        <w:trPr>
          <w:trHeight w:val="70"/>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198FE921"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задолженность по ОВГВЗ</w:t>
            </w:r>
          </w:p>
        </w:tc>
        <w:tc>
          <w:tcPr>
            <w:tcW w:w="512" w:type="pct"/>
            <w:tcBorders>
              <w:top w:val="nil"/>
              <w:left w:val="nil"/>
              <w:bottom w:val="single" w:sz="4" w:space="0" w:color="auto"/>
              <w:right w:val="single" w:sz="4" w:space="0" w:color="auto"/>
            </w:tcBorders>
            <w:shd w:val="clear" w:color="auto" w:fill="auto"/>
            <w:vAlign w:val="center"/>
            <w:hideMark/>
          </w:tcPr>
          <w:p w14:paraId="40EF64EA"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w:t>
            </w:r>
          </w:p>
        </w:tc>
        <w:tc>
          <w:tcPr>
            <w:tcW w:w="512" w:type="pct"/>
            <w:tcBorders>
              <w:top w:val="nil"/>
              <w:left w:val="nil"/>
              <w:bottom w:val="single" w:sz="4" w:space="0" w:color="auto"/>
              <w:right w:val="single" w:sz="4" w:space="0" w:color="auto"/>
            </w:tcBorders>
            <w:shd w:val="clear" w:color="auto" w:fill="auto"/>
            <w:vAlign w:val="center"/>
            <w:hideMark/>
          </w:tcPr>
          <w:p w14:paraId="3AFF3B40"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w:t>
            </w:r>
          </w:p>
        </w:tc>
        <w:tc>
          <w:tcPr>
            <w:tcW w:w="512" w:type="pct"/>
            <w:tcBorders>
              <w:top w:val="nil"/>
              <w:left w:val="nil"/>
              <w:bottom w:val="single" w:sz="4" w:space="0" w:color="auto"/>
              <w:right w:val="single" w:sz="4" w:space="0" w:color="auto"/>
            </w:tcBorders>
            <w:shd w:val="clear" w:color="auto" w:fill="auto"/>
            <w:vAlign w:val="center"/>
            <w:hideMark/>
          </w:tcPr>
          <w:p w14:paraId="6C90E2B6"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w:t>
            </w:r>
          </w:p>
        </w:tc>
        <w:tc>
          <w:tcPr>
            <w:tcW w:w="512" w:type="pct"/>
            <w:tcBorders>
              <w:top w:val="nil"/>
              <w:left w:val="nil"/>
              <w:bottom w:val="single" w:sz="4" w:space="0" w:color="auto"/>
              <w:right w:val="single" w:sz="4" w:space="0" w:color="auto"/>
            </w:tcBorders>
            <w:shd w:val="clear" w:color="auto" w:fill="auto"/>
            <w:vAlign w:val="center"/>
            <w:hideMark/>
          </w:tcPr>
          <w:p w14:paraId="0D563F81"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w:t>
            </w:r>
          </w:p>
        </w:tc>
        <w:tc>
          <w:tcPr>
            <w:tcW w:w="512" w:type="pct"/>
            <w:tcBorders>
              <w:top w:val="nil"/>
              <w:left w:val="nil"/>
              <w:bottom w:val="single" w:sz="4" w:space="0" w:color="auto"/>
              <w:right w:val="single" w:sz="4" w:space="0" w:color="auto"/>
            </w:tcBorders>
            <w:shd w:val="clear" w:color="auto" w:fill="auto"/>
            <w:vAlign w:val="center"/>
            <w:hideMark/>
          </w:tcPr>
          <w:p w14:paraId="40CEF42E"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 </w:t>
            </w:r>
          </w:p>
        </w:tc>
        <w:tc>
          <w:tcPr>
            <w:tcW w:w="512" w:type="pct"/>
            <w:tcBorders>
              <w:top w:val="nil"/>
              <w:left w:val="nil"/>
              <w:bottom w:val="single" w:sz="4" w:space="0" w:color="auto"/>
              <w:right w:val="single" w:sz="4" w:space="0" w:color="auto"/>
            </w:tcBorders>
            <w:shd w:val="clear" w:color="auto" w:fill="auto"/>
            <w:vAlign w:val="center"/>
            <w:hideMark/>
          </w:tcPr>
          <w:p w14:paraId="5E7A6B04"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 </w:t>
            </w:r>
          </w:p>
        </w:tc>
        <w:tc>
          <w:tcPr>
            <w:tcW w:w="519" w:type="pct"/>
            <w:tcBorders>
              <w:top w:val="nil"/>
              <w:left w:val="nil"/>
              <w:bottom w:val="single" w:sz="4" w:space="0" w:color="auto"/>
              <w:right w:val="single" w:sz="4" w:space="0" w:color="auto"/>
            </w:tcBorders>
            <w:shd w:val="clear" w:color="auto" w:fill="auto"/>
            <w:vAlign w:val="center"/>
            <w:hideMark/>
          </w:tcPr>
          <w:p w14:paraId="19685E49"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 </w:t>
            </w:r>
          </w:p>
        </w:tc>
      </w:tr>
      <w:tr w:rsidR="001A141F" w:rsidRPr="00213A5D" w14:paraId="556B8C51" w14:textId="77777777" w:rsidTr="00382B34">
        <w:trPr>
          <w:trHeight w:val="679"/>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1675B745"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b/>
                <w:bCs/>
                <w:color w:val="000000"/>
                <w:sz w:val="18"/>
                <w:szCs w:val="18"/>
              </w:rPr>
            </w:pPr>
            <w:r w:rsidRPr="00213A5D">
              <w:rPr>
                <w:rFonts w:eastAsia="Times New Roman"/>
                <w:b/>
                <w:bCs/>
                <w:color w:val="000000"/>
                <w:sz w:val="18"/>
                <w:szCs w:val="18"/>
              </w:rPr>
              <w:lastRenderedPageBreak/>
              <w:t>по кредитам правительств иностранных государств, иностранных коммерческих банков и фирм, международных финансовых организаций:</w:t>
            </w:r>
          </w:p>
        </w:tc>
        <w:tc>
          <w:tcPr>
            <w:tcW w:w="512" w:type="pct"/>
            <w:tcBorders>
              <w:top w:val="nil"/>
              <w:left w:val="nil"/>
              <w:bottom w:val="single" w:sz="4" w:space="0" w:color="auto"/>
              <w:right w:val="single" w:sz="4" w:space="0" w:color="auto"/>
            </w:tcBorders>
            <w:shd w:val="clear" w:color="auto" w:fill="auto"/>
            <w:vAlign w:val="center"/>
            <w:hideMark/>
          </w:tcPr>
          <w:p w14:paraId="3D048F82"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1 796,3</w:t>
            </w:r>
          </w:p>
        </w:tc>
        <w:tc>
          <w:tcPr>
            <w:tcW w:w="512" w:type="pct"/>
            <w:tcBorders>
              <w:top w:val="nil"/>
              <w:left w:val="nil"/>
              <w:bottom w:val="single" w:sz="4" w:space="0" w:color="auto"/>
              <w:right w:val="single" w:sz="4" w:space="0" w:color="auto"/>
            </w:tcBorders>
            <w:shd w:val="clear" w:color="auto" w:fill="auto"/>
            <w:vAlign w:val="center"/>
            <w:hideMark/>
          </w:tcPr>
          <w:p w14:paraId="730245F7"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1 646,7</w:t>
            </w:r>
          </w:p>
        </w:tc>
        <w:tc>
          <w:tcPr>
            <w:tcW w:w="512" w:type="pct"/>
            <w:tcBorders>
              <w:top w:val="nil"/>
              <w:left w:val="nil"/>
              <w:bottom w:val="single" w:sz="4" w:space="0" w:color="auto"/>
              <w:right w:val="single" w:sz="4" w:space="0" w:color="auto"/>
            </w:tcBorders>
            <w:shd w:val="clear" w:color="auto" w:fill="auto"/>
            <w:vAlign w:val="center"/>
            <w:hideMark/>
          </w:tcPr>
          <w:p w14:paraId="39430978"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3,0</w:t>
            </w:r>
          </w:p>
        </w:tc>
        <w:tc>
          <w:tcPr>
            <w:tcW w:w="512" w:type="pct"/>
            <w:tcBorders>
              <w:top w:val="nil"/>
              <w:left w:val="nil"/>
              <w:bottom w:val="single" w:sz="4" w:space="0" w:color="auto"/>
              <w:right w:val="single" w:sz="4" w:space="0" w:color="auto"/>
            </w:tcBorders>
            <w:shd w:val="clear" w:color="auto" w:fill="auto"/>
            <w:vAlign w:val="center"/>
            <w:hideMark/>
          </w:tcPr>
          <w:p w14:paraId="5BCF1A6E"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2,9</w:t>
            </w:r>
          </w:p>
        </w:tc>
        <w:tc>
          <w:tcPr>
            <w:tcW w:w="512" w:type="pct"/>
            <w:tcBorders>
              <w:top w:val="nil"/>
              <w:left w:val="nil"/>
              <w:bottom w:val="single" w:sz="4" w:space="0" w:color="auto"/>
              <w:right w:val="single" w:sz="4" w:space="0" w:color="auto"/>
            </w:tcBorders>
            <w:shd w:val="clear" w:color="auto" w:fill="auto"/>
            <w:noWrap/>
            <w:vAlign w:val="center"/>
            <w:hideMark/>
          </w:tcPr>
          <w:p w14:paraId="3335E5FF"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-149,6</w:t>
            </w:r>
          </w:p>
        </w:tc>
        <w:tc>
          <w:tcPr>
            <w:tcW w:w="512" w:type="pct"/>
            <w:tcBorders>
              <w:top w:val="nil"/>
              <w:left w:val="nil"/>
              <w:bottom w:val="single" w:sz="4" w:space="0" w:color="auto"/>
              <w:right w:val="single" w:sz="4" w:space="0" w:color="auto"/>
            </w:tcBorders>
            <w:shd w:val="clear" w:color="auto" w:fill="auto"/>
            <w:vAlign w:val="center"/>
            <w:hideMark/>
          </w:tcPr>
          <w:p w14:paraId="35C54107"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-8,3</w:t>
            </w:r>
          </w:p>
        </w:tc>
        <w:tc>
          <w:tcPr>
            <w:tcW w:w="519" w:type="pct"/>
            <w:tcBorders>
              <w:top w:val="nil"/>
              <w:left w:val="nil"/>
              <w:bottom w:val="single" w:sz="4" w:space="0" w:color="auto"/>
              <w:right w:val="single" w:sz="4" w:space="0" w:color="auto"/>
            </w:tcBorders>
            <w:shd w:val="clear" w:color="auto" w:fill="auto"/>
            <w:vAlign w:val="center"/>
            <w:hideMark/>
          </w:tcPr>
          <w:p w14:paraId="6B5C77C4"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-0,1</w:t>
            </w:r>
          </w:p>
        </w:tc>
      </w:tr>
      <w:tr w:rsidR="001A141F" w:rsidRPr="00213A5D" w14:paraId="22C415C0" w14:textId="77777777" w:rsidTr="00C43266">
        <w:trPr>
          <w:trHeight w:val="70"/>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19F2F1D8"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по кредитам правительств иностранных государств</w:t>
            </w:r>
          </w:p>
        </w:tc>
        <w:tc>
          <w:tcPr>
            <w:tcW w:w="512" w:type="pct"/>
            <w:tcBorders>
              <w:top w:val="nil"/>
              <w:left w:val="nil"/>
              <w:bottom w:val="single" w:sz="4" w:space="0" w:color="auto"/>
              <w:right w:val="single" w:sz="4" w:space="0" w:color="auto"/>
            </w:tcBorders>
            <w:shd w:val="clear" w:color="auto" w:fill="auto"/>
            <w:vAlign w:val="center"/>
            <w:hideMark/>
          </w:tcPr>
          <w:p w14:paraId="1834ACF5"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279,6</w:t>
            </w:r>
          </w:p>
        </w:tc>
        <w:tc>
          <w:tcPr>
            <w:tcW w:w="512" w:type="pct"/>
            <w:tcBorders>
              <w:top w:val="nil"/>
              <w:left w:val="nil"/>
              <w:bottom w:val="single" w:sz="4" w:space="0" w:color="auto"/>
              <w:right w:val="single" w:sz="4" w:space="0" w:color="auto"/>
            </w:tcBorders>
            <w:shd w:val="clear" w:color="auto" w:fill="auto"/>
            <w:vAlign w:val="center"/>
            <w:hideMark/>
          </w:tcPr>
          <w:p w14:paraId="37DC0367"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279,6</w:t>
            </w:r>
          </w:p>
        </w:tc>
        <w:tc>
          <w:tcPr>
            <w:tcW w:w="512" w:type="pct"/>
            <w:tcBorders>
              <w:top w:val="nil"/>
              <w:left w:val="nil"/>
              <w:bottom w:val="single" w:sz="4" w:space="0" w:color="auto"/>
              <w:right w:val="single" w:sz="4" w:space="0" w:color="auto"/>
            </w:tcBorders>
            <w:shd w:val="clear" w:color="auto" w:fill="auto"/>
            <w:vAlign w:val="center"/>
            <w:hideMark/>
          </w:tcPr>
          <w:p w14:paraId="0E7B5C70"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0,5</w:t>
            </w:r>
          </w:p>
        </w:tc>
        <w:tc>
          <w:tcPr>
            <w:tcW w:w="512" w:type="pct"/>
            <w:tcBorders>
              <w:top w:val="nil"/>
              <w:left w:val="nil"/>
              <w:bottom w:val="single" w:sz="4" w:space="0" w:color="auto"/>
              <w:right w:val="single" w:sz="4" w:space="0" w:color="auto"/>
            </w:tcBorders>
            <w:shd w:val="clear" w:color="auto" w:fill="auto"/>
            <w:vAlign w:val="center"/>
            <w:hideMark/>
          </w:tcPr>
          <w:p w14:paraId="2D95FC3F"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0,5</w:t>
            </w:r>
          </w:p>
        </w:tc>
        <w:tc>
          <w:tcPr>
            <w:tcW w:w="512" w:type="pct"/>
            <w:tcBorders>
              <w:top w:val="nil"/>
              <w:left w:val="nil"/>
              <w:bottom w:val="single" w:sz="4" w:space="0" w:color="auto"/>
              <w:right w:val="single" w:sz="4" w:space="0" w:color="auto"/>
            </w:tcBorders>
            <w:shd w:val="clear" w:color="auto" w:fill="auto"/>
            <w:noWrap/>
            <w:vAlign w:val="center"/>
            <w:hideMark/>
          </w:tcPr>
          <w:p w14:paraId="6DFAC245"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0,0</w:t>
            </w:r>
          </w:p>
        </w:tc>
        <w:tc>
          <w:tcPr>
            <w:tcW w:w="512" w:type="pct"/>
            <w:tcBorders>
              <w:top w:val="nil"/>
              <w:left w:val="nil"/>
              <w:bottom w:val="single" w:sz="4" w:space="0" w:color="auto"/>
              <w:right w:val="single" w:sz="4" w:space="0" w:color="auto"/>
            </w:tcBorders>
            <w:shd w:val="clear" w:color="auto" w:fill="auto"/>
            <w:vAlign w:val="center"/>
            <w:hideMark/>
          </w:tcPr>
          <w:p w14:paraId="47FBB28C"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0,0</w:t>
            </w:r>
          </w:p>
        </w:tc>
        <w:tc>
          <w:tcPr>
            <w:tcW w:w="519" w:type="pct"/>
            <w:tcBorders>
              <w:top w:val="nil"/>
              <w:left w:val="nil"/>
              <w:bottom w:val="single" w:sz="4" w:space="0" w:color="auto"/>
              <w:right w:val="single" w:sz="4" w:space="0" w:color="auto"/>
            </w:tcBorders>
            <w:shd w:val="clear" w:color="auto" w:fill="auto"/>
            <w:vAlign w:val="center"/>
            <w:hideMark/>
          </w:tcPr>
          <w:p w14:paraId="1DFD8AD7"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0,0</w:t>
            </w:r>
          </w:p>
        </w:tc>
      </w:tr>
      <w:tr w:rsidR="001A141F" w:rsidRPr="00213A5D" w14:paraId="46A67E40" w14:textId="77777777" w:rsidTr="00C43266">
        <w:trPr>
          <w:trHeight w:val="70"/>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578330B4"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по займам международных финансовых организаций</w:t>
            </w:r>
          </w:p>
        </w:tc>
        <w:tc>
          <w:tcPr>
            <w:tcW w:w="512" w:type="pct"/>
            <w:tcBorders>
              <w:top w:val="nil"/>
              <w:left w:val="nil"/>
              <w:bottom w:val="single" w:sz="4" w:space="0" w:color="auto"/>
              <w:right w:val="single" w:sz="4" w:space="0" w:color="auto"/>
            </w:tcBorders>
            <w:shd w:val="clear" w:color="auto" w:fill="auto"/>
            <w:vAlign w:val="center"/>
            <w:hideMark/>
          </w:tcPr>
          <w:p w14:paraId="5EF04DF1"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1 494,9</w:t>
            </w:r>
          </w:p>
        </w:tc>
        <w:tc>
          <w:tcPr>
            <w:tcW w:w="512" w:type="pct"/>
            <w:tcBorders>
              <w:top w:val="nil"/>
              <w:left w:val="nil"/>
              <w:bottom w:val="single" w:sz="4" w:space="0" w:color="auto"/>
              <w:right w:val="single" w:sz="4" w:space="0" w:color="auto"/>
            </w:tcBorders>
            <w:shd w:val="clear" w:color="auto" w:fill="auto"/>
            <w:vAlign w:val="center"/>
            <w:hideMark/>
          </w:tcPr>
          <w:p w14:paraId="43EB0D9D"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1 346,7</w:t>
            </w:r>
          </w:p>
        </w:tc>
        <w:tc>
          <w:tcPr>
            <w:tcW w:w="512" w:type="pct"/>
            <w:tcBorders>
              <w:top w:val="nil"/>
              <w:left w:val="nil"/>
              <w:bottom w:val="single" w:sz="4" w:space="0" w:color="auto"/>
              <w:right w:val="single" w:sz="4" w:space="0" w:color="auto"/>
            </w:tcBorders>
            <w:shd w:val="clear" w:color="auto" w:fill="auto"/>
            <w:vAlign w:val="center"/>
            <w:hideMark/>
          </w:tcPr>
          <w:p w14:paraId="2B760B91"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2,5</w:t>
            </w:r>
          </w:p>
        </w:tc>
        <w:tc>
          <w:tcPr>
            <w:tcW w:w="512" w:type="pct"/>
            <w:tcBorders>
              <w:top w:val="nil"/>
              <w:left w:val="nil"/>
              <w:bottom w:val="single" w:sz="4" w:space="0" w:color="auto"/>
              <w:right w:val="single" w:sz="4" w:space="0" w:color="auto"/>
            </w:tcBorders>
            <w:shd w:val="clear" w:color="auto" w:fill="auto"/>
            <w:vAlign w:val="center"/>
            <w:hideMark/>
          </w:tcPr>
          <w:p w14:paraId="6AA670BF"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2,4</w:t>
            </w:r>
          </w:p>
        </w:tc>
        <w:tc>
          <w:tcPr>
            <w:tcW w:w="512" w:type="pct"/>
            <w:tcBorders>
              <w:top w:val="nil"/>
              <w:left w:val="nil"/>
              <w:bottom w:val="single" w:sz="4" w:space="0" w:color="auto"/>
              <w:right w:val="single" w:sz="4" w:space="0" w:color="auto"/>
            </w:tcBorders>
            <w:shd w:val="clear" w:color="auto" w:fill="auto"/>
            <w:noWrap/>
            <w:vAlign w:val="center"/>
            <w:hideMark/>
          </w:tcPr>
          <w:p w14:paraId="0E403CA3"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-148,2</w:t>
            </w:r>
          </w:p>
        </w:tc>
        <w:tc>
          <w:tcPr>
            <w:tcW w:w="512" w:type="pct"/>
            <w:tcBorders>
              <w:top w:val="nil"/>
              <w:left w:val="nil"/>
              <w:bottom w:val="single" w:sz="4" w:space="0" w:color="auto"/>
              <w:right w:val="single" w:sz="4" w:space="0" w:color="auto"/>
            </w:tcBorders>
            <w:shd w:val="clear" w:color="auto" w:fill="auto"/>
            <w:vAlign w:val="center"/>
            <w:hideMark/>
          </w:tcPr>
          <w:p w14:paraId="5162E63F"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-9,9</w:t>
            </w:r>
          </w:p>
        </w:tc>
        <w:tc>
          <w:tcPr>
            <w:tcW w:w="519" w:type="pct"/>
            <w:tcBorders>
              <w:top w:val="nil"/>
              <w:left w:val="nil"/>
              <w:bottom w:val="single" w:sz="4" w:space="0" w:color="auto"/>
              <w:right w:val="single" w:sz="4" w:space="0" w:color="auto"/>
            </w:tcBorders>
            <w:shd w:val="clear" w:color="auto" w:fill="auto"/>
            <w:vAlign w:val="center"/>
            <w:hideMark/>
          </w:tcPr>
          <w:p w14:paraId="5A27DF18"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-0,1</w:t>
            </w:r>
          </w:p>
        </w:tc>
      </w:tr>
      <w:tr w:rsidR="001A141F" w:rsidRPr="00213A5D" w14:paraId="29D1DE96" w14:textId="77777777" w:rsidTr="00382B34">
        <w:trPr>
          <w:trHeight w:val="56"/>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7C46319E"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прочая задолженность</w:t>
            </w:r>
          </w:p>
        </w:tc>
        <w:tc>
          <w:tcPr>
            <w:tcW w:w="512" w:type="pct"/>
            <w:tcBorders>
              <w:top w:val="nil"/>
              <w:left w:val="nil"/>
              <w:bottom w:val="single" w:sz="4" w:space="0" w:color="auto"/>
              <w:right w:val="single" w:sz="4" w:space="0" w:color="auto"/>
            </w:tcBorders>
            <w:shd w:val="clear" w:color="auto" w:fill="auto"/>
            <w:vAlign w:val="center"/>
            <w:hideMark/>
          </w:tcPr>
          <w:p w14:paraId="2BEA6878"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21,8</w:t>
            </w:r>
          </w:p>
        </w:tc>
        <w:tc>
          <w:tcPr>
            <w:tcW w:w="512" w:type="pct"/>
            <w:tcBorders>
              <w:top w:val="nil"/>
              <w:left w:val="nil"/>
              <w:bottom w:val="single" w:sz="4" w:space="0" w:color="auto"/>
              <w:right w:val="single" w:sz="4" w:space="0" w:color="auto"/>
            </w:tcBorders>
            <w:shd w:val="clear" w:color="auto" w:fill="auto"/>
            <w:vAlign w:val="center"/>
            <w:hideMark/>
          </w:tcPr>
          <w:p w14:paraId="5AB696FD"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20,4</w:t>
            </w:r>
          </w:p>
        </w:tc>
        <w:tc>
          <w:tcPr>
            <w:tcW w:w="512" w:type="pct"/>
            <w:tcBorders>
              <w:top w:val="nil"/>
              <w:left w:val="nil"/>
              <w:bottom w:val="single" w:sz="4" w:space="0" w:color="auto"/>
              <w:right w:val="single" w:sz="4" w:space="0" w:color="auto"/>
            </w:tcBorders>
            <w:shd w:val="clear" w:color="auto" w:fill="auto"/>
            <w:vAlign w:val="center"/>
            <w:hideMark/>
          </w:tcPr>
          <w:p w14:paraId="29CB481F"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0,04</w:t>
            </w:r>
          </w:p>
        </w:tc>
        <w:tc>
          <w:tcPr>
            <w:tcW w:w="512" w:type="pct"/>
            <w:tcBorders>
              <w:top w:val="nil"/>
              <w:left w:val="nil"/>
              <w:bottom w:val="single" w:sz="4" w:space="0" w:color="auto"/>
              <w:right w:val="single" w:sz="4" w:space="0" w:color="auto"/>
            </w:tcBorders>
            <w:shd w:val="clear" w:color="auto" w:fill="auto"/>
            <w:vAlign w:val="center"/>
            <w:hideMark/>
          </w:tcPr>
          <w:p w14:paraId="769A896D"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color w:val="000000"/>
                <w:sz w:val="18"/>
                <w:szCs w:val="18"/>
              </w:rPr>
            </w:pPr>
            <w:r w:rsidRPr="00213A5D">
              <w:rPr>
                <w:rFonts w:eastAsia="Times New Roman"/>
                <w:color w:val="000000"/>
                <w:sz w:val="18"/>
                <w:szCs w:val="18"/>
              </w:rPr>
              <w:t>0,04</w:t>
            </w:r>
          </w:p>
        </w:tc>
        <w:tc>
          <w:tcPr>
            <w:tcW w:w="512" w:type="pct"/>
            <w:tcBorders>
              <w:top w:val="nil"/>
              <w:left w:val="nil"/>
              <w:bottom w:val="single" w:sz="4" w:space="0" w:color="auto"/>
              <w:right w:val="single" w:sz="4" w:space="0" w:color="auto"/>
            </w:tcBorders>
            <w:shd w:val="clear" w:color="auto" w:fill="auto"/>
            <w:noWrap/>
            <w:vAlign w:val="center"/>
            <w:hideMark/>
          </w:tcPr>
          <w:p w14:paraId="21971555"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-1,4</w:t>
            </w:r>
          </w:p>
        </w:tc>
        <w:tc>
          <w:tcPr>
            <w:tcW w:w="512" w:type="pct"/>
            <w:tcBorders>
              <w:top w:val="nil"/>
              <w:left w:val="nil"/>
              <w:bottom w:val="single" w:sz="4" w:space="0" w:color="auto"/>
              <w:right w:val="single" w:sz="4" w:space="0" w:color="auto"/>
            </w:tcBorders>
            <w:shd w:val="clear" w:color="auto" w:fill="auto"/>
            <w:vAlign w:val="center"/>
            <w:hideMark/>
          </w:tcPr>
          <w:p w14:paraId="3C1A25BC"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-6,4</w:t>
            </w:r>
          </w:p>
        </w:tc>
        <w:tc>
          <w:tcPr>
            <w:tcW w:w="519" w:type="pct"/>
            <w:tcBorders>
              <w:top w:val="nil"/>
              <w:left w:val="nil"/>
              <w:bottom w:val="single" w:sz="4" w:space="0" w:color="auto"/>
              <w:right w:val="single" w:sz="4" w:space="0" w:color="auto"/>
            </w:tcBorders>
            <w:shd w:val="clear" w:color="auto" w:fill="auto"/>
            <w:vAlign w:val="center"/>
            <w:hideMark/>
          </w:tcPr>
          <w:p w14:paraId="52267E8E"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0,0</w:t>
            </w:r>
          </w:p>
        </w:tc>
      </w:tr>
      <w:tr w:rsidR="001A141F" w:rsidRPr="00213A5D" w14:paraId="047A3BB2" w14:textId="77777777" w:rsidTr="00382B34">
        <w:trPr>
          <w:trHeight w:val="186"/>
        </w:trPr>
        <w:tc>
          <w:tcPr>
            <w:tcW w:w="1409" w:type="pct"/>
            <w:tcBorders>
              <w:top w:val="nil"/>
              <w:left w:val="single" w:sz="4" w:space="0" w:color="auto"/>
              <w:bottom w:val="single" w:sz="4" w:space="0" w:color="auto"/>
              <w:right w:val="single" w:sz="4" w:space="0" w:color="auto"/>
            </w:tcBorders>
            <w:shd w:val="clear" w:color="auto" w:fill="auto"/>
            <w:vAlign w:val="center"/>
            <w:hideMark/>
          </w:tcPr>
          <w:p w14:paraId="7354E187" w14:textId="77777777" w:rsidR="001A141F" w:rsidRPr="00213A5D" w:rsidRDefault="001A141F" w:rsidP="00AF1852">
            <w:pPr>
              <w:widowControl w:val="0"/>
              <w:overflowPunct/>
              <w:autoSpaceDE/>
              <w:autoSpaceDN/>
              <w:adjustRightInd/>
              <w:spacing w:line="240" w:lineRule="auto"/>
              <w:ind w:left="0" w:right="0" w:firstLine="0"/>
              <w:textAlignment w:val="auto"/>
              <w:rPr>
                <w:rFonts w:eastAsia="Times New Roman"/>
                <w:b/>
                <w:bCs/>
                <w:color w:val="000000"/>
                <w:sz w:val="18"/>
                <w:szCs w:val="18"/>
              </w:rPr>
            </w:pPr>
            <w:r w:rsidRPr="00213A5D">
              <w:rPr>
                <w:rFonts w:eastAsia="Times New Roman"/>
                <w:b/>
                <w:bCs/>
                <w:color w:val="000000"/>
                <w:sz w:val="18"/>
                <w:szCs w:val="18"/>
              </w:rPr>
              <w:t>государственные гарантии Российской Федерации в иностранной валюте</w:t>
            </w:r>
          </w:p>
        </w:tc>
        <w:tc>
          <w:tcPr>
            <w:tcW w:w="512" w:type="pct"/>
            <w:tcBorders>
              <w:top w:val="nil"/>
              <w:left w:val="nil"/>
              <w:bottom w:val="single" w:sz="4" w:space="0" w:color="auto"/>
              <w:right w:val="single" w:sz="4" w:space="0" w:color="auto"/>
            </w:tcBorders>
            <w:shd w:val="clear" w:color="auto" w:fill="auto"/>
            <w:vAlign w:val="center"/>
            <w:hideMark/>
          </w:tcPr>
          <w:p w14:paraId="1A5CEB5C"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18 839,7</w:t>
            </w:r>
          </w:p>
        </w:tc>
        <w:tc>
          <w:tcPr>
            <w:tcW w:w="512" w:type="pct"/>
            <w:tcBorders>
              <w:top w:val="nil"/>
              <w:left w:val="nil"/>
              <w:bottom w:val="single" w:sz="4" w:space="0" w:color="auto"/>
              <w:right w:val="single" w:sz="4" w:space="0" w:color="auto"/>
            </w:tcBorders>
            <w:shd w:val="clear" w:color="auto" w:fill="auto"/>
            <w:vAlign w:val="center"/>
            <w:hideMark/>
          </w:tcPr>
          <w:p w14:paraId="79BDF0E0"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19 282,9</w:t>
            </w:r>
          </w:p>
        </w:tc>
        <w:tc>
          <w:tcPr>
            <w:tcW w:w="512" w:type="pct"/>
            <w:tcBorders>
              <w:top w:val="nil"/>
              <w:left w:val="nil"/>
              <w:bottom w:val="single" w:sz="4" w:space="0" w:color="auto"/>
              <w:right w:val="single" w:sz="4" w:space="0" w:color="auto"/>
            </w:tcBorders>
            <w:shd w:val="clear" w:color="auto" w:fill="auto"/>
            <w:vAlign w:val="center"/>
            <w:hideMark/>
          </w:tcPr>
          <w:p w14:paraId="06CEB405"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31,6</w:t>
            </w:r>
          </w:p>
        </w:tc>
        <w:tc>
          <w:tcPr>
            <w:tcW w:w="512" w:type="pct"/>
            <w:tcBorders>
              <w:top w:val="nil"/>
              <w:left w:val="nil"/>
              <w:bottom w:val="single" w:sz="4" w:space="0" w:color="auto"/>
              <w:right w:val="single" w:sz="4" w:space="0" w:color="auto"/>
            </w:tcBorders>
            <w:shd w:val="clear" w:color="auto" w:fill="auto"/>
            <w:vAlign w:val="center"/>
            <w:hideMark/>
          </w:tcPr>
          <w:p w14:paraId="42DCD3FF"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34,1</w:t>
            </w:r>
          </w:p>
        </w:tc>
        <w:tc>
          <w:tcPr>
            <w:tcW w:w="512" w:type="pct"/>
            <w:tcBorders>
              <w:top w:val="nil"/>
              <w:left w:val="nil"/>
              <w:bottom w:val="single" w:sz="4" w:space="0" w:color="auto"/>
              <w:right w:val="single" w:sz="4" w:space="0" w:color="auto"/>
            </w:tcBorders>
            <w:shd w:val="clear" w:color="auto" w:fill="auto"/>
            <w:noWrap/>
            <w:vAlign w:val="center"/>
            <w:hideMark/>
          </w:tcPr>
          <w:p w14:paraId="2CBDAF9C"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443,2</w:t>
            </w:r>
          </w:p>
        </w:tc>
        <w:tc>
          <w:tcPr>
            <w:tcW w:w="512" w:type="pct"/>
            <w:tcBorders>
              <w:top w:val="nil"/>
              <w:left w:val="nil"/>
              <w:bottom w:val="single" w:sz="4" w:space="0" w:color="auto"/>
              <w:right w:val="single" w:sz="4" w:space="0" w:color="auto"/>
            </w:tcBorders>
            <w:shd w:val="clear" w:color="auto" w:fill="auto"/>
            <w:vAlign w:val="center"/>
            <w:hideMark/>
          </w:tcPr>
          <w:p w14:paraId="0406C293"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2,4</w:t>
            </w:r>
          </w:p>
        </w:tc>
        <w:tc>
          <w:tcPr>
            <w:tcW w:w="519" w:type="pct"/>
            <w:tcBorders>
              <w:top w:val="nil"/>
              <w:left w:val="nil"/>
              <w:bottom w:val="single" w:sz="4" w:space="0" w:color="auto"/>
              <w:right w:val="single" w:sz="4" w:space="0" w:color="auto"/>
            </w:tcBorders>
            <w:shd w:val="clear" w:color="auto" w:fill="auto"/>
            <w:vAlign w:val="center"/>
            <w:hideMark/>
          </w:tcPr>
          <w:p w14:paraId="12633F25" w14:textId="77777777" w:rsidR="001A141F" w:rsidRPr="00213A5D" w:rsidRDefault="001A141F" w:rsidP="00AF1852">
            <w:pPr>
              <w:widowControl w:val="0"/>
              <w:overflowPunct/>
              <w:autoSpaceDE/>
              <w:autoSpaceDN/>
              <w:adjustRightInd/>
              <w:spacing w:line="240" w:lineRule="auto"/>
              <w:ind w:left="0" w:right="0" w:firstLine="0"/>
              <w:jc w:val="center"/>
              <w:textAlignment w:val="auto"/>
              <w:rPr>
                <w:rFonts w:eastAsia="Times New Roman"/>
                <w:b/>
                <w:bCs/>
                <w:color w:val="000000"/>
                <w:sz w:val="18"/>
                <w:szCs w:val="18"/>
              </w:rPr>
            </w:pPr>
            <w:r w:rsidRPr="00213A5D">
              <w:rPr>
                <w:rFonts w:eastAsia="Times New Roman"/>
                <w:b/>
                <w:bCs/>
                <w:color w:val="000000"/>
                <w:sz w:val="18"/>
                <w:szCs w:val="18"/>
              </w:rPr>
              <w:t>2,52</w:t>
            </w:r>
          </w:p>
        </w:tc>
      </w:tr>
    </w:tbl>
    <w:p w14:paraId="6050D98E" w14:textId="77777777" w:rsidR="001A141F" w:rsidRPr="00213A5D" w:rsidRDefault="001A141F" w:rsidP="00AF1852">
      <w:pPr>
        <w:widowControl w:val="0"/>
        <w:overflowPunct/>
        <w:autoSpaceDE/>
        <w:autoSpaceDN/>
        <w:adjustRightInd/>
        <w:spacing w:line="240" w:lineRule="auto"/>
        <w:ind w:left="0" w:right="0"/>
        <w:textAlignment w:val="auto"/>
        <w:rPr>
          <w:rFonts w:eastAsia="Times New Roman"/>
          <w:bCs/>
          <w:color w:val="000000"/>
          <w:sz w:val="12"/>
          <w:szCs w:val="12"/>
          <w:lang w:val="en-US"/>
        </w:rPr>
      </w:pPr>
    </w:p>
    <w:p w14:paraId="18B6F7C7" w14:textId="77777777" w:rsidR="001A141F" w:rsidRPr="00213A5D" w:rsidRDefault="001A141F" w:rsidP="00AF1852">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Cs/>
          <w:color w:val="000000"/>
          <w:sz w:val="24"/>
          <w:szCs w:val="24"/>
        </w:rPr>
        <w:t xml:space="preserve">По состоянию на 1 октября 2022 года </w:t>
      </w:r>
      <w:r w:rsidRPr="00213A5D">
        <w:rPr>
          <w:rFonts w:eastAsia="Times New Roman"/>
          <w:b/>
          <w:bCs/>
          <w:color w:val="000000"/>
          <w:sz w:val="24"/>
          <w:szCs w:val="24"/>
        </w:rPr>
        <w:t xml:space="preserve">государственный внешний долг по государственным ценным бумагам Российской Федерации, </w:t>
      </w:r>
      <w:r w:rsidRPr="00213A5D">
        <w:rPr>
          <w:rFonts w:eastAsia="Times New Roman"/>
          <w:bCs/>
          <w:color w:val="000000"/>
          <w:sz w:val="24"/>
          <w:szCs w:val="24"/>
        </w:rPr>
        <w:t>номинальная стоимость которых указана в иностранной валюте</w:t>
      </w:r>
      <w:r w:rsidRPr="00213A5D">
        <w:rPr>
          <w:rFonts w:eastAsia="Times New Roman"/>
          <w:b/>
          <w:bCs/>
          <w:color w:val="000000"/>
          <w:sz w:val="24"/>
          <w:szCs w:val="24"/>
        </w:rPr>
        <w:t xml:space="preserve"> уменьшился с начала года</w:t>
      </w:r>
      <w:r w:rsidRPr="00213A5D">
        <w:rPr>
          <w:rFonts w:eastAsia="Times New Roman"/>
          <w:bCs/>
          <w:color w:val="000000"/>
          <w:sz w:val="24"/>
          <w:szCs w:val="24"/>
        </w:rPr>
        <w:t>.</w:t>
      </w:r>
    </w:p>
    <w:p w14:paraId="3E4C42F1" w14:textId="77777777" w:rsidR="001A141F" w:rsidRPr="00213A5D" w:rsidRDefault="001A141F" w:rsidP="00AF1852">
      <w:pPr>
        <w:widowControl w:val="0"/>
        <w:overflowPunct/>
        <w:autoSpaceDE/>
        <w:autoSpaceDN/>
        <w:adjustRightInd/>
        <w:ind w:left="0" w:right="0"/>
        <w:textAlignment w:val="auto"/>
        <w:rPr>
          <w:rFonts w:eastAsia="Times New Roman"/>
          <w:color w:val="000000"/>
          <w:sz w:val="24"/>
          <w:szCs w:val="24"/>
        </w:rPr>
      </w:pPr>
      <w:r w:rsidRPr="00213A5D">
        <w:rPr>
          <w:rFonts w:eastAsia="Times New Roman"/>
          <w:b/>
          <w:color w:val="000000"/>
          <w:sz w:val="24"/>
          <w:szCs w:val="24"/>
        </w:rPr>
        <w:t xml:space="preserve">Государственный долг по государственным гарантиям </w:t>
      </w:r>
      <w:r w:rsidRPr="00213A5D">
        <w:rPr>
          <w:rFonts w:eastAsia="Times New Roman"/>
          <w:color w:val="000000"/>
          <w:sz w:val="24"/>
          <w:szCs w:val="24"/>
        </w:rPr>
        <w:t xml:space="preserve">Российской Федерации </w:t>
      </w:r>
      <w:r w:rsidRPr="00213A5D">
        <w:rPr>
          <w:rFonts w:eastAsia="Times New Roman"/>
          <w:b/>
          <w:color w:val="000000"/>
          <w:sz w:val="24"/>
          <w:szCs w:val="24"/>
        </w:rPr>
        <w:t>в иностранной валюте</w:t>
      </w:r>
      <w:r w:rsidRPr="00213A5D">
        <w:rPr>
          <w:rFonts w:eastAsia="Times New Roman"/>
          <w:color w:val="000000"/>
          <w:sz w:val="24"/>
          <w:szCs w:val="24"/>
        </w:rPr>
        <w:t xml:space="preserve"> </w:t>
      </w:r>
      <w:r w:rsidRPr="00213A5D">
        <w:rPr>
          <w:rFonts w:eastAsia="Times New Roman"/>
          <w:b/>
          <w:bCs/>
          <w:color w:val="000000"/>
          <w:sz w:val="24"/>
          <w:szCs w:val="24"/>
        </w:rPr>
        <w:t>увеличился</w:t>
      </w:r>
      <w:r w:rsidRPr="00213A5D">
        <w:rPr>
          <w:rFonts w:eastAsia="Times New Roman"/>
          <w:color w:val="000000"/>
          <w:sz w:val="24"/>
          <w:szCs w:val="24"/>
        </w:rPr>
        <w:t xml:space="preserve">, при этом в рублевом эквиваленте государственный долг по государственным гарантиям Российской Федерации в иностранной валюте </w:t>
      </w:r>
      <w:r w:rsidRPr="00213A5D">
        <w:rPr>
          <w:rFonts w:eastAsia="Times New Roman"/>
          <w:b/>
          <w:bCs/>
          <w:color w:val="000000"/>
          <w:sz w:val="24"/>
          <w:szCs w:val="24"/>
        </w:rPr>
        <w:t>уменьшился</w:t>
      </w:r>
      <w:r w:rsidRPr="00213A5D">
        <w:rPr>
          <w:rFonts w:eastAsia="Times New Roman"/>
          <w:color w:val="000000"/>
          <w:sz w:val="24"/>
          <w:szCs w:val="24"/>
        </w:rPr>
        <w:t xml:space="preserve"> на 292 565,3 млн. рублей и по состоянию на 1 октября 2022 года составил 1 107 088,6 млн. рублей.</w:t>
      </w:r>
    </w:p>
    <w:p w14:paraId="0EB0F37E" w14:textId="77777777" w:rsidR="001A141F" w:rsidRPr="00213A5D" w:rsidRDefault="001A141F" w:rsidP="00AF1852">
      <w:pPr>
        <w:widowControl w:val="0"/>
        <w:ind w:left="0" w:right="0"/>
        <w:textAlignment w:val="auto"/>
        <w:rPr>
          <w:rFonts w:eastAsia="Times New Roman"/>
          <w:color w:val="000000"/>
          <w:sz w:val="24"/>
          <w:szCs w:val="24"/>
          <w:lang w:eastAsia="en-US"/>
        </w:rPr>
      </w:pPr>
      <w:r w:rsidRPr="00213A5D">
        <w:rPr>
          <w:rFonts w:eastAsia="Times New Roman"/>
          <w:color w:val="000000"/>
          <w:sz w:val="24"/>
          <w:szCs w:val="24"/>
          <w:lang w:eastAsia="en-US"/>
        </w:rPr>
        <w:t xml:space="preserve">Согласно выпискам из </w:t>
      </w:r>
      <w:r w:rsidR="007B5202" w:rsidRPr="00213A5D">
        <w:rPr>
          <w:rFonts w:eastAsia="Times New Roman"/>
          <w:color w:val="000000"/>
          <w:sz w:val="24"/>
          <w:szCs w:val="24"/>
          <w:lang w:eastAsia="en-US"/>
        </w:rPr>
        <w:t>Г</w:t>
      </w:r>
      <w:r w:rsidRPr="00213A5D">
        <w:rPr>
          <w:rFonts w:eastAsia="Times New Roman"/>
          <w:color w:val="000000"/>
          <w:sz w:val="24"/>
          <w:szCs w:val="24"/>
          <w:lang w:eastAsia="en-US"/>
        </w:rPr>
        <w:t xml:space="preserve">осударственной долговой книги Российской Федерации по государственным гарантиям Российской Федерации в иностранной валюте в январе – сентябре 2022 года </w:t>
      </w:r>
      <w:r w:rsidRPr="00213A5D">
        <w:rPr>
          <w:rFonts w:eastAsia="Times New Roman"/>
          <w:b/>
          <w:color w:val="000000"/>
          <w:sz w:val="24"/>
          <w:szCs w:val="24"/>
          <w:lang w:eastAsia="en-US"/>
        </w:rPr>
        <w:t>гарантии Российской Федерации в иностранной валюте</w:t>
      </w:r>
      <w:r w:rsidRPr="00213A5D">
        <w:rPr>
          <w:rFonts w:eastAsia="Times New Roman"/>
          <w:color w:val="000000"/>
          <w:sz w:val="24"/>
          <w:szCs w:val="24"/>
          <w:lang w:eastAsia="en-US"/>
        </w:rPr>
        <w:t xml:space="preserve"> Минфином России </w:t>
      </w:r>
      <w:r w:rsidRPr="00213A5D">
        <w:rPr>
          <w:rFonts w:eastAsia="Times New Roman"/>
          <w:b/>
          <w:color w:val="000000"/>
          <w:sz w:val="24"/>
          <w:szCs w:val="24"/>
          <w:lang w:eastAsia="en-US"/>
        </w:rPr>
        <w:t>не предоставлялись</w:t>
      </w:r>
      <w:r w:rsidR="001D614C" w:rsidRPr="00213A5D">
        <w:rPr>
          <w:rFonts w:eastAsia="Times New Roman"/>
          <w:color w:val="000000"/>
          <w:sz w:val="24"/>
          <w:szCs w:val="24"/>
          <w:lang w:eastAsia="en-US"/>
        </w:rPr>
        <w:t>.</w:t>
      </w:r>
    </w:p>
    <w:p w14:paraId="3579D761" w14:textId="77777777" w:rsidR="001A141F" w:rsidRPr="00213A5D" w:rsidRDefault="001A141F" w:rsidP="00AF1852">
      <w:pPr>
        <w:widowControl w:val="0"/>
        <w:overflowPunct/>
        <w:autoSpaceDE/>
        <w:autoSpaceDN/>
        <w:adjustRightInd/>
        <w:ind w:left="0" w:right="0"/>
        <w:textAlignment w:val="auto"/>
        <w:rPr>
          <w:rFonts w:eastAsia="Times New Roman"/>
          <w:bCs/>
          <w:color w:val="000000"/>
          <w:sz w:val="24"/>
          <w:szCs w:val="24"/>
        </w:rPr>
      </w:pPr>
      <w:r w:rsidRPr="00213A5D">
        <w:rPr>
          <w:rFonts w:eastAsia="Times New Roman"/>
          <w:b/>
          <w:bCs/>
          <w:color w:val="000000"/>
          <w:sz w:val="24"/>
          <w:szCs w:val="24"/>
        </w:rPr>
        <w:t>11.15.3.</w:t>
      </w:r>
      <w:r w:rsidR="0080509B" w:rsidRPr="00213A5D">
        <w:rPr>
          <w:rFonts w:eastAsia="Times New Roman"/>
          <w:b/>
          <w:bCs/>
          <w:color w:val="000000"/>
          <w:sz w:val="24"/>
          <w:szCs w:val="24"/>
        </w:rPr>
        <w:t> </w:t>
      </w:r>
      <w:r w:rsidRPr="00213A5D">
        <w:rPr>
          <w:rFonts w:eastAsia="Times New Roman"/>
          <w:bCs/>
          <w:color w:val="000000"/>
          <w:sz w:val="24"/>
          <w:szCs w:val="24"/>
        </w:rPr>
        <w:t>Динамика объема расходов</w:t>
      </w:r>
      <w:r w:rsidRPr="00213A5D">
        <w:rPr>
          <w:rFonts w:eastAsia="Times New Roman"/>
          <w:b/>
          <w:bCs/>
          <w:color w:val="000000"/>
          <w:sz w:val="24"/>
          <w:szCs w:val="24"/>
        </w:rPr>
        <w:t xml:space="preserve"> на обслуживание государственного долга </w:t>
      </w:r>
      <w:r w:rsidRPr="00213A5D">
        <w:rPr>
          <w:rFonts w:eastAsia="Times New Roman"/>
          <w:bCs/>
          <w:color w:val="000000"/>
          <w:sz w:val="24"/>
          <w:szCs w:val="24"/>
        </w:rPr>
        <w:t>в январе – сентябре 2020–2022 годов представлена на следующей диаграмме.</w:t>
      </w:r>
    </w:p>
    <w:p w14:paraId="1E487D55" w14:textId="77777777" w:rsidR="00A47912" w:rsidRPr="00213A5D" w:rsidRDefault="00CD0E98" w:rsidP="00AF1852">
      <w:pPr>
        <w:widowControl w:val="0"/>
        <w:overflowPunct/>
        <w:autoSpaceDE/>
        <w:autoSpaceDN/>
        <w:adjustRightInd/>
        <w:ind w:left="0" w:right="0" w:firstLine="0"/>
        <w:jc w:val="center"/>
        <w:textAlignment w:val="auto"/>
        <w:rPr>
          <w:rFonts w:eastAsia="Times New Roman"/>
          <w:bCs/>
          <w:color w:val="000000"/>
          <w:sz w:val="24"/>
          <w:szCs w:val="24"/>
          <w:lang w:val="en-US"/>
        </w:rPr>
      </w:pPr>
      <w:r w:rsidRPr="00C22424">
        <w:rPr>
          <w:noProof/>
        </w:rPr>
        <w:pict w14:anchorId="3AD32F1C">
          <v:shape id="Рисунок 58" o:spid="_x0000_i1025" type="#_x0000_t75" style="width:457.15pt;height:121.6pt;visibility:visible" o:gfxdata="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">
            <v:imagedata r:id="rId88" o:title="" cropright="-14f"/>
            <o:lock v:ext="edit" aspectratio="f"/>
          </v:shape>
        </w:pict>
      </w:r>
    </w:p>
    <w:p w14:paraId="5DFCD83B" w14:textId="77777777" w:rsidR="00A47912" w:rsidRPr="00213A5D" w:rsidRDefault="00A47912" w:rsidP="00AF1852">
      <w:pPr>
        <w:widowControl w:val="0"/>
        <w:overflowPunct/>
        <w:autoSpaceDE/>
        <w:autoSpaceDN/>
        <w:adjustRightInd/>
        <w:spacing w:line="326" w:lineRule="auto"/>
        <w:ind w:left="0" w:right="0"/>
        <w:textAlignment w:val="auto"/>
        <w:rPr>
          <w:rFonts w:eastAsia="Times New Roman"/>
          <w:bCs/>
          <w:color w:val="000000"/>
          <w:sz w:val="24"/>
          <w:szCs w:val="24"/>
        </w:rPr>
      </w:pPr>
      <w:r w:rsidRPr="00213A5D">
        <w:rPr>
          <w:rFonts w:eastAsia="Times New Roman"/>
          <w:bCs/>
          <w:color w:val="000000"/>
          <w:sz w:val="24"/>
          <w:szCs w:val="24"/>
        </w:rPr>
        <w:t xml:space="preserve">Увеличение </w:t>
      </w:r>
      <w:r w:rsidRPr="00213A5D">
        <w:rPr>
          <w:rFonts w:eastAsia="Times New Roman"/>
          <w:b/>
          <w:bCs/>
          <w:color w:val="000000"/>
          <w:sz w:val="24"/>
          <w:szCs w:val="24"/>
        </w:rPr>
        <w:t>расходов на обслуживание государственного долга</w:t>
      </w:r>
      <w:r w:rsidRPr="00213A5D">
        <w:rPr>
          <w:rFonts w:eastAsia="Times New Roman"/>
          <w:bCs/>
          <w:color w:val="000000"/>
          <w:sz w:val="24"/>
          <w:szCs w:val="24"/>
        </w:rPr>
        <w:t xml:space="preserve"> в январе – сентябре 2022 года по сравнению с аналогичным периодом 2021 года составило 237 022,3 млн. рублей, или 30,4 %, их доля в общем объеме расходов федерального бюджета составила 5,2 %, что выше значений последних лет.</w:t>
      </w:r>
    </w:p>
    <w:p w14:paraId="48002BAC" w14:textId="77777777" w:rsidR="00A47912" w:rsidRPr="00213A5D" w:rsidRDefault="00A47912" w:rsidP="00AF1852">
      <w:pPr>
        <w:widowControl w:val="0"/>
        <w:overflowPunct/>
        <w:autoSpaceDE/>
        <w:autoSpaceDN/>
        <w:adjustRightInd/>
        <w:spacing w:line="326" w:lineRule="auto"/>
        <w:ind w:left="0" w:right="0"/>
        <w:textAlignment w:val="auto"/>
        <w:rPr>
          <w:rFonts w:eastAsia="Times New Roman"/>
          <w:bCs/>
          <w:color w:val="000000"/>
          <w:sz w:val="24"/>
          <w:szCs w:val="24"/>
        </w:rPr>
      </w:pPr>
      <w:r w:rsidRPr="00213A5D">
        <w:rPr>
          <w:rFonts w:eastAsia="Times New Roman"/>
          <w:bCs/>
          <w:color w:val="000000"/>
          <w:sz w:val="24"/>
          <w:szCs w:val="24"/>
        </w:rPr>
        <w:t xml:space="preserve">Структура расходов на обслуживание государственного долга Российской Федерации, в том числе по сравнению с динамикой общего объема расходов федерального бюджета, </w:t>
      </w:r>
      <w:r w:rsidRPr="00213A5D">
        <w:rPr>
          <w:rFonts w:eastAsia="Times New Roman"/>
          <w:bCs/>
          <w:color w:val="000000"/>
          <w:sz w:val="24"/>
          <w:szCs w:val="24"/>
        </w:rPr>
        <w:lastRenderedPageBreak/>
        <w:t>на 1 октября 2020–2022 годов представлена в следующей таблице.</w:t>
      </w:r>
    </w:p>
    <w:p w14:paraId="49982FF6" w14:textId="77777777" w:rsidR="00A47912" w:rsidRPr="00213A5D" w:rsidRDefault="00A47912" w:rsidP="00AF1852">
      <w:pPr>
        <w:widowControl w:val="0"/>
        <w:overflowPunct/>
        <w:autoSpaceDE/>
        <w:autoSpaceDN/>
        <w:adjustRightInd/>
        <w:spacing w:line="240" w:lineRule="auto"/>
        <w:ind w:left="0" w:right="0" w:firstLine="8222"/>
        <w:jc w:val="right"/>
        <w:textAlignment w:val="auto"/>
        <w:rPr>
          <w:rFonts w:eastAsia="Times New Roman"/>
          <w:color w:val="000000"/>
          <w:sz w:val="20"/>
          <w:szCs w:val="20"/>
        </w:rPr>
      </w:pPr>
      <w:r w:rsidRPr="00213A5D">
        <w:rPr>
          <w:rFonts w:eastAsia="Times New Roman"/>
          <w:color w:val="000000"/>
          <w:sz w:val="20"/>
          <w:szCs w:val="20"/>
        </w:rPr>
        <w:t>(млн. рублей)</w:t>
      </w:r>
    </w:p>
    <w:tbl>
      <w:tblPr>
        <w:tblW w:w="5382" w:type="pct"/>
        <w:tblInd w:w="-601" w:type="dxa"/>
        <w:tblLayout w:type="fixed"/>
        <w:tblLook w:val="04A0" w:firstRow="1" w:lastRow="0" w:firstColumn="1" w:lastColumn="0" w:noHBand="0" w:noVBand="1"/>
      </w:tblPr>
      <w:tblGrid>
        <w:gridCol w:w="2834"/>
        <w:gridCol w:w="1137"/>
        <w:gridCol w:w="1137"/>
        <w:gridCol w:w="1137"/>
        <w:gridCol w:w="1128"/>
        <w:gridCol w:w="1135"/>
        <w:gridCol w:w="1061"/>
        <w:gridCol w:w="1014"/>
        <w:gridCol w:w="23"/>
      </w:tblGrid>
      <w:tr w:rsidR="00A47912" w:rsidRPr="00213A5D" w14:paraId="3AAF9B12" w14:textId="77777777" w:rsidTr="00505ADA">
        <w:trPr>
          <w:trHeight w:val="68"/>
          <w:tblHeader/>
        </w:trPr>
        <w:tc>
          <w:tcPr>
            <w:tcW w:w="1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4DF55"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4"/>
                <w:szCs w:val="14"/>
              </w:rPr>
            </w:pPr>
            <w:r w:rsidRPr="00213A5D">
              <w:rPr>
                <w:rFonts w:eastAsia="Times New Roman"/>
                <w:b/>
                <w:bCs/>
                <w:color w:val="000000"/>
                <w:sz w:val="14"/>
                <w:szCs w:val="14"/>
              </w:rPr>
              <w:t>Наименование показателя</w:t>
            </w:r>
          </w:p>
        </w:tc>
        <w:tc>
          <w:tcPr>
            <w:tcW w:w="107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8C075"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4"/>
                <w:szCs w:val="14"/>
              </w:rPr>
            </w:pPr>
            <w:r w:rsidRPr="00213A5D">
              <w:rPr>
                <w:rFonts w:eastAsia="Times New Roman"/>
                <w:b/>
                <w:bCs/>
                <w:color w:val="000000"/>
                <w:sz w:val="14"/>
                <w:szCs w:val="14"/>
              </w:rPr>
              <w:t>Исполнено на 1 октября</w:t>
            </w:r>
          </w:p>
        </w:tc>
        <w:tc>
          <w:tcPr>
            <w:tcW w:w="536" w:type="pct"/>
            <w:vMerge w:val="restart"/>
            <w:tcBorders>
              <w:top w:val="single" w:sz="4" w:space="0" w:color="auto"/>
              <w:left w:val="single" w:sz="4" w:space="0" w:color="auto"/>
              <w:right w:val="single" w:sz="4" w:space="0" w:color="auto"/>
            </w:tcBorders>
            <w:shd w:val="clear" w:color="auto" w:fill="auto"/>
            <w:vAlign w:val="center"/>
            <w:hideMark/>
          </w:tcPr>
          <w:p w14:paraId="28EC16A8"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2"/>
                <w:szCs w:val="12"/>
              </w:rPr>
            </w:pPr>
            <w:r w:rsidRPr="00213A5D">
              <w:rPr>
                <w:rFonts w:eastAsia="Times New Roman"/>
                <w:b/>
                <w:bCs/>
                <w:color w:val="000000"/>
                <w:sz w:val="12"/>
                <w:szCs w:val="12"/>
              </w:rPr>
              <w:t>Утверждено Федеральным законом</w:t>
            </w:r>
            <w:r w:rsidRPr="00213A5D">
              <w:rPr>
                <w:rFonts w:eastAsia="Times New Roman"/>
                <w:b/>
                <w:bCs/>
                <w:color w:val="000000"/>
                <w:sz w:val="12"/>
                <w:szCs w:val="12"/>
              </w:rPr>
              <w:br/>
              <w:t xml:space="preserve">№ 390-ФЗ </w:t>
            </w:r>
          </w:p>
        </w:tc>
        <w:tc>
          <w:tcPr>
            <w:tcW w:w="532" w:type="pct"/>
            <w:vMerge w:val="restart"/>
            <w:tcBorders>
              <w:top w:val="single" w:sz="4" w:space="0" w:color="auto"/>
              <w:left w:val="single" w:sz="4" w:space="0" w:color="auto"/>
              <w:right w:val="single" w:sz="4" w:space="0" w:color="auto"/>
            </w:tcBorders>
            <w:shd w:val="clear" w:color="auto" w:fill="auto"/>
            <w:vAlign w:val="center"/>
            <w:hideMark/>
          </w:tcPr>
          <w:p w14:paraId="042DEFD2" w14:textId="77777777" w:rsidR="00F93BEB"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2"/>
                <w:szCs w:val="12"/>
              </w:rPr>
            </w:pPr>
            <w:r w:rsidRPr="00213A5D">
              <w:rPr>
                <w:rFonts w:eastAsia="Times New Roman"/>
                <w:b/>
                <w:bCs/>
                <w:color w:val="000000"/>
                <w:sz w:val="12"/>
                <w:szCs w:val="12"/>
              </w:rPr>
              <w:t xml:space="preserve">Установлено сводной бюджетной росписью </w:t>
            </w:r>
          </w:p>
          <w:p w14:paraId="7155F505" w14:textId="77777777" w:rsidR="00814F97"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2"/>
                <w:szCs w:val="12"/>
              </w:rPr>
            </w:pPr>
            <w:r w:rsidRPr="00213A5D">
              <w:rPr>
                <w:rFonts w:eastAsia="Times New Roman"/>
                <w:b/>
                <w:bCs/>
                <w:color w:val="000000"/>
                <w:sz w:val="12"/>
                <w:szCs w:val="12"/>
              </w:rPr>
              <w:t xml:space="preserve">на 1 октября </w:t>
            </w:r>
          </w:p>
          <w:p w14:paraId="09A5C7B1"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2"/>
                <w:szCs w:val="12"/>
              </w:rPr>
            </w:pPr>
            <w:r w:rsidRPr="00213A5D">
              <w:rPr>
                <w:rFonts w:eastAsia="Times New Roman"/>
                <w:b/>
                <w:bCs/>
                <w:color w:val="000000"/>
                <w:sz w:val="12"/>
                <w:szCs w:val="12"/>
              </w:rPr>
              <w:t>2022 года</w:t>
            </w:r>
          </w:p>
        </w:tc>
        <w:tc>
          <w:tcPr>
            <w:tcW w:w="1524" w:type="pct"/>
            <w:gridSpan w:val="4"/>
            <w:tcBorders>
              <w:top w:val="single" w:sz="4" w:space="0" w:color="auto"/>
              <w:left w:val="nil"/>
              <w:bottom w:val="single" w:sz="4" w:space="0" w:color="auto"/>
              <w:right w:val="single" w:sz="4" w:space="0" w:color="auto"/>
            </w:tcBorders>
            <w:shd w:val="clear" w:color="auto" w:fill="auto"/>
            <w:vAlign w:val="center"/>
            <w:hideMark/>
          </w:tcPr>
          <w:p w14:paraId="37EA82FB"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4"/>
                <w:szCs w:val="14"/>
              </w:rPr>
            </w:pPr>
            <w:r w:rsidRPr="00213A5D">
              <w:rPr>
                <w:rFonts w:eastAsia="Times New Roman"/>
                <w:b/>
                <w:bCs/>
                <w:color w:val="000000"/>
                <w:sz w:val="14"/>
                <w:szCs w:val="14"/>
              </w:rPr>
              <w:t>Исполнение на 1 октября 2022 года</w:t>
            </w:r>
          </w:p>
        </w:tc>
      </w:tr>
      <w:tr w:rsidR="00A47912" w:rsidRPr="00213A5D" w14:paraId="76A9266E" w14:textId="77777777" w:rsidTr="002E4A24">
        <w:trPr>
          <w:gridAfter w:val="1"/>
          <w:wAfter w:w="11" w:type="pct"/>
          <w:trHeight w:val="322"/>
          <w:tblHeader/>
        </w:trPr>
        <w:tc>
          <w:tcPr>
            <w:tcW w:w="1336" w:type="pct"/>
            <w:vMerge/>
            <w:tcBorders>
              <w:top w:val="single" w:sz="4" w:space="0" w:color="auto"/>
              <w:left w:val="single" w:sz="4" w:space="0" w:color="auto"/>
              <w:bottom w:val="single" w:sz="4" w:space="0" w:color="auto"/>
              <w:right w:val="single" w:sz="4" w:space="0" w:color="auto"/>
            </w:tcBorders>
            <w:vAlign w:val="center"/>
            <w:hideMark/>
          </w:tcPr>
          <w:p w14:paraId="7DDCCABE"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4"/>
                <w:szCs w:val="14"/>
              </w:rPr>
            </w:pPr>
          </w:p>
        </w:tc>
        <w:tc>
          <w:tcPr>
            <w:tcW w:w="1072" w:type="pct"/>
            <w:gridSpan w:val="2"/>
            <w:vMerge/>
            <w:tcBorders>
              <w:top w:val="single" w:sz="4" w:space="0" w:color="auto"/>
              <w:left w:val="single" w:sz="4" w:space="0" w:color="auto"/>
              <w:bottom w:val="single" w:sz="4" w:space="0" w:color="auto"/>
              <w:right w:val="single" w:sz="4" w:space="0" w:color="auto"/>
            </w:tcBorders>
            <w:vAlign w:val="center"/>
            <w:hideMark/>
          </w:tcPr>
          <w:p w14:paraId="1A5AC6A0"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4"/>
                <w:szCs w:val="14"/>
              </w:rPr>
            </w:pPr>
          </w:p>
        </w:tc>
        <w:tc>
          <w:tcPr>
            <w:tcW w:w="536" w:type="pct"/>
            <w:vMerge/>
            <w:tcBorders>
              <w:left w:val="single" w:sz="4" w:space="0" w:color="auto"/>
              <w:right w:val="single" w:sz="4" w:space="0" w:color="auto"/>
            </w:tcBorders>
            <w:vAlign w:val="center"/>
            <w:hideMark/>
          </w:tcPr>
          <w:p w14:paraId="2782954F"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2"/>
                <w:szCs w:val="12"/>
              </w:rPr>
            </w:pPr>
          </w:p>
        </w:tc>
        <w:tc>
          <w:tcPr>
            <w:tcW w:w="532" w:type="pct"/>
            <w:vMerge/>
            <w:tcBorders>
              <w:left w:val="single" w:sz="4" w:space="0" w:color="auto"/>
              <w:right w:val="single" w:sz="4" w:space="0" w:color="auto"/>
            </w:tcBorders>
            <w:vAlign w:val="center"/>
            <w:hideMark/>
          </w:tcPr>
          <w:p w14:paraId="57A6BF7B"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2"/>
                <w:szCs w:val="12"/>
              </w:rPr>
            </w:pPr>
          </w:p>
        </w:tc>
        <w:tc>
          <w:tcPr>
            <w:tcW w:w="535" w:type="pct"/>
            <w:vMerge w:val="restart"/>
            <w:tcBorders>
              <w:top w:val="nil"/>
              <w:left w:val="single" w:sz="4" w:space="0" w:color="auto"/>
              <w:right w:val="single" w:sz="4" w:space="0" w:color="auto"/>
            </w:tcBorders>
            <w:shd w:val="clear" w:color="auto" w:fill="auto"/>
            <w:vAlign w:val="center"/>
            <w:hideMark/>
          </w:tcPr>
          <w:p w14:paraId="330CABF9"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4"/>
                <w:szCs w:val="14"/>
              </w:rPr>
            </w:pPr>
            <w:r w:rsidRPr="00213A5D">
              <w:rPr>
                <w:rFonts w:eastAsia="Times New Roman"/>
                <w:b/>
                <w:bCs/>
                <w:color w:val="000000"/>
                <w:sz w:val="14"/>
                <w:szCs w:val="14"/>
              </w:rPr>
              <w:t>сумма</w:t>
            </w:r>
          </w:p>
        </w:tc>
        <w:tc>
          <w:tcPr>
            <w:tcW w:w="500" w:type="pct"/>
            <w:vMerge w:val="restart"/>
            <w:tcBorders>
              <w:top w:val="nil"/>
              <w:left w:val="single" w:sz="4" w:space="0" w:color="auto"/>
              <w:right w:val="single" w:sz="4" w:space="0" w:color="auto"/>
            </w:tcBorders>
            <w:shd w:val="clear" w:color="auto" w:fill="auto"/>
            <w:vAlign w:val="center"/>
            <w:hideMark/>
          </w:tcPr>
          <w:p w14:paraId="082E4494"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2"/>
                <w:szCs w:val="12"/>
              </w:rPr>
            </w:pPr>
            <w:r w:rsidRPr="00213A5D">
              <w:rPr>
                <w:rFonts w:eastAsia="Times New Roman"/>
                <w:b/>
                <w:bCs/>
                <w:color w:val="000000"/>
                <w:sz w:val="12"/>
                <w:szCs w:val="12"/>
              </w:rPr>
              <w:t>в % к утвержденному объему</w:t>
            </w:r>
          </w:p>
        </w:tc>
        <w:tc>
          <w:tcPr>
            <w:tcW w:w="478" w:type="pct"/>
            <w:vMerge w:val="restart"/>
            <w:tcBorders>
              <w:top w:val="nil"/>
              <w:left w:val="single" w:sz="4" w:space="0" w:color="auto"/>
              <w:right w:val="single" w:sz="4" w:space="0" w:color="auto"/>
            </w:tcBorders>
            <w:shd w:val="clear" w:color="auto" w:fill="auto"/>
            <w:vAlign w:val="center"/>
            <w:hideMark/>
          </w:tcPr>
          <w:p w14:paraId="7209A26D" w14:textId="77777777" w:rsidR="00A47912" w:rsidRPr="00213A5D" w:rsidRDefault="00A47912" w:rsidP="003A6E9B">
            <w:pPr>
              <w:widowControl w:val="0"/>
              <w:overflowPunct/>
              <w:autoSpaceDE/>
              <w:autoSpaceDN/>
              <w:adjustRightInd/>
              <w:spacing w:line="240" w:lineRule="auto"/>
              <w:ind w:left="0" w:right="0" w:firstLine="0"/>
              <w:jc w:val="center"/>
              <w:textAlignment w:val="auto"/>
              <w:rPr>
                <w:rFonts w:eastAsia="Times New Roman"/>
                <w:b/>
                <w:bCs/>
                <w:color w:val="000000"/>
                <w:sz w:val="12"/>
                <w:szCs w:val="12"/>
              </w:rPr>
            </w:pPr>
            <w:r w:rsidRPr="00213A5D">
              <w:rPr>
                <w:rFonts w:eastAsia="Times New Roman"/>
                <w:b/>
                <w:bCs/>
                <w:color w:val="000000"/>
                <w:sz w:val="12"/>
                <w:szCs w:val="12"/>
              </w:rPr>
              <w:t>в % к сводной бюджетной росписи</w:t>
            </w:r>
          </w:p>
        </w:tc>
      </w:tr>
      <w:tr w:rsidR="00A47912" w:rsidRPr="00213A5D" w14:paraId="192204DE" w14:textId="77777777" w:rsidTr="00174E29">
        <w:trPr>
          <w:gridAfter w:val="1"/>
          <w:wAfter w:w="11" w:type="pct"/>
          <w:trHeight w:val="413"/>
          <w:tblHeader/>
        </w:trPr>
        <w:tc>
          <w:tcPr>
            <w:tcW w:w="1336" w:type="pct"/>
            <w:vMerge/>
            <w:tcBorders>
              <w:top w:val="single" w:sz="4" w:space="0" w:color="auto"/>
              <w:left w:val="single" w:sz="4" w:space="0" w:color="auto"/>
              <w:bottom w:val="single" w:sz="4" w:space="0" w:color="auto"/>
              <w:right w:val="single" w:sz="4" w:space="0" w:color="auto"/>
            </w:tcBorders>
            <w:vAlign w:val="center"/>
            <w:hideMark/>
          </w:tcPr>
          <w:p w14:paraId="52344D76"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4"/>
                <w:szCs w:val="14"/>
              </w:rPr>
            </w:pPr>
          </w:p>
        </w:tc>
        <w:tc>
          <w:tcPr>
            <w:tcW w:w="536" w:type="pct"/>
            <w:tcBorders>
              <w:top w:val="nil"/>
              <w:left w:val="nil"/>
              <w:bottom w:val="single" w:sz="4" w:space="0" w:color="auto"/>
              <w:right w:val="single" w:sz="4" w:space="0" w:color="auto"/>
            </w:tcBorders>
            <w:shd w:val="clear" w:color="auto" w:fill="auto"/>
            <w:vAlign w:val="center"/>
            <w:hideMark/>
          </w:tcPr>
          <w:p w14:paraId="3B8C7951"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4"/>
                <w:szCs w:val="14"/>
              </w:rPr>
            </w:pPr>
            <w:r w:rsidRPr="00213A5D">
              <w:rPr>
                <w:rFonts w:eastAsia="Times New Roman"/>
                <w:b/>
                <w:bCs/>
                <w:color w:val="000000"/>
                <w:sz w:val="14"/>
                <w:szCs w:val="14"/>
              </w:rPr>
              <w:t>2020 года</w:t>
            </w:r>
          </w:p>
        </w:tc>
        <w:tc>
          <w:tcPr>
            <w:tcW w:w="536" w:type="pct"/>
            <w:tcBorders>
              <w:top w:val="nil"/>
              <w:left w:val="nil"/>
              <w:bottom w:val="single" w:sz="4" w:space="0" w:color="auto"/>
              <w:right w:val="single" w:sz="4" w:space="0" w:color="auto"/>
            </w:tcBorders>
            <w:shd w:val="clear" w:color="auto" w:fill="auto"/>
            <w:vAlign w:val="center"/>
            <w:hideMark/>
          </w:tcPr>
          <w:p w14:paraId="1716DCEA"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b/>
                <w:bCs/>
                <w:color w:val="000000"/>
                <w:sz w:val="14"/>
                <w:szCs w:val="14"/>
              </w:rPr>
            </w:pPr>
            <w:r w:rsidRPr="00213A5D">
              <w:rPr>
                <w:rFonts w:eastAsia="Times New Roman"/>
                <w:b/>
                <w:bCs/>
                <w:color w:val="000000"/>
                <w:sz w:val="14"/>
                <w:szCs w:val="14"/>
              </w:rPr>
              <w:t>2021 года</w:t>
            </w:r>
          </w:p>
        </w:tc>
        <w:tc>
          <w:tcPr>
            <w:tcW w:w="536" w:type="pct"/>
            <w:vMerge/>
            <w:tcBorders>
              <w:left w:val="single" w:sz="4" w:space="0" w:color="auto"/>
              <w:bottom w:val="single" w:sz="4" w:space="0" w:color="auto"/>
              <w:right w:val="single" w:sz="4" w:space="0" w:color="auto"/>
            </w:tcBorders>
            <w:vAlign w:val="center"/>
            <w:hideMark/>
          </w:tcPr>
          <w:p w14:paraId="6325B13B"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2"/>
                <w:szCs w:val="12"/>
              </w:rPr>
            </w:pPr>
          </w:p>
        </w:tc>
        <w:tc>
          <w:tcPr>
            <w:tcW w:w="532" w:type="pct"/>
            <w:vMerge/>
            <w:tcBorders>
              <w:left w:val="single" w:sz="4" w:space="0" w:color="auto"/>
              <w:bottom w:val="single" w:sz="4" w:space="0" w:color="auto"/>
              <w:right w:val="single" w:sz="4" w:space="0" w:color="auto"/>
            </w:tcBorders>
            <w:vAlign w:val="center"/>
            <w:hideMark/>
          </w:tcPr>
          <w:p w14:paraId="380D156D"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2"/>
                <w:szCs w:val="12"/>
              </w:rPr>
            </w:pPr>
          </w:p>
        </w:tc>
        <w:tc>
          <w:tcPr>
            <w:tcW w:w="535" w:type="pct"/>
            <w:vMerge/>
            <w:tcBorders>
              <w:left w:val="single" w:sz="4" w:space="0" w:color="auto"/>
              <w:bottom w:val="single" w:sz="4" w:space="0" w:color="auto"/>
              <w:right w:val="single" w:sz="4" w:space="0" w:color="auto"/>
            </w:tcBorders>
            <w:vAlign w:val="center"/>
            <w:hideMark/>
          </w:tcPr>
          <w:p w14:paraId="68FBCD23"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4"/>
                <w:szCs w:val="14"/>
              </w:rPr>
            </w:pPr>
          </w:p>
        </w:tc>
        <w:tc>
          <w:tcPr>
            <w:tcW w:w="500" w:type="pct"/>
            <w:vMerge/>
            <w:tcBorders>
              <w:left w:val="single" w:sz="4" w:space="0" w:color="auto"/>
              <w:bottom w:val="single" w:sz="4" w:space="0" w:color="auto"/>
              <w:right w:val="single" w:sz="4" w:space="0" w:color="auto"/>
            </w:tcBorders>
            <w:vAlign w:val="center"/>
            <w:hideMark/>
          </w:tcPr>
          <w:p w14:paraId="1EF9B00D"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2"/>
                <w:szCs w:val="12"/>
              </w:rPr>
            </w:pPr>
          </w:p>
        </w:tc>
        <w:tc>
          <w:tcPr>
            <w:tcW w:w="478" w:type="pct"/>
            <w:vMerge/>
            <w:tcBorders>
              <w:left w:val="single" w:sz="4" w:space="0" w:color="auto"/>
              <w:bottom w:val="single" w:sz="4" w:space="0" w:color="auto"/>
              <w:right w:val="single" w:sz="4" w:space="0" w:color="auto"/>
            </w:tcBorders>
            <w:vAlign w:val="center"/>
            <w:hideMark/>
          </w:tcPr>
          <w:p w14:paraId="6BE3B19F" w14:textId="77777777" w:rsidR="00A47912" w:rsidRPr="00213A5D" w:rsidRDefault="00A47912" w:rsidP="00AF1852">
            <w:pPr>
              <w:widowControl w:val="0"/>
              <w:overflowPunct/>
              <w:autoSpaceDE/>
              <w:autoSpaceDN/>
              <w:adjustRightInd/>
              <w:spacing w:line="240" w:lineRule="auto"/>
              <w:ind w:left="0" w:right="0" w:firstLine="0"/>
              <w:jc w:val="left"/>
              <w:textAlignment w:val="auto"/>
              <w:rPr>
                <w:rFonts w:eastAsia="Times New Roman"/>
                <w:b/>
                <w:bCs/>
                <w:color w:val="000000"/>
                <w:sz w:val="12"/>
                <w:szCs w:val="12"/>
              </w:rPr>
            </w:pPr>
          </w:p>
        </w:tc>
      </w:tr>
      <w:tr w:rsidR="00A47912" w:rsidRPr="00213A5D" w14:paraId="568BDF34" w14:textId="77777777" w:rsidTr="002E4A24">
        <w:trPr>
          <w:gridAfter w:val="1"/>
          <w:wAfter w:w="11" w:type="pct"/>
          <w:trHeight w:val="293"/>
        </w:trPr>
        <w:tc>
          <w:tcPr>
            <w:tcW w:w="1336" w:type="pct"/>
            <w:tcBorders>
              <w:top w:val="nil"/>
              <w:left w:val="single" w:sz="4" w:space="0" w:color="auto"/>
              <w:bottom w:val="single" w:sz="4" w:space="0" w:color="auto"/>
              <w:right w:val="single" w:sz="4" w:space="0" w:color="auto"/>
            </w:tcBorders>
            <w:shd w:val="clear" w:color="auto" w:fill="auto"/>
            <w:vAlign w:val="center"/>
            <w:hideMark/>
          </w:tcPr>
          <w:p w14:paraId="492185E6" w14:textId="77777777" w:rsidR="00A47912" w:rsidRPr="00213A5D" w:rsidRDefault="00A47912"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Расходы на обслуживание государственного долга Российской Федерации, всего</w:t>
            </w:r>
          </w:p>
        </w:tc>
        <w:tc>
          <w:tcPr>
            <w:tcW w:w="536" w:type="pct"/>
            <w:tcBorders>
              <w:top w:val="nil"/>
              <w:left w:val="nil"/>
              <w:bottom w:val="single" w:sz="4" w:space="0" w:color="auto"/>
              <w:right w:val="single" w:sz="4" w:space="0" w:color="auto"/>
            </w:tcBorders>
            <w:shd w:val="clear" w:color="auto" w:fill="auto"/>
            <w:vAlign w:val="center"/>
            <w:hideMark/>
          </w:tcPr>
          <w:p w14:paraId="261AACD0"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532 598,7</w:t>
            </w:r>
          </w:p>
        </w:tc>
        <w:tc>
          <w:tcPr>
            <w:tcW w:w="536" w:type="pct"/>
            <w:tcBorders>
              <w:top w:val="nil"/>
              <w:left w:val="nil"/>
              <w:bottom w:val="single" w:sz="4" w:space="0" w:color="auto"/>
              <w:right w:val="single" w:sz="4" w:space="0" w:color="auto"/>
            </w:tcBorders>
            <w:shd w:val="clear" w:color="auto" w:fill="auto"/>
            <w:vAlign w:val="center"/>
            <w:hideMark/>
          </w:tcPr>
          <w:p w14:paraId="68645C63"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780 540,4</w:t>
            </w:r>
          </w:p>
        </w:tc>
        <w:tc>
          <w:tcPr>
            <w:tcW w:w="536" w:type="pct"/>
            <w:tcBorders>
              <w:top w:val="nil"/>
              <w:left w:val="nil"/>
              <w:bottom w:val="single" w:sz="4" w:space="0" w:color="auto"/>
              <w:right w:val="single" w:sz="4" w:space="0" w:color="auto"/>
            </w:tcBorders>
            <w:shd w:val="clear" w:color="auto" w:fill="auto"/>
            <w:vAlign w:val="center"/>
            <w:hideMark/>
          </w:tcPr>
          <w:p w14:paraId="6D391DF9"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1 403 356,7</w:t>
            </w:r>
          </w:p>
        </w:tc>
        <w:tc>
          <w:tcPr>
            <w:tcW w:w="532" w:type="pct"/>
            <w:tcBorders>
              <w:top w:val="nil"/>
              <w:left w:val="nil"/>
              <w:bottom w:val="single" w:sz="4" w:space="0" w:color="auto"/>
              <w:right w:val="single" w:sz="4" w:space="0" w:color="auto"/>
            </w:tcBorders>
            <w:shd w:val="clear" w:color="auto" w:fill="auto"/>
            <w:vAlign w:val="center"/>
            <w:hideMark/>
          </w:tcPr>
          <w:p w14:paraId="433FDBC2"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1 403 356,7</w:t>
            </w:r>
          </w:p>
        </w:tc>
        <w:tc>
          <w:tcPr>
            <w:tcW w:w="535" w:type="pct"/>
            <w:tcBorders>
              <w:top w:val="nil"/>
              <w:left w:val="nil"/>
              <w:bottom w:val="single" w:sz="4" w:space="0" w:color="auto"/>
              <w:right w:val="single" w:sz="4" w:space="0" w:color="auto"/>
            </w:tcBorders>
            <w:shd w:val="clear" w:color="auto" w:fill="auto"/>
            <w:vAlign w:val="center"/>
            <w:hideMark/>
          </w:tcPr>
          <w:p w14:paraId="03DE7686"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1 017 682,7</w:t>
            </w:r>
          </w:p>
        </w:tc>
        <w:tc>
          <w:tcPr>
            <w:tcW w:w="500" w:type="pct"/>
            <w:tcBorders>
              <w:top w:val="nil"/>
              <w:left w:val="nil"/>
              <w:bottom w:val="single" w:sz="4" w:space="0" w:color="auto"/>
              <w:right w:val="single" w:sz="4" w:space="0" w:color="auto"/>
            </w:tcBorders>
            <w:shd w:val="clear" w:color="auto" w:fill="auto"/>
            <w:vAlign w:val="center"/>
            <w:hideMark/>
          </w:tcPr>
          <w:p w14:paraId="0875AC61"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72,5</w:t>
            </w:r>
          </w:p>
        </w:tc>
        <w:tc>
          <w:tcPr>
            <w:tcW w:w="478" w:type="pct"/>
            <w:tcBorders>
              <w:top w:val="nil"/>
              <w:left w:val="nil"/>
              <w:bottom w:val="single" w:sz="4" w:space="0" w:color="auto"/>
              <w:right w:val="single" w:sz="4" w:space="0" w:color="auto"/>
            </w:tcBorders>
            <w:shd w:val="clear" w:color="auto" w:fill="auto"/>
            <w:vAlign w:val="center"/>
            <w:hideMark/>
          </w:tcPr>
          <w:p w14:paraId="2562B379"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72,5</w:t>
            </w:r>
          </w:p>
        </w:tc>
      </w:tr>
      <w:tr w:rsidR="00A47912" w:rsidRPr="00213A5D" w14:paraId="2D146C77" w14:textId="77777777" w:rsidTr="002E4A24">
        <w:trPr>
          <w:gridAfter w:val="1"/>
          <w:wAfter w:w="11" w:type="pct"/>
          <w:trHeight w:val="192"/>
        </w:trPr>
        <w:tc>
          <w:tcPr>
            <w:tcW w:w="1336" w:type="pct"/>
            <w:tcBorders>
              <w:top w:val="nil"/>
              <w:left w:val="single" w:sz="4" w:space="0" w:color="auto"/>
              <w:bottom w:val="single" w:sz="4" w:space="0" w:color="auto"/>
              <w:right w:val="single" w:sz="4" w:space="0" w:color="auto"/>
            </w:tcBorders>
            <w:shd w:val="clear" w:color="auto" w:fill="auto"/>
            <w:vAlign w:val="center"/>
            <w:hideMark/>
          </w:tcPr>
          <w:p w14:paraId="4EFEBB36" w14:textId="77777777" w:rsidR="00A47912" w:rsidRPr="00213A5D" w:rsidRDefault="00A47912"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Доля в общем объеме расходов федерального бюджета, %</w:t>
            </w:r>
          </w:p>
        </w:tc>
        <w:tc>
          <w:tcPr>
            <w:tcW w:w="536" w:type="pct"/>
            <w:tcBorders>
              <w:top w:val="nil"/>
              <w:left w:val="nil"/>
              <w:bottom w:val="single" w:sz="4" w:space="0" w:color="auto"/>
              <w:right w:val="single" w:sz="4" w:space="0" w:color="auto"/>
            </w:tcBorders>
            <w:shd w:val="clear" w:color="auto" w:fill="auto"/>
            <w:vAlign w:val="center"/>
            <w:hideMark/>
          </w:tcPr>
          <w:p w14:paraId="1D60E0FC"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3,6</w:t>
            </w:r>
          </w:p>
        </w:tc>
        <w:tc>
          <w:tcPr>
            <w:tcW w:w="536" w:type="pct"/>
            <w:tcBorders>
              <w:top w:val="nil"/>
              <w:left w:val="nil"/>
              <w:bottom w:val="single" w:sz="4" w:space="0" w:color="auto"/>
              <w:right w:val="single" w:sz="4" w:space="0" w:color="auto"/>
            </w:tcBorders>
            <w:shd w:val="clear" w:color="auto" w:fill="auto"/>
            <w:vAlign w:val="center"/>
            <w:hideMark/>
          </w:tcPr>
          <w:p w14:paraId="28A3D946"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4,8</w:t>
            </w:r>
          </w:p>
        </w:tc>
        <w:tc>
          <w:tcPr>
            <w:tcW w:w="536" w:type="pct"/>
            <w:tcBorders>
              <w:top w:val="nil"/>
              <w:left w:val="nil"/>
              <w:bottom w:val="single" w:sz="4" w:space="0" w:color="auto"/>
              <w:right w:val="single" w:sz="4" w:space="0" w:color="auto"/>
            </w:tcBorders>
            <w:shd w:val="clear" w:color="auto" w:fill="auto"/>
            <w:vAlign w:val="center"/>
            <w:hideMark/>
          </w:tcPr>
          <w:p w14:paraId="30D30EF9"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5,9</w:t>
            </w:r>
          </w:p>
        </w:tc>
        <w:tc>
          <w:tcPr>
            <w:tcW w:w="532" w:type="pct"/>
            <w:tcBorders>
              <w:top w:val="nil"/>
              <w:left w:val="nil"/>
              <w:bottom w:val="single" w:sz="4" w:space="0" w:color="auto"/>
              <w:right w:val="single" w:sz="4" w:space="0" w:color="auto"/>
            </w:tcBorders>
            <w:shd w:val="clear" w:color="auto" w:fill="auto"/>
            <w:vAlign w:val="center"/>
            <w:hideMark/>
          </w:tcPr>
          <w:p w14:paraId="2BF2374E"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5,0</w:t>
            </w:r>
          </w:p>
        </w:tc>
        <w:tc>
          <w:tcPr>
            <w:tcW w:w="535" w:type="pct"/>
            <w:tcBorders>
              <w:top w:val="nil"/>
              <w:left w:val="nil"/>
              <w:bottom w:val="single" w:sz="4" w:space="0" w:color="auto"/>
              <w:right w:val="single" w:sz="4" w:space="0" w:color="auto"/>
            </w:tcBorders>
            <w:shd w:val="clear" w:color="auto" w:fill="auto"/>
            <w:vAlign w:val="center"/>
            <w:hideMark/>
          </w:tcPr>
          <w:p w14:paraId="064084CE"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5,2</w:t>
            </w:r>
          </w:p>
        </w:tc>
        <w:tc>
          <w:tcPr>
            <w:tcW w:w="500" w:type="pct"/>
            <w:tcBorders>
              <w:top w:val="nil"/>
              <w:left w:val="nil"/>
              <w:bottom w:val="single" w:sz="4" w:space="0" w:color="auto"/>
              <w:right w:val="single" w:sz="4" w:space="0" w:color="auto"/>
            </w:tcBorders>
            <w:shd w:val="clear" w:color="auto" w:fill="auto"/>
            <w:vAlign w:val="center"/>
            <w:hideMark/>
          </w:tcPr>
          <w:p w14:paraId="743381AA"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478" w:type="pct"/>
            <w:tcBorders>
              <w:top w:val="nil"/>
              <w:left w:val="nil"/>
              <w:bottom w:val="single" w:sz="4" w:space="0" w:color="auto"/>
              <w:right w:val="single" w:sz="4" w:space="0" w:color="auto"/>
            </w:tcBorders>
            <w:shd w:val="clear" w:color="auto" w:fill="auto"/>
            <w:vAlign w:val="center"/>
            <w:hideMark/>
          </w:tcPr>
          <w:p w14:paraId="770244C0"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r>
      <w:tr w:rsidR="00A47912" w:rsidRPr="00213A5D" w14:paraId="43D3E10A" w14:textId="77777777" w:rsidTr="002E4A24">
        <w:trPr>
          <w:gridAfter w:val="1"/>
          <w:wAfter w:w="11" w:type="pct"/>
          <w:trHeight w:val="214"/>
        </w:trPr>
        <w:tc>
          <w:tcPr>
            <w:tcW w:w="1336" w:type="pct"/>
            <w:tcBorders>
              <w:top w:val="nil"/>
              <w:left w:val="single" w:sz="4" w:space="0" w:color="auto"/>
              <w:bottom w:val="single" w:sz="4" w:space="0" w:color="auto"/>
              <w:right w:val="single" w:sz="4" w:space="0" w:color="auto"/>
            </w:tcBorders>
            <w:shd w:val="clear" w:color="auto" w:fill="auto"/>
            <w:vAlign w:val="center"/>
            <w:hideMark/>
          </w:tcPr>
          <w:p w14:paraId="0391EEAC" w14:textId="77777777" w:rsidR="00A47912" w:rsidRPr="00213A5D" w:rsidRDefault="00A47912"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 xml:space="preserve">Расходы на обслуживание государственного внутреннего долга Российской Федерации </w:t>
            </w:r>
          </w:p>
        </w:tc>
        <w:tc>
          <w:tcPr>
            <w:tcW w:w="536" w:type="pct"/>
            <w:tcBorders>
              <w:top w:val="nil"/>
              <w:left w:val="nil"/>
              <w:bottom w:val="single" w:sz="4" w:space="0" w:color="auto"/>
              <w:right w:val="single" w:sz="4" w:space="0" w:color="auto"/>
            </w:tcBorders>
            <w:shd w:val="clear" w:color="auto" w:fill="auto"/>
            <w:vAlign w:val="center"/>
            <w:hideMark/>
          </w:tcPr>
          <w:p w14:paraId="107DDD02"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418 666,5</w:t>
            </w:r>
          </w:p>
        </w:tc>
        <w:tc>
          <w:tcPr>
            <w:tcW w:w="536" w:type="pct"/>
            <w:tcBorders>
              <w:top w:val="nil"/>
              <w:left w:val="nil"/>
              <w:bottom w:val="single" w:sz="4" w:space="0" w:color="auto"/>
              <w:right w:val="single" w:sz="4" w:space="0" w:color="auto"/>
            </w:tcBorders>
            <w:shd w:val="clear" w:color="auto" w:fill="auto"/>
            <w:vAlign w:val="center"/>
            <w:hideMark/>
          </w:tcPr>
          <w:p w14:paraId="479442C2"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682 676,3</w:t>
            </w:r>
          </w:p>
        </w:tc>
        <w:tc>
          <w:tcPr>
            <w:tcW w:w="536" w:type="pct"/>
            <w:tcBorders>
              <w:top w:val="nil"/>
              <w:left w:val="nil"/>
              <w:bottom w:val="single" w:sz="4" w:space="0" w:color="auto"/>
              <w:right w:val="single" w:sz="4" w:space="0" w:color="auto"/>
            </w:tcBorders>
            <w:shd w:val="clear" w:color="auto" w:fill="auto"/>
            <w:vAlign w:val="center"/>
            <w:hideMark/>
          </w:tcPr>
          <w:p w14:paraId="1DD1ECB0"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1 255 881,4</w:t>
            </w:r>
          </w:p>
        </w:tc>
        <w:tc>
          <w:tcPr>
            <w:tcW w:w="532" w:type="pct"/>
            <w:tcBorders>
              <w:top w:val="nil"/>
              <w:left w:val="nil"/>
              <w:bottom w:val="single" w:sz="4" w:space="0" w:color="auto"/>
              <w:right w:val="single" w:sz="4" w:space="0" w:color="auto"/>
            </w:tcBorders>
            <w:shd w:val="clear" w:color="auto" w:fill="auto"/>
            <w:vAlign w:val="center"/>
            <w:hideMark/>
          </w:tcPr>
          <w:p w14:paraId="1971D81C"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1 255 881,4</w:t>
            </w:r>
          </w:p>
        </w:tc>
        <w:tc>
          <w:tcPr>
            <w:tcW w:w="535" w:type="pct"/>
            <w:tcBorders>
              <w:top w:val="nil"/>
              <w:left w:val="nil"/>
              <w:bottom w:val="single" w:sz="4" w:space="0" w:color="auto"/>
              <w:right w:val="single" w:sz="4" w:space="0" w:color="auto"/>
            </w:tcBorders>
            <w:shd w:val="clear" w:color="auto" w:fill="auto"/>
            <w:vAlign w:val="center"/>
            <w:hideMark/>
          </w:tcPr>
          <w:p w14:paraId="3F7C582E"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921 332,5</w:t>
            </w:r>
          </w:p>
        </w:tc>
        <w:tc>
          <w:tcPr>
            <w:tcW w:w="500" w:type="pct"/>
            <w:tcBorders>
              <w:top w:val="nil"/>
              <w:left w:val="nil"/>
              <w:bottom w:val="single" w:sz="4" w:space="0" w:color="auto"/>
              <w:right w:val="single" w:sz="4" w:space="0" w:color="auto"/>
            </w:tcBorders>
            <w:shd w:val="clear" w:color="auto" w:fill="auto"/>
            <w:vAlign w:val="center"/>
            <w:hideMark/>
          </w:tcPr>
          <w:p w14:paraId="204FA46B"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73,4</w:t>
            </w:r>
          </w:p>
        </w:tc>
        <w:tc>
          <w:tcPr>
            <w:tcW w:w="478" w:type="pct"/>
            <w:tcBorders>
              <w:top w:val="nil"/>
              <w:left w:val="nil"/>
              <w:bottom w:val="single" w:sz="4" w:space="0" w:color="auto"/>
              <w:right w:val="single" w:sz="4" w:space="0" w:color="auto"/>
            </w:tcBorders>
            <w:shd w:val="clear" w:color="auto" w:fill="auto"/>
            <w:vAlign w:val="center"/>
            <w:hideMark/>
          </w:tcPr>
          <w:p w14:paraId="2A637031"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73,4</w:t>
            </w:r>
          </w:p>
        </w:tc>
      </w:tr>
      <w:tr w:rsidR="00A47912" w:rsidRPr="00213A5D" w14:paraId="750C2C84" w14:textId="77777777" w:rsidTr="002E4A24">
        <w:trPr>
          <w:gridAfter w:val="1"/>
          <w:wAfter w:w="11" w:type="pct"/>
          <w:trHeight w:val="529"/>
        </w:trPr>
        <w:tc>
          <w:tcPr>
            <w:tcW w:w="1336" w:type="pct"/>
            <w:tcBorders>
              <w:top w:val="nil"/>
              <w:left w:val="single" w:sz="4" w:space="0" w:color="auto"/>
              <w:bottom w:val="single" w:sz="4" w:space="0" w:color="auto"/>
              <w:right w:val="single" w:sz="4" w:space="0" w:color="auto"/>
            </w:tcBorders>
            <w:shd w:val="clear" w:color="auto" w:fill="auto"/>
            <w:vAlign w:val="center"/>
            <w:hideMark/>
          </w:tcPr>
          <w:p w14:paraId="326D2349" w14:textId="77777777" w:rsidR="00A47912" w:rsidRPr="00213A5D" w:rsidRDefault="00A47912"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Доля в общем объеме расходов на обслуживание государственного долга Российской Федерации, %</w:t>
            </w:r>
          </w:p>
        </w:tc>
        <w:tc>
          <w:tcPr>
            <w:tcW w:w="536" w:type="pct"/>
            <w:tcBorders>
              <w:top w:val="nil"/>
              <w:left w:val="nil"/>
              <w:bottom w:val="single" w:sz="4" w:space="0" w:color="auto"/>
              <w:right w:val="single" w:sz="4" w:space="0" w:color="auto"/>
            </w:tcBorders>
            <w:shd w:val="clear" w:color="auto" w:fill="auto"/>
            <w:vAlign w:val="center"/>
            <w:hideMark/>
          </w:tcPr>
          <w:p w14:paraId="1FEF7B84"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78,6</w:t>
            </w:r>
          </w:p>
        </w:tc>
        <w:tc>
          <w:tcPr>
            <w:tcW w:w="536" w:type="pct"/>
            <w:tcBorders>
              <w:top w:val="nil"/>
              <w:left w:val="nil"/>
              <w:bottom w:val="single" w:sz="4" w:space="0" w:color="auto"/>
              <w:right w:val="single" w:sz="4" w:space="0" w:color="auto"/>
            </w:tcBorders>
            <w:shd w:val="clear" w:color="auto" w:fill="auto"/>
            <w:vAlign w:val="center"/>
            <w:hideMark/>
          </w:tcPr>
          <w:p w14:paraId="4162422E"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87,5</w:t>
            </w:r>
          </w:p>
        </w:tc>
        <w:tc>
          <w:tcPr>
            <w:tcW w:w="536" w:type="pct"/>
            <w:tcBorders>
              <w:top w:val="nil"/>
              <w:left w:val="nil"/>
              <w:bottom w:val="single" w:sz="4" w:space="0" w:color="auto"/>
              <w:right w:val="single" w:sz="4" w:space="0" w:color="auto"/>
            </w:tcBorders>
            <w:shd w:val="clear" w:color="auto" w:fill="auto"/>
            <w:vAlign w:val="center"/>
            <w:hideMark/>
          </w:tcPr>
          <w:p w14:paraId="7191C6A2"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89,5</w:t>
            </w:r>
          </w:p>
        </w:tc>
        <w:tc>
          <w:tcPr>
            <w:tcW w:w="532" w:type="pct"/>
            <w:tcBorders>
              <w:top w:val="nil"/>
              <w:left w:val="nil"/>
              <w:bottom w:val="single" w:sz="4" w:space="0" w:color="auto"/>
              <w:right w:val="single" w:sz="4" w:space="0" w:color="auto"/>
            </w:tcBorders>
            <w:shd w:val="clear" w:color="auto" w:fill="auto"/>
            <w:vAlign w:val="center"/>
            <w:hideMark/>
          </w:tcPr>
          <w:p w14:paraId="007E3296"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89,5</w:t>
            </w:r>
          </w:p>
        </w:tc>
        <w:tc>
          <w:tcPr>
            <w:tcW w:w="535" w:type="pct"/>
            <w:tcBorders>
              <w:top w:val="nil"/>
              <w:left w:val="nil"/>
              <w:bottom w:val="single" w:sz="4" w:space="0" w:color="auto"/>
              <w:right w:val="single" w:sz="4" w:space="0" w:color="auto"/>
            </w:tcBorders>
            <w:shd w:val="clear" w:color="auto" w:fill="auto"/>
            <w:vAlign w:val="center"/>
            <w:hideMark/>
          </w:tcPr>
          <w:p w14:paraId="0467502E"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90,5</w:t>
            </w:r>
          </w:p>
        </w:tc>
        <w:tc>
          <w:tcPr>
            <w:tcW w:w="500" w:type="pct"/>
            <w:tcBorders>
              <w:top w:val="nil"/>
              <w:left w:val="nil"/>
              <w:bottom w:val="single" w:sz="4" w:space="0" w:color="auto"/>
              <w:right w:val="single" w:sz="4" w:space="0" w:color="auto"/>
            </w:tcBorders>
            <w:shd w:val="clear" w:color="auto" w:fill="auto"/>
            <w:vAlign w:val="center"/>
            <w:hideMark/>
          </w:tcPr>
          <w:p w14:paraId="0A7BA438"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478" w:type="pct"/>
            <w:tcBorders>
              <w:top w:val="nil"/>
              <w:left w:val="nil"/>
              <w:bottom w:val="single" w:sz="4" w:space="0" w:color="auto"/>
              <w:right w:val="single" w:sz="4" w:space="0" w:color="auto"/>
            </w:tcBorders>
            <w:shd w:val="clear" w:color="auto" w:fill="auto"/>
            <w:vAlign w:val="center"/>
            <w:hideMark/>
          </w:tcPr>
          <w:p w14:paraId="4457BD76"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r>
      <w:tr w:rsidR="00A47912" w:rsidRPr="00213A5D" w14:paraId="0E335596" w14:textId="77777777" w:rsidTr="002E4A24">
        <w:trPr>
          <w:gridAfter w:val="1"/>
          <w:wAfter w:w="11" w:type="pct"/>
          <w:trHeight w:val="494"/>
        </w:trPr>
        <w:tc>
          <w:tcPr>
            <w:tcW w:w="1336" w:type="pct"/>
            <w:tcBorders>
              <w:top w:val="nil"/>
              <w:left w:val="single" w:sz="4" w:space="0" w:color="auto"/>
              <w:bottom w:val="single" w:sz="4" w:space="0" w:color="auto"/>
              <w:right w:val="single" w:sz="4" w:space="0" w:color="auto"/>
            </w:tcBorders>
            <w:shd w:val="clear" w:color="auto" w:fill="auto"/>
            <w:vAlign w:val="center"/>
            <w:hideMark/>
          </w:tcPr>
          <w:p w14:paraId="6F14AF66" w14:textId="77777777" w:rsidR="00A47912" w:rsidRPr="00213A5D" w:rsidRDefault="00A47912"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 xml:space="preserve">Расходы на обслуживание государственного внешнего долга Российской Федерации </w:t>
            </w:r>
          </w:p>
        </w:tc>
        <w:tc>
          <w:tcPr>
            <w:tcW w:w="536" w:type="pct"/>
            <w:tcBorders>
              <w:top w:val="nil"/>
              <w:left w:val="nil"/>
              <w:bottom w:val="single" w:sz="4" w:space="0" w:color="auto"/>
              <w:right w:val="single" w:sz="4" w:space="0" w:color="auto"/>
            </w:tcBorders>
            <w:shd w:val="clear" w:color="auto" w:fill="auto"/>
            <w:vAlign w:val="center"/>
            <w:hideMark/>
          </w:tcPr>
          <w:p w14:paraId="0799C82E"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113 932,2</w:t>
            </w:r>
          </w:p>
        </w:tc>
        <w:tc>
          <w:tcPr>
            <w:tcW w:w="536" w:type="pct"/>
            <w:tcBorders>
              <w:top w:val="nil"/>
              <w:left w:val="nil"/>
              <w:bottom w:val="single" w:sz="4" w:space="0" w:color="auto"/>
              <w:right w:val="single" w:sz="4" w:space="0" w:color="auto"/>
            </w:tcBorders>
            <w:shd w:val="clear" w:color="auto" w:fill="auto"/>
            <w:vAlign w:val="center"/>
            <w:hideMark/>
          </w:tcPr>
          <w:p w14:paraId="31A14462"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97 864,1</w:t>
            </w:r>
          </w:p>
        </w:tc>
        <w:tc>
          <w:tcPr>
            <w:tcW w:w="536" w:type="pct"/>
            <w:tcBorders>
              <w:top w:val="nil"/>
              <w:left w:val="nil"/>
              <w:bottom w:val="single" w:sz="4" w:space="0" w:color="auto"/>
              <w:right w:val="single" w:sz="4" w:space="0" w:color="auto"/>
            </w:tcBorders>
            <w:shd w:val="clear" w:color="auto" w:fill="auto"/>
            <w:vAlign w:val="center"/>
            <w:hideMark/>
          </w:tcPr>
          <w:p w14:paraId="12C93BDF"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147 475,3</w:t>
            </w:r>
          </w:p>
        </w:tc>
        <w:tc>
          <w:tcPr>
            <w:tcW w:w="532" w:type="pct"/>
            <w:tcBorders>
              <w:top w:val="nil"/>
              <w:left w:val="nil"/>
              <w:bottom w:val="single" w:sz="4" w:space="0" w:color="auto"/>
              <w:right w:val="single" w:sz="4" w:space="0" w:color="auto"/>
            </w:tcBorders>
            <w:shd w:val="clear" w:color="auto" w:fill="auto"/>
            <w:vAlign w:val="center"/>
            <w:hideMark/>
          </w:tcPr>
          <w:p w14:paraId="4D0A8C70"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147 475,3</w:t>
            </w:r>
          </w:p>
        </w:tc>
        <w:tc>
          <w:tcPr>
            <w:tcW w:w="535" w:type="pct"/>
            <w:tcBorders>
              <w:top w:val="nil"/>
              <w:left w:val="nil"/>
              <w:bottom w:val="single" w:sz="4" w:space="0" w:color="auto"/>
              <w:right w:val="single" w:sz="4" w:space="0" w:color="auto"/>
            </w:tcBorders>
            <w:shd w:val="clear" w:color="auto" w:fill="auto"/>
            <w:vAlign w:val="center"/>
            <w:hideMark/>
          </w:tcPr>
          <w:p w14:paraId="28BA87E5"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96 350,2</w:t>
            </w:r>
          </w:p>
        </w:tc>
        <w:tc>
          <w:tcPr>
            <w:tcW w:w="500" w:type="pct"/>
            <w:tcBorders>
              <w:top w:val="nil"/>
              <w:left w:val="nil"/>
              <w:bottom w:val="single" w:sz="4" w:space="0" w:color="auto"/>
              <w:right w:val="single" w:sz="4" w:space="0" w:color="auto"/>
            </w:tcBorders>
            <w:shd w:val="clear" w:color="auto" w:fill="auto"/>
            <w:vAlign w:val="center"/>
            <w:hideMark/>
          </w:tcPr>
          <w:p w14:paraId="16FC228D"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65,3</w:t>
            </w:r>
          </w:p>
        </w:tc>
        <w:tc>
          <w:tcPr>
            <w:tcW w:w="478" w:type="pct"/>
            <w:tcBorders>
              <w:top w:val="nil"/>
              <w:left w:val="nil"/>
              <w:bottom w:val="single" w:sz="4" w:space="0" w:color="auto"/>
              <w:right w:val="single" w:sz="4" w:space="0" w:color="auto"/>
            </w:tcBorders>
            <w:shd w:val="clear" w:color="auto" w:fill="auto"/>
            <w:vAlign w:val="center"/>
            <w:hideMark/>
          </w:tcPr>
          <w:p w14:paraId="61C64433"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65,3</w:t>
            </w:r>
          </w:p>
        </w:tc>
      </w:tr>
      <w:tr w:rsidR="00A47912" w:rsidRPr="00213A5D" w14:paraId="37192405" w14:textId="77777777" w:rsidTr="00505ADA">
        <w:trPr>
          <w:gridAfter w:val="1"/>
          <w:wAfter w:w="11" w:type="pct"/>
          <w:trHeight w:val="70"/>
        </w:trPr>
        <w:tc>
          <w:tcPr>
            <w:tcW w:w="1336" w:type="pct"/>
            <w:tcBorders>
              <w:top w:val="nil"/>
              <w:left w:val="single" w:sz="4" w:space="0" w:color="auto"/>
              <w:bottom w:val="single" w:sz="4" w:space="0" w:color="auto"/>
              <w:right w:val="single" w:sz="4" w:space="0" w:color="auto"/>
            </w:tcBorders>
            <w:shd w:val="clear" w:color="auto" w:fill="auto"/>
            <w:vAlign w:val="center"/>
            <w:hideMark/>
          </w:tcPr>
          <w:p w14:paraId="62671509" w14:textId="77777777" w:rsidR="00A47912" w:rsidRPr="00213A5D" w:rsidRDefault="00A47912"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Доля в общем объеме расходов на обслуживание государственного долга Российской Федерации, %</w:t>
            </w:r>
          </w:p>
        </w:tc>
        <w:tc>
          <w:tcPr>
            <w:tcW w:w="536" w:type="pct"/>
            <w:tcBorders>
              <w:top w:val="nil"/>
              <w:left w:val="nil"/>
              <w:bottom w:val="single" w:sz="4" w:space="0" w:color="auto"/>
              <w:right w:val="single" w:sz="4" w:space="0" w:color="auto"/>
            </w:tcBorders>
            <w:shd w:val="clear" w:color="auto" w:fill="auto"/>
            <w:vAlign w:val="center"/>
            <w:hideMark/>
          </w:tcPr>
          <w:p w14:paraId="279EE74B"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21,4</w:t>
            </w:r>
          </w:p>
        </w:tc>
        <w:tc>
          <w:tcPr>
            <w:tcW w:w="536" w:type="pct"/>
            <w:tcBorders>
              <w:top w:val="nil"/>
              <w:left w:val="nil"/>
              <w:bottom w:val="single" w:sz="4" w:space="0" w:color="auto"/>
              <w:right w:val="single" w:sz="4" w:space="0" w:color="auto"/>
            </w:tcBorders>
            <w:shd w:val="clear" w:color="auto" w:fill="auto"/>
            <w:vAlign w:val="center"/>
            <w:hideMark/>
          </w:tcPr>
          <w:p w14:paraId="161BE6BD"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12,5</w:t>
            </w:r>
          </w:p>
        </w:tc>
        <w:tc>
          <w:tcPr>
            <w:tcW w:w="536" w:type="pct"/>
            <w:tcBorders>
              <w:top w:val="nil"/>
              <w:left w:val="nil"/>
              <w:bottom w:val="single" w:sz="4" w:space="0" w:color="auto"/>
              <w:right w:val="single" w:sz="4" w:space="0" w:color="auto"/>
            </w:tcBorders>
            <w:shd w:val="clear" w:color="auto" w:fill="auto"/>
            <w:vAlign w:val="center"/>
            <w:hideMark/>
          </w:tcPr>
          <w:p w14:paraId="476FA6DE"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10,5</w:t>
            </w:r>
          </w:p>
        </w:tc>
        <w:tc>
          <w:tcPr>
            <w:tcW w:w="532" w:type="pct"/>
            <w:tcBorders>
              <w:top w:val="nil"/>
              <w:left w:val="nil"/>
              <w:bottom w:val="single" w:sz="4" w:space="0" w:color="auto"/>
              <w:right w:val="single" w:sz="4" w:space="0" w:color="auto"/>
            </w:tcBorders>
            <w:shd w:val="clear" w:color="auto" w:fill="auto"/>
            <w:vAlign w:val="center"/>
            <w:hideMark/>
          </w:tcPr>
          <w:p w14:paraId="2161740F"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10,5</w:t>
            </w:r>
          </w:p>
        </w:tc>
        <w:tc>
          <w:tcPr>
            <w:tcW w:w="535" w:type="pct"/>
            <w:tcBorders>
              <w:top w:val="nil"/>
              <w:left w:val="nil"/>
              <w:bottom w:val="single" w:sz="4" w:space="0" w:color="auto"/>
              <w:right w:val="single" w:sz="4" w:space="0" w:color="auto"/>
            </w:tcBorders>
            <w:shd w:val="clear" w:color="auto" w:fill="auto"/>
            <w:vAlign w:val="center"/>
            <w:hideMark/>
          </w:tcPr>
          <w:p w14:paraId="32AE1C05"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9,5</w:t>
            </w:r>
          </w:p>
        </w:tc>
        <w:tc>
          <w:tcPr>
            <w:tcW w:w="500" w:type="pct"/>
            <w:tcBorders>
              <w:top w:val="nil"/>
              <w:left w:val="nil"/>
              <w:bottom w:val="single" w:sz="4" w:space="0" w:color="auto"/>
              <w:right w:val="single" w:sz="4" w:space="0" w:color="auto"/>
            </w:tcBorders>
            <w:shd w:val="clear" w:color="auto" w:fill="auto"/>
            <w:vAlign w:val="center"/>
            <w:hideMark/>
          </w:tcPr>
          <w:p w14:paraId="5C75CAF9"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478" w:type="pct"/>
            <w:tcBorders>
              <w:top w:val="nil"/>
              <w:left w:val="nil"/>
              <w:bottom w:val="single" w:sz="4" w:space="0" w:color="auto"/>
              <w:right w:val="single" w:sz="4" w:space="0" w:color="auto"/>
            </w:tcBorders>
            <w:shd w:val="clear" w:color="auto" w:fill="auto"/>
            <w:vAlign w:val="center"/>
            <w:hideMark/>
          </w:tcPr>
          <w:p w14:paraId="2DF8A686"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r>
      <w:tr w:rsidR="00A47912" w:rsidRPr="00213A5D" w14:paraId="5E14AA28" w14:textId="77777777" w:rsidTr="00505ADA">
        <w:trPr>
          <w:gridAfter w:val="1"/>
          <w:wAfter w:w="11" w:type="pct"/>
          <w:trHeight w:val="70"/>
        </w:trPr>
        <w:tc>
          <w:tcPr>
            <w:tcW w:w="1336" w:type="pct"/>
            <w:tcBorders>
              <w:top w:val="nil"/>
              <w:left w:val="single" w:sz="4" w:space="0" w:color="auto"/>
              <w:bottom w:val="single" w:sz="4" w:space="0" w:color="auto"/>
              <w:right w:val="single" w:sz="4" w:space="0" w:color="auto"/>
            </w:tcBorders>
            <w:shd w:val="clear" w:color="auto" w:fill="auto"/>
            <w:vAlign w:val="center"/>
            <w:hideMark/>
          </w:tcPr>
          <w:p w14:paraId="5A879647" w14:textId="77777777" w:rsidR="00A47912" w:rsidRPr="00213A5D" w:rsidRDefault="00A47912"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Справочно:</w:t>
            </w:r>
          </w:p>
        </w:tc>
        <w:tc>
          <w:tcPr>
            <w:tcW w:w="536" w:type="pct"/>
            <w:tcBorders>
              <w:top w:val="nil"/>
              <w:left w:val="nil"/>
              <w:bottom w:val="single" w:sz="4" w:space="0" w:color="auto"/>
              <w:right w:val="single" w:sz="4" w:space="0" w:color="auto"/>
            </w:tcBorders>
            <w:shd w:val="clear" w:color="auto" w:fill="auto"/>
            <w:vAlign w:val="center"/>
            <w:hideMark/>
          </w:tcPr>
          <w:p w14:paraId="1E9D000E"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536" w:type="pct"/>
            <w:tcBorders>
              <w:top w:val="nil"/>
              <w:left w:val="nil"/>
              <w:bottom w:val="single" w:sz="4" w:space="0" w:color="auto"/>
              <w:right w:val="single" w:sz="4" w:space="0" w:color="auto"/>
            </w:tcBorders>
            <w:shd w:val="clear" w:color="auto" w:fill="auto"/>
            <w:vAlign w:val="center"/>
            <w:hideMark/>
          </w:tcPr>
          <w:p w14:paraId="0817DFE6"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536" w:type="pct"/>
            <w:tcBorders>
              <w:top w:val="nil"/>
              <w:left w:val="nil"/>
              <w:bottom w:val="single" w:sz="4" w:space="0" w:color="auto"/>
              <w:right w:val="single" w:sz="4" w:space="0" w:color="auto"/>
            </w:tcBorders>
            <w:shd w:val="clear" w:color="auto" w:fill="auto"/>
            <w:vAlign w:val="center"/>
            <w:hideMark/>
          </w:tcPr>
          <w:p w14:paraId="16F5209F"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532" w:type="pct"/>
            <w:tcBorders>
              <w:top w:val="nil"/>
              <w:left w:val="nil"/>
              <w:bottom w:val="single" w:sz="4" w:space="0" w:color="auto"/>
              <w:right w:val="single" w:sz="4" w:space="0" w:color="auto"/>
            </w:tcBorders>
            <w:shd w:val="clear" w:color="auto" w:fill="auto"/>
            <w:vAlign w:val="center"/>
            <w:hideMark/>
          </w:tcPr>
          <w:p w14:paraId="54F131BA"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535" w:type="pct"/>
            <w:tcBorders>
              <w:top w:val="nil"/>
              <w:left w:val="nil"/>
              <w:bottom w:val="single" w:sz="4" w:space="0" w:color="auto"/>
              <w:right w:val="single" w:sz="4" w:space="0" w:color="auto"/>
            </w:tcBorders>
            <w:shd w:val="clear" w:color="auto" w:fill="auto"/>
            <w:vAlign w:val="center"/>
            <w:hideMark/>
          </w:tcPr>
          <w:p w14:paraId="440D8EBA"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500" w:type="pct"/>
            <w:tcBorders>
              <w:top w:val="nil"/>
              <w:left w:val="nil"/>
              <w:bottom w:val="single" w:sz="4" w:space="0" w:color="auto"/>
              <w:right w:val="single" w:sz="4" w:space="0" w:color="auto"/>
            </w:tcBorders>
            <w:shd w:val="clear" w:color="auto" w:fill="auto"/>
            <w:vAlign w:val="center"/>
            <w:hideMark/>
          </w:tcPr>
          <w:p w14:paraId="57294D76"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c>
          <w:tcPr>
            <w:tcW w:w="478" w:type="pct"/>
            <w:tcBorders>
              <w:top w:val="nil"/>
              <w:left w:val="nil"/>
              <w:bottom w:val="single" w:sz="4" w:space="0" w:color="auto"/>
              <w:right w:val="single" w:sz="4" w:space="0" w:color="auto"/>
            </w:tcBorders>
            <w:shd w:val="clear" w:color="auto" w:fill="auto"/>
            <w:vAlign w:val="center"/>
            <w:hideMark/>
          </w:tcPr>
          <w:p w14:paraId="668D842D"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 </w:t>
            </w:r>
          </w:p>
        </w:tc>
      </w:tr>
      <w:tr w:rsidR="00A47912" w:rsidRPr="00213A5D" w14:paraId="32E2C65B" w14:textId="77777777" w:rsidTr="002E4A24">
        <w:trPr>
          <w:gridAfter w:val="1"/>
          <w:wAfter w:w="11" w:type="pct"/>
          <w:trHeight w:val="350"/>
        </w:trPr>
        <w:tc>
          <w:tcPr>
            <w:tcW w:w="1336" w:type="pct"/>
            <w:tcBorders>
              <w:top w:val="nil"/>
              <w:left w:val="single" w:sz="4" w:space="0" w:color="auto"/>
              <w:bottom w:val="single" w:sz="4" w:space="0" w:color="auto"/>
              <w:right w:val="single" w:sz="4" w:space="0" w:color="auto"/>
            </w:tcBorders>
            <w:shd w:val="clear" w:color="auto" w:fill="auto"/>
            <w:vAlign w:val="center"/>
            <w:hideMark/>
          </w:tcPr>
          <w:p w14:paraId="59D0AB61" w14:textId="77777777" w:rsidR="00A47912" w:rsidRPr="00213A5D" w:rsidRDefault="00A47912" w:rsidP="00AF1852">
            <w:pPr>
              <w:widowControl w:val="0"/>
              <w:overflowPunct/>
              <w:autoSpaceDE/>
              <w:autoSpaceDN/>
              <w:adjustRightInd/>
              <w:spacing w:line="240" w:lineRule="auto"/>
              <w:ind w:left="0" w:right="0" w:firstLine="0"/>
              <w:textAlignment w:val="auto"/>
              <w:rPr>
                <w:rFonts w:eastAsia="Times New Roman"/>
                <w:color w:val="000000"/>
                <w:sz w:val="18"/>
                <w:szCs w:val="18"/>
              </w:rPr>
            </w:pPr>
            <w:r w:rsidRPr="00213A5D">
              <w:rPr>
                <w:rFonts w:eastAsia="Times New Roman"/>
                <w:color w:val="000000"/>
                <w:sz w:val="18"/>
                <w:szCs w:val="18"/>
              </w:rPr>
              <w:t>расходы федерального бюджета, всего</w:t>
            </w:r>
          </w:p>
        </w:tc>
        <w:tc>
          <w:tcPr>
            <w:tcW w:w="536" w:type="pct"/>
            <w:tcBorders>
              <w:top w:val="nil"/>
              <w:left w:val="nil"/>
              <w:bottom w:val="single" w:sz="4" w:space="0" w:color="auto"/>
              <w:right w:val="single" w:sz="4" w:space="0" w:color="auto"/>
            </w:tcBorders>
            <w:shd w:val="clear" w:color="auto" w:fill="auto"/>
            <w:vAlign w:val="center"/>
            <w:hideMark/>
          </w:tcPr>
          <w:p w14:paraId="354B82D4"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14 873 526,6</w:t>
            </w:r>
          </w:p>
        </w:tc>
        <w:tc>
          <w:tcPr>
            <w:tcW w:w="536" w:type="pct"/>
            <w:tcBorders>
              <w:top w:val="nil"/>
              <w:left w:val="nil"/>
              <w:bottom w:val="single" w:sz="4" w:space="0" w:color="auto"/>
              <w:right w:val="single" w:sz="4" w:space="0" w:color="auto"/>
            </w:tcBorders>
            <w:shd w:val="clear" w:color="auto" w:fill="auto"/>
            <w:vAlign w:val="center"/>
            <w:hideMark/>
          </w:tcPr>
          <w:p w14:paraId="2CE6C9A5"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16 298 888,4</w:t>
            </w:r>
          </w:p>
        </w:tc>
        <w:tc>
          <w:tcPr>
            <w:tcW w:w="536" w:type="pct"/>
            <w:tcBorders>
              <w:top w:val="nil"/>
              <w:left w:val="nil"/>
              <w:bottom w:val="single" w:sz="4" w:space="0" w:color="auto"/>
              <w:right w:val="single" w:sz="4" w:space="0" w:color="auto"/>
            </w:tcBorders>
            <w:shd w:val="clear" w:color="auto" w:fill="auto"/>
            <w:vAlign w:val="center"/>
            <w:hideMark/>
          </w:tcPr>
          <w:p w14:paraId="2CD2957C"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23 694 227,5</w:t>
            </w:r>
          </w:p>
        </w:tc>
        <w:tc>
          <w:tcPr>
            <w:tcW w:w="532" w:type="pct"/>
            <w:tcBorders>
              <w:top w:val="nil"/>
              <w:left w:val="nil"/>
              <w:bottom w:val="single" w:sz="4" w:space="0" w:color="auto"/>
              <w:right w:val="single" w:sz="4" w:space="0" w:color="auto"/>
            </w:tcBorders>
            <w:shd w:val="clear" w:color="auto" w:fill="auto"/>
            <w:vAlign w:val="center"/>
            <w:hideMark/>
          </w:tcPr>
          <w:p w14:paraId="25BD8805"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28 047 169,1</w:t>
            </w:r>
          </w:p>
        </w:tc>
        <w:tc>
          <w:tcPr>
            <w:tcW w:w="535" w:type="pct"/>
            <w:tcBorders>
              <w:top w:val="nil"/>
              <w:left w:val="nil"/>
              <w:bottom w:val="single" w:sz="4" w:space="0" w:color="auto"/>
              <w:right w:val="single" w:sz="4" w:space="0" w:color="auto"/>
            </w:tcBorders>
            <w:shd w:val="clear" w:color="auto" w:fill="auto"/>
            <w:vAlign w:val="center"/>
            <w:hideMark/>
          </w:tcPr>
          <w:p w14:paraId="7317F6B7"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19 653 960,4</w:t>
            </w:r>
          </w:p>
        </w:tc>
        <w:tc>
          <w:tcPr>
            <w:tcW w:w="500" w:type="pct"/>
            <w:tcBorders>
              <w:top w:val="nil"/>
              <w:left w:val="nil"/>
              <w:bottom w:val="single" w:sz="4" w:space="0" w:color="auto"/>
              <w:right w:val="single" w:sz="4" w:space="0" w:color="auto"/>
            </w:tcBorders>
            <w:shd w:val="clear" w:color="auto" w:fill="auto"/>
            <w:vAlign w:val="center"/>
            <w:hideMark/>
          </w:tcPr>
          <w:p w14:paraId="7960AE95"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82,9</w:t>
            </w:r>
          </w:p>
        </w:tc>
        <w:tc>
          <w:tcPr>
            <w:tcW w:w="478" w:type="pct"/>
            <w:tcBorders>
              <w:top w:val="nil"/>
              <w:left w:val="nil"/>
              <w:bottom w:val="single" w:sz="4" w:space="0" w:color="auto"/>
              <w:right w:val="single" w:sz="4" w:space="0" w:color="auto"/>
            </w:tcBorders>
            <w:shd w:val="clear" w:color="auto" w:fill="auto"/>
            <w:vAlign w:val="center"/>
            <w:hideMark/>
          </w:tcPr>
          <w:p w14:paraId="0D167DBF" w14:textId="77777777" w:rsidR="00A47912" w:rsidRPr="00213A5D" w:rsidRDefault="00A47912" w:rsidP="00AF1852">
            <w:pPr>
              <w:widowControl w:val="0"/>
              <w:overflowPunct/>
              <w:autoSpaceDE/>
              <w:autoSpaceDN/>
              <w:adjustRightInd/>
              <w:spacing w:line="240" w:lineRule="auto"/>
              <w:ind w:left="0" w:right="0" w:firstLine="0"/>
              <w:jc w:val="center"/>
              <w:textAlignment w:val="auto"/>
              <w:rPr>
                <w:rFonts w:eastAsia="Times New Roman"/>
                <w:color w:val="000000"/>
                <w:sz w:val="16"/>
                <w:szCs w:val="16"/>
              </w:rPr>
            </w:pPr>
            <w:r w:rsidRPr="00213A5D">
              <w:rPr>
                <w:rFonts w:eastAsia="Times New Roman"/>
                <w:color w:val="000000"/>
                <w:sz w:val="16"/>
                <w:szCs w:val="16"/>
              </w:rPr>
              <w:t>70,1</w:t>
            </w:r>
          </w:p>
        </w:tc>
      </w:tr>
    </w:tbl>
    <w:p w14:paraId="40E04CDA" w14:textId="77777777" w:rsidR="001A141F" w:rsidRPr="00213A5D" w:rsidRDefault="001A141F" w:rsidP="00AF1852">
      <w:pPr>
        <w:widowControl w:val="0"/>
        <w:overflowPunct/>
        <w:autoSpaceDE/>
        <w:autoSpaceDN/>
        <w:adjustRightInd/>
        <w:ind w:left="0" w:right="0" w:firstLine="720"/>
        <w:textAlignment w:val="auto"/>
        <w:rPr>
          <w:rFonts w:eastAsia="Times New Roman"/>
          <w:color w:val="000000"/>
          <w:sz w:val="8"/>
          <w:szCs w:val="8"/>
        </w:rPr>
      </w:pPr>
    </w:p>
    <w:p w14:paraId="77F11F15" w14:textId="77777777" w:rsidR="00A47912" w:rsidRPr="00213A5D" w:rsidRDefault="00A47912" w:rsidP="00AF1852">
      <w:pPr>
        <w:widowControl w:val="0"/>
        <w:overflowPunct/>
        <w:autoSpaceDE/>
        <w:adjustRightInd/>
        <w:spacing w:line="322" w:lineRule="auto"/>
        <w:ind w:left="0" w:right="0"/>
        <w:textAlignment w:val="auto"/>
        <w:rPr>
          <w:rFonts w:eastAsia="Times New Roman"/>
          <w:color w:val="000000"/>
          <w:sz w:val="24"/>
          <w:szCs w:val="24"/>
        </w:rPr>
      </w:pPr>
      <w:r w:rsidRPr="00213A5D">
        <w:rPr>
          <w:rFonts w:eastAsia="Times New Roman"/>
          <w:color w:val="000000"/>
          <w:sz w:val="24"/>
          <w:szCs w:val="24"/>
        </w:rPr>
        <w:t xml:space="preserve">Увеличение </w:t>
      </w:r>
      <w:r w:rsidRPr="00213A5D">
        <w:rPr>
          <w:rFonts w:eastAsia="Times New Roman"/>
          <w:b/>
          <w:color w:val="000000"/>
          <w:sz w:val="24"/>
          <w:szCs w:val="24"/>
        </w:rPr>
        <w:t>расходов на обслуживание государственного внутреннего долга</w:t>
      </w:r>
      <w:r w:rsidRPr="00213A5D">
        <w:rPr>
          <w:rFonts w:eastAsia="Times New Roman"/>
          <w:color w:val="000000"/>
          <w:sz w:val="24"/>
          <w:szCs w:val="24"/>
        </w:rPr>
        <w:t xml:space="preserve"> </w:t>
      </w:r>
      <w:r w:rsidRPr="00213A5D">
        <w:rPr>
          <w:rFonts w:eastAsia="Times New Roman"/>
          <w:color w:val="000000"/>
          <w:sz w:val="24"/>
          <w:szCs w:val="24"/>
        </w:rPr>
        <w:br/>
        <w:t xml:space="preserve">на 238 656,2 млн. рублей, или на 35 % в январе – сентябре 2022 года по сравнению </w:t>
      </w:r>
      <w:r w:rsidRPr="00213A5D">
        <w:rPr>
          <w:rFonts w:eastAsia="Times New Roman"/>
          <w:color w:val="000000"/>
          <w:sz w:val="24"/>
          <w:szCs w:val="24"/>
        </w:rPr>
        <w:br/>
        <w:t xml:space="preserve">с аналогичным периодом 2021 года обусловлено увеличением государственного внутреннего долга по ценным бумагам, номинальная стоимость которых указана в валюте Российской Федерации. </w:t>
      </w:r>
    </w:p>
    <w:p w14:paraId="78426B4D" w14:textId="77777777" w:rsidR="00A47912" w:rsidRPr="00213A5D" w:rsidRDefault="00A47912" w:rsidP="00AF1852">
      <w:pPr>
        <w:widowControl w:val="0"/>
        <w:overflowPunct/>
        <w:autoSpaceDE/>
        <w:adjustRightInd/>
        <w:spacing w:line="322" w:lineRule="auto"/>
        <w:ind w:left="0" w:right="0"/>
        <w:textAlignment w:val="auto"/>
        <w:rPr>
          <w:rFonts w:eastAsia="Times New Roman"/>
          <w:color w:val="000000"/>
          <w:sz w:val="24"/>
          <w:szCs w:val="24"/>
        </w:rPr>
      </w:pPr>
      <w:r w:rsidRPr="00213A5D">
        <w:rPr>
          <w:rFonts w:eastAsia="Times New Roman"/>
          <w:color w:val="000000"/>
          <w:sz w:val="24"/>
          <w:szCs w:val="24"/>
        </w:rPr>
        <w:t xml:space="preserve">Уменьшение в январе – сентябре 2022 года </w:t>
      </w:r>
      <w:r w:rsidRPr="00213A5D">
        <w:rPr>
          <w:rFonts w:eastAsia="Times New Roman"/>
          <w:b/>
          <w:color w:val="000000"/>
          <w:sz w:val="24"/>
          <w:szCs w:val="24"/>
        </w:rPr>
        <w:t>расходов на обслуживание государственного внешнего долга</w:t>
      </w:r>
      <w:r w:rsidRPr="00213A5D">
        <w:rPr>
          <w:rFonts w:eastAsia="Times New Roman"/>
          <w:color w:val="000000"/>
          <w:sz w:val="24"/>
          <w:szCs w:val="24"/>
        </w:rPr>
        <w:t xml:space="preserve"> Российской Федерации по сравнению с аналогичным периодом 2021 года на 1 513,9 млн. рублей (на 1,5 %), или на 11,4 млн. долларов США (на 0,9 % в долларовом эквиваленте)</w:t>
      </w:r>
      <w:r w:rsidR="00062DF6" w:rsidRPr="00213A5D">
        <w:rPr>
          <w:rFonts w:eastAsia="Times New Roman"/>
          <w:color w:val="000000"/>
          <w:sz w:val="24"/>
          <w:szCs w:val="24"/>
        </w:rPr>
        <w:t>,</w:t>
      </w:r>
      <w:r w:rsidRPr="00213A5D">
        <w:rPr>
          <w:rFonts w:eastAsia="Times New Roman"/>
          <w:color w:val="000000"/>
          <w:sz w:val="24"/>
          <w:szCs w:val="24"/>
        </w:rPr>
        <w:t xml:space="preserve"> связано</w:t>
      </w:r>
      <w:r w:rsidR="00062DF6" w:rsidRPr="00213A5D">
        <w:rPr>
          <w:rFonts w:eastAsia="Times New Roman"/>
          <w:color w:val="000000"/>
          <w:sz w:val="24"/>
          <w:szCs w:val="24"/>
        </w:rPr>
        <w:t xml:space="preserve"> в основном</w:t>
      </w:r>
      <w:r w:rsidRPr="00213A5D">
        <w:rPr>
          <w:rFonts w:eastAsia="Times New Roman"/>
          <w:color w:val="000000"/>
          <w:sz w:val="24"/>
          <w:szCs w:val="24"/>
        </w:rPr>
        <w:t xml:space="preserve"> с уменьшением в 2022 году расходов на обслуживание облигаций внешних облигационных займов Российской Федерации выпуска № SK-0-CM-128 (Россия-2030), что предусмотрено соответствующим графиком платежей.</w:t>
      </w:r>
    </w:p>
    <w:p w14:paraId="7E8819B7" w14:textId="01516318" w:rsidR="004065EA" w:rsidRPr="00213A5D" w:rsidRDefault="00A47912" w:rsidP="0038313A">
      <w:pPr>
        <w:widowControl w:val="0"/>
        <w:overflowPunct/>
        <w:autoSpaceDE/>
        <w:adjustRightInd/>
        <w:spacing w:line="322" w:lineRule="auto"/>
        <w:ind w:left="0" w:right="0"/>
        <w:textAlignment w:val="auto"/>
        <w:rPr>
          <w:rFonts w:eastAsia="Times New Roman"/>
          <w:sz w:val="24"/>
          <w:szCs w:val="24"/>
          <w:lang w:eastAsia="en-US"/>
        </w:rPr>
      </w:pPr>
      <w:r w:rsidRPr="00213A5D">
        <w:rPr>
          <w:rFonts w:eastAsia="Times New Roman"/>
          <w:color w:val="000000"/>
          <w:sz w:val="24"/>
          <w:szCs w:val="24"/>
        </w:rPr>
        <w:t xml:space="preserve">В части показателей обслуживания государственного внешнего долга выявлено отклонение в 208,1 млн. рублей между значениями, указанными в оперативном отчете об исполнении федерального бюджета по состоянию на 1 октября 2022 года, и данными Минфина России. </w:t>
      </w:r>
    </w:p>
    <w:p w14:paraId="464F6D14" w14:textId="77777777" w:rsidR="0086472E" w:rsidRPr="00213A5D" w:rsidRDefault="0086472E" w:rsidP="00AF1852">
      <w:pPr>
        <w:widowControl w:val="0"/>
        <w:overflowPunct/>
        <w:autoSpaceDE/>
        <w:adjustRightInd/>
        <w:spacing w:line="264" w:lineRule="auto"/>
        <w:ind w:left="0" w:right="0"/>
        <w:rPr>
          <w:rFonts w:eastAsia="Times New Roman"/>
          <w:sz w:val="24"/>
          <w:szCs w:val="24"/>
          <w:lang w:eastAsia="en-US"/>
        </w:rPr>
      </w:pPr>
    </w:p>
    <w:p w14:paraId="70186BCF" w14:textId="77777777" w:rsidR="00171858" w:rsidRDefault="00171858" w:rsidP="00AF1852">
      <w:pPr>
        <w:widowControl w:val="0"/>
        <w:overflowPunct/>
        <w:autoSpaceDE/>
        <w:adjustRightInd/>
        <w:spacing w:line="264" w:lineRule="auto"/>
        <w:ind w:left="0" w:right="0"/>
        <w:rPr>
          <w:rFonts w:eastAsia="Times New Roman"/>
          <w:sz w:val="24"/>
          <w:szCs w:val="24"/>
          <w:lang w:eastAsia="en-US"/>
        </w:rPr>
      </w:pPr>
    </w:p>
    <w:tbl>
      <w:tblPr>
        <w:tblW w:w="0" w:type="auto"/>
        <w:tblLook w:val="04A0" w:firstRow="1" w:lastRow="0" w:firstColumn="1" w:lastColumn="0" w:noHBand="0" w:noVBand="1"/>
      </w:tblPr>
      <w:tblGrid>
        <w:gridCol w:w="3085"/>
        <w:gridCol w:w="6662"/>
      </w:tblGrid>
      <w:tr w:rsidR="001A0EB9" w:rsidRPr="008570B3" w14:paraId="34748228" w14:textId="77777777" w:rsidTr="00520848">
        <w:trPr>
          <w:trHeight w:val="453"/>
        </w:trPr>
        <w:tc>
          <w:tcPr>
            <w:tcW w:w="3085" w:type="dxa"/>
            <w:shd w:val="clear" w:color="auto" w:fill="auto"/>
          </w:tcPr>
          <w:p w14:paraId="73ECD257" w14:textId="77777777" w:rsidR="001A0EB9" w:rsidRPr="008570B3" w:rsidRDefault="001A0EB9" w:rsidP="00520848">
            <w:pPr>
              <w:widowControl w:val="0"/>
              <w:overflowPunct/>
              <w:autoSpaceDE/>
              <w:autoSpaceDN/>
              <w:adjustRightInd/>
              <w:spacing w:line="240" w:lineRule="auto"/>
              <w:ind w:left="0" w:right="0" w:firstLine="0"/>
              <w:jc w:val="center"/>
              <w:textAlignment w:val="auto"/>
              <w:rPr>
                <w:sz w:val="24"/>
                <w:szCs w:val="24"/>
              </w:rPr>
            </w:pPr>
            <w:r w:rsidRPr="008570B3">
              <w:rPr>
                <w:sz w:val="24"/>
                <w:szCs w:val="24"/>
              </w:rPr>
              <w:t>Исполняющая обязанности</w:t>
            </w:r>
          </w:p>
          <w:p w14:paraId="5F4E5468" w14:textId="77777777" w:rsidR="001A0EB9" w:rsidRPr="008570B3" w:rsidRDefault="001A0EB9" w:rsidP="00520848">
            <w:pPr>
              <w:widowControl w:val="0"/>
              <w:overflowPunct/>
              <w:autoSpaceDE/>
              <w:autoSpaceDN/>
              <w:adjustRightInd/>
              <w:spacing w:line="240" w:lineRule="auto"/>
              <w:ind w:left="0" w:right="0" w:firstLine="0"/>
              <w:jc w:val="center"/>
              <w:textAlignment w:val="auto"/>
              <w:rPr>
                <w:sz w:val="24"/>
                <w:szCs w:val="24"/>
              </w:rPr>
            </w:pPr>
            <w:r w:rsidRPr="008570B3">
              <w:rPr>
                <w:sz w:val="24"/>
                <w:szCs w:val="24"/>
              </w:rPr>
              <w:t>Председателя</w:t>
            </w:r>
          </w:p>
        </w:tc>
        <w:tc>
          <w:tcPr>
            <w:tcW w:w="6662" w:type="dxa"/>
            <w:shd w:val="clear" w:color="auto" w:fill="auto"/>
          </w:tcPr>
          <w:p w14:paraId="5B08FCE9" w14:textId="77777777" w:rsidR="001A0EB9" w:rsidRPr="008570B3" w:rsidRDefault="001A0EB9" w:rsidP="00520848">
            <w:pPr>
              <w:widowControl w:val="0"/>
              <w:overflowPunct/>
              <w:autoSpaceDE/>
              <w:autoSpaceDN/>
              <w:adjustRightInd/>
              <w:spacing w:line="240" w:lineRule="auto"/>
              <w:ind w:left="0" w:right="0" w:firstLine="0"/>
              <w:textAlignment w:val="auto"/>
              <w:rPr>
                <w:sz w:val="24"/>
                <w:szCs w:val="24"/>
              </w:rPr>
            </w:pPr>
          </w:p>
          <w:p w14:paraId="02DB5C67" w14:textId="77777777" w:rsidR="001A0EB9" w:rsidRPr="008570B3" w:rsidRDefault="001A0EB9" w:rsidP="00520848">
            <w:pPr>
              <w:widowControl w:val="0"/>
              <w:overflowPunct/>
              <w:autoSpaceDE/>
              <w:autoSpaceDN/>
              <w:adjustRightInd/>
              <w:spacing w:line="240" w:lineRule="auto"/>
              <w:ind w:left="0" w:right="-3" w:firstLine="0"/>
              <w:jc w:val="right"/>
              <w:textAlignment w:val="auto"/>
              <w:rPr>
                <w:sz w:val="24"/>
                <w:szCs w:val="24"/>
              </w:rPr>
            </w:pPr>
            <w:r w:rsidRPr="008570B3">
              <w:rPr>
                <w:sz w:val="24"/>
                <w:szCs w:val="24"/>
              </w:rPr>
              <w:t>Г.С.</w:t>
            </w:r>
            <w:r w:rsidR="00067491">
              <w:rPr>
                <w:sz w:val="24"/>
                <w:szCs w:val="24"/>
              </w:rPr>
              <w:t xml:space="preserve"> </w:t>
            </w:r>
            <w:r w:rsidRPr="008570B3">
              <w:rPr>
                <w:sz w:val="24"/>
                <w:szCs w:val="24"/>
              </w:rPr>
              <w:t>Изотова</w:t>
            </w:r>
          </w:p>
        </w:tc>
      </w:tr>
    </w:tbl>
    <w:p w14:paraId="74B20ED9" w14:textId="77777777" w:rsidR="00DE2144" w:rsidRPr="00E46685" w:rsidRDefault="00DE2144" w:rsidP="00AF1852">
      <w:pPr>
        <w:widowControl w:val="0"/>
        <w:spacing w:line="324" w:lineRule="auto"/>
        <w:ind w:left="0" w:right="0" w:firstLine="0"/>
        <w:rPr>
          <w:sz w:val="24"/>
          <w:szCs w:val="24"/>
        </w:rPr>
      </w:pPr>
    </w:p>
    <w:sectPr w:rsidR="00DE2144" w:rsidRPr="00E46685" w:rsidSect="007D3FC4">
      <w:headerReference w:type="default" r:id="rId89"/>
      <w:pgSz w:w="11906" w:h="16838"/>
      <w:pgMar w:top="1134" w:right="851" w:bottom="1134"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51E96" w14:textId="77777777" w:rsidR="00CD0E98" w:rsidRDefault="00CD0E98" w:rsidP="00A12CB0">
      <w:pPr>
        <w:spacing w:line="240" w:lineRule="auto"/>
      </w:pPr>
      <w:r>
        <w:separator/>
      </w:r>
    </w:p>
  </w:endnote>
  <w:endnote w:type="continuationSeparator" w:id="0">
    <w:p w14:paraId="0693D449" w14:textId="77777777" w:rsidR="00CD0E98" w:rsidRDefault="00CD0E98" w:rsidP="00A12C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20B0604020202020204"/>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HiddenHorzOCl">
    <w:altName w:val="Calibri"/>
    <w:panose1 w:val="020B0604020202020204"/>
    <w:charset w:val="CC"/>
    <w:family w:val="swiss"/>
    <w:notTrueType/>
    <w:pitch w:val="default"/>
    <w:sig w:usb0="00000201" w:usb1="00000000" w:usb2="00000000" w:usb3="00000000" w:csb0="00000004" w:csb1="00000000"/>
  </w:font>
  <w:font w:name="Times New Roman CYR">
    <w:altName w:val="Cambria"/>
    <w:panose1 w:val="020B06040202020202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TimesNewRomanPSMT">
    <w:altName w:val="Times New Roman"/>
    <w:panose1 w:val="020B0604020202020204"/>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9B58A" w14:textId="77777777" w:rsidR="00CD0E98" w:rsidRDefault="00CD0E98" w:rsidP="009752EA">
      <w:pPr>
        <w:spacing w:line="240" w:lineRule="auto"/>
        <w:ind w:left="0" w:firstLine="0"/>
      </w:pPr>
      <w:r>
        <w:separator/>
      </w:r>
    </w:p>
  </w:footnote>
  <w:footnote w:type="continuationSeparator" w:id="0">
    <w:p w14:paraId="363729F2" w14:textId="77777777" w:rsidR="00CD0E98" w:rsidRDefault="00CD0E98" w:rsidP="00A12CB0">
      <w:pPr>
        <w:spacing w:line="240" w:lineRule="auto"/>
      </w:pPr>
      <w:r>
        <w:continuationSeparator/>
      </w:r>
    </w:p>
  </w:footnote>
  <w:footnote w:id="1">
    <w:p w14:paraId="1F40D4EE" w14:textId="77777777" w:rsidR="006061D8" w:rsidRPr="00EB5D7E" w:rsidRDefault="006061D8" w:rsidP="0089666B">
      <w:pPr>
        <w:pStyle w:val="afd"/>
        <w:ind w:firstLine="709"/>
      </w:pPr>
      <w:r>
        <w:rPr>
          <w:rStyle w:val="aff2"/>
        </w:rPr>
        <w:footnoteRef/>
      </w:r>
      <w:r>
        <w:t xml:space="preserve"> </w:t>
      </w:r>
      <w:r w:rsidRPr="00EB5D7E">
        <w:t>Расчетно.</w:t>
      </w:r>
    </w:p>
  </w:footnote>
  <w:footnote w:id="2">
    <w:p w14:paraId="15357486" w14:textId="77777777" w:rsidR="006061D8" w:rsidRPr="00EB5D7E" w:rsidRDefault="006061D8" w:rsidP="0089666B">
      <w:pPr>
        <w:pStyle w:val="afd"/>
        <w:ind w:right="-2" w:firstLine="709"/>
        <w:jc w:val="both"/>
        <w:rPr>
          <w:sz w:val="22"/>
          <w:szCs w:val="22"/>
        </w:rPr>
      </w:pPr>
      <w:r w:rsidRPr="00EB5D7E">
        <w:rPr>
          <w:rStyle w:val="aff2"/>
        </w:rPr>
        <w:footnoteRef/>
      </w:r>
      <w:r w:rsidRPr="00EB5D7E">
        <w:t> </w:t>
      </w:r>
      <w:r w:rsidRPr="00EB5D7E">
        <w:rPr>
          <w:bCs/>
        </w:rPr>
        <w:t xml:space="preserve">По Минпромторгу России (240,3 млрд. рублей), Минцифры России (60,8 млрд. рублей), </w:t>
      </w:r>
      <w:r w:rsidRPr="00EB5D7E">
        <w:rPr>
          <w:bCs/>
        </w:rPr>
        <w:br/>
        <w:t xml:space="preserve">Минтрансу России (48,2 млрд. рублей), Минтруду России (44,5 млрд. рублей), Росавтодору </w:t>
      </w:r>
      <w:r w:rsidRPr="00EB5D7E">
        <w:rPr>
          <w:bCs/>
        </w:rPr>
        <w:br/>
        <w:t xml:space="preserve">(37,0 млрд. рублей), Судебному департаменту при Верховном Суде Российской Федерации </w:t>
      </w:r>
      <w:r w:rsidRPr="00EB5D7E">
        <w:rPr>
          <w:bCs/>
        </w:rPr>
        <w:br/>
        <w:t>(36,3 млрд. рублей), ФНС России (35,0 млрд. рублей).</w:t>
      </w:r>
    </w:p>
  </w:footnote>
  <w:footnote w:id="3">
    <w:p w14:paraId="3EC3E5C9" w14:textId="77777777" w:rsidR="006061D8" w:rsidRDefault="006061D8" w:rsidP="003B5557">
      <w:pPr>
        <w:pStyle w:val="afd"/>
        <w:widowControl w:val="0"/>
        <w:ind w:firstLine="709"/>
        <w:rPr>
          <w:lang w:eastAsia="en-US"/>
        </w:rPr>
      </w:pPr>
      <w:r w:rsidRPr="00EB5D7E">
        <w:rPr>
          <w:rStyle w:val="aff2"/>
        </w:rPr>
        <w:footnoteRef/>
      </w:r>
      <w:r w:rsidRPr="00EB5D7E">
        <w:t> </w:t>
      </w:r>
      <w:r w:rsidRPr="00EB5D7E">
        <w:rPr>
          <w:bCs/>
          <w:lang w:bidi="en-US"/>
        </w:rPr>
        <w:t>По экспертной оценке Счетной палаты Российской Федерации (далее – Счетная палата).</w:t>
      </w:r>
    </w:p>
  </w:footnote>
  <w:footnote w:id="4">
    <w:p w14:paraId="7C533731" w14:textId="77777777" w:rsidR="006061D8" w:rsidRDefault="006061D8" w:rsidP="000B66FB">
      <w:pPr>
        <w:pStyle w:val="afd"/>
        <w:ind w:firstLine="709"/>
        <w:jc w:val="both"/>
      </w:pPr>
      <w:r>
        <w:rPr>
          <w:rStyle w:val="aff2"/>
        </w:rPr>
        <w:footnoteRef/>
      </w:r>
      <w:r>
        <w:t xml:space="preserve"> Расчет Счетной палаты на основе данных Росстата.</w:t>
      </w:r>
    </w:p>
  </w:footnote>
  <w:footnote w:id="5">
    <w:p w14:paraId="1F795793" w14:textId="77777777" w:rsidR="006061D8" w:rsidRPr="00647554" w:rsidRDefault="006061D8" w:rsidP="00647554">
      <w:pPr>
        <w:pStyle w:val="afd"/>
        <w:ind w:right="-1" w:firstLine="709"/>
        <w:jc w:val="both"/>
      </w:pPr>
      <w:r w:rsidRPr="00647554">
        <w:rPr>
          <w:rStyle w:val="aff2"/>
        </w:rPr>
        <w:footnoteRef/>
      </w:r>
      <w:r w:rsidRPr="00647554">
        <w:t xml:space="preserve"> По </w:t>
      </w:r>
      <w:r w:rsidRPr="00EB5D7E">
        <w:t>информации Минфина России, на основании поручения Правительства Российской Федерации проект нормативного правового акта «Об утверждении Правил предоставления субсидий из федерального бюджета российским организациям на финансовое обеспечение затрат на проведение научно-исследовательских и опытно-конструкторских</w:t>
      </w:r>
      <w:r w:rsidRPr="00647554">
        <w:t xml:space="preserve"> работ по современным технологиям в рамках реализации такими организациями инновационных проектов в области водородной энергетики» внесен Минпромторгом России.</w:t>
      </w:r>
    </w:p>
  </w:footnote>
  <w:footnote w:id="6">
    <w:p w14:paraId="0D217726" w14:textId="77777777" w:rsidR="006061D8" w:rsidRPr="00A55DC7" w:rsidRDefault="006061D8" w:rsidP="00647554">
      <w:pPr>
        <w:pStyle w:val="affffd"/>
        <w:spacing w:before="0"/>
        <w:ind w:right="-2" w:firstLine="709"/>
        <w:rPr>
          <w:sz w:val="20"/>
          <w:szCs w:val="20"/>
        </w:rPr>
      </w:pPr>
      <w:r w:rsidRPr="00647554">
        <w:rPr>
          <w:rStyle w:val="aff2"/>
          <w:rFonts w:ascii="Times New Roman" w:hAnsi="Times New Roman" w:cs="Times New Roman"/>
          <w:sz w:val="20"/>
          <w:szCs w:val="20"/>
        </w:rPr>
        <w:footnoteRef/>
      </w:r>
      <w:r w:rsidRPr="00647554">
        <w:rPr>
          <w:rFonts w:ascii="Times New Roman" w:hAnsi="Times New Roman" w:cs="Times New Roman"/>
          <w:sz w:val="20"/>
          <w:szCs w:val="20"/>
        </w:rPr>
        <w:t xml:space="preserve"> </w:t>
      </w:r>
      <w:r w:rsidRPr="00647554">
        <w:rPr>
          <w:rFonts w:ascii="Times New Roman" w:hAnsi="Times New Roman" w:cs="Times New Roman"/>
          <w:bCs/>
          <w:color w:val="auto"/>
          <w:sz w:val="20"/>
          <w:szCs w:val="20"/>
        </w:rPr>
        <w:t xml:space="preserve">Постановление Правительства Российской Федерации от 26 августа 2014 г. № 855 </w:t>
      </w:r>
      <w:r>
        <w:rPr>
          <w:rFonts w:ascii="Times New Roman" w:hAnsi="Times New Roman" w:cs="Times New Roman"/>
          <w:bCs/>
          <w:color w:val="auto"/>
          <w:sz w:val="20"/>
          <w:szCs w:val="20"/>
        </w:rPr>
        <w:br/>
      </w:r>
      <w:r w:rsidRPr="00647554">
        <w:rPr>
          <w:rFonts w:ascii="Times New Roman" w:hAnsi="Times New Roman" w:cs="Times New Roman"/>
          <w:bCs/>
          <w:color w:val="auto"/>
          <w:sz w:val="20"/>
          <w:szCs w:val="20"/>
        </w:rPr>
        <w:t>«О Правительственной комиссии по вопросам оптимизации и повышения эффективности бюджетных расходов» (с изменениями).</w:t>
      </w:r>
    </w:p>
  </w:footnote>
  <w:footnote w:id="7">
    <w:p w14:paraId="57E4B0FD" w14:textId="77777777" w:rsidR="006061D8" w:rsidRDefault="006061D8" w:rsidP="00A55DC7">
      <w:pPr>
        <w:overflowPunct/>
        <w:spacing w:line="240" w:lineRule="auto"/>
        <w:ind w:left="0" w:right="0"/>
        <w:rPr>
          <w:sz w:val="20"/>
          <w:szCs w:val="20"/>
        </w:rPr>
      </w:pPr>
      <w:r>
        <w:rPr>
          <w:rStyle w:val="aff2"/>
          <w:sz w:val="20"/>
          <w:szCs w:val="20"/>
        </w:rPr>
        <w:footnoteRef/>
      </w:r>
      <w:r>
        <w:rPr>
          <w:sz w:val="20"/>
          <w:szCs w:val="20"/>
        </w:rPr>
        <w:t xml:space="preserve"> В </w:t>
      </w:r>
      <w:r w:rsidRPr="00A55DC7">
        <w:rPr>
          <w:sz w:val="20"/>
          <w:szCs w:val="20"/>
          <w:lang w:eastAsia="en-US"/>
        </w:rPr>
        <w:t xml:space="preserve">соответствии с пунктом 10 Положения о мерах по обеспечению исполнения федерального бюджета, утвержденного постановлением Правительства Российской Федерации от 9 декабря 2017 г. № 1496, получатели средств федерального бюджета </w:t>
      </w:r>
      <w:r w:rsidRPr="00A55DC7">
        <w:rPr>
          <w:bCs/>
          <w:sz w:val="20"/>
          <w:szCs w:val="20"/>
          <w:lang w:eastAsia="en-US"/>
        </w:rPr>
        <w:t>принимают бюджетные обязательства</w:t>
      </w:r>
      <w:r w:rsidRPr="00A55DC7">
        <w:rPr>
          <w:sz w:val="20"/>
          <w:szCs w:val="20"/>
          <w:lang w:eastAsia="en-US"/>
        </w:rPr>
        <w:t xml:space="preserve">, связанные с поставкой товаров, выполнением работ, оказанием услуг, </w:t>
      </w:r>
      <w:r w:rsidRPr="00A55DC7">
        <w:rPr>
          <w:bCs/>
          <w:sz w:val="20"/>
          <w:szCs w:val="20"/>
          <w:lang w:eastAsia="en-US"/>
        </w:rPr>
        <w:t>не позднее 1 октября текущего финансового года</w:t>
      </w:r>
      <w:r w:rsidRPr="00A55DC7">
        <w:rPr>
          <w:sz w:val="20"/>
          <w:szCs w:val="20"/>
          <w:lang w:eastAsia="en-US"/>
        </w:rPr>
        <w:t xml:space="preserve">, при этом Правительственной комиссией по оптимизации </w:t>
      </w:r>
      <w:r w:rsidRPr="00A55DC7">
        <w:rPr>
          <w:bCs/>
          <w:sz w:val="20"/>
          <w:szCs w:val="20"/>
          <w:lang w:eastAsia="en-US"/>
        </w:rPr>
        <w:t xml:space="preserve">могут приниматься решения </w:t>
      </w:r>
      <w:r w:rsidRPr="00A55DC7">
        <w:rPr>
          <w:sz w:val="20"/>
          <w:szCs w:val="20"/>
          <w:lang w:eastAsia="en-US"/>
        </w:rPr>
        <w:t xml:space="preserve">о возможности принятия бюджетных обязательств </w:t>
      </w:r>
      <w:r w:rsidRPr="00A55DC7">
        <w:rPr>
          <w:bCs/>
          <w:sz w:val="20"/>
          <w:szCs w:val="20"/>
          <w:lang w:eastAsia="en-US"/>
        </w:rPr>
        <w:t>до 1 декабря текущего финансового года</w:t>
      </w:r>
      <w:r w:rsidRPr="00A55DC7">
        <w:rPr>
          <w:sz w:val="20"/>
          <w:szCs w:val="20"/>
          <w:lang w:eastAsia="en-US"/>
        </w:rPr>
        <w:t xml:space="preserve">. </w:t>
      </w:r>
    </w:p>
  </w:footnote>
  <w:footnote w:id="8">
    <w:p w14:paraId="7B66BEFC" w14:textId="77777777" w:rsidR="006061D8" w:rsidRPr="00647554" w:rsidRDefault="006061D8" w:rsidP="001178BA">
      <w:pPr>
        <w:pStyle w:val="afd"/>
        <w:ind w:firstLine="709"/>
        <w:jc w:val="both"/>
      </w:pPr>
      <w:r w:rsidRPr="00647554">
        <w:rPr>
          <w:rStyle w:val="aff2"/>
        </w:rPr>
        <w:footnoteRef/>
      </w:r>
      <w:r w:rsidRPr="00647554">
        <w:t xml:space="preserve"> </w:t>
      </w:r>
      <w:r>
        <w:rPr>
          <w:bCs/>
        </w:rPr>
        <w:t xml:space="preserve">По данным </w:t>
      </w:r>
      <w:r w:rsidRPr="00EB5D7E">
        <w:rPr>
          <w:bCs/>
        </w:rPr>
        <w:t>Росстата, в январе – августе 2022 года сальдированный финансовый результат увеличился по сравнению с январем – августом 2021 года на 18,3 % и составил +20 884,5 млрд. рублей при увеличении доли убыточных организаций на 1,1 процентного</w:t>
      </w:r>
      <w:r w:rsidRPr="00647554">
        <w:rPr>
          <w:bCs/>
        </w:rPr>
        <w:t xml:space="preserve"> пункта, которая составила 28,9 %.</w:t>
      </w:r>
    </w:p>
  </w:footnote>
  <w:footnote w:id="9">
    <w:p w14:paraId="2FB9CB06" w14:textId="77777777" w:rsidR="006061D8" w:rsidRPr="001178BA" w:rsidRDefault="006061D8" w:rsidP="001178BA">
      <w:pPr>
        <w:pStyle w:val="afd"/>
        <w:ind w:firstLine="709"/>
        <w:jc w:val="both"/>
      </w:pPr>
      <w:r w:rsidRPr="00647554">
        <w:rPr>
          <w:rStyle w:val="aff2"/>
        </w:rPr>
        <w:footnoteRef/>
      </w:r>
      <w:r w:rsidRPr="00647554">
        <w:t xml:space="preserve"> </w:t>
      </w:r>
      <w:r w:rsidRPr="00647554">
        <w:rPr>
          <w:bCs/>
        </w:rPr>
        <w:t>По данным ФНС России.</w:t>
      </w:r>
    </w:p>
  </w:footnote>
  <w:footnote w:id="10">
    <w:p w14:paraId="05AE7A3A" w14:textId="77777777" w:rsidR="006061D8" w:rsidRPr="00647554" w:rsidRDefault="006061D8" w:rsidP="001178BA">
      <w:pPr>
        <w:pStyle w:val="afd"/>
        <w:ind w:firstLine="709"/>
        <w:jc w:val="both"/>
      </w:pPr>
      <w:r w:rsidRPr="00647554">
        <w:rPr>
          <w:rStyle w:val="aff2"/>
        </w:rPr>
        <w:footnoteRef/>
      </w:r>
      <w:r w:rsidRPr="00647554">
        <w:t xml:space="preserve"> </w:t>
      </w:r>
      <w:r w:rsidRPr="00EB5D7E">
        <w:t xml:space="preserve">С 1 января 2022 года минимальная ставка акциза на сигареты и папиросы увеличена на 4 % </w:t>
      </w:r>
      <w:r w:rsidRPr="00EB5D7E">
        <w:br/>
        <w:t>(с 3 205 рублей до 3 333 рублей за 1 тыс.</w:t>
      </w:r>
      <w:r w:rsidRPr="00647554">
        <w:t xml:space="preserve"> штук).</w:t>
      </w:r>
    </w:p>
  </w:footnote>
  <w:footnote w:id="11">
    <w:p w14:paraId="1193BCC5" w14:textId="77777777" w:rsidR="006061D8" w:rsidRDefault="006061D8" w:rsidP="00357FBC">
      <w:pPr>
        <w:pStyle w:val="afd"/>
        <w:ind w:firstLine="709"/>
        <w:jc w:val="both"/>
      </w:pPr>
      <w:r>
        <w:rPr>
          <w:rStyle w:val="aff2"/>
        </w:rPr>
        <w:footnoteRef/>
      </w:r>
      <w:r>
        <w:t xml:space="preserve"> </w:t>
      </w:r>
      <w:r w:rsidRPr="00AE4B28">
        <w:t>Объем перераспределений включает изменения сводной росписи, в соответствии с которыми общий объем бюджетных ассигнований по главному распорядителю увеличивается либо уменьшается, а также изменения сводной росписи, не приводящие к увеличению (уменьшению) общего объема бюджетных ассигнований по соответствующему главному распорядителю.</w:t>
      </w:r>
    </w:p>
  </w:footnote>
  <w:footnote w:id="12">
    <w:p w14:paraId="6BBD7FCB" w14:textId="77777777" w:rsidR="006061D8" w:rsidRPr="00647554" w:rsidRDefault="006061D8" w:rsidP="006A5400">
      <w:pPr>
        <w:pStyle w:val="afd"/>
        <w:ind w:firstLine="709"/>
        <w:jc w:val="both"/>
      </w:pPr>
      <w:r w:rsidRPr="00647554">
        <w:rPr>
          <w:rStyle w:val="aff2"/>
        </w:rPr>
        <w:footnoteRef/>
      </w:r>
      <w:r w:rsidRPr="00647554">
        <w:t xml:space="preserve"> Объем </w:t>
      </w:r>
      <w:r w:rsidRPr="00EB5D7E">
        <w:t>перераспределения включает изменения сводной росписи, в соответствии с которыми общий объем бюджетных ассигнований по госпрограмме увеличивается либо уменьшается, а также изменения сводной росписи, не приводящие к увеличению</w:t>
      </w:r>
      <w:r w:rsidRPr="00647554">
        <w:t xml:space="preserve"> (уменьшению) общего объема бюджетных ассигнований по соответствующей госпрограмме.</w:t>
      </w:r>
    </w:p>
  </w:footnote>
  <w:footnote w:id="13">
    <w:p w14:paraId="5FDC91B8" w14:textId="77777777" w:rsidR="006061D8" w:rsidRPr="00EB5D7E" w:rsidRDefault="006061D8" w:rsidP="00CA013E">
      <w:pPr>
        <w:pStyle w:val="afd"/>
        <w:ind w:firstLine="709"/>
        <w:jc w:val="both"/>
      </w:pPr>
      <w:r w:rsidRPr="00380ABD">
        <w:rPr>
          <w:rStyle w:val="aff2"/>
        </w:rPr>
        <w:footnoteRef/>
      </w:r>
      <w:r w:rsidRPr="00380ABD">
        <w:t xml:space="preserve"> В соответствии с частью 28</w:t>
      </w:r>
      <w:r w:rsidRPr="00380ABD">
        <w:rPr>
          <w:vertAlign w:val="superscript"/>
        </w:rPr>
        <w:t>1</w:t>
      </w:r>
      <w:r w:rsidRPr="00380ABD">
        <w:t xml:space="preserve"> статьи 10 Федерального закона № 384-ФЗ внесение изменений в сводную бюджетную роспись по основаниям, </w:t>
      </w:r>
      <w:r w:rsidRPr="00EB5D7E">
        <w:t>установленным пунктами 3 и 4 части 5 статьи 10, может осуществляться с превышением общего объема расходов, утвержденного федеральным законом о федеральном бюджете.</w:t>
      </w:r>
    </w:p>
  </w:footnote>
  <w:footnote w:id="14">
    <w:p w14:paraId="2BCF2D2A" w14:textId="77777777" w:rsidR="006061D8" w:rsidRDefault="006061D8" w:rsidP="00CA013E">
      <w:pPr>
        <w:widowControl w:val="0"/>
        <w:tabs>
          <w:tab w:val="left" w:pos="2340"/>
        </w:tabs>
        <w:spacing w:line="240" w:lineRule="auto"/>
        <w:ind w:left="0" w:right="0"/>
      </w:pPr>
      <w:r w:rsidRPr="00EB5D7E">
        <w:rPr>
          <w:rStyle w:val="aff2"/>
          <w:sz w:val="20"/>
          <w:szCs w:val="20"/>
        </w:rPr>
        <w:footnoteRef/>
      </w:r>
      <w:r w:rsidRPr="00EB5D7E">
        <w:rPr>
          <w:bCs/>
          <w:sz w:val="20"/>
          <w:szCs w:val="20"/>
        </w:rPr>
        <w:t xml:space="preserve"> </w:t>
      </w:r>
      <w:r w:rsidRPr="00EB5D7E">
        <w:rPr>
          <w:rFonts w:eastAsia="Times New Roman"/>
          <w:sz w:val="20"/>
          <w:szCs w:val="20"/>
        </w:rPr>
        <w:t>Минфином России перечень видов изменений, вносимых</w:t>
      </w:r>
      <w:r w:rsidRPr="008C0527">
        <w:rPr>
          <w:rFonts w:eastAsia="Times New Roman"/>
          <w:sz w:val="20"/>
          <w:szCs w:val="20"/>
        </w:rPr>
        <w:t xml:space="preserve"> в сводную бюджетную роспись федерального бюджета (бюджетную роспись главного распорядителя (распорядителя) средств федерального бюджета (главного администратора источников финансирования дефицита федерального бюджета) и лимиты бюджетных обязательств, и требования к их </w:t>
      </w:r>
      <w:r w:rsidRPr="00EB5D7E">
        <w:rPr>
          <w:rFonts w:eastAsia="Times New Roman"/>
          <w:sz w:val="20"/>
          <w:szCs w:val="20"/>
        </w:rPr>
        <w:t xml:space="preserve">оформлению (приложение № 2 </w:t>
      </w:r>
      <w:r w:rsidRPr="00EB5D7E">
        <w:rPr>
          <w:bCs/>
          <w:sz w:val="20"/>
          <w:szCs w:val="20"/>
        </w:rPr>
        <w:t xml:space="preserve">к </w:t>
      </w:r>
      <w:hyperlink w:anchor="sub_1000" w:history="1">
        <w:r w:rsidRPr="00EB5D7E">
          <w:rPr>
            <w:sz w:val="20"/>
            <w:szCs w:val="20"/>
          </w:rPr>
          <w:t>Порядку</w:t>
        </w:r>
      </w:hyperlink>
      <w:r w:rsidRPr="00EB5D7E">
        <w:rPr>
          <w:bCs/>
          <w:sz w:val="20"/>
          <w:szCs w:val="20"/>
        </w:rPr>
        <w:t xml:space="preserve"> составления и ведения сводной бюджетной росписи федерального бюджета и бюджетных росписей главных распорядителей средств федерального бюджета (главных администраторов источников финансирования</w:t>
      </w:r>
      <w:r>
        <w:rPr>
          <w:bCs/>
          <w:sz w:val="20"/>
          <w:szCs w:val="20"/>
        </w:rPr>
        <w:t xml:space="preserve"> </w:t>
      </w:r>
      <w:r w:rsidRPr="003B0703">
        <w:rPr>
          <w:bCs/>
          <w:sz w:val="20"/>
          <w:szCs w:val="20"/>
        </w:rPr>
        <w:t>дефицита федерального бюджета), а также</w:t>
      </w:r>
      <w:r>
        <w:rPr>
          <w:bCs/>
          <w:sz w:val="20"/>
          <w:szCs w:val="20"/>
        </w:rPr>
        <w:t xml:space="preserve"> </w:t>
      </w:r>
      <w:r w:rsidRPr="003B0703">
        <w:rPr>
          <w:bCs/>
          <w:sz w:val="20"/>
          <w:szCs w:val="20"/>
        </w:rPr>
        <w:t>утверждения (изменения) лимитов бюджетных</w:t>
      </w:r>
      <w:r>
        <w:rPr>
          <w:bCs/>
          <w:sz w:val="20"/>
          <w:szCs w:val="20"/>
        </w:rPr>
        <w:t xml:space="preserve"> </w:t>
      </w:r>
      <w:r w:rsidRPr="003B0703">
        <w:rPr>
          <w:bCs/>
          <w:sz w:val="20"/>
          <w:szCs w:val="20"/>
        </w:rPr>
        <w:t xml:space="preserve">обязательств, утвержденному </w:t>
      </w:r>
      <w:hyperlink w:anchor="sub_0" w:history="1">
        <w:r w:rsidRPr="003B0703">
          <w:rPr>
            <w:sz w:val="20"/>
            <w:szCs w:val="20"/>
          </w:rPr>
          <w:t>приказом</w:t>
        </w:r>
      </w:hyperlink>
      <w:r>
        <w:rPr>
          <w:bCs/>
          <w:sz w:val="20"/>
          <w:szCs w:val="20"/>
        </w:rPr>
        <w:t xml:space="preserve"> </w:t>
      </w:r>
      <w:r w:rsidRPr="003B0703">
        <w:rPr>
          <w:bCs/>
          <w:sz w:val="20"/>
          <w:szCs w:val="20"/>
        </w:rPr>
        <w:t>Министерства финансов Российской Федерации</w:t>
      </w:r>
      <w:r>
        <w:rPr>
          <w:bCs/>
          <w:sz w:val="20"/>
          <w:szCs w:val="20"/>
        </w:rPr>
        <w:t xml:space="preserve"> от 27 августа </w:t>
      </w:r>
      <w:r w:rsidRPr="003B0703">
        <w:rPr>
          <w:bCs/>
          <w:sz w:val="20"/>
          <w:szCs w:val="20"/>
        </w:rPr>
        <w:t>2018 г.</w:t>
      </w:r>
      <w:r>
        <w:rPr>
          <w:bCs/>
          <w:sz w:val="20"/>
          <w:szCs w:val="20"/>
        </w:rPr>
        <w:t xml:space="preserve"> </w:t>
      </w:r>
      <w:r w:rsidRPr="003B0703">
        <w:rPr>
          <w:bCs/>
          <w:sz w:val="20"/>
          <w:szCs w:val="20"/>
        </w:rPr>
        <w:t>№ 184н</w:t>
      </w:r>
      <w:r>
        <w:rPr>
          <w:bCs/>
          <w:sz w:val="20"/>
          <w:szCs w:val="20"/>
        </w:rPr>
        <w:t xml:space="preserve">) </w:t>
      </w:r>
      <w:r w:rsidRPr="008C0527">
        <w:rPr>
          <w:rFonts w:eastAsia="Times New Roman"/>
          <w:sz w:val="20"/>
          <w:szCs w:val="20"/>
        </w:rPr>
        <w:t>дополнен кодом вида изменений 290 «Изменения сводной</w:t>
      </w:r>
      <w:r w:rsidRPr="00EC0A76">
        <w:rPr>
          <w:rFonts w:eastAsia="Times New Roman"/>
          <w:color w:val="548DD4"/>
          <w:sz w:val="24"/>
          <w:szCs w:val="24"/>
        </w:rPr>
        <w:t xml:space="preserve"> </w:t>
      </w:r>
      <w:r w:rsidRPr="008C0527">
        <w:rPr>
          <w:rFonts w:eastAsia="Times New Roman"/>
          <w:sz w:val="20"/>
          <w:szCs w:val="20"/>
        </w:rPr>
        <w:t>бюджетной росписи федерального бюджета, рассматриваемые Комиссией Федерального Собрания Российской Федерации по перераспределению бюджетных ассигнований в текущем финансовом году и плановом периоде» (приказ Минфина России от 9 августа 2022 г. № 118н).</w:t>
      </w:r>
      <w:r>
        <w:rPr>
          <w:rFonts w:eastAsia="Times New Roman"/>
          <w:sz w:val="20"/>
          <w:szCs w:val="20"/>
        </w:rPr>
        <w:t xml:space="preserve"> </w:t>
      </w:r>
    </w:p>
  </w:footnote>
  <w:footnote w:id="15">
    <w:p w14:paraId="46047E9F" w14:textId="77777777" w:rsidR="006061D8" w:rsidRDefault="006061D8" w:rsidP="00174AC5">
      <w:pPr>
        <w:pStyle w:val="afd"/>
        <w:ind w:firstLine="426"/>
        <w:jc w:val="both"/>
      </w:pPr>
      <w:r>
        <w:rPr>
          <w:rStyle w:val="aff2"/>
        </w:rPr>
        <w:footnoteRef/>
      </w:r>
      <w:r>
        <w:t xml:space="preserve"> Данные представлены в соответствии с информацией Главной книги Федерального казначейства  по состоянию на 1 октября 2022 года.</w:t>
      </w:r>
    </w:p>
  </w:footnote>
  <w:footnote w:id="16">
    <w:p w14:paraId="357A75D9" w14:textId="77777777" w:rsidR="006061D8" w:rsidRDefault="006061D8" w:rsidP="00E6345C">
      <w:pPr>
        <w:widowControl w:val="0"/>
        <w:spacing w:line="240" w:lineRule="auto"/>
        <w:ind w:left="0" w:right="0" w:firstLine="425"/>
      </w:pPr>
      <w:r w:rsidRPr="005C1954">
        <w:rPr>
          <w:rStyle w:val="aff2"/>
          <w:sz w:val="20"/>
          <w:szCs w:val="20"/>
        </w:rPr>
        <w:footnoteRef/>
      </w:r>
      <w:r w:rsidRPr="005C1954">
        <w:rPr>
          <w:sz w:val="20"/>
          <w:szCs w:val="20"/>
        </w:rPr>
        <w:t xml:space="preserve"> </w:t>
      </w:r>
      <w:bookmarkStart w:id="2" w:name="sub_10046"/>
      <w:r w:rsidRPr="005C1954">
        <w:rPr>
          <w:rFonts w:eastAsia="Times New Roman"/>
          <w:sz w:val="20"/>
          <w:szCs w:val="20"/>
        </w:rPr>
        <w:t xml:space="preserve">В соответствии с абзацем </w:t>
      </w:r>
      <w:r>
        <w:rPr>
          <w:rFonts w:eastAsia="Times New Roman"/>
          <w:sz w:val="20"/>
          <w:szCs w:val="20"/>
        </w:rPr>
        <w:t>семь</w:t>
      </w:r>
      <w:r w:rsidRPr="005C1954">
        <w:rPr>
          <w:rFonts w:eastAsia="Times New Roman"/>
          <w:sz w:val="20"/>
          <w:szCs w:val="20"/>
        </w:rPr>
        <w:t xml:space="preserve"> пункта 4 постановления Правительства Российской Федерации от</w:t>
      </w:r>
      <w:r w:rsidRPr="005C1954">
        <w:rPr>
          <w:rFonts w:eastAsia="Times New Roman"/>
          <w:sz w:val="20"/>
          <w:szCs w:val="20"/>
          <w:lang w:val="en-US"/>
        </w:rPr>
        <w:t> </w:t>
      </w:r>
      <w:r w:rsidRPr="005C1954">
        <w:rPr>
          <w:rFonts w:eastAsia="Times New Roman"/>
          <w:sz w:val="20"/>
          <w:szCs w:val="20"/>
        </w:rPr>
        <w:t>9 декабря 2017 г. № 1496 (с изменениями) увеличение бюджетных ассигнований осуществляется в случае, если государственные контракты заключены в целях осуществления капитальных вложений, в целях капитального ремонта и (или) реставрации объектов государственной собственности Российской Федерации, при исполнении международных обязательств</w:t>
      </w:r>
      <w:r w:rsidRPr="007E3B4C">
        <w:rPr>
          <w:rFonts w:eastAsia="Times New Roman"/>
          <w:sz w:val="20"/>
          <w:szCs w:val="20"/>
        </w:rPr>
        <w:t xml:space="preserve"> Российской Федерации или при реализации государственного оборонного заказа, в целях достижения результатов федеральных проектов, входящих в состав национальных проектов, а также если источником финансового обеспечения заключенных государственных контрактов являлись бюджетные ассигнования, выделенные из резервного фонда Президента Российской Федерации либо после 1 октября отчетного финансового года из резервного фонда Правительства Российской Федерации.</w:t>
      </w:r>
      <w:bookmarkEnd w:id="2"/>
    </w:p>
  </w:footnote>
  <w:footnote w:id="17">
    <w:p w14:paraId="3607E8BD" w14:textId="77777777" w:rsidR="006061D8" w:rsidRPr="00F72BD0" w:rsidRDefault="006061D8" w:rsidP="00660686">
      <w:pPr>
        <w:pStyle w:val="afd"/>
        <w:ind w:firstLine="709"/>
      </w:pPr>
      <w:r w:rsidRPr="00F72BD0">
        <w:rPr>
          <w:rStyle w:val="aff2"/>
        </w:rPr>
        <w:footnoteRef/>
      </w:r>
      <w:r w:rsidRPr="00F72BD0">
        <w:t xml:space="preserve"> </w:t>
      </w:r>
      <w:r>
        <w:t>По данным Минфина России (письмо от 13 октября 2022 г. № 01-04-03/26-99290</w:t>
      </w:r>
      <w:r w:rsidRPr="00AC54FC">
        <w:t>).</w:t>
      </w:r>
    </w:p>
  </w:footnote>
  <w:footnote w:id="18">
    <w:p w14:paraId="68786B81" w14:textId="77777777" w:rsidR="006061D8" w:rsidRPr="00EB242E" w:rsidRDefault="006061D8" w:rsidP="00F73236">
      <w:pPr>
        <w:pStyle w:val="afd"/>
        <w:ind w:firstLine="426"/>
        <w:jc w:val="both"/>
      </w:pPr>
      <w:r w:rsidRPr="0028304C">
        <w:rPr>
          <w:rStyle w:val="aff2"/>
        </w:rPr>
        <w:footnoteRef/>
      </w:r>
      <w:r w:rsidRPr="0028304C">
        <w:t xml:space="preserve"> По данным Отчета о кассовых поступлениях и выплатах федерального бюджета (оперативного), сформированного по данным Главной книги Федерального казначейства.</w:t>
      </w:r>
    </w:p>
  </w:footnote>
  <w:footnote w:id="19">
    <w:p w14:paraId="6EC133B0" w14:textId="77777777" w:rsidR="006061D8" w:rsidRPr="002B0AA0" w:rsidRDefault="006061D8" w:rsidP="0067511B">
      <w:pPr>
        <w:pStyle w:val="afd"/>
        <w:ind w:firstLine="426"/>
        <w:jc w:val="both"/>
      </w:pPr>
      <w:r w:rsidRPr="002B0AA0">
        <w:rPr>
          <w:rStyle w:val="aff2"/>
        </w:rPr>
        <w:footnoteRef/>
      </w:r>
      <w:r w:rsidRPr="002B0AA0">
        <w:rPr>
          <w:rStyle w:val="aff2"/>
        </w:rPr>
        <w:t xml:space="preserve"> </w:t>
      </w:r>
      <w:r w:rsidRPr="0067511B">
        <w:t xml:space="preserve">По информации </w:t>
      </w:r>
      <w:r w:rsidRPr="00CE2C19">
        <w:t>о фактах, приводящих к значительному (более 15%) отклонению кассового исполнения расходов от сводной бюджетной росписи</w:t>
      </w:r>
      <w:r>
        <w:t xml:space="preserve"> </w:t>
      </w:r>
      <w:r w:rsidRPr="00CE2C19">
        <w:t>за 9 месяцев 2022 года</w:t>
      </w:r>
      <w:r w:rsidRPr="0067511B">
        <w:t>, представленной Минцифры России</w:t>
      </w:r>
      <w:r>
        <w:t xml:space="preserve"> </w:t>
      </w:r>
      <w:r>
        <w:br/>
      </w:r>
      <w:r w:rsidRPr="0067511B">
        <w:t>в Счетную палату</w:t>
      </w:r>
      <w:r>
        <w:t>.</w:t>
      </w:r>
    </w:p>
  </w:footnote>
  <w:footnote w:id="20">
    <w:p w14:paraId="04E8E280" w14:textId="77777777" w:rsidR="006061D8" w:rsidRPr="0072482D" w:rsidRDefault="006061D8" w:rsidP="0067511B">
      <w:pPr>
        <w:pStyle w:val="afd"/>
        <w:ind w:firstLine="426"/>
        <w:jc w:val="both"/>
      </w:pPr>
      <w:r w:rsidRPr="0072482D">
        <w:rPr>
          <w:rStyle w:val="aff2"/>
        </w:rPr>
        <w:footnoteRef/>
      </w:r>
      <w:r w:rsidRPr="0072482D">
        <w:t xml:space="preserve"> 2 612,3 млн. рублей</w:t>
      </w:r>
      <w:r>
        <w:t xml:space="preserve"> перераспределены Минцифры России на предоставление субсидии организациям вещания второго мультиплекса на </w:t>
      </w:r>
      <w:r w:rsidRPr="0072482D">
        <w:t xml:space="preserve">оплату предоставленных ФГУП «Российская телевизионная и радиовещательная сеть» услуг по распространению и трансляции их программ в населенных пунктах </w:t>
      </w:r>
      <w:r>
        <w:br/>
      </w:r>
      <w:r w:rsidRPr="0072482D">
        <w:t>с численностью населения менее 100 тысяч человек (</w:t>
      </w:r>
      <w:r>
        <w:t xml:space="preserve">справки от 6 октября 2022 г. № </w:t>
      </w:r>
      <w:r w:rsidRPr="000451BA">
        <w:t>1-03-000/1264</w:t>
      </w:r>
      <w:r w:rsidRPr="0072482D">
        <w:t>);</w:t>
      </w:r>
    </w:p>
    <w:p w14:paraId="7545E9D7" w14:textId="77777777" w:rsidR="006061D8" w:rsidRPr="00BC0559" w:rsidRDefault="006061D8" w:rsidP="0067511B">
      <w:pPr>
        <w:pStyle w:val="afd"/>
        <w:ind w:firstLine="426"/>
        <w:jc w:val="both"/>
      </w:pPr>
      <w:r w:rsidRPr="0072482D">
        <w:t>587,7 млн. рублей</w:t>
      </w:r>
      <w:r>
        <w:t xml:space="preserve"> перераспределены Минфину России на </w:t>
      </w:r>
      <w:r w:rsidRPr="0072482D">
        <w:t>увеличение бюджетных ассигнований резервного фонда Правительства Российской Федерации (</w:t>
      </w:r>
      <w:r>
        <w:t xml:space="preserve">справки от 4 октября 2022 г. № </w:t>
      </w:r>
      <w:r w:rsidRPr="000451BA">
        <w:t>1-03-000/1239</w:t>
      </w:r>
      <w:r>
        <w:t>)</w:t>
      </w:r>
      <w:r w:rsidRPr="0072482D">
        <w:t>.</w:t>
      </w:r>
    </w:p>
  </w:footnote>
  <w:footnote w:id="21">
    <w:p w14:paraId="1628D6CB" w14:textId="77777777" w:rsidR="006061D8" w:rsidRDefault="006061D8" w:rsidP="005975FB">
      <w:pPr>
        <w:pStyle w:val="afd"/>
        <w:ind w:firstLine="709"/>
        <w:jc w:val="both"/>
      </w:pPr>
      <w:r>
        <w:rPr>
          <w:rStyle w:val="aff2"/>
        </w:rPr>
        <w:footnoteRef/>
      </w:r>
      <w:r>
        <w:t xml:space="preserve"> </w:t>
      </w:r>
      <w:r w:rsidRPr="001B1F31">
        <w:t>Соглашение о предоставлении из федерального бюджета субсидии федеральному государственному унитарному предприятию атомного флота на государственную поддержку организаций регулярных перевозок по Северному морскому пути от 10 июня 2022 г. № 350-11-2022-009.</w:t>
      </w:r>
    </w:p>
  </w:footnote>
  <w:footnote w:id="22">
    <w:p w14:paraId="37C4DCA0" w14:textId="77777777" w:rsidR="006061D8" w:rsidRPr="00440FBE" w:rsidRDefault="006061D8" w:rsidP="005975FB">
      <w:pPr>
        <w:spacing w:line="240" w:lineRule="auto"/>
        <w:ind w:left="0" w:right="0"/>
        <w:rPr>
          <w:sz w:val="20"/>
          <w:szCs w:val="20"/>
        </w:rPr>
      </w:pPr>
      <w:r w:rsidRPr="00440FBE">
        <w:rPr>
          <w:rStyle w:val="aff2"/>
          <w:sz w:val="20"/>
          <w:szCs w:val="20"/>
        </w:rPr>
        <w:footnoteRef/>
      </w:r>
      <w:r w:rsidRPr="00440FBE">
        <w:rPr>
          <w:sz w:val="20"/>
          <w:szCs w:val="20"/>
        </w:rPr>
        <w:t xml:space="preserve"> </w:t>
      </w:r>
      <w:r w:rsidRPr="00440FBE">
        <w:rPr>
          <w:rFonts w:eastAsia="Times New Roman"/>
          <w:iCs/>
          <w:sz w:val="20"/>
          <w:szCs w:val="20"/>
        </w:rPr>
        <w:t>Распоряжение Правительства Российской Федерации от 1 февраля 2021 г. № 209-р «</w:t>
      </w:r>
      <w:r w:rsidRPr="00440FBE">
        <w:rPr>
          <w:sz w:val="20"/>
          <w:szCs w:val="20"/>
        </w:rPr>
        <w:t>Об утверждении перечня инвестиционных проектов, планируемых к реализации на территории Арктической зоны Российской Федерации»</w:t>
      </w:r>
      <w:r>
        <w:rPr>
          <w:sz w:val="20"/>
          <w:szCs w:val="20"/>
        </w:rPr>
        <w:t>.</w:t>
      </w:r>
    </w:p>
  </w:footnote>
  <w:footnote w:id="23">
    <w:p w14:paraId="1650A66B" w14:textId="77777777" w:rsidR="006061D8" w:rsidRDefault="006061D8" w:rsidP="005975FB">
      <w:pPr>
        <w:spacing w:line="240" w:lineRule="auto"/>
        <w:ind w:left="0" w:right="-2"/>
      </w:pPr>
      <w:r w:rsidRPr="005975FB">
        <w:rPr>
          <w:rStyle w:val="aff2"/>
          <w:sz w:val="20"/>
          <w:szCs w:val="20"/>
        </w:rPr>
        <w:footnoteRef/>
      </w:r>
      <w:r>
        <w:t xml:space="preserve"> </w:t>
      </w:r>
      <w:r w:rsidRPr="00825C46">
        <w:rPr>
          <w:rFonts w:eastAsia="Times New Roman"/>
          <w:iCs/>
          <w:sz w:val="20"/>
          <w:szCs w:val="20"/>
        </w:rPr>
        <w:t>Соглашения</w:t>
      </w:r>
      <w:r>
        <w:rPr>
          <w:rFonts w:eastAsia="Times New Roman"/>
          <w:iCs/>
          <w:sz w:val="20"/>
          <w:szCs w:val="20"/>
        </w:rPr>
        <w:t xml:space="preserve"> на предоставление из федерального бюджета субсидий российским кредитным организациям </w:t>
      </w:r>
      <w:r w:rsidRPr="00823607">
        <w:rPr>
          <w:rFonts w:eastAsia="Times New Roman"/>
          <w:iCs/>
          <w:sz w:val="20"/>
          <w:szCs w:val="20"/>
        </w:rPr>
        <w:t>на возмещение недополученных</w:t>
      </w:r>
      <w:r>
        <w:rPr>
          <w:rFonts w:eastAsia="Times New Roman"/>
          <w:iCs/>
          <w:sz w:val="20"/>
          <w:szCs w:val="20"/>
        </w:rPr>
        <w:t xml:space="preserve"> </w:t>
      </w:r>
      <w:r w:rsidRPr="00823607">
        <w:rPr>
          <w:rFonts w:eastAsia="Times New Roman"/>
          <w:iCs/>
          <w:sz w:val="20"/>
          <w:szCs w:val="20"/>
        </w:rPr>
        <w:t>доходов по кредитам, выданным на цели реализации инвестиционных</w:t>
      </w:r>
      <w:r>
        <w:rPr>
          <w:rFonts w:eastAsia="Times New Roman"/>
          <w:iCs/>
          <w:sz w:val="20"/>
          <w:szCs w:val="20"/>
        </w:rPr>
        <w:t xml:space="preserve"> </w:t>
      </w:r>
      <w:r w:rsidRPr="00823607">
        <w:rPr>
          <w:rFonts w:eastAsia="Times New Roman"/>
          <w:iCs/>
          <w:sz w:val="20"/>
          <w:szCs w:val="20"/>
        </w:rPr>
        <w:t>проектов на территориях Дальневосточного федерального округа и</w:t>
      </w:r>
      <w:r>
        <w:rPr>
          <w:rFonts w:eastAsia="Times New Roman"/>
          <w:iCs/>
          <w:sz w:val="20"/>
          <w:szCs w:val="20"/>
        </w:rPr>
        <w:t xml:space="preserve"> </w:t>
      </w:r>
      <w:r w:rsidRPr="00823607">
        <w:rPr>
          <w:rFonts w:eastAsia="Times New Roman"/>
          <w:iCs/>
          <w:sz w:val="20"/>
          <w:szCs w:val="20"/>
        </w:rPr>
        <w:t>Арктической зоны Российской Федерации</w:t>
      </w:r>
      <w:r w:rsidRPr="00825C46">
        <w:rPr>
          <w:rFonts w:eastAsia="Times New Roman"/>
          <w:iCs/>
          <w:sz w:val="20"/>
          <w:szCs w:val="20"/>
        </w:rPr>
        <w:t xml:space="preserve"> </w:t>
      </w:r>
      <w:r>
        <w:rPr>
          <w:rFonts w:eastAsia="Times New Roman"/>
          <w:iCs/>
          <w:sz w:val="20"/>
          <w:szCs w:val="20"/>
        </w:rPr>
        <w:t>от 14 июля 2022 г. № 350-11-2022-022 (с доп. соглашениями к нему), от 15 июля 2022 г. № 350-11-2022-021, от 20 июля 2022 г. № 350-11-2022-012 (с доп. соглашениями к нему).</w:t>
      </w:r>
    </w:p>
  </w:footnote>
  <w:footnote w:id="24">
    <w:p w14:paraId="2F0D0481" w14:textId="77777777" w:rsidR="006061D8" w:rsidRPr="00C2321C" w:rsidRDefault="006061D8" w:rsidP="0067511B">
      <w:pPr>
        <w:pStyle w:val="afd"/>
        <w:widowControl w:val="0"/>
        <w:ind w:firstLine="425"/>
        <w:jc w:val="both"/>
      </w:pPr>
      <w:r w:rsidRPr="00C2321C">
        <w:rPr>
          <w:rStyle w:val="aff2"/>
        </w:rPr>
        <w:footnoteRef/>
      </w:r>
      <w:r w:rsidRPr="00C2321C">
        <w:rPr>
          <w:vertAlign w:val="superscript"/>
        </w:rPr>
        <w:t xml:space="preserve"> </w:t>
      </w:r>
      <w:r w:rsidRPr="00C2321C">
        <w:t>Постановление Правительства Российской Федерации от 2 апреля 2022 г. № 574.</w:t>
      </w:r>
    </w:p>
  </w:footnote>
  <w:footnote w:id="25">
    <w:p w14:paraId="21729418" w14:textId="77777777" w:rsidR="006061D8" w:rsidRPr="00C2321C" w:rsidRDefault="006061D8" w:rsidP="0067511B">
      <w:pPr>
        <w:pStyle w:val="afd"/>
        <w:widowControl w:val="0"/>
        <w:ind w:firstLine="425"/>
        <w:jc w:val="both"/>
      </w:pPr>
      <w:r w:rsidRPr="00C2321C">
        <w:rPr>
          <w:vertAlign w:val="superscript"/>
        </w:rPr>
        <w:footnoteRef/>
      </w:r>
      <w:r w:rsidRPr="00C2321C">
        <w:rPr>
          <w:vertAlign w:val="superscript"/>
        </w:rPr>
        <w:t xml:space="preserve"> </w:t>
      </w:r>
      <w:r w:rsidRPr="00C2321C">
        <w:t xml:space="preserve">По информации Минэнерго России «Информация о причинах неравномерного расходования средств федерального бюджета (в разрезе </w:t>
      </w:r>
      <w:r w:rsidRPr="00EB5D7E">
        <w:t>подпрограмм и федеральных целевых программ) и непрограммных направлений деятельности за январь – сентябрь 2022 года», представленной в Счетную палату.</w:t>
      </w:r>
    </w:p>
  </w:footnote>
  <w:footnote w:id="26">
    <w:p w14:paraId="43A81E48" w14:textId="77777777" w:rsidR="006061D8" w:rsidRPr="00394CB5" w:rsidRDefault="006061D8" w:rsidP="005A286D">
      <w:pPr>
        <w:pStyle w:val="afd"/>
        <w:widowControl w:val="0"/>
        <w:ind w:firstLine="709"/>
        <w:jc w:val="both"/>
      </w:pPr>
      <w:r w:rsidRPr="00394CB5">
        <w:rPr>
          <w:rStyle w:val="aff2"/>
        </w:rPr>
        <w:footnoteRef/>
      </w:r>
      <w:r w:rsidRPr="00394CB5">
        <w:t xml:space="preserve"> Представлен Федеральным казначейством в соответствии с Соглашением об информационном взаимодействии Счетной палаты Российской Федерации и Федерального казначейства от 16 мая 2014 года.</w:t>
      </w:r>
    </w:p>
  </w:footnote>
  <w:footnote w:id="27">
    <w:p w14:paraId="239E8786" w14:textId="77777777" w:rsidR="006061D8" w:rsidRDefault="006061D8" w:rsidP="005A286D">
      <w:pPr>
        <w:pStyle w:val="afd"/>
        <w:widowControl w:val="0"/>
        <w:ind w:firstLine="709"/>
      </w:pPr>
      <w:r w:rsidRPr="004F07E0">
        <w:rPr>
          <w:rStyle w:val="aff2"/>
        </w:rPr>
        <w:footnoteRef/>
      </w:r>
      <w:r w:rsidRPr="004F07E0">
        <w:t xml:space="preserve"> </w:t>
      </w:r>
      <w:r w:rsidRPr="008566CC">
        <w:t xml:space="preserve">Показатели граф </w:t>
      </w:r>
      <w:r>
        <w:t xml:space="preserve">таблицы </w:t>
      </w:r>
      <w:r w:rsidRPr="008566CC">
        <w:t>рассчитаны по</w:t>
      </w:r>
      <w:r>
        <w:t xml:space="preserve"> ГРБС, по которым сформированы П</w:t>
      </w:r>
      <w:r w:rsidRPr="008566CC">
        <w:t>рогнозы перечислений по форме 0501089.</w:t>
      </w:r>
    </w:p>
  </w:footnote>
  <w:footnote w:id="28">
    <w:p w14:paraId="13C1F194" w14:textId="77777777" w:rsidR="006061D8" w:rsidRPr="00B528E7" w:rsidRDefault="006061D8" w:rsidP="005A286D">
      <w:pPr>
        <w:pStyle w:val="afd"/>
        <w:ind w:firstLine="709"/>
        <w:jc w:val="both"/>
      </w:pPr>
      <w:r w:rsidRPr="00B528E7">
        <w:rPr>
          <w:rStyle w:val="aff2"/>
        </w:rPr>
        <w:footnoteRef/>
      </w:r>
      <w:r w:rsidRPr="00B528E7">
        <w:t xml:space="preserve"> </w:t>
      </w:r>
      <w:r>
        <w:t xml:space="preserve">Показатели прогноза перечислений на </w:t>
      </w:r>
      <w:r>
        <w:rPr>
          <w:lang w:val="en-US"/>
        </w:rPr>
        <w:t>IV</w:t>
      </w:r>
      <w:r>
        <w:t xml:space="preserve"> квартал 2022 года меньше бюджетных ассигнований, предусмотренных сводной росписью на </w:t>
      </w:r>
      <w:r>
        <w:rPr>
          <w:lang w:val="en-US"/>
        </w:rPr>
        <w:t>IV</w:t>
      </w:r>
      <w:r w:rsidRPr="00B528E7">
        <w:t xml:space="preserve"> </w:t>
      </w:r>
      <w:r>
        <w:t>квартал 2022 года.</w:t>
      </w:r>
    </w:p>
  </w:footnote>
  <w:footnote w:id="29">
    <w:p w14:paraId="125D82B3" w14:textId="77777777" w:rsidR="006061D8" w:rsidRDefault="006061D8" w:rsidP="003D711F">
      <w:pPr>
        <w:pStyle w:val="afd"/>
        <w:ind w:firstLine="709"/>
        <w:jc w:val="both"/>
      </w:pPr>
      <w:r>
        <w:rPr>
          <w:rStyle w:val="aff2"/>
        </w:rPr>
        <w:footnoteRef/>
      </w:r>
      <w:r>
        <w:t xml:space="preserve"> К</w:t>
      </w:r>
      <w:r w:rsidRPr="00EB1028">
        <w:t xml:space="preserve">онтрактуемые расходы </w:t>
      </w:r>
      <w:r w:rsidRPr="00EB1028">
        <w:rPr>
          <w:bCs/>
        </w:rPr>
        <w:t>включают расходы на закупку товаров, работ, услуг для государственных нужд, бюджетные инвестиции, а также субсидии на осуществление капитальных вложений бюджетным и автономным учреждениям, иным юридическим лицам и субсидии на софинансирование капитальных вложений в объекты государственной (муниципальной) собственности.</w:t>
      </w:r>
    </w:p>
  </w:footnote>
  <w:footnote w:id="30">
    <w:p w14:paraId="286BCEE4" w14:textId="77777777" w:rsidR="006061D8" w:rsidRPr="001C0C7B" w:rsidRDefault="006061D8" w:rsidP="003D711F">
      <w:pPr>
        <w:pStyle w:val="afd"/>
        <w:ind w:firstLine="426"/>
      </w:pPr>
      <w:r>
        <w:rPr>
          <w:rStyle w:val="aff2"/>
        </w:rPr>
        <w:footnoteRef/>
      </w:r>
      <w:r>
        <w:t xml:space="preserve"> За исключением госконтрактов </w:t>
      </w:r>
      <w:r w:rsidRPr="00741152">
        <w:t xml:space="preserve">в рамках реализации </w:t>
      </w:r>
      <w:r w:rsidRPr="001C0C7B">
        <w:t>национальных проектов.</w:t>
      </w:r>
    </w:p>
  </w:footnote>
  <w:footnote w:id="31">
    <w:p w14:paraId="4AECCDB4" w14:textId="77777777" w:rsidR="006061D8" w:rsidRDefault="006061D8" w:rsidP="003D711F">
      <w:pPr>
        <w:pStyle w:val="afd"/>
        <w:ind w:firstLine="425"/>
        <w:jc w:val="both"/>
      </w:pPr>
      <w:r w:rsidRPr="001C0C7B">
        <w:rPr>
          <w:rStyle w:val="aff2"/>
        </w:rPr>
        <w:footnoteRef/>
      </w:r>
      <w:r w:rsidRPr="001C0C7B">
        <w:t xml:space="preserve"> ЛБО текущего года, не связанные с исполнением госконтрактов, подлежавших</w:t>
      </w:r>
      <w:r w:rsidRPr="005315C6">
        <w:t xml:space="preserve"> в соответствии с условиями этих госконтрактов оплате в 2021 году.</w:t>
      </w:r>
    </w:p>
  </w:footnote>
  <w:footnote w:id="32">
    <w:p w14:paraId="799C5A2A" w14:textId="77777777" w:rsidR="006061D8" w:rsidRDefault="006061D8" w:rsidP="003D711F">
      <w:pPr>
        <w:pStyle w:val="afd"/>
        <w:ind w:firstLine="709"/>
        <w:jc w:val="both"/>
      </w:pPr>
      <w:r>
        <w:rPr>
          <w:rStyle w:val="aff2"/>
        </w:rPr>
        <w:footnoteRef/>
      </w:r>
      <w:r>
        <w:t xml:space="preserve"> Данные учитывают закупки, отраженные в </w:t>
      </w:r>
      <w:r w:rsidRPr="00AD7E57">
        <w:t>единой информационной систем</w:t>
      </w:r>
      <w:r>
        <w:t>е</w:t>
      </w:r>
      <w:r w:rsidRPr="00AD7E57">
        <w:t xml:space="preserve"> в сфере закупок</w:t>
      </w:r>
      <w:r>
        <w:t xml:space="preserve"> по кодам </w:t>
      </w:r>
      <w:r w:rsidRPr="001C0C7B">
        <w:t>классификации расходов бюджетов соответствующих главных распорядителей средств федерального бюджета.</w:t>
      </w:r>
    </w:p>
  </w:footnote>
  <w:footnote w:id="33">
    <w:p w14:paraId="7E3BED0C" w14:textId="77777777" w:rsidR="006061D8" w:rsidRPr="00063705" w:rsidRDefault="006061D8" w:rsidP="00A513A6">
      <w:pPr>
        <w:pStyle w:val="afd"/>
        <w:widowControl w:val="0"/>
        <w:spacing w:line="216" w:lineRule="auto"/>
        <w:ind w:firstLine="709"/>
        <w:jc w:val="both"/>
      </w:pPr>
      <w:r w:rsidRPr="00063705">
        <w:rPr>
          <w:rStyle w:val="aff2"/>
        </w:rPr>
        <w:footnoteRef/>
      </w:r>
      <w:r w:rsidRPr="00063705">
        <w:t xml:space="preserve"> С учетом принятых Правительством Российской Федерации решений, содержащих сведения ограниченного распространения.</w:t>
      </w:r>
    </w:p>
  </w:footnote>
  <w:footnote w:id="34">
    <w:p w14:paraId="5C01E5DC" w14:textId="77777777" w:rsidR="006061D8" w:rsidRPr="0035005B" w:rsidRDefault="006061D8" w:rsidP="00A513A6">
      <w:pPr>
        <w:pStyle w:val="afd"/>
        <w:widowControl w:val="0"/>
        <w:spacing w:line="216" w:lineRule="auto"/>
        <w:ind w:firstLine="709"/>
        <w:jc w:val="both"/>
      </w:pPr>
      <w:r w:rsidRPr="00063705">
        <w:rPr>
          <w:rStyle w:val="aff2"/>
        </w:rPr>
        <w:footnoteRef/>
      </w:r>
      <w:r w:rsidRPr="00063705">
        <w:t xml:space="preserve"> С </w:t>
      </w:r>
      <w:r w:rsidRPr="00562376">
        <w:t xml:space="preserve">учетом остатка неиспользованных средств резервного фонда Правительства Российской Федерации по </w:t>
      </w:r>
      <w:r w:rsidRPr="0035005B">
        <w:t>состоянию на 1 октября 2022 года в объеме 64 455,6 млн. рублей.</w:t>
      </w:r>
    </w:p>
  </w:footnote>
  <w:footnote w:id="35">
    <w:p w14:paraId="4FDC168B" w14:textId="77777777" w:rsidR="006061D8" w:rsidRPr="0035005B" w:rsidRDefault="006061D8" w:rsidP="00A513A6">
      <w:pPr>
        <w:pStyle w:val="afd"/>
        <w:ind w:firstLine="709"/>
        <w:jc w:val="both"/>
      </w:pPr>
      <w:r w:rsidRPr="0035005B">
        <w:rPr>
          <w:rStyle w:val="aff2"/>
        </w:rPr>
        <w:footnoteRef/>
      </w:r>
      <w:r w:rsidRPr="0035005B">
        <w:t xml:space="preserve"> По 4 из 5 распоряжений Правительства Российской Федерации о выделение бюджетных ассигнований из резервного фонда Правительства Российской Федерации по которым прияты решения об уменьшении объема выделенных средств, изменения в сводную роспись внесены в октябре 2022 года на общую сумму 45 144,9 млн. рублей.</w:t>
      </w:r>
    </w:p>
  </w:footnote>
  <w:footnote w:id="36">
    <w:p w14:paraId="4959A25F" w14:textId="77777777" w:rsidR="006061D8" w:rsidRPr="0035005B" w:rsidRDefault="006061D8" w:rsidP="00A513A6">
      <w:pPr>
        <w:pStyle w:val="afd"/>
        <w:ind w:firstLine="709"/>
        <w:jc w:val="both"/>
      </w:pPr>
      <w:r w:rsidRPr="0035005B">
        <w:rPr>
          <w:rStyle w:val="aff2"/>
        </w:rPr>
        <w:footnoteRef/>
      </w:r>
      <w:r w:rsidRPr="0035005B">
        <w:t xml:space="preserve"> Распоряжением Правительства Российской Федерации от 18 февраля 2022 г. № 292-р предусмотрено выделение бюджетных ассигнований из резервного фонда Правительства Российской Федерации 27 ГРБС на осуществление капитальных вложений (капитального ремонта) в объекты (объектов) государственной собственности Российской Федерации (муниципальной собственности) в размере до 70 286,2 млн. рублей. В соответствии с изменениями внесенными распоряжениями Правительства Российской Федерации </w:t>
      </w:r>
      <w:bookmarkStart w:id="8" w:name="OLE_LINK1"/>
      <w:r w:rsidRPr="0035005B">
        <w:t>от 19 мая 2022 г. № 1223-р, от 22 июня 2022 г. № 1662-р, и от 19 августа 2022 г. № 2324-р</w:t>
      </w:r>
      <w:bookmarkEnd w:id="8"/>
      <w:r w:rsidRPr="0035005B">
        <w:t>, в связи с увеличением цен на строительные ресурсы и необходимостью изменения (увеличения) цен заключенных контрактов, объем бюджетных ассигнований, выделенных из резервного фонда, увеличен до 154 830,5 млн. рублей, количество главных распорядителей средств федерального бюджета до 33.</w:t>
      </w:r>
    </w:p>
  </w:footnote>
  <w:footnote w:id="37">
    <w:p w14:paraId="0EB6E21E" w14:textId="77777777" w:rsidR="006061D8" w:rsidRPr="00EC785D" w:rsidRDefault="006061D8" w:rsidP="00A513A6">
      <w:pPr>
        <w:pStyle w:val="afd"/>
        <w:spacing w:line="216" w:lineRule="auto"/>
        <w:ind w:firstLine="709"/>
        <w:jc w:val="both"/>
      </w:pPr>
      <w:r w:rsidRPr="00A94900">
        <w:rPr>
          <w:rStyle w:val="aff2"/>
        </w:rPr>
        <w:footnoteRef/>
      </w:r>
      <w:r w:rsidRPr="00A94900">
        <w:t xml:space="preserve"> Распоряжением Правительства Российской Федерации от 11 мая 2022 г. № 1143-р предусмотрено выделение бюджетных ассигнований из резервного фонда Правительства Российской Федерации на предоставление межбюджетных трансфертов бюджетам Пенсионного фонда Российской Федерации, Фонда социального страхования Российской Федерации и Федерального фонда обязательного медицинского страхования на компенсацию выпадающих доходов бюджетов в размере до 1 684 033,9 млн. рублей. По информации Минфина России (от 6 мая 2022 г. № 01-04-03/13-42453), перечисление средств будет осуществляется с учетом фактической потребности в них.</w:t>
      </w:r>
    </w:p>
  </w:footnote>
  <w:footnote w:id="38">
    <w:p w14:paraId="190D56F1" w14:textId="77777777" w:rsidR="006061D8" w:rsidRPr="00113327" w:rsidRDefault="006061D8" w:rsidP="00A513A6">
      <w:pPr>
        <w:pStyle w:val="afd"/>
        <w:widowControl w:val="0"/>
        <w:spacing w:line="216" w:lineRule="auto"/>
        <w:ind w:firstLine="709"/>
        <w:jc w:val="both"/>
      </w:pPr>
      <w:r w:rsidRPr="00113327">
        <w:rPr>
          <w:vertAlign w:val="superscript"/>
        </w:rPr>
        <w:footnoteRef/>
      </w:r>
      <w:r w:rsidRPr="00113327">
        <w:rPr>
          <w:vertAlign w:val="superscript"/>
        </w:rPr>
        <w:t xml:space="preserve"> </w:t>
      </w:r>
      <w:r w:rsidRPr="00113327">
        <w:t>По экспертной оценке Счетной палаты, на основании нормативных правовых актов Правительства Российской Федерации, решений Комиссии по перераспределению, а также пояснительн</w:t>
      </w:r>
      <w:r>
        <w:t>ых</w:t>
      </w:r>
      <w:r w:rsidRPr="00113327">
        <w:t xml:space="preserve"> запис</w:t>
      </w:r>
      <w:r>
        <w:t>о</w:t>
      </w:r>
      <w:r w:rsidRPr="00113327">
        <w:t>к, финансово-экономическ</w:t>
      </w:r>
      <w:r>
        <w:t>их</w:t>
      </w:r>
      <w:r w:rsidRPr="00113327">
        <w:t xml:space="preserve"> обосновани</w:t>
      </w:r>
      <w:r>
        <w:t>й</w:t>
      </w:r>
      <w:r w:rsidRPr="00113327">
        <w:t xml:space="preserve"> к проектам распоряжений Правительства Российской Федерации.</w:t>
      </w:r>
    </w:p>
  </w:footnote>
  <w:footnote w:id="39">
    <w:p w14:paraId="2FCD1E50" w14:textId="77777777" w:rsidR="006061D8" w:rsidRPr="00113327" w:rsidRDefault="006061D8" w:rsidP="00A513A6">
      <w:pPr>
        <w:pStyle w:val="afd"/>
        <w:widowControl w:val="0"/>
        <w:ind w:firstLine="709"/>
        <w:jc w:val="both"/>
      </w:pPr>
      <w:r w:rsidRPr="00113327">
        <w:rPr>
          <w:rStyle w:val="aff2"/>
        </w:rPr>
        <w:footnoteRef/>
      </w:r>
      <w:r w:rsidRPr="00113327">
        <w:t xml:space="preserve"> По экспертной оценке Счетной палаты, на основании нормативных правовых актов Правительства Российской Федерации, решений Комиссии по перераспределению, а также пояснительной записки, финансово-экономического обоснования к проектам распоряжений Правительства Российской Федерации.</w:t>
      </w:r>
    </w:p>
  </w:footnote>
  <w:footnote w:id="40">
    <w:p w14:paraId="6B10B6D4" w14:textId="77777777" w:rsidR="006061D8" w:rsidRPr="00322DFE" w:rsidRDefault="006061D8" w:rsidP="00700EC1">
      <w:pPr>
        <w:spacing w:line="240" w:lineRule="auto"/>
        <w:ind w:left="0" w:right="0" w:firstLine="426"/>
        <w:rPr>
          <w:sz w:val="20"/>
          <w:szCs w:val="20"/>
        </w:rPr>
      </w:pPr>
      <w:r w:rsidRPr="00322DFE">
        <w:rPr>
          <w:rStyle w:val="aff2"/>
          <w:sz w:val="20"/>
          <w:szCs w:val="20"/>
        </w:rPr>
        <w:footnoteRef/>
      </w:r>
      <w:r w:rsidRPr="00322DFE">
        <w:rPr>
          <w:sz w:val="20"/>
          <w:szCs w:val="20"/>
        </w:rPr>
        <w:t xml:space="preserve"> В соответствии с частью 2 статьи 7 Федерального закона от 28 ноября 2018 г. № 457-ФЗ «О внесении изменений в Бюджетный кодекс Российской Федерации и отдельные законодательные акты Российской Федерации», пунктом 1 части 5 и частью 25 статьи 10 Федерального закона от 29 ноября 2021 г. № 384-ФЗ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w:t>
      </w:r>
    </w:p>
  </w:footnote>
  <w:footnote w:id="41">
    <w:p w14:paraId="7B42E610" w14:textId="77777777" w:rsidR="006061D8" w:rsidRPr="00753E33" w:rsidRDefault="006061D8" w:rsidP="00753E33">
      <w:pPr>
        <w:pStyle w:val="afd"/>
        <w:widowControl w:val="0"/>
        <w:ind w:firstLine="709"/>
        <w:jc w:val="both"/>
      </w:pPr>
      <w:r w:rsidRPr="00753E33">
        <w:rPr>
          <w:rStyle w:val="aff2"/>
          <w:rFonts w:eastAsia="Calibri"/>
        </w:rPr>
        <w:footnoteRef/>
      </w:r>
      <w:r w:rsidRPr="00753E33">
        <w:t xml:space="preserve"> Указанное требование не распространяется на бюджетные ассигнования, предусмотренные на осуществление капитальных вложений в рамках госпрограммы «Социально-экономическое развитие Республики Крым и г. Севастополя», ГОЗ, </w:t>
      </w:r>
      <w:r w:rsidRPr="00753E33">
        <w:rPr>
          <w:rFonts w:eastAsia="Calibri"/>
          <w:lang w:eastAsia="en-US"/>
        </w:rPr>
        <w:t xml:space="preserve">на предоставление субсидий из федерального бюджета бюджетам субъектов Российской Федерации, адресное (пообъектное) распределение которых определяется в соглашениях о предоставлении указанных субсидий, </w:t>
      </w:r>
      <w:r w:rsidRPr="00753E33">
        <w:t>а также на бюджетные ассигнования за счет средств Федерального дорожного фонда, резервных фондов Президента Российской Федерации и Правительства Российской Федерации</w:t>
      </w:r>
      <w:r w:rsidRPr="00753E33">
        <w:rPr>
          <w:rFonts w:eastAsia="Calibri"/>
          <w:lang w:eastAsia="en-US"/>
        </w:rPr>
        <w:t>.</w:t>
      </w:r>
    </w:p>
  </w:footnote>
  <w:footnote w:id="42">
    <w:p w14:paraId="5080E82D" w14:textId="77777777" w:rsidR="006061D8" w:rsidRPr="00753E33" w:rsidRDefault="006061D8" w:rsidP="00753E33">
      <w:pPr>
        <w:pStyle w:val="afd"/>
        <w:widowControl w:val="0"/>
        <w:ind w:firstLine="709"/>
        <w:jc w:val="both"/>
      </w:pPr>
      <w:r w:rsidRPr="00753E33">
        <w:rPr>
          <w:rStyle w:val="aff2"/>
          <w:rFonts w:eastAsia="Calibri"/>
        </w:rPr>
        <w:footnoteRef/>
      </w:r>
      <w:r w:rsidRPr="00753E33">
        <w:rPr>
          <w:rStyle w:val="aff2"/>
          <w:rFonts w:eastAsia="Calibri"/>
        </w:rPr>
        <w:t xml:space="preserve"> </w:t>
      </w:r>
      <w:r w:rsidRPr="00753E33">
        <w:t>За исключением объектов, по которым заключены контракты, предметом которых являются одновременно подготовка проектной документации и (или) выполнение инженерных изысканий, выполнение работ по строительству, реконструкции объекта капитального строительства.</w:t>
      </w:r>
    </w:p>
  </w:footnote>
  <w:footnote w:id="43">
    <w:p w14:paraId="7C57E3A1" w14:textId="77777777" w:rsidR="006061D8" w:rsidRPr="009C10A1" w:rsidRDefault="006061D8" w:rsidP="00753E33">
      <w:pPr>
        <w:pStyle w:val="afd"/>
        <w:widowControl w:val="0"/>
        <w:ind w:firstLine="709"/>
        <w:jc w:val="both"/>
      </w:pPr>
      <w:r w:rsidRPr="00753E33">
        <w:rPr>
          <w:rStyle w:val="aff2"/>
          <w:rFonts w:eastAsia="Calibri"/>
        </w:rPr>
        <w:footnoteRef/>
      </w:r>
      <w:r w:rsidRPr="00753E33">
        <w:rPr>
          <w:rStyle w:val="aff2"/>
          <w:rFonts w:eastAsia="Calibri"/>
        </w:rPr>
        <w:t xml:space="preserve"> </w:t>
      </w:r>
      <w:r w:rsidRPr="00753E33">
        <w:t>По данным государственной информационной системы «Единый государственный реестр заключений экспертизы проектной документации объектов капитального строительства».</w:t>
      </w:r>
    </w:p>
  </w:footnote>
  <w:footnote w:id="44">
    <w:p w14:paraId="52C49D29" w14:textId="77777777" w:rsidR="006061D8" w:rsidRPr="007F5D71" w:rsidRDefault="006061D8" w:rsidP="00736F76">
      <w:pPr>
        <w:pStyle w:val="afd"/>
        <w:ind w:firstLine="709"/>
        <w:jc w:val="both"/>
      </w:pPr>
      <w:r w:rsidRPr="007F5D71">
        <w:rPr>
          <w:rStyle w:val="aff2"/>
        </w:rPr>
        <w:footnoteRef/>
      </w:r>
      <w:r>
        <w:t>Во II квартале сокращены расходы на</w:t>
      </w:r>
      <w:r w:rsidRPr="007F5D71">
        <w:t xml:space="preserve"> софинансирование строительства комплекса гидротехнических сооружений в Волгоградской области для дополнительного обводнения Волго-Ахтубинской поймы</w:t>
      </w:r>
      <w:r>
        <w:t xml:space="preserve"> (</w:t>
      </w:r>
      <w:r w:rsidRPr="007F5D71">
        <w:t>2</w:t>
      </w:r>
      <w:r>
        <w:t> 579,8 млн. рублей)</w:t>
      </w:r>
      <w:r w:rsidRPr="007F5D71">
        <w:t xml:space="preserve"> в связи со значительным удорожанием проекта и увеличением срока строительства по результатам проектно-изыскательских работ.</w:t>
      </w:r>
    </w:p>
  </w:footnote>
  <w:footnote w:id="45">
    <w:p w14:paraId="5BCE0988" w14:textId="77777777" w:rsidR="006061D8" w:rsidRPr="000A6F16" w:rsidRDefault="006061D8" w:rsidP="00736F76">
      <w:pPr>
        <w:pStyle w:val="afd"/>
        <w:ind w:firstLine="709"/>
        <w:jc w:val="both"/>
      </w:pPr>
      <w:r w:rsidRPr="000A6F16">
        <w:rPr>
          <w:rStyle w:val="aff2"/>
        </w:rPr>
        <w:footnoteRef/>
      </w:r>
      <w:r w:rsidRPr="000A6F16">
        <w:t xml:space="preserve"> </w:t>
      </w:r>
      <w:r>
        <w:t>«</w:t>
      </w:r>
      <w:r w:rsidRPr="00E478DB">
        <w:t>Реконструкция здания под Военный учебный центр по адресу г. Москва, ул. Талдомская, д. 5»</w:t>
      </w:r>
      <w:r>
        <w:t xml:space="preserve">, </w:t>
      </w:r>
      <w:r w:rsidRPr="00E478DB">
        <w:t>«Реконструкция учебного корпуса под учебно-административное здание» по адресу г. Москва, ул. Новосущевская, д. 22, строение 3» и «Строительство учебного корпуса с физкультурно-оздоровительным комплексом по адресу: г. Москва, Минаевский пер., владение 2»</w:t>
      </w:r>
      <w:r>
        <w:t>.</w:t>
      </w:r>
    </w:p>
  </w:footnote>
  <w:footnote w:id="46">
    <w:p w14:paraId="0A5085DE" w14:textId="77777777" w:rsidR="006061D8" w:rsidRDefault="006061D8" w:rsidP="0051094C">
      <w:pPr>
        <w:pStyle w:val="afd"/>
        <w:ind w:firstLine="709"/>
      </w:pPr>
      <w:r>
        <w:rPr>
          <w:rStyle w:val="aff2"/>
        </w:rPr>
        <w:footnoteRef/>
      </w:r>
      <w:r>
        <w:t xml:space="preserve"> По экспертной оценке </w:t>
      </w:r>
      <w:r w:rsidRPr="00F63660">
        <w:t>Счетной палаты.</w:t>
      </w:r>
    </w:p>
  </w:footnote>
  <w:footnote w:id="47">
    <w:p w14:paraId="4E2C58DC" w14:textId="77777777" w:rsidR="006061D8" w:rsidRDefault="006061D8" w:rsidP="0051094C">
      <w:pPr>
        <w:pStyle w:val="afd"/>
        <w:ind w:firstLine="709"/>
        <w:jc w:val="both"/>
      </w:pPr>
      <w:r>
        <w:rPr>
          <w:rStyle w:val="aff2"/>
        </w:rPr>
        <w:footnoteRef/>
      </w:r>
      <w:r>
        <w:t xml:space="preserve"> </w:t>
      </w:r>
      <w:r w:rsidRPr="001B11D2">
        <w:t>Срок внесения проекта постановления Правительства Российской Федерации продлен с 15 ноября 2021 года до 1 мая 2022 года. На основании поручения Заместителя Председателя Правительства Российской Федерации проект указанного акта внесен Минпромторгом России.</w:t>
      </w:r>
    </w:p>
  </w:footnote>
  <w:footnote w:id="48">
    <w:p w14:paraId="1659C724" w14:textId="77777777" w:rsidR="006061D8" w:rsidRDefault="006061D8" w:rsidP="005A1CB2">
      <w:pPr>
        <w:pStyle w:val="afd"/>
        <w:ind w:firstLine="709"/>
        <w:jc w:val="both"/>
      </w:pPr>
      <w:r>
        <w:rPr>
          <w:rStyle w:val="aff2"/>
        </w:rPr>
        <w:footnoteRef/>
      </w:r>
      <w:r>
        <w:t xml:space="preserve"> В рамках госпрограмм «</w:t>
      </w:r>
      <w:r w:rsidRPr="001472D3">
        <w:t>Экономическое развитие и инновационная экономика</w:t>
      </w:r>
      <w:r>
        <w:t>», «Содействие занятости населения» и «</w:t>
      </w:r>
      <w:r w:rsidRPr="001472D3">
        <w:t>Научно-технологическое развитие Российской Федерации</w:t>
      </w:r>
      <w:r>
        <w:t>»</w:t>
      </w:r>
    </w:p>
  </w:footnote>
  <w:footnote w:id="49">
    <w:p w14:paraId="0D39740B" w14:textId="77777777" w:rsidR="006061D8" w:rsidRPr="00FC5D63" w:rsidRDefault="006061D8" w:rsidP="002331ED">
      <w:pPr>
        <w:pStyle w:val="afd"/>
        <w:ind w:firstLine="709"/>
        <w:jc w:val="both"/>
      </w:pPr>
      <w:r w:rsidRPr="00FC5D63">
        <w:rPr>
          <w:rStyle w:val="aff2"/>
        </w:rPr>
        <w:footnoteRef/>
      </w:r>
      <w:r w:rsidRPr="00FC5D63">
        <w:t xml:space="preserve"> В соответствии с приказами Минфина России сведения о купонном доходе по купонам выпусков ОФЗ-ПК публикуются на официальном сайте Минфина России в информационно-телекоммуникационной сети «Интернет» не позднее, чем за два рабочих дня до даты выплат по соответствующим купонам.</w:t>
      </w:r>
    </w:p>
  </w:footnote>
  <w:footnote w:id="50">
    <w:p w14:paraId="702573CE" w14:textId="77777777" w:rsidR="006061D8" w:rsidRDefault="006061D8" w:rsidP="002331ED">
      <w:pPr>
        <w:pStyle w:val="afd"/>
        <w:ind w:firstLine="709"/>
        <w:jc w:val="both"/>
      </w:pPr>
      <w:r>
        <w:rPr>
          <w:rStyle w:val="aff2"/>
        </w:rPr>
        <w:footnoteRef/>
      </w:r>
      <w:r>
        <w:t xml:space="preserve"> </w:t>
      </w:r>
      <w:r w:rsidRPr="00CF2A8E">
        <w:t xml:space="preserve">Прогнозный план (программа) приватизации федерального имущества и основные направления приватизации федерального имущества на </w:t>
      </w:r>
      <w:r w:rsidRPr="008C72D8">
        <w:t>2022–2024 годы (далее – Прогнозный план, Программа приватизации) разработаны в соответствии с Федеральным</w:t>
      </w:r>
      <w:r w:rsidRPr="00CF2A8E">
        <w:t xml:space="preserve"> законом от 21 декабря 2001 г. № 178-ФЗ «О</w:t>
      </w:r>
      <w:r>
        <w:t> </w:t>
      </w:r>
      <w:r w:rsidRPr="00CF2A8E">
        <w:t>приватизации государственного и муниципального имущества» с учетом основных задач социально-экономического развития Российской Федерации в среднесрочной и долгосрочной перспективах и утверждены распоряжением Правительства Российской Федерации от 31 декабря 2019 г</w:t>
      </w:r>
      <w:r>
        <w:t>.</w:t>
      </w:r>
      <w:r w:rsidRPr="00CF2A8E">
        <w:t xml:space="preserve"> № 3260-р (с изменениями).</w:t>
      </w:r>
    </w:p>
  </w:footnote>
  <w:footnote w:id="51">
    <w:p w14:paraId="67D88D4F" w14:textId="77777777" w:rsidR="006061D8" w:rsidRDefault="006061D8" w:rsidP="002331ED">
      <w:pPr>
        <w:pStyle w:val="afd"/>
        <w:ind w:firstLine="709"/>
        <w:jc w:val="both"/>
      </w:pPr>
      <w:r>
        <w:rPr>
          <w:rStyle w:val="aff2"/>
        </w:rPr>
        <w:footnoteRef/>
      </w:r>
      <w:r>
        <w:t xml:space="preserve"> </w:t>
      </w:r>
      <w:r w:rsidRPr="00F61F6D">
        <w:t xml:space="preserve">Справки от 12 января 2022 г. № 1-12-092/0003 </w:t>
      </w:r>
      <w:r>
        <w:t>в объеме</w:t>
      </w:r>
      <w:r w:rsidRPr="00F61F6D">
        <w:t xml:space="preserve"> 65,0 млрд. рублей</w:t>
      </w:r>
      <w:r>
        <w:t>,</w:t>
      </w:r>
      <w:r w:rsidRPr="00F61F6D">
        <w:t xml:space="preserve"> от 28 марта 2022 г.</w:t>
      </w:r>
      <w:r w:rsidRPr="00F61F6D">
        <w:br/>
        <w:t xml:space="preserve">№ </w:t>
      </w:r>
      <w:r w:rsidRPr="00F61F6D">
        <w:rPr>
          <w:rFonts w:ascii="Times New Roman CYR" w:hAnsi="Times New Roman CYR" w:cs="Times New Roman CYR"/>
          <w:color w:val="000000"/>
        </w:rPr>
        <w:t>1-12-092/010</w:t>
      </w:r>
      <w:r>
        <w:rPr>
          <w:rFonts w:ascii="Times New Roman CYR" w:hAnsi="Times New Roman CYR" w:cs="Times New Roman CYR"/>
          <w:color w:val="000000"/>
        </w:rPr>
        <w:t>0 в объеме 50,0 млрд. рублей, от 16 августа 2022 г. № 1-12-092/0333 в объеме 135,0 млрд. рублей.</w:t>
      </w:r>
    </w:p>
  </w:footnote>
  <w:footnote w:id="52">
    <w:p w14:paraId="79B20A0E" w14:textId="77777777" w:rsidR="006061D8" w:rsidRDefault="006061D8" w:rsidP="002331ED">
      <w:pPr>
        <w:pStyle w:val="afd"/>
        <w:ind w:firstLine="709"/>
        <w:jc w:val="both"/>
      </w:pPr>
      <w:r>
        <w:rPr>
          <w:rStyle w:val="aff2"/>
        </w:rPr>
        <w:footnoteRef/>
      </w:r>
      <w:r>
        <w:t xml:space="preserve"> Информация о бюджетных кредитах, привлеченных в бюджет субъекта Российской Федерации </w:t>
      </w:r>
      <w:r>
        <w:br/>
        <w:t xml:space="preserve">от других бюджетов бюджетной системы Российской </w:t>
      </w:r>
      <w:r w:rsidRPr="008C72D8">
        <w:t>Федерации.</w:t>
      </w:r>
    </w:p>
  </w:footnote>
  <w:footnote w:id="53">
    <w:p w14:paraId="3E38ACAD" w14:textId="77777777" w:rsidR="006061D8" w:rsidRDefault="006061D8" w:rsidP="002331ED">
      <w:pPr>
        <w:pStyle w:val="afd"/>
        <w:ind w:firstLine="709"/>
        <w:jc w:val="both"/>
      </w:pPr>
      <w:r w:rsidRPr="00EF2FDD">
        <w:rPr>
          <w:rStyle w:val="aff2"/>
        </w:rPr>
        <w:footnoteRef/>
      </w:r>
      <w:r>
        <w:t xml:space="preserve"> За исключением операций по покупке иностранной валюты в объеме дополнительных нефтегазовых доходов.</w:t>
      </w:r>
    </w:p>
  </w:footnote>
  <w:footnote w:id="54">
    <w:p w14:paraId="1F4550C7" w14:textId="77777777" w:rsidR="006061D8" w:rsidRDefault="006061D8" w:rsidP="002331ED">
      <w:pPr>
        <w:pStyle w:val="afd"/>
        <w:ind w:firstLine="709"/>
        <w:jc w:val="both"/>
      </w:pPr>
      <w:r>
        <w:rPr>
          <w:rStyle w:val="aff2"/>
        </w:rPr>
        <w:footnoteRef/>
      </w:r>
      <w:r>
        <w:t xml:space="preserve"> За исключением размещений, осуществленных на основании отдельных решений Правительства Российской </w:t>
      </w:r>
      <w:r w:rsidRPr="008C72D8">
        <w:t>Федерации в соответствии с Правилами размещения средств федерального бюджета, средств единого казначейского счета и резерва средств на осуществление обязательного социального страхования от несчастных случаев на производстве и профессиональных заболеваний на банковских депозитах, утвержденными постановлением</w:t>
      </w:r>
      <w:r>
        <w:t xml:space="preserve"> Правительства Российской Федерации </w:t>
      </w:r>
      <w:r w:rsidRPr="00DF0F6B">
        <w:t>24</w:t>
      </w:r>
      <w:r>
        <w:t xml:space="preserve"> декабря </w:t>
      </w:r>
      <w:r w:rsidRPr="00DF0F6B">
        <w:t xml:space="preserve">2011 </w:t>
      </w:r>
      <w:r>
        <w:t>г. №</w:t>
      </w:r>
      <w:r w:rsidRPr="00DF0F6B">
        <w:t xml:space="preserve"> 1121</w:t>
      </w:r>
    </w:p>
  </w:footnote>
  <w:footnote w:id="55">
    <w:p w14:paraId="4138934C" w14:textId="77777777" w:rsidR="006061D8" w:rsidRDefault="006061D8" w:rsidP="00721AA7">
      <w:pPr>
        <w:pStyle w:val="afd"/>
        <w:ind w:firstLine="426"/>
        <w:jc w:val="both"/>
      </w:pPr>
      <w:r>
        <w:rPr>
          <w:rStyle w:val="aff2"/>
        </w:rPr>
        <w:footnoteRef/>
      </w:r>
      <w:r>
        <w:t xml:space="preserve"> Письмо Минфина России в </w:t>
      </w:r>
      <w:r w:rsidRPr="008C72D8">
        <w:t>Счетную палату от 11 октября</w:t>
      </w:r>
      <w:r>
        <w:t xml:space="preserve"> 2022 г. № 16-04-05/98100.</w:t>
      </w:r>
    </w:p>
  </w:footnote>
  <w:footnote w:id="56">
    <w:p w14:paraId="32779C82" w14:textId="77777777" w:rsidR="006061D8" w:rsidRDefault="006061D8" w:rsidP="00F606CF">
      <w:pPr>
        <w:pStyle w:val="afd"/>
        <w:ind w:firstLine="709"/>
        <w:jc w:val="both"/>
      </w:pPr>
      <w:r>
        <w:rPr>
          <w:rStyle w:val="aff2"/>
        </w:rPr>
        <w:footnoteRef/>
      </w:r>
      <w:r>
        <w:t xml:space="preserve"> </w:t>
      </w:r>
      <w:r w:rsidRPr="00F61F6D">
        <w:t xml:space="preserve">Справки от </w:t>
      </w:r>
      <w:r>
        <w:t>1 августа</w:t>
      </w:r>
      <w:r w:rsidRPr="00F61F6D">
        <w:t xml:space="preserve"> 2022 г. № 1-12-092/0</w:t>
      </w:r>
      <w:r>
        <w:t>312</w:t>
      </w:r>
      <w:r>
        <w:rPr>
          <w:rFonts w:ascii="Times New Roman CYR" w:hAnsi="Times New Roman CYR" w:cs="Times New Roman CY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C1349" w14:textId="77777777" w:rsidR="006061D8" w:rsidRPr="00EE4B22" w:rsidRDefault="006061D8" w:rsidP="00EE4B22">
    <w:pPr>
      <w:pStyle w:val="ab"/>
      <w:spacing w:line="240" w:lineRule="auto"/>
      <w:rPr>
        <w:sz w:val="20"/>
        <w:szCs w:val="20"/>
      </w:rPr>
    </w:pPr>
    <w:r w:rsidRPr="00572E68">
      <w:rPr>
        <w:sz w:val="20"/>
        <w:szCs w:val="20"/>
      </w:rPr>
      <w:fldChar w:fldCharType="begin"/>
    </w:r>
    <w:r w:rsidRPr="00572E68">
      <w:rPr>
        <w:sz w:val="20"/>
        <w:szCs w:val="20"/>
      </w:rPr>
      <w:instrText>PAGE   \* MERGEFORMAT</w:instrText>
    </w:r>
    <w:r w:rsidRPr="00572E68">
      <w:rPr>
        <w:sz w:val="20"/>
        <w:szCs w:val="20"/>
      </w:rPr>
      <w:fldChar w:fldCharType="separate"/>
    </w:r>
    <w:r w:rsidR="00067491">
      <w:rPr>
        <w:noProof/>
        <w:sz w:val="20"/>
        <w:szCs w:val="20"/>
      </w:rPr>
      <w:t>198</w:t>
    </w:r>
    <w:r w:rsidRPr="00572E68">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102F2"/>
    <w:multiLevelType w:val="multilevel"/>
    <w:tmpl w:val="58D4181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5A53020"/>
    <w:multiLevelType w:val="hybridMultilevel"/>
    <w:tmpl w:val="0E2603E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CCF0AC6"/>
    <w:multiLevelType w:val="multilevel"/>
    <w:tmpl w:val="2AFA0F70"/>
    <w:lvl w:ilvl="0">
      <w:start w:val="3"/>
      <w:numFmt w:val="decimal"/>
      <w:lvlText w:val="%1."/>
      <w:lvlJc w:val="left"/>
      <w:pPr>
        <w:ind w:left="1288" w:hanging="360"/>
      </w:pPr>
      <w:rPr>
        <w:rFonts w:cs="Times New Roman" w:hint="default"/>
      </w:rPr>
    </w:lvl>
    <w:lvl w:ilvl="1">
      <w:start w:val="2"/>
      <w:numFmt w:val="decimal"/>
      <w:isLgl/>
      <w:lvlText w:val="%1.%2."/>
      <w:lvlJc w:val="left"/>
      <w:pPr>
        <w:ind w:left="1648" w:hanging="720"/>
      </w:pPr>
      <w:rPr>
        <w:rFonts w:hint="default"/>
      </w:rPr>
    </w:lvl>
    <w:lvl w:ilvl="2">
      <w:start w:val="1"/>
      <w:numFmt w:val="decimal"/>
      <w:isLgl/>
      <w:lvlText w:val="%1.%2.%3."/>
      <w:lvlJc w:val="left"/>
      <w:pPr>
        <w:ind w:left="1648" w:hanging="720"/>
      </w:pPr>
      <w:rPr>
        <w:rFonts w:hint="default"/>
      </w:rPr>
    </w:lvl>
    <w:lvl w:ilvl="3">
      <w:start w:val="3"/>
      <w:numFmt w:val="decimal"/>
      <w:isLgl/>
      <w:lvlText w:val="%1.%2.%3.%4."/>
      <w:lvlJc w:val="left"/>
      <w:pPr>
        <w:ind w:left="1648"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3" w15:restartNumberingAfterBreak="0">
    <w:nsid w:val="0D7D32C7"/>
    <w:multiLevelType w:val="hybridMultilevel"/>
    <w:tmpl w:val="8C0894B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15:restartNumberingAfterBreak="0">
    <w:nsid w:val="0DDD1297"/>
    <w:multiLevelType w:val="hybridMultilevel"/>
    <w:tmpl w:val="6D082622"/>
    <w:lvl w:ilvl="0" w:tplc="537E61C0">
      <w:start w:val="1"/>
      <w:numFmt w:val="decimal"/>
      <w:lvlText w:val="%1."/>
      <w:lvlJc w:val="left"/>
      <w:pPr>
        <w:ind w:left="1069" w:hanging="360"/>
      </w:pPr>
      <w:rPr>
        <w:rFonts w:cs="Times New Roman" w:hint="default"/>
        <w:u w:val="none"/>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116168B6"/>
    <w:multiLevelType w:val="hybridMultilevel"/>
    <w:tmpl w:val="7F5430F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3EA1F6E"/>
    <w:multiLevelType w:val="hybridMultilevel"/>
    <w:tmpl w:val="C3A8B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372B5B"/>
    <w:multiLevelType w:val="hybridMultilevel"/>
    <w:tmpl w:val="4C6E6CA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15:restartNumberingAfterBreak="0">
    <w:nsid w:val="15714E97"/>
    <w:multiLevelType w:val="hybridMultilevel"/>
    <w:tmpl w:val="E8967D86"/>
    <w:lvl w:ilvl="0" w:tplc="4634C91C">
      <w:start w:val="1"/>
      <w:numFmt w:val="decimal"/>
      <w:lvlText w:val="%1."/>
      <w:lvlJc w:val="left"/>
      <w:pPr>
        <w:ind w:left="76" w:hanging="360"/>
      </w:pPr>
      <w:rPr>
        <w:rFonts w:cs="Times New Roman" w:hint="default"/>
        <w:b/>
      </w:rPr>
    </w:lvl>
    <w:lvl w:ilvl="1" w:tplc="04190019">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9" w15:restartNumberingAfterBreak="0">
    <w:nsid w:val="1586688C"/>
    <w:multiLevelType w:val="hybridMultilevel"/>
    <w:tmpl w:val="45121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D27633"/>
    <w:multiLevelType w:val="hybridMultilevel"/>
    <w:tmpl w:val="9DEE44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80216D"/>
    <w:multiLevelType w:val="hybridMultilevel"/>
    <w:tmpl w:val="D85E2936"/>
    <w:lvl w:ilvl="0" w:tplc="FDA68B2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19643B2C"/>
    <w:multiLevelType w:val="hybridMultilevel"/>
    <w:tmpl w:val="B8A62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F16246"/>
    <w:multiLevelType w:val="hybridMultilevel"/>
    <w:tmpl w:val="D46A71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597964"/>
    <w:multiLevelType w:val="hybridMultilevel"/>
    <w:tmpl w:val="196477E4"/>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5" w15:restartNumberingAfterBreak="0">
    <w:nsid w:val="25277100"/>
    <w:multiLevelType w:val="hybridMultilevel"/>
    <w:tmpl w:val="25BCF3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2F516B4C"/>
    <w:multiLevelType w:val="hybridMultilevel"/>
    <w:tmpl w:val="F736659E"/>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7" w15:restartNumberingAfterBreak="0">
    <w:nsid w:val="3038028C"/>
    <w:multiLevelType w:val="hybridMultilevel"/>
    <w:tmpl w:val="E124BE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904CCB"/>
    <w:multiLevelType w:val="multilevel"/>
    <w:tmpl w:val="7B8ABE7E"/>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15:restartNumberingAfterBreak="0">
    <w:nsid w:val="31747611"/>
    <w:multiLevelType w:val="hybridMultilevel"/>
    <w:tmpl w:val="6E02D840"/>
    <w:lvl w:ilvl="0" w:tplc="04190001">
      <w:start w:val="1"/>
      <w:numFmt w:val="bullet"/>
      <w:lvlText w:val=""/>
      <w:lvlJc w:val="left"/>
      <w:pPr>
        <w:ind w:left="360" w:hanging="360"/>
      </w:pPr>
      <w:rPr>
        <w:rFonts w:ascii="Symbol" w:hAnsi="Symbol" w:hint="default"/>
        <w:b/>
        <w:color w:val="auto"/>
        <w:sz w:val="24"/>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42C4BE1"/>
    <w:multiLevelType w:val="hybridMultilevel"/>
    <w:tmpl w:val="906630F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15:restartNumberingAfterBreak="0">
    <w:nsid w:val="3A3713B9"/>
    <w:multiLevelType w:val="multilevel"/>
    <w:tmpl w:val="697640B6"/>
    <w:lvl w:ilvl="0">
      <w:start w:val="3"/>
      <w:numFmt w:val="decimal"/>
      <w:lvlText w:val="%1."/>
      <w:lvlJc w:val="left"/>
      <w:pPr>
        <w:ind w:left="360" w:hanging="360"/>
      </w:pPr>
      <w:rPr>
        <w:rFonts w:hint="default"/>
      </w:rPr>
    </w:lvl>
    <w:lvl w:ilvl="1">
      <w:start w:val="6"/>
      <w:numFmt w:val="decimal"/>
      <w:lvlText w:val="%1.%2."/>
      <w:lvlJc w:val="left"/>
      <w:pPr>
        <w:ind w:left="1288" w:hanging="360"/>
      </w:pPr>
      <w:rPr>
        <w:rFonts w:hint="default"/>
        <w:b/>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2" w15:restartNumberingAfterBreak="0">
    <w:nsid w:val="3B9B576E"/>
    <w:multiLevelType w:val="hybridMultilevel"/>
    <w:tmpl w:val="88EAFEB0"/>
    <w:lvl w:ilvl="0" w:tplc="4E5A3CD0">
      <w:start w:val="1"/>
      <w:numFmt w:val="decimal"/>
      <w:lvlText w:val="%1."/>
      <w:lvlJc w:val="left"/>
      <w:pPr>
        <w:ind w:left="360" w:hanging="360"/>
      </w:pPr>
      <w:rPr>
        <w:rFonts w:ascii="Times New Roman" w:hAnsi="Times New Roman" w:cs="Times New Roman" w:hint="default"/>
        <w:b/>
        <w:color w:val="auto"/>
        <w:sz w:val="24"/>
        <w:szCs w:val="24"/>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16D244F"/>
    <w:multiLevelType w:val="hybridMultilevel"/>
    <w:tmpl w:val="528C48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4979676C"/>
    <w:multiLevelType w:val="hybridMultilevel"/>
    <w:tmpl w:val="CBB8024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 w15:restartNumberingAfterBreak="0">
    <w:nsid w:val="4A83527F"/>
    <w:multiLevelType w:val="hybridMultilevel"/>
    <w:tmpl w:val="10282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F830E56"/>
    <w:multiLevelType w:val="hybridMultilevel"/>
    <w:tmpl w:val="AB6E1910"/>
    <w:lvl w:ilvl="0" w:tplc="04190001">
      <w:start w:val="1"/>
      <w:numFmt w:val="bullet"/>
      <w:lvlText w:val=""/>
      <w:lvlJc w:val="left"/>
      <w:pPr>
        <w:ind w:left="499" w:hanging="360"/>
      </w:pPr>
      <w:rPr>
        <w:rFonts w:ascii="Symbol" w:hAnsi="Symbol" w:hint="default"/>
      </w:rPr>
    </w:lvl>
    <w:lvl w:ilvl="1" w:tplc="04190003" w:tentative="1">
      <w:start w:val="1"/>
      <w:numFmt w:val="bullet"/>
      <w:lvlText w:val="o"/>
      <w:lvlJc w:val="left"/>
      <w:pPr>
        <w:ind w:left="1219" w:hanging="360"/>
      </w:pPr>
      <w:rPr>
        <w:rFonts w:ascii="Courier New" w:hAnsi="Courier New" w:cs="Courier New" w:hint="default"/>
      </w:rPr>
    </w:lvl>
    <w:lvl w:ilvl="2" w:tplc="04190005" w:tentative="1">
      <w:start w:val="1"/>
      <w:numFmt w:val="bullet"/>
      <w:lvlText w:val=""/>
      <w:lvlJc w:val="left"/>
      <w:pPr>
        <w:ind w:left="1939" w:hanging="360"/>
      </w:pPr>
      <w:rPr>
        <w:rFonts w:ascii="Wingdings" w:hAnsi="Wingdings" w:hint="default"/>
      </w:rPr>
    </w:lvl>
    <w:lvl w:ilvl="3" w:tplc="04190001" w:tentative="1">
      <w:start w:val="1"/>
      <w:numFmt w:val="bullet"/>
      <w:lvlText w:val=""/>
      <w:lvlJc w:val="left"/>
      <w:pPr>
        <w:ind w:left="2659" w:hanging="360"/>
      </w:pPr>
      <w:rPr>
        <w:rFonts w:ascii="Symbol" w:hAnsi="Symbol" w:hint="default"/>
      </w:rPr>
    </w:lvl>
    <w:lvl w:ilvl="4" w:tplc="04190003" w:tentative="1">
      <w:start w:val="1"/>
      <w:numFmt w:val="bullet"/>
      <w:lvlText w:val="o"/>
      <w:lvlJc w:val="left"/>
      <w:pPr>
        <w:ind w:left="3379" w:hanging="360"/>
      </w:pPr>
      <w:rPr>
        <w:rFonts w:ascii="Courier New" w:hAnsi="Courier New" w:cs="Courier New" w:hint="default"/>
      </w:rPr>
    </w:lvl>
    <w:lvl w:ilvl="5" w:tplc="04190005" w:tentative="1">
      <w:start w:val="1"/>
      <w:numFmt w:val="bullet"/>
      <w:lvlText w:val=""/>
      <w:lvlJc w:val="left"/>
      <w:pPr>
        <w:ind w:left="4099" w:hanging="360"/>
      </w:pPr>
      <w:rPr>
        <w:rFonts w:ascii="Wingdings" w:hAnsi="Wingdings" w:hint="default"/>
      </w:rPr>
    </w:lvl>
    <w:lvl w:ilvl="6" w:tplc="04190001" w:tentative="1">
      <w:start w:val="1"/>
      <w:numFmt w:val="bullet"/>
      <w:lvlText w:val=""/>
      <w:lvlJc w:val="left"/>
      <w:pPr>
        <w:ind w:left="4819" w:hanging="360"/>
      </w:pPr>
      <w:rPr>
        <w:rFonts w:ascii="Symbol" w:hAnsi="Symbol" w:hint="default"/>
      </w:rPr>
    </w:lvl>
    <w:lvl w:ilvl="7" w:tplc="04190003" w:tentative="1">
      <w:start w:val="1"/>
      <w:numFmt w:val="bullet"/>
      <w:lvlText w:val="o"/>
      <w:lvlJc w:val="left"/>
      <w:pPr>
        <w:ind w:left="5539" w:hanging="360"/>
      </w:pPr>
      <w:rPr>
        <w:rFonts w:ascii="Courier New" w:hAnsi="Courier New" w:cs="Courier New" w:hint="default"/>
      </w:rPr>
    </w:lvl>
    <w:lvl w:ilvl="8" w:tplc="04190005" w:tentative="1">
      <w:start w:val="1"/>
      <w:numFmt w:val="bullet"/>
      <w:lvlText w:val=""/>
      <w:lvlJc w:val="left"/>
      <w:pPr>
        <w:ind w:left="6259" w:hanging="360"/>
      </w:pPr>
      <w:rPr>
        <w:rFonts w:ascii="Wingdings" w:hAnsi="Wingdings" w:hint="default"/>
      </w:rPr>
    </w:lvl>
  </w:abstractNum>
  <w:abstractNum w:abstractNumId="27" w15:restartNumberingAfterBreak="0">
    <w:nsid w:val="512C5112"/>
    <w:multiLevelType w:val="hybridMultilevel"/>
    <w:tmpl w:val="D6FC2146"/>
    <w:lvl w:ilvl="0" w:tplc="CA2A5C8E">
      <w:start w:val="1"/>
      <w:numFmt w:val="bullet"/>
      <w:lvlText w:val=""/>
      <w:lvlJc w:val="left"/>
      <w:pPr>
        <w:ind w:left="1429" w:hanging="360"/>
      </w:pPr>
      <w:rPr>
        <w:rFonts w:ascii="Wingdings" w:hAnsi="Wingdings" w:hint="default"/>
        <w:b/>
        <w:sz w:val="32"/>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3A3347"/>
    <w:multiLevelType w:val="hybridMultilevel"/>
    <w:tmpl w:val="E8967D86"/>
    <w:lvl w:ilvl="0" w:tplc="4634C91C">
      <w:start w:val="1"/>
      <w:numFmt w:val="decimal"/>
      <w:lvlText w:val="%1."/>
      <w:lvlJc w:val="left"/>
      <w:pPr>
        <w:ind w:left="76" w:hanging="360"/>
      </w:pPr>
      <w:rPr>
        <w:rFonts w:cs="Times New Roman" w:hint="default"/>
        <w:b/>
      </w:rPr>
    </w:lvl>
    <w:lvl w:ilvl="1" w:tplc="04190019">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9" w15:restartNumberingAfterBreak="0">
    <w:nsid w:val="5893474D"/>
    <w:multiLevelType w:val="hybridMultilevel"/>
    <w:tmpl w:val="E8967D86"/>
    <w:lvl w:ilvl="0" w:tplc="4634C91C">
      <w:start w:val="1"/>
      <w:numFmt w:val="decimal"/>
      <w:lvlText w:val="%1."/>
      <w:lvlJc w:val="left"/>
      <w:pPr>
        <w:ind w:left="1211" w:hanging="360"/>
      </w:pPr>
      <w:rPr>
        <w:rFonts w:cs="Times New Roman" w:hint="default"/>
        <w:b/>
      </w:rPr>
    </w:lvl>
    <w:lvl w:ilvl="1" w:tplc="04190019">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30" w15:restartNumberingAfterBreak="0">
    <w:nsid w:val="5DDF031A"/>
    <w:multiLevelType w:val="hybridMultilevel"/>
    <w:tmpl w:val="56BCB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DFF5BD3"/>
    <w:multiLevelType w:val="hybridMultilevel"/>
    <w:tmpl w:val="DCD43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4A6B4C"/>
    <w:multiLevelType w:val="hybridMultilevel"/>
    <w:tmpl w:val="96027924"/>
    <w:lvl w:ilvl="0" w:tplc="653E5792">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28608EC"/>
    <w:multiLevelType w:val="hybridMultilevel"/>
    <w:tmpl w:val="05BC588A"/>
    <w:lvl w:ilvl="0" w:tplc="483ECD36">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6A20232A"/>
    <w:multiLevelType w:val="hybridMultilevel"/>
    <w:tmpl w:val="68A86998"/>
    <w:lvl w:ilvl="0" w:tplc="B3DA6230">
      <w:start w:val="3"/>
      <w:numFmt w:val="decimal"/>
      <w:lvlText w:val="%1."/>
      <w:lvlJc w:val="left"/>
      <w:pPr>
        <w:ind w:left="1288" w:hanging="360"/>
      </w:pPr>
      <w:rPr>
        <w:rFonts w:cs="Times New Roman" w:hint="default"/>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35" w15:restartNumberingAfterBreak="0">
    <w:nsid w:val="6D3967E3"/>
    <w:multiLevelType w:val="hybridMultilevel"/>
    <w:tmpl w:val="DCA89A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A9267E"/>
    <w:multiLevelType w:val="hybridMultilevel"/>
    <w:tmpl w:val="DD187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38B5C81"/>
    <w:multiLevelType w:val="hybridMultilevel"/>
    <w:tmpl w:val="3D566936"/>
    <w:lvl w:ilvl="0" w:tplc="72165716">
      <w:start w:val="1"/>
      <w:numFmt w:val="decimal"/>
      <w:lvlText w:val="%1)"/>
      <w:lvlJc w:val="left"/>
      <w:pPr>
        <w:ind w:left="1249" w:hanging="5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15:restartNumberingAfterBreak="0">
    <w:nsid w:val="7531232B"/>
    <w:multiLevelType w:val="hybridMultilevel"/>
    <w:tmpl w:val="931639D2"/>
    <w:lvl w:ilvl="0" w:tplc="9E128E8E">
      <w:start w:val="1"/>
      <w:numFmt w:val="decimal"/>
      <w:lvlText w:val="(%1)"/>
      <w:lvlJc w:val="left"/>
      <w:pPr>
        <w:ind w:left="1069" w:hanging="360"/>
      </w:pPr>
      <w:rPr>
        <w:rFonts w:cs="Times New Roman" w:hint="default"/>
        <w:vertAlign w:val="superscrip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15:restartNumberingAfterBreak="0">
    <w:nsid w:val="7AE7521C"/>
    <w:multiLevelType w:val="hybridMultilevel"/>
    <w:tmpl w:val="8BDC1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39"/>
  </w:num>
  <w:num w:numId="3">
    <w:abstractNumId w:val="17"/>
  </w:num>
  <w:num w:numId="4">
    <w:abstractNumId w:val="30"/>
  </w:num>
  <w:num w:numId="5">
    <w:abstractNumId w:val="13"/>
  </w:num>
  <w:num w:numId="6">
    <w:abstractNumId w:val="25"/>
  </w:num>
  <w:num w:numId="7">
    <w:abstractNumId w:val="36"/>
  </w:num>
  <w:num w:numId="8">
    <w:abstractNumId w:val="7"/>
  </w:num>
  <w:num w:numId="9">
    <w:abstractNumId w:val="6"/>
  </w:num>
  <w:num w:numId="10">
    <w:abstractNumId w:val="3"/>
  </w:num>
  <w:num w:numId="11">
    <w:abstractNumId w:val="14"/>
  </w:num>
  <w:num w:numId="12">
    <w:abstractNumId w:val="26"/>
  </w:num>
  <w:num w:numId="13">
    <w:abstractNumId w:val="12"/>
  </w:num>
  <w:num w:numId="14">
    <w:abstractNumId w:val="9"/>
  </w:num>
  <w:num w:numId="15">
    <w:abstractNumId w:val="16"/>
  </w:num>
  <w:num w:numId="16">
    <w:abstractNumId w:val="10"/>
  </w:num>
  <w:num w:numId="17">
    <w:abstractNumId w:val="35"/>
  </w:num>
  <w:num w:numId="18">
    <w:abstractNumId w:val="22"/>
  </w:num>
  <w:num w:numId="19">
    <w:abstractNumId w:val="27"/>
  </w:num>
  <w:num w:numId="20">
    <w:abstractNumId w:val="19"/>
  </w:num>
  <w:num w:numId="21">
    <w:abstractNumId w:val="20"/>
  </w:num>
  <w:num w:numId="22">
    <w:abstractNumId w:val="23"/>
  </w:num>
  <w:num w:numId="23">
    <w:abstractNumId w:val="24"/>
  </w:num>
  <w:num w:numId="24">
    <w:abstractNumId w:val="38"/>
  </w:num>
  <w:num w:numId="25">
    <w:abstractNumId w:val="29"/>
  </w:num>
  <w:num w:numId="26">
    <w:abstractNumId w:val="33"/>
  </w:num>
  <w:num w:numId="27">
    <w:abstractNumId w:val="37"/>
  </w:num>
  <w:num w:numId="28">
    <w:abstractNumId w:val="31"/>
  </w:num>
  <w:num w:numId="29">
    <w:abstractNumId w:val="8"/>
  </w:num>
  <w:num w:numId="30">
    <w:abstractNumId w:val="4"/>
  </w:num>
  <w:num w:numId="31">
    <w:abstractNumId w:val="28"/>
  </w:num>
  <w:num w:numId="32">
    <w:abstractNumId w:val="1"/>
  </w:num>
  <w:num w:numId="33">
    <w:abstractNumId w:val="34"/>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5"/>
  </w:num>
  <w:num w:numId="37">
    <w:abstractNumId w:val="0"/>
  </w:num>
  <w:num w:numId="38">
    <w:abstractNumId w:val="5"/>
  </w:num>
  <w:num w:numId="39">
    <w:abstractNumId w:val="18"/>
  </w:num>
  <w:num w:numId="40">
    <w:abstractNumId w:val="21"/>
  </w:num>
  <w:num w:numId="4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36B4"/>
    <w:rsid w:val="0000041C"/>
    <w:rsid w:val="000005F9"/>
    <w:rsid w:val="00000628"/>
    <w:rsid w:val="00000727"/>
    <w:rsid w:val="000008A2"/>
    <w:rsid w:val="00000F19"/>
    <w:rsid w:val="00000F57"/>
    <w:rsid w:val="0000108C"/>
    <w:rsid w:val="000012C7"/>
    <w:rsid w:val="00001422"/>
    <w:rsid w:val="00001536"/>
    <w:rsid w:val="00001BDA"/>
    <w:rsid w:val="000023CB"/>
    <w:rsid w:val="0000244E"/>
    <w:rsid w:val="0000262B"/>
    <w:rsid w:val="00002A70"/>
    <w:rsid w:val="00002AB4"/>
    <w:rsid w:val="00002E2E"/>
    <w:rsid w:val="000033CF"/>
    <w:rsid w:val="000033D4"/>
    <w:rsid w:val="00003827"/>
    <w:rsid w:val="00003834"/>
    <w:rsid w:val="000038CE"/>
    <w:rsid w:val="000039A5"/>
    <w:rsid w:val="000041C7"/>
    <w:rsid w:val="000044B2"/>
    <w:rsid w:val="00004602"/>
    <w:rsid w:val="000046FE"/>
    <w:rsid w:val="000048DC"/>
    <w:rsid w:val="00004F43"/>
    <w:rsid w:val="00004F6E"/>
    <w:rsid w:val="000051CE"/>
    <w:rsid w:val="00005242"/>
    <w:rsid w:val="000058AC"/>
    <w:rsid w:val="00005D51"/>
    <w:rsid w:val="00005E43"/>
    <w:rsid w:val="00005ED4"/>
    <w:rsid w:val="00006200"/>
    <w:rsid w:val="000062B6"/>
    <w:rsid w:val="00006388"/>
    <w:rsid w:val="00006550"/>
    <w:rsid w:val="00006658"/>
    <w:rsid w:val="00006824"/>
    <w:rsid w:val="00006971"/>
    <w:rsid w:val="00006B9E"/>
    <w:rsid w:val="00006C72"/>
    <w:rsid w:val="00006E22"/>
    <w:rsid w:val="000076E2"/>
    <w:rsid w:val="00007959"/>
    <w:rsid w:val="00007A96"/>
    <w:rsid w:val="00007E1D"/>
    <w:rsid w:val="00010338"/>
    <w:rsid w:val="00010538"/>
    <w:rsid w:val="00010993"/>
    <w:rsid w:val="00010B1C"/>
    <w:rsid w:val="00010DCA"/>
    <w:rsid w:val="00010F1C"/>
    <w:rsid w:val="0001105E"/>
    <w:rsid w:val="0001128D"/>
    <w:rsid w:val="00011CF3"/>
    <w:rsid w:val="00011F61"/>
    <w:rsid w:val="00011FBE"/>
    <w:rsid w:val="0001203F"/>
    <w:rsid w:val="000121CD"/>
    <w:rsid w:val="000122E8"/>
    <w:rsid w:val="000123B2"/>
    <w:rsid w:val="0001242E"/>
    <w:rsid w:val="0001247E"/>
    <w:rsid w:val="0001271D"/>
    <w:rsid w:val="0001291E"/>
    <w:rsid w:val="00012ADB"/>
    <w:rsid w:val="00012ED2"/>
    <w:rsid w:val="000130D5"/>
    <w:rsid w:val="0001317C"/>
    <w:rsid w:val="00013B09"/>
    <w:rsid w:val="00013DD3"/>
    <w:rsid w:val="0001400F"/>
    <w:rsid w:val="000140A3"/>
    <w:rsid w:val="000145A7"/>
    <w:rsid w:val="000146CF"/>
    <w:rsid w:val="000147B1"/>
    <w:rsid w:val="00014809"/>
    <w:rsid w:val="00014912"/>
    <w:rsid w:val="00014A9A"/>
    <w:rsid w:val="00014AB9"/>
    <w:rsid w:val="00014F89"/>
    <w:rsid w:val="000150AF"/>
    <w:rsid w:val="00015162"/>
    <w:rsid w:val="000152C2"/>
    <w:rsid w:val="000154D3"/>
    <w:rsid w:val="00015B04"/>
    <w:rsid w:val="00016276"/>
    <w:rsid w:val="000166B6"/>
    <w:rsid w:val="00016926"/>
    <w:rsid w:val="00016C05"/>
    <w:rsid w:val="00016F89"/>
    <w:rsid w:val="00017057"/>
    <w:rsid w:val="0001741F"/>
    <w:rsid w:val="00017967"/>
    <w:rsid w:val="000179CB"/>
    <w:rsid w:val="00017A84"/>
    <w:rsid w:val="00017B66"/>
    <w:rsid w:val="00017F3F"/>
    <w:rsid w:val="00020115"/>
    <w:rsid w:val="00020269"/>
    <w:rsid w:val="0002029C"/>
    <w:rsid w:val="0002083C"/>
    <w:rsid w:val="0002096F"/>
    <w:rsid w:val="00020B2C"/>
    <w:rsid w:val="0002122F"/>
    <w:rsid w:val="0002130B"/>
    <w:rsid w:val="00021604"/>
    <w:rsid w:val="0002161C"/>
    <w:rsid w:val="00021692"/>
    <w:rsid w:val="0002169F"/>
    <w:rsid w:val="0002175E"/>
    <w:rsid w:val="000217C1"/>
    <w:rsid w:val="000217E1"/>
    <w:rsid w:val="00021A49"/>
    <w:rsid w:val="00021ABD"/>
    <w:rsid w:val="00021B91"/>
    <w:rsid w:val="00021E24"/>
    <w:rsid w:val="00021F61"/>
    <w:rsid w:val="00021F67"/>
    <w:rsid w:val="0002208C"/>
    <w:rsid w:val="000224E8"/>
    <w:rsid w:val="00022652"/>
    <w:rsid w:val="0002270F"/>
    <w:rsid w:val="00022B69"/>
    <w:rsid w:val="00022EAB"/>
    <w:rsid w:val="00023015"/>
    <w:rsid w:val="00023119"/>
    <w:rsid w:val="00023471"/>
    <w:rsid w:val="00023696"/>
    <w:rsid w:val="00023835"/>
    <w:rsid w:val="0002386A"/>
    <w:rsid w:val="00023F53"/>
    <w:rsid w:val="00024141"/>
    <w:rsid w:val="0002417C"/>
    <w:rsid w:val="000243CA"/>
    <w:rsid w:val="000243D3"/>
    <w:rsid w:val="00024660"/>
    <w:rsid w:val="000246CA"/>
    <w:rsid w:val="000246DE"/>
    <w:rsid w:val="000249E0"/>
    <w:rsid w:val="000249FA"/>
    <w:rsid w:val="00024B4F"/>
    <w:rsid w:val="00024CAD"/>
    <w:rsid w:val="00024F4C"/>
    <w:rsid w:val="00024FAA"/>
    <w:rsid w:val="00024FB4"/>
    <w:rsid w:val="00025361"/>
    <w:rsid w:val="00025380"/>
    <w:rsid w:val="000255BD"/>
    <w:rsid w:val="000259E1"/>
    <w:rsid w:val="00025D5A"/>
    <w:rsid w:val="00026192"/>
    <w:rsid w:val="000262DD"/>
    <w:rsid w:val="000263AC"/>
    <w:rsid w:val="000265E8"/>
    <w:rsid w:val="00026614"/>
    <w:rsid w:val="00026CC7"/>
    <w:rsid w:val="00026E13"/>
    <w:rsid w:val="00026E31"/>
    <w:rsid w:val="00026E42"/>
    <w:rsid w:val="00026F12"/>
    <w:rsid w:val="00026FBF"/>
    <w:rsid w:val="00027047"/>
    <w:rsid w:val="00027211"/>
    <w:rsid w:val="000274AF"/>
    <w:rsid w:val="00027583"/>
    <w:rsid w:val="000275BB"/>
    <w:rsid w:val="00027933"/>
    <w:rsid w:val="000279AE"/>
    <w:rsid w:val="00027CED"/>
    <w:rsid w:val="00027D59"/>
    <w:rsid w:val="00027DC4"/>
    <w:rsid w:val="000302A9"/>
    <w:rsid w:val="0003052B"/>
    <w:rsid w:val="00030A18"/>
    <w:rsid w:val="00030B22"/>
    <w:rsid w:val="00030D9E"/>
    <w:rsid w:val="00031299"/>
    <w:rsid w:val="00031519"/>
    <w:rsid w:val="00031864"/>
    <w:rsid w:val="00031C0B"/>
    <w:rsid w:val="00031C21"/>
    <w:rsid w:val="00031DED"/>
    <w:rsid w:val="00031FDA"/>
    <w:rsid w:val="000320DB"/>
    <w:rsid w:val="000323BC"/>
    <w:rsid w:val="000327B3"/>
    <w:rsid w:val="00032888"/>
    <w:rsid w:val="00032932"/>
    <w:rsid w:val="00032B4F"/>
    <w:rsid w:val="00032E2E"/>
    <w:rsid w:val="00032EBB"/>
    <w:rsid w:val="00032FAF"/>
    <w:rsid w:val="00033010"/>
    <w:rsid w:val="00033485"/>
    <w:rsid w:val="00033857"/>
    <w:rsid w:val="000338B4"/>
    <w:rsid w:val="000338F8"/>
    <w:rsid w:val="00033B68"/>
    <w:rsid w:val="00033BDA"/>
    <w:rsid w:val="0003428E"/>
    <w:rsid w:val="00034430"/>
    <w:rsid w:val="00034836"/>
    <w:rsid w:val="00034C93"/>
    <w:rsid w:val="00034F8B"/>
    <w:rsid w:val="00035000"/>
    <w:rsid w:val="00035106"/>
    <w:rsid w:val="00035163"/>
    <w:rsid w:val="00035170"/>
    <w:rsid w:val="0003525D"/>
    <w:rsid w:val="00035746"/>
    <w:rsid w:val="00035CC6"/>
    <w:rsid w:val="00035EFB"/>
    <w:rsid w:val="0003611A"/>
    <w:rsid w:val="00036210"/>
    <w:rsid w:val="00036304"/>
    <w:rsid w:val="000365BC"/>
    <w:rsid w:val="000366D0"/>
    <w:rsid w:val="00036726"/>
    <w:rsid w:val="00036955"/>
    <w:rsid w:val="000369A4"/>
    <w:rsid w:val="000369D9"/>
    <w:rsid w:val="00036A65"/>
    <w:rsid w:val="000371D9"/>
    <w:rsid w:val="00037654"/>
    <w:rsid w:val="000377D5"/>
    <w:rsid w:val="000378B1"/>
    <w:rsid w:val="00037966"/>
    <w:rsid w:val="000379AA"/>
    <w:rsid w:val="00037C0C"/>
    <w:rsid w:val="00037CD3"/>
    <w:rsid w:val="00037DF5"/>
    <w:rsid w:val="00037EC4"/>
    <w:rsid w:val="000402A0"/>
    <w:rsid w:val="000402B5"/>
    <w:rsid w:val="0004066E"/>
    <w:rsid w:val="000408FB"/>
    <w:rsid w:val="000409A1"/>
    <w:rsid w:val="000416E0"/>
    <w:rsid w:val="00041980"/>
    <w:rsid w:val="00041B27"/>
    <w:rsid w:val="000422B5"/>
    <w:rsid w:val="000425B1"/>
    <w:rsid w:val="00042BB7"/>
    <w:rsid w:val="00042F26"/>
    <w:rsid w:val="00042FCC"/>
    <w:rsid w:val="0004319C"/>
    <w:rsid w:val="00043330"/>
    <w:rsid w:val="00043413"/>
    <w:rsid w:val="0004350A"/>
    <w:rsid w:val="00043A4A"/>
    <w:rsid w:val="00043C3F"/>
    <w:rsid w:val="00043EF6"/>
    <w:rsid w:val="00044183"/>
    <w:rsid w:val="00044190"/>
    <w:rsid w:val="0004426F"/>
    <w:rsid w:val="00044379"/>
    <w:rsid w:val="00044504"/>
    <w:rsid w:val="00044636"/>
    <w:rsid w:val="00044784"/>
    <w:rsid w:val="00044867"/>
    <w:rsid w:val="00044904"/>
    <w:rsid w:val="00044B32"/>
    <w:rsid w:val="00044B78"/>
    <w:rsid w:val="00044DE2"/>
    <w:rsid w:val="00044E04"/>
    <w:rsid w:val="00044ECF"/>
    <w:rsid w:val="000452C4"/>
    <w:rsid w:val="00045398"/>
    <w:rsid w:val="000453EE"/>
    <w:rsid w:val="00045690"/>
    <w:rsid w:val="00045694"/>
    <w:rsid w:val="000456E1"/>
    <w:rsid w:val="00045709"/>
    <w:rsid w:val="00045A76"/>
    <w:rsid w:val="00045AB4"/>
    <w:rsid w:val="00045B11"/>
    <w:rsid w:val="00045B5F"/>
    <w:rsid w:val="00045C49"/>
    <w:rsid w:val="00045D2B"/>
    <w:rsid w:val="000460FB"/>
    <w:rsid w:val="00046333"/>
    <w:rsid w:val="00046547"/>
    <w:rsid w:val="0004687A"/>
    <w:rsid w:val="00046918"/>
    <w:rsid w:val="00046B0F"/>
    <w:rsid w:val="00046BB2"/>
    <w:rsid w:val="00046EAE"/>
    <w:rsid w:val="00046F6F"/>
    <w:rsid w:val="00046FED"/>
    <w:rsid w:val="000473FB"/>
    <w:rsid w:val="0004752B"/>
    <w:rsid w:val="00047D41"/>
    <w:rsid w:val="00047D83"/>
    <w:rsid w:val="00051120"/>
    <w:rsid w:val="00051566"/>
    <w:rsid w:val="000515E2"/>
    <w:rsid w:val="000516B0"/>
    <w:rsid w:val="00051AE4"/>
    <w:rsid w:val="00051F2C"/>
    <w:rsid w:val="00051F3B"/>
    <w:rsid w:val="00052033"/>
    <w:rsid w:val="00052251"/>
    <w:rsid w:val="00052537"/>
    <w:rsid w:val="00052757"/>
    <w:rsid w:val="00052950"/>
    <w:rsid w:val="0005382D"/>
    <w:rsid w:val="00053933"/>
    <w:rsid w:val="00053ACA"/>
    <w:rsid w:val="00053C15"/>
    <w:rsid w:val="00053C88"/>
    <w:rsid w:val="00053E55"/>
    <w:rsid w:val="00053F50"/>
    <w:rsid w:val="000540E1"/>
    <w:rsid w:val="00054271"/>
    <w:rsid w:val="000543B0"/>
    <w:rsid w:val="0005445D"/>
    <w:rsid w:val="0005481F"/>
    <w:rsid w:val="00054839"/>
    <w:rsid w:val="00054AB2"/>
    <w:rsid w:val="00054B4C"/>
    <w:rsid w:val="00054C5D"/>
    <w:rsid w:val="00054D6D"/>
    <w:rsid w:val="00054D84"/>
    <w:rsid w:val="00054E81"/>
    <w:rsid w:val="00054FC5"/>
    <w:rsid w:val="0005542D"/>
    <w:rsid w:val="0005557B"/>
    <w:rsid w:val="00055891"/>
    <w:rsid w:val="000559D4"/>
    <w:rsid w:val="00055AA1"/>
    <w:rsid w:val="00055E0E"/>
    <w:rsid w:val="00055E55"/>
    <w:rsid w:val="00055EB9"/>
    <w:rsid w:val="00055EF9"/>
    <w:rsid w:val="00056059"/>
    <w:rsid w:val="0005626D"/>
    <w:rsid w:val="00056456"/>
    <w:rsid w:val="0005662B"/>
    <w:rsid w:val="00056668"/>
    <w:rsid w:val="00056886"/>
    <w:rsid w:val="000568DB"/>
    <w:rsid w:val="000569E4"/>
    <w:rsid w:val="00056A19"/>
    <w:rsid w:val="00056F26"/>
    <w:rsid w:val="00057007"/>
    <w:rsid w:val="0005701B"/>
    <w:rsid w:val="0005707E"/>
    <w:rsid w:val="000572D7"/>
    <w:rsid w:val="0005735F"/>
    <w:rsid w:val="000574DF"/>
    <w:rsid w:val="00057658"/>
    <w:rsid w:val="00057667"/>
    <w:rsid w:val="00057699"/>
    <w:rsid w:val="00057824"/>
    <w:rsid w:val="00057949"/>
    <w:rsid w:val="00057A23"/>
    <w:rsid w:val="00057BF7"/>
    <w:rsid w:val="00057D84"/>
    <w:rsid w:val="00057F43"/>
    <w:rsid w:val="0006010E"/>
    <w:rsid w:val="000601B8"/>
    <w:rsid w:val="000601BD"/>
    <w:rsid w:val="000602DC"/>
    <w:rsid w:val="0006043B"/>
    <w:rsid w:val="000604F6"/>
    <w:rsid w:val="00060512"/>
    <w:rsid w:val="00060616"/>
    <w:rsid w:val="00060674"/>
    <w:rsid w:val="00060818"/>
    <w:rsid w:val="000608CB"/>
    <w:rsid w:val="00060BC9"/>
    <w:rsid w:val="00060C07"/>
    <w:rsid w:val="00060D08"/>
    <w:rsid w:val="00060D4E"/>
    <w:rsid w:val="00060F47"/>
    <w:rsid w:val="0006114F"/>
    <w:rsid w:val="000613C0"/>
    <w:rsid w:val="00061628"/>
    <w:rsid w:val="00061A1D"/>
    <w:rsid w:val="00061B83"/>
    <w:rsid w:val="00061DDD"/>
    <w:rsid w:val="00061FC3"/>
    <w:rsid w:val="00062417"/>
    <w:rsid w:val="000626F5"/>
    <w:rsid w:val="000627F0"/>
    <w:rsid w:val="0006288F"/>
    <w:rsid w:val="000629FB"/>
    <w:rsid w:val="00062DF6"/>
    <w:rsid w:val="0006303C"/>
    <w:rsid w:val="0006338F"/>
    <w:rsid w:val="00063625"/>
    <w:rsid w:val="00063CA1"/>
    <w:rsid w:val="00063FF9"/>
    <w:rsid w:val="000640B9"/>
    <w:rsid w:val="00064251"/>
    <w:rsid w:val="000646FE"/>
    <w:rsid w:val="00064B7E"/>
    <w:rsid w:val="00064C59"/>
    <w:rsid w:val="00064F33"/>
    <w:rsid w:val="00065285"/>
    <w:rsid w:val="000653F6"/>
    <w:rsid w:val="00065649"/>
    <w:rsid w:val="00065650"/>
    <w:rsid w:val="00065765"/>
    <w:rsid w:val="00065AB8"/>
    <w:rsid w:val="00065B2E"/>
    <w:rsid w:val="00065EDC"/>
    <w:rsid w:val="0006657C"/>
    <w:rsid w:val="000668D1"/>
    <w:rsid w:val="00066B2D"/>
    <w:rsid w:val="00066BCB"/>
    <w:rsid w:val="00066FA7"/>
    <w:rsid w:val="00067330"/>
    <w:rsid w:val="000673D5"/>
    <w:rsid w:val="00067491"/>
    <w:rsid w:val="0006765E"/>
    <w:rsid w:val="0006766B"/>
    <w:rsid w:val="00067903"/>
    <w:rsid w:val="0006792A"/>
    <w:rsid w:val="00067996"/>
    <w:rsid w:val="00067A2A"/>
    <w:rsid w:val="00067C0A"/>
    <w:rsid w:val="00067E21"/>
    <w:rsid w:val="00067F72"/>
    <w:rsid w:val="000700B7"/>
    <w:rsid w:val="00070295"/>
    <w:rsid w:val="00070336"/>
    <w:rsid w:val="000705DF"/>
    <w:rsid w:val="000708B6"/>
    <w:rsid w:val="00070922"/>
    <w:rsid w:val="0007094A"/>
    <w:rsid w:val="00070B24"/>
    <w:rsid w:val="00070F61"/>
    <w:rsid w:val="000710A6"/>
    <w:rsid w:val="0007118C"/>
    <w:rsid w:val="00071487"/>
    <w:rsid w:val="000714BC"/>
    <w:rsid w:val="000714C9"/>
    <w:rsid w:val="00071811"/>
    <w:rsid w:val="00071B32"/>
    <w:rsid w:val="00072086"/>
    <w:rsid w:val="00072210"/>
    <w:rsid w:val="00072334"/>
    <w:rsid w:val="00072624"/>
    <w:rsid w:val="000726F2"/>
    <w:rsid w:val="0007277E"/>
    <w:rsid w:val="000727FA"/>
    <w:rsid w:val="00072883"/>
    <w:rsid w:val="00072E05"/>
    <w:rsid w:val="00072F7E"/>
    <w:rsid w:val="000730B6"/>
    <w:rsid w:val="00073455"/>
    <w:rsid w:val="00073C79"/>
    <w:rsid w:val="00073CF4"/>
    <w:rsid w:val="00074003"/>
    <w:rsid w:val="00074195"/>
    <w:rsid w:val="000741D1"/>
    <w:rsid w:val="000742E6"/>
    <w:rsid w:val="000742E9"/>
    <w:rsid w:val="0007463B"/>
    <w:rsid w:val="00074828"/>
    <w:rsid w:val="00074A03"/>
    <w:rsid w:val="00074C73"/>
    <w:rsid w:val="00074CEF"/>
    <w:rsid w:val="00074D18"/>
    <w:rsid w:val="00074EDA"/>
    <w:rsid w:val="00074FCA"/>
    <w:rsid w:val="00074FD3"/>
    <w:rsid w:val="000754BC"/>
    <w:rsid w:val="00075589"/>
    <w:rsid w:val="000755A2"/>
    <w:rsid w:val="00075663"/>
    <w:rsid w:val="000758CB"/>
    <w:rsid w:val="00075919"/>
    <w:rsid w:val="000759C6"/>
    <w:rsid w:val="00075AFC"/>
    <w:rsid w:val="00075B54"/>
    <w:rsid w:val="00075B91"/>
    <w:rsid w:val="00075BB6"/>
    <w:rsid w:val="00075F8F"/>
    <w:rsid w:val="00076112"/>
    <w:rsid w:val="00076433"/>
    <w:rsid w:val="000765CD"/>
    <w:rsid w:val="00076A61"/>
    <w:rsid w:val="00076AD1"/>
    <w:rsid w:val="00076BFD"/>
    <w:rsid w:val="00076CAB"/>
    <w:rsid w:val="00076CB4"/>
    <w:rsid w:val="00076D2C"/>
    <w:rsid w:val="0007722F"/>
    <w:rsid w:val="000774F2"/>
    <w:rsid w:val="00077AD8"/>
    <w:rsid w:val="00077B3D"/>
    <w:rsid w:val="00077BC0"/>
    <w:rsid w:val="00077C25"/>
    <w:rsid w:val="00077C49"/>
    <w:rsid w:val="00077F8B"/>
    <w:rsid w:val="000802D2"/>
    <w:rsid w:val="00080513"/>
    <w:rsid w:val="0008080B"/>
    <w:rsid w:val="00080888"/>
    <w:rsid w:val="00080A39"/>
    <w:rsid w:val="00080C18"/>
    <w:rsid w:val="00080CD1"/>
    <w:rsid w:val="00080D1A"/>
    <w:rsid w:val="00080D37"/>
    <w:rsid w:val="00080E5E"/>
    <w:rsid w:val="00081222"/>
    <w:rsid w:val="000814E5"/>
    <w:rsid w:val="0008178C"/>
    <w:rsid w:val="00081C06"/>
    <w:rsid w:val="00081E27"/>
    <w:rsid w:val="00081F69"/>
    <w:rsid w:val="00082055"/>
    <w:rsid w:val="000820A5"/>
    <w:rsid w:val="000820F9"/>
    <w:rsid w:val="0008247C"/>
    <w:rsid w:val="0008257A"/>
    <w:rsid w:val="0008262B"/>
    <w:rsid w:val="0008266C"/>
    <w:rsid w:val="00082793"/>
    <w:rsid w:val="000828AE"/>
    <w:rsid w:val="00082AF1"/>
    <w:rsid w:val="00082C8A"/>
    <w:rsid w:val="00082F83"/>
    <w:rsid w:val="00082FD4"/>
    <w:rsid w:val="00083011"/>
    <w:rsid w:val="000834B5"/>
    <w:rsid w:val="0008352C"/>
    <w:rsid w:val="00083588"/>
    <w:rsid w:val="000835D2"/>
    <w:rsid w:val="00083B1D"/>
    <w:rsid w:val="00083D0F"/>
    <w:rsid w:val="000843A7"/>
    <w:rsid w:val="000844A7"/>
    <w:rsid w:val="000844BE"/>
    <w:rsid w:val="00084500"/>
    <w:rsid w:val="000845DA"/>
    <w:rsid w:val="00084975"/>
    <w:rsid w:val="00084A5D"/>
    <w:rsid w:val="00084BE2"/>
    <w:rsid w:val="00084CFF"/>
    <w:rsid w:val="00084F96"/>
    <w:rsid w:val="00085300"/>
    <w:rsid w:val="00085385"/>
    <w:rsid w:val="000855A1"/>
    <w:rsid w:val="000855D3"/>
    <w:rsid w:val="0008565F"/>
    <w:rsid w:val="000856A0"/>
    <w:rsid w:val="00086084"/>
    <w:rsid w:val="0008619D"/>
    <w:rsid w:val="000861B3"/>
    <w:rsid w:val="0008629C"/>
    <w:rsid w:val="00086382"/>
    <w:rsid w:val="00086506"/>
    <w:rsid w:val="00086658"/>
    <w:rsid w:val="000866B3"/>
    <w:rsid w:val="00086802"/>
    <w:rsid w:val="00086850"/>
    <w:rsid w:val="00086A52"/>
    <w:rsid w:val="00086B44"/>
    <w:rsid w:val="00086B48"/>
    <w:rsid w:val="00086BA5"/>
    <w:rsid w:val="00086E5D"/>
    <w:rsid w:val="00086F54"/>
    <w:rsid w:val="00086FC3"/>
    <w:rsid w:val="00087198"/>
    <w:rsid w:val="000872FC"/>
    <w:rsid w:val="000874D5"/>
    <w:rsid w:val="00087631"/>
    <w:rsid w:val="00087707"/>
    <w:rsid w:val="0008779B"/>
    <w:rsid w:val="000878BE"/>
    <w:rsid w:val="00087A25"/>
    <w:rsid w:val="00087B36"/>
    <w:rsid w:val="00087D92"/>
    <w:rsid w:val="00087FE7"/>
    <w:rsid w:val="0009076C"/>
    <w:rsid w:val="00090A06"/>
    <w:rsid w:val="00090C5A"/>
    <w:rsid w:val="000910C5"/>
    <w:rsid w:val="00091534"/>
    <w:rsid w:val="0009165B"/>
    <w:rsid w:val="00091BEA"/>
    <w:rsid w:val="00091F51"/>
    <w:rsid w:val="0009232C"/>
    <w:rsid w:val="00092585"/>
    <w:rsid w:val="000925CC"/>
    <w:rsid w:val="000927E1"/>
    <w:rsid w:val="0009282A"/>
    <w:rsid w:val="00092AE6"/>
    <w:rsid w:val="00093104"/>
    <w:rsid w:val="0009342D"/>
    <w:rsid w:val="00093833"/>
    <w:rsid w:val="00093A9B"/>
    <w:rsid w:val="00093AED"/>
    <w:rsid w:val="00093C04"/>
    <w:rsid w:val="00093CAD"/>
    <w:rsid w:val="00093DF0"/>
    <w:rsid w:val="00093FA9"/>
    <w:rsid w:val="00094298"/>
    <w:rsid w:val="000947A5"/>
    <w:rsid w:val="0009486C"/>
    <w:rsid w:val="00094F51"/>
    <w:rsid w:val="0009501D"/>
    <w:rsid w:val="00095793"/>
    <w:rsid w:val="000959EC"/>
    <w:rsid w:val="00095F03"/>
    <w:rsid w:val="0009610C"/>
    <w:rsid w:val="000962DE"/>
    <w:rsid w:val="00096496"/>
    <w:rsid w:val="000964A7"/>
    <w:rsid w:val="00096571"/>
    <w:rsid w:val="000968EA"/>
    <w:rsid w:val="00096A3D"/>
    <w:rsid w:val="00096EC4"/>
    <w:rsid w:val="0009709F"/>
    <w:rsid w:val="00097108"/>
    <w:rsid w:val="00097140"/>
    <w:rsid w:val="000971A2"/>
    <w:rsid w:val="00097278"/>
    <w:rsid w:val="000975AE"/>
    <w:rsid w:val="0009761B"/>
    <w:rsid w:val="0009767B"/>
    <w:rsid w:val="00097E28"/>
    <w:rsid w:val="000A0398"/>
    <w:rsid w:val="000A03B5"/>
    <w:rsid w:val="000A0763"/>
    <w:rsid w:val="000A0ADA"/>
    <w:rsid w:val="000A0B34"/>
    <w:rsid w:val="000A0BF7"/>
    <w:rsid w:val="000A0E2F"/>
    <w:rsid w:val="000A0F1B"/>
    <w:rsid w:val="000A1297"/>
    <w:rsid w:val="000A1639"/>
    <w:rsid w:val="000A16C4"/>
    <w:rsid w:val="000A1808"/>
    <w:rsid w:val="000A2412"/>
    <w:rsid w:val="000A27B3"/>
    <w:rsid w:val="000A29B1"/>
    <w:rsid w:val="000A2D92"/>
    <w:rsid w:val="000A2E68"/>
    <w:rsid w:val="000A2EE2"/>
    <w:rsid w:val="000A316F"/>
    <w:rsid w:val="000A376A"/>
    <w:rsid w:val="000A3842"/>
    <w:rsid w:val="000A3A93"/>
    <w:rsid w:val="000A3C97"/>
    <w:rsid w:val="000A3F30"/>
    <w:rsid w:val="000A44EF"/>
    <w:rsid w:val="000A4554"/>
    <w:rsid w:val="000A4674"/>
    <w:rsid w:val="000A4818"/>
    <w:rsid w:val="000A5811"/>
    <w:rsid w:val="000A593A"/>
    <w:rsid w:val="000A5E72"/>
    <w:rsid w:val="000A6041"/>
    <w:rsid w:val="000A6159"/>
    <w:rsid w:val="000A6430"/>
    <w:rsid w:val="000A6480"/>
    <w:rsid w:val="000A65B1"/>
    <w:rsid w:val="000A66EC"/>
    <w:rsid w:val="000A6A1B"/>
    <w:rsid w:val="000A6B8F"/>
    <w:rsid w:val="000A6C66"/>
    <w:rsid w:val="000A6DA9"/>
    <w:rsid w:val="000A742D"/>
    <w:rsid w:val="000A774C"/>
    <w:rsid w:val="000A77BF"/>
    <w:rsid w:val="000A7887"/>
    <w:rsid w:val="000A78C9"/>
    <w:rsid w:val="000A7A96"/>
    <w:rsid w:val="000A7AD4"/>
    <w:rsid w:val="000A7D04"/>
    <w:rsid w:val="000A7DB1"/>
    <w:rsid w:val="000A7F13"/>
    <w:rsid w:val="000B0328"/>
    <w:rsid w:val="000B032C"/>
    <w:rsid w:val="000B0417"/>
    <w:rsid w:val="000B04A7"/>
    <w:rsid w:val="000B0592"/>
    <w:rsid w:val="000B0674"/>
    <w:rsid w:val="000B0859"/>
    <w:rsid w:val="000B0CC0"/>
    <w:rsid w:val="000B0F92"/>
    <w:rsid w:val="000B11D3"/>
    <w:rsid w:val="000B1429"/>
    <w:rsid w:val="000B1802"/>
    <w:rsid w:val="000B1AB1"/>
    <w:rsid w:val="000B1B15"/>
    <w:rsid w:val="000B1C0F"/>
    <w:rsid w:val="000B1C5F"/>
    <w:rsid w:val="000B1C9D"/>
    <w:rsid w:val="000B1F49"/>
    <w:rsid w:val="000B2095"/>
    <w:rsid w:val="000B21D0"/>
    <w:rsid w:val="000B2226"/>
    <w:rsid w:val="000B23AE"/>
    <w:rsid w:val="000B2487"/>
    <w:rsid w:val="000B24EE"/>
    <w:rsid w:val="000B2C85"/>
    <w:rsid w:val="000B31B6"/>
    <w:rsid w:val="000B31C0"/>
    <w:rsid w:val="000B3716"/>
    <w:rsid w:val="000B3991"/>
    <w:rsid w:val="000B3C10"/>
    <w:rsid w:val="000B3E9E"/>
    <w:rsid w:val="000B4019"/>
    <w:rsid w:val="000B43D1"/>
    <w:rsid w:val="000B445D"/>
    <w:rsid w:val="000B449D"/>
    <w:rsid w:val="000B44AA"/>
    <w:rsid w:val="000B44E9"/>
    <w:rsid w:val="000B469F"/>
    <w:rsid w:val="000B4951"/>
    <w:rsid w:val="000B4E41"/>
    <w:rsid w:val="000B51F7"/>
    <w:rsid w:val="000B539B"/>
    <w:rsid w:val="000B55BF"/>
    <w:rsid w:val="000B584D"/>
    <w:rsid w:val="000B615A"/>
    <w:rsid w:val="000B626C"/>
    <w:rsid w:val="000B62B0"/>
    <w:rsid w:val="000B62B8"/>
    <w:rsid w:val="000B6339"/>
    <w:rsid w:val="000B66FB"/>
    <w:rsid w:val="000B689C"/>
    <w:rsid w:val="000B6A12"/>
    <w:rsid w:val="000B6A82"/>
    <w:rsid w:val="000B6C56"/>
    <w:rsid w:val="000B6DA9"/>
    <w:rsid w:val="000B725C"/>
    <w:rsid w:val="000B7280"/>
    <w:rsid w:val="000B74C9"/>
    <w:rsid w:val="000B76EE"/>
    <w:rsid w:val="000B7B00"/>
    <w:rsid w:val="000B7B71"/>
    <w:rsid w:val="000B7BCD"/>
    <w:rsid w:val="000B7CA5"/>
    <w:rsid w:val="000B7EC3"/>
    <w:rsid w:val="000C02D5"/>
    <w:rsid w:val="000C0793"/>
    <w:rsid w:val="000C0AF8"/>
    <w:rsid w:val="000C0CD1"/>
    <w:rsid w:val="000C0D5E"/>
    <w:rsid w:val="000C0F99"/>
    <w:rsid w:val="000C10EA"/>
    <w:rsid w:val="000C13E3"/>
    <w:rsid w:val="000C14F1"/>
    <w:rsid w:val="000C179D"/>
    <w:rsid w:val="000C17A5"/>
    <w:rsid w:val="000C1C59"/>
    <w:rsid w:val="000C1E77"/>
    <w:rsid w:val="000C1EB4"/>
    <w:rsid w:val="000C1FE3"/>
    <w:rsid w:val="000C261C"/>
    <w:rsid w:val="000C2755"/>
    <w:rsid w:val="000C2964"/>
    <w:rsid w:val="000C2DB0"/>
    <w:rsid w:val="000C2F79"/>
    <w:rsid w:val="000C344B"/>
    <w:rsid w:val="000C372A"/>
    <w:rsid w:val="000C383F"/>
    <w:rsid w:val="000C3875"/>
    <w:rsid w:val="000C3F23"/>
    <w:rsid w:val="000C3F32"/>
    <w:rsid w:val="000C41D7"/>
    <w:rsid w:val="000C4210"/>
    <w:rsid w:val="000C4B40"/>
    <w:rsid w:val="000C4BA6"/>
    <w:rsid w:val="000C4C51"/>
    <w:rsid w:val="000C4CE2"/>
    <w:rsid w:val="000C4EF5"/>
    <w:rsid w:val="000C4F65"/>
    <w:rsid w:val="000C517E"/>
    <w:rsid w:val="000C52E7"/>
    <w:rsid w:val="000C540C"/>
    <w:rsid w:val="000C5755"/>
    <w:rsid w:val="000C5B03"/>
    <w:rsid w:val="000C5B36"/>
    <w:rsid w:val="000C5B8E"/>
    <w:rsid w:val="000C619C"/>
    <w:rsid w:val="000C64ED"/>
    <w:rsid w:val="000C6558"/>
    <w:rsid w:val="000C65A0"/>
    <w:rsid w:val="000C6820"/>
    <w:rsid w:val="000C6A88"/>
    <w:rsid w:val="000C7147"/>
    <w:rsid w:val="000C71CA"/>
    <w:rsid w:val="000C7260"/>
    <w:rsid w:val="000C7716"/>
    <w:rsid w:val="000C77D8"/>
    <w:rsid w:val="000C77F0"/>
    <w:rsid w:val="000C7906"/>
    <w:rsid w:val="000C7A8B"/>
    <w:rsid w:val="000C7E3F"/>
    <w:rsid w:val="000C7E53"/>
    <w:rsid w:val="000C7FA7"/>
    <w:rsid w:val="000D01C8"/>
    <w:rsid w:val="000D0709"/>
    <w:rsid w:val="000D0864"/>
    <w:rsid w:val="000D0B3E"/>
    <w:rsid w:val="000D0CA7"/>
    <w:rsid w:val="000D0F61"/>
    <w:rsid w:val="000D0F75"/>
    <w:rsid w:val="000D16EB"/>
    <w:rsid w:val="000D1748"/>
    <w:rsid w:val="000D1933"/>
    <w:rsid w:val="000D198B"/>
    <w:rsid w:val="000D1A8D"/>
    <w:rsid w:val="000D1A8F"/>
    <w:rsid w:val="000D1D8F"/>
    <w:rsid w:val="000D1DC4"/>
    <w:rsid w:val="000D1E74"/>
    <w:rsid w:val="000D21CD"/>
    <w:rsid w:val="000D2415"/>
    <w:rsid w:val="000D24F5"/>
    <w:rsid w:val="000D25D7"/>
    <w:rsid w:val="000D262A"/>
    <w:rsid w:val="000D2759"/>
    <w:rsid w:val="000D27CC"/>
    <w:rsid w:val="000D290A"/>
    <w:rsid w:val="000D2A3C"/>
    <w:rsid w:val="000D2A85"/>
    <w:rsid w:val="000D2C1C"/>
    <w:rsid w:val="000D2DE9"/>
    <w:rsid w:val="000D2FD6"/>
    <w:rsid w:val="000D344B"/>
    <w:rsid w:val="000D35DB"/>
    <w:rsid w:val="000D392C"/>
    <w:rsid w:val="000D3EA3"/>
    <w:rsid w:val="000D4095"/>
    <w:rsid w:val="000D426A"/>
    <w:rsid w:val="000D4302"/>
    <w:rsid w:val="000D45B3"/>
    <w:rsid w:val="000D45E7"/>
    <w:rsid w:val="000D48F3"/>
    <w:rsid w:val="000D4E34"/>
    <w:rsid w:val="000D4E40"/>
    <w:rsid w:val="000D52A6"/>
    <w:rsid w:val="000D5437"/>
    <w:rsid w:val="000D5510"/>
    <w:rsid w:val="000D56F7"/>
    <w:rsid w:val="000D5971"/>
    <w:rsid w:val="000D6409"/>
    <w:rsid w:val="000D6455"/>
    <w:rsid w:val="000D6AFF"/>
    <w:rsid w:val="000D6D33"/>
    <w:rsid w:val="000D6F74"/>
    <w:rsid w:val="000D7114"/>
    <w:rsid w:val="000D7261"/>
    <w:rsid w:val="000D7449"/>
    <w:rsid w:val="000D754A"/>
    <w:rsid w:val="000D76C1"/>
    <w:rsid w:val="000D7A7B"/>
    <w:rsid w:val="000D7D71"/>
    <w:rsid w:val="000E021F"/>
    <w:rsid w:val="000E02A4"/>
    <w:rsid w:val="000E0320"/>
    <w:rsid w:val="000E0675"/>
    <w:rsid w:val="000E0D80"/>
    <w:rsid w:val="000E0F61"/>
    <w:rsid w:val="000E12D8"/>
    <w:rsid w:val="000E1308"/>
    <w:rsid w:val="000E1423"/>
    <w:rsid w:val="000E1795"/>
    <w:rsid w:val="000E18A2"/>
    <w:rsid w:val="000E1B54"/>
    <w:rsid w:val="000E1BF3"/>
    <w:rsid w:val="000E1CB6"/>
    <w:rsid w:val="000E1D6D"/>
    <w:rsid w:val="000E1E82"/>
    <w:rsid w:val="000E1F20"/>
    <w:rsid w:val="000E2239"/>
    <w:rsid w:val="000E258C"/>
    <w:rsid w:val="000E277A"/>
    <w:rsid w:val="000E27B6"/>
    <w:rsid w:val="000E280C"/>
    <w:rsid w:val="000E2881"/>
    <w:rsid w:val="000E2DDF"/>
    <w:rsid w:val="000E2DF8"/>
    <w:rsid w:val="000E2EED"/>
    <w:rsid w:val="000E2F56"/>
    <w:rsid w:val="000E307A"/>
    <w:rsid w:val="000E3095"/>
    <w:rsid w:val="000E33E4"/>
    <w:rsid w:val="000E36D0"/>
    <w:rsid w:val="000E39FF"/>
    <w:rsid w:val="000E3D74"/>
    <w:rsid w:val="000E413E"/>
    <w:rsid w:val="000E45DE"/>
    <w:rsid w:val="000E4AB8"/>
    <w:rsid w:val="000E4E7A"/>
    <w:rsid w:val="000E4FAC"/>
    <w:rsid w:val="000E5401"/>
    <w:rsid w:val="000E5437"/>
    <w:rsid w:val="000E5544"/>
    <w:rsid w:val="000E57FE"/>
    <w:rsid w:val="000E592F"/>
    <w:rsid w:val="000E5C49"/>
    <w:rsid w:val="000E6456"/>
    <w:rsid w:val="000E6627"/>
    <w:rsid w:val="000E6666"/>
    <w:rsid w:val="000E6806"/>
    <w:rsid w:val="000E6B5A"/>
    <w:rsid w:val="000E6CEC"/>
    <w:rsid w:val="000E6FEB"/>
    <w:rsid w:val="000E6FFF"/>
    <w:rsid w:val="000E746A"/>
    <w:rsid w:val="000E74D0"/>
    <w:rsid w:val="000E76E6"/>
    <w:rsid w:val="000E76EB"/>
    <w:rsid w:val="000E7AE5"/>
    <w:rsid w:val="000E7AEE"/>
    <w:rsid w:val="000E7B74"/>
    <w:rsid w:val="000E7C47"/>
    <w:rsid w:val="000E7EB2"/>
    <w:rsid w:val="000E7FAC"/>
    <w:rsid w:val="000F00BF"/>
    <w:rsid w:val="000F0477"/>
    <w:rsid w:val="000F086D"/>
    <w:rsid w:val="000F0891"/>
    <w:rsid w:val="000F0B7F"/>
    <w:rsid w:val="000F0B94"/>
    <w:rsid w:val="000F0E36"/>
    <w:rsid w:val="000F11A5"/>
    <w:rsid w:val="000F1252"/>
    <w:rsid w:val="000F1451"/>
    <w:rsid w:val="000F158D"/>
    <w:rsid w:val="000F172E"/>
    <w:rsid w:val="000F1999"/>
    <w:rsid w:val="000F1ADB"/>
    <w:rsid w:val="000F1F5B"/>
    <w:rsid w:val="000F20C9"/>
    <w:rsid w:val="000F2548"/>
    <w:rsid w:val="000F264A"/>
    <w:rsid w:val="000F2731"/>
    <w:rsid w:val="000F2A38"/>
    <w:rsid w:val="000F2B11"/>
    <w:rsid w:val="000F2B24"/>
    <w:rsid w:val="000F2D5E"/>
    <w:rsid w:val="000F2DD4"/>
    <w:rsid w:val="000F2EDD"/>
    <w:rsid w:val="000F2F1E"/>
    <w:rsid w:val="000F2FEF"/>
    <w:rsid w:val="000F3097"/>
    <w:rsid w:val="000F32BE"/>
    <w:rsid w:val="000F3452"/>
    <w:rsid w:val="000F38EA"/>
    <w:rsid w:val="000F3EB7"/>
    <w:rsid w:val="000F3F79"/>
    <w:rsid w:val="000F40FE"/>
    <w:rsid w:val="000F41F9"/>
    <w:rsid w:val="000F446D"/>
    <w:rsid w:val="000F44FA"/>
    <w:rsid w:val="000F45B0"/>
    <w:rsid w:val="000F480B"/>
    <w:rsid w:val="000F4820"/>
    <w:rsid w:val="000F4EB2"/>
    <w:rsid w:val="000F4EED"/>
    <w:rsid w:val="000F4F33"/>
    <w:rsid w:val="000F5361"/>
    <w:rsid w:val="000F5742"/>
    <w:rsid w:val="000F5D18"/>
    <w:rsid w:val="000F6009"/>
    <w:rsid w:val="000F610E"/>
    <w:rsid w:val="000F66B8"/>
    <w:rsid w:val="000F6891"/>
    <w:rsid w:val="000F68A2"/>
    <w:rsid w:val="000F6E7F"/>
    <w:rsid w:val="000F6F69"/>
    <w:rsid w:val="000F749B"/>
    <w:rsid w:val="000F76FF"/>
    <w:rsid w:val="000F7797"/>
    <w:rsid w:val="000F7825"/>
    <w:rsid w:val="000F7928"/>
    <w:rsid w:val="000F796A"/>
    <w:rsid w:val="000F7AE4"/>
    <w:rsid w:val="000F7BA3"/>
    <w:rsid w:val="000F7DA0"/>
    <w:rsid w:val="00100001"/>
    <w:rsid w:val="0010061F"/>
    <w:rsid w:val="00100756"/>
    <w:rsid w:val="00100BD7"/>
    <w:rsid w:val="00100BFF"/>
    <w:rsid w:val="00100E24"/>
    <w:rsid w:val="0010159C"/>
    <w:rsid w:val="001015B8"/>
    <w:rsid w:val="0010168A"/>
    <w:rsid w:val="00101746"/>
    <w:rsid w:val="00101CCB"/>
    <w:rsid w:val="00101D13"/>
    <w:rsid w:val="00101FCF"/>
    <w:rsid w:val="00102630"/>
    <w:rsid w:val="001026A3"/>
    <w:rsid w:val="001027E4"/>
    <w:rsid w:val="0010291A"/>
    <w:rsid w:val="00102BCC"/>
    <w:rsid w:val="00103023"/>
    <w:rsid w:val="00103201"/>
    <w:rsid w:val="00103729"/>
    <w:rsid w:val="001037BC"/>
    <w:rsid w:val="001037EF"/>
    <w:rsid w:val="00103DF0"/>
    <w:rsid w:val="00103FDC"/>
    <w:rsid w:val="0010428B"/>
    <w:rsid w:val="0010478F"/>
    <w:rsid w:val="0010517E"/>
    <w:rsid w:val="00105879"/>
    <w:rsid w:val="001058AE"/>
    <w:rsid w:val="00105B15"/>
    <w:rsid w:val="00105CEC"/>
    <w:rsid w:val="00105E0D"/>
    <w:rsid w:val="00105E29"/>
    <w:rsid w:val="00106255"/>
    <w:rsid w:val="001064EE"/>
    <w:rsid w:val="0010661A"/>
    <w:rsid w:val="001066D3"/>
    <w:rsid w:val="001067A2"/>
    <w:rsid w:val="001067D0"/>
    <w:rsid w:val="00106825"/>
    <w:rsid w:val="00106845"/>
    <w:rsid w:val="001068C3"/>
    <w:rsid w:val="00106A5E"/>
    <w:rsid w:val="00106AF2"/>
    <w:rsid w:val="00106BEE"/>
    <w:rsid w:val="00106C68"/>
    <w:rsid w:val="00106C87"/>
    <w:rsid w:val="00106DFE"/>
    <w:rsid w:val="001071BF"/>
    <w:rsid w:val="001073CF"/>
    <w:rsid w:val="001074DD"/>
    <w:rsid w:val="00107768"/>
    <w:rsid w:val="00107A53"/>
    <w:rsid w:val="00107D93"/>
    <w:rsid w:val="00107DE3"/>
    <w:rsid w:val="00107E81"/>
    <w:rsid w:val="00107ECF"/>
    <w:rsid w:val="00110203"/>
    <w:rsid w:val="00110BF2"/>
    <w:rsid w:val="00110C48"/>
    <w:rsid w:val="00110C89"/>
    <w:rsid w:val="001110C7"/>
    <w:rsid w:val="00111463"/>
    <w:rsid w:val="001114E6"/>
    <w:rsid w:val="00112003"/>
    <w:rsid w:val="00112149"/>
    <w:rsid w:val="00112241"/>
    <w:rsid w:val="001122D0"/>
    <w:rsid w:val="0011241A"/>
    <w:rsid w:val="0011245C"/>
    <w:rsid w:val="001124F6"/>
    <w:rsid w:val="001127EF"/>
    <w:rsid w:val="00112B5B"/>
    <w:rsid w:val="00112EF4"/>
    <w:rsid w:val="001130C8"/>
    <w:rsid w:val="001131D1"/>
    <w:rsid w:val="0011367A"/>
    <w:rsid w:val="001136B9"/>
    <w:rsid w:val="00113A06"/>
    <w:rsid w:val="00113D7E"/>
    <w:rsid w:val="00113F4D"/>
    <w:rsid w:val="001141E2"/>
    <w:rsid w:val="00114248"/>
    <w:rsid w:val="001143E0"/>
    <w:rsid w:val="00114628"/>
    <w:rsid w:val="001149DA"/>
    <w:rsid w:val="00114BCD"/>
    <w:rsid w:val="00114C87"/>
    <w:rsid w:val="00114C89"/>
    <w:rsid w:val="0011548B"/>
    <w:rsid w:val="001154A8"/>
    <w:rsid w:val="001154E7"/>
    <w:rsid w:val="001157D6"/>
    <w:rsid w:val="001157F6"/>
    <w:rsid w:val="00115AA2"/>
    <w:rsid w:val="00115CA8"/>
    <w:rsid w:val="00115CF7"/>
    <w:rsid w:val="00115E88"/>
    <w:rsid w:val="0011627E"/>
    <w:rsid w:val="001162E4"/>
    <w:rsid w:val="0011631B"/>
    <w:rsid w:val="00116AED"/>
    <w:rsid w:val="00116E68"/>
    <w:rsid w:val="0011701D"/>
    <w:rsid w:val="00117397"/>
    <w:rsid w:val="00117755"/>
    <w:rsid w:val="00117872"/>
    <w:rsid w:val="001178BA"/>
    <w:rsid w:val="00117BA5"/>
    <w:rsid w:val="001200A4"/>
    <w:rsid w:val="00120124"/>
    <w:rsid w:val="001202D1"/>
    <w:rsid w:val="001209B8"/>
    <w:rsid w:val="001209D6"/>
    <w:rsid w:val="00120CC8"/>
    <w:rsid w:val="00120D2A"/>
    <w:rsid w:val="00120EC4"/>
    <w:rsid w:val="00120FCA"/>
    <w:rsid w:val="001211CF"/>
    <w:rsid w:val="0012122D"/>
    <w:rsid w:val="00121268"/>
    <w:rsid w:val="00121279"/>
    <w:rsid w:val="001214B6"/>
    <w:rsid w:val="001217E4"/>
    <w:rsid w:val="0012276D"/>
    <w:rsid w:val="00122B7A"/>
    <w:rsid w:val="00122D2D"/>
    <w:rsid w:val="00122DB9"/>
    <w:rsid w:val="00122DFF"/>
    <w:rsid w:val="00122E2E"/>
    <w:rsid w:val="00122F47"/>
    <w:rsid w:val="0012300F"/>
    <w:rsid w:val="0012343F"/>
    <w:rsid w:val="00123553"/>
    <w:rsid w:val="00123885"/>
    <w:rsid w:val="00123895"/>
    <w:rsid w:val="00123A37"/>
    <w:rsid w:val="00123ABD"/>
    <w:rsid w:val="00123E30"/>
    <w:rsid w:val="00124084"/>
    <w:rsid w:val="0012412B"/>
    <w:rsid w:val="0012438C"/>
    <w:rsid w:val="00124644"/>
    <w:rsid w:val="00124B44"/>
    <w:rsid w:val="00124E2F"/>
    <w:rsid w:val="001251FE"/>
    <w:rsid w:val="00125285"/>
    <w:rsid w:val="001252BA"/>
    <w:rsid w:val="0012579A"/>
    <w:rsid w:val="00125872"/>
    <w:rsid w:val="001258C2"/>
    <w:rsid w:val="00125935"/>
    <w:rsid w:val="00125F44"/>
    <w:rsid w:val="001261CA"/>
    <w:rsid w:val="00126226"/>
    <w:rsid w:val="001264B0"/>
    <w:rsid w:val="0012663A"/>
    <w:rsid w:val="001269D1"/>
    <w:rsid w:val="00126AE0"/>
    <w:rsid w:val="00126BE1"/>
    <w:rsid w:val="00126E21"/>
    <w:rsid w:val="00126E40"/>
    <w:rsid w:val="001271B9"/>
    <w:rsid w:val="00127253"/>
    <w:rsid w:val="0012755C"/>
    <w:rsid w:val="00127672"/>
    <w:rsid w:val="00127799"/>
    <w:rsid w:val="0012779D"/>
    <w:rsid w:val="001277F8"/>
    <w:rsid w:val="00127B09"/>
    <w:rsid w:val="0013027A"/>
    <w:rsid w:val="001304C1"/>
    <w:rsid w:val="001304E5"/>
    <w:rsid w:val="001304F8"/>
    <w:rsid w:val="0013057D"/>
    <w:rsid w:val="001307A8"/>
    <w:rsid w:val="00130C24"/>
    <w:rsid w:val="00130C9A"/>
    <w:rsid w:val="00131100"/>
    <w:rsid w:val="0013153A"/>
    <w:rsid w:val="0013190E"/>
    <w:rsid w:val="001319A9"/>
    <w:rsid w:val="00131C13"/>
    <w:rsid w:val="00131F33"/>
    <w:rsid w:val="00132027"/>
    <w:rsid w:val="0013216B"/>
    <w:rsid w:val="0013224F"/>
    <w:rsid w:val="001327DF"/>
    <w:rsid w:val="001328DC"/>
    <w:rsid w:val="00133134"/>
    <w:rsid w:val="0013369E"/>
    <w:rsid w:val="001336FE"/>
    <w:rsid w:val="001338F1"/>
    <w:rsid w:val="001339D1"/>
    <w:rsid w:val="00133D7D"/>
    <w:rsid w:val="00133E9C"/>
    <w:rsid w:val="00133F73"/>
    <w:rsid w:val="00134090"/>
    <w:rsid w:val="001340B0"/>
    <w:rsid w:val="00134442"/>
    <w:rsid w:val="001345C4"/>
    <w:rsid w:val="001346F7"/>
    <w:rsid w:val="00134F49"/>
    <w:rsid w:val="001351FB"/>
    <w:rsid w:val="00135467"/>
    <w:rsid w:val="0013559E"/>
    <w:rsid w:val="00135633"/>
    <w:rsid w:val="00135BB6"/>
    <w:rsid w:val="00135E71"/>
    <w:rsid w:val="00135FEA"/>
    <w:rsid w:val="00136100"/>
    <w:rsid w:val="001364CA"/>
    <w:rsid w:val="00136591"/>
    <w:rsid w:val="00136639"/>
    <w:rsid w:val="001367BC"/>
    <w:rsid w:val="00136890"/>
    <w:rsid w:val="00136AAB"/>
    <w:rsid w:val="00136D57"/>
    <w:rsid w:val="00136EAD"/>
    <w:rsid w:val="00136F1F"/>
    <w:rsid w:val="00136F37"/>
    <w:rsid w:val="00137033"/>
    <w:rsid w:val="001370D4"/>
    <w:rsid w:val="0013763E"/>
    <w:rsid w:val="0013773D"/>
    <w:rsid w:val="001377B8"/>
    <w:rsid w:val="001377EF"/>
    <w:rsid w:val="00137922"/>
    <w:rsid w:val="00137B0F"/>
    <w:rsid w:val="00137EA9"/>
    <w:rsid w:val="00140792"/>
    <w:rsid w:val="001407E3"/>
    <w:rsid w:val="001409CF"/>
    <w:rsid w:val="00140D1B"/>
    <w:rsid w:val="00140EE5"/>
    <w:rsid w:val="0014119F"/>
    <w:rsid w:val="0014127A"/>
    <w:rsid w:val="001412B3"/>
    <w:rsid w:val="0014172A"/>
    <w:rsid w:val="00141A2B"/>
    <w:rsid w:val="00141CB9"/>
    <w:rsid w:val="0014205A"/>
    <w:rsid w:val="0014223B"/>
    <w:rsid w:val="00142428"/>
    <w:rsid w:val="001424A9"/>
    <w:rsid w:val="0014267D"/>
    <w:rsid w:val="001427B7"/>
    <w:rsid w:val="00142A6F"/>
    <w:rsid w:val="00142CA4"/>
    <w:rsid w:val="0014331B"/>
    <w:rsid w:val="0014362A"/>
    <w:rsid w:val="001439B0"/>
    <w:rsid w:val="00143B53"/>
    <w:rsid w:val="00143CBB"/>
    <w:rsid w:val="00144107"/>
    <w:rsid w:val="0014474C"/>
    <w:rsid w:val="00144B49"/>
    <w:rsid w:val="00144F66"/>
    <w:rsid w:val="001453DA"/>
    <w:rsid w:val="001453E3"/>
    <w:rsid w:val="00145609"/>
    <w:rsid w:val="00145742"/>
    <w:rsid w:val="001457B7"/>
    <w:rsid w:val="001458A4"/>
    <w:rsid w:val="001458A9"/>
    <w:rsid w:val="00145FCD"/>
    <w:rsid w:val="00145FF3"/>
    <w:rsid w:val="00146077"/>
    <w:rsid w:val="001463C7"/>
    <w:rsid w:val="00146B6E"/>
    <w:rsid w:val="00146C83"/>
    <w:rsid w:val="00146CE7"/>
    <w:rsid w:val="00146F33"/>
    <w:rsid w:val="00146F59"/>
    <w:rsid w:val="00147176"/>
    <w:rsid w:val="0014726A"/>
    <w:rsid w:val="00147707"/>
    <w:rsid w:val="001477B0"/>
    <w:rsid w:val="00147E27"/>
    <w:rsid w:val="00150222"/>
    <w:rsid w:val="00150544"/>
    <w:rsid w:val="0015064C"/>
    <w:rsid w:val="00150672"/>
    <w:rsid w:val="001508A0"/>
    <w:rsid w:val="00150A07"/>
    <w:rsid w:val="00150B3D"/>
    <w:rsid w:val="00150B6E"/>
    <w:rsid w:val="00150B8E"/>
    <w:rsid w:val="00150BB8"/>
    <w:rsid w:val="00150BC4"/>
    <w:rsid w:val="00150F1D"/>
    <w:rsid w:val="0015108B"/>
    <w:rsid w:val="0015123D"/>
    <w:rsid w:val="0015156A"/>
    <w:rsid w:val="0015177C"/>
    <w:rsid w:val="001519D0"/>
    <w:rsid w:val="00151D1C"/>
    <w:rsid w:val="00151F0F"/>
    <w:rsid w:val="00152001"/>
    <w:rsid w:val="0015209B"/>
    <w:rsid w:val="001523F8"/>
    <w:rsid w:val="001525A6"/>
    <w:rsid w:val="0015265F"/>
    <w:rsid w:val="00152ADC"/>
    <w:rsid w:val="00152C8C"/>
    <w:rsid w:val="00152C8F"/>
    <w:rsid w:val="001533BB"/>
    <w:rsid w:val="00153669"/>
    <w:rsid w:val="00153821"/>
    <w:rsid w:val="00153844"/>
    <w:rsid w:val="00153B30"/>
    <w:rsid w:val="00153B3D"/>
    <w:rsid w:val="00153F20"/>
    <w:rsid w:val="00154307"/>
    <w:rsid w:val="001543B5"/>
    <w:rsid w:val="0015457E"/>
    <w:rsid w:val="00154A22"/>
    <w:rsid w:val="00154A62"/>
    <w:rsid w:val="00154AD5"/>
    <w:rsid w:val="00154EA3"/>
    <w:rsid w:val="00155386"/>
    <w:rsid w:val="00155487"/>
    <w:rsid w:val="00155697"/>
    <w:rsid w:val="00155A05"/>
    <w:rsid w:val="00155A2A"/>
    <w:rsid w:val="00155A55"/>
    <w:rsid w:val="00155D01"/>
    <w:rsid w:val="00155D2F"/>
    <w:rsid w:val="00155F9B"/>
    <w:rsid w:val="001564B0"/>
    <w:rsid w:val="001564B3"/>
    <w:rsid w:val="00156A30"/>
    <w:rsid w:val="00156C4F"/>
    <w:rsid w:val="0015701F"/>
    <w:rsid w:val="0015715C"/>
    <w:rsid w:val="001572B6"/>
    <w:rsid w:val="00157301"/>
    <w:rsid w:val="0015745A"/>
    <w:rsid w:val="00157493"/>
    <w:rsid w:val="00157AC1"/>
    <w:rsid w:val="00157C2F"/>
    <w:rsid w:val="00157D10"/>
    <w:rsid w:val="00157DDF"/>
    <w:rsid w:val="00157E04"/>
    <w:rsid w:val="00157F89"/>
    <w:rsid w:val="001601DE"/>
    <w:rsid w:val="001603F8"/>
    <w:rsid w:val="00160548"/>
    <w:rsid w:val="0016056E"/>
    <w:rsid w:val="00160588"/>
    <w:rsid w:val="00160793"/>
    <w:rsid w:val="001608FA"/>
    <w:rsid w:val="001609ED"/>
    <w:rsid w:val="00160A3A"/>
    <w:rsid w:val="00160D05"/>
    <w:rsid w:val="00161213"/>
    <w:rsid w:val="00161377"/>
    <w:rsid w:val="0016187A"/>
    <w:rsid w:val="00161A33"/>
    <w:rsid w:val="00161A9A"/>
    <w:rsid w:val="00161C71"/>
    <w:rsid w:val="00161CD3"/>
    <w:rsid w:val="00161D45"/>
    <w:rsid w:val="00161E41"/>
    <w:rsid w:val="00162303"/>
    <w:rsid w:val="00162357"/>
    <w:rsid w:val="001623B7"/>
    <w:rsid w:val="001623C0"/>
    <w:rsid w:val="0016247F"/>
    <w:rsid w:val="0016249E"/>
    <w:rsid w:val="001625DD"/>
    <w:rsid w:val="0016298D"/>
    <w:rsid w:val="00162A64"/>
    <w:rsid w:val="001634A2"/>
    <w:rsid w:val="00163BC6"/>
    <w:rsid w:val="0016434D"/>
    <w:rsid w:val="00164873"/>
    <w:rsid w:val="00164A0C"/>
    <w:rsid w:val="00164AB1"/>
    <w:rsid w:val="00164CDB"/>
    <w:rsid w:val="00164EB1"/>
    <w:rsid w:val="00164F14"/>
    <w:rsid w:val="0016511D"/>
    <w:rsid w:val="001653CD"/>
    <w:rsid w:val="001653F8"/>
    <w:rsid w:val="00165735"/>
    <w:rsid w:val="00165759"/>
    <w:rsid w:val="00165B87"/>
    <w:rsid w:val="001660F3"/>
    <w:rsid w:val="001665D0"/>
    <w:rsid w:val="001665E9"/>
    <w:rsid w:val="001666D6"/>
    <w:rsid w:val="001668A9"/>
    <w:rsid w:val="00166908"/>
    <w:rsid w:val="0016695C"/>
    <w:rsid w:val="00166B54"/>
    <w:rsid w:val="00167301"/>
    <w:rsid w:val="00167574"/>
    <w:rsid w:val="001675F4"/>
    <w:rsid w:val="0016775A"/>
    <w:rsid w:val="0017011B"/>
    <w:rsid w:val="00170391"/>
    <w:rsid w:val="00170B12"/>
    <w:rsid w:val="00170D68"/>
    <w:rsid w:val="00170DE9"/>
    <w:rsid w:val="00170FEB"/>
    <w:rsid w:val="00171155"/>
    <w:rsid w:val="001711E8"/>
    <w:rsid w:val="00171264"/>
    <w:rsid w:val="001712E9"/>
    <w:rsid w:val="00171633"/>
    <w:rsid w:val="00171858"/>
    <w:rsid w:val="001718C2"/>
    <w:rsid w:val="00171B98"/>
    <w:rsid w:val="00171CE9"/>
    <w:rsid w:val="00171D38"/>
    <w:rsid w:val="00171E5F"/>
    <w:rsid w:val="001720FF"/>
    <w:rsid w:val="001724CA"/>
    <w:rsid w:val="0017262F"/>
    <w:rsid w:val="0017266D"/>
    <w:rsid w:val="0017268F"/>
    <w:rsid w:val="0017294F"/>
    <w:rsid w:val="00172EE1"/>
    <w:rsid w:val="001731A8"/>
    <w:rsid w:val="001733C7"/>
    <w:rsid w:val="0017351F"/>
    <w:rsid w:val="00173A8C"/>
    <w:rsid w:val="00173F89"/>
    <w:rsid w:val="001742A7"/>
    <w:rsid w:val="00174905"/>
    <w:rsid w:val="00174AC5"/>
    <w:rsid w:val="00174B50"/>
    <w:rsid w:val="00174C4B"/>
    <w:rsid w:val="00174E25"/>
    <w:rsid w:val="00174E29"/>
    <w:rsid w:val="00175058"/>
    <w:rsid w:val="001753ED"/>
    <w:rsid w:val="00175920"/>
    <w:rsid w:val="00175C44"/>
    <w:rsid w:val="00176024"/>
    <w:rsid w:val="001761A1"/>
    <w:rsid w:val="00176234"/>
    <w:rsid w:val="00176374"/>
    <w:rsid w:val="00176430"/>
    <w:rsid w:val="0017644C"/>
    <w:rsid w:val="0017678B"/>
    <w:rsid w:val="001767A7"/>
    <w:rsid w:val="00176D97"/>
    <w:rsid w:val="001772A9"/>
    <w:rsid w:val="001773D7"/>
    <w:rsid w:val="00177741"/>
    <w:rsid w:val="00177830"/>
    <w:rsid w:val="001778C3"/>
    <w:rsid w:val="00177AD6"/>
    <w:rsid w:val="00177CF5"/>
    <w:rsid w:val="00177E1E"/>
    <w:rsid w:val="00177E3F"/>
    <w:rsid w:val="00177F9C"/>
    <w:rsid w:val="00180281"/>
    <w:rsid w:val="001803DC"/>
    <w:rsid w:val="00180795"/>
    <w:rsid w:val="00180836"/>
    <w:rsid w:val="00180A1C"/>
    <w:rsid w:val="00180B47"/>
    <w:rsid w:val="00180B99"/>
    <w:rsid w:val="00180C9F"/>
    <w:rsid w:val="00180D7C"/>
    <w:rsid w:val="00180DC9"/>
    <w:rsid w:val="0018117B"/>
    <w:rsid w:val="001813B2"/>
    <w:rsid w:val="001817BE"/>
    <w:rsid w:val="00181841"/>
    <w:rsid w:val="00181854"/>
    <w:rsid w:val="001819B0"/>
    <w:rsid w:val="00181DC3"/>
    <w:rsid w:val="00181FA0"/>
    <w:rsid w:val="00182442"/>
    <w:rsid w:val="00182FA2"/>
    <w:rsid w:val="00183298"/>
    <w:rsid w:val="001837A9"/>
    <w:rsid w:val="0018380C"/>
    <w:rsid w:val="0018393F"/>
    <w:rsid w:val="00183944"/>
    <w:rsid w:val="00183978"/>
    <w:rsid w:val="00183AC1"/>
    <w:rsid w:val="00183D33"/>
    <w:rsid w:val="00184727"/>
    <w:rsid w:val="0018499A"/>
    <w:rsid w:val="00184A87"/>
    <w:rsid w:val="00184C00"/>
    <w:rsid w:val="00184C31"/>
    <w:rsid w:val="00184F8E"/>
    <w:rsid w:val="00184FB5"/>
    <w:rsid w:val="0018534B"/>
    <w:rsid w:val="001853B0"/>
    <w:rsid w:val="00185C66"/>
    <w:rsid w:val="0018611F"/>
    <w:rsid w:val="001861C7"/>
    <w:rsid w:val="00186296"/>
    <w:rsid w:val="0018674B"/>
    <w:rsid w:val="00186896"/>
    <w:rsid w:val="00186AC0"/>
    <w:rsid w:val="00186C34"/>
    <w:rsid w:val="001871F4"/>
    <w:rsid w:val="00187437"/>
    <w:rsid w:val="00187632"/>
    <w:rsid w:val="00187894"/>
    <w:rsid w:val="00187C4D"/>
    <w:rsid w:val="00187C86"/>
    <w:rsid w:val="0019009E"/>
    <w:rsid w:val="00190260"/>
    <w:rsid w:val="00190333"/>
    <w:rsid w:val="00190658"/>
    <w:rsid w:val="00190AC3"/>
    <w:rsid w:val="00190B02"/>
    <w:rsid w:val="00190F82"/>
    <w:rsid w:val="00190F8A"/>
    <w:rsid w:val="00190FC3"/>
    <w:rsid w:val="00191366"/>
    <w:rsid w:val="001917C7"/>
    <w:rsid w:val="00191CCA"/>
    <w:rsid w:val="0019203E"/>
    <w:rsid w:val="00192242"/>
    <w:rsid w:val="00192419"/>
    <w:rsid w:val="001926AB"/>
    <w:rsid w:val="00192887"/>
    <w:rsid w:val="00192975"/>
    <w:rsid w:val="00192A92"/>
    <w:rsid w:val="00192B63"/>
    <w:rsid w:val="00192CC1"/>
    <w:rsid w:val="00192FE8"/>
    <w:rsid w:val="001933FF"/>
    <w:rsid w:val="001934A4"/>
    <w:rsid w:val="0019385D"/>
    <w:rsid w:val="001939D7"/>
    <w:rsid w:val="00193BD2"/>
    <w:rsid w:val="00193F25"/>
    <w:rsid w:val="001941FB"/>
    <w:rsid w:val="0019472A"/>
    <w:rsid w:val="00194B80"/>
    <w:rsid w:val="00194C24"/>
    <w:rsid w:val="0019509C"/>
    <w:rsid w:val="00195300"/>
    <w:rsid w:val="00195357"/>
    <w:rsid w:val="001955A0"/>
    <w:rsid w:val="001956F7"/>
    <w:rsid w:val="00195815"/>
    <w:rsid w:val="001958C5"/>
    <w:rsid w:val="00195A7E"/>
    <w:rsid w:val="001960F7"/>
    <w:rsid w:val="00196423"/>
    <w:rsid w:val="001964B0"/>
    <w:rsid w:val="00196978"/>
    <w:rsid w:val="00196E74"/>
    <w:rsid w:val="00196E8F"/>
    <w:rsid w:val="00196F93"/>
    <w:rsid w:val="00197057"/>
    <w:rsid w:val="001974B9"/>
    <w:rsid w:val="0019760D"/>
    <w:rsid w:val="00197A66"/>
    <w:rsid w:val="00197B7F"/>
    <w:rsid w:val="00197BE1"/>
    <w:rsid w:val="00197E04"/>
    <w:rsid w:val="00197F78"/>
    <w:rsid w:val="00197FC9"/>
    <w:rsid w:val="001A00A5"/>
    <w:rsid w:val="001A03D8"/>
    <w:rsid w:val="001A05F6"/>
    <w:rsid w:val="001A0883"/>
    <w:rsid w:val="001A0B91"/>
    <w:rsid w:val="001A0B9E"/>
    <w:rsid w:val="001A0C64"/>
    <w:rsid w:val="001A0DAE"/>
    <w:rsid w:val="001A0EB9"/>
    <w:rsid w:val="001A0EBC"/>
    <w:rsid w:val="001A0F17"/>
    <w:rsid w:val="001A11A9"/>
    <w:rsid w:val="001A141F"/>
    <w:rsid w:val="001A167F"/>
    <w:rsid w:val="001A1870"/>
    <w:rsid w:val="001A1950"/>
    <w:rsid w:val="001A1AB3"/>
    <w:rsid w:val="001A1D63"/>
    <w:rsid w:val="001A1EF4"/>
    <w:rsid w:val="001A1F6F"/>
    <w:rsid w:val="001A1FC5"/>
    <w:rsid w:val="001A2034"/>
    <w:rsid w:val="001A2053"/>
    <w:rsid w:val="001A2183"/>
    <w:rsid w:val="001A22B7"/>
    <w:rsid w:val="001A2965"/>
    <w:rsid w:val="001A29B3"/>
    <w:rsid w:val="001A3141"/>
    <w:rsid w:val="001A3373"/>
    <w:rsid w:val="001A3379"/>
    <w:rsid w:val="001A33AA"/>
    <w:rsid w:val="001A3CBC"/>
    <w:rsid w:val="001A42DC"/>
    <w:rsid w:val="001A4346"/>
    <w:rsid w:val="001A47B5"/>
    <w:rsid w:val="001A48AD"/>
    <w:rsid w:val="001A4DE0"/>
    <w:rsid w:val="001A4E33"/>
    <w:rsid w:val="001A5694"/>
    <w:rsid w:val="001A576E"/>
    <w:rsid w:val="001A58F3"/>
    <w:rsid w:val="001A5979"/>
    <w:rsid w:val="001A5B77"/>
    <w:rsid w:val="001A5E1F"/>
    <w:rsid w:val="001A5E32"/>
    <w:rsid w:val="001A6039"/>
    <w:rsid w:val="001A6056"/>
    <w:rsid w:val="001A614F"/>
    <w:rsid w:val="001A61DA"/>
    <w:rsid w:val="001A639A"/>
    <w:rsid w:val="001A6A46"/>
    <w:rsid w:val="001A6CB8"/>
    <w:rsid w:val="001A6E22"/>
    <w:rsid w:val="001A6E96"/>
    <w:rsid w:val="001A71D2"/>
    <w:rsid w:val="001A7224"/>
    <w:rsid w:val="001A72B9"/>
    <w:rsid w:val="001A7354"/>
    <w:rsid w:val="001A743F"/>
    <w:rsid w:val="001A7D29"/>
    <w:rsid w:val="001A7ED4"/>
    <w:rsid w:val="001B005A"/>
    <w:rsid w:val="001B05A5"/>
    <w:rsid w:val="001B063F"/>
    <w:rsid w:val="001B06DF"/>
    <w:rsid w:val="001B0768"/>
    <w:rsid w:val="001B0D79"/>
    <w:rsid w:val="001B0F0A"/>
    <w:rsid w:val="001B10DC"/>
    <w:rsid w:val="001B11A8"/>
    <w:rsid w:val="001B1237"/>
    <w:rsid w:val="001B12BB"/>
    <w:rsid w:val="001B1335"/>
    <w:rsid w:val="001B1662"/>
    <w:rsid w:val="001B177C"/>
    <w:rsid w:val="001B19E1"/>
    <w:rsid w:val="001B1B31"/>
    <w:rsid w:val="001B1D86"/>
    <w:rsid w:val="001B20FC"/>
    <w:rsid w:val="001B21DD"/>
    <w:rsid w:val="001B21EF"/>
    <w:rsid w:val="001B21F7"/>
    <w:rsid w:val="001B243F"/>
    <w:rsid w:val="001B245E"/>
    <w:rsid w:val="001B270E"/>
    <w:rsid w:val="001B2853"/>
    <w:rsid w:val="001B2955"/>
    <w:rsid w:val="001B2C8D"/>
    <w:rsid w:val="001B2FED"/>
    <w:rsid w:val="001B313F"/>
    <w:rsid w:val="001B33DC"/>
    <w:rsid w:val="001B3602"/>
    <w:rsid w:val="001B364E"/>
    <w:rsid w:val="001B3696"/>
    <w:rsid w:val="001B36D2"/>
    <w:rsid w:val="001B392C"/>
    <w:rsid w:val="001B3A17"/>
    <w:rsid w:val="001B3AB2"/>
    <w:rsid w:val="001B3D9F"/>
    <w:rsid w:val="001B3E91"/>
    <w:rsid w:val="001B3EBC"/>
    <w:rsid w:val="001B4053"/>
    <w:rsid w:val="001B42B2"/>
    <w:rsid w:val="001B45D4"/>
    <w:rsid w:val="001B47FC"/>
    <w:rsid w:val="001B495A"/>
    <w:rsid w:val="001B4ABC"/>
    <w:rsid w:val="001B4B8F"/>
    <w:rsid w:val="001B4C24"/>
    <w:rsid w:val="001B4D59"/>
    <w:rsid w:val="001B5447"/>
    <w:rsid w:val="001B54F9"/>
    <w:rsid w:val="001B5623"/>
    <w:rsid w:val="001B572A"/>
    <w:rsid w:val="001B5C3C"/>
    <w:rsid w:val="001B5C6E"/>
    <w:rsid w:val="001B5EF5"/>
    <w:rsid w:val="001B5FBA"/>
    <w:rsid w:val="001B5FBC"/>
    <w:rsid w:val="001B6083"/>
    <w:rsid w:val="001B672B"/>
    <w:rsid w:val="001B67B8"/>
    <w:rsid w:val="001B6953"/>
    <w:rsid w:val="001B6A5B"/>
    <w:rsid w:val="001B6B1E"/>
    <w:rsid w:val="001B6BB0"/>
    <w:rsid w:val="001B6CD9"/>
    <w:rsid w:val="001B6E11"/>
    <w:rsid w:val="001B6FF6"/>
    <w:rsid w:val="001B7127"/>
    <w:rsid w:val="001B71E0"/>
    <w:rsid w:val="001B73EC"/>
    <w:rsid w:val="001B74B3"/>
    <w:rsid w:val="001B7699"/>
    <w:rsid w:val="001B7A81"/>
    <w:rsid w:val="001B7AA6"/>
    <w:rsid w:val="001B7E20"/>
    <w:rsid w:val="001B7EE6"/>
    <w:rsid w:val="001C0159"/>
    <w:rsid w:val="001C025A"/>
    <w:rsid w:val="001C0533"/>
    <w:rsid w:val="001C0658"/>
    <w:rsid w:val="001C0895"/>
    <w:rsid w:val="001C08B2"/>
    <w:rsid w:val="001C0C7B"/>
    <w:rsid w:val="001C0E37"/>
    <w:rsid w:val="001C0FA3"/>
    <w:rsid w:val="001C12AA"/>
    <w:rsid w:val="001C14B0"/>
    <w:rsid w:val="001C1762"/>
    <w:rsid w:val="001C17B0"/>
    <w:rsid w:val="001C192B"/>
    <w:rsid w:val="001C1938"/>
    <w:rsid w:val="001C1BBD"/>
    <w:rsid w:val="001C1D5A"/>
    <w:rsid w:val="001C1E02"/>
    <w:rsid w:val="001C20E3"/>
    <w:rsid w:val="001C2294"/>
    <w:rsid w:val="001C2304"/>
    <w:rsid w:val="001C2644"/>
    <w:rsid w:val="001C27B0"/>
    <w:rsid w:val="001C29EA"/>
    <w:rsid w:val="001C2A00"/>
    <w:rsid w:val="001C2B6A"/>
    <w:rsid w:val="001C2B77"/>
    <w:rsid w:val="001C2E46"/>
    <w:rsid w:val="001C2FD5"/>
    <w:rsid w:val="001C3286"/>
    <w:rsid w:val="001C32ED"/>
    <w:rsid w:val="001C34B2"/>
    <w:rsid w:val="001C35AE"/>
    <w:rsid w:val="001C35E2"/>
    <w:rsid w:val="001C38BE"/>
    <w:rsid w:val="001C3A4E"/>
    <w:rsid w:val="001C3BD3"/>
    <w:rsid w:val="001C3BE9"/>
    <w:rsid w:val="001C40C4"/>
    <w:rsid w:val="001C417C"/>
    <w:rsid w:val="001C429A"/>
    <w:rsid w:val="001C44DF"/>
    <w:rsid w:val="001C486D"/>
    <w:rsid w:val="001C4914"/>
    <w:rsid w:val="001C493E"/>
    <w:rsid w:val="001C499B"/>
    <w:rsid w:val="001C49FC"/>
    <w:rsid w:val="001C4BA6"/>
    <w:rsid w:val="001C4BE2"/>
    <w:rsid w:val="001C4C78"/>
    <w:rsid w:val="001C4D29"/>
    <w:rsid w:val="001C4E2F"/>
    <w:rsid w:val="001C4F05"/>
    <w:rsid w:val="001C5000"/>
    <w:rsid w:val="001C57F7"/>
    <w:rsid w:val="001C5DEC"/>
    <w:rsid w:val="001C5EAE"/>
    <w:rsid w:val="001C616E"/>
    <w:rsid w:val="001C6272"/>
    <w:rsid w:val="001C6306"/>
    <w:rsid w:val="001C681B"/>
    <w:rsid w:val="001C69CA"/>
    <w:rsid w:val="001C6AB6"/>
    <w:rsid w:val="001C6AC7"/>
    <w:rsid w:val="001C6C8E"/>
    <w:rsid w:val="001C6D79"/>
    <w:rsid w:val="001C6ED8"/>
    <w:rsid w:val="001C6F93"/>
    <w:rsid w:val="001C73DF"/>
    <w:rsid w:val="001C7472"/>
    <w:rsid w:val="001C786C"/>
    <w:rsid w:val="001C7C8E"/>
    <w:rsid w:val="001C7CF9"/>
    <w:rsid w:val="001C7D0B"/>
    <w:rsid w:val="001D0184"/>
    <w:rsid w:val="001D076D"/>
    <w:rsid w:val="001D0825"/>
    <w:rsid w:val="001D0D8F"/>
    <w:rsid w:val="001D0EFC"/>
    <w:rsid w:val="001D115D"/>
    <w:rsid w:val="001D1183"/>
    <w:rsid w:val="001D1336"/>
    <w:rsid w:val="001D157B"/>
    <w:rsid w:val="001D15F3"/>
    <w:rsid w:val="001D184D"/>
    <w:rsid w:val="001D1900"/>
    <w:rsid w:val="001D19FC"/>
    <w:rsid w:val="001D1BBA"/>
    <w:rsid w:val="001D1F43"/>
    <w:rsid w:val="001D1F85"/>
    <w:rsid w:val="001D2120"/>
    <w:rsid w:val="001D2226"/>
    <w:rsid w:val="001D233D"/>
    <w:rsid w:val="001D2879"/>
    <w:rsid w:val="001D29EE"/>
    <w:rsid w:val="001D2A61"/>
    <w:rsid w:val="001D2CE2"/>
    <w:rsid w:val="001D2D6C"/>
    <w:rsid w:val="001D2D9D"/>
    <w:rsid w:val="001D2DD1"/>
    <w:rsid w:val="001D2E42"/>
    <w:rsid w:val="001D328B"/>
    <w:rsid w:val="001D3395"/>
    <w:rsid w:val="001D3DB9"/>
    <w:rsid w:val="001D42AB"/>
    <w:rsid w:val="001D4402"/>
    <w:rsid w:val="001D45DE"/>
    <w:rsid w:val="001D474D"/>
    <w:rsid w:val="001D5006"/>
    <w:rsid w:val="001D5411"/>
    <w:rsid w:val="001D559D"/>
    <w:rsid w:val="001D55E4"/>
    <w:rsid w:val="001D5790"/>
    <w:rsid w:val="001D580F"/>
    <w:rsid w:val="001D5A92"/>
    <w:rsid w:val="001D5B3A"/>
    <w:rsid w:val="001D5BBF"/>
    <w:rsid w:val="001D5F48"/>
    <w:rsid w:val="001D614C"/>
    <w:rsid w:val="001D61E2"/>
    <w:rsid w:val="001D622E"/>
    <w:rsid w:val="001D646B"/>
    <w:rsid w:val="001D64E9"/>
    <w:rsid w:val="001D65D4"/>
    <w:rsid w:val="001D6864"/>
    <w:rsid w:val="001D6A66"/>
    <w:rsid w:val="001D6D28"/>
    <w:rsid w:val="001D6D5D"/>
    <w:rsid w:val="001D7044"/>
    <w:rsid w:val="001D70B9"/>
    <w:rsid w:val="001D740F"/>
    <w:rsid w:val="001D7610"/>
    <w:rsid w:val="001D782F"/>
    <w:rsid w:val="001D7983"/>
    <w:rsid w:val="001D7E1F"/>
    <w:rsid w:val="001E00DB"/>
    <w:rsid w:val="001E0368"/>
    <w:rsid w:val="001E084F"/>
    <w:rsid w:val="001E0ADD"/>
    <w:rsid w:val="001E0D26"/>
    <w:rsid w:val="001E10FD"/>
    <w:rsid w:val="001E123A"/>
    <w:rsid w:val="001E1391"/>
    <w:rsid w:val="001E1C62"/>
    <w:rsid w:val="001E1C66"/>
    <w:rsid w:val="001E2061"/>
    <w:rsid w:val="001E2137"/>
    <w:rsid w:val="001E227C"/>
    <w:rsid w:val="001E265A"/>
    <w:rsid w:val="001E27EA"/>
    <w:rsid w:val="001E2899"/>
    <w:rsid w:val="001E2B64"/>
    <w:rsid w:val="001E2CAA"/>
    <w:rsid w:val="001E3153"/>
    <w:rsid w:val="001E33B2"/>
    <w:rsid w:val="001E3403"/>
    <w:rsid w:val="001E34CE"/>
    <w:rsid w:val="001E3980"/>
    <w:rsid w:val="001E3A3F"/>
    <w:rsid w:val="001E3E27"/>
    <w:rsid w:val="001E41D4"/>
    <w:rsid w:val="001E4273"/>
    <w:rsid w:val="001E4287"/>
    <w:rsid w:val="001E4449"/>
    <w:rsid w:val="001E44FA"/>
    <w:rsid w:val="001E4AF4"/>
    <w:rsid w:val="001E4DD6"/>
    <w:rsid w:val="001E55E4"/>
    <w:rsid w:val="001E59C1"/>
    <w:rsid w:val="001E5B21"/>
    <w:rsid w:val="001E5C52"/>
    <w:rsid w:val="001E6090"/>
    <w:rsid w:val="001E633A"/>
    <w:rsid w:val="001E64CF"/>
    <w:rsid w:val="001E6598"/>
    <w:rsid w:val="001E6811"/>
    <w:rsid w:val="001E68B6"/>
    <w:rsid w:val="001E6B43"/>
    <w:rsid w:val="001E6B96"/>
    <w:rsid w:val="001E7081"/>
    <w:rsid w:val="001E70B6"/>
    <w:rsid w:val="001E7380"/>
    <w:rsid w:val="001E743F"/>
    <w:rsid w:val="001E74D1"/>
    <w:rsid w:val="001E772A"/>
    <w:rsid w:val="001E7749"/>
    <w:rsid w:val="001F0018"/>
    <w:rsid w:val="001F014D"/>
    <w:rsid w:val="001F01A1"/>
    <w:rsid w:val="001F076D"/>
    <w:rsid w:val="001F0864"/>
    <w:rsid w:val="001F08FE"/>
    <w:rsid w:val="001F0926"/>
    <w:rsid w:val="001F09B8"/>
    <w:rsid w:val="001F0C04"/>
    <w:rsid w:val="001F0E22"/>
    <w:rsid w:val="001F1083"/>
    <w:rsid w:val="001F117F"/>
    <w:rsid w:val="001F1343"/>
    <w:rsid w:val="001F149B"/>
    <w:rsid w:val="001F15C4"/>
    <w:rsid w:val="001F1727"/>
    <w:rsid w:val="001F176F"/>
    <w:rsid w:val="001F185C"/>
    <w:rsid w:val="001F1883"/>
    <w:rsid w:val="001F18E9"/>
    <w:rsid w:val="001F1C44"/>
    <w:rsid w:val="001F1D0A"/>
    <w:rsid w:val="001F206C"/>
    <w:rsid w:val="001F217C"/>
    <w:rsid w:val="001F245B"/>
    <w:rsid w:val="001F24C2"/>
    <w:rsid w:val="001F25C1"/>
    <w:rsid w:val="001F2859"/>
    <w:rsid w:val="001F2901"/>
    <w:rsid w:val="001F2C03"/>
    <w:rsid w:val="001F31E0"/>
    <w:rsid w:val="001F3235"/>
    <w:rsid w:val="001F330B"/>
    <w:rsid w:val="001F36FA"/>
    <w:rsid w:val="001F37C0"/>
    <w:rsid w:val="001F3C3E"/>
    <w:rsid w:val="001F3DEF"/>
    <w:rsid w:val="001F4560"/>
    <w:rsid w:val="001F4624"/>
    <w:rsid w:val="001F46AB"/>
    <w:rsid w:val="001F4938"/>
    <w:rsid w:val="001F4FB5"/>
    <w:rsid w:val="001F5271"/>
    <w:rsid w:val="001F538D"/>
    <w:rsid w:val="001F553A"/>
    <w:rsid w:val="001F57A7"/>
    <w:rsid w:val="001F5834"/>
    <w:rsid w:val="001F5AD1"/>
    <w:rsid w:val="001F5AE8"/>
    <w:rsid w:val="001F5CAA"/>
    <w:rsid w:val="001F63B7"/>
    <w:rsid w:val="001F63C4"/>
    <w:rsid w:val="001F68D1"/>
    <w:rsid w:val="001F6A99"/>
    <w:rsid w:val="001F6DDB"/>
    <w:rsid w:val="001F6E83"/>
    <w:rsid w:val="001F7151"/>
    <w:rsid w:val="001F73C0"/>
    <w:rsid w:val="001F759E"/>
    <w:rsid w:val="001F7658"/>
    <w:rsid w:val="001F77A7"/>
    <w:rsid w:val="001F7820"/>
    <w:rsid w:val="001F7856"/>
    <w:rsid w:val="001F797B"/>
    <w:rsid w:val="001F7A1A"/>
    <w:rsid w:val="00200201"/>
    <w:rsid w:val="00200313"/>
    <w:rsid w:val="0020052D"/>
    <w:rsid w:val="00200897"/>
    <w:rsid w:val="002008E1"/>
    <w:rsid w:val="0020091D"/>
    <w:rsid w:val="002009F8"/>
    <w:rsid w:val="00200ABA"/>
    <w:rsid w:val="00200BDD"/>
    <w:rsid w:val="00200DA3"/>
    <w:rsid w:val="00200DF9"/>
    <w:rsid w:val="00200E2F"/>
    <w:rsid w:val="0020117E"/>
    <w:rsid w:val="002013C9"/>
    <w:rsid w:val="00201598"/>
    <w:rsid w:val="00201664"/>
    <w:rsid w:val="002019F2"/>
    <w:rsid w:val="00201C65"/>
    <w:rsid w:val="00201D47"/>
    <w:rsid w:val="00201E0B"/>
    <w:rsid w:val="00201E76"/>
    <w:rsid w:val="00201FC3"/>
    <w:rsid w:val="00202881"/>
    <w:rsid w:val="002028B7"/>
    <w:rsid w:val="00202921"/>
    <w:rsid w:val="00202BE0"/>
    <w:rsid w:val="00202CC5"/>
    <w:rsid w:val="00202F6C"/>
    <w:rsid w:val="002030E2"/>
    <w:rsid w:val="00203AD9"/>
    <w:rsid w:val="00204099"/>
    <w:rsid w:val="00204350"/>
    <w:rsid w:val="00204456"/>
    <w:rsid w:val="00204611"/>
    <w:rsid w:val="002047E5"/>
    <w:rsid w:val="00204A6B"/>
    <w:rsid w:val="00204AC8"/>
    <w:rsid w:val="00204C44"/>
    <w:rsid w:val="00204D84"/>
    <w:rsid w:val="00204E40"/>
    <w:rsid w:val="002050BB"/>
    <w:rsid w:val="002059B9"/>
    <w:rsid w:val="00205CB0"/>
    <w:rsid w:val="0020603E"/>
    <w:rsid w:val="0020614A"/>
    <w:rsid w:val="0020615C"/>
    <w:rsid w:val="00206825"/>
    <w:rsid w:val="0020693D"/>
    <w:rsid w:val="00206A49"/>
    <w:rsid w:val="00206ACC"/>
    <w:rsid w:val="00206C62"/>
    <w:rsid w:val="00206F83"/>
    <w:rsid w:val="002070FF"/>
    <w:rsid w:val="00207698"/>
    <w:rsid w:val="00207AE1"/>
    <w:rsid w:val="00207C04"/>
    <w:rsid w:val="0021028C"/>
    <w:rsid w:val="00210317"/>
    <w:rsid w:val="00210358"/>
    <w:rsid w:val="00210472"/>
    <w:rsid w:val="0021062C"/>
    <w:rsid w:val="00210807"/>
    <w:rsid w:val="00210899"/>
    <w:rsid w:val="002108B6"/>
    <w:rsid w:val="00210AEF"/>
    <w:rsid w:val="00210B1B"/>
    <w:rsid w:val="00210E67"/>
    <w:rsid w:val="00210F29"/>
    <w:rsid w:val="0021101B"/>
    <w:rsid w:val="00211097"/>
    <w:rsid w:val="00211127"/>
    <w:rsid w:val="00211ADA"/>
    <w:rsid w:val="00211B9D"/>
    <w:rsid w:val="00211C5D"/>
    <w:rsid w:val="00211CE5"/>
    <w:rsid w:val="00211FE4"/>
    <w:rsid w:val="00212059"/>
    <w:rsid w:val="00212105"/>
    <w:rsid w:val="00212334"/>
    <w:rsid w:val="0021234F"/>
    <w:rsid w:val="00212548"/>
    <w:rsid w:val="00212835"/>
    <w:rsid w:val="00212CD4"/>
    <w:rsid w:val="00212F5D"/>
    <w:rsid w:val="00212FE3"/>
    <w:rsid w:val="002133E6"/>
    <w:rsid w:val="00213523"/>
    <w:rsid w:val="00213A5D"/>
    <w:rsid w:val="00213B13"/>
    <w:rsid w:val="00213B28"/>
    <w:rsid w:val="00213C17"/>
    <w:rsid w:val="00213EEF"/>
    <w:rsid w:val="00214009"/>
    <w:rsid w:val="00214227"/>
    <w:rsid w:val="002144ED"/>
    <w:rsid w:val="00214617"/>
    <w:rsid w:val="002149A3"/>
    <w:rsid w:val="00214B32"/>
    <w:rsid w:val="00214B78"/>
    <w:rsid w:val="00214E97"/>
    <w:rsid w:val="00215138"/>
    <w:rsid w:val="002152C2"/>
    <w:rsid w:val="002152C4"/>
    <w:rsid w:val="00215320"/>
    <w:rsid w:val="002156B7"/>
    <w:rsid w:val="002158DE"/>
    <w:rsid w:val="00215973"/>
    <w:rsid w:val="00215B16"/>
    <w:rsid w:val="00216049"/>
    <w:rsid w:val="002160AE"/>
    <w:rsid w:val="002160D2"/>
    <w:rsid w:val="0021620D"/>
    <w:rsid w:val="002168DE"/>
    <w:rsid w:val="00216A29"/>
    <w:rsid w:val="00216B0E"/>
    <w:rsid w:val="00216B17"/>
    <w:rsid w:val="00216D52"/>
    <w:rsid w:val="0021719A"/>
    <w:rsid w:val="0021725A"/>
    <w:rsid w:val="00217532"/>
    <w:rsid w:val="002177C6"/>
    <w:rsid w:val="00217C1F"/>
    <w:rsid w:val="00220163"/>
    <w:rsid w:val="002201E2"/>
    <w:rsid w:val="0022024E"/>
    <w:rsid w:val="0022035F"/>
    <w:rsid w:val="0022065C"/>
    <w:rsid w:val="00220D40"/>
    <w:rsid w:val="00220F3B"/>
    <w:rsid w:val="0022126C"/>
    <w:rsid w:val="002212D9"/>
    <w:rsid w:val="0022134C"/>
    <w:rsid w:val="0022152F"/>
    <w:rsid w:val="0022163D"/>
    <w:rsid w:val="002217B7"/>
    <w:rsid w:val="00221A54"/>
    <w:rsid w:val="00221AB9"/>
    <w:rsid w:val="00221CB2"/>
    <w:rsid w:val="00221D3F"/>
    <w:rsid w:val="0022215E"/>
    <w:rsid w:val="00222819"/>
    <w:rsid w:val="0022287A"/>
    <w:rsid w:val="002228BA"/>
    <w:rsid w:val="0022293A"/>
    <w:rsid w:val="002229F5"/>
    <w:rsid w:val="00222E2D"/>
    <w:rsid w:val="00222EE3"/>
    <w:rsid w:val="00222EEB"/>
    <w:rsid w:val="00222F38"/>
    <w:rsid w:val="00222FEA"/>
    <w:rsid w:val="00223014"/>
    <w:rsid w:val="002231FB"/>
    <w:rsid w:val="002234FE"/>
    <w:rsid w:val="00223660"/>
    <w:rsid w:val="002236E7"/>
    <w:rsid w:val="0022371A"/>
    <w:rsid w:val="00223818"/>
    <w:rsid w:val="002239B2"/>
    <w:rsid w:val="00223BFC"/>
    <w:rsid w:val="00223D76"/>
    <w:rsid w:val="002240B2"/>
    <w:rsid w:val="00224192"/>
    <w:rsid w:val="002241FD"/>
    <w:rsid w:val="00224239"/>
    <w:rsid w:val="002244F3"/>
    <w:rsid w:val="00224550"/>
    <w:rsid w:val="00224728"/>
    <w:rsid w:val="002247A1"/>
    <w:rsid w:val="002247B2"/>
    <w:rsid w:val="0022482B"/>
    <w:rsid w:val="00224888"/>
    <w:rsid w:val="0022518C"/>
    <w:rsid w:val="0022551A"/>
    <w:rsid w:val="00225640"/>
    <w:rsid w:val="00225841"/>
    <w:rsid w:val="00225A8A"/>
    <w:rsid w:val="00225C48"/>
    <w:rsid w:val="00225CE6"/>
    <w:rsid w:val="00226245"/>
    <w:rsid w:val="00226603"/>
    <w:rsid w:val="00226686"/>
    <w:rsid w:val="00226690"/>
    <w:rsid w:val="002268A6"/>
    <w:rsid w:val="00226EB0"/>
    <w:rsid w:val="002270CC"/>
    <w:rsid w:val="002272AC"/>
    <w:rsid w:val="00227306"/>
    <w:rsid w:val="002274F6"/>
    <w:rsid w:val="00227568"/>
    <w:rsid w:val="002276E6"/>
    <w:rsid w:val="002277B2"/>
    <w:rsid w:val="002278EF"/>
    <w:rsid w:val="00227AEF"/>
    <w:rsid w:val="002304E5"/>
    <w:rsid w:val="002308E4"/>
    <w:rsid w:val="00230DFC"/>
    <w:rsid w:val="00230F3D"/>
    <w:rsid w:val="00231048"/>
    <w:rsid w:val="00231222"/>
    <w:rsid w:val="0023126F"/>
    <w:rsid w:val="0023127D"/>
    <w:rsid w:val="00231557"/>
    <w:rsid w:val="002316A5"/>
    <w:rsid w:val="002316B9"/>
    <w:rsid w:val="002317AA"/>
    <w:rsid w:val="00231969"/>
    <w:rsid w:val="00231AB9"/>
    <w:rsid w:val="00231AD5"/>
    <w:rsid w:val="00231C3E"/>
    <w:rsid w:val="00231F33"/>
    <w:rsid w:val="00231FE2"/>
    <w:rsid w:val="0023221B"/>
    <w:rsid w:val="002324FC"/>
    <w:rsid w:val="00232570"/>
    <w:rsid w:val="0023258B"/>
    <w:rsid w:val="00232662"/>
    <w:rsid w:val="0023273F"/>
    <w:rsid w:val="00232AAA"/>
    <w:rsid w:val="00232E00"/>
    <w:rsid w:val="00232F77"/>
    <w:rsid w:val="00232FDB"/>
    <w:rsid w:val="00233115"/>
    <w:rsid w:val="002331ED"/>
    <w:rsid w:val="00233240"/>
    <w:rsid w:val="002333B8"/>
    <w:rsid w:val="002333CE"/>
    <w:rsid w:val="00233488"/>
    <w:rsid w:val="002335F4"/>
    <w:rsid w:val="002338CF"/>
    <w:rsid w:val="00233C85"/>
    <w:rsid w:val="00233CDF"/>
    <w:rsid w:val="00233CFE"/>
    <w:rsid w:val="00233D6A"/>
    <w:rsid w:val="0023414F"/>
    <w:rsid w:val="00234215"/>
    <w:rsid w:val="0023427B"/>
    <w:rsid w:val="00234435"/>
    <w:rsid w:val="00234571"/>
    <w:rsid w:val="00234D34"/>
    <w:rsid w:val="00234D5A"/>
    <w:rsid w:val="002352E6"/>
    <w:rsid w:val="00235474"/>
    <w:rsid w:val="00235685"/>
    <w:rsid w:val="002357C7"/>
    <w:rsid w:val="00235CE2"/>
    <w:rsid w:val="00236035"/>
    <w:rsid w:val="0023610C"/>
    <w:rsid w:val="002361F9"/>
    <w:rsid w:val="00236320"/>
    <w:rsid w:val="002363FA"/>
    <w:rsid w:val="00236653"/>
    <w:rsid w:val="0023668F"/>
    <w:rsid w:val="002366CE"/>
    <w:rsid w:val="002366F1"/>
    <w:rsid w:val="00236824"/>
    <w:rsid w:val="00236B61"/>
    <w:rsid w:val="00236CC1"/>
    <w:rsid w:val="00236D4B"/>
    <w:rsid w:val="00236D8D"/>
    <w:rsid w:val="0023714B"/>
    <w:rsid w:val="0023745C"/>
    <w:rsid w:val="00237594"/>
    <w:rsid w:val="00237672"/>
    <w:rsid w:val="00237B12"/>
    <w:rsid w:val="002402DB"/>
    <w:rsid w:val="00240444"/>
    <w:rsid w:val="00240512"/>
    <w:rsid w:val="00240611"/>
    <w:rsid w:val="0024112F"/>
    <w:rsid w:val="002411A2"/>
    <w:rsid w:val="0024150B"/>
    <w:rsid w:val="00241608"/>
    <w:rsid w:val="002419EF"/>
    <w:rsid w:val="00241AFD"/>
    <w:rsid w:val="0024235F"/>
    <w:rsid w:val="00242A7B"/>
    <w:rsid w:val="00242EEC"/>
    <w:rsid w:val="00242FF9"/>
    <w:rsid w:val="002431C6"/>
    <w:rsid w:val="002434DC"/>
    <w:rsid w:val="00243898"/>
    <w:rsid w:val="00243E03"/>
    <w:rsid w:val="00244262"/>
    <w:rsid w:val="0024426F"/>
    <w:rsid w:val="0024462F"/>
    <w:rsid w:val="002448A9"/>
    <w:rsid w:val="00245384"/>
    <w:rsid w:val="002456C6"/>
    <w:rsid w:val="0024596B"/>
    <w:rsid w:val="00245BB4"/>
    <w:rsid w:val="00245E08"/>
    <w:rsid w:val="00245F30"/>
    <w:rsid w:val="00245FE3"/>
    <w:rsid w:val="0024621F"/>
    <w:rsid w:val="002468C0"/>
    <w:rsid w:val="00246C05"/>
    <w:rsid w:val="00246F8B"/>
    <w:rsid w:val="0024717A"/>
    <w:rsid w:val="00247200"/>
    <w:rsid w:val="0024746B"/>
    <w:rsid w:val="00247657"/>
    <w:rsid w:val="00247A43"/>
    <w:rsid w:val="00247F69"/>
    <w:rsid w:val="00250203"/>
    <w:rsid w:val="00250380"/>
    <w:rsid w:val="00250475"/>
    <w:rsid w:val="0025078C"/>
    <w:rsid w:val="002507AB"/>
    <w:rsid w:val="00251157"/>
    <w:rsid w:val="0025165E"/>
    <w:rsid w:val="0025170F"/>
    <w:rsid w:val="00251ECC"/>
    <w:rsid w:val="00251F2C"/>
    <w:rsid w:val="002520F0"/>
    <w:rsid w:val="002526EA"/>
    <w:rsid w:val="0025271D"/>
    <w:rsid w:val="00252B24"/>
    <w:rsid w:val="00252C3D"/>
    <w:rsid w:val="00252F84"/>
    <w:rsid w:val="00253295"/>
    <w:rsid w:val="002535CE"/>
    <w:rsid w:val="0025362E"/>
    <w:rsid w:val="00253BA9"/>
    <w:rsid w:val="00253EF6"/>
    <w:rsid w:val="00253F49"/>
    <w:rsid w:val="00253FF2"/>
    <w:rsid w:val="0025448B"/>
    <w:rsid w:val="002544CB"/>
    <w:rsid w:val="002545C8"/>
    <w:rsid w:val="00254825"/>
    <w:rsid w:val="002548EC"/>
    <w:rsid w:val="00254AEB"/>
    <w:rsid w:val="00254C41"/>
    <w:rsid w:val="00254F21"/>
    <w:rsid w:val="00254F40"/>
    <w:rsid w:val="002553F8"/>
    <w:rsid w:val="0025551F"/>
    <w:rsid w:val="00255548"/>
    <w:rsid w:val="002557ED"/>
    <w:rsid w:val="00255C5E"/>
    <w:rsid w:val="0025659C"/>
    <w:rsid w:val="002566E8"/>
    <w:rsid w:val="00256AA3"/>
    <w:rsid w:val="00256DEF"/>
    <w:rsid w:val="00256FD5"/>
    <w:rsid w:val="00257455"/>
    <w:rsid w:val="00257A44"/>
    <w:rsid w:val="00257B23"/>
    <w:rsid w:val="00260749"/>
    <w:rsid w:val="002607B7"/>
    <w:rsid w:val="002609A6"/>
    <w:rsid w:val="00260B86"/>
    <w:rsid w:val="00260EAC"/>
    <w:rsid w:val="00261011"/>
    <w:rsid w:val="00261018"/>
    <w:rsid w:val="002611E2"/>
    <w:rsid w:val="00261328"/>
    <w:rsid w:val="0026140E"/>
    <w:rsid w:val="002619F4"/>
    <w:rsid w:val="002619FB"/>
    <w:rsid w:val="00261A0D"/>
    <w:rsid w:val="00261DCB"/>
    <w:rsid w:val="00262577"/>
    <w:rsid w:val="00262773"/>
    <w:rsid w:val="002627BD"/>
    <w:rsid w:val="00262BB1"/>
    <w:rsid w:val="00262CCB"/>
    <w:rsid w:val="00262D43"/>
    <w:rsid w:val="00263198"/>
    <w:rsid w:val="002631A7"/>
    <w:rsid w:val="002631E3"/>
    <w:rsid w:val="0026333E"/>
    <w:rsid w:val="002633C4"/>
    <w:rsid w:val="0026347A"/>
    <w:rsid w:val="0026368D"/>
    <w:rsid w:val="00263824"/>
    <w:rsid w:val="0026397D"/>
    <w:rsid w:val="00263B2D"/>
    <w:rsid w:val="00263D58"/>
    <w:rsid w:val="00263DEC"/>
    <w:rsid w:val="00263F6D"/>
    <w:rsid w:val="002640B2"/>
    <w:rsid w:val="00264724"/>
    <w:rsid w:val="002647A1"/>
    <w:rsid w:val="002647C6"/>
    <w:rsid w:val="002648AE"/>
    <w:rsid w:val="0026495D"/>
    <w:rsid w:val="00264B28"/>
    <w:rsid w:val="00264C3A"/>
    <w:rsid w:val="00264D19"/>
    <w:rsid w:val="00264E42"/>
    <w:rsid w:val="0026515F"/>
    <w:rsid w:val="0026518B"/>
    <w:rsid w:val="00265466"/>
    <w:rsid w:val="0026576E"/>
    <w:rsid w:val="00265820"/>
    <w:rsid w:val="00265B86"/>
    <w:rsid w:val="00265D05"/>
    <w:rsid w:val="00265D26"/>
    <w:rsid w:val="00266105"/>
    <w:rsid w:val="0026638A"/>
    <w:rsid w:val="00266468"/>
    <w:rsid w:val="0026694D"/>
    <w:rsid w:val="00266A5A"/>
    <w:rsid w:val="00266A8E"/>
    <w:rsid w:val="00266AA7"/>
    <w:rsid w:val="00266B4A"/>
    <w:rsid w:val="00266E63"/>
    <w:rsid w:val="002670BE"/>
    <w:rsid w:val="002674A8"/>
    <w:rsid w:val="00267633"/>
    <w:rsid w:val="00267949"/>
    <w:rsid w:val="00267C21"/>
    <w:rsid w:val="00267E0C"/>
    <w:rsid w:val="00267F84"/>
    <w:rsid w:val="0027044B"/>
    <w:rsid w:val="0027049F"/>
    <w:rsid w:val="0027053E"/>
    <w:rsid w:val="00270542"/>
    <w:rsid w:val="0027067D"/>
    <w:rsid w:val="0027071B"/>
    <w:rsid w:val="00270832"/>
    <w:rsid w:val="0027083F"/>
    <w:rsid w:val="002708F5"/>
    <w:rsid w:val="00270D03"/>
    <w:rsid w:val="00270E8D"/>
    <w:rsid w:val="002711AB"/>
    <w:rsid w:val="0027123E"/>
    <w:rsid w:val="002713EA"/>
    <w:rsid w:val="00271466"/>
    <w:rsid w:val="00271533"/>
    <w:rsid w:val="00271808"/>
    <w:rsid w:val="0027181E"/>
    <w:rsid w:val="00271871"/>
    <w:rsid w:val="00271872"/>
    <w:rsid w:val="0027197E"/>
    <w:rsid w:val="00271986"/>
    <w:rsid w:val="00271AB1"/>
    <w:rsid w:val="00271CCD"/>
    <w:rsid w:val="00271DDB"/>
    <w:rsid w:val="00271DE4"/>
    <w:rsid w:val="00271F6F"/>
    <w:rsid w:val="00272373"/>
    <w:rsid w:val="002724BF"/>
    <w:rsid w:val="00272578"/>
    <w:rsid w:val="002729E7"/>
    <w:rsid w:val="00272A45"/>
    <w:rsid w:val="00272C03"/>
    <w:rsid w:val="00272F68"/>
    <w:rsid w:val="0027315C"/>
    <w:rsid w:val="002735D3"/>
    <w:rsid w:val="00273646"/>
    <w:rsid w:val="002736A9"/>
    <w:rsid w:val="00273ACB"/>
    <w:rsid w:val="00273DFA"/>
    <w:rsid w:val="00273F84"/>
    <w:rsid w:val="002740FD"/>
    <w:rsid w:val="0027414A"/>
    <w:rsid w:val="0027466B"/>
    <w:rsid w:val="002746DC"/>
    <w:rsid w:val="00274744"/>
    <w:rsid w:val="00274A4B"/>
    <w:rsid w:val="00274FF5"/>
    <w:rsid w:val="002753E8"/>
    <w:rsid w:val="0027553C"/>
    <w:rsid w:val="00275E71"/>
    <w:rsid w:val="00276BD1"/>
    <w:rsid w:val="00276C68"/>
    <w:rsid w:val="00276CC8"/>
    <w:rsid w:val="00276E6F"/>
    <w:rsid w:val="0027704A"/>
    <w:rsid w:val="00277657"/>
    <w:rsid w:val="00277862"/>
    <w:rsid w:val="00277D5D"/>
    <w:rsid w:val="00280049"/>
    <w:rsid w:val="002803B7"/>
    <w:rsid w:val="0028064A"/>
    <w:rsid w:val="00280841"/>
    <w:rsid w:val="00280A3F"/>
    <w:rsid w:val="00280AEC"/>
    <w:rsid w:val="00280CDE"/>
    <w:rsid w:val="0028101C"/>
    <w:rsid w:val="002810E0"/>
    <w:rsid w:val="0028115A"/>
    <w:rsid w:val="002811E9"/>
    <w:rsid w:val="00281571"/>
    <w:rsid w:val="002816D2"/>
    <w:rsid w:val="00281807"/>
    <w:rsid w:val="00281C7B"/>
    <w:rsid w:val="00281D1D"/>
    <w:rsid w:val="00281DCE"/>
    <w:rsid w:val="00281F0C"/>
    <w:rsid w:val="00281F35"/>
    <w:rsid w:val="0028235D"/>
    <w:rsid w:val="00282716"/>
    <w:rsid w:val="002827E4"/>
    <w:rsid w:val="00282BED"/>
    <w:rsid w:val="00282C10"/>
    <w:rsid w:val="00282CC6"/>
    <w:rsid w:val="00282D29"/>
    <w:rsid w:val="00282E7B"/>
    <w:rsid w:val="002830EC"/>
    <w:rsid w:val="0028313A"/>
    <w:rsid w:val="00283402"/>
    <w:rsid w:val="00283661"/>
    <w:rsid w:val="002839E8"/>
    <w:rsid w:val="00283C56"/>
    <w:rsid w:val="00283CFB"/>
    <w:rsid w:val="00283F20"/>
    <w:rsid w:val="00283FF8"/>
    <w:rsid w:val="0028426C"/>
    <w:rsid w:val="002842AB"/>
    <w:rsid w:val="002842E1"/>
    <w:rsid w:val="002844FB"/>
    <w:rsid w:val="0028454D"/>
    <w:rsid w:val="002853C7"/>
    <w:rsid w:val="00285814"/>
    <w:rsid w:val="00285846"/>
    <w:rsid w:val="002858C6"/>
    <w:rsid w:val="002858DE"/>
    <w:rsid w:val="00285949"/>
    <w:rsid w:val="00285971"/>
    <w:rsid w:val="002859F2"/>
    <w:rsid w:val="00285C0B"/>
    <w:rsid w:val="00285C7A"/>
    <w:rsid w:val="002864F7"/>
    <w:rsid w:val="00286950"/>
    <w:rsid w:val="00286ACC"/>
    <w:rsid w:val="00286D7C"/>
    <w:rsid w:val="0028732D"/>
    <w:rsid w:val="0028733D"/>
    <w:rsid w:val="00287421"/>
    <w:rsid w:val="00287C13"/>
    <w:rsid w:val="00287C82"/>
    <w:rsid w:val="00287FB7"/>
    <w:rsid w:val="002901E7"/>
    <w:rsid w:val="002904D3"/>
    <w:rsid w:val="002905E4"/>
    <w:rsid w:val="00290710"/>
    <w:rsid w:val="0029094C"/>
    <w:rsid w:val="00290984"/>
    <w:rsid w:val="00290CB6"/>
    <w:rsid w:val="00290D5B"/>
    <w:rsid w:val="00290F77"/>
    <w:rsid w:val="00291036"/>
    <w:rsid w:val="00291258"/>
    <w:rsid w:val="00291474"/>
    <w:rsid w:val="002919DF"/>
    <w:rsid w:val="00291A82"/>
    <w:rsid w:val="00291C15"/>
    <w:rsid w:val="00291DAB"/>
    <w:rsid w:val="00291E16"/>
    <w:rsid w:val="00291F62"/>
    <w:rsid w:val="0029246D"/>
    <w:rsid w:val="00292562"/>
    <w:rsid w:val="00292581"/>
    <w:rsid w:val="00292590"/>
    <w:rsid w:val="002929F5"/>
    <w:rsid w:val="00292BC6"/>
    <w:rsid w:val="00292C58"/>
    <w:rsid w:val="00292D73"/>
    <w:rsid w:val="00292D89"/>
    <w:rsid w:val="00292E44"/>
    <w:rsid w:val="00293008"/>
    <w:rsid w:val="00293334"/>
    <w:rsid w:val="002933C6"/>
    <w:rsid w:val="00293553"/>
    <w:rsid w:val="00293671"/>
    <w:rsid w:val="00293970"/>
    <w:rsid w:val="00293992"/>
    <w:rsid w:val="00293B14"/>
    <w:rsid w:val="00293C63"/>
    <w:rsid w:val="00293FA4"/>
    <w:rsid w:val="002942BA"/>
    <w:rsid w:val="002943F7"/>
    <w:rsid w:val="0029462A"/>
    <w:rsid w:val="00294832"/>
    <w:rsid w:val="00294B13"/>
    <w:rsid w:val="00294CFE"/>
    <w:rsid w:val="00294D6D"/>
    <w:rsid w:val="00294EEC"/>
    <w:rsid w:val="00295162"/>
    <w:rsid w:val="002954BE"/>
    <w:rsid w:val="00295509"/>
    <w:rsid w:val="002958CD"/>
    <w:rsid w:val="00295B9F"/>
    <w:rsid w:val="00295C07"/>
    <w:rsid w:val="00295C89"/>
    <w:rsid w:val="00295E7B"/>
    <w:rsid w:val="00295F81"/>
    <w:rsid w:val="00296139"/>
    <w:rsid w:val="00296195"/>
    <w:rsid w:val="00296231"/>
    <w:rsid w:val="002962C0"/>
    <w:rsid w:val="00296440"/>
    <w:rsid w:val="002967F7"/>
    <w:rsid w:val="00296AA9"/>
    <w:rsid w:val="00296BE1"/>
    <w:rsid w:val="00296E33"/>
    <w:rsid w:val="00296F8A"/>
    <w:rsid w:val="002973F6"/>
    <w:rsid w:val="002974B9"/>
    <w:rsid w:val="00297625"/>
    <w:rsid w:val="00297AE9"/>
    <w:rsid w:val="00297B51"/>
    <w:rsid w:val="00297CE6"/>
    <w:rsid w:val="00297DD7"/>
    <w:rsid w:val="002A0403"/>
    <w:rsid w:val="002A067E"/>
    <w:rsid w:val="002A0702"/>
    <w:rsid w:val="002A0815"/>
    <w:rsid w:val="002A08DF"/>
    <w:rsid w:val="002A09B4"/>
    <w:rsid w:val="002A0BA2"/>
    <w:rsid w:val="002A100C"/>
    <w:rsid w:val="002A1748"/>
    <w:rsid w:val="002A18C8"/>
    <w:rsid w:val="002A1A74"/>
    <w:rsid w:val="002A1D82"/>
    <w:rsid w:val="002A20B3"/>
    <w:rsid w:val="002A2619"/>
    <w:rsid w:val="002A29D5"/>
    <w:rsid w:val="002A2D5B"/>
    <w:rsid w:val="002A3049"/>
    <w:rsid w:val="002A3250"/>
    <w:rsid w:val="002A35A1"/>
    <w:rsid w:val="002A3983"/>
    <w:rsid w:val="002A3A98"/>
    <w:rsid w:val="002A3B00"/>
    <w:rsid w:val="002A3EB4"/>
    <w:rsid w:val="002A3F7C"/>
    <w:rsid w:val="002A42C6"/>
    <w:rsid w:val="002A456B"/>
    <w:rsid w:val="002A4734"/>
    <w:rsid w:val="002A4855"/>
    <w:rsid w:val="002A4929"/>
    <w:rsid w:val="002A49BF"/>
    <w:rsid w:val="002A4B4B"/>
    <w:rsid w:val="002A4C2F"/>
    <w:rsid w:val="002A4FBC"/>
    <w:rsid w:val="002A51B5"/>
    <w:rsid w:val="002A51C4"/>
    <w:rsid w:val="002A5372"/>
    <w:rsid w:val="002A58FF"/>
    <w:rsid w:val="002A5974"/>
    <w:rsid w:val="002A5BF6"/>
    <w:rsid w:val="002A5C53"/>
    <w:rsid w:val="002A603A"/>
    <w:rsid w:val="002A6556"/>
    <w:rsid w:val="002A69B6"/>
    <w:rsid w:val="002A6AC2"/>
    <w:rsid w:val="002A6B85"/>
    <w:rsid w:val="002A6DF4"/>
    <w:rsid w:val="002A6FAA"/>
    <w:rsid w:val="002A72CE"/>
    <w:rsid w:val="002A7314"/>
    <w:rsid w:val="002A7355"/>
    <w:rsid w:val="002A738E"/>
    <w:rsid w:val="002A7788"/>
    <w:rsid w:val="002A78A7"/>
    <w:rsid w:val="002A7B2F"/>
    <w:rsid w:val="002A7E0A"/>
    <w:rsid w:val="002B073B"/>
    <w:rsid w:val="002B08B7"/>
    <w:rsid w:val="002B0997"/>
    <w:rsid w:val="002B0A91"/>
    <w:rsid w:val="002B0CA0"/>
    <w:rsid w:val="002B0D1F"/>
    <w:rsid w:val="002B0D83"/>
    <w:rsid w:val="002B17B6"/>
    <w:rsid w:val="002B1B6C"/>
    <w:rsid w:val="002B1C9B"/>
    <w:rsid w:val="002B1D3F"/>
    <w:rsid w:val="002B21DC"/>
    <w:rsid w:val="002B2257"/>
    <w:rsid w:val="002B250B"/>
    <w:rsid w:val="002B297A"/>
    <w:rsid w:val="002B2CD8"/>
    <w:rsid w:val="002B2CEC"/>
    <w:rsid w:val="002B2D66"/>
    <w:rsid w:val="002B2E28"/>
    <w:rsid w:val="002B3112"/>
    <w:rsid w:val="002B31A1"/>
    <w:rsid w:val="002B32B4"/>
    <w:rsid w:val="002B3343"/>
    <w:rsid w:val="002B3497"/>
    <w:rsid w:val="002B3725"/>
    <w:rsid w:val="002B3AFE"/>
    <w:rsid w:val="002B3BA2"/>
    <w:rsid w:val="002B455E"/>
    <w:rsid w:val="002B48DA"/>
    <w:rsid w:val="002B4B56"/>
    <w:rsid w:val="002B4B91"/>
    <w:rsid w:val="002B4D9D"/>
    <w:rsid w:val="002B4EE9"/>
    <w:rsid w:val="002B538E"/>
    <w:rsid w:val="002B540B"/>
    <w:rsid w:val="002B56B4"/>
    <w:rsid w:val="002B5B07"/>
    <w:rsid w:val="002B5C56"/>
    <w:rsid w:val="002B5CEB"/>
    <w:rsid w:val="002B5F10"/>
    <w:rsid w:val="002B603B"/>
    <w:rsid w:val="002B603F"/>
    <w:rsid w:val="002B6151"/>
    <w:rsid w:val="002B61D5"/>
    <w:rsid w:val="002B63CB"/>
    <w:rsid w:val="002B6576"/>
    <w:rsid w:val="002B65AE"/>
    <w:rsid w:val="002B65E2"/>
    <w:rsid w:val="002B6678"/>
    <w:rsid w:val="002B6753"/>
    <w:rsid w:val="002B680D"/>
    <w:rsid w:val="002B685F"/>
    <w:rsid w:val="002B6B7A"/>
    <w:rsid w:val="002B6FDE"/>
    <w:rsid w:val="002B75D5"/>
    <w:rsid w:val="002B7635"/>
    <w:rsid w:val="002B7649"/>
    <w:rsid w:val="002B794D"/>
    <w:rsid w:val="002B7A00"/>
    <w:rsid w:val="002B7C57"/>
    <w:rsid w:val="002B7CAB"/>
    <w:rsid w:val="002B7E19"/>
    <w:rsid w:val="002C018E"/>
    <w:rsid w:val="002C019E"/>
    <w:rsid w:val="002C02E6"/>
    <w:rsid w:val="002C03E6"/>
    <w:rsid w:val="002C0581"/>
    <w:rsid w:val="002C0894"/>
    <w:rsid w:val="002C0AFF"/>
    <w:rsid w:val="002C0B1E"/>
    <w:rsid w:val="002C10B2"/>
    <w:rsid w:val="002C114A"/>
    <w:rsid w:val="002C16DA"/>
    <w:rsid w:val="002C16E1"/>
    <w:rsid w:val="002C16ED"/>
    <w:rsid w:val="002C193A"/>
    <w:rsid w:val="002C1F39"/>
    <w:rsid w:val="002C2034"/>
    <w:rsid w:val="002C229F"/>
    <w:rsid w:val="002C24D1"/>
    <w:rsid w:val="002C25AD"/>
    <w:rsid w:val="002C26A4"/>
    <w:rsid w:val="002C2970"/>
    <w:rsid w:val="002C2CE2"/>
    <w:rsid w:val="002C2D01"/>
    <w:rsid w:val="002C2D8C"/>
    <w:rsid w:val="002C2DBA"/>
    <w:rsid w:val="002C2E30"/>
    <w:rsid w:val="002C2FDB"/>
    <w:rsid w:val="002C3134"/>
    <w:rsid w:val="002C32B9"/>
    <w:rsid w:val="002C3333"/>
    <w:rsid w:val="002C34AA"/>
    <w:rsid w:val="002C3849"/>
    <w:rsid w:val="002C3B58"/>
    <w:rsid w:val="002C3F54"/>
    <w:rsid w:val="002C40D9"/>
    <w:rsid w:val="002C421C"/>
    <w:rsid w:val="002C435D"/>
    <w:rsid w:val="002C47CA"/>
    <w:rsid w:val="002C4AD4"/>
    <w:rsid w:val="002C5156"/>
    <w:rsid w:val="002C5245"/>
    <w:rsid w:val="002C5635"/>
    <w:rsid w:val="002C5A42"/>
    <w:rsid w:val="002C5C00"/>
    <w:rsid w:val="002C5C0F"/>
    <w:rsid w:val="002C5C4F"/>
    <w:rsid w:val="002C6045"/>
    <w:rsid w:val="002C6A0F"/>
    <w:rsid w:val="002C6B4E"/>
    <w:rsid w:val="002C6CC6"/>
    <w:rsid w:val="002C6DED"/>
    <w:rsid w:val="002C71BE"/>
    <w:rsid w:val="002C747A"/>
    <w:rsid w:val="002C7742"/>
    <w:rsid w:val="002C7A53"/>
    <w:rsid w:val="002C7E5E"/>
    <w:rsid w:val="002C7F6F"/>
    <w:rsid w:val="002D0031"/>
    <w:rsid w:val="002D01ED"/>
    <w:rsid w:val="002D026C"/>
    <w:rsid w:val="002D043C"/>
    <w:rsid w:val="002D0472"/>
    <w:rsid w:val="002D07FC"/>
    <w:rsid w:val="002D155B"/>
    <w:rsid w:val="002D15F8"/>
    <w:rsid w:val="002D16DD"/>
    <w:rsid w:val="002D180B"/>
    <w:rsid w:val="002D19F9"/>
    <w:rsid w:val="002D1A90"/>
    <w:rsid w:val="002D1D01"/>
    <w:rsid w:val="002D1E39"/>
    <w:rsid w:val="002D1E92"/>
    <w:rsid w:val="002D20F8"/>
    <w:rsid w:val="002D2263"/>
    <w:rsid w:val="002D26C7"/>
    <w:rsid w:val="002D2705"/>
    <w:rsid w:val="002D2A46"/>
    <w:rsid w:val="002D2CD0"/>
    <w:rsid w:val="002D2F3B"/>
    <w:rsid w:val="002D3BDB"/>
    <w:rsid w:val="002D3D06"/>
    <w:rsid w:val="002D405C"/>
    <w:rsid w:val="002D4252"/>
    <w:rsid w:val="002D4271"/>
    <w:rsid w:val="002D4622"/>
    <w:rsid w:val="002D4811"/>
    <w:rsid w:val="002D4C14"/>
    <w:rsid w:val="002D4FE7"/>
    <w:rsid w:val="002D5609"/>
    <w:rsid w:val="002D5AC2"/>
    <w:rsid w:val="002D5CB4"/>
    <w:rsid w:val="002D5D88"/>
    <w:rsid w:val="002D5E81"/>
    <w:rsid w:val="002D623B"/>
    <w:rsid w:val="002D64B4"/>
    <w:rsid w:val="002D6549"/>
    <w:rsid w:val="002D68A9"/>
    <w:rsid w:val="002D6E48"/>
    <w:rsid w:val="002D6ED3"/>
    <w:rsid w:val="002D72A6"/>
    <w:rsid w:val="002D7526"/>
    <w:rsid w:val="002D77D4"/>
    <w:rsid w:val="002D7A16"/>
    <w:rsid w:val="002D7DEE"/>
    <w:rsid w:val="002D7F05"/>
    <w:rsid w:val="002D7FEA"/>
    <w:rsid w:val="002E00DE"/>
    <w:rsid w:val="002E00EC"/>
    <w:rsid w:val="002E02BB"/>
    <w:rsid w:val="002E02F4"/>
    <w:rsid w:val="002E076E"/>
    <w:rsid w:val="002E0828"/>
    <w:rsid w:val="002E085A"/>
    <w:rsid w:val="002E0861"/>
    <w:rsid w:val="002E0C99"/>
    <w:rsid w:val="002E0CA9"/>
    <w:rsid w:val="002E0D02"/>
    <w:rsid w:val="002E1129"/>
    <w:rsid w:val="002E1370"/>
    <w:rsid w:val="002E1462"/>
    <w:rsid w:val="002E1A09"/>
    <w:rsid w:val="002E1B22"/>
    <w:rsid w:val="002E1C6F"/>
    <w:rsid w:val="002E1E30"/>
    <w:rsid w:val="002E2195"/>
    <w:rsid w:val="002E22D9"/>
    <w:rsid w:val="002E261F"/>
    <w:rsid w:val="002E2731"/>
    <w:rsid w:val="002E2907"/>
    <w:rsid w:val="002E2959"/>
    <w:rsid w:val="002E2A0C"/>
    <w:rsid w:val="002E2D6A"/>
    <w:rsid w:val="002E2E4E"/>
    <w:rsid w:val="002E2F57"/>
    <w:rsid w:val="002E3077"/>
    <w:rsid w:val="002E30EF"/>
    <w:rsid w:val="002E3107"/>
    <w:rsid w:val="002E3235"/>
    <w:rsid w:val="002E402E"/>
    <w:rsid w:val="002E409C"/>
    <w:rsid w:val="002E40E2"/>
    <w:rsid w:val="002E42A4"/>
    <w:rsid w:val="002E434D"/>
    <w:rsid w:val="002E43EE"/>
    <w:rsid w:val="002E45AA"/>
    <w:rsid w:val="002E49C4"/>
    <w:rsid w:val="002E4A24"/>
    <w:rsid w:val="002E4AF8"/>
    <w:rsid w:val="002E4B0F"/>
    <w:rsid w:val="002E4ED8"/>
    <w:rsid w:val="002E4F8C"/>
    <w:rsid w:val="002E507F"/>
    <w:rsid w:val="002E5140"/>
    <w:rsid w:val="002E5341"/>
    <w:rsid w:val="002E53D9"/>
    <w:rsid w:val="002E5561"/>
    <w:rsid w:val="002E5593"/>
    <w:rsid w:val="002E5663"/>
    <w:rsid w:val="002E57D1"/>
    <w:rsid w:val="002E58AD"/>
    <w:rsid w:val="002E5AB1"/>
    <w:rsid w:val="002E5CC1"/>
    <w:rsid w:val="002E5D8C"/>
    <w:rsid w:val="002E5E2C"/>
    <w:rsid w:val="002E5FC7"/>
    <w:rsid w:val="002E6054"/>
    <w:rsid w:val="002E6917"/>
    <w:rsid w:val="002E6AA1"/>
    <w:rsid w:val="002E6C70"/>
    <w:rsid w:val="002E7082"/>
    <w:rsid w:val="002E74E8"/>
    <w:rsid w:val="002E7567"/>
    <w:rsid w:val="002E7652"/>
    <w:rsid w:val="002E778B"/>
    <w:rsid w:val="002E7840"/>
    <w:rsid w:val="002E79B4"/>
    <w:rsid w:val="002E7B99"/>
    <w:rsid w:val="002E7FBE"/>
    <w:rsid w:val="002F0775"/>
    <w:rsid w:val="002F0B2A"/>
    <w:rsid w:val="002F0F96"/>
    <w:rsid w:val="002F10F1"/>
    <w:rsid w:val="002F1251"/>
    <w:rsid w:val="002F12D9"/>
    <w:rsid w:val="002F144B"/>
    <w:rsid w:val="002F1828"/>
    <w:rsid w:val="002F1842"/>
    <w:rsid w:val="002F1956"/>
    <w:rsid w:val="002F1CCC"/>
    <w:rsid w:val="002F1F37"/>
    <w:rsid w:val="002F23B0"/>
    <w:rsid w:val="002F2544"/>
    <w:rsid w:val="002F2587"/>
    <w:rsid w:val="002F29A4"/>
    <w:rsid w:val="002F2C0D"/>
    <w:rsid w:val="002F3437"/>
    <w:rsid w:val="002F35BB"/>
    <w:rsid w:val="002F3687"/>
    <w:rsid w:val="002F3AC7"/>
    <w:rsid w:val="002F3C2E"/>
    <w:rsid w:val="002F3DD5"/>
    <w:rsid w:val="002F4026"/>
    <w:rsid w:val="002F4034"/>
    <w:rsid w:val="002F417C"/>
    <w:rsid w:val="002F4347"/>
    <w:rsid w:val="002F4822"/>
    <w:rsid w:val="002F4B02"/>
    <w:rsid w:val="002F4CCE"/>
    <w:rsid w:val="002F5757"/>
    <w:rsid w:val="002F579D"/>
    <w:rsid w:val="002F5AC6"/>
    <w:rsid w:val="002F5B14"/>
    <w:rsid w:val="002F5C7E"/>
    <w:rsid w:val="002F5D63"/>
    <w:rsid w:val="002F6223"/>
    <w:rsid w:val="002F63CB"/>
    <w:rsid w:val="002F65BF"/>
    <w:rsid w:val="002F6849"/>
    <w:rsid w:val="002F68B1"/>
    <w:rsid w:val="002F6ABE"/>
    <w:rsid w:val="002F6DB8"/>
    <w:rsid w:val="002F7062"/>
    <w:rsid w:val="002F72EE"/>
    <w:rsid w:val="002F79D2"/>
    <w:rsid w:val="002F7B41"/>
    <w:rsid w:val="002F7CD6"/>
    <w:rsid w:val="002F7D0F"/>
    <w:rsid w:val="003000AC"/>
    <w:rsid w:val="00300264"/>
    <w:rsid w:val="00300401"/>
    <w:rsid w:val="003006B2"/>
    <w:rsid w:val="0030099E"/>
    <w:rsid w:val="00300C6F"/>
    <w:rsid w:val="00300D47"/>
    <w:rsid w:val="00300DEA"/>
    <w:rsid w:val="00300F1A"/>
    <w:rsid w:val="00300F7E"/>
    <w:rsid w:val="00300FEB"/>
    <w:rsid w:val="003017A8"/>
    <w:rsid w:val="003017E6"/>
    <w:rsid w:val="003019B2"/>
    <w:rsid w:val="00301A65"/>
    <w:rsid w:val="00301AD1"/>
    <w:rsid w:val="00301B69"/>
    <w:rsid w:val="00301D34"/>
    <w:rsid w:val="00301EFB"/>
    <w:rsid w:val="00302135"/>
    <w:rsid w:val="00302256"/>
    <w:rsid w:val="00302757"/>
    <w:rsid w:val="00302CE6"/>
    <w:rsid w:val="00302DD4"/>
    <w:rsid w:val="00302E92"/>
    <w:rsid w:val="00302FE9"/>
    <w:rsid w:val="0030354E"/>
    <w:rsid w:val="00303849"/>
    <w:rsid w:val="003039EF"/>
    <w:rsid w:val="00303A6D"/>
    <w:rsid w:val="00303D1F"/>
    <w:rsid w:val="00303EA6"/>
    <w:rsid w:val="00304521"/>
    <w:rsid w:val="00304549"/>
    <w:rsid w:val="00304643"/>
    <w:rsid w:val="003046B4"/>
    <w:rsid w:val="00304CC3"/>
    <w:rsid w:val="00304D27"/>
    <w:rsid w:val="00304D59"/>
    <w:rsid w:val="00304DD4"/>
    <w:rsid w:val="00304FCD"/>
    <w:rsid w:val="00304FE4"/>
    <w:rsid w:val="00305109"/>
    <w:rsid w:val="003057ED"/>
    <w:rsid w:val="00305A9B"/>
    <w:rsid w:val="00305FD4"/>
    <w:rsid w:val="00306014"/>
    <w:rsid w:val="003060DB"/>
    <w:rsid w:val="00306103"/>
    <w:rsid w:val="0030695D"/>
    <w:rsid w:val="00306C49"/>
    <w:rsid w:val="00306D98"/>
    <w:rsid w:val="00306DA4"/>
    <w:rsid w:val="00306EDB"/>
    <w:rsid w:val="00307705"/>
    <w:rsid w:val="00307B13"/>
    <w:rsid w:val="00307B40"/>
    <w:rsid w:val="003100CC"/>
    <w:rsid w:val="003103FF"/>
    <w:rsid w:val="003104C1"/>
    <w:rsid w:val="00310520"/>
    <w:rsid w:val="00310888"/>
    <w:rsid w:val="00310A22"/>
    <w:rsid w:val="00310C30"/>
    <w:rsid w:val="00310D11"/>
    <w:rsid w:val="00310FED"/>
    <w:rsid w:val="0031104A"/>
    <w:rsid w:val="00311068"/>
    <w:rsid w:val="0031133F"/>
    <w:rsid w:val="003117A3"/>
    <w:rsid w:val="003119ED"/>
    <w:rsid w:val="00311A25"/>
    <w:rsid w:val="00311D4E"/>
    <w:rsid w:val="00311DB1"/>
    <w:rsid w:val="00311E01"/>
    <w:rsid w:val="00311F36"/>
    <w:rsid w:val="00312495"/>
    <w:rsid w:val="003124F6"/>
    <w:rsid w:val="0031254B"/>
    <w:rsid w:val="00312A6D"/>
    <w:rsid w:val="00312C24"/>
    <w:rsid w:val="00312E0B"/>
    <w:rsid w:val="0031372E"/>
    <w:rsid w:val="003137A9"/>
    <w:rsid w:val="0031398C"/>
    <w:rsid w:val="00313C49"/>
    <w:rsid w:val="0031420A"/>
    <w:rsid w:val="00314240"/>
    <w:rsid w:val="00314304"/>
    <w:rsid w:val="003143E1"/>
    <w:rsid w:val="003143E5"/>
    <w:rsid w:val="00314419"/>
    <w:rsid w:val="00314492"/>
    <w:rsid w:val="003145EF"/>
    <w:rsid w:val="00314897"/>
    <w:rsid w:val="00314B60"/>
    <w:rsid w:val="00314B73"/>
    <w:rsid w:val="00314C61"/>
    <w:rsid w:val="00314F5B"/>
    <w:rsid w:val="00315014"/>
    <w:rsid w:val="00315030"/>
    <w:rsid w:val="00315059"/>
    <w:rsid w:val="00315368"/>
    <w:rsid w:val="00315402"/>
    <w:rsid w:val="003156B3"/>
    <w:rsid w:val="00315BB9"/>
    <w:rsid w:val="00315C22"/>
    <w:rsid w:val="00315DBC"/>
    <w:rsid w:val="003160FD"/>
    <w:rsid w:val="003161FB"/>
    <w:rsid w:val="003162F3"/>
    <w:rsid w:val="0031675E"/>
    <w:rsid w:val="0031683B"/>
    <w:rsid w:val="00316A26"/>
    <w:rsid w:val="00316CDD"/>
    <w:rsid w:val="003172B1"/>
    <w:rsid w:val="00317309"/>
    <w:rsid w:val="00317527"/>
    <w:rsid w:val="00317552"/>
    <w:rsid w:val="0031787A"/>
    <w:rsid w:val="00317A6C"/>
    <w:rsid w:val="00317BC9"/>
    <w:rsid w:val="003200CB"/>
    <w:rsid w:val="0032054B"/>
    <w:rsid w:val="003208C6"/>
    <w:rsid w:val="003209CF"/>
    <w:rsid w:val="00321032"/>
    <w:rsid w:val="00321252"/>
    <w:rsid w:val="00321649"/>
    <w:rsid w:val="003218B4"/>
    <w:rsid w:val="00321991"/>
    <w:rsid w:val="00321CC9"/>
    <w:rsid w:val="00321CCE"/>
    <w:rsid w:val="00321DE2"/>
    <w:rsid w:val="003223C7"/>
    <w:rsid w:val="00322800"/>
    <w:rsid w:val="003228B1"/>
    <w:rsid w:val="0032292C"/>
    <w:rsid w:val="00322BDD"/>
    <w:rsid w:val="00322BE0"/>
    <w:rsid w:val="00322DFE"/>
    <w:rsid w:val="003235A3"/>
    <w:rsid w:val="00323AB5"/>
    <w:rsid w:val="00323E90"/>
    <w:rsid w:val="00323FC9"/>
    <w:rsid w:val="0032400F"/>
    <w:rsid w:val="003245E6"/>
    <w:rsid w:val="00324649"/>
    <w:rsid w:val="00324753"/>
    <w:rsid w:val="003247EC"/>
    <w:rsid w:val="0032495A"/>
    <w:rsid w:val="00324DE1"/>
    <w:rsid w:val="00324F10"/>
    <w:rsid w:val="00325041"/>
    <w:rsid w:val="00325054"/>
    <w:rsid w:val="00325061"/>
    <w:rsid w:val="00325396"/>
    <w:rsid w:val="00325440"/>
    <w:rsid w:val="00325542"/>
    <w:rsid w:val="003259DF"/>
    <w:rsid w:val="00325D2C"/>
    <w:rsid w:val="00325F5D"/>
    <w:rsid w:val="0032614A"/>
    <w:rsid w:val="00326178"/>
    <w:rsid w:val="0032621E"/>
    <w:rsid w:val="003267E0"/>
    <w:rsid w:val="00326B98"/>
    <w:rsid w:val="00326C3B"/>
    <w:rsid w:val="003270CF"/>
    <w:rsid w:val="00327159"/>
    <w:rsid w:val="00327207"/>
    <w:rsid w:val="00327384"/>
    <w:rsid w:val="00327C00"/>
    <w:rsid w:val="00327D3E"/>
    <w:rsid w:val="003300B7"/>
    <w:rsid w:val="00330149"/>
    <w:rsid w:val="00330953"/>
    <w:rsid w:val="003309D3"/>
    <w:rsid w:val="00330AB9"/>
    <w:rsid w:val="003310E2"/>
    <w:rsid w:val="00331218"/>
    <w:rsid w:val="0033123C"/>
    <w:rsid w:val="00331851"/>
    <w:rsid w:val="00331AE5"/>
    <w:rsid w:val="00331D24"/>
    <w:rsid w:val="00331ED3"/>
    <w:rsid w:val="00331F35"/>
    <w:rsid w:val="00331FFB"/>
    <w:rsid w:val="00332526"/>
    <w:rsid w:val="00332624"/>
    <w:rsid w:val="00332D10"/>
    <w:rsid w:val="00333049"/>
    <w:rsid w:val="00333060"/>
    <w:rsid w:val="00333757"/>
    <w:rsid w:val="0033397A"/>
    <w:rsid w:val="00333D80"/>
    <w:rsid w:val="003341C3"/>
    <w:rsid w:val="003342B6"/>
    <w:rsid w:val="003342F5"/>
    <w:rsid w:val="00334361"/>
    <w:rsid w:val="00334486"/>
    <w:rsid w:val="0033468A"/>
    <w:rsid w:val="003346EC"/>
    <w:rsid w:val="003347F4"/>
    <w:rsid w:val="003347FB"/>
    <w:rsid w:val="00334BDF"/>
    <w:rsid w:val="00334C1E"/>
    <w:rsid w:val="00334C41"/>
    <w:rsid w:val="00334D52"/>
    <w:rsid w:val="00334DCD"/>
    <w:rsid w:val="003352EB"/>
    <w:rsid w:val="00335603"/>
    <w:rsid w:val="00335686"/>
    <w:rsid w:val="00335A88"/>
    <w:rsid w:val="00335AA2"/>
    <w:rsid w:val="00335C59"/>
    <w:rsid w:val="00335E36"/>
    <w:rsid w:val="00335F8D"/>
    <w:rsid w:val="00335FB4"/>
    <w:rsid w:val="00335FFE"/>
    <w:rsid w:val="00336115"/>
    <w:rsid w:val="003364A5"/>
    <w:rsid w:val="003365D9"/>
    <w:rsid w:val="003367AF"/>
    <w:rsid w:val="003369FD"/>
    <w:rsid w:val="00336EBA"/>
    <w:rsid w:val="003372E2"/>
    <w:rsid w:val="0033732B"/>
    <w:rsid w:val="0033737E"/>
    <w:rsid w:val="0033755E"/>
    <w:rsid w:val="0033790A"/>
    <w:rsid w:val="00337D79"/>
    <w:rsid w:val="00337D7E"/>
    <w:rsid w:val="00337DB3"/>
    <w:rsid w:val="00337E79"/>
    <w:rsid w:val="00337F20"/>
    <w:rsid w:val="0034011A"/>
    <w:rsid w:val="00340134"/>
    <w:rsid w:val="00340236"/>
    <w:rsid w:val="00340426"/>
    <w:rsid w:val="00340694"/>
    <w:rsid w:val="00340A0F"/>
    <w:rsid w:val="00340BDA"/>
    <w:rsid w:val="00340CF9"/>
    <w:rsid w:val="00340DA0"/>
    <w:rsid w:val="00340FC2"/>
    <w:rsid w:val="00341528"/>
    <w:rsid w:val="00341773"/>
    <w:rsid w:val="00341908"/>
    <w:rsid w:val="00341A95"/>
    <w:rsid w:val="00341BF1"/>
    <w:rsid w:val="00341CD2"/>
    <w:rsid w:val="00341D25"/>
    <w:rsid w:val="00341F4B"/>
    <w:rsid w:val="00342287"/>
    <w:rsid w:val="00342600"/>
    <w:rsid w:val="00342647"/>
    <w:rsid w:val="00343040"/>
    <w:rsid w:val="00343200"/>
    <w:rsid w:val="0034320D"/>
    <w:rsid w:val="0034335C"/>
    <w:rsid w:val="00343521"/>
    <w:rsid w:val="00343550"/>
    <w:rsid w:val="00343E6B"/>
    <w:rsid w:val="00344739"/>
    <w:rsid w:val="00344795"/>
    <w:rsid w:val="00344865"/>
    <w:rsid w:val="003448A5"/>
    <w:rsid w:val="00344914"/>
    <w:rsid w:val="0034499A"/>
    <w:rsid w:val="00344CCC"/>
    <w:rsid w:val="00345058"/>
    <w:rsid w:val="003451E0"/>
    <w:rsid w:val="0034532F"/>
    <w:rsid w:val="00345467"/>
    <w:rsid w:val="00345A73"/>
    <w:rsid w:val="00345C59"/>
    <w:rsid w:val="00345CBF"/>
    <w:rsid w:val="00345D2E"/>
    <w:rsid w:val="0034628D"/>
    <w:rsid w:val="003463FC"/>
    <w:rsid w:val="0034641B"/>
    <w:rsid w:val="003464B3"/>
    <w:rsid w:val="0034650D"/>
    <w:rsid w:val="003465B9"/>
    <w:rsid w:val="00346804"/>
    <w:rsid w:val="003469EE"/>
    <w:rsid w:val="00346A59"/>
    <w:rsid w:val="00346D34"/>
    <w:rsid w:val="003470E3"/>
    <w:rsid w:val="003472C8"/>
    <w:rsid w:val="00347502"/>
    <w:rsid w:val="0034769D"/>
    <w:rsid w:val="00347EB8"/>
    <w:rsid w:val="003503DE"/>
    <w:rsid w:val="0035043B"/>
    <w:rsid w:val="00350D0A"/>
    <w:rsid w:val="00350D2F"/>
    <w:rsid w:val="00350DB4"/>
    <w:rsid w:val="00350DBD"/>
    <w:rsid w:val="0035114A"/>
    <w:rsid w:val="003511CA"/>
    <w:rsid w:val="0035172B"/>
    <w:rsid w:val="00351E01"/>
    <w:rsid w:val="00351E48"/>
    <w:rsid w:val="00351EA5"/>
    <w:rsid w:val="00352362"/>
    <w:rsid w:val="00352ECF"/>
    <w:rsid w:val="00353321"/>
    <w:rsid w:val="00353392"/>
    <w:rsid w:val="00353495"/>
    <w:rsid w:val="00353505"/>
    <w:rsid w:val="0035363E"/>
    <w:rsid w:val="00353752"/>
    <w:rsid w:val="00353795"/>
    <w:rsid w:val="003537C3"/>
    <w:rsid w:val="00353851"/>
    <w:rsid w:val="0035388C"/>
    <w:rsid w:val="0035395A"/>
    <w:rsid w:val="00353C35"/>
    <w:rsid w:val="00353C51"/>
    <w:rsid w:val="00353C59"/>
    <w:rsid w:val="00353EE1"/>
    <w:rsid w:val="003541CF"/>
    <w:rsid w:val="00354E55"/>
    <w:rsid w:val="00354F52"/>
    <w:rsid w:val="00355326"/>
    <w:rsid w:val="00355339"/>
    <w:rsid w:val="003554C9"/>
    <w:rsid w:val="00355659"/>
    <w:rsid w:val="00355975"/>
    <w:rsid w:val="00355D82"/>
    <w:rsid w:val="00355ECF"/>
    <w:rsid w:val="00356276"/>
    <w:rsid w:val="00356733"/>
    <w:rsid w:val="00356B20"/>
    <w:rsid w:val="00356B7C"/>
    <w:rsid w:val="00356D0E"/>
    <w:rsid w:val="00356FE7"/>
    <w:rsid w:val="00357347"/>
    <w:rsid w:val="0035734D"/>
    <w:rsid w:val="00357439"/>
    <w:rsid w:val="003579D3"/>
    <w:rsid w:val="00357A9C"/>
    <w:rsid w:val="00357B7A"/>
    <w:rsid w:val="00357D37"/>
    <w:rsid w:val="00357DEF"/>
    <w:rsid w:val="00357DF7"/>
    <w:rsid w:val="00357FBC"/>
    <w:rsid w:val="003601BD"/>
    <w:rsid w:val="003604FB"/>
    <w:rsid w:val="0036050F"/>
    <w:rsid w:val="00360980"/>
    <w:rsid w:val="00360BFF"/>
    <w:rsid w:val="00360DE0"/>
    <w:rsid w:val="00360E8C"/>
    <w:rsid w:val="00360EE6"/>
    <w:rsid w:val="00360FCD"/>
    <w:rsid w:val="0036111E"/>
    <w:rsid w:val="0036117A"/>
    <w:rsid w:val="0036122D"/>
    <w:rsid w:val="00361482"/>
    <w:rsid w:val="00361597"/>
    <w:rsid w:val="0036173E"/>
    <w:rsid w:val="003619AF"/>
    <w:rsid w:val="0036217A"/>
    <w:rsid w:val="00362271"/>
    <w:rsid w:val="003622B5"/>
    <w:rsid w:val="0036245D"/>
    <w:rsid w:val="003624E2"/>
    <w:rsid w:val="003624EE"/>
    <w:rsid w:val="0036268A"/>
    <w:rsid w:val="00362877"/>
    <w:rsid w:val="003628DF"/>
    <w:rsid w:val="0036292B"/>
    <w:rsid w:val="00362BDA"/>
    <w:rsid w:val="00362C41"/>
    <w:rsid w:val="00362F2D"/>
    <w:rsid w:val="00362F4C"/>
    <w:rsid w:val="00363222"/>
    <w:rsid w:val="0036328F"/>
    <w:rsid w:val="003634DA"/>
    <w:rsid w:val="00363753"/>
    <w:rsid w:val="0036377D"/>
    <w:rsid w:val="0036399C"/>
    <w:rsid w:val="00363B5B"/>
    <w:rsid w:val="00363CD1"/>
    <w:rsid w:val="00363DC0"/>
    <w:rsid w:val="00363DF2"/>
    <w:rsid w:val="00364068"/>
    <w:rsid w:val="003642D6"/>
    <w:rsid w:val="003643D7"/>
    <w:rsid w:val="00364BC2"/>
    <w:rsid w:val="00364CE9"/>
    <w:rsid w:val="00364D4A"/>
    <w:rsid w:val="00364EA5"/>
    <w:rsid w:val="00365147"/>
    <w:rsid w:val="003651B7"/>
    <w:rsid w:val="003653C4"/>
    <w:rsid w:val="00365730"/>
    <w:rsid w:val="00365C4D"/>
    <w:rsid w:val="00365CFC"/>
    <w:rsid w:val="00365E29"/>
    <w:rsid w:val="003661D4"/>
    <w:rsid w:val="0036639D"/>
    <w:rsid w:val="0036654D"/>
    <w:rsid w:val="003669EF"/>
    <w:rsid w:val="00366DD3"/>
    <w:rsid w:val="00366E4F"/>
    <w:rsid w:val="003670BE"/>
    <w:rsid w:val="00367362"/>
    <w:rsid w:val="00367410"/>
    <w:rsid w:val="00367CB2"/>
    <w:rsid w:val="00367E34"/>
    <w:rsid w:val="00367E56"/>
    <w:rsid w:val="003701B0"/>
    <w:rsid w:val="00370397"/>
    <w:rsid w:val="00370B4B"/>
    <w:rsid w:val="00370C4D"/>
    <w:rsid w:val="00370EE3"/>
    <w:rsid w:val="0037148D"/>
    <w:rsid w:val="003714BB"/>
    <w:rsid w:val="003716D4"/>
    <w:rsid w:val="003716DB"/>
    <w:rsid w:val="003717B3"/>
    <w:rsid w:val="0037191A"/>
    <w:rsid w:val="003720B2"/>
    <w:rsid w:val="003722E2"/>
    <w:rsid w:val="00372504"/>
    <w:rsid w:val="00372541"/>
    <w:rsid w:val="0037254D"/>
    <w:rsid w:val="00372612"/>
    <w:rsid w:val="00372648"/>
    <w:rsid w:val="0037292E"/>
    <w:rsid w:val="0037295D"/>
    <w:rsid w:val="00372B2C"/>
    <w:rsid w:val="003730DD"/>
    <w:rsid w:val="003730E5"/>
    <w:rsid w:val="0037354D"/>
    <w:rsid w:val="003736F4"/>
    <w:rsid w:val="00373BC5"/>
    <w:rsid w:val="00373EFE"/>
    <w:rsid w:val="003742E6"/>
    <w:rsid w:val="0037455A"/>
    <w:rsid w:val="00374636"/>
    <w:rsid w:val="00374645"/>
    <w:rsid w:val="0037476D"/>
    <w:rsid w:val="003748A4"/>
    <w:rsid w:val="00374A88"/>
    <w:rsid w:val="00374C13"/>
    <w:rsid w:val="00374C4A"/>
    <w:rsid w:val="003751D6"/>
    <w:rsid w:val="003755AF"/>
    <w:rsid w:val="0037560F"/>
    <w:rsid w:val="003757BA"/>
    <w:rsid w:val="00375973"/>
    <w:rsid w:val="00375AAF"/>
    <w:rsid w:val="00376300"/>
    <w:rsid w:val="00376636"/>
    <w:rsid w:val="0037682A"/>
    <w:rsid w:val="00376A9A"/>
    <w:rsid w:val="00377014"/>
    <w:rsid w:val="0037706C"/>
    <w:rsid w:val="003770D4"/>
    <w:rsid w:val="0037760A"/>
    <w:rsid w:val="00377631"/>
    <w:rsid w:val="00377A3A"/>
    <w:rsid w:val="00377BDF"/>
    <w:rsid w:val="00377D69"/>
    <w:rsid w:val="0038022A"/>
    <w:rsid w:val="003804F4"/>
    <w:rsid w:val="00380542"/>
    <w:rsid w:val="003808ED"/>
    <w:rsid w:val="00380ABD"/>
    <w:rsid w:val="00380C0C"/>
    <w:rsid w:val="00380E82"/>
    <w:rsid w:val="00381653"/>
    <w:rsid w:val="00381889"/>
    <w:rsid w:val="003818AC"/>
    <w:rsid w:val="00381A46"/>
    <w:rsid w:val="0038224E"/>
    <w:rsid w:val="003823A8"/>
    <w:rsid w:val="0038281A"/>
    <w:rsid w:val="00382A9F"/>
    <w:rsid w:val="00382B34"/>
    <w:rsid w:val="00382BD6"/>
    <w:rsid w:val="00382CFD"/>
    <w:rsid w:val="00382F9A"/>
    <w:rsid w:val="00382F9E"/>
    <w:rsid w:val="0038313A"/>
    <w:rsid w:val="00383162"/>
    <w:rsid w:val="003832E4"/>
    <w:rsid w:val="00383596"/>
    <w:rsid w:val="00383661"/>
    <w:rsid w:val="0038392E"/>
    <w:rsid w:val="00383AE1"/>
    <w:rsid w:val="00383DC7"/>
    <w:rsid w:val="0038418B"/>
    <w:rsid w:val="00384395"/>
    <w:rsid w:val="003844EB"/>
    <w:rsid w:val="00384571"/>
    <w:rsid w:val="00384746"/>
    <w:rsid w:val="0038483A"/>
    <w:rsid w:val="00384994"/>
    <w:rsid w:val="00384DC4"/>
    <w:rsid w:val="00385281"/>
    <w:rsid w:val="003852CE"/>
    <w:rsid w:val="003853AF"/>
    <w:rsid w:val="00385720"/>
    <w:rsid w:val="00385BE7"/>
    <w:rsid w:val="003862F4"/>
    <w:rsid w:val="00386541"/>
    <w:rsid w:val="00386A6C"/>
    <w:rsid w:val="00386ADE"/>
    <w:rsid w:val="00387061"/>
    <w:rsid w:val="00387067"/>
    <w:rsid w:val="00387640"/>
    <w:rsid w:val="003877F2"/>
    <w:rsid w:val="003879AF"/>
    <w:rsid w:val="00387A2E"/>
    <w:rsid w:val="00387AB9"/>
    <w:rsid w:val="00387BBA"/>
    <w:rsid w:val="00387D12"/>
    <w:rsid w:val="00387F15"/>
    <w:rsid w:val="0039009A"/>
    <w:rsid w:val="00390520"/>
    <w:rsid w:val="003906B2"/>
    <w:rsid w:val="003906D1"/>
    <w:rsid w:val="00390C14"/>
    <w:rsid w:val="00390C8D"/>
    <w:rsid w:val="00391062"/>
    <w:rsid w:val="003914E8"/>
    <w:rsid w:val="003915E0"/>
    <w:rsid w:val="003917A3"/>
    <w:rsid w:val="00391D12"/>
    <w:rsid w:val="00391E51"/>
    <w:rsid w:val="00392396"/>
    <w:rsid w:val="0039245C"/>
    <w:rsid w:val="0039265C"/>
    <w:rsid w:val="00392B86"/>
    <w:rsid w:val="00392BDA"/>
    <w:rsid w:val="00392FCE"/>
    <w:rsid w:val="003931D3"/>
    <w:rsid w:val="0039330E"/>
    <w:rsid w:val="003933E6"/>
    <w:rsid w:val="0039348D"/>
    <w:rsid w:val="003935B9"/>
    <w:rsid w:val="0039362F"/>
    <w:rsid w:val="00393B29"/>
    <w:rsid w:val="00393B9D"/>
    <w:rsid w:val="003940AB"/>
    <w:rsid w:val="00394185"/>
    <w:rsid w:val="003942E6"/>
    <w:rsid w:val="00394658"/>
    <w:rsid w:val="003947B4"/>
    <w:rsid w:val="003948B4"/>
    <w:rsid w:val="003948B5"/>
    <w:rsid w:val="00394979"/>
    <w:rsid w:val="00394A3E"/>
    <w:rsid w:val="00394B96"/>
    <w:rsid w:val="00394D30"/>
    <w:rsid w:val="00395146"/>
    <w:rsid w:val="003952F6"/>
    <w:rsid w:val="0039539E"/>
    <w:rsid w:val="003955DF"/>
    <w:rsid w:val="00395627"/>
    <w:rsid w:val="003957A1"/>
    <w:rsid w:val="003957F1"/>
    <w:rsid w:val="00395AA5"/>
    <w:rsid w:val="00395E31"/>
    <w:rsid w:val="00395E67"/>
    <w:rsid w:val="003960DB"/>
    <w:rsid w:val="00396113"/>
    <w:rsid w:val="003961E3"/>
    <w:rsid w:val="0039638C"/>
    <w:rsid w:val="003963E9"/>
    <w:rsid w:val="0039650B"/>
    <w:rsid w:val="0039668B"/>
    <w:rsid w:val="0039677A"/>
    <w:rsid w:val="00396DF4"/>
    <w:rsid w:val="00397008"/>
    <w:rsid w:val="003973A2"/>
    <w:rsid w:val="00397626"/>
    <w:rsid w:val="00397A31"/>
    <w:rsid w:val="00397B76"/>
    <w:rsid w:val="00397C44"/>
    <w:rsid w:val="00397D7D"/>
    <w:rsid w:val="00397FF5"/>
    <w:rsid w:val="003A010B"/>
    <w:rsid w:val="003A0118"/>
    <w:rsid w:val="003A0622"/>
    <w:rsid w:val="003A0943"/>
    <w:rsid w:val="003A09DB"/>
    <w:rsid w:val="003A0A1D"/>
    <w:rsid w:val="003A0A28"/>
    <w:rsid w:val="003A0B5E"/>
    <w:rsid w:val="003A0C79"/>
    <w:rsid w:val="003A109D"/>
    <w:rsid w:val="003A136F"/>
    <w:rsid w:val="003A13BE"/>
    <w:rsid w:val="003A13F1"/>
    <w:rsid w:val="003A140E"/>
    <w:rsid w:val="003A146C"/>
    <w:rsid w:val="003A14B1"/>
    <w:rsid w:val="003A1649"/>
    <w:rsid w:val="003A194B"/>
    <w:rsid w:val="003A1A04"/>
    <w:rsid w:val="003A1BE9"/>
    <w:rsid w:val="003A1EC3"/>
    <w:rsid w:val="003A2225"/>
    <w:rsid w:val="003A276E"/>
    <w:rsid w:val="003A29B5"/>
    <w:rsid w:val="003A2B32"/>
    <w:rsid w:val="003A2ED2"/>
    <w:rsid w:val="003A3144"/>
    <w:rsid w:val="003A37AF"/>
    <w:rsid w:val="003A3CB4"/>
    <w:rsid w:val="003A4305"/>
    <w:rsid w:val="003A44ED"/>
    <w:rsid w:val="003A46AF"/>
    <w:rsid w:val="003A47C2"/>
    <w:rsid w:val="003A48C6"/>
    <w:rsid w:val="003A4922"/>
    <w:rsid w:val="003A4FEF"/>
    <w:rsid w:val="003A547A"/>
    <w:rsid w:val="003A58D7"/>
    <w:rsid w:val="003A58DC"/>
    <w:rsid w:val="003A5915"/>
    <w:rsid w:val="003A5942"/>
    <w:rsid w:val="003A5AFE"/>
    <w:rsid w:val="003A5D37"/>
    <w:rsid w:val="003A5E44"/>
    <w:rsid w:val="003A5E87"/>
    <w:rsid w:val="003A6152"/>
    <w:rsid w:val="003A620D"/>
    <w:rsid w:val="003A6433"/>
    <w:rsid w:val="003A64F8"/>
    <w:rsid w:val="003A68E4"/>
    <w:rsid w:val="003A68E8"/>
    <w:rsid w:val="003A6910"/>
    <w:rsid w:val="003A6988"/>
    <w:rsid w:val="003A6E9B"/>
    <w:rsid w:val="003A6F41"/>
    <w:rsid w:val="003A7B07"/>
    <w:rsid w:val="003A7C74"/>
    <w:rsid w:val="003A7D33"/>
    <w:rsid w:val="003A7DCB"/>
    <w:rsid w:val="003B0110"/>
    <w:rsid w:val="003B02B2"/>
    <w:rsid w:val="003B03A8"/>
    <w:rsid w:val="003B06FE"/>
    <w:rsid w:val="003B08F0"/>
    <w:rsid w:val="003B099C"/>
    <w:rsid w:val="003B12C5"/>
    <w:rsid w:val="003B1351"/>
    <w:rsid w:val="003B1546"/>
    <w:rsid w:val="003B172B"/>
    <w:rsid w:val="003B17F5"/>
    <w:rsid w:val="003B1B2D"/>
    <w:rsid w:val="003B1F59"/>
    <w:rsid w:val="003B2013"/>
    <w:rsid w:val="003B22FC"/>
    <w:rsid w:val="003B259F"/>
    <w:rsid w:val="003B269A"/>
    <w:rsid w:val="003B306B"/>
    <w:rsid w:val="003B30F3"/>
    <w:rsid w:val="003B3140"/>
    <w:rsid w:val="003B31E3"/>
    <w:rsid w:val="003B320D"/>
    <w:rsid w:val="003B33EF"/>
    <w:rsid w:val="003B3515"/>
    <w:rsid w:val="003B3631"/>
    <w:rsid w:val="003B36BD"/>
    <w:rsid w:val="003B4096"/>
    <w:rsid w:val="003B425B"/>
    <w:rsid w:val="003B45A2"/>
    <w:rsid w:val="003B4835"/>
    <w:rsid w:val="003B5557"/>
    <w:rsid w:val="003B57C7"/>
    <w:rsid w:val="003B60C5"/>
    <w:rsid w:val="003B615A"/>
    <w:rsid w:val="003B648E"/>
    <w:rsid w:val="003B65BC"/>
    <w:rsid w:val="003B6A36"/>
    <w:rsid w:val="003B6BA2"/>
    <w:rsid w:val="003B6DAD"/>
    <w:rsid w:val="003B6F77"/>
    <w:rsid w:val="003B73F0"/>
    <w:rsid w:val="003B7F6B"/>
    <w:rsid w:val="003B7F90"/>
    <w:rsid w:val="003C0054"/>
    <w:rsid w:val="003C0349"/>
    <w:rsid w:val="003C052D"/>
    <w:rsid w:val="003C0574"/>
    <w:rsid w:val="003C063A"/>
    <w:rsid w:val="003C082B"/>
    <w:rsid w:val="003C0B41"/>
    <w:rsid w:val="003C0CE3"/>
    <w:rsid w:val="003C0DF6"/>
    <w:rsid w:val="003C0FD5"/>
    <w:rsid w:val="003C1924"/>
    <w:rsid w:val="003C1B3F"/>
    <w:rsid w:val="003C1C2B"/>
    <w:rsid w:val="003C1C58"/>
    <w:rsid w:val="003C1F9D"/>
    <w:rsid w:val="003C208E"/>
    <w:rsid w:val="003C28BA"/>
    <w:rsid w:val="003C2AA9"/>
    <w:rsid w:val="003C2ABA"/>
    <w:rsid w:val="003C2CC3"/>
    <w:rsid w:val="003C321E"/>
    <w:rsid w:val="003C325F"/>
    <w:rsid w:val="003C32FA"/>
    <w:rsid w:val="003C34A1"/>
    <w:rsid w:val="003C3892"/>
    <w:rsid w:val="003C396D"/>
    <w:rsid w:val="003C3978"/>
    <w:rsid w:val="003C3BDE"/>
    <w:rsid w:val="003C46E8"/>
    <w:rsid w:val="003C492F"/>
    <w:rsid w:val="003C4945"/>
    <w:rsid w:val="003C4B78"/>
    <w:rsid w:val="003C4C1D"/>
    <w:rsid w:val="003C4FB6"/>
    <w:rsid w:val="003C517E"/>
    <w:rsid w:val="003C53B4"/>
    <w:rsid w:val="003C58A3"/>
    <w:rsid w:val="003C58DA"/>
    <w:rsid w:val="003C597A"/>
    <w:rsid w:val="003C5A2F"/>
    <w:rsid w:val="003C5AAF"/>
    <w:rsid w:val="003C5CA8"/>
    <w:rsid w:val="003C5F06"/>
    <w:rsid w:val="003C5F2F"/>
    <w:rsid w:val="003C5F91"/>
    <w:rsid w:val="003C6347"/>
    <w:rsid w:val="003C67C0"/>
    <w:rsid w:val="003C6BBE"/>
    <w:rsid w:val="003C6CAC"/>
    <w:rsid w:val="003C6D47"/>
    <w:rsid w:val="003C71E8"/>
    <w:rsid w:val="003C72C8"/>
    <w:rsid w:val="003C749D"/>
    <w:rsid w:val="003C7711"/>
    <w:rsid w:val="003C7789"/>
    <w:rsid w:val="003C7C65"/>
    <w:rsid w:val="003C7D22"/>
    <w:rsid w:val="003D0072"/>
    <w:rsid w:val="003D0164"/>
    <w:rsid w:val="003D02E2"/>
    <w:rsid w:val="003D0361"/>
    <w:rsid w:val="003D074F"/>
    <w:rsid w:val="003D0A5A"/>
    <w:rsid w:val="003D1339"/>
    <w:rsid w:val="003D1614"/>
    <w:rsid w:val="003D20A6"/>
    <w:rsid w:val="003D214E"/>
    <w:rsid w:val="003D231C"/>
    <w:rsid w:val="003D2484"/>
    <w:rsid w:val="003D26EA"/>
    <w:rsid w:val="003D2961"/>
    <w:rsid w:val="003D2C2F"/>
    <w:rsid w:val="003D2CF6"/>
    <w:rsid w:val="003D2E3D"/>
    <w:rsid w:val="003D2FC9"/>
    <w:rsid w:val="003D32A4"/>
    <w:rsid w:val="003D36FC"/>
    <w:rsid w:val="003D3F61"/>
    <w:rsid w:val="003D3FFC"/>
    <w:rsid w:val="003D411B"/>
    <w:rsid w:val="003D479B"/>
    <w:rsid w:val="003D48F4"/>
    <w:rsid w:val="003D497F"/>
    <w:rsid w:val="003D4B9E"/>
    <w:rsid w:val="003D4D64"/>
    <w:rsid w:val="003D4DA7"/>
    <w:rsid w:val="003D4E83"/>
    <w:rsid w:val="003D5077"/>
    <w:rsid w:val="003D52A5"/>
    <w:rsid w:val="003D53DF"/>
    <w:rsid w:val="003D53F9"/>
    <w:rsid w:val="003D54D7"/>
    <w:rsid w:val="003D570C"/>
    <w:rsid w:val="003D5728"/>
    <w:rsid w:val="003D5781"/>
    <w:rsid w:val="003D579A"/>
    <w:rsid w:val="003D5C28"/>
    <w:rsid w:val="003D5C41"/>
    <w:rsid w:val="003D6395"/>
    <w:rsid w:val="003D64A1"/>
    <w:rsid w:val="003D6861"/>
    <w:rsid w:val="003D69FA"/>
    <w:rsid w:val="003D6D6B"/>
    <w:rsid w:val="003D6D7D"/>
    <w:rsid w:val="003D6DE9"/>
    <w:rsid w:val="003D6E8D"/>
    <w:rsid w:val="003D6F1C"/>
    <w:rsid w:val="003D6F77"/>
    <w:rsid w:val="003D6F7A"/>
    <w:rsid w:val="003D6F84"/>
    <w:rsid w:val="003D70F0"/>
    <w:rsid w:val="003D711F"/>
    <w:rsid w:val="003D717D"/>
    <w:rsid w:val="003D788C"/>
    <w:rsid w:val="003D7929"/>
    <w:rsid w:val="003D7A0B"/>
    <w:rsid w:val="003D7A6F"/>
    <w:rsid w:val="003D7BF0"/>
    <w:rsid w:val="003D7CD0"/>
    <w:rsid w:val="003E0062"/>
    <w:rsid w:val="003E0457"/>
    <w:rsid w:val="003E0475"/>
    <w:rsid w:val="003E0604"/>
    <w:rsid w:val="003E0609"/>
    <w:rsid w:val="003E0746"/>
    <w:rsid w:val="003E07A8"/>
    <w:rsid w:val="003E0900"/>
    <w:rsid w:val="003E0AFF"/>
    <w:rsid w:val="003E0D2B"/>
    <w:rsid w:val="003E0EDE"/>
    <w:rsid w:val="003E128A"/>
    <w:rsid w:val="003E13CE"/>
    <w:rsid w:val="003E1C89"/>
    <w:rsid w:val="003E1D2B"/>
    <w:rsid w:val="003E1DE8"/>
    <w:rsid w:val="003E1E42"/>
    <w:rsid w:val="003E1E88"/>
    <w:rsid w:val="003E246C"/>
    <w:rsid w:val="003E25BD"/>
    <w:rsid w:val="003E2997"/>
    <w:rsid w:val="003E2B24"/>
    <w:rsid w:val="003E2DB8"/>
    <w:rsid w:val="003E2E81"/>
    <w:rsid w:val="003E3005"/>
    <w:rsid w:val="003E333A"/>
    <w:rsid w:val="003E3640"/>
    <w:rsid w:val="003E374A"/>
    <w:rsid w:val="003E378B"/>
    <w:rsid w:val="003E3D8B"/>
    <w:rsid w:val="003E3EB9"/>
    <w:rsid w:val="003E4146"/>
    <w:rsid w:val="003E443C"/>
    <w:rsid w:val="003E447A"/>
    <w:rsid w:val="003E4959"/>
    <w:rsid w:val="003E497A"/>
    <w:rsid w:val="003E49EC"/>
    <w:rsid w:val="003E4AE2"/>
    <w:rsid w:val="003E4E3C"/>
    <w:rsid w:val="003E4F01"/>
    <w:rsid w:val="003E4F6B"/>
    <w:rsid w:val="003E516C"/>
    <w:rsid w:val="003E52F5"/>
    <w:rsid w:val="003E5542"/>
    <w:rsid w:val="003E569C"/>
    <w:rsid w:val="003E5710"/>
    <w:rsid w:val="003E59DD"/>
    <w:rsid w:val="003E5E47"/>
    <w:rsid w:val="003E6656"/>
    <w:rsid w:val="003E6745"/>
    <w:rsid w:val="003E68B9"/>
    <w:rsid w:val="003E6930"/>
    <w:rsid w:val="003E694D"/>
    <w:rsid w:val="003E6CB1"/>
    <w:rsid w:val="003E6E26"/>
    <w:rsid w:val="003E6FD1"/>
    <w:rsid w:val="003E71E7"/>
    <w:rsid w:val="003E7222"/>
    <w:rsid w:val="003E73C4"/>
    <w:rsid w:val="003E745D"/>
    <w:rsid w:val="003E74B5"/>
    <w:rsid w:val="003E775B"/>
    <w:rsid w:val="003E77F7"/>
    <w:rsid w:val="003E788E"/>
    <w:rsid w:val="003E7A00"/>
    <w:rsid w:val="003E7A22"/>
    <w:rsid w:val="003E7ABD"/>
    <w:rsid w:val="003E7CEC"/>
    <w:rsid w:val="003E7E32"/>
    <w:rsid w:val="003E7FF1"/>
    <w:rsid w:val="003F0061"/>
    <w:rsid w:val="003F0302"/>
    <w:rsid w:val="003F03F1"/>
    <w:rsid w:val="003F03F9"/>
    <w:rsid w:val="003F05A0"/>
    <w:rsid w:val="003F0A0F"/>
    <w:rsid w:val="003F0AA6"/>
    <w:rsid w:val="003F0D87"/>
    <w:rsid w:val="003F1253"/>
    <w:rsid w:val="003F1549"/>
    <w:rsid w:val="003F157E"/>
    <w:rsid w:val="003F182F"/>
    <w:rsid w:val="003F1A99"/>
    <w:rsid w:val="003F1B72"/>
    <w:rsid w:val="003F1C05"/>
    <w:rsid w:val="003F1CD2"/>
    <w:rsid w:val="003F1EB7"/>
    <w:rsid w:val="003F2695"/>
    <w:rsid w:val="003F329C"/>
    <w:rsid w:val="003F32B9"/>
    <w:rsid w:val="003F3344"/>
    <w:rsid w:val="003F33BC"/>
    <w:rsid w:val="003F34E3"/>
    <w:rsid w:val="003F350E"/>
    <w:rsid w:val="003F37B0"/>
    <w:rsid w:val="003F37E4"/>
    <w:rsid w:val="003F3975"/>
    <w:rsid w:val="003F3B9E"/>
    <w:rsid w:val="003F3C00"/>
    <w:rsid w:val="003F3D8E"/>
    <w:rsid w:val="003F408D"/>
    <w:rsid w:val="003F40C7"/>
    <w:rsid w:val="003F4109"/>
    <w:rsid w:val="003F44F9"/>
    <w:rsid w:val="003F4847"/>
    <w:rsid w:val="003F48CF"/>
    <w:rsid w:val="003F4926"/>
    <w:rsid w:val="003F4AC7"/>
    <w:rsid w:val="003F4C17"/>
    <w:rsid w:val="003F5395"/>
    <w:rsid w:val="003F540C"/>
    <w:rsid w:val="003F57A0"/>
    <w:rsid w:val="003F57B8"/>
    <w:rsid w:val="003F5835"/>
    <w:rsid w:val="003F59EB"/>
    <w:rsid w:val="003F5BE7"/>
    <w:rsid w:val="003F5D73"/>
    <w:rsid w:val="003F6062"/>
    <w:rsid w:val="003F6379"/>
    <w:rsid w:val="003F6A65"/>
    <w:rsid w:val="003F6E3D"/>
    <w:rsid w:val="003F6FE3"/>
    <w:rsid w:val="003F706D"/>
    <w:rsid w:val="003F72DD"/>
    <w:rsid w:val="003F749E"/>
    <w:rsid w:val="003F74DE"/>
    <w:rsid w:val="003F778B"/>
    <w:rsid w:val="003F780C"/>
    <w:rsid w:val="003F796A"/>
    <w:rsid w:val="004000DE"/>
    <w:rsid w:val="00400134"/>
    <w:rsid w:val="004002A4"/>
    <w:rsid w:val="004008AB"/>
    <w:rsid w:val="004008ED"/>
    <w:rsid w:val="00400B26"/>
    <w:rsid w:val="00400EB7"/>
    <w:rsid w:val="00400FDC"/>
    <w:rsid w:val="0040101A"/>
    <w:rsid w:val="00401109"/>
    <w:rsid w:val="00401199"/>
    <w:rsid w:val="0040134B"/>
    <w:rsid w:val="00401401"/>
    <w:rsid w:val="004016F7"/>
    <w:rsid w:val="00401A32"/>
    <w:rsid w:val="00401AA3"/>
    <w:rsid w:val="00401B8A"/>
    <w:rsid w:val="00401CE4"/>
    <w:rsid w:val="00401E3B"/>
    <w:rsid w:val="00401E5C"/>
    <w:rsid w:val="00401FB7"/>
    <w:rsid w:val="00402437"/>
    <w:rsid w:val="004024F4"/>
    <w:rsid w:val="00402501"/>
    <w:rsid w:val="00402664"/>
    <w:rsid w:val="00402C1C"/>
    <w:rsid w:val="00402D09"/>
    <w:rsid w:val="0040345F"/>
    <w:rsid w:val="00403649"/>
    <w:rsid w:val="0040372D"/>
    <w:rsid w:val="00403741"/>
    <w:rsid w:val="00403B35"/>
    <w:rsid w:val="00403D67"/>
    <w:rsid w:val="00403EBF"/>
    <w:rsid w:val="004040A4"/>
    <w:rsid w:val="00404377"/>
    <w:rsid w:val="00404483"/>
    <w:rsid w:val="004044C6"/>
    <w:rsid w:val="00404B38"/>
    <w:rsid w:val="00404C4C"/>
    <w:rsid w:val="00405294"/>
    <w:rsid w:val="00405628"/>
    <w:rsid w:val="0040569B"/>
    <w:rsid w:val="004058F2"/>
    <w:rsid w:val="00405ABE"/>
    <w:rsid w:val="00405B19"/>
    <w:rsid w:val="00405D44"/>
    <w:rsid w:val="00405D95"/>
    <w:rsid w:val="00405E8C"/>
    <w:rsid w:val="00405EFE"/>
    <w:rsid w:val="004061FC"/>
    <w:rsid w:val="004064B9"/>
    <w:rsid w:val="004065AA"/>
    <w:rsid w:val="004065EA"/>
    <w:rsid w:val="00406767"/>
    <w:rsid w:val="00406A12"/>
    <w:rsid w:val="00406EB4"/>
    <w:rsid w:val="00406F3D"/>
    <w:rsid w:val="00407202"/>
    <w:rsid w:val="004072D8"/>
    <w:rsid w:val="00407485"/>
    <w:rsid w:val="004075F3"/>
    <w:rsid w:val="0040792F"/>
    <w:rsid w:val="00407B20"/>
    <w:rsid w:val="00407DA4"/>
    <w:rsid w:val="00410067"/>
    <w:rsid w:val="0041055D"/>
    <w:rsid w:val="00410742"/>
    <w:rsid w:val="0041090A"/>
    <w:rsid w:val="00410948"/>
    <w:rsid w:val="00410A60"/>
    <w:rsid w:val="00410B06"/>
    <w:rsid w:val="00410D06"/>
    <w:rsid w:val="0041107D"/>
    <w:rsid w:val="00411156"/>
    <w:rsid w:val="00411551"/>
    <w:rsid w:val="0041186C"/>
    <w:rsid w:val="004118DF"/>
    <w:rsid w:val="00411A18"/>
    <w:rsid w:val="00411C9C"/>
    <w:rsid w:val="00411FD2"/>
    <w:rsid w:val="0041234A"/>
    <w:rsid w:val="0041274F"/>
    <w:rsid w:val="004127E6"/>
    <w:rsid w:val="004128C4"/>
    <w:rsid w:val="00412A03"/>
    <w:rsid w:val="00412ADB"/>
    <w:rsid w:val="00412B4E"/>
    <w:rsid w:val="00412CE6"/>
    <w:rsid w:val="00412FF7"/>
    <w:rsid w:val="00413248"/>
    <w:rsid w:val="0041337D"/>
    <w:rsid w:val="0041344E"/>
    <w:rsid w:val="00413640"/>
    <w:rsid w:val="0041365E"/>
    <w:rsid w:val="00413835"/>
    <w:rsid w:val="00413D2B"/>
    <w:rsid w:val="00413DEC"/>
    <w:rsid w:val="00413EF5"/>
    <w:rsid w:val="00413F64"/>
    <w:rsid w:val="00414126"/>
    <w:rsid w:val="004143B1"/>
    <w:rsid w:val="004143E7"/>
    <w:rsid w:val="00414414"/>
    <w:rsid w:val="0041445A"/>
    <w:rsid w:val="0041473D"/>
    <w:rsid w:val="004148A1"/>
    <w:rsid w:val="00414D6E"/>
    <w:rsid w:val="004150C9"/>
    <w:rsid w:val="00415330"/>
    <w:rsid w:val="004153D9"/>
    <w:rsid w:val="0041548E"/>
    <w:rsid w:val="00415761"/>
    <w:rsid w:val="00415937"/>
    <w:rsid w:val="00415A4D"/>
    <w:rsid w:val="00415D75"/>
    <w:rsid w:val="0041615F"/>
    <w:rsid w:val="004161F8"/>
    <w:rsid w:val="004163A7"/>
    <w:rsid w:val="0041661F"/>
    <w:rsid w:val="00416641"/>
    <w:rsid w:val="004166C8"/>
    <w:rsid w:val="004169AF"/>
    <w:rsid w:val="00417426"/>
    <w:rsid w:val="0041746B"/>
    <w:rsid w:val="004174AF"/>
    <w:rsid w:val="004175AF"/>
    <w:rsid w:val="004177E3"/>
    <w:rsid w:val="004179F8"/>
    <w:rsid w:val="00417B41"/>
    <w:rsid w:val="00417F98"/>
    <w:rsid w:val="00420081"/>
    <w:rsid w:val="004201B3"/>
    <w:rsid w:val="0042030C"/>
    <w:rsid w:val="00420392"/>
    <w:rsid w:val="004203B1"/>
    <w:rsid w:val="00420806"/>
    <w:rsid w:val="00420A10"/>
    <w:rsid w:val="00420F70"/>
    <w:rsid w:val="00420FA8"/>
    <w:rsid w:val="00421052"/>
    <w:rsid w:val="00421292"/>
    <w:rsid w:val="00421502"/>
    <w:rsid w:val="00421624"/>
    <w:rsid w:val="0042166B"/>
    <w:rsid w:val="00421F5D"/>
    <w:rsid w:val="0042217E"/>
    <w:rsid w:val="004221FC"/>
    <w:rsid w:val="0042245E"/>
    <w:rsid w:val="004225B0"/>
    <w:rsid w:val="00422600"/>
    <w:rsid w:val="00422601"/>
    <w:rsid w:val="004228C1"/>
    <w:rsid w:val="00422A0A"/>
    <w:rsid w:val="00422B35"/>
    <w:rsid w:val="00422B6A"/>
    <w:rsid w:val="004233B7"/>
    <w:rsid w:val="00423432"/>
    <w:rsid w:val="0042349A"/>
    <w:rsid w:val="0042383E"/>
    <w:rsid w:val="00423875"/>
    <w:rsid w:val="00423940"/>
    <w:rsid w:val="004239D0"/>
    <w:rsid w:val="00424141"/>
    <w:rsid w:val="00424463"/>
    <w:rsid w:val="004245B8"/>
    <w:rsid w:val="0042488D"/>
    <w:rsid w:val="00424C59"/>
    <w:rsid w:val="00424D8E"/>
    <w:rsid w:val="00424E1A"/>
    <w:rsid w:val="00424F89"/>
    <w:rsid w:val="004255EE"/>
    <w:rsid w:val="0042585B"/>
    <w:rsid w:val="004258C1"/>
    <w:rsid w:val="00425F71"/>
    <w:rsid w:val="00425FD2"/>
    <w:rsid w:val="00426558"/>
    <w:rsid w:val="00426575"/>
    <w:rsid w:val="00426652"/>
    <w:rsid w:val="004266A9"/>
    <w:rsid w:val="0042687F"/>
    <w:rsid w:val="00426A46"/>
    <w:rsid w:val="00426B34"/>
    <w:rsid w:val="00426DD3"/>
    <w:rsid w:val="00426FA8"/>
    <w:rsid w:val="004275EE"/>
    <w:rsid w:val="004277E0"/>
    <w:rsid w:val="004278E0"/>
    <w:rsid w:val="004278ED"/>
    <w:rsid w:val="00427CB8"/>
    <w:rsid w:val="00427CC5"/>
    <w:rsid w:val="00427E2F"/>
    <w:rsid w:val="00427EA5"/>
    <w:rsid w:val="00427F10"/>
    <w:rsid w:val="00430293"/>
    <w:rsid w:val="0043032A"/>
    <w:rsid w:val="004306E3"/>
    <w:rsid w:val="004306FE"/>
    <w:rsid w:val="004308D2"/>
    <w:rsid w:val="00430952"/>
    <w:rsid w:val="00430DAF"/>
    <w:rsid w:val="00430EBD"/>
    <w:rsid w:val="00431008"/>
    <w:rsid w:val="00431194"/>
    <w:rsid w:val="004311E3"/>
    <w:rsid w:val="00431313"/>
    <w:rsid w:val="00431523"/>
    <w:rsid w:val="00431684"/>
    <w:rsid w:val="0043183F"/>
    <w:rsid w:val="0043185A"/>
    <w:rsid w:val="00431928"/>
    <w:rsid w:val="00431DD9"/>
    <w:rsid w:val="00431F22"/>
    <w:rsid w:val="004320D0"/>
    <w:rsid w:val="004323E4"/>
    <w:rsid w:val="00432636"/>
    <w:rsid w:val="00432719"/>
    <w:rsid w:val="00432D20"/>
    <w:rsid w:val="00433234"/>
    <w:rsid w:val="0043370D"/>
    <w:rsid w:val="004337CB"/>
    <w:rsid w:val="0043384A"/>
    <w:rsid w:val="004338FA"/>
    <w:rsid w:val="00433D06"/>
    <w:rsid w:val="00433D22"/>
    <w:rsid w:val="00433D5E"/>
    <w:rsid w:val="00433E7E"/>
    <w:rsid w:val="00434138"/>
    <w:rsid w:val="0043416C"/>
    <w:rsid w:val="0043433C"/>
    <w:rsid w:val="0043434D"/>
    <w:rsid w:val="004344D5"/>
    <w:rsid w:val="00434B74"/>
    <w:rsid w:val="00434C02"/>
    <w:rsid w:val="0043536F"/>
    <w:rsid w:val="00435589"/>
    <w:rsid w:val="00435A42"/>
    <w:rsid w:val="00435B01"/>
    <w:rsid w:val="00435BE0"/>
    <w:rsid w:val="00435CC3"/>
    <w:rsid w:val="00435D83"/>
    <w:rsid w:val="00435EAE"/>
    <w:rsid w:val="00435EC3"/>
    <w:rsid w:val="00436402"/>
    <w:rsid w:val="00436519"/>
    <w:rsid w:val="004365D2"/>
    <w:rsid w:val="00436606"/>
    <w:rsid w:val="00436A61"/>
    <w:rsid w:val="00436EDB"/>
    <w:rsid w:val="004371D4"/>
    <w:rsid w:val="004372CB"/>
    <w:rsid w:val="00437494"/>
    <w:rsid w:val="004379BE"/>
    <w:rsid w:val="00437A1F"/>
    <w:rsid w:val="00437A20"/>
    <w:rsid w:val="00437A4B"/>
    <w:rsid w:val="00437AE0"/>
    <w:rsid w:val="00437C73"/>
    <w:rsid w:val="00437DE3"/>
    <w:rsid w:val="00437E46"/>
    <w:rsid w:val="00437F6E"/>
    <w:rsid w:val="004401E8"/>
    <w:rsid w:val="0044037D"/>
    <w:rsid w:val="00440439"/>
    <w:rsid w:val="00440DA1"/>
    <w:rsid w:val="0044148E"/>
    <w:rsid w:val="004414AB"/>
    <w:rsid w:val="00441D9E"/>
    <w:rsid w:val="00441E98"/>
    <w:rsid w:val="00442043"/>
    <w:rsid w:val="004420D9"/>
    <w:rsid w:val="00442101"/>
    <w:rsid w:val="0044211E"/>
    <w:rsid w:val="00442434"/>
    <w:rsid w:val="004428DB"/>
    <w:rsid w:val="00442A3C"/>
    <w:rsid w:val="00442B43"/>
    <w:rsid w:val="00442B5C"/>
    <w:rsid w:val="00442CB2"/>
    <w:rsid w:val="00442FF7"/>
    <w:rsid w:val="0044320B"/>
    <w:rsid w:val="004432E3"/>
    <w:rsid w:val="00443326"/>
    <w:rsid w:val="004434C2"/>
    <w:rsid w:val="004434EF"/>
    <w:rsid w:val="00443537"/>
    <w:rsid w:val="004436C0"/>
    <w:rsid w:val="00443C4C"/>
    <w:rsid w:val="00443E3C"/>
    <w:rsid w:val="004441BD"/>
    <w:rsid w:val="00444646"/>
    <w:rsid w:val="00444664"/>
    <w:rsid w:val="004446EF"/>
    <w:rsid w:val="004446F7"/>
    <w:rsid w:val="0044478E"/>
    <w:rsid w:val="00444B00"/>
    <w:rsid w:val="00444BA4"/>
    <w:rsid w:val="00444C47"/>
    <w:rsid w:val="00444C9A"/>
    <w:rsid w:val="00444F6D"/>
    <w:rsid w:val="00445033"/>
    <w:rsid w:val="00445055"/>
    <w:rsid w:val="00445105"/>
    <w:rsid w:val="004455B2"/>
    <w:rsid w:val="004459CC"/>
    <w:rsid w:val="00446055"/>
    <w:rsid w:val="00446287"/>
    <w:rsid w:val="0044652A"/>
    <w:rsid w:val="00446686"/>
    <w:rsid w:val="00446758"/>
    <w:rsid w:val="004469E0"/>
    <w:rsid w:val="00446B87"/>
    <w:rsid w:val="00447089"/>
    <w:rsid w:val="0044710C"/>
    <w:rsid w:val="0044719B"/>
    <w:rsid w:val="00447531"/>
    <w:rsid w:val="00447621"/>
    <w:rsid w:val="00447BFF"/>
    <w:rsid w:val="00450586"/>
    <w:rsid w:val="004508C8"/>
    <w:rsid w:val="00450ACA"/>
    <w:rsid w:val="00450ACD"/>
    <w:rsid w:val="00450D82"/>
    <w:rsid w:val="00450E23"/>
    <w:rsid w:val="00450E72"/>
    <w:rsid w:val="00451056"/>
    <w:rsid w:val="00451544"/>
    <w:rsid w:val="004515EF"/>
    <w:rsid w:val="004517D3"/>
    <w:rsid w:val="0045185B"/>
    <w:rsid w:val="00451C71"/>
    <w:rsid w:val="00451EB6"/>
    <w:rsid w:val="00452180"/>
    <w:rsid w:val="00452388"/>
    <w:rsid w:val="004525B2"/>
    <w:rsid w:val="004525F1"/>
    <w:rsid w:val="0045298D"/>
    <w:rsid w:val="004533CA"/>
    <w:rsid w:val="004535A2"/>
    <w:rsid w:val="00453758"/>
    <w:rsid w:val="004537F7"/>
    <w:rsid w:val="004539E1"/>
    <w:rsid w:val="00453B8F"/>
    <w:rsid w:val="00453C23"/>
    <w:rsid w:val="00453C4B"/>
    <w:rsid w:val="00453E7D"/>
    <w:rsid w:val="00453E8C"/>
    <w:rsid w:val="004543F7"/>
    <w:rsid w:val="00454550"/>
    <w:rsid w:val="00454FF6"/>
    <w:rsid w:val="00455011"/>
    <w:rsid w:val="00455029"/>
    <w:rsid w:val="00455079"/>
    <w:rsid w:val="0045519B"/>
    <w:rsid w:val="004551A8"/>
    <w:rsid w:val="004551D5"/>
    <w:rsid w:val="004551F9"/>
    <w:rsid w:val="004553A0"/>
    <w:rsid w:val="00455570"/>
    <w:rsid w:val="00455649"/>
    <w:rsid w:val="004556E5"/>
    <w:rsid w:val="004559F2"/>
    <w:rsid w:val="00455C88"/>
    <w:rsid w:val="00456227"/>
    <w:rsid w:val="004564DC"/>
    <w:rsid w:val="00456668"/>
    <w:rsid w:val="00456BBA"/>
    <w:rsid w:val="004571A7"/>
    <w:rsid w:val="0045733F"/>
    <w:rsid w:val="0045739A"/>
    <w:rsid w:val="004575E4"/>
    <w:rsid w:val="0045782F"/>
    <w:rsid w:val="00457AE7"/>
    <w:rsid w:val="00457C7E"/>
    <w:rsid w:val="00457DE3"/>
    <w:rsid w:val="00457E47"/>
    <w:rsid w:val="00457EC8"/>
    <w:rsid w:val="00460094"/>
    <w:rsid w:val="0046017E"/>
    <w:rsid w:val="0046021B"/>
    <w:rsid w:val="004604A8"/>
    <w:rsid w:val="00460573"/>
    <w:rsid w:val="004605E4"/>
    <w:rsid w:val="00460754"/>
    <w:rsid w:val="00460ED1"/>
    <w:rsid w:val="00460FC2"/>
    <w:rsid w:val="00461405"/>
    <w:rsid w:val="00461A88"/>
    <w:rsid w:val="00461E69"/>
    <w:rsid w:val="00461FD0"/>
    <w:rsid w:val="00462302"/>
    <w:rsid w:val="004623C8"/>
    <w:rsid w:val="00462707"/>
    <w:rsid w:val="00462F8E"/>
    <w:rsid w:val="00463195"/>
    <w:rsid w:val="0046367A"/>
    <w:rsid w:val="004636C1"/>
    <w:rsid w:val="00463881"/>
    <w:rsid w:val="00463B58"/>
    <w:rsid w:val="00463C33"/>
    <w:rsid w:val="00463C66"/>
    <w:rsid w:val="00463DCB"/>
    <w:rsid w:val="00463E89"/>
    <w:rsid w:val="00463FEC"/>
    <w:rsid w:val="004640F9"/>
    <w:rsid w:val="004641D4"/>
    <w:rsid w:val="0046430F"/>
    <w:rsid w:val="0046485B"/>
    <w:rsid w:val="00464BE0"/>
    <w:rsid w:val="00464D14"/>
    <w:rsid w:val="004650ED"/>
    <w:rsid w:val="00465211"/>
    <w:rsid w:val="004655CD"/>
    <w:rsid w:val="00465682"/>
    <w:rsid w:val="00465690"/>
    <w:rsid w:val="00465B2A"/>
    <w:rsid w:val="00465CDA"/>
    <w:rsid w:val="0046607C"/>
    <w:rsid w:val="0046608C"/>
    <w:rsid w:val="004660C5"/>
    <w:rsid w:val="004664EF"/>
    <w:rsid w:val="0046662C"/>
    <w:rsid w:val="00466753"/>
    <w:rsid w:val="00466C18"/>
    <w:rsid w:val="00466D9B"/>
    <w:rsid w:val="00466E3A"/>
    <w:rsid w:val="00466E70"/>
    <w:rsid w:val="00466FA5"/>
    <w:rsid w:val="004670D5"/>
    <w:rsid w:val="004670F6"/>
    <w:rsid w:val="00467288"/>
    <w:rsid w:val="0046730E"/>
    <w:rsid w:val="004673DC"/>
    <w:rsid w:val="004674C0"/>
    <w:rsid w:val="0046789E"/>
    <w:rsid w:val="004679A6"/>
    <w:rsid w:val="004679BA"/>
    <w:rsid w:val="00467CE1"/>
    <w:rsid w:val="00467DFE"/>
    <w:rsid w:val="00467E30"/>
    <w:rsid w:val="00470131"/>
    <w:rsid w:val="00470245"/>
    <w:rsid w:val="00470303"/>
    <w:rsid w:val="0047047E"/>
    <w:rsid w:val="004705BA"/>
    <w:rsid w:val="0047061F"/>
    <w:rsid w:val="004708DD"/>
    <w:rsid w:val="00470A18"/>
    <w:rsid w:val="00470F42"/>
    <w:rsid w:val="004710B1"/>
    <w:rsid w:val="00471109"/>
    <w:rsid w:val="00471BC5"/>
    <w:rsid w:val="00471C9F"/>
    <w:rsid w:val="00472302"/>
    <w:rsid w:val="00472551"/>
    <w:rsid w:val="0047256C"/>
    <w:rsid w:val="00472720"/>
    <w:rsid w:val="0047279B"/>
    <w:rsid w:val="004729A6"/>
    <w:rsid w:val="00472BBD"/>
    <w:rsid w:val="00472C9C"/>
    <w:rsid w:val="004739F6"/>
    <w:rsid w:val="00473A28"/>
    <w:rsid w:val="00473BF4"/>
    <w:rsid w:val="00473E57"/>
    <w:rsid w:val="0047475C"/>
    <w:rsid w:val="00474783"/>
    <w:rsid w:val="00474963"/>
    <w:rsid w:val="00474964"/>
    <w:rsid w:val="00474AE0"/>
    <w:rsid w:val="004750C3"/>
    <w:rsid w:val="00475BC9"/>
    <w:rsid w:val="00475FC3"/>
    <w:rsid w:val="00476063"/>
    <w:rsid w:val="0047647C"/>
    <w:rsid w:val="004767CD"/>
    <w:rsid w:val="00476BED"/>
    <w:rsid w:val="00477277"/>
    <w:rsid w:val="00477292"/>
    <w:rsid w:val="0047755D"/>
    <w:rsid w:val="00480229"/>
    <w:rsid w:val="0048029B"/>
    <w:rsid w:val="00480364"/>
    <w:rsid w:val="004806B5"/>
    <w:rsid w:val="004807CA"/>
    <w:rsid w:val="00480AA5"/>
    <w:rsid w:val="00480C3A"/>
    <w:rsid w:val="00480EC7"/>
    <w:rsid w:val="004812A8"/>
    <w:rsid w:val="0048169F"/>
    <w:rsid w:val="004816F4"/>
    <w:rsid w:val="004819D6"/>
    <w:rsid w:val="00481D1F"/>
    <w:rsid w:val="00481E20"/>
    <w:rsid w:val="00481E6B"/>
    <w:rsid w:val="0048232E"/>
    <w:rsid w:val="0048244A"/>
    <w:rsid w:val="004824CE"/>
    <w:rsid w:val="00482676"/>
    <w:rsid w:val="00482686"/>
    <w:rsid w:val="0048280D"/>
    <w:rsid w:val="00482A6D"/>
    <w:rsid w:val="00482E8F"/>
    <w:rsid w:val="00482F53"/>
    <w:rsid w:val="00483088"/>
    <w:rsid w:val="004834B9"/>
    <w:rsid w:val="00483771"/>
    <w:rsid w:val="00483907"/>
    <w:rsid w:val="00483ABF"/>
    <w:rsid w:val="00483C19"/>
    <w:rsid w:val="00483E5A"/>
    <w:rsid w:val="0048419D"/>
    <w:rsid w:val="00484295"/>
    <w:rsid w:val="004842E6"/>
    <w:rsid w:val="004843F7"/>
    <w:rsid w:val="004846A6"/>
    <w:rsid w:val="00484943"/>
    <w:rsid w:val="004849DA"/>
    <w:rsid w:val="00484F9F"/>
    <w:rsid w:val="00484FFC"/>
    <w:rsid w:val="004854A5"/>
    <w:rsid w:val="0048555A"/>
    <w:rsid w:val="004855E0"/>
    <w:rsid w:val="00485788"/>
    <w:rsid w:val="004859DC"/>
    <w:rsid w:val="00485A3E"/>
    <w:rsid w:val="00485CE0"/>
    <w:rsid w:val="00485E53"/>
    <w:rsid w:val="00485EE5"/>
    <w:rsid w:val="00486346"/>
    <w:rsid w:val="00486523"/>
    <w:rsid w:val="00486667"/>
    <w:rsid w:val="00486A5A"/>
    <w:rsid w:val="00486B36"/>
    <w:rsid w:val="00486D01"/>
    <w:rsid w:val="00486D1D"/>
    <w:rsid w:val="00487580"/>
    <w:rsid w:val="00487591"/>
    <w:rsid w:val="004875DD"/>
    <w:rsid w:val="004878BD"/>
    <w:rsid w:val="004879EB"/>
    <w:rsid w:val="004900D2"/>
    <w:rsid w:val="004907CB"/>
    <w:rsid w:val="00490B9A"/>
    <w:rsid w:val="00490D53"/>
    <w:rsid w:val="00490E5F"/>
    <w:rsid w:val="00490ECD"/>
    <w:rsid w:val="00490F63"/>
    <w:rsid w:val="004911ED"/>
    <w:rsid w:val="00491271"/>
    <w:rsid w:val="00491363"/>
    <w:rsid w:val="004916CC"/>
    <w:rsid w:val="00491A13"/>
    <w:rsid w:val="00491BF2"/>
    <w:rsid w:val="00491C70"/>
    <w:rsid w:val="00491C86"/>
    <w:rsid w:val="0049246E"/>
    <w:rsid w:val="00492562"/>
    <w:rsid w:val="004925AA"/>
    <w:rsid w:val="004925E6"/>
    <w:rsid w:val="004926F4"/>
    <w:rsid w:val="0049270F"/>
    <w:rsid w:val="004927E5"/>
    <w:rsid w:val="00492812"/>
    <w:rsid w:val="004929A4"/>
    <w:rsid w:val="00492B87"/>
    <w:rsid w:val="00492FD4"/>
    <w:rsid w:val="004930E6"/>
    <w:rsid w:val="00493266"/>
    <w:rsid w:val="004938FA"/>
    <w:rsid w:val="00493AB5"/>
    <w:rsid w:val="00493BAD"/>
    <w:rsid w:val="004940E6"/>
    <w:rsid w:val="004943F6"/>
    <w:rsid w:val="0049476E"/>
    <w:rsid w:val="004949BD"/>
    <w:rsid w:val="00494AFC"/>
    <w:rsid w:val="00494C83"/>
    <w:rsid w:val="00494DB6"/>
    <w:rsid w:val="00494DE4"/>
    <w:rsid w:val="004950AB"/>
    <w:rsid w:val="004952D2"/>
    <w:rsid w:val="00495402"/>
    <w:rsid w:val="00495714"/>
    <w:rsid w:val="00495835"/>
    <w:rsid w:val="00495D78"/>
    <w:rsid w:val="0049607C"/>
    <w:rsid w:val="0049644A"/>
    <w:rsid w:val="004964C2"/>
    <w:rsid w:val="004967FD"/>
    <w:rsid w:val="00496D8B"/>
    <w:rsid w:val="00496E85"/>
    <w:rsid w:val="00496ED1"/>
    <w:rsid w:val="0049707E"/>
    <w:rsid w:val="0049711A"/>
    <w:rsid w:val="00497197"/>
    <w:rsid w:val="004971AF"/>
    <w:rsid w:val="004972A6"/>
    <w:rsid w:val="004975C9"/>
    <w:rsid w:val="00497A37"/>
    <w:rsid w:val="00497A44"/>
    <w:rsid w:val="00497A90"/>
    <w:rsid w:val="00497C16"/>
    <w:rsid w:val="00497C84"/>
    <w:rsid w:val="004A0205"/>
    <w:rsid w:val="004A05D5"/>
    <w:rsid w:val="004A0626"/>
    <w:rsid w:val="004A0BB9"/>
    <w:rsid w:val="004A0D10"/>
    <w:rsid w:val="004A0E24"/>
    <w:rsid w:val="004A0E58"/>
    <w:rsid w:val="004A0EEC"/>
    <w:rsid w:val="004A0FAC"/>
    <w:rsid w:val="004A10F7"/>
    <w:rsid w:val="004A137F"/>
    <w:rsid w:val="004A14E3"/>
    <w:rsid w:val="004A18E1"/>
    <w:rsid w:val="004A1D2A"/>
    <w:rsid w:val="004A1E2E"/>
    <w:rsid w:val="004A1F8E"/>
    <w:rsid w:val="004A1FA3"/>
    <w:rsid w:val="004A206C"/>
    <w:rsid w:val="004A208A"/>
    <w:rsid w:val="004A20D0"/>
    <w:rsid w:val="004A20F5"/>
    <w:rsid w:val="004A232F"/>
    <w:rsid w:val="004A23BF"/>
    <w:rsid w:val="004A2593"/>
    <w:rsid w:val="004A316E"/>
    <w:rsid w:val="004A3267"/>
    <w:rsid w:val="004A3657"/>
    <w:rsid w:val="004A3B36"/>
    <w:rsid w:val="004A3E18"/>
    <w:rsid w:val="004A4306"/>
    <w:rsid w:val="004A46F2"/>
    <w:rsid w:val="004A4881"/>
    <w:rsid w:val="004A48F1"/>
    <w:rsid w:val="004A49D0"/>
    <w:rsid w:val="004A4B90"/>
    <w:rsid w:val="004A5269"/>
    <w:rsid w:val="004A55A7"/>
    <w:rsid w:val="004A57C6"/>
    <w:rsid w:val="004A5954"/>
    <w:rsid w:val="004A595F"/>
    <w:rsid w:val="004A5C6B"/>
    <w:rsid w:val="004A5C8C"/>
    <w:rsid w:val="004A6344"/>
    <w:rsid w:val="004A637E"/>
    <w:rsid w:val="004A6647"/>
    <w:rsid w:val="004A6795"/>
    <w:rsid w:val="004A6B8A"/>
    <w:rsid w:val="004A6B8B"/>
    <w:rsid w:val="004A6C75"/>
    <w:rsid w:val="004A6EC2"/>
    <w:rsid w:val="004A72FF"/>
    <w:rsid w:val="004A74D9"/>
    <w:rsid w:val="004A783B"/>
    <w:rsid w:val="004A794D"/>
    <w:rsid w:val="004A7BBA"/>
    <w:rsid w:val="004B000F"/>
    <w:rsid w:val="004B00AF"/>
    <w:rsid w:val="004B00E1"/>
    <w:rsid w:val="004B02AE"/>
    <w:rsid w:val="004B033C"/>
    <w:rsid w:val="004B043B"/>
    <w:rsid w:val="004B05FE"/>
    <w:rsid w:val="004B0B07"/>
    <w:rsid w:val="004B0F13"/>
    <w:rsid w:val="004B127B"/>
    <w:rsid w:val="004B1C8E"/>
    <w:rsid w:val="004B1EDF"/>
    <w:rsid w:val="004B1F09"/>
    <w:rsid w:val="004B1F64"/>
    <w:rsid w:val="004B21B8"/>
    <w:rsid w:val="004B2455"/>
    <w:rsid w:val="004B26EA"/>
    <w:rsid w:val="004B2874"/>
    <w:rsid w:val="004B2906"/>
    <w:rsid w:val="004B29BE"/>
    <w:rsid w:val="004B2DE0"/>
    <w:rsid w:val="004B2F9A"/>
    <w:rsid w:val="004B2FCF"/>
    <w:rsid w:val="004B3219"/>
    <w:rsid w:val="004B37CD"/>
    <w:rsid w:val="004B3850"/>
    <w:rsid w:val="004B3C20"/>
    <w:rsid w:val="004B402E"/>
    <w:rsid w:val="004B4078"/>
    <w:rsid w:val="004B4544"/>
    <w:rsid w:val="004B48BF"/>
    <w:rsid w:val="004B4A0B"/>
    <w:rsid w:val="004B4A4E"/>
    <w:rsid w:val="004B4C3D"/>
    <w:rsid w:val="004B4EB6"/>
    <w:rsid w:val="004B51BC"/>
    <w:rsid w:val="004B5605"/>
    <w:rsid w:val="004B5616"/>
    <w:rsid w:val="004B5AFF"/>
    <w:rsid w:val="004B5C06"/>
    <w:rsid w:val="004B635F"/>
    <w:rsid w:val="004B652F"/>
    <w:rsid w:val="004B65D4"/>
    <w:rsid w:val="004B6602"/>
    <w:rsid w:val="004B68E7"/>
    <w:rsid w:val="004B6B8A"/>
    <w:rsid w:val="004B6BDD"/>
    <w:rsid w:val="004B7408"/>
    <w:rsid w:val="004B7ABA"/>
    <w:rsid w:val="004B7AFB"/>
    <w:rsid w:val="004C0042"/>
    <w:rsid w:val="004C0346"/>
    <w:rsid w:val="004C0747"/>
    <w:rsid w:val="004C09ED"/>
    <w:rsid w:val="004C0D75"/>
    <w:rsid w:val="004C0DE9"/>
    <w:rsid w:val="004C0EB1"/>
    <w:rsid w:val="004C10FC"/>
    <w:rsid w:val="004C1554"/>
    <w:rsid w:val="004C1563"/>
    <w:rsid w:val="004C1762"/>
    <w:rsid w:val="004C1977"/>
    <w:rsid w:val="004C1D84"/>
    <w:rsid w:val="004C1DF6"/>
    <w:rsid w:val="004C1FA9"/>
    <w:rsid w:val="004C1FB3"/>
    <w:rsid w:val="004C2841"/>
    <w:rsid w:val="004C28C3"/>
    <w:rsid w:val="004C2F89"/>
    <w:rsid w:val="004C2FAB"/>
    <w:rsid w:val="004C2FE1"/>
    <w:rsid w:val="004C30CD"/>
    <w:rsid w:val="004C3285"/>
    <w:rsid w:val="004C363E"/>
    <w:rsid w:val="004C3870"/>
    <w:rsid w:val="004C38D8"/>
    <w:rsid w:val="004C3A89"/>
    <w:rsid w:val="004C3D66"/>
    <w:rsid w:val="004C43CA"/>
    <w:rsid w:val="004C4815"/>
    <w:rsid w:val="004C483F"/>
    <w:rsid w:val="004C499E"/>
    <w:rsid w:val="004C4A9E"/>
    <w:rsid w:val="004C4C1C"/>
    <w:rsid w:val="004C4C9B"/>
    <w:rsid w:val="004C4D63"/>
    <w:rsid w:val="004C52B2"/>
    <w:rsid w:val="004C5323"/>
    <w:rsid w:val="004C54DC"/>
    <w:rsid w:val="004C5525"/>
    <w:rsid w:val="004C569F"/>
    <w:rsid w:val="004C599B"/>
    <w:rsid w:val="004C59C7"/>
    <w:rsid w:val="004C59CB"/>
    <w:rsid w:val="004C5AAE"/>
    <w:rsid w:val="004C5B6D"/>
    <w:rsid w:val="004C5B95"/>
    <w:rsid w:val="004C5BC2"/>
    <w:rsid w:val="004C5C7C"/>
    <w:rsid w:val="004C6167"/>
    <w:rsid w:val="004C6218"/>
    <w:rsid w:val="004C6581"/>
    <w:rsid w:val="004C66E4"/>
    <w:rsid w:val="004C68B8"/>
    <w:rsid w:val="004C691D"/>
    <w:rsid w:val="004C6942"/>
    <w:rsid w:val="004C6E47"/>
    <w:rsid w:val="004C708A"/>
    <w:rsid w:val="004C748C"/>
    <w:rsid w:val="004C7696"/>
    <w:rsid w:val="004C787E"/>
    <w:rsid w:val="004C7B6D"/>
    <w:rsid w:val="004D0133"/>
    <w:rsid w:val="004D0471"/>
    <w:rsid w:val="004D04BB"/>
    <w:rsid w:val="004D0619"/>
    <w:rsid w:val="004D0726"/>
    <w:rsid w:val="004D078F"/>
    <w:rsid w:val="004D0A1F"/>
    <w:rsid w:val="004D0C63"/>
    <w:rsid w:val="004D0D65"/>
    <w:rsid w:val="004D0E84"/>
    <w:rsid w:val="004D127A"/>
    <w:rsid w:val="004D12DA"/>
    <w:rsid w:val="004D1643"/>
    <w:rsid w:val="004D17DE"/>
    <w:rsid w:val="004D1A28"/>
    <w:rsid w:val="004D1C2A"/>
    <w:rsid w:val="004D1E26"/>
    <w:rsid w:val="004D1F75"/>
    <w:rsid w:val="004D20BE"/>
    <w:rsid w:val="004D25C6"/>
    <w:rsid w:val="004D2700"/>
    <w:rsid w:val="004D2AF5"/>
    <w:rsid w:val="004D2FBB"/>
    <w:rsid w:val="004D3094"/>
    <w:rsid w:val="004D314C"/>
    <w:rsid w:val="004D3215"/>
    <w:rsid w:val="004D36DC"/>
    <w:rsid w:val="004D38C5"/>
    <w:rsid w:val="004D393E"/>
    <w:rsid w:val="004D3A9D"/>
    <w:rsid w:val="004D3E8A"/>
    <w:rsid w:val="004D42B6"/>
    <w:rsid w:val="004D4482"/>
    <w:rsid w:val="004D4605"/>
    <w:rsid w:val="004D4724"/>
    <w:rsid w:val="004D47D9"/>
    <w:rsid w:val="004D47E4"/>
    <w:rsid w:val="004D48CE"/>
    <w:rsid w:val="004D4A87"/>
    <w:rsid w:val="004D4F16"/>
    <w:rsid w:val="004D4FAD"/>
    <w:rsid w:val="004D52C6"/>
    <w:rsid w:val="004D55D9"/>
    <w:rsid w:val="004D56EF"/>
    <w:rsid w:val="004D5B06"/>
    <w:rsid w:val="004D5B24"/>
    <w:rsid w:val="004D5B5D"/>
    <w:rsid w:val="004D5E34"/>
    <w:rsid w:val="004D5F26"/>
    <w:rsid w:val="004D61B8"/>
    <w:rsid w:val="004D6471"/>
    <w:rsid w:val="004D6A68"/>
    <w:rsid w:val="004D6AF0"/>
    <w:rsid w:val="004D701A"/>
    <w:rsid w:val="004D7069"/>
    <w:rsid w:val="004D70BA"/>
    <w:rsid w:val="004D7BE6"/>
    <w:rsid w:val="004D7C79"/>
    <w:rsid w:val="004D7D9B"/>
    <w:rsid w:val="004D7E43"/>
    <w:rsid w:val="004D7FA5"/>
    <w:rsid w:val="004E006C"/>
    <w:rsid w:val="004E03EE"/>
    <w:rsid w:val="004E04BF"/>
    <w:rsid w:val="004E0648"/>
    <w:rsid w:val="004E07B9"/>
    <w:rsid w:val="004E10EC"/>
    <w:rsid w:val="004E12DB"/>
    <w:rsid w:val="004E1639"/>
    <w:rsid w:val="004E1AA7"/>
    <w:rsid w:val="004E1B19"/>
    <w:rsid w:val="004E1F59"/>
    <w:rsid w:val="004E2332"/>
    <w:rsid w:val="004E238D"/>
    <w:rsid w:val="004E25E2"/>
    <w:rsid w:val="004E262F"/>
    <w:rsid w:val="004E2A97"/>
    <w:rsid w:val="004E2CEB"/>
    <w:rsid w:val="004E2ECB"/>
    <w:rsid w:val="004E31CE"/>
    <w:rsid w:val="004E32E4"/>
    <w:rsid w:val="004E3472"/>
    <w:rsid w:val="004E3B51"/>
    <w:rsid w:val="004E3B57"/>
    <w:rsid w:val="004E3EBA"/>
    <w:rsid w:val="004E3FB6"/>
    <w:rsid w:val="004E404B"/>
    <w:rsid w:val="004E418E"/>
    <w:rsid w:val="004E4826"/>
    <w:rsid w:val="004E4FFF"/>
    <w:rsid w:val="004E51F5"/>
    <w:rsid w:val="004E53C8"/>
    <w:rsid w:val="004E55F2"/>
    <w:rsid w:val="004E57AB"/>
    <w:rsid w:val="004E588E"/>
    <w:rsid w:val="004E5998"/>
    <w:rsid w:val="004E5C6E"/>
    <w:rsid w:val="004E5CC4"/>
    <w:rsid w:val="004E5EF9"/>
    <w:rsid w:val="004E6447"/>
    <w:rsid w:val="004E6716"/>
    <w:rsid w:val="004E672F"/>
    <w:rsid w:val="004E68A7"/>
    <w:rsid w:val="004E71AC"/>
    <w:rsid w:val="004E726E"/>
    <w:rsid w:val="004E7706"/>
    <w:rsid w:val="004E7886"/>
    <w:rsid w:val="004E78AF"/>
    <w:rsid w:val="004E7B5B"/>
    <w:rsid w:val="004E7C6B"/>
    <w:rsid w:val="004F031C"/>
    <w:rsid w:val="004F06BE"/>
    <w:rsid w:val="004F09F4"/>
    <w:rsid w:val="004F0A04"/>
    <w:rsid w:val="004F0C05"/>
    <w:rsid w:val="004F0D43"/>
    <w:rsid w:val="004F0E0A"/>
    <w:rsid w:val="004F1288"/>
    <w:rsid w:val="004F13C6"/>
    <w:rsid w:val="004F1503"/>
    <w:rsid w:val="004F16FF"/>
    <w:rsid w:val="004F21FC"/>
    <w:rsid w:val="004F23B2"/>
    <w:rsid w:val="004F2575"/>
    <w:rsid w:val="004F2FBB"/>
    <w:rsid w:val="004F31CC"/>
    <w:rsid w:val="004F3374"/>
    <w:rsid w:val="004F3493"/>
    <w:rsid w:val="004F34DA"/>
    <w:rsid w:val="004F355E"/>
    <w:rsid w:val="004F37C7"/>
    <w:rsid w:val="004F38A2"/>
    <w:rsid w:val="004F3950"/>
    <w:rsid w:val="004F3AE3"/>
    <w:rsid w:val="004F3B51"/>
    <w:rsid w:val="004F3B66"/>
    <w:rsid w:val="004F3C9E"/>
    <w:rsid w:val="004F3CF2"/>
    <w:rsid w:val="004F3E5A"/>
    <w:rsid w:val="004F3F26"/>
    <w:rsid w:val="004F3F5C"/>
    <w:rsid w:val="004F40E5"/>
    <w:rsid w:val="004F41B3"/>
    <w:rsid w:val="004F4283"/>
    <w:rsid w:val="004F42C9"/>
    <w:rsid w:val="004F42CE"/>
    <w:rsid w:val="004F443B"/>
    <w:rsid w:val="004F4A69"/>
    <w:rsid w:val="004F4E37"/>
    <w:rsid w:val="004F4E38"/>
    <w:rsid w:val="004F4ED6"/>
    <w:rsid w:val="004F547C"/>
    <w:rsid w:val="004F54C5"/>
    <w:rsid w:val="004F555B"/>
    <w:rsid w:val="004F55D8"/>
    <w:rsid w:val="004F61B1"/>
    <w:rsid w:val="004F6220"/>
    <w:rsid w:val="004F64C2"/>
    <w:rsid w:val="004F64F7"/>
    <w:rsid w:val="004F6879"/>
    <w:rsid w:val="004F68CC"/>
    <w:rsid w:val="004F75E0"/>
    <w:rsid w:val="004F79DA"/>
    <w:rsid w:val="004F7BAC"/>
    <w:rsid w:val="004F7DDD"/>
    <w:rsid w:val="00500279"/>
    <w:rsid w:val="005005B4"/>
    <w:rsid w:val="005006B8"/>
    <w:rsid w:val="00500DDD"/>
    <w:rsid w:val="00501014"/>
    <w:rsid w:val="005013FF"/>
    <w:rsid w:val="00501538"/>
    <w:rsid w:val="005015F1"/>
    <w:rsid w:val="0050181E"/>
    <w:rsid w:val="00501AA9"/>
    <w:rsid w:val="00501ACB"/>
    <w:rsid w:val="00501CE2"/>
    <w:rsid w:val="00501D8A"/>
    <w:rsid w:val="00501D97"/>
    <w:rsid w:val="00501EEC"/>
    <w:rsid w:val="00501F3D"/>
    <w:rsid w:val="00501FF9"/>
    <w:rsid w:val="005024CB"/>
    <w:rsid w:val="0050259F"/>
    <w:rsid w:val="00502763"/>
    <w:rsid w:val="005028ED"/>
    <w:rsid w:val="005028FD"/>
    <w:rsid w:val="005029C2"/>
    <w:rsid w:val="00502A88"/>
    <w:rsid w:val="00502CC2"/>
    <w:rsid w:val="0050305A"/>
    <w:rsid w:val="00503148"/>
    <w:rsid w:val="0050324A"/>
    <w:rsid w:val="005033B9"/>
    <w:rsid w:val="0050359D"/>
    <w:rsid w:val="0050378B"/>
    <w:rsid w:val="00503AD0"/>
    <w:rsid w:val="00504353"/>
    <w:rsid w:val="005044C0"/>
    <w:rsid w:val="00504B0C"/>
    <w:rsid w:val="00504B46"/>
    <w:rsid w:val="00504E07"/>
    <w:rsid w:val="00505176"/>
    <w:rsid w:val="00505340"/>
    <w:rsid w:val="005055AE"/>
    <w:rsid w:val="0050581C"/>
    <w:rsid w:val="0050582A"/>
    <w:rsid w:val="00505ADA"/>
    <w:rsid w:val="00505C93"/>
    <w:rsid w:val="00505D17"/>
    <w:rsid w:val="00505E82"/>
    <w:rsid w:val="00506023"/>
    <w:rsid w:val="00506024"/>
    <w:rsid w:val="00506132"/>
    <w:rsid w:val="005062AF"/>
    <w:rsid w:val="005065D9"/>
    <w:rsid w:val="00506C89"/>
    <w:rsid w:val="00506CA0"/>
    <w:rsid w:val="00506E28"/>
    <w:rsid w:val="00506E5D"/>
    <w:rsid w:val="005070EA"/>
    <w:rsid w:val="00507689"/>
    <w:rsid w:val="00507AE7"/>
    <w:rsid w:val="00507C02"/>
    <w:rsid w:val="00510349"/>
    <w:rsid w:val="00510523"/>
    <w:rsid w:val="005105F4"/>
    <w:rsid w:val="00510837"/>
    <w:rsid w:val="0051094C"/>
    <w:rsid w:val="0051098A"/>
    <w:rsid w:val="00510A36"/>
    <w:rsid w:val="00510AEA"/>
    <w:rsid w:val="00510D58"/>
    <w:rsid w:val="00510DD1"/>
    <w:rsid w:val="0051138C"/>
    <w:rsid w:val="005117CC"/>
    <w:rsid w:val="005119DD"/>
    <w:rsid w:val="00511E89"/>
    <w:rsid w:val="00511FE7"/>
    <w:rsid w:val="00512307"/>
    <w:rsid w:val="00512867"/>
    <w:rsid w:val="00512ED9"/>
    <w:rsid w:val="00513001"/>
    <w:rsid w:val="00513155"/>
    <w:rsid w:val="00513175"/>
    <w:rsid w:val="005132EA"/>
    <w:rsid w:val="00513855"/>
    <w:rsid w:val="00513875"/>
    <w:rsid w:val="00513891"/>
    <w:rsid w:val="005138B8"/>
    <w:rsid w:val="0051398D"/>
    <w:rsid w:val="005139D1"/>
    <w:rsid w:val="00513A0C"/>
    <w:rsid w:val="00513CC4"/>
    <w:rsid w:val="00513DBA"/>
    <w:rsid w:val="005140C7"/>
    <w:rsid w:val="005146E0"/>
    <w:rsid w:val="00514A72"/>
    <w:rsid w:val="00514CE3"/>
    <w:rsid w:val="00514FBC"/>
    <w:rsid w:val="0051503A"/>
    <w:rsid w:val="00515050"/>
    <w:rsid w:val="00515717"/>
    <w:rsid w:val="00515785"/>
    <w:rsid w:val="005157D3"/>
    <w:rsid w:val="00515808"/>
    <w:rsid w:val="00515A89"/>
    <w:rsid w:val="00515BCC"/>
    <w:rsid w:val="00515C36"/>
    <w:rsid w:val="00515C6F"/>
    <w:rsid w:val="00515CD2"/>
    <w:rsid w:val="00515E2D"/>
    <w:rsid w:val="00515E4B"/>
    <w:rsid w:val="00516101"/>
    <w:rsid w:val="0051671B"/>
    <w:rsid w:val="00516817"/>
    <w:rsid w:val="00516A77"/>
    <w:rsid w:val="00516B2B"/>
    <w:rsid w:val="00516C07"/>
    <w:rsid w:val="00516CF3"/>
    <w:rsid w:val="00516FA9"/>
    <w:rsid w:val="00516FF1"/>
    <w:rsid w:val="0051707E"/>
    <w:rsid w:val="0051708E"/>
    <w:rsid w:val="005176F6"/>
    <w:rsid w:val="005176FE"/>
    <w:rsid w:val="005178C2"/>
    <w:rsid w:val="00517938"/>
    <w:rsid w:val="00517E66"/>
    <w:rsid w:val="00517FD6"/>
    <w:rsid w:val="005200D9"/>
    <w:rsid w:val="0052031E"/>
    <w:rsid w:val="00520481"/>
    <w:rsid w:val="005204F3"/>
    <w:rsid w:val="00520547"/>
    <w:rsid w:val="00520580"/>
    <w:rsid w:val="00520831"/>
    <w:rsid w:val="00520CCF"/>
    <w:rsid w:val="00520CEA"/>
    <w:rsid w:val="005211DB"/>
    <w:rsid w:val="00521766"/>
    <w:rsid w:val="005217C5"/>
    <w:rsid w:val="005219FE"/>
    <w:rsid w:val="00521F2C"/>
    <w:rsid w:val="0052203D"/>
    <w:rsid w:val="005220F9"/>
    <w:rsid w:val="00522110"/>
    <w:rsid w:val="00522416"/>
    <w:rsid w:val="00522528"/>
    <w:rsid w:val="005227DB"/>
    <w:rsid w:val="00522910"/>
    <w:rsid w:val="00522EFC"/>
    <w:rsid w:val="005232A4"/>
    <w:rsid w:val="005236A2"/>
    <w:rsid w:val="00523988"/>
    <w:rsid w:val="00523CE0"/>
    <w:rsid w:val="00523E81"/>
    <w:rsid w:val="00523FD4"/>
    <w:rsid w:val="00524121"/>
    <w:rsid w:val="00524336"/>
    <w:rsid w:val="0052438E"/>
    <w:rsid w:val="0052444B"/>
    <w:rsid w:val="00524972"/>
    <w:rsid w:val="00524DF2"/>
    <w:rsid w:val="00524F04"/>
    <w:rsid w:val="00525966"/>
    <w:rsid w:val="00525A55"/>
    <w:rsid w:val="00525F1F"/>
    <w:rsid w:val="00525F44"/>
    <w:rsid w:val="00525FA6"/>
    <w:rsid w:val="0052617F"/>
    <w:rsid w:val="0052635F"/>
    <w:rsid w:val="0052647A"/>
    <w:rsid w:val="0052669C"/>
    <w:rsid w:val="00526809"/>
    <w:rsid w:val="005268BF"/>
    <w:rsid w:val="00526DB8"/>
    <w:rsid w:val="00526E7F"/>
    <w:rsid w:val="00527153"/>
    <w:rsid w:val="005272B9"/>
    <w:rsid w:val="00527388"/>
    <w:rsid w:val="005275B3"/>
    <w:rsid w:val="005275E3"/>
    <w:rsid w:val="0052763F"/>
    <w:rsid w:val="0052775F"/>
    <w:rsid w:val="005278F4"/>
    <w:rsid w:val="00527BCD"/>
    <w:rsid w:val="00527BDC"/>
    <w:rsid w:val="0053021B"/>
    <w:rsid w:val="005302D8"/>
    <w:rsid w:val="00530344"/>
    <w:rsid w:val="00530423"/>
    <w:rsid w:val="005304FB"/>
    <w:rsid w:val="005305C0"/>
    <w:rsid w:val="0053092A"/>
    <w:rsid w:val="00530CC5"/>
    <w:rsid w:val="0053108F"/>
    <w:rsid w:val="005310EF"/>
    <w:rsid w:val="0053143D"/>
    <w:rsid w:val="005317BC"/>
    <w:rsid w:val="00531970"/>
    <w:rsid w:val="00531B0D"/>
    <w:rsid w:val="00531F25"/>
    <w:rsid w:val="00531F75"/>
    <w:rsid w:val="005320CF"/>
    <w:rsid w:val="00532109"/>
    <w:rsid w:val="005325D4"/>
    <w:rsid w:val="00532950"/>
    <w:rsid w:val="00532A00"/>
    <w:rsid w:val="00532CC4"/>
    <w:rsid w:val="00532D88"/>
    <w:rsid w:val="00532F2C"/>
    <w:rsid w:val="00533173"/>
    <w:rsid w:val="0053345A"/>
    <w:rsid w:val="005334AB"/>
    <w:rsid w:val="0053368D"/>
    <w:rsid w:val="00533CA5"/>
    <w:rsid w:val="00534189"/>
    <w:rsid w:val="00534458"/>
    <w:rsid w:val="00534694"/>
    <w:rsid w:val="0053489D"/>
    <w:rsid w:val="00534A31"/>
    <w:rsid w:val="00534C50"/>
    <w:rsid w:val="00535336"/>
    <w:rsid w:val="00535364"/>
    <w:rsid w:val="005354A8"/>
    <w:rsid w:val="005354D6"/>
    <w:rsid w:val="005354F2"/>
    <w:rsid w:val="005356F9"/>
    <w:rsid w:val="005357D3"/>
    <w:rsid w:val="0053598E"/>
    <w:rsid w:val="00535A92"/>
    <w:rsid w:val="00535FD0"/>
    <w:rsid w:val="005362A5"/>
    <w:rsid w:val="0053646F"/>
    <w:rsid w:val="005364D5"/>
    <w:rsid w:val="00536953"/>
    <w:rsid w:val="00536993"/>
    <w:rsid w:val="00536AC5"/>
    <w:rsid w:val="00536CAA"/>
    <w:rsid w:val="00536D14"/>
    <w:rsid w:val="005371DF"/>
    <w:rsid w:val="00537339"/>
    <w:rsid w:val="005373D6"/>
    <w:rsid w:val="005375E2"/>
    <w:rsid w:val="00537A98"/>
    <w:rsid w:val="00537B89"/>
    <w:rsid w:val="00537BD2"/>
    <w:rsid w:val="00537C6B"/>
    <w:rsid w:val="00540119"/>
    <w:rsid w:val="005402D6"/>
    <w:rsid w:val="0054041F"/>
    <w:rsid w:val="00540545"/>
    <w:rsid w:val="0054055A"/>
    <w:rsid w:val="005406CE"/>
    <w:rsid w:val="00540703"/>
    <w:rsid w:val="005409A7"/>
    <w:rsid w:val="00540E18"/>
    <w:rsid w:val="00540E4A"/>
    <w:rsid w:val="00540EED"/>
    <w:rsid w:val="00541003"/>
    <w:rsid w:val="00541124"/>
    <w:rsid w:val="0054127F"/>
    <w:rsid w:val="005413E8"/>
    <w:rsid w:val="005414D6"/>
    <w:rsid w:val="0054164C"/>
    <w:rsid w:val="00541731"/>
    <w:rsid w:val="00541794"/>
    <w:rsid w:val="00541A90"/>
    <w:rsid w:val="00541FC8"/>
    <w:rsid w:val="00541FE5"/>
    <w:rsid w:val="0054206B"/>
    <w:rsid w:val="00542117"/>
    <w:rsid w:val="00542571"/>
    <w:rsid w:val="005425A0"/>
    <w:rsid w:val="005425B2"/>
    <w:rsid w:val="00542723"/>
    <w:rsid w:val="00542792"/>
    <w:rsid w:val="00542ABB"/>
    <w:rsid w:val="00542F41"/>
    <w:rsid w:val="0054340B"/>
    <w:rsid w:val="0054381E"/>
    <w:rsid w:val="0054386F"/>
    <w:rsid w:val="005438D3"/>
    <w:rsid w:val="00543985"/>
    <w:rsid w:val="00543B34"/>
    <w:rsid w:val="00543C71"/>
    <w:rsid w:val="00543D17"/>
    <w:rsid w:val="00543D2F"/>
    <w:rsid w:val="00543FA1"/>
    <w:rsid w:val="005444B7"/>
    <w:rsid w:val="00544665"/>
    <w:rsid w:val="00544690"/>
    <w:rsid w:val="00544718"/>
    <w:rsid w:val="00544AE1"/>
    <w:rsid w:val="00544F57"/>
    <w:rsid w:val="00544FC5"/>
    <w:rsid w:val="00545A8E"/>
    <w:rsid w:val="00545C61"/>
    <w:rsid w:val="0054601C"/>
    <w:rsid w:val="005467E9"/>
    <w:rsid w:val="0054713B"/>
    <w:rsid w:val="005475C7"/>
    <w:rsid w:val="00547664"/>
    <w:rsid w:val="00547717"/>
    <w:rsid w:val="00547853"/>
    <w:rsid w:val="00547977"/>
    <w:rsid w:val="00550009"/>
    <w:rsid w:val="00550129"/>
    <w:rsid w:val="00550166"/>
    <w:rsid w:val="00550897"/>
    <w:rsid w:val="0055100E"/>
    <w:rsid w:val="00551205"/>
    <w:rsid w:val="0055131B"/>
    <w:rsid w:val="00551323"/>
    <w:rsid w:val="0055149C"/>
    <w:rsid w:val="00551573"/>
    <w:rsid w:val="00551A27"/>
    <w:rsid w:val="00551EDB"/>
    <w:rsid w:val="00551EF9"/>
    <w:rsid w:val="0055206A"/>
    <w:rsid w:val="0055219C"/>
    <w:rsid w:val="0055235A"/>
    <w:rsid w:val="00552500"/>
    <w:rsid w:val="00552580"/>
    <w:rsid w:val="005529A4"/>
    <w:rsid w:val="00552CD2"/>
    <w:rsid w:val="00552D88"/>
    <w:rsid w:val="00552D8A"/>
    <w:rsid w:val="00553059"/>
    <w:rsid w:val="005532B9"/>
    <w:rsid w:val="005532D0"/>
    <w:rsid w:val="00553333"/>
    <w:rsid w:val="00553334"/>
    <w:rsid w:val="005533A6"/>
    <w:rsid w:val="0055363A"/>
    <w:rsid w:val="005536CD"/>
    <w:rsid w:val="0055381F"/>
    <w:rsid w:val="00553825"/>
    <w:rsid w:val="00553937"/>
    <w:rsid w:val="00553AE0"/>
    <w:rsid w:val="00553C40"/>
    <w:rsid w:val="00553FB8"/>
    <w:rsid w:val="00554198"/>
    <w:rsid w:val="005545AA"/>
    <w:rsid w:val="005545E7"/>
    <w:rsid w:val="005546E2"/>
    <w:rsid w:val="00554836"/>
    <w:rsid w:val="005549B5"/>
    <w:rsid w:val="00554C38"/>
    <w:rsid w:val="00554E94"/>
    <w:rsid w:val="0055500C"/>
    <w:rsid w:val="00555013"/>
    <w:rsid w:val="00555063"/>
    <w:rsid w:val="0055527F"/>
    <w:rsid w:val="005553DE"/>
    <w:rsid w:val="00555516"/>
    <w:rsid w:val="00555522"/>
    <w:rsid w:val="0055584E"/>
    <w:rsid w:val="00555A81"/>
    <w:rsid w:val="00555ADD"/>
    <w:rsid w:val="00555EC0"/>
    <w:rsid w:val="00555F76"/>
    <w:rsid w:val="005562EA"/>
    <w:rsid w:val="00556418"/>
    <w:rsid w:val="00556503"/>
    <w:rsid w:val="00556527"/>
    <w:rsid w:val="005569B0"/>
    <w:rsid w:val="00556B21"/>
    <w:rsid w:val="00556B3D"/>
    <w:rsid w:val="00556C46"/>
    <w:rsid w:val="00556D4A"/>
    <w:rsid w:val="00556FA4"/>
    <w:rsid w:val="00557001"/>
    <w:rsid w:val="00557153"/>
    <w:rsid w:val="00557427"/>
    <w:rsid w:val="005577D4"/>
    <w:rsid w:val="00557A50"/>
    <w:rsid w:val="00557F97"/>
    <w:rsid w:val="005602D1"/>
    <w:rsid w:val="0056067C"/>
    <w:rsid w:val="005606EA"/>
    <w:rsid w:val="005606F2"/>
    <w:rsid w:val="00560713"/>
    <w:rsid w:val="0056078D"/>
    <w:rsid w:val="00560DB4"/>
    <w:rsid w:val="00560DEB"/>
    <w:rsid w:val="005611CE"/>
    <w:rsid w:val="0056130F"/>
    <w:rsid w:val="005617EF"/>
    <w:rsid w:val="00561D6E"/>
    <w:rsid w:val="00561EE6"/>
    <w:rsid w:val="00561FDD"/>
    <w:rsid w:val="00562229"/>
    <w:rsid w:val="0056240F"/>
    <w:rsid w:val="005628D9"/>
    <w:rsid w:val="0056293A"/>
    <w:rsid w:val="00562AA9"/>
    <w:rsid w:val="005630E9"/>
    <w:rsid w:val="005632A5"/>
    <w:rsid w:val="00563449"/>
    <w:rsid w:val="005636BB"/>
    <w:rsid w:val="0056371F"/>
    <w:rsid w:val="0056373F"/>
    <w:rsid w:val="005637C6"/>
    <w:rsid w:val="005639BC"/>
    <w:rsid w:val="00563CAF"/>
    <w:rsid w:val="0056404D"/>
    <w:rsid w:val="0056449A"/>
    <w:rsid w:val="00564521"/>
    <w:rsid w:val="0056462A"/>
    <w:rsid w:val="00564677"/>
    <w:rsid w:val="00564FB0"/>
    <w:rsid w:val="0056501D"/>
    <w:rsid w:val="005650EC"/>
    <w:rsid w:val="0056513A"/>
    <w:rsid w:val="0056522C"/>
    <w:rsid w:val="00565AEE"/>
    <w:rsid w:val="00565B05"/>
    <w:rsid w:val="00565B1E"/>
    <w:rsid w:val="00566589"/>
    <w:rsid w:val="005665B6"/>
    <w:rsid w:val="00566A3D"/>
    <w:rsid w:val="00566CA3"/>
    <w:rsid w:val="00566E53"/>
    <w:rsid w:val="00567217"/>
    <w:rsid w:val="005673EC"/>
    <w:rsid w:val="00567635"/>
    <w:rsid w:val="0056777E"/>
    <w:rsid w:val="005677D6"/>
    <w:rsid w:val="005678A7"/>
    <w:rsid w:val="00567A41"/>
    <w:rsid w:val="00567B52"/>
    <w:rsid w:val="00567B92"/>
    <w:rsid w:val="00567B94"/>
    <w:rsid w:val="00567DC2"/>
    <w:rsid w:val="00567F1F"/>
    <w:rsid w:val="00567FAD"/>
    <w:rsid w:val="00570136"/>
    <w:rsid w:val="0057034E"/>
    <w:rsid w:val="00570972"/>
    <w:rsid w:val="00570DD5"/>
    <w:rsid w:val="00570FEE"/>
    <w:rsid w:val="00571038"/>
    <w:rsid w:val="00571334"/>
    <w:rsid w:val="00571390"/>
    <w:rsid w:val="00571501"/>
    <w:rsid w:val="00571565"/>
    <w:rsid w:val="0057180B"/>
    <w:rsid w:val="00571A04"/>
    <w:rsid w:val="00571A48"/>
    <w:rsid w:val="00571C85"/>
    <w:rsid w:val="00571EC0"/>
    <w:rsid w:val="00571ECD"/>
    <w:rsid w:val="005720DB"/>
    <w:rsid w:val="00572401"/>
    <w:rsid w:val="00572678"/>
    <w:rsid w:val="005726BC"/>
    <w:rsid w:val="00572A91"/>
    <w:rsid w:val="00572B3D"/>
    <w:rsid w:val="00572DC4"/>
    <w:rsid w:val="00572E68"/>
    <w:rsid w:val="00572E89"/>
    <w:rsid w:val="00572F1E"/>
    <w:rsid w:val="00572FD2"/>
    <w:rsid w:val="0057308B"/>
    <w:rsid w:val="00573488"/>
    <w:rsid w:val="00573A56"/>
    <w:rsid w:val="00573C91"/>
    <w:rsid w:val="0057409D"/>
    <w:rsid w:val="0057418B"/>
    <w:rsid w:val="0057419D"/>
    <w:rsid w:val="005741DA"/>
    <w:rsid w:val="005742D5"/>
    <w:rsid w:val="005744CB"/>
    <w:rsid w:val="00574675"/>
    <w:rsid w:val="00574BC9"/>
    <w:rsid w:val="00574E41"/>
    <w:rsid w:val="00574E6B"/>
    <w:rsid w:val="0057558E"/>
    <w:rsid w:val="005755E9"/>
    <w:rsid w:val="0057576F"/>
    <w:rsid w:val="0057597F"/>
    <w:rsid w:val="00575E54"/>
    <w:rsid w:val="005760FD"/>
    <w:rsid w:val="005768E9"/>
    <w:rsid w:val="00576B35"/>
    <w:rsid w:val="00576C2E"/>
    <w:rsid w:val="00576F81"/>
    <w:rsid w:val="00577751"/>
    <w:rsid w:val="00577890"/>
    <w:rsid w:val="00577CB6"/>
    <w:rsid w:val="00577F3E"/>
    <w:rsid w:val="0058007F"/>
    <w:rsid w:val="00580301"/>
    <w:rsid w:val="005806ED"/>
    <w:rsid w:val="0058072D"/>
    <w:rsid w:val="0058073F"/>
    <w:rsid w:val="0058087A"/>
    <w:rsid w:val="00580C54"/>
    <w:rsid w:val="00580C9A"/>
    <w:rsid w:val="00580D12"/>
    <w:rsid w:val="00581229"/>
    <w:rsid w:val="005814D5"/>
    <w:rsid w:val="00581545"/>
    <w:rsid w:val="00581737"/>
    <w:rsid w:val="005817D5"/>
    <w:rsid w:val="00581D2C"/>
    <w:rsid w:val="00581E2E"/>
    <w:rsid w:val="00581E7D"/>
    <w:rsid w:val="00582401"/>
    <w:rsid w:val="00582413"/>
    <w:rsid w:val="00582684"/>
    <w:rsid w:val="005827BA"/>
    <w:rsid w:val="00582800"/>
    <w:rsid w:val="00582A36"/>
    <w:rsid w:val="00582B60"/>
    <w:rsid w:val="00582BB1"/>
    <w:rsid w:val="00582D5B"/>
    <w:rsid w:val="00583208"/>
    <w:rsid w:val="00583448"/>
    <w:rsid w:val="005834DA"/>
    <w:rsid w:val="005837C5"/>
    <w:rsid w:val="00583800"/>
    <w:rsid w:val="00583814"/>
    <w:rsid w:val="00583848"/>
    <w:rsid w:val="00583A47"/>
    <w:rsid w:val="00583C38"/>
    <w:rsid w:val="00583F89"/>
    <w:rsid w:val="005843CB"/>
    <w:rsid w:val="0058498F"/>
    <w:rsid w:val="00584C85"/>
    <w:rsid w:val="00584E92"/>
    <w:rsid w:val="005852E2"/>
    <w:rsid w:val="00585402"/>
    <w:rsid w:val="0058569E"/>
    <w:rsid w:val="005859D0"/>
    <w:rsid w:val="00585A91"/>
    <w:rsid w:val="00585B11"/>
    <w:rsid w:val="00585C44"/>
    <w:rsid w:val="00585EE1"/>
    <w:rsid w:val="00585EE2"/>
    <w:rsid w:val="005864FB"/>
    <w:rsid w:val="00586973"/>
    <w:rsid w:val="00586986"/>
    <w:rsid w:val="00586AD9"/>
    <w:rsid w:val="00586D5E"/>
    <w:rsid w:val="00586E03"/>
    <w:rsid w:val="00587023"/>
    <w:rsid w:val="0058740D"/>
    <w:rsid w:val="005879B9"/>
    <w:rsid w:val="00587CE5"/>
    <w:rsid w:val="00587D23"/>
    <w:rsid w:val="00587D86"/>
    <w:rsid w:val="00587E67"/>
    <w:rsid w:val="00587FA3"/>
    <w:rsid w:val="005901EC"/>
    <w:rsid w:val="0059037C"/>
    <w:rsid w:val="0059038B"/>
    <w:rsid w:val="005903E7"/>
    <w:rsid w:val="0059063D"/>
    <w:rsid w:val="00590BB1"/>
    <w:rsid w:val="00590C14"/>
    <w:rsid w:val="00590C15"/>
    <w:rsid w:val="00591063"/>
    <w:rsid w:val="005911D4"/>
    <w:rsid w:val="005912BE"/>
    <w:rsid w:val="00591676"/>
    <w:rsid w:val="005916A6"/>
    <w:rsid w:val="005917D2"/>
    <w:rsid w:val="0059190F"/>
    <w:rsid w:val="00591B0A"/>
    <w:rsid w:val="00591B2D"/>
    <w:rsid w:val="00591BE6"/>
    <w:rsid w:val="00591C3D"/>
    <w:rsid w:val="00591E19"/>
    <w:rsid w:val="005921A0"/>
    <w:rsid w:val="005923C6"/>
    <w:rsid w:val="005926A7"/>
    <w:rsid w:val="00592731"/>
    <w:rsid w:val="00592A49"/>
    <w:rsid w:val="00592ABC"/>
    <w:rsid w:val="00592C0D"/>
    <w:rsid w:val="00592CC2"/>
    <w:rsid w:val="00592D21"/>
    <w:rsid w:val="00592DE3"/>
    <w:rsid w:val="005930C9"/>
    <w:rsid w:val="0059399D"/>
    <w:rsid w:val="005939BC"/>
    <w:rsid w:val="00593B11"/>
    <w:rsid w:val="00593B27"/>
    <w:rsid w:val="00593C18"/>
    <w:rsid w:val="00593C46"/>
    <w:rsid w:val="00593C7F"/>
    <w:rsid w:val="00593EB6"/>
    <w:rsid w:val="00594293"/>
    <w:rsid w:val="0059430C"/>
    <w:rsid w:val="0059447E"/>
    <w:rsid w:val="00594553"/>
    <w:rsid w:val="00594739"/>
    <w:rsid w:val="00594788"/>
    <w:rsid w:val="00594792"/>
    <w:rsid w:val="00594793"/>
    <w:rsid w:val="005948EB"/>
    <w:rsid w:val="00594930"/>
    <w:rsid w:val="00594B75"/>
    <w:rsid w:val="005952BA"/>
    <w:rsid w:val="0059532A"/>
    <w:rsid w:val="0059534C"/>
    <w:rsid w:val="0059544F"/>
    <w:rsid w:val="005955B6"/>
    <w:rsid w:val="00595656"/>
    <w:rsid w:val="00595779"/>
    <w:rsid w:val="00595B7F"/>
    <w:rsid w:val="00595C27"/>
    <w:rsid w:val="00595F5C"/>
    <w:rsid w:val="00596348"/>
    <w:rsid w:val="00596364"/>
    <w:rsid w:val="00596767"/>
    <w:rsid w:val="0059684D"/>
    <w:rsid w:val="00596972"/>
    <w:rsid w:val="00596B04"/>
    <w:rsid w:val="00596C3D"/>
    <w:rsid w:val="00596FC1"/>
    <w:rsid w:val="00596FDC"/>
    <w:rsid w:val="00597040"/>
    <w:rsid w:val="00597371"/>
    <w:rsid w:val="00597470"/>
    <w:rsid w:val="005974FC"/>
    <w:rsid w:val="005975FB"/>
    <w:rsid w:val="00597C2B"/>
    <w:rsid w:val="00597E01"/>
    <w:rsid w:val="00597F35"/>
    <w:rsid w:val="005A0020"/>
    <w:rsid w:val="005A032F"/>
    <w:rsid w:val="005A0425"/>
    <w:rsid w:val="005A0450"/>
    <w:rsid w:val="005A0582"/>
    <w:rsid w:val="005A081E"/>
    <w:rsid w:val="005A0C77"/>
    <w:rsid w:val="005A0F3C"/>
    <w:rsid w:val="005A0FA7"/>
    <w:rsid w:val="005A11A0"/>
    <w:rsid w:val="005A120E"/>
    <w:rsid w:val="005A1310"/>
    <w:rsid w:val="005A171C"/>
    <w:rsid w:val="005A1744"/>
    <w:rsid w:val="005A17A8"/>
    <w:rsid w:val="005A17D5"/>
    <w:rsid w:val="005A1A9C"/>
    <w:rsid w:val="005A1C17"/>
    <w:rsid w:val="005A1CB2"/>
    <w:rsid w:val="005A1EF2"/>
    <w:rsid w:val="005A20C5"/>
    <w:rsid w:val="005A23FD"/>
    <w:rsid w:val="005A286D"/>
    <w:rsid w:val="005A2CAC"/>
    <w:rsid w:val="005A2EE0"/>
    <w:rsid w:val="005A2F0A"/>
    <w:rsid w:val="005A346B"/>
    <w:rsid w:val="005A3522"/>
    <w:rsid w:val="005A3A8D"/>
    <w:rsid w:val="005A3EAE"/>
    <w:rsid w:val="005A400E"/>
    <w:rsid w:val="005A4065"/>
    <w:rsid w:val="005A406A"/>
    <w:rsid w:val="005A40E9"/>
    <w:rsid w:val="005A4630"/>
    <w:rsid w:val="005A469F"/>
    <w:rsid w:val="005A471A"/>
    <w:rsid w:val="005A4782"/>
    <w:rsid w:val="005A4858"/>
    <w:rsid w:val="005A4E4D"/>
    <w:rsid w:val="005A4FCA"/>
    <w:rsid w:val="005A5082"/>
    <w:rsid w:val="005A5121"/>
    <w:rsid w:val="005A52CE"/>
    <w:rsid w:val="005A5537"/>
    <w:rsid w:val="005A557D"/>
    <w:rsid w:val="005A5A4C"/>
    <w:rsid w:val="005A5E57"/>
    <w:rsid w:val="005A5EC8"/>
    <w:rsid w:val="005A5ECA"/>
    <w:rsid w:val="005A5F06"/>
    <w:rsid w:val="005A5F1A"/>
    <w:rsid w:val="005A5F71"/>
    <w:rsid w:val="005A5FC3"/>
    <w:rsid w:val="005A653D"/>
    <w:rsid w:val="005A67B0"/>
    <w:rsid w:val="005A68CC"/>
    <w:rsid w:val="005A6AAD"/>
    <w:rsid w:val="005A6BC0"/>
    <w:rsid w:val="005A6D31"/>
    <w:rsid w:val="005A7156"/>
    <w:rsid w:val="005A7204"/>
    <w:rsid w:val="005A75DC"/>
    <w:rsid w:val="005A7693"/>
    <w:rsid w:val="005A7B33"/>
    <w:rsid w:val="005A7E19"/>
    <w:rsid w:val="005B0107"/>
    <w:rsid w:val="005B019D"/>
    <w:rsid w:val="005B0568"/>
    <w:rsid w:val="005B05EE"/>
    <w:rsid w:val="005B077F"/>
    <w:rsid w:val="005B088A"/>
    <w:rsid w:val="005B0BE9"/>
    <w:rsid w:val="005B0D16"/>
    <w:rsid w:val="005B0EA1"/>
    <w:rsid w:val="005B0FE1"/>
    <w:rsid w:val="005B1256"/>
    <w:rsid w:val="005B1B1F"/>
    <w:rsid w:val="005B1FEF"/>
    <w:rsid w:val="005B22E8"/>
    <w:rsid w:val="005B2587"/>
    <w:rsid w:val="005B29DD"/>
    <w:rsid w:val="005B2F2D"/>
    <w:rsid w:val="005B34C7"/>
    <w:rsid w:val="005B35DB"/>
    <w:rsid w:val="005B362E"/>
    <w:rsid w:val="005B3CAC"/>
    <w:rsid w:val="005B3DE0"/>
    <w:rsid w:val="005B3EC3"/>
    <w:rsid w:val="005B4292"/>
    <w:rsid w:val="005B42DC"/>
    <w:rsid w:val="005B43C5"/>
    <w:rsid w:val="005B4443"/>
    <w:rsid w:val="005B4936"/>
    <w:rsid w:val="005B4A0A"/>
    <w:rsid w:val="005B4B43"/>
    <w:rsid w:val="005B4C13"/>
    <w:rsid w:val="005B4CEC"/>
    <w:rsid w:val="005B5400"/>
    <w:rsid w:val="005B5523"/>
    <w:rsid w:val="005B564F"/>
    <w:rsid w:val="005B568A"/>
    <w:rsid w:val="005B57F1"/>
    <w:rsid w:val="005B59C3"/>
    <w:rsid w:val="005B5A58"/>
    <w:rsid w:val="005B5BE8"/>
    <w:rsid w:val="005B5C73"/>
    <w:rsid w:val="005B5F14"/>
    <w:rsid w:val="005B5FCB"/>
    <w:rsid w:val="005B60E9"/>
    <w:rsid w:val="005B6368"/>
    <w:rsid w:val="005B63A1"/>
    <w:rsid w:val="005B64CB"/>
    <w:rsid w:val="005B6753"/>
    <w:rsid w:val="005B69F8"/>
    <w:rsid w:val="005B70CB"/>
    <w:rsid w:val="005B73F9"/>
    <w:rsid w:val="005B753E"/>
    <w:rsid w:val="005B77F5"/>
    <w:rsid w:val="005B7A64"/>
    <w:rsid w:val="005B7E2D"/>
    <w:rsid w:val="005B7E60"/>
    <w:rsid w:val="005B7F8E"/>
    <w:rsid w:val="005C031B"/>
    <w:rsid w:val="005C0D75"/>
    <w:rsid w:val="005C0F70"/>
    <w:rsid w:val="005C120E"/>
    <w:rsid w:val="005C12B1"/>
    <w:rsid w:val="005C1317"/>
    <w:rsid w:val="005C1357"/>
    <w:rsid w:val="005C1541"/>
    <w:rsid w:val="005C1B7A"/>
    <w:rsid w:val="005C1B7D"/>
    <w:rsid w:val="005C1CD5"/>
    <w:rsid w:val="005C1E86"/>
    <w:rsid w:val="005C209C"/>
    <w:rsid w:val="005C2230"/>
    <w:rsid w:val="005C24B1"/>
    <w:rsid w:val="005C24D3"/>
    <w:rsid w:val="005C2A37"/>
    <w:rsid w:val="005C2B0A"/>
    <w:rsid w:val="005C2BA7"/>
    <w:rsid w:val="005C2F20"/>
    <w:rsid w:val="005C3119"/>
    <w:rsid w:val="005C3641"/>
    <w:rsid w:val="005C3838"/>
    <w:rsid w:val="005C3861"/>
    <w:rsid w:val="005C3AF8"/>
    <w:rsid w:val="005C3CAD"/>
    <w:rsid w:val="005C3CF4"/>
    <w:rsid w:val="005C3E4F"/>
    <w:rsid w:val="005C4035"/>
    <w:rsid w:val="005C406B"/>
    <w:rsid w:val="005C4099"/>
    <w:rsid w:val="005C4119"/>
    <w:rsid w:val="005C4490"/>
    <w:rsid w:val="005C455E"/>
    <w:rsid w:val="005C4614"/>
    <w:rsid w:val="005C47F4"/>
    <w:rsid w:val="005C492D"/>
    <w:rsid w:val="005C4A9A"/>
    <w:rsid w:val="005C4BE1"/>
    <w:rsid w:val="005C4EBF"/>
    <w:rsid w:val="005C4F20"/>
    <w:rsid w:val="005C5174"/>
    <w:rsid w:val="005C54E6"/>
    <w:rsid w:val="005C5561"/>
    <w:rsid w:val="005C5C25"/>
    <w:rsid w:val="005C5CA1"/>
    <w:rsid w:val="005C5D77"/>
    <w:rsid w:val="005C63EE"/>
    <w:rsid w:val="005C6770"/>
    <w:rsid w:val="005C6989"/>
    <w:rsid w:val="005C6ABD"/>
    <w:rsid w:val="005C6ADA"/>
    <w:rsid w:val="005C6B4C"/>
    <w:rsid w:val="005C6DB1"/>
    <w:rsid w:val="005C71E9"/>
    <w:rsid w:val="005C7441"/>
    <w:rsid w:val="005C7649"/>
    <w:rsid w:val="005C7763"/>
    <w:rsid w:val="005C77DF"/>
    <w:rsid w:val="005C7A88"/>
    <w:rsid w:val="005C7E6A"/>
    <w:rsid w:val="005D0385"/>
    <w:rsid w:val="005D03F1"/>
    <w:rsid w:val="005D0AA5"/>
    <w:rsid w:val="005D0CEE"/>
    <w:rsid w:val="005D1022"/>
    <w:rsid w:val="005D1239"/>
    <w:rsid w:val="005D1246"/>
    <w:rsid w:val="005D1412"/>
    <w:rsid w:val="005D147E"/>
    <w:rsid w:val="005D1996"/>
    <w:rsid w:val="005D19A2"/>
    <w:rsid w:val="005D1ED6"/>
    <w:rsid w:val="005D1F54"/>
    <w:rsid w:val="005D209E"/>
    <w:rsid w:val="005D22F7"/>
    <w:rsid w:val="005D23A6"/>
    <w:rsid w:val="005D251E"/>
    <w:rsid w:val="005D2715"/>
    <w:rsid w:val="005D2788"/>
    <w:rsid w:val="005D2966"/>
    <w:rsid w:val="005D2978"/>
    <w:rsid w:val="005D2984"/>
    <w:rsid w:val="005D29C9"/>
    <w:rsid w:val="005D2E6F"/>
    <w:rsid w:val="005D2F19"/>
    <w:rsid w:val="005D300A"/>
    <w:rsid w:val="005D32FD"/>
    <w:rsid w:val="005D34E0"/>
    <w:rsid w:val="005D3627"/>
    <w:rsid w:val="005D3640"/>
    <w:rsid w:val="005D3733"/>
    <w:rsid w:val="005D3D15"/>
    <w:rsid w:val="005D3E86"/>
    <w:rsid w:val="005D4031"/>
    <w:rsid w:val="005D4144"/>
    <w:rsid w:val="005D4363"/>
    <w:rsid w:val="005D46F4"/>
    <w:rsid w:val="005D479F"/>
    <w:rsid w:val="005D48CF"/>
    <w:rsid w:val="005D4906"/>
    <w:rsid w:val="005D4C43"/>
    <w:rsid w:val="005D4EA6"/>
    <w:rsid w:val="005D5071"/>
    <w:rsid w:val="005D50EB"/>
    <w:rsid w:val="005D52A4"/>
    <w:rsid w:val="005D53DC"/>
    <w:rsid w:val="005D56E9"/>
    <w:rsid w:val="005D5C57"/>
    <w:rsid w:val="005D5E32"/>
    <w:rsid w:val="005D5E3A"/>
    <w:rsid w:val="005D5E5F"/>
    <w:rsid w:val="005D5ED2"/>
    <w:rsid w:val="005D6328"/>
    <w:rsid w:val="005D6472"/>
    <w:rsid w:val="005D6751"/>
    <w:rsid w:val="005D6D58"/>
    <w:rsid w:val="005D6DEC"/>
    <w:rsid w:val="005D6DF2"/>
    <w:rsid w:val="005D6FA6"/>
    <w:rsid w:val="005D7001"/>
    <w:rsid w:val="005D7054"/>
    <w:rsid w:val="005D7196"/>
    <w:rsid w:val="005D739E"/>
    <w:rsid w:val="005D7591"/>
    <w:rsid w:val="005D75DC"/>
    <w:rsid w:val="005D7751"/>
    <w:rsid w:val="005D787F"/>
    <w:rsid w:val="005D7989"/>
    <w:rsid w:val="005D7991"/>
    <w:rsid w:val="005E01CD"/>
    <w:rsid w:val="005E05F2"/>
    <w:rsid w:val="005E0653"/>
    <w:rsid w:val="005E06CC"/>
    <w:rsid w:val="005E091F"/>
    <w:rsid w:val="005E09A9"/>
    <w:rsid w:val="005E1565"/>
    <w:rsid w:val="005E1810"/>
    <w:rsid w:val="005E1B2E"/>
    <w:rsid w:val="005E1CEB"/>
    <w:rsid w:val="005E210D"/>
    <w:rsid w:val="005E21BD"/>
    <w:rsid w:val="005E2549"/>
    <w:rsid w:val="005E2BA4"/>
    <w:rsid w:val="005E319A"/>
    <w:rsid w:val="005E334C"/>
    <w:rsid w:val="005E334F"/>
    <w:rsid w:val="005E33F1"/>
    <w:rsid w:val="005E3402"/>
    <w:rsid w:val="005E362B"/>
    <w:rsid w:val="005E370B"/>
    <w:rsid w:val="005E3968"/>
    <w:rsid w:val="005E39C3"/>
    <w:rsid w:val="005E3B8B"/>
    <w:rsid w:val="005E4143"/>
    <w:rsid w:val="005E426E"/>
    <w:rsid w:val="005E4641"/>
    <w:rsid w:val="005E4A07"/>
    <w:rsid w:val="005E4BFA"/>
    <w:rsid w:val="005E4E92"/>
    <w:rsid w:val="005E5101"/>
    <w:rsid w:val="005E5402"/>
    <w:rsid w:val="005E544C"/>
    <w:rsid w:val="005E545A"/>
    <w:rsid w:val="005E555D"/>
    <w:rsid w:val="005E57F4"/>
    <w:rsid w:val="005E59CE"/>
    <w:rsid w:val="005E5C3A"/>
    <w:rsid w:val="005E5D2D"/>
    <w:rsid w:val="005E62DE"/>
    <w:rsid w:val="005E649A"/>
    <w:rsid w:val="005E65F5"/>
    <w:rsid w:val="005E68CC"/>
    <w:rsid w:val="005E6C7C"/>
    <w:rsid w:val="005E6E43"/>
    <w:rsid w:val="005E6F45"/>
    <w:rsid w:val="005E72A6"/>
    <w:rsid w:val="005E76AA"/>
    <w:rsid w:val="005E7AB1"/>
    <w:rsid w:val="005E7C3E"/>
    <w:rsid w:val="005E7D74"/>
    <w:rsid w:val="005E7E49"/>
    <w:rsid w:val="005E7F76"/>
    <w:rsid w:val="005F013B"/>
    <w:rsid w:val="005F024E"/>
    <w:rsid w:val="005F04A6"/>
    <w:rsid w:val="005F07EE"/>
    <w:rsid w:val="005F09AF"/>
    <w:rsid w:val="005F1576"/>
    <w:rsid w:val="005F16FE"/>
    <w:rsid w:val="005F17A5"/>
    <w:rsid w:val="005F1890"/>
    <w:rsid w:val="005F18A7"/>
    <w:rsid w:val="005F1A6D"/>
    <w:rsid w:val="005F1C86"/>
    <w:rsid w:val="005F1CCC"/>
    <w:rsid w:val="005F2593"/>
    <w:rsid w:val="005F262B"/>
    <w:rsid w:val="005F29C3"/>
    <w:rsid w:val="005F2D14"/>
    <w:rsid w:val="005F2DDF"/>
    <w:rsid w:val="005F2FC4"/>
    <w:rsid w:val="005F31B0"/>
    <w:rsid w:val="005F3238"/>
    <w:rsid w:val="005F347C"/>
    <w:rsid w:val="005F3604"/>
    <w:rsid w:val="005F3637"/>
    <w:rsid w:val="005F391D"/>
    <w:rsid w:val="005F3B5C"/>
    <w:rsid w:val="005F3FC9"/>
    <w:rsid w:val="005F4D43"/>
    <w:rsid w:val="005F4F2C"/>
    <w:rsid w:val="005F4FB6"/>
    <w:rsid w:val="005F553A"/>
    <w:rsid w:val="005F5624"/>
    <w:rsid w:val="005F592E"/>
    <w:rsid w:val="005F5932"/>
    <w:rsid w:val="005F5A50"/>
    <w:rsid w:val="005F5C36"/>
    <w:rsid w:val="005F5E34"/>
    <w:rsid w:val="005F5ECF"/>
    <w:rsid w:val="005F6432"/>
    <w:rsid w:val="005F658A"/>
    <w:rsid w:val="005F661A"/>
    <w:rsid w:val="005F68BE"/>
    <w:rsid w:val="005F6978"/>
    <w:rsid w:val="005F6DCD"/>
    <w:rsid w:val="005F6E1B"/>
    <w:rsid w:val="005F6EDB"/>
    <w:rsid w:val="005F6FAD"/>
    <w:rsid w:val="005F72EC"/>
    <w:rsid w:val="005F72FC"/>
    <w:rsid w:val="005F772D"/>
    <w:rsid w:val="005F789A"/>
    <w:rsid w:val="005F7BF6"/>
    <w:rsid w:val="005F7DFD"/>
    <w:rsid w:val="005F7EEC"/>
    <w:rsid w:val="005F7FD3"/>
    <w:rsid w:val="006000AE"/>
    <w:rsid w:val="00600690"/>
    <w:rsid w:val="00600D3B"/>
    <w:rsid w:val="00601049"/>
    <w:rsid w:val="006010BE"/>
    <w:rsid w:val="0060118B"/>
    <w:rsid w:val="006011C3"/>
    <w:rsid w:val="0060194C"/>
    <w:rsid w:val="00601967"/>
    <w:rsid w:val="00601E22"/>
    <w:rsid w:val="0060203F"/>
    <w:rsid w:val="006020B3"/>
    <w:rsid w:val="00602195"/>
    <w:rsid w:val="0060265B"/>
    <w:rsid w:val="006027BE"/>
    <w:rsid w:val="006028DF"/>
    <w:rsid w:val="006029F3"/>
    <w:rsid w:val="00602B57"/>
    <w:rsid w:val="00602C19"/>
    <w:rsid w:val="00602F70"/>
    <w:rsid w:val="006030D8"/>
    <w:rsid w:val="0060313D"/>
    <w:rsid w:val="006031BF"/>
    <w:rsid w:val="0060343F"/>
    <w:rsid w:val="006034B7"/>
    <w:rsid w:val="0060351A"/>
    <w:rsid w:val="00603667"/>
    <w:rsid w:val="00603A4D"/>
    <w:rsid w:val="00603B2F"/>
    <w:rsid w:val="00604009"/>
    <w:rsid w:val="0060408A"/>
    <w:rsid w:val="00604283"/>
    <w:rsid w:val="0060432B"/>
    <w:rsid w:val="0060490B"/>
    <w:rsid w:val="00604B10"/>
    <w:rsid w:val="00604C5C"/>
    <w:rsid w:val="00604D28"/>
    <w:rsid w:val="00604E41"/>
    <w:rsid w:val="00604EC5"/>
    <w:rsid w:val="006050FA"/>
    <w:rsid w:val="00605687"/>
    <w:rsid w:val="00605864"/>
    <w:rsid w:val="006058F8"/>
    <w:rsid w:val="00605B0A"/>
    <w:rsid w:val="00605B75"/>
    <w:rsid w:val="00605FFE"/>
    <w:rsid w:val="006061A6"/>
    <w:rsid w:val="006061C2"/>
    <w:rsid w:val="006061D8"/>
    <w:rsid w:val="006061E6"/>
    <w:rsid w:val="0060630E"/>
    <w:rsid w:val="00606336"/>
    <w:rsid w:val="00606678"/>
    <w:rsid w:val="00606B6E"/>
    <w:rsid w:val="00606C9E"/>
    <w:rsid w:val="00606D22"/>
    <w:rsid w:val="0060705D"/>
    <w:rsid w:val="0060720F"/>
    <w:rsid w:val="00607B34"/>
    <w:rsid w:val="00607C62"/>
    <w:rsid w:val="0061003D"/>
    <w:rsid w:val="0061012B"/>
    <w:rsid w:val="0061052F"/>
    <w:rsid w:val="006105D9"/>
    <w:rsid w:val="00610BE3"/>
    <w:rsid w:val="0061107A"/>
    <w:rsid w:val="00611381"/>
    <w:rsid w:val="006119BB"/>
    <w:rsid w:val="00611E23"/>
    <w:rsid w:val="00611F19"/>
    <w:rsid w:val="00611F5A"/>
    <w:rsid w:val="006122E6"/>
    <w:rsid w:val="006124D6"/>
    <w:rsid w:val="00612580"/>
    <w:rsid w:val="00612640"/>
    <w:rsid w:val="0061286C"/>
    <w:rsid w:val="0061295C"/>
    <w:rsid w:val="00612DF0"/>
    <w:rsid w:val="00612FD7"/>
    <w:rsid w:val="00613062"/>
    <w:rsid w:val="00613253"/>
    <w:rsid w:val="0061343A"/>
    <w:rsid w:val="0061348A"/>
    <w:rsid w:val="006134F3"/>
    <w:rsid w:val="0061356E"/>
    <w:rsid w:val="0061407D"/>
    <w:rsid w:val="006145A5"/>
    <w:rsid w:val="006145D1"/>
    <w:rsid w:val="0061508F"/>
    <w:rsid w:val="00615276"/>
    <w:rsid w:val="006159B7"/>
    <w:rsid w:val="00615BD1"/>
    <w:rsid w:val="00616378"/>
    <w:rsid w:val="006165C2"/>
    <w:rsid w:val="006166A1"/>
    <w:rsid w:val="006166B1"/>
    <w:rsid w:val="00616800"/>
    <w:rsid w:val="0061686D"/>
    <w:rsid w:val="00616944"/>
    <w:rsid w:val="00617076"/>
    <w:rsid w:val="006172C8"/>
    <w:rsid w:val="0061751F"/>
    <w:rsid w:val="0061790B"/>
    <w:rsid w:val="0061796D"/>
    <w:rsid w:val="00617B92"/>
    <w:rsid w:val="00620380"/>
    <w:rsid w:val="0062063C"/>
    <w:rsid w:val="0062075A"/>
    <w:rsid w:val="00620DFE"/>
    <w:rsid w:val="00620FD3"/>
    <w:rsid w:val="006212E0"/>
    <w:rsid w:val="00621435"/>
    <w:rsid w:val="00621457"/>
    <w:rsid w:val="00621577"/>
    <w:rsid w:val="00621675"/>
    <w:rsid w:val="0062175B"/>
    <w:rsid w:val="0062178F"/>
    <w:rsid w:val="00621910"/>
    <w:rsid w:val="00621AEA"/>
    <w:rsid w:val="00622582"/>
    <w:rsid w:val="0062295E"/>
    <w:rsid w:val="00622994"/>
    <w:rsid w:val="006229B8"/>
    <w:rsid w:val="006229DF"/>
    <w:rsid w:val="00622B5A"/>
    <w:rsid w:val="00622F88"/>
    <w:rsid w:val="006234B8"/>
    <w:rsid w:val="006234D4"/>
    <w:rsid w:val="006234D9"/>
    <w:rsid w:val="006234FB"/>
    <w:rsid w:val="0062369E"/>
    <w:rsid w:val="00623A09"/>
    <w:rsid w:val="00623B0D"/>
    <w:rsid w:val="00623B70"/>
    <w:rsid w:val="00623B7A"/>
    <w:rsid w:val="006242D1"/>
    <w:rsid w:val="006242E1"/>
    <w:rsid w:val="006242F0"/>
    <w:rsid w:val="00624625"/>
    <w:rsid w:val="006247B9"/>
    <w:rsid w:val="00624A6C"/>
    <w:rsid w:val="00625241"/>
    <w:rsid w:val="00625358"/>
    <w:rsid w:val="006257E0"/>
    <w:rsid w:val="00625960"/>
    <w:rsid w:val="006259C1"/>
    <w:rsid w:val="00625A47"/>
    <w:rsid w:val="00626264"/>
    <w:rsid w:val="00626330"/>
    <w:rsid w:val="00626429"/>
    <w:rsid w:val="00626617"/>
    <w:rsid w:val="00626845"/>
    <w:rsid w:val="00626D33"/>
    <w:rsid w:val="006272A6"/>
    <w:rsid w:val="006274A0"/>
    <w:rsid w:val="00627958"/>
    <w:rsid w:val="00627A57"/>
    <w:rsid w:val="00627E77"/>
    <w:rsid w:val="00630429"/>
    <w:rsid w:val="006306A2"/>
    <w:rsid w:val="00630891"/>
    <w:rsid w:val="00630A54"/>
    <w:rsid w:val="00630BF6"/>
    <w:rsid w:val="00630CBD"/>
    <w:rsid w:val="006312F8"/>
    <w:rsid w:val="00631631"/>
    <w:rsid w:val="006316D5"/>
    <w:rsid w:val="00631718"/>
    <w:rsid w:val="00631C5F"/>
    <w:rsid w:val="00631E0F"/>
    <w:rsid w:val="00631F2F"/>
    <w:rsid w:val="00632065"/>
    <w:rsid w:val="00632146"/>
    <w:rsid w:val="006322D7"/>
    <w:rsid w:val="00632970"/>
    <w:rsid w:val="00632DE6"/>
    <w:rsid w:val="00632E96"/>
    <w:rsid w:val="006331DE"/>
    <w:rsid w:val="00633454"/>
    <w:rsid w:val="00633541"/>
    <w:rsid w:val="0063354A"/>
    <w:rsid w:val="00633843"/>
    <w:rsid w:val="00633857"/>
    <w:rsid w:val="00633A20"/>
    <w:rsid w:val="00633AB0"/>
    <w:rsid w:val="00633AC6"/>
    <w:rsid w:val="00633AC7"/>
    <w:rsid w:val="00633DA5"/>
    <w:rsid w:val="00633DB8"/>
    <w:rsid w:val="006340C1"/>
    <w:rsid w:val="0063410C"/>
    <w:rsid w:val="00634345"/>
    <w:rsid w:val="0063450D"/>
    <w:rsid w:val="0063477C"/>
    <w:rsid w:val="00634869"/>
    <w:rsid w:val="006348D4"/>
    <w:rsid w:val="00634A0D"/>
    <w:rsid w:val="00634E16"/>
    <w:rsid w:val="00635121"/>
    <w:rsid w:val="0063517E"/>
    <w:rsid w:val="006351FF"/>
    <w:rsid w:val="006354A3"/>
    <w:rsid w:val="006356BA"/>
    <w:rsid w:val="006359D3"/>
    <w:rsid w:val="006359D5"/>
    <w:rsid w:val="006360EC"/>
    <w:rsid w:val="00636188"/>
    <w:rsid w:val="0063627A"/>
    <w:rsid w:val="00636365"/>
    <w:rsid w:val="00636843"/>
    <w:rsid w:val="00636AA6"/>
    <w:rsid w:val="00636CB7"/>
    <w:rsid w:val="00636DA1"/>
    <w:rsid w:val="00636E03"/>
    <w:rsid w:val="00636E04"/>
    <w:rsid w:val="00636EC1"/>
    <w:rsid w:val="00636EEC"/>
    <w:rsid w:val="00637010"/>
    <w:rsid w:val="006370C2"/>
    <w:rsid w:val="00637257"/>
    <w:rsid w:val="006372CF"/>
    <w:rsid w:val="00637393"/>
    <w:rsid w:val="00637692"/>
    <w:rsid w:val="006376D5"/>
    <w:rsid w:val="00637BE7"/>
    <w:rsid w:val="006401D0"/>
    <w:rsid w:val="006405B7"/>
    <w:rsid w:val="0064075C"/>
    <w:rsid w:val="0064087E"/>
    <w:rsid w:val="006408E5"/>
    <w:rsid w:val="006409D2"/>
    <w:rsid w:val="00640ACA"/>
    <w:rsid w:val="00640B52"/>
    <w:rsid w:val="00640D7B"/>
    <w:rsid w:val="00640DC5"/>
    <w:rsid w:val="00640E35"/>
    <w:rsid w:val="00640F72"/>
    <w:rsid w:val="0064149E"/>
    <w:rsid w:val="00641512"/>
    <w:rsid w:val="006416DD"/>
    <w:rsid w:val="006416F8"/>
    <w:rsid w:val="00642068"/>
    <w:rsid w:val="00642089"/>
    <w:rsid w:val="006421AC"/>
    <w:rsid w:val="0064224D"/>
    <w:rsid w:val="00642449"/>
    <w:rsid w:val="006425FE"/>
    <w:rsid w:val="00642743"/>
    <w:rsid w:val="006427F7"/>
    <w:rsid w:val="006428F1"/>
    <w:rsid w:val="006430D9"/>
    <w:rsid w:val="00643310"/>
    <w:rsid w:val="0064353C"/>
    <w:rsid w:val="006435C2"/>
    <w:rsid w:val="006436B4"/>
    <w:rsid w:val="00643862"/>
    <w:rsid w:val="00643B18"/>
    <w:rsid w:val="00643CB8"/>
    <w:rsid w:val="00643E70"/>
    <w:rsid w:val="00643EDD"/>
    <w:rsid w:val="0064405D"/>
    <w:rsid w:val="0064414E"/>
    <w:rsid w:val="0064451E"/>
    <w:rsid w:val="00644926"/>
    <w:rsid w:val="00645D64"/>
    <w:rsid w:val="0064622E"/>
    <w:rsid w:val="00646597"/>
    <w:rsid w:val="00646647"/>
    <w:rsid w:val="00646725"/>
    <w:rsid w:val="006467FB"/>
    <w:rsid w:val="00646B94"/>
    <w:rsid w:val="00646E22"/>
    <w:rsid w:val="00646E30"/>
    <w:rsid w:val="00647554"/>
    <w:rsid w:val="006475AE"/>
    <w:rsid w:val="00647661"/>
    <w:rsid w:val="00647824"/>
    <w:rsid w:val="00647930"/>
    <w:rsid w:val="00647A70"/>
    <w:rsid w:val="00647AB8"/>
    <w:rsid w:val="00647B42"/>
    <w:rsid w:val="00647EC5"/>
    <w:rsid w:val="00650054"/>
    <w:rsid w:val="0065007D"/>
    <w:rsid w:val="006503E3"/>
    <w:rsid w:val="00650435"/>
    <w:rsid w:val="006507A5"/>
    <w:rsid w:val="0065086E"/>
    <w:rsid w:val="006509AA"/>
    <w:rsid w:val="00650A5A"/>
    <w:rsid w:val="00650BDF"/>
    <w:rsid w:val="00650C16"/>
    <w:rsid w:val="00650DE1"/>
    <w:rsid w:val="00651052"/>
    <w:rsid w:val="0065119B"/>
    <w:rsid w:val="00651488"/>
    <w:rsid w:val="006515A1"/>
    <w:rsid w:val="006516E0"/>
    <w:rsid w:val="006517C3"/>
    <w:rsid w:val="00651C12"/>
    <w:rsid w:val="00651C2E"/>
    <w:rsid w:val="00651C2F"/>
    <w:rsid w:val="00651D0E"/>
    <w:rsid w:val="00651D30"/>
    <w:rsid w:val="00652231"/>
    <w:rsid w:val="006523AD"/>
    <w:rsid w:val="006523FB"/>
    <w:rsid w:val="00652402"/>
    <w:rsid w:val="00652503"/>
    <w:rsid w:val="00652966"/>
    <w:rsid w:val="0065297A"/>
    <w:rsid w:val="00652C19"/>
    <w:rsid w:val="00652E32"/>
    <w:rsid w:val="00652E85"/>
    <w:rsid w:val="0065311F"/>
    <w:rsid w:val="0065312F"/>
    <w:rsid w:val="006531BE"/>
    <w:rsid w:val="0065330B"/>
    <w:rsid w:val="00653441"/>
    <w:rsid w:val="00653599"/>
    <w:rsid w:val="0065367A"/>
    <w:rsid w:val="0065383F"/>
    <w:rsid w:val="00653A02"/>
    <w:rsid w:val="00653D9C"/>
    <w:rsid w:val="0065414A"/>
    <w:rsid w:val="006542F1"/>
    <w:rsid w:val="00654559"/>
    <w:rsid w:val="00654568"/>
    <w:rsid w:val="00654587"/>
    <w:rsid w:val="006551A1"/>
    <w:rsid w:val="0065530C"/>
    <w:rsid w:val="00655518"/>
    <w:rsid w:val="00655561"/>
    <w:rsid w:val="006558F0"/>
    <w:rsid w:val="00655947"/>
    <w:rsid w:val="006559CD"/>
    <w:rsid w:val="00655B6C"/>
    <w:rsid w:val="00655CC9"/>
    <w:rsid w:val="00655FD8"/>
    <w:rsid w:val="00656167"/>
    <w:rsid w:val="00656343"/>
    <w:rsid w:val="0065638B"/>
    <w:rsid w:val="00656534"/>
    <w:rsid w:val="0065658D"/>
    <w:rsid w:val="006568A6"/>
    <w:rsid w:val="00656ACD"/>
    <w:rsid w:val="00656DF9"/>
    <w:rsid w:val="00656EA6"/>
    <w:rsid w:val="00656EAA"/>
    <w:rsid w:val="006571AC"/>
    <w:rsid w:val="006571C9"/>
    <w:rsid w:val="0065742D"/>
    <w:rsid w:val="00657684"/>
    <w:rsid w:val="006578C8"/>
    <w:rsid w:val="006579BF"/>
    <w:rsid w:val="006579E8"/>
    <w:rsid w:val="00657A34"/>
    <w:rsid w:val="006601B0"/>
    <w:rsid w:val="0066026A"/>
    <w:rsid w:val="00660686"/>
    <w:rsid w:val="0066091B"/>
    <w:rsid w:val="00660BEC"/>
    <w:rsid w:val="00660C35"/>
    <w:rsid w:val="00660C6D"/>
    <w:rsid w:val="00660C71"/>
    <w:rsid w:val="00660CBA"/>
    <w:rsid w:val="00660D6A"/>
    <w:rsid w:val="00661376"/>
    <w:rsid w:val="0066189F"/>
    <w:rsid w:val="006618CF"/>
    <w:rsid w:val="00661924"/>
    <w:rsid w:val="00661CCE"/>
    <w:rsid w:val="0066218D"/>
    <w:rsid w:val="0066239F"/>
    <w:rsid w:val="00662844"/>
    <w:rsid w:val="0066298A"/>
    <w:rsid w:val="00662A29"/>
    <w:rsid w:val="00662D12"/>
    <w:rsid w:val="00662F49"/>
    <w:rsid w:val="00662F52"/>
    <w:rsid w:val="00663390"/>
    <w:rsid w:val="0066341E"/>
    <w:rsid w:val="006637E4"/>
    <w:rsid w:val="00663941"/>
    <w:rsid w:val="00663E6A"/>
    <w:rsid w:val="00663F23"/>
    <w:rsid w:val="00663FB0"/>
    <w:rsid w:val="00664302"/>
    <w:rsid w:val="0066460A"/>
    <w:rsid w:val="00664654"/>
    <w:rsid w:val="00664A51"/>
    <w:rsid w:val="00664E69"/>
    <w:rsid w:val="00664EA8"/>
    <w:rsid w:val="006650FC"/>
    <w:rsid w:val="00665148"/>
    <w:rsid w:val="00665179"/>
    <w:rsid w:val="0066526B"/>
    <w:rsid w:val="0066538B"/>
    <w:rsid w:val="0066551D"/>
    <w:rsid w:val="006657AD"/>
    <w:rsid w:val="00665860"/>
    <w:rsid w:val="00665A87"/>
    <w:rsid w:val="00665B85"/>
    <w:rsid w:val="00665D87"/>
    <w:rsid w:val="00666187"/>
    <w:rsid w:val="006666E3"/>
    <w:rsid w:val="006667E8"/>
    <w:rsid w:val="00666C2F"/>
    <w:rsid w:val="00667101"/>
    <w:rsid w:val="0066719E"/>
    <w:rsid w:val="006672CE"/>
    <w:rsid w:val="006675EA"/>
    <w:rsid w:val="00667832"/>
    <w:rsid w:val="00667C21"/>
    <w:rsid w:val="00667C2E"/>
    <w:rsid w:val="00667CFB"/>
    <w:rsid w:val="00667D17"/>
    <w:rsid w:val="00667FDB"/>
    <w:rsid w:val="0067012E"/>
    <w:rsid w:val="006702CC"/>
    <w:rsid w:val="00670348"/>
    <w:rsid w:val="0067037A"/>
    <w:rsid w:val="006703A7"/>
    <w:rsid w:val="00670425"/>
    <w:rsid w:val="006709B5"/>
    <w:rsid w:val="006709D3"/>
    <w:rsid w:val="00670C2C"/>
    <w:rsid w:val="00670D3F"/>
    <w:rsid w:val="006711B7"/>
    <w:rsid w:val="00671559"/>
    <w:rsid w:val="006717BC"/>
    <w:rsid w:val="00671E77"/>
    <w:rsid w:val="00671EEF"/>
    <w:rsid w:val="0067201B"/>
    <w:rsid w:val="0067241C"/>
    <w:rsid w:val="00672561"/>
    <w:rsid w:val="006726EC"/>
    <w:rsid w:val="0067274A"/>
    <w:rsid w:val="006728D2"/>
    <w:rsid w:val="00672A84"/>
    <w:rsid w:val="0067377D"/>
    <w:rsid w:val="00673AF8"/>
    <w:rsid w:val="00673B40"/>
    <w:rsid w:val="00673E5F"/>
    <w:rsid w:val="0067402E"/>
    <w:rsid w:val="006747C7"/>
    <w:rsid w:val="00674947"/>
    <w:rsid w:val="00674CF6"/>
    <w:rsid w:val="00674FC0"/>
    <w:rsid w:val="0067511B"/>
    <w:rsid w:val="00675163"/>
    <w:rsid w:val="00675767"/>
    <w:rsid w:val="006757A0"/>
    <w:rsid w:val="00675934"/>
    <w:rsid w:val="00676264"/>
    <w:rsid w:val="00676405"/>
    <w:rsid w:val="006764AE"/>
    <w:rsid w:val="006765FD"/>
    <w:rsid w:val="006767EA"/>
    <w:rsid w:val="00676D05"/>
    <w:rsid w:val="00676D93"/>
    <w:rsid w:val="00677340"/>
    <w:rsid w:val="006775B1"/>
    <w:rsid w:val="006776E9"/>
    <w:rsid w:val="00677802"/>
    <w:rsid w:val="00677917"/>
    <w:rsid w:val="00677A1D"/>
    <w:rsid w:val="00677E71"/>
    <w:rsid w:val="00677F47"/>
    <w:rsid w:val="00680239"/>
    <w:rsid w:val="00680296"/>
    <w:rsid w:val="0068049C"/>
    <w:rsid w:val="00680861"/>
    <w:rsid w:val="00680CB4"/>
    <w:rsid w:val="00680CC0"/>
    <w:rsid w:val="00680D04"/>
    <w:rsid w:val="00680DD1"/>
    <w:rsid w:val="006815FD"/>
    <w:rsid w:val="00681655"/>
    <w:rsid w:val="00681E68"/>
    <w:rsid w:val="00682043"/>
    <w:rsid w:val="006823C2"/>
    <w:rsid w:val="0068240E"/>
    <w:rsid w:val="0068247C"/>
    <w:rsid w:val="00682508"/>
    <w:rsid w:val="00682952"/>
    <w:rsid w:val="006829D2"/>
    <w:rsid w:val="00682DCD"/>
    <w:rsid w:val="00682EBA"/>
    <w:rsid w:val="006831D9"/>
    <w:rsid w:val="006835D7"/>
    <w:rsid w:val="006838E6"/>
    <w:rsid w:val="00683BAE"/>
    <w:rsid w:val="00684051"/>
    <w:rsid w:val="00684519"/>
    <w:rsid w:val="006846EB"/>
    <w:rsid w:val="00684A71"/>
    <w:rsid w:val="00684AF9"/>
    <w:rsid w:val="00684B9B"/>
    <w:rsid w:val="0068516C"/>
    <w:rsid w:val="006851FC"/>
    <w:rsid w:val="00685432"/>
    <w:rsid w:val="0068545B"/>
    <w:rsid w:val="006855E9"/>
    <w:rsid w:val="006857E2"/>
    <w:rsid w:val="00685DC9"/>
    <w:rsid w:val="00685F09"/>
    <w:rsid w:val="006862D1"/>
    <w:rsid w:val="006863C1"/>
    <w:rsid w:val="00686953"/>
    <w:rsid w:val="00686D4F"/>
    <w:rsid w:val="00686DF3"/>
    <w:rsid w:val="00687489"/>
    <w:rsid w:val="006875AE"/>
    <w:rsid w:val="00687729"/>
    <w:rsid w:val="00687C1D"/>
    <w:rsid w:val="00687CCE"/>
    <w:rsid w:val="00687F95"/>
    <w:rsid w:val="00690865"/>
    <w:rsid w:val="006909C7"/>
    <w:rsid w:val="00690B82"/>
    <w:rsid w:val="00690EC3"/>
    <w:rsid w:val="00690FD3"/>
    <w:rsid w:val="0069189C"/>
    <w:rsid w:val="00691954"/>
    <w:rsid w:val="00691F70"/>
    <w:rsid w:val="0069202C"/>
    <w:rsid w:val="006921D3"/>
    <w:rsid w:val="00692281"/>
    <w:rsid w:val="006924E3"/>
    <w:rsid w:val="006925B5"/>
    <w:rsid w:val="00692716"/>
    <w:rsid w:val="0069272A"/>
    <w:rsid w:val="0069297E"/>
    <w:rsid w:val="006929EE"/>
    <w:rsid w:val="00692AA9"/>
    <w:rsid w:val="00693319"/>
    <w:rsid w:val="0069384A"/>
    <w:rsid w:val="00693D5F"/>
    <w:rsid w:val="00693E18"/>
    <w:rsid w:val="0069451C"/>
    <w:rsid w:val="0069489D"/>
    <w:rsid w:val="00694AA1"/>
    <w:rsid w:val="00694C28"/>
    <w:rsid w:val="00694C95"/>
    <w:rsid w:val="00694CD3"/>
    <w:rsid w:val="00694DEE"/>
    <w:rsid w:val="00694E80"/>
    <w:rsid w:val="00695099"/>
    <w:rsid w:val="0069515A"/>
    <w:rsid w:val="006954FE"/>
    <w:rsid w:val="006955F3"/>
    <w:rsid w:val="00695622"/>
    <w:rsid w:val="00695979"/>
    <w:rsid w:val="00695DD4"/>
    <w:rsid w:val="00695F91"/>
    <w:rsid w:val="0069605A"/>
    <w:rsid w:val="00696148"/>
    <w:rsid w:val="00696A09"/>
    <w:rsid w:val="00696A61"/>
    <w:rsid w:val="00696A74"/>
    <w:rsid w:val="00696D38"/>
    <w:rsid w:val="006970B9"/>
    <w:rsid w:val="006972D3"/>
    <w:rsid w:val="00697389"/>
    <w:rsid w:val="006974FE"/>
    <w:rsid w:val="006979E5"/>
    <w:rsid w:val="00697DD3"/>
    <w:rsid w:val="00697E6D"/>
    <w:rsid w:val="00697E97"/>
    <w:rsid w:val="00697FA6"/>
    <w:rsid w:val="006A02C1"/>
    <w:rsid w:val="006A02EA"/>
    <w:rsid w:val="006A03B0"/>
    <w:rsid w:val="006A07C8"/>
    <w:rsid w:val="006A0E50"/>
    <w:rsid w:val="006A0F0F"/>
    <w:rsid w:val="006A0FE9"/>
    <w:rsid w:val="006A170D"/>
    <w:rsid w:val="006A1A80"/>
    <w:rsid w:val="006A1BF1"/>
    <w:rsid w:val="006A1C99"/>
    <w:rsid w:val="006A1CF2"/>
    <w:rsid w:val="006A203D"/>
    <w:rsid w:val="006A2098"/>
    <w:rsid w:val="006A25A5"/>
    <w:rsid w:val="006A275A"/>
    <w:rsid w:val="006A27C3"/>
    <w:rsid w:val="006A29C2"/>
    <w:rsid w:val="006A2B1A"/>
    <w:rsid w:val="006A2B2B"/>
    <w:rsid w:val="006A2C16"/>
    <w:rsid w:val="006A2F94"/>
    <w:rsid w:val="006A358B"/>
    <w:rsid w:val="006A36AD"/>
    <w:rsid w:val="006A3A38"/>
    <w:rsid w:val="006A3A9C"/>
    <w:rsid w:val="006A3C88"/>
    <w:rsid w:val="006A3EB4"/>
    <w:rsid w:val="006A3F83"/>
    <w:rsid w:val="006A4272"/>
    <w:rsid w:val="006A4279"/>
    <w:rsid w:val="006A483B"/>
    <w:rsid w:val="006A4866"/>
    <w:rsid w:val="006A48A0"/>
    <w:rsid w:val="006A49FF"/>
    <w:rsid w:val="006A4D6A"/>
    <w:rsid w:val="006A53A1"/>
    <w:rsid w:val="006A5400"/>
    <w:rsid w:val="006A5750"/>
    <w:rsid w:val="006A5810"/>
    <w:rsid w:val="006A587C"/>
    <w:rsid w:val="006A596D"/>
    <w:rsid w:val="006A5AF3"/>
    <w:rsid w:val="006A5B7F"/>
    <w:rsid w:val="006A5BD1"/>
    <w:rsid w:val="006A60CE"/>
    <w:rsid w:val="006A65C7"/>
    <w:rsid w:val="006A6BBB"/>
    <w:rsid w:val="006A6C76"/>
    <w:rsid w:val="006A7100"/>
    <w:rsid w:val="006A74AB"/>
    <w:rsid w:val="006A7DB5"/>
    <w:rsid w:val="006A7EB8"/>
    <w:rsid w:val="006B046D"/>
    <w:rsid w:val="006B0630"/>
    <w:rsid w:val="006B0AB1"/>
    <w:rsid w:val="006B0ECE"/>
    <w:rsid w:val="006B1008"/>
    <w:rsid w:val="006B139A"/>
    <w:rsid w:val="006B13EA"/>
    <w:rsid w:val="006B1465"/>
    <w:rsid w:val="006B161C"/>
    <w:rsid w:val="006B1666"/>
    <w:rsid w:val="006B17B8"/>
    <w:rsid w:val="006B18C6"/>
    <w:rsid w:val="006B19F1"/>
    <w:rsid w:val="006B1D7C"/>
    <w:rsid w:val="006B208D"/>
    <w:rsid w:val="006B214B"/>
    <w:rsid w:val="006B220C"/>
    <w:rsid w:val="006B2805"/>
    <w:rsid w:val="006B28C1"/>
    <w:rsid w:val="006B29BA"/>
    <w:rsid w:val="006B2F6A"/>
    <w:rsid w:val="006B325C"/>
    <w:rsid w:val="006B33EF"/>
    <w:rsid w:val="006B3659"/>
    <w:rsid w:val="006B36ED"/>
    <w:rsid w:val="006B3740"/>
    <w:rsid w:val="006B3797"/>
    <w:rsid w:val="006B3A46"/>
    <w:rsid w:val="006B3D46"/>
    <w:rsid w:val="006B3D8A"/>
    <w:rsid w:val="006B431A"/>
    <w:rsid w:val="006B4505"/>
    <w:rsid w:val="006B4668"/>
    <w:rsid w:val="006B47E6"/>
    <w:rsid w:val="006B4B6D"/>
    <w:rsid w:val="006B51B2"/>
    <w:rsid w:val="006B5231"/>
    <w:rsid w:val="006B54DC"/>
    <w:rsid w:val="006B55EC"/>
    <w:rsid w:val="006B5703"/>
    <w:rsid w:val="006B57C6"/>
    <w:rsid w:val="006B5B0F"/>
    <w:rsid w:val="006B5BA1"/>
    <w:rsid w:val="006B5CBE"/>
    <w:rsid w:val="006B5D8F"/>
    <w:rsid w:val="006B5D9F"/>
    <w:rsid w:val="006B60CB"/>
    <w:rsid w:val="006B6334"/>
    <w:rsid w:val="006B64E4"/>
    <w:rsid w:val="006B6618"/>
    <w:rsid w:val="006B662D"/>
    <w:rsid w:val="006B6943"/>
    <w:rsid w:val="006B6A1B"/>
    <w:rsid w:val="006B6AD3"/>
    <w:rsid w:val="006B6ADB"/>
    <w:rsid w:val="006B6BAE"/>
    <w:rsid w:val="006B6CE6"/>
    <w:rsid w:val="006B6FE3"/>
    <w:rsid w:val="006B724D"/>
    <w:rsid w:val="006B72DD"/>
    <w:rsid w:val="006B7B4D"/>
    <w:rsid w:val="006B7CFF"/>
    <w:rsid w:val="006B7E2A"/>
    <w:rsid w:val="006C08F8"/>
    <w:rsid w:val="006C0E2D"/>
    <w:rsid w:val="006C0F0F"/>
    <w:rsid w:val="006C0FC8"/>
    <w:rsid w:val="006C163F"/>
    <w:rsid w:val="006C1867"/>
    <w:rsid w:val="006C18C2"/>
    <w:rsid w:val="006C1A2A"/>
    <w:rsid w:val="006C1B57"/>
    <w:rsid w:val="006C1BFE"/>
    <w:rsid w:val="006C1D74"/>
    <w:rsid w:val="006C1DED"/>
    <w:rsid w:val="006C20DC"/>
    <w:rsid w:val="006C2229"/>
    <w:rsid w:val="006C2754"/>
    <w:rsid w:val="006C2941"/>
    <w:rsid w:val="006C2AA9"/>
    <w:rsid w:val="006C2E10"/>
    <w:rsid w:val="006C2E59"/>
    <w:rsid w:val="006C317C"/>
    <w:rsid w:val="006C31E6"/>
    <w:rsid w:val="006C3391"/>
    <w:rsid w:val="006C34DC"/>
    <w:rsid w:val="006C35C1"/>
    <w:rsid w:val="006C3810"/>
    <w:rsid w:val="006C38B6"/>
    <w:rsid w:val="006C3A72"/>
    <w:rsid w:val="006C4297"/>
    <w:rsid w:val="006C4300"/>
    <w:rsid w:val="006C4394"/>
    <w:rsid w:val="006C43B2"/>
    <w:rsid w:val="006C45ED"/>
    <w:rsid w:val="006C4D23"/>
    <w:rsid w:val="006C4D8F"/>
    <w:rsid w:val="006C4E7A"/>
    <w:rsid w:val="006C5904"/>
    <w:rsid w:val="006C5933"/>
    <w:rsid w:val="006C5D39"/>
    <w:rsid w:val="006C5E59"/>
    <w:rsid w:val="006C5FC8"/>
    <w:rsid w:val="006C6699"/>
    <w:rsid w:val="006C676D"/>
    <w:rsid w:val="006C6B07"/>
    <w:rsid w:val="006C6C2E"/>
    <w:rsid w:val="006C7015"/>
    <w:rsid w:val="006C7093"/>
    <w:rsid w:val="006C7568"/>
    <w:rsid w:val="006C78A5"/>
    <w:rsid w:val="006C7D00"/>
    <w:rsid w:val="006C7EE7"/>
    <w:rsid w:val="006C7F0B"/>
    <w:rsid w:val="006D0220"/>
    <w:rsid w:val="006D03AC"/>
    <w:rsid w:val="006D0573"/>
    <w:rsid w:val="006D067F"/>
    <w:rsid w:val="006D076D"/>
    <w:rsid w:val="006D0C57"/>
    <w:rsid w:val="006D0CD0"/>
    <w:rsid w:val="006D0D68"/>
    <w:rsid w:val="006D0DDE"/>
    <w:rsid w:val="006D0E3D"/>
    <w:rsid w:val="006D119E"/>
    <w:rsid w:val="006D14AD"/>
    <w:rsid w:val="006D1594"/>
    <w:rsid w:val="006D1961"/>
    <w:rsid w:val="006D1C4A"/>
    <w:rsid w:val="006D1C82"/>
    <w:rsid w:val="006D1CBF"/>
    <w:rsid w:val="006D2009"/>
    <w:rsid w:val="006D2062"/>
    <w:rsid w:val="006D2079"/>
    <w:rsid w:val="006D255F"/>
    <w:rsid w:val="006D2596"/>
    <w:rsid w:val="006D2734"/>
    <w:rsid w:val="006D2994"/>
    <w:rsid w:val="006D2B4E"/>
    <w:rsid w:val="006D2BD3"/>
    <w:rsid w:val="006D2FE3"/>
    <w:rsid w:val="006D334E"/>
    <w:rsid w:val="006D3637"/>
    <w:rsid w:val="006D367D"/>
    <w:rsid w:val="006D3F42"/>
    <w:rsid w:val="006D3FDA"/>
    <w:rsid w:val="006D43E9"/>
    <w:rsid w:val="006D46EA"/>
    <w:rsid w:val="006D474B"/>
    <w:rsid w:val="006D4C9E"/>
    <w:rsid w:val="006D52AD"/>
    <w:rsid w:val="006D548E"/>
    <w:rsid w:val="006D554A"/>
    <w:rsid w:val="006D5873"/>
    <w:rsid w:val="006D59B2"/>
    <w:rsid w:val="006D5CBF"/>
    <w:rsid w:val="006D5DB9"/>
    <w:rsid w:val="006D6043"/>
    <w:rsid w:val="006D6368"/>
    <w:rsid w:val="006D6C6E"/>
    <w:rsid w:val="006D711A"/>
    <w:rsid w:val="006D7210"/>
    <w:rsid w:val="006D7322"/>
    <w:rsid w:val="006D7350"/>
    <w:rsid w:val="006D7355"/>
    <w:rsid w:val="006D75B7"/>
    <w:rsid w:val="006D7691"/>
    <w:rsid w:val="006D7FA4"/>
    <w:rsid w:val="006D7FC4"/>
    <w:rsid w:val="006D7FF8"/>
    <w:rsid w:val="006E0223"/>
    <w:rsid w:val="006E09F4"/>
    <w:rsid w:val="006E0B59"/>
    <w:rsid w:val="006E0BC2"/>
    <w:rsid w:val="006E0CDD"/>
    <w:rsid w:val="006E0E7D"/>
    <w:rsid w:val="006E0F0F"/>
    <w:rsid w:val="006E0FEA"/>
    <w:rsid w:val="006E1330"/>
    <w:rsid w:val="006E13E2"/>
    <w:rsid w:val="006E1440"/>
    <w:rsid w:val="006E1759"/>
    <w:rsid w:val="006E1958"/>
    <w:rsid w:val="006E199D"/>
    <w:rsid w:val="006E1A6E"/>
    <w:rsid w:val="006E1CEE"/>
    <w:rsid w:val="006E1D1F"/>
    <w:rsid w:val="006E22F6"/>
    <w:rsid w:val="006E2327"/>
    <w:rsid w:val="006E2831"/>
    <w:rsid w:val="006E2933"/>
    <w:rsid w:val="006E2CC9"/>
    <w:rsid w:val="006E3205"/>
    <w:rsid w:val="006E3209"/>
    <w:rsid w:val="006E3459"/>
    <w:rsid w:val="006E39FD"/>
    <w:rsid w:val="006E3B32"/>
    <w:rsid w:val="006E3C0E"/>
    <w:rsid w:val="006E41FD"/>
    <w:rsid w:val="006E4380"/>
    <w:rsid w:val="006E46BF"/>
    <w:rsid w:val="006E4C93"/>
    <w:rsid w:val="006E4E17"/>
    <w:rsid w:val="006E4E4D"/>
    <w:rsid w:val="006E4E74"/>
    <w:rsid w:val="006E5268"/>
    <w:rsid w:val="006E52E3"/>
    <w:rsid w:val="006E55FD"/>
    <w:rsid w:val="006E5673"/>
    <w:rsid w:val="006E57EF"/>
    <w:rsid w:val="006E5A40"/>
    <w:rsid w:val="006E5DB7"/>
    <w:rsid w:val="006E5EE0"/>
    <w:rsid w:val="006E5F23"/>
    <w:rsid w:val="006E61AB"/>
    <w:rsid w:val="006E69C2"/>
    <w:rsid w:val="006E6B55"/>
    <w:rsid w:val="006E6C18"/>
    <w:rsid w:val="006E6F99"/>
    <w:rsid w:val="006E6FEA"/>
    <w:rsid w:val="006E706B"/>
    <w:rsid w:val="006E73AA"/>
    <w:rsid w:val="006E7489"/>
    <w:rsid w:val="006E79C7"/>
    <w:rsid w:val="006E7B6E"/>
    <w:rsid w:val="006E7B86"/>
    <w:rsid w:val="006E7C0B"/>
    <w:rsid w:val="006E7CEA"/>
    <w:rsid w:val="006F001D"/>
    <w:rsid w:val="006F07BE"/>
    <w:rsid w:val="006F0825"/>
    <w:rsid w:val="006F088A"/>
    <w:rsid w:val="006F0961"/>
    <w:rsid w:val="006F09C6"/>
    <w:rsid w:val="006F09DB"/>
    <w:rsid w:val="006F0A2D"/>
    <w:rsid w:val="006F0AD1"/>
    <w:rsid w:val="006F0D89"/>
    <w:rsid w:val="006F114A"/>
    <w:rsid w:val="006F13F5"/>
    <w:rsid w:val="006F1641"/>
    <w:rsid w:val="006F16CD"/>
    <w:rsid w:val="006F172A"/>
    <w:rsid w:val="006F191F"/>
    <w:rsid w:val="006F19CD"/>
    <w:rsid w:val="006F1A25"/>
    <w:rsid w:val="006F1B55"/>
    <w:rsid w:val="006F1BAB"/>
    <w:rsid w:val="006F1F09"/>
    <w:rsid w:val="006F1F5D"/>
    <w:rsid w:val="006F1FAE"/>
    <w:rsid w:val="006F21AB"/>
    <w:rsid w:val="006F2275"/>
    <w:rsid w:val="006F250B"/>
    <w:rsid w:val="006F275E"/>
    <w:rsid w:val="006F2CC6"/>
    <w:rsid w:val="006F2DB0"/>
    <w:rsid w:val="006F2E64"/>
    <w:rsid w:val="006F30C2"/>
    <w:rsid w:val="006F3681"/>
    <w:rsid w:val="006F37C1"/>
    <w:rsid w:val="006F3B01"/>
    <w:rsid w:val="006F3DC8"/>
    <w:rsid w:val="006F3E25"/>
    <w:rsid w:val="006F4056"/>
    <w:rsid w:val="006F41A9"/>
    <w:rsid w:val="006F43ED"/>
    <w:rsid w:val="006F4498"/>
    <w:rsid w:val="006F454B"/>
    <w:rsid w:val="006F48CF"/>
    <w:rsid w:val="006F5076"/>
    <w:rsid w:val="006F50B1"/>
    <w:rsid w:val="006F5147"/>
    <w:rsid w:val="006F5392"/>
    <w:rsid w:val="006F53D6"/>
    <w:rsid w:val="006F5C18"/>
    <w:rsid w:val="006F5CBB"/>
    <w:rsid w:val="006F5E7C"/>
    <w:rsid w:val="006F5EA4"/>
    <w:rsid w:val="006F632F"/>
    <w:rsid w:val="006F6595"/>
    <w:rsid w:val="006F66AB"/>
    <w:rsid w:val="006F66EB"/>
    <w:rsid w:val="006F66F6"/>
    <w:rsid w:val="006F69EC"/>
    <w:rsid w:val="006F6AC5"/>
    <w:rsid w:val="006F6C73"/>
    <w:rsid w:val="006F6D9F"/>
    <w:rsid w:val="006F7049"/>
    <w:rsid w:val="006F70BA"/>
    <w:rsid w:val="006F71B7"/>
    <w:rsid w:val="006F74FF"/>
    <w:rsid w:val="006F7525"/>
    <w:rsid w:val="006F77EA"/>
    <w:rsid w:val="006F7986"/>
    <w:rsid w:val="006F7A04"/>
    <w:rsid w:val="006F7A07"/>
    <w:rsid w:val="006F7A0C"/>
    <w:rsid w:val="006F7B9E"/>
    <w:rsid w:val="006F7E8F"/>
    <w:rsid w:val="006F7F92"/>
    <w:rsid w:val="006F7FC4"/>
    <w:rsid w:val="0070003B"/>
    <w:rsid w:val="00700239"/>
    <w:rsid w:val="0070064B"/>
    <w:rsid w:val="00700940"/>
    <w:rsid w:val="00700960"/>
    <w:rsid w:val="00700DC6"/>
    <w:rsid w:val="00700EC1"/>
    <w:rsid w:val="00700F90"/>
    <w:rsid w:val="0070110A"/>
    <w:rsid w:val="00701323"/>
    <w:rsid w:val="007013A6"/>
    <w:rsid w:val="00701412"/>
    <w:rsid w:val="00701428"/>
    <w:rsid w:val="00701753"/>
    <w:rsid w:val="007017DF"/>
    <w:rsid w:val="00701BCA"/>
    <w:rsid w:val="00701E3A"/>
    <w:rsid w:val="00701ECE"/>
    <w:rsid w:val="00701F1F"/>
    <w:rsid w:val="007020E5"/>
    <w:rsid w:val="0070268C"/>
    <w:rsid w:val="0070282C"/>
    <w:rsid w:val="00702BFF"/>
    <w:rsid w:val="00702CBA"/>
    <w:rsid w:val="0070356C"/>
    <w:rsid w:val="007035A5"/>
    <w:rsid w:val="007036F7"/>
    <w:rsid w:val="007037D1"/>
    <w:rsid w:val="00703939"/>
    <w:rsid w:val="0070394B"/>
    <w:rsid w:val="0070406A"/>
    <w:rsid w:val="00704146"/>
    <w:rsid w:val="00704288"/>
    <w:rsid w:val="007042BD"/>
    <w:rsid w:val="007042F7"/>
    <w:rsid w:val="00704445"/>
    <w:rsid w:val="007044BA"/>
    <w:rsid w:val="007049FA"/>
    <w:rsid w:val="00704C5C"/>
    <w:rsid w:val="00704EF2"/>
    <w:rsid w:val="00704F63"/>
    <w:rsid w:val="00705261"/>
    <w:rsid w:val="0070597C"/>
    <w:rsid w:val="00705EF0"/>
    <w:rsid w:val="00705FEF"/>
    <w:rsid w:val="00706007"/>
    <w:rsid w:val="00706377"/>
    <w:rsid w:val="0070641C"/>
    <w:rsid w:val="0070645D"/>
    <w:rsid w:val="0070647E"/>
    <w:rsid w:val="00706740"/>
    <w:rsid w:val="00706A7E"/>
    <w:rsid w:val="00706B31"/>
    <w:rsid w:val="00706CF3"/>
    <w:rsid w:val="00706DF8"/>
    <w:rsid w:val="00707239"/>
    <w:rsid w:val="007074A4"/>
    <w:rsid w:val="007074EB"/>
    <w:rsid w:val="0070756E"/>
    <w:rsid w:val="00707576"/>
    <w:rsid w:val="00707746"/>
    <w:rsid w:val="00707D81"/>
    <w:rsid w:val="00707E18"/>
    <w:rsid w:val="00707E5B"/>
    <w:rsid w:val="007103AA"/>
    <w:rsid w:val="00710477"/>
    <w:rsid w:val="00710593"/>
    <w:rsid w:val="00710656"/>
    <w:rsid w:val="0071083A"/>
    <w:rsid w:val="007109CE"/>
    <w:rsid w:val="00711280"/>
    <w:rsid w:val="00711391"/>
    <w:rsid w:val="007115AC"/>
    <w:rsid w:val="00711A4C"/>
    <w:rsid w:val="00711C28"/>
    <w:rsid w:val="0071204C"/>
    <w:rsid w:val="0071206A"/>
    <w:rsid w:val="00712088"/>
    <w:rsid w:val="00712365"/>
    <w:rsid w:val="00712484"/>
    <w:rsid w:val="007124D2"/>
    <w:rsid w:val="00712546"/>
    <w:rsid w:val="0071261B"/>
    <w:rsid w:val="00712C36"/>
    <w:rsid w:val="00712C3F"/>
    <w:rsid w:val="00712E07"/>
    <w:rsid w:val="00712EF0"/>
    <w:rsid w:val="00712FFB"/>
    <w:rsid w:val="00713083"/>
    <w:rsid w:val="007136D1"/>
    <w:rsid w:val="00713727"/>
    <w:rsid w:val="00713771"/>
    <w:rsid w:val="007139AD"/>
    <w:rsid w:val="00713CB7"/>
    <w:rsid w:val="00714323"/>
    <w:rsid w:val="0071442C"/>
    <w:rsid w:val="0071472E"/>
    <w:rsid w:val="007147E3"/>
    <w:rsid w:val="007148D6"/>
    <w:rsid w:val="00714A14"/>
    <w:rsid w:val="00714AAA"/>
    <w:rsid w:val="00714ACE"/>
    <w:rsid w:val="00714EAF"/>
    <w:rsid w:val="00715101"/>
    <w:rsid w:val="0071510F"/>
    <w:rsid w:val="00715176"/>
    <w:rsid w:val="00715238"/>
    <w:rsid w:val="007152DE"/>
    <w:rsid w:val="007153E1"/>
    <w:rsid w:val="00715EBB"/>
    <w:rsid w:val="00716094"/>
    <w:rsid w:val="00716444"/>
    <w:rsid w:val="007168F4"/>
    <w:rsid w:val="00716B8D"/>
    <w:rsid w:val="00716BE8"/>
    <w:rsid w:val="007177F2"/>
    <w:rsid w:val="00717832"/>
    <w:rsid w:val="00717841"/>
    <w:rsid w:val="00717B0B"/>
    <w:rsid w:val="00717B9E"/>
    <w:rsid w:val="007200B6"/>
    <w:rsid w:val="00720253"/>
    <w:rsid w:val="00720729"/>
    <w:rsid w:val="007208C7"/>
    <w:rsid w:val="00720A88"/>
    <w:rsid w:val="00720AFB"/>
    <w:rsid w:val="0072131D"/>
    <w:rsid w:val="007214FA"/>
    <w:rsid w:val="0072183C"/>
    <w:rsid w:val="00721845"/>
    <w:rsid w:val="00721AA7"/>
    <w:rsid w:val="00721CF9"/>
    <w:rsid w:val="00721E7A"/>
    <w:rsid w:val="0072237E"/>
    <w:rsid w:val="0072284D"/>
    <w:rsid w:val="00722FAB"/>
    <w:rsid w:val="007231DF"/>
    <w:rsid w:val="00723255"/>
    <w:rsid w:val="0072334E"/>
    <w:rsid w:val="007236E1"/>
    <w:rsid w:val="0072370B"/>
    <w:rsid w:val="00723B04"/>
    <w:rsid w:val="00723C0A"/>
    <w:rsid w:val="00723CC6"/>
    <w:rsid w:val="00723DB0"/>
    <w:rsid w:val="00723FE2"/>
    <w:rsid w:val="007240D1"/>
    <w:rsid w:val="007241FB"/>
    <w:rsid w:val="0072442F"/>
    <w:rsid w:val="007244AA"/>
    <w:rsid w:val="00724524"/>
    <w:rsid w:val="007245AB"/>
    <w:rsid w:val="007247C1"/>
    <w:rsid w:val="0072559B"/>
    <w:rsid w:val="007256ED"/>
    <w:rsid w:val="00725731"/>
    <w:rsid w:val="007259DE"/>
    <w:rsid w:val="007259F2"/>
    <w:rsid w:val="00726124"/>
    <w:rsid w:val="007265FE"/>
    <w:rsid w:val="00726872"/>
    <w:rsid w:val="00726ACC"/>
    <w:rsid w:val="00726D24"/>
    <w:rsid w:val="00726D76"/>
    <w:rsid w:val="00726E3F"/>
    <w:rsid w:val="00726F39"/>
    <w:rsid w:val="00726FF6"/>
    <w:rsid w:val="00727009"/>
    <w:rsid w:val="00727386"/>
    <w:rsid w:val="00727A33"/>
    <w:rsid w:val="00727C4F"/>
    <w:rsid w:val="00727E6D"/>
    <w:rsid w:val="00727ECE"/>
    <w:rsid w:val="00727FDB"/>
    <w:rsid w:val="00730200"/>
    <w:rsid w:val="007302CD"/>
    <w:rsid w:val="00730317"/>
    <w:rsid w:val="007304B4"/>
    <w:rsid w:val="00730828"/>
    <w:rsid w:val="007309A3"/>
    <w:rsid w:val="0073102B"/>
    <w:rsid w:val="00731586"/>
    <w:rsid w:val="007318BB"/>
    <w:rsid w:val="00731AE3"/>
    <w:rsid w:val="00731BB2"/>
    <w:rsid w:val="00731F21"/>
    <w:rsid w:val="00732113"/>
    <w:rsid w:val="00732144"/>
    <w:rsid w:val="00732482"/>
    <w:rsid w:val="0073250B"/>
    <w:rsid w:val="007329B7"/>
    <w:rsid w:val="00732DC4"/>
    <w:rsid w:val="00732EAA"/>
    <w:rsid w:val="00733084"/>
    <w:rsid w:val="007331B5"/>
    <w:rsid w:val="007332C2"/>
    <w:rsid w:val="007333B6"/>
    <w:rsid w:val="007335E9"/>
    <w:rsid w:val="00733CCA"/>
    <w:rsid w:val="00733D51"/>
    <w:rsid w:val="00733D8E"/>
    <w:rsid w:val="00734268"/>
    <w:rsid w:val="007344B8"/>
    <w:rsid w:val="007345DE"/>
    <w:rsid w:val="00734769"/>
    <w:rsid w:val="00734839"/>
    <w:rsid w:val="00734A2B"/>
    <w:rsid w:val="00734C9C"/>
    <w:rsid w:val="00735102"/>
    <w:rsid w:val="007351F6"/>
    <w:rsid w:val="0073522E"/>
    <w:rsid w:val="007352C9"/>
    <w:rsid w:val="0073549E"/>
    <w:rsid w:val="00735570"/>
    <w:rsid w:val="007355F5"/>
    <w:rsid w:val="00735849"/>
    <w:rsid w:val="00735D5F"/>
    <w:rsid w:val="0073614E"/>
    <w:rsid w:val="007364C0"/>
    <w:rsid w:val="00736541"/>
    <w:rsid w:val="00736669"/>
    <w:rsid w:val="0073683E"/>
    <w:rsid w:val="00736A74"/>
    <w:rsid w:val="00736C83"/>
    <w:rsid w:val="00736F76"/>
    <w:rsid w:val="007371A6"/>
    <w:rsid w:val="007373CA"/>
    <w:rsid w:val="00737D61"/>
    <w:rsid w:val="00737D76"/>
    <w:rsid w:val="00740057"/>
    <w:rsid w:val="0074010D"/>
    <w:rsid w:val="0074029F"/>
    <w:rsid w:val="0074054B"/>
    <w:rsid w:val="00740A13"/>
    <w:rsid w:val="00740CEE"/>
    <w:rsid w:val="00740E82"/>
    <w:rsid w:val="00740F75"/>
    <w:rsid w:val="0074124D"/>
    <w:rsid w:val="007412DA"/>
    <w:rsid w:val="00741514"/>
    <w:rsid w:val="0074164B"/>
    <w:rsid w:val="00741758"/>
    <w:rsid w:val="00741782"/>
    <w:rsid w:val="0074183B"/>
    <w:rsid w:val="00741842"/>
    <w:rsid w:val="00741870"/>
    <w:rsid w:val="00741A25"/>
    <w:rsid w:val="00741CF3"/>
    <w:rsid w:val="00741EA8"/>
    <w:rsid w:val="007422DB"/>
    <w:rsid w:val="007423DC"/>
    <w:rsid w:val="0074253A"/>
    <w:rsid w:val="007427F3"/>
    <w:rsid w:val="00742A2E"/>
    <w:rsid w:val="00742D59"/>
    <w:rsid w:val="00742D5A"/>
    <w:rsid w:val="00742FDC"/>
    <w:rsid w:val="0074322C"/>
    <w:rsid w:val="0074364B"/>
    <w:rsid w:val="0074367D"/>
    <w:rsid w:val="00743799"/>
    <w:rsid w:val="00743A2C"/>
    <w:rsid w:val="007440AE"/>
    <w:rsid w:val="00744412"/>
    <w:rsid w:val="007445EC"/>
    <w:rsid w:val="00744729"/>
    <w:rsid w:val="00744755"/>
    <w:rsid w:val="00744AAF"/>
    <w:rsid w:val="00744CA8"/>
    <w:rsid w:val="00744D7E"/>
    <w:rsid w:val="00745127"/>
    <w:rsid w:val="00745145"/>
    <w:rsid w:val="00745177"/>
    <w:rsid w:val="00745236"/>
    <w:rsid w:val="00745446"/>
    <w:rsid w:val="007455CE"/>
    <w:rsid w:val="007455DC"/>
    <w:rsid w:val="0074572A"/>
    <w:rsid w:val="00745B84"/>
    <w:rsid w:val="00745C37"/>
    <w:rsid w:val="00745C5F"/>
    <w:rsid w:val="00745C67"/>
    <w:rsid w:val="00745D95"/>
    <w:rsid w:val="007466B5"/>
    <w:rsid w:val="00746843"/>
    <w:rsid w:val="00746A5A"/>
    <w:rsid w:val="00746C51"/>
    <w:rsid w:val="00746CCD"/>
    <w:rsid w:val="00746DBB"/>
    <w:rsid w:val="00746F76"/>
    <w:rsid w:val="0074704F"/>
    <w:rsid w:val="00747309"/>
    <w:rsid w:val="00747596"/>
    <w:rsid w:val="007476E5"/>
    <w:rsid w:val="007479FB"/>
    <w:rsid w:val="00747C08"/>
    <w:rsid w:val="00747D59"/>
    <w:rsid w:val="00747E5E"/>
    <w:rsid w:val="00750193"/>
    <w:rsid w:val="0075052C"/>
    <w:rsid w:val="00750565"/>
    <w:rsid w:val="007505F5"/>
    <w:rsid w:val="00750888"/>
    <w:rsid w:val="00750A5C"/>
    <w:rsid w:val="00750B69"/>
    <w:rsid w:val="00750CD2"/>
    <w:rsid w:val="00750F5E"/>
    <w:rsid w:val="00751042"/>
    <w:rsid w:val="007511B8"/>
    <w:rsid w:val="00751731"/>
    <w:rsid w:val="0075176E"/>
    <w:rsid w:val="007517F7"/>
    <w:rsid w:val="0075187A"/>
    <w:rsid w:val="00751A69"/>
    <w:rsid w:val="00751E80"/>
    <w:rsid w:val="00751F20"/>
    <w:rsid w:val="00751FCB"/>
    <w:rsid w:val="00752298"/>
    <w:rsid w:val="00752578"/>
    <w:rsid w:val="00752907"/>
    <w:rsid w:val="00752B51"/>
    <w:rsid w:val="00752B69"/>
    <w:rsid w:val="00752DC5"/>
    <w:rsid w:val="00753108"/>
    <w:rsid w:val="00753245"/>
    <w:rsid w:val="00753285"/>
    <w:rsid w:val="007534B3"/>
    <w:rsid w:val="007535ED"/>
    <w:rsid w:val="00753776"/>
    <w:rsid w:val="00753C53"/>
    <w:rsid w:val="00753C6B"/>
    <w:rsid w:val="00753D39"/>
    <w:rsid w:val="00753DBC"/>
    <w:rsid w:val="00753E33"/>
    <w:rsid w:val="00753F2F"/>
    <w:rsid w:val="00754113"/>
    <w:rsid w:val="007541A6"/>
    <w:rsid w:val="007542B4"/>
    <w:rsid w:val="00754341"/>
    <w:rsid w:val="00754599"/>
    <w:rsid w:val="007545E8"/>
    <w:rsid w:val="0075463C"/>
    <w:rsid w:val="007550CA"/>
    <w:rsid w:val="0075526C"/>
    <w:rsid w:val="007553A1"/>
    <w:rsid w:val="00755565"/>
    <w:rsid w:val="007555B7"/>
    <w:rsid w:val="00755A49"/>
    <w:rsid w:val="00755FFB"/>
    <w:rsid w:val="00756171"/>
    <w:rsid w:val="007564B8"/>
    <w:rsid w:val="00756935"/>
    <w:rsid w:val="007569C8"/>
    <w:rsid w:val="00756E92"/>
    <w:rsid w:val="00756E94"/>
    <w:rsid w:val="00757189"/>
    <w:rsid w:val="007573BB"/>
    <w:rsid w:val="00757535"/>
    <w:rsid w:val="007577B5"/>
    <w:rsid w:val="00757A71"/>
    <w:rsid w:val="00757B46"/>
    <w:rsid w:val="00757BA5"/>
    <w:rsid w:val="00757D64"/>
    <w:rsid w:val="00760493"/>
    <w:rsid w:val="007606B7"/>
    <w:rsid w:val="007606F5"/>
    <w:rsid w:val="007607EE"/>
    <w:rsid w:val="007609E2"/>
    <w:rsid w:val="00760B8C"/>
    <w:rsid w:val="00760EB2"/>
    <w:rsid w:val="0076105C"/>
    <w:rsid w:val="00761245"/>
    <w:rsid w:val="00761423"/>
    <w:rsid w:val="007614B1"/>
    <w:rsid w:val="00761619"/>
    <w:rsid w:val="007618AE"/>
    <w:rsid w:val="00762552"/>
    <w:rsid w:val="00762606"/>
    <w:rsid w:val="00762612"/>
    <w:rsid w:val="0076287E"/>
    <w:rsid w:val="00762BDB"/>
    <w:rsid w:val="00762C59"/>
    <w:rsid w:val="00762E29"/>
    <w:rsid w:val="00762E59"/>
    <w:rsid w:val="00762EC4"/>
    <w:rsid w:val="00763598"/>
    <w:rsid w:val="00763722"/>
    <w:rsid w:val="007638A8"/>
    <w:rsid w:val="0076421C"/>
    <w:rsid w:val="007645F2"/>
    <w:rsid w:val="007648C3"/>
    <w:rsid w:val="00764FF7"/>
    <w:rsid w:val="0076523A"/>
    <w:rsid w:val="0076596A"/>
    <w:rsid w:val="00765F4D"/>
    <w:rsid w:val="00765F64"/>
    <w:rsid w:val="00765FBB"/>
    <w:rsid w:val="0076621A"/>
    <w:rsid w:val="007662BC"/>
    <w:rsid w:val="0076649B"/>
    <w:rsid w:val="007664F0"/>
    <w:rsid w:val="0076673D"/>
    <w:rsid w:val="00766A56"/>
    <w:rsid w:val="0076711C"/>
    <w:rsid w:val="00767259"/>
    <w:rsid w:val="007679C1"/>
    <w:rsid w:val="00767A6D"/>
    <w:rsid w:val="00767CC7"/>
    <w:rsid w:val="00767D4D"/>
    <w:rsid w:val="00767D88"/>
    <w:rsid w:val="00767EDC"/>
    <w:rsid w:val="00770294"/>
    <w:rsid w:val="0077032E"/>
    <w:rsid w:val="007708AA"/>
    <w:rsid w:val="00771781"/>
    <w:rsid w:val="00771A31"/>
    <w:rsid w:val="00771CE4"/>
    <w:rsid w:val="00771D49"/>
    <w:rsid w:val="00771FE7"/>
    <w:rsid w:val="007721F4"/>
    <w:rsid w:val="007721F8"/>
    <w:rsid w:val="00772251"/>
    <w:rsid w:val="0077226F"/>
    <w:rsid w:val="007723FC"/>
    <w:rsid w:val="007725B5"/>
    <w:rsid w:val="00772679"/>
    <w:rsid w:val="007728E5"/>
    <w:rsid w:val="00772CB1"/>
    <w:rsid w:val="00772F6B"/>
    <w:rsid w:val="007735A7"/>
    <w:rsid w:val="007737E3"/>
    <w:rsid w:val="0077396B"/>
    <w:rsid w:val="00773ADA"/>
    <w:rsid w:val="00773B2A"/>
    <w:rsid w:val="00773B4F"/>
    <w:rsid w:val="00773DA1"/>
    <w:rsid w:val="0077418D"/>
    <w:rsid w:val="007741E0"/>
    <w:rsid w:val="007743E6"/>
    <w:rsid w:val="007747B7"/>
    <w:rsid w:val="00774E01"/>
    <w:rsid w:val="00775713"/>
    <w:rsid w:val="007757C2"/>
    <w:rsid w:val="00775984"/>
    <w:rsid w:val="00775E49"/>
    <w:rsid w:val="00775FC8"/>
    <w:rsid w:val="0077608E"/>
    <w:rsid w:val="007765C5"/>
    <w:rsid w:val="007765F4"/>
    <w:rsid w:val="00776675"/>
    <w:rsid w:val="0077667C"/>
    <w:rsid w:val="007766BA"/>
    <w:rsid w:val="00776895"/>
    <w:rsid w:val="00776ABB"/>
    <w:rsid w:val="00776CF0"/>
    <w:rsid w:val="00776DA5"/>
    <w:rsid w:val="00776FA4"/>
    <w:rsid w:val="0077703F"/>
    <w:rsid w:val="0077725B"/>
    <w:rsid w:val="00777390"/>
    <w:rsid w:val="0077739E"/>
    <w:rsid w:val="007773DC"/>
    <w:rsid w:val="00777542"/>
    <w:rsid w:val="00777752"/>
    <w:rsid w:val="00777924"/>
    <w:rsid w:val="00777EE6"/>
    <w:rsid w:val="00777F3F"/>
    <w:rsid w:val="007802CC"/>
    <w:rsid w:val="00780384"/>
    <w:rsid w:val="007803FD"/>
    <w:rsid w:val="0078063F"/>
    <w:rsid w:val="00780A7C"/>
    <w:rsid w:val="00780DB5"/>
    <w:rsid w:val="00780FC7"/>
    <w:rsid w:val="00780FDB"/>
    <w:rsid w:val="00781666"/>
    <w:rsid w:val="00781A10"/>
    <w:rsid w:val="00781B31"/>
    <w:rsid w:val="00781C49"/>
    <w:rsid w:val="007821A3"/>
    <w:rsid w:val="007822A8"/>
    <w:rsid w:val="007827F9"/>
    <w:rsid w:val="0078285B"/>
    <w:rsid w:val="00782A7C"/>
    <w:rsid w:val="00782A85"/>
    <w:rsid w:val="00782F65"/>
    <w:rsid w:val="007833FA"/>
    <w:rsid w:val="00783768"/>
    <w:rsid w:val="00783943"/>
    <w:rsid w:val="00783CCD"/>
    <w:rsid w:val="00783FF2"/>
    <w:rsid w:val="007842F4"/>
    <w:rsid w:val="007844F0"/>
    <w:rsid w:val="00784A2F"/>
    <w:rsid w:val="00784D60"/>
    <w:rsid w:val="00784D89"/>
    <w:rsid w:val="00784DAA"/>
    <w:rsid w:val="00784E26"/>
    <w:rsid w:val="00785059"/>
    <w:rsid w:val="007853C8"/>
    <w:rsid w:val="00785426"/>
    <w:rsid w:val="00785722"/>
    <w:rsid w:val="007857BA"/>
    <w:rsid w:val="00785A35"/>
    <w:rsid w:val="00785A57"/>
    <w:rsid w:val="00785B01"/>
    <w:rsid w:val="00785D19"/>
    <w:rsid w:val="00785E7D"/>
    <w:rsid w:val="00785F02"/>
    <w:rsid w:val="00785F7A"/>
    <w:rsid w:val="00786173"/>
    <w:rsid w:val="007863EA"/>
    <w:rsid w:val="0078642B"/>
    <w:rsid w:val="007866D4"/>
    <w:rsid w:val="00786C0D"/>
    <w:rsid w:val="00786CDB"/>
    <w:rsid w:val="007870B7"/>
    <w:rsid w:val="007871EB"/>
    <w:rsid w:val="00787906"/>
    <w:rsid w:val="00787C0C"/>
    <w:rsid w:val="0079004A"/>
    <w:rsid w:val="00790055"/>
    <w:rsid w:val="0079014E"/>
    <w:rsid w:val="007901F0"/>
    <w:rsid w:val="00790216"/>
    <w:rsid w:val="00790382"/>
    <w:rsid w:val="00790496"/>
    <w:rsid w:val="0079064B"/>
    <w:rsid w:val="007907AF"/>
    <w:rsid w:val="0079091E"/>
    <w:rsid w:val="00790B71"/>
    <w:rsid w:val="00790CD5"/>
    <w:rsid w:val="00790D80"/>
    <w:rsid w:val="00790EA2"/>
    <w:rsid w:val="00790EE8"/>
    <w:rsid w:val="00791058"/>
    <w:rsid w:val="007913FB"/>
    <w:rsid w:val="00791623"/>
    <w:rsid w:val="00791B4F"/>
    <w:rsid w:val="00791B5A"/>
    <w:rsid w:val="00791EC7"/>
    <w:rsid w:val="00791EF0"/>
    <w:rsid w:val="007922E4"/>
    <w:rsid w:val="007922F8"/>
    <w:rsid w:val="0079231C"/>
    <w:rsid w:val="007923F4"/>
    <w:rsid w:val="007929E4"/>
    <w:rsid w:val="00792BD1"/>
    <w:rsid w:val="00792D0C"/>
    <w:rsid w:val="00792D5D"/>
    <w:rsid w:val="00792D84"/>
    <w:rsid w:val="00792E08"/>
    <w:rsid w:val="007930C1"/>
    <w:rsid w:val="007931DC"/>
    <w:rsid w:val="0079352B"/>
    <w:rsid w:val="007937D5"/>
    <w:rsid w:val="0079387E"/>
    <w:rsid w:val="00793B03"/>
    <w:rsid w:val="00793F3A"/>
    <w:rsid w:val="007943FE"/>
    <w:rsid w:val="0079466C"/>
    <w:rsid w:val="00794976"/>
    <w:rsid w:val="00794D3C"/>
    <w:rsid w:val="00794F5A"/>
    <w:rsid w:val="00794FA2"/>
    <w:rsid w:val="00795026"/>
    <w:rsid w:val="007954C2"/>
    <w:rsid w:val="00795548"/>
    <w:rsid w:val="00795817"/>
    <w:rsid w:val="00795958"/>
    <w:rsid w:val="00795C6A"/>
    <w:rsid w:val="00795CBD"/>
    <w:rsid w:val="00795EF8"/>
    <w:rsid w:val="00795FC0"/>
    <w:rsid w:val="00796170"/>
    <w:rsid w:val="007966E0"/>
    <w:rsid w:val="00796BCF"/>
    <w:rsid w:val="00796DDB"/>
    <w:rsid w:val="00797050"/>
    <w:rsid w:val="00797378"/>
    <w:rsid w:val="00797397"/>
    <w:rsid w:val="007973CB"/>
    <w:rsid w:val="007975C5"/>
    <w:rsid w:val="00797712"/>
    <w:rsid w:val="0079784D"/>
    <w:rsid w:val="00797A26"/>
    <w:rsid w:val="00797BEC"/>
    <w:rsid w:val="00797C78"/>
    <w:rsid w:val="00797FC4"/>
    <w:rsid w:val="007A020A"/>
    <w:rsid w:val="007A04AA"/>
    <w:rsid w:val="007A12A7"/>
    <w:rsid w:val="007A177E"/>
    <w:rsid w:val="007A1884"/>
    <w:rsid w:val="007A19A9"/>
    <w:rsid w:val="007A1B65"/>
    <w:rsid w:val="007A1B91"/>
    <w:rsid w:val="007A1CC7"/>
    <w:rsid w:val="007A1CFF"/>
    <w:rsid w:val="007A1D6B"/>
    <w:rsid w:val="007A1D90"/>
    <w:rsid w:val="007A1DB9"/>
    <w:rsid w:val="007A1EBA"/>
    <w:rsid w:val="007A1EE3"/>
    <w:rsid w:val="007A1F43"/>
    <w:rsid w:val="007A1FED"/>
    <w:rsid w:val="007A2126"/>
    <w:rsid w:val="007A294E"/>
    <w:rsid w:val="007A2980"/>
    <w:rsid w:val="007A2AF9"/>
    <w:rsid w:val="007A2C8D"/>
    <w:rsid w:val="007A3006"/>
    <w:rsid w:val="007A3189"/>
    <w:rsid w:val="007A373F"/>
    <w:rsid w:val="007A375D"/>
    <w:rsid w:val="007A3794"/>
    <w:rsid w:val="007A37F2"/>
    <w:rsid w:val="007A3AD9"/>
    <w:rsid w:val="007A3BDC"/>
    <w:rsid w:val="007A40FE"/>
    <w:rsid w:val="007A421B"/>
    <w:rsid w:val="007A436B"/>
    <w:rsid w:val="007A436C"/>
    <w:rsid w:val="007A442F"/>
    <w:rsid w:val="007A450E"/>
    <w:rsid w:val="007A4779"/>
    <w:rsid w:val="007A47CF"/>
    <w:rsid w:val="007A4B24"/>
    <w:rsid w:val="007A4B92"/>
    <w:rsid w:val="007A5371"/>
    <w:rsid w:val="007A56A7"/>
    <w:rsid w:val="007A5716"/>
    <w:rsid w:val="007A59A1"/>
    <w:rsid w:val="007A5DB9"/>
    <w:rsid w:val="007A5F82"/>
    <w:rsid w:val="007A61FE"/>
    <w:rsid w:val="007A6748"/>
    <w:rsid w:val="007A6AFB"/>
    <w:rsid w:val="007A6CE7"/>
    <w:rsid w:val="007A6D61"/>
    <w:rsid w:val="007A6EDD"/>
    <w:rsid w:val="007A742F"/>
    <w:rsid w:val="007A7448"/>
    <w:rsid w:val="007A7798"/>
    <w:rsid w:val="007A7868"/>
    <w:rsid w:val="007A78B4"/>
    <w:rsid w:val="007A7A80"/>
    <w:rsid w:val="007A7AEF"/>
    <w:rsid w:val="007A7CB1"/>
    <w:rsid w:val="007B0017"/>
    <w:rsid w:val="007B0024"/>
    <w:rsid w:val="007B02A0"/>
    <w:rsid w:val="007B07A1"/>
    <w:rsid w:val="007B08BA"/>
    <w:rsid w:val="007B0ADF"/>
    <w:rsid w:val="007B0B22"/>
    <w:rsid w:val="007B0C2B"/>
    <w:rsid w:val="007B0CB1"/>
    <w:rsid w:val="007B0D75"/>
    <w:rsid w:val="007B0D96"/>
    <w:rsid w:val="007B0FDB"/>
    <w:rsid w:val="007B1607"/>
    <w:rsid w:val="007B171B"/>
    <w:rsid w:val="007B1EB5"/>
    <w:rsid w:val="007B2125"/>
    <w:rsid w:val="007B24DB"/>
    <w:rsid w:val="007B250B"/>
    <w:rsid w:val="007B2E57"/>
    <w:rsid w:val="007B2FBA"/>
    <w:rsid w:val="007B3087"/>
    <w:rsid w:val="007B32E9"/>
    <w:rsid w:val="007B35A1"/>
    <w:rsid w:val="007B39CC"/>
    <w:rsid w:val="007B3DC4"/>
    <w:rsid w:val="007B41B9"/>
    <w:rsid w:val="007B41E1"/>
    <w:rsid w:val="007B4605"/>
    <w:rsid w:val="007B4770"/>
    <w:rsid w:val="007B4934"/>
    <w:rsid w:val="007B4EC5"/>
    <w:rsid w:val="007B5202"/>
    <w:rsid w:val="007B52BC"/>
    <w:rsid w:val="007B595E"/>
    <w:rsid w:val="007B5A4F"/>
    <w:rsid w:val="007B5AB3"/>
    <w:rsid w:val="007B5C91"/>
    <w:rsid w:val="007B5DBF"/>
    <w:rsid w:val="007B5EFA"/>
    <w:rsid w:val="007B5EFF"/>
    <w:rsid w:val="007B66A5"/>
    <w:rsid w:val="007B69F7"/>
    <w:rsid w:val="007B6A79"/>
    <w:rsid w:val="007B6BA9"/>
    <w:rsid w:val="007B6C01"/>
    <w:rsid w:val="007B6F87"/>
    <w:rsid w:val="007B7784"/>
    <w:rsid w:val="007B77D2"/>
    <w:rsid w:val="007B7DB7"/>
    <w:rsid w:val="007C0163"/>
    <w:rsid w:val="007C02C2"/>
    <w:rsid w:val="007C02CA"/>
    <w:rsid w:val="007C032C"/>
    <w:rsid w:val="007C05B0"/>
    <w:rsid w:val="007C06BE"/>
    <w:rsid w:val="007C07ED"/>
    <w:rsid w:val="007C0901"/>
    <w:rsid w:val="007C0A7A"/>
    <w:rsid w:val="007C0AD3"/>
    <w:rsid w:val="007C0BEC"/>
    <w:rsid w:val="007C0C33"/>
    <w:rsid w:val="007C0D33"/>
    <w:rsid w:val="007C1173"/>
    <w:rsid w:val="007C1234"/>
    <w:rsid w:val="007C1277"/>
    <w:rsid w:val="007C1464"/>
    <w:rsid w:val="007C1590"/>
    <w:rsid w:val="007C1D4B"/>
    <w:rsid w:val="007C1D5B"/>
    <w:rsid w:val="007C1F2B"/>
    <w:rsid w:val="007C1F35"/>
    <w:rsid w:val="007C21E0"/>
    <w:rsid w:val="007C267E"/>
    <w:rsid w:val="007C27A1"/>
    <w:rsid w:val="007C27FB"/>
    <w:rsid w:val="007C3251"/>
    <w:rsid w:val="007C3516"/>
    <w:rsid w:val="007C3545"/>
    <w:rsid w:val="007C3C1B"/>
    <w:rsid w:val="007C3D87"/>
    <w:rsid w:val="007C41B5"/>
    <w:rsid w:val="007C4509"/>
    <w:rsid w:val="007C4753"/>
    <w:rsid w:val="007C494B"/>
    <w:rsid w:val="007C4A2D"/>
    <w:rsid w:val="007C4A70"/>
    <w:rsid w:val="007C4B4D"/>
    <w:rsid w:val="007C4D32"/>
    <w:rsid w:val="007C5201"/>
    <w:rsid w:val="007C5265"/>
    <w:rsid w:val="007C52A6"/>
    <w:rsid w:val="007C553A"/>
    <w:rsid w:val="007C554B"/>
    <w:rsid w:val="007C5585"/>
    <w:rsid w:val="007C55D3"/>
    <w:rsid w:val="007C58E3"/>
    <w:rsid w:val="007C5921"/>
    <w:rsid w:val="007C5BF7"/>
    <w:rsid w:val="007C5DBC"/>
    <w:rsid w:val="007C5E2B"/>
    <w:rsid w:val="007C5E8C"/>
    <w:rsid w:val="007C61FB"/>
    <w:rsid w:val="007C65D1"/>
    <w:rsid w:val="007C680C"/>
    <w:rsid w:val="007C69B2"/>
    <w:rsid w:val="007C752A"/>
    <w:rsid w:val="007C77CC"/>
    <w:rsid w:val="007C7B34"/>
    <w:rsid w:val="007C7B85"/>
    <w:rsid w:val="007C7E98"/>
    <w:rsid w:val="007D0206"/>
    <w:rsid w:val="007D03FE"/>
    <w:rsid w:val="007D04DF"/>
    <w:rsid w:val="007D05B8"/>
    <w:rsid w:val="007D07DB"/>
    <w:rsid w:val="007D09B6"/>
    <w:rsid w:val="007D0A16"/>
    <w:rsid w:val="007D0D4F"/>
    <w:rsid w:val="007D0ED7"/>
    <w:rsid w:val="007D0F25"/>
    <w:rsid w:val="007D0F27"/>
    <w:rsid w:val="007D0F85"/>
    <w:rsid w:val="007D159E"/>
    <w:rsid w:val="007D16B7"/>
    <w:rsid w:val="007D1728"/>
    <w:rsid w:val="007D1940"/>
    <w:rsid w:val="007D1966"/>
    <w:rsid w:val="007D1C58"/>
    <w:rsid w:val="007D1D6E"/>
    <w:rsid w:val="007D1F65"/>
    <w:rsid w:val="007D1FB1"/>
    <w:rsid w:val="007D2461"/>
    <w:rsid w:val="007D2697"/>
    <w:rsid w:val="007D2801"/>
    <w:rsid w:val="007D290D"/>
    <w:rsid w:val="007D2D2B"/>
    <w:rsid w:val="007D2E05"/>
    <w:rsid w:val="007D2E74"/>
    <w:rsid w:val="007D2F8D"/>
    <w:rsid w:val="007D2F9A"/>
    <w:rsid w:val="007D2FBE"/>
    <w:rsid w:val="007D3551"/>
    <w:rsid w:val="007D3595"/>
    <w:rsid w:val="007D3691"/>
    <w:rsid w:val="007D3E82"/>
    <w:rsid w:val="007D3F79"/>
    <w:rsid w:val="007D3FC4"/>
    <w:rsid w:val="007D4130"/>
    <w:rsid w:val="007D4383"/>
    <w:rsid w:val="007D44BD"/>
    <w:rsid w:val="007D4534"/>
    <w:rsid w:val="007D4601"/>
    <w:rsid w:val="007D46A8"/>
    <w:rsid w:val="007D47A9"/>
    <w:rsid w:val="007D5070"/>
    <w:rsid w:val="007D50CA"/>
    <w:rsid w:val="007D5235"/>
    <w:rsid w:val="007D55A5"/>
    <w:rsid w:val="007D56A2"/>
    <w:rsid w:val="007D576F"/>
    <w:rsid w:val="007D5797"/>
    <w:rsid w:val="007D58B4"/>
    <w:rsid w:val="007D58FA"/>
    <w:rsid w:val="007D5B6A"/>
    <w:rsid w:val="007D5BE4"/>
    <w:rsid w:val="007D5C73"/>
    <w:rsid w:val="007D5D2D"/>
    <w:rsid w:val="007D5E60"/>
    <w:rsid w:val="007D6452"/>
    <w:rsid w:val="007D689D"/>
    <w:rsid w:val="007D68FD"/>
    <w:rsid w:val="007D7121"/>
    <w:rsid w:val="007D7196"/>
    <w:rsid w:val="007D72B3"/>
    <w:rsid w:val="007D7410"/>
    <w:rsid w:val="007D7642"/>
    <w:rsid w:val="007D7C04"/>
    <w:rsid w:val="007E0107"/>
    <w:rsid w:val="007E062A"/>
    <w:rsid w:val="007E0A48"/>
    <w:rsid w:val="007E0AA3"/>
    <w:rsid w:val="007E0B27"/>
    <w:rsid w:val="007E0B40"/>
    <w:rsid w:val="007E0CD4"/>
    <w:rsid w:val="007E0D11"/>
    <w:rsid w:val="007E1180"/>
    <w:rsid w:val="007E1235"/>
    <w:rsid w:val="007E1349"/>
    <w:rsid w:val="007E1638"/>
    <w:rsid w:val="007E179D"/>
    <w:rsid w:val="007E1948"/>
    <w:rsid w:val="007E1993"/>
    <w:rsid w:val="007E1E4B"/>
    <w:rsid w:val="007E2072"/>
    <w:rsid w:val="007E217B"/>
    <w:rsid w:val="007E223F"/>
    <w:rsid w:val="007E2287"/>
    <w:rsid w:val="007E2826"/>
    <w:rsid w:val="007E2924"/>
    <w:rsid w:val="007E2AFF"/>
    <w:rsid w:val="007E2B3C"/>
    <w:rsid w:val="007E2CBE"/>
    <w:rsid w:val="007E2E8D"/>
    <w:rsid w:val="007E2FC6"/>
    <w:rsid w:val="007E3070"/>
    <w:rsid w:val="007E3131"/>
    <w:rsid w:val="007E31B4"/>
    <w:rsid w:val="007E327D"/>
    <w:rsid w:val="007E32A7"/>
    <w:rsid w:val="007E345F"/>
    <w:rsid w:val="007E3483"/>
    <w:rsid w:val="007E371F"/>
    <w:rsid w:val="007E373C"/>
    <w:rsid w:val="007E38F7"/>
    <w:rsid w:val="007E3CD9"/>
    <w:rsid w:val="007E3CF5"/>
    <w:rsid w:val="007E3F69"/>
    <w:rsid w:val="007E3F9E"/>
    <w:rsid w:val="007E42D3"/>
    <w:rsid w:val="007E4940"/>
    <w:rsid w:val="007E495F"/>
    <w:rsid w:val="007E4F88"/>
    <w:rsid w:val="007E5701"/>
    <w:rsid w:val="007E57D0"/>
    <w:rsid w:val="007E585D"/>
    <w:rsid w:val="007E5934"/>
    <w:rsid w:val="007E59BB"/>
    <w:rsid w:val="007E64A2"/>
    <w:rsid w:val="007E66C7"/>
    <w:rsid w:val="007E69EC"/>
    <w:rsid w:val="007E6FDD"/>
    <w:rsid w:val="007E7175"/>
    <w:rsid w:val="007E718A"/>
    <w:rsid w:val="007E71A2"/>
    <w:rsid w:val="007E7546"/>
    <w:rsid w:val="007E754D"/>
    <w:rsid w:val="007E7656"/>
    <w:rsid w:val="007E7BFE"/>
    <w:rsid w:val="007F004A"/>
    <w:rsid w:val="007F03FE"/>
    <w:rsid w:val="007F0827"/>
    <w:rsid w:val="007F08FA"/>
    <w:rsid w:val="007F0B18"/>
    <w:rsid w:val="007F0D00"/>
    <w:rsid w:val="007F0E46"/>
    <w:rsid w:val="007F10F3"/>
    <w:rsid w:val="007F1146"/>
    <w:rsid w:val="007F1160"/>
    <w:rsid w:val="007F1CF2"/>
    <w:rsid w:val="007F1D63"/>
    <w:rsid w:val="007F1D6E"/>
    <w:rsid w:val="007F1E61"/>
    <w:rsid w:val="007F1F91"/>
    <w:rsid w:val="007F1FF2"/>
    <w:rsid w:val="007F2083"/>
    <w:rsid w:val="007F24B9"/>
    <w:rsid w:val="007F262E"/>
    <w:rsid w:val="007F2706"/>
    <w:rsid w:val="007F285E"/>
    <w:rsid w:val="007F29D5"/>
    <w:rsid w:val="007F2C0B"/>
    <w:rsid w:val="007F2DEA"/>
    <w:rsid w:val="007F2E44"/>
    <w:rsid w:val="007F2E81"/>
    <w:rsid w:val="007F2EAB"/>
    <w:rsid w:val="007F321C"/>
    <w:rsid w:val="007F341F"/>
    <w:rsid w:val="007F34AF"/>
    <w:rsid w:val="007F3679"/>
    <w:rsid w:val="007F3892"/>
    <w:rsid w:val="007F3C82"/>
    <w:rsid w:val="007F3D06"/>
    <w:rsid w:val="007F410A"/>
    <w:rsid w:val="007F4297"/>
    <w:rsid w:val="007F42EC"/>
    <w:rsid w:val="007F4431"/>
    <w:rsid w:val="007F49C5"/>
    <w:rsid w:val="007F4F28"/>
    <w:rsid w:val="007F4F41"/>
    <w:rsid w:val="007F502E"/>
    <w:rsid w:val="007F50D2"/>
    <w:rsid w:val="007F5361"/>
    <w:rsid w:val="007F54AA"/>
    <w:rsid w:val="007F54B1"/>
    <w:rsid w:val="007F558C"/>
    <w:rsid w:val="007F5700"/>
    <w:rsid w:val="007F584E"/>
    <w:rsid w:val="007F59A9"/>
    <w:rsid w:val="007F59F0"/>
    <w:rsid w:val="007F5D92"/>
    <w:rsid w:val="007F5E73"/>
    <w:rsid w:val="007F66A6"/>
    <w:rsid w:val="007F6A59"/>
    <w:rsid w:val="007F6B74"/>
    <w:rsid w:val="007F6E0D"/>
    <w:rsid w:val="007F710C"/>
    <w:rsid w:val="007F73F4"/>
    <w:rsid w:val="007F7500"/>
    <w:rsid w:val="007F7525"/>
    <w:rsid w:val="008002E0"/>
    <w:rsid w:val="008006DA"/>
    <w:rsid w:val="008008B1"/>
    <w:rsid w:val="00800951"/>
    <w:rsid w:val="008009C3"/>
    <w:rsid w:val="00800C6F"/>
    <w:rsid w:val="00800CBF"/>
    <w:rsid w:val="00800FD3"/>
    <w:rsid w:val="00801116"/>
    <w:rsid w:val="00801428"/>
    <w:rsid w:val="00801520"/>
    <w:rsid w:val="008015DE"/>
    <w:rsid w:val="0080197F"/>
    <w:rsid w:val="00801C6C"/>
    <w:rsid w:val="00801D41"/>
    <w:rsid w:val="0080206C"/>
    <w:rsid w:val="00802141"/>
    <w:rsid w:val="00802205"/>
    <w:rsid w:val="008025CC"/>
    <w:rsid w:val="008026B3"/>
    <w:rsid w:val="00802752"/>
    <w:rsid w:val="008029DD"/>
    <w:rsid w:val="00802B1A"/>
    <w:rsid w:val="00802C42"/>
    <w:rsid w:val="00802D78"/>
    <w:rsid w:val="00802DC0"/>
    <w:rsid w:val="0080330E"/>
    <w:rsid w:val="00803441"/>
    <w:rsid w:val="0080346A"/>
    <w:rsid w:val="008035D1"/>
    <w:rsid w:val="008038DD"/>
    <w:rsid w:val="00803D7F"/>
    <w:rsid w:val="00803DE1"/>
    <w:rsid w:val="00803E12"/>
    <w:rsid w:val="00803EFE"/>
    <w:rsid w:val="008040F4"/>
    <w:rsid w:val="00804148"/>
    <w:rsid w:val="008042F7"/>
    <w:rsid w:val="00804507"/>
    <w:rsid w:val="00804FC8"/>
    <w:rsid w:val="00805048"/>
    <w:rsid w:val="0080509B"/>
    <w:rsid w:val="008051B7"/>
    <w:rsid w:val="00805370"/>
    <w:rsid w:val="00805764"/>
    <w:rsid w:val="008057C6"/>
    <w:rsid w:val="00805C28"/>
    <w:rsid w:val="00805D06"/>
    <w:rsid w:val="00805D0D"/>
    <w:rsid w:val="00805D9A"/>
    <w:rsid w:val="0080631E"/>
    <w:rsid w:val="008064F8"/>
    <w:rsid w:val="00806B3A"/>
    <w:rsid w:val="00806B97"/>
    <w:rsid w:val="00806BCA"/>
    <w:rsid w:val="00806C25"/>
    <w:rsid w:val="00807423"/>
    <w:rsid w:val="0080791E"/>
    <w:rsid w:val="00807DB6"/>
    <w:rsid w:val="00807E1E"/>
    <w:rsid w:val="00807FCB"/>
    <w:rsid w:val="00810534"/>
    <w:rsid w:val="00810B52"/>
    <w:rsid w:val="00810BE3"/>
    <w:rsid w:val="00810C18"/>
    <w:rsid w:val="00810CDF"/>
    <w:rsid w:val="0081115C"/>
    <w:rsid w:val="0081119C"/>
    <w:rsid w:val="008112BF"/>
    <w:rsid w:val="008112C0"/>
    <w:rsid w:val="00811413"/>
    <w:rsid w:val="00811626"/>
    <w:rsid w:val="00811827"/>
    <w:rsid w:val="00811879"/>
    <w:rsid w:val="00811A7B"/>
    <w:rsid w:val="00811AE0"/>
    <w:rsid w:val="00811C6E"/>
    <w:rsid w:val="00811F02"/>
    <w:rsid w:val="0081229C"/>
    <w:rsid w:val="0081247F"/>
    <w:rsid w:val="008125B4"/>
    <w:rsid w:val="008127AD"/>
    <w:rsid w:val="00812A9F"/>
    <w:rsid w:val="0081300A"/>
    <w:rsid w:val="0081314D"/>
    <w:rsid w:val="00813156"/>
    <w:rsid w:val="00813924"/>
    <w:rsid w:val="00813E16"/>
    <w:rsid w:val="00813E7B"/>
    <w:rsid w:val="00813F90"/>
    <w:rsid w:val="008144E0"/>
    <w:rsid w:val="00814839"/>
    <w:rsid w:val="008148EC"/>
    <w:rsid w:val="00814BB2"/>
    <w:rsid w:val="00814F97"/>
    <w:rsid w:val="00814FF5"/>
    <w:rsid w:val="0081519F"/>
    <w:rsid w:val="0081535D"/>
    <w:rsid w:val="0081554F"/>
    <w:rsid w:val="008155AE"/>
    <w:rsid w:val="008156EF"/>
    <w:rsid w:val="00815ABF"/>
    <w:rsid w:val="00815C9B"/>
    <w:rsid w:val="00815CE7"/>
    <w:rsid w:val="00815E15"/>
    <w:rsid w:val="00815F3F"/>
    <w:rsid w:val="00815FAF"/>
    <w:rsid w:val="00816313"/>
    <w:rsid w:val="00816500"/>
    <w:rsid w:val="0081650C"/>
    <w:rsid w:val="00816C2C"/>
    <w:rsid w:val="00816E53"/>
    <w:rsid w:val="00816E74"/>
    <w:rsid w:val="00816FB5"/>
    <w:rsid w:val="0081701B"/>
    <w:rsid w:val="0081704B"/>
    <w:rsid w:val="008171D3"/>
    <w:rsid w:val="00817265"/>
    <w:rsid w:val="00817775"/>
    <w:rsid w:val="00817B64"/>
    <w:rsid w:val="00817DEF"/>
    <w:rsid w:val="00817E6E"/>
    <w:rsid w:val="008202A6"/>
    <w:rsid w:val="00820454"/>
    <w:rsid w:val="008204C5"/>
    <w:rsid w:val="00820555"/>
    <w:rsid w:val="008205FD"/>
    <w:rsid w:val="00820A52"/>
    <w:rsid w:val="00820ABB"/>
    <w:rsid w:val="00820BF7"/>
    <w:rsid w:val="00820C91"/>
    <w:rsid w:val="00820D38"/>
    <w:rsid w:val="00820EDC"/>
    <w:rsid w:val="008211F5"/>
    <w:rsid w:val="008213EB"/>
    <w:rsid w:val="008214C2"/>
    <w:rsid w:val="00821588"/>
    <w:rsid w:val="00821883"/>
    <w:rsid w:val="008218CF"/>
    <w:rsid w:val="00821B95"/>
    <w:rsid w:val="00821C94"/>
    <w:rsid w:val="00821CF9"/>
    <w:rsid w:val="00821F31"/>
    <w:rsid w:val="00822263"/>
    <w:rsid w:val="008222A3"/>
    <w:rsid w:val="008222E2"/>
    <w:rsid w:val="008223B3"/>
    <w:rsid w:val="0082253B"/>
    <w:rsid w:val="0082260C"/>
    <w:rsid w:val="00822CF2"/>
    <w:rsid w:val="00822D0E"/>
    <w:rsid w:val="00822E74"/>
    <w:rsid w:val="00822E81"/>
    <w:rsid w:val="00822EC5"/>
    <w:rsid w:val="008230AD"/>
    <w:rsid w:val="008235C3"/>
    <w:rsid w:val="008236C4"/>
    <w:rsid w:val="008238D4"/>
    <w:rsid w:val="008242E7"/>
    <w:rsid w:val="0082434A"/>
    <w:rsid w:val="00824465"/>
    <w:rsid w:val="00824862"/>
    <w:rsid w:val="00824A42"/>
    <w:rsid w:val="00824E39"/>
    <w:rsid w:val="00824F77"/>
    <w:rsid w:val="008252F3"/>
    <w:rsid w:val="0082533E"/>
    <w:rsid w:val="00825360"/>
    <w:rsid w:val="008254A2"/>
    <w:rsid w:val="00825584"/>
    <w:rsid w:val="008257EB"/>
    <w:rsid w:val="00825C55"/>
    <w:rsid w:val="00825E76"/>
    <w:rsid w:val="00825E8B"/>
    <w:rsid w:val="00825E8F"/>
    <w:rsid w:val="00825EC9"/>
    <w:rsid w:val="00825F7E"/>
    <w:rsid w:val="00825FCC"/>
    <w:rsid w:val="00826190"/>
    <w:rsid w:val="00826209"/>
    <w:rsid w:val="00826380"/>
    <w:rsid w:val="008265CB"/>
    <w:rsid w:val="008267FE"/>
    <w:rsid w:val="00826902"/>
    <w:rsid w:val="00826963"/>
    <w:rsid w:val="0082706E"/>
    <w:rsid w:val="0082728D"/>
    <w:rsid w:val="00827299"/>
    <w:rsid w:val="00827398"/>
    <w:rsid w:val="0082741C"/>
    <w:rsid w:val="0082759E"/>
    <w:rsid w:val="00827608"/>
    <w:rsid w:val="008278F3"/>
    <w:rsid w:val="00827BBF"/>
    <w:rsid w:val="00830313"/>
    <w:rsid w:val="008307C6"/>
    <w:rsid w:val="00830820"/>
    <w:rsid w:val="008308F9"/>
    <w:rsid w:val="0083095A"/>
    <w:rsid w:val="00830B24"/>
    <w:rsid w:val="00830FD0"/>
    <w:rsid w:val="0083172E"/>
    <w:rsid w:val="0083187A"/>
    <w:rsid w:val="0083197B"/>
    <w:rsid w:val="00831FBA"/>
    <w:rsid w:val="00831FEC"/>
    <w:rsid w:val="0083223A"/>
    <w:rsid w:val="008327A8"/>
    <w:rsid w:val="00832994"/>
    <w:rsid w:val="00832B7F"/>
    <w:rsid w:val="00832E07"/>
    <w:rsid w:val="00832EFF"/>
    <w:rsid w:val="00832FC1"/>
    <w:rsid w:val="008330FF"/>
    <w:rsid w:val="008333BF"/>
    <w:rsid w:val="0083363B"/>
    <w:rsid w:val="00833650"/>
    <w:rsid w:val="00833852"/>
    <w:rsid w:val="00833AF9"/>
    <w:rsid w:val="00833B89"/>
    <w:rsid w:val="00833DD1"/>
    <w:rsid w:val="00833F7B"/>
    <w:rsid w:val="0083403F"/>
    <w:rsid w:val="0083415D"/>
    <w:rsid w:val="0083436E"/>
    <w:rsid w:val="008348C4"/>
    <w:rsid w:val="00834B03"/>
    <w:rsid w:val="00834E42"/>
    <w:rsid w:val="00834F3A"/>
    <w:rsid w:val="00834F88"/>
    <w:rsid w:val="00835002"/>
    <w:rsid w:val="0083558C"/>
    <w:rsid w:val="0083596F"/>
    <w:rsid w:val="00835FEE"/>
    <w:rsid w:val="00836083"/>
    <w:rsid w:val="0083620A"/>
    <w:rsid w:val="0083656B"/>
    <w:rsid w:val="00836ED4"/>
    <w:rsid w:val="008377FB"/>
    <w:rsid w:val="0083786B"/>
    <w:rsid w:val="00837B00"/>
    <w:rsid w:val="00837B9C"/>
    <w:rsid w:val="00837F1E"/>
    <w:rsid w:val="008404E0"/>
    <w:rsid w:val="008405CF"/>
    <w:rsid w:val="008408C1"/>
    <w:rsid w:val="00840E07"/>
    <w:rsid w:val="00840F7A"/>
    <w:rsid w:val="00840FFA"/>
    <w:rsid w:val="00841313"/>
    <w:rsid w:val="00841681"/>
    <w:rsid w:val="008417A3"/>
    <w:rsid w:val="0084186F"/>
    <w:rsid w:val="00841911"/>
    <w:rsid w:val="008419C6"/>
    <w:rsid w:val="008419D6"/>
    <w:rsid w:val="00841CE7"/>
    <w:rsid w:val="00841D55"/>
    <w:rsid w:val="00841DA9"/>
    <w:rsid w:val="00842160"/>
    <w:rsid w:val="00842799"/>
    <w:rsid w:val="00842AB6"/>
    <w:rsid w:val="00842B27"/>
    <w:rsid w:val="00842BED"/>
    <w:rsid w:val="008430E2"/>
    <w:rsid w:val="008433FE"/>
    <w:rsid w:val="00843704"/>
    <w:rsid w:val="0084375E"/>
    <w:rsid w:val="008439D8"/>
    <w:rsid w:val="00843AD9"/>
    <w:rsid w:val="00843B2A"/>
    <w:rsid w:val="00843F7B"/>
    <w:rsid w:val="0084410D"/>
    <w:rsid w:val="008442A2"/>
    <w:rsid w:val="0084431E"/>
    <w:rsid w:val="00844502"/>
    <w:rsid w:val="008447E7"/>
    <w:rsid w:val="00844850"/>
    <w:rsid w:val="00844A65"/>
    <w:rsid w:val="00844D03"/>
    <w:rsid w:val="00844F66"/>
    <w:rsid w:val="00845043"/>
    <w:rsid w:val="00845086"/>
    <w:rsid w:val="0084515A"/>
    <w:rsid w:val="008453C8"/>
    <w:rsid w:val="008454B5"/>
    <w:rsid w:val="00845683"/>
    <w:rsid w:val="0084578B"/>
    <w:rsid w:val="00845847"/>
    <w:rsid w:val="008459F4"/>
    <w:rsid w:val="00845B25"/>
    <w:rsid w:val="00845DFB"/>
    <w:rsid w:val="00845ECF"/>
    <w:rsid w:val="00845FF0"/>
    <w:rsid w:val="00846020"/>
    <w:rsid w:val="0084608A"/>
    <w:rsid w:val="008461E1"/>
    <w:rsid w:val="00846261"/>
    <w:rsid w:val="008462B4"/>
    <w:rsid w:val="008464BC"/>
    <w:rsid w:val="00846B03"/>
    <w:rsid w:val="00846B7C"/>
    <w:rsid w:val="00846C36"/>
    <w:rsid w:val="00846CBF"/>
    <w:rsid w:val="00846E43"/>
    <w:rsid w:val="00846F14"/>
    <w:rsid w:val="008470D0"/>
    <w:rsid w:val="0084715F"/>
    <w:rsid w:val="008471BE"/>
    <w:rsid w:val="008475CC"/>
    <w:rsid w:val="00847609"/>
    <w:rsid w:val="00847853"/>
    <w:rsid w:val="008478B7"/>
    <w:rsid w:val="00847E63"/>
    <w:rsid w:val="00847FF5"/>
    <w:rsid w:val="008501C9"/>
    <w:rsid w:val="008501D3"/>
    <w:rsid w:val="008507B5"/>
    <w:rsid w:val="00850AA5"/>
    <w:rsid w:val="00850D95"/>
    <w:rsid w:val="00851086"/>
    <w:rsid w:val="00851263"/>
    <w:rsid w:val="00851340"/>
    <w:rsid w:val="008516E9"/>
    <w:rsid w:val="00851745"/>
    <w:rsid w:val="00851899"/>
    <w:rsid w:val="00851AF0"/>
    <w:rsid w:val="00851B5C"/>
    <w:rsid w:val="00851F74"/>
    <w:rsid w:val="00852035"/>
    <w:rsid w:val="0085203F"/>
    <w:rsid w:val="008521BA"/>
    <w:rsid w:val="00852780"/>
    <w:rsid w:val="00852D33"/>
    <w:rsid w:val="008530E5"/>
    <w:rsid w:val="00853373"/>
    <w:rsid w:val="008534B3"/>
    <w:rsid w:val="00853699"/>
    <w:rsid w:val="00853954"/>
    <w:rsid w:val="00853BB5"/>
    <w:rsid w:val="00853BE7"/>
    <w:rsid w:val="00853C34"/>
    <w:rsid w:val="0085404C"/>
    <w:rsid w:val="008542EC"/>
    <w:rsid w:val="00854378"/>
    <w:rsid w:val="0085442B"/>
    <w:rsid w:val="0085445B"/>
    <w:rsid w:val="0085447A"/>
    <w:rsid w:val="008549E7"/>
    <w:rsid w:val="00854DB4"/>
    <w:rsid w:val="00854E5B"/>
    <w:rsid w:val="00854EEE"/>
    <w:rsid w:val="00855111"/>
    <w:rsid w:val="008553AA"/>
    <w:rsid w:val="0085556F"/>
    <w:rsid w:val="00855664"/>
    <w:rsid w:val="00855911"/>
    <w:rsid w:val="008559AA"/>
    <w:rsid w:val="00855A1F"/>
    <w:rsid w:val="00855A7D"/>
    <w:rsid w:val="00855BF8"/>
    <w:rsid w:val="00855C69"/>
    <w:rsid w:val="00855DBB"/>
    <w:rsid w:val="00855EB2"/>
    <w:rsid w:val="00856060"/>
    <w:rsid w:val="008561A3"/>
    <w:rsid w:val="0085626E"/>
    <w:rsid w:val="008568CC"/>
    <w:rsid w:val="00856A53"/>
    <w:rsid w:val="008570B3"/>
    <w:rsid w:val="00857196"/>
    <w:rsid w:val="008573A2"/>
    <w:rsid w:val="00857448"/>
    <w:rsid w:val="008574C7"/>
    <w:rsid w:val="0085797C"/>
    <w:rsid w:val="00857FEE"/>
    <w:rsid w:val="00857FF4"/>
    <w:rsid w:val="00860291"/>
    <w:rsid w:val="008602B7"/>
    <w:rsid w:val="00860352"/>
    <w:rsid w:val="0086053E"/>
    <w:rsid w:val="008606AC"/>
    <w:rsid w:val="00860995"/>
    <w:rsid w:val="00860BE2"/>
    <w:rsid w:val="00860C0A"/>
    <w:rsid w:val="00860FBF"/>
    <w:rsid w:val="0086109D"/>
    <w:rsid w:val="0086205B"/>
    <w:rsid w:val="0086207D"/>
    <w:rsid w:val="0086221B"/>
    <w:rsid w:val="00862814"/>
    <w:rsid w:val="00862BEB"/>
    <w:rsid w:val="0086308D"/>
    <w:rsid w:val="0086311A"/>
    <w:rsid w:val="008634F6"/>
    <w:rsid w:val="00863501"/>
    <w:rsid w:val="008635AA"/>
    <w:rsid w:val="00863ABC"/>
    <w:rsid w:val="00863E7B"/>
    <w:rsid w:val="00863E7D"/>
    <w:rsid w:val="00864247"/>
    <w:rsid w:val="0086472E"/>
    <w:rsid w:val="00864A67"/>
    <w:rsid w:val="00864B23"/>
    <w:rsid w:val="00864D38"/>
    <w:rsid w:val="0086504B"/>
    <w:rsid w:val="008653D3"/>
    <w:rsid w:val="0086541F"/>
    <w:rsid w:val="00865541"/>
    <w:rsid w:val="008655FE"/>
    <w:rsid w:val="00865923"/>
    <w:rsid w:val="00865A31"/>
    <w:rsid w:val="00865B82"/>
    <w:rsid w:val="00865D02"/>
    <w:rsid w:val="00865D32"/>
    <w:rsid w:val="008661C3"/>
    <w:rsid w:val="00866323"/>
    <w:rsid w:val="00866332"/>
    <w:rsid w:val="008664B7"/>
    <w:rsid w:val="008667F7"/>
    <w:rsid w:val="00866882"/>
    <w:rsid w:val="008669A1"/>
    <w:rsid w:val="00866A25"/>
    <w:rsid w:val="00866B3C"/>
    <w:rsid w:val="00866D2B"/>
    <w:rsid w:val="00866E8D"/>
    <w:rsid w:val="00866F29"/>
    <w:rsid w:val="00867165"/>
    <w:rsid w:val="008673DF"/>
    <w:rsid w:val="00867598"/>
    <w:rsid w:val="0086768E"/>
    <w:rsid w:val="008676B0"/>
    <w:rsid w:val="008676F2"/>
    <w:rsid w:val="00867717"/>
    <w:rsid w:val="008678AA"/>
    <w:rsid w:val="008678FA"/>
    <w:rsid w:val="00867907"/>
    <w:rsid w:val="00867B44"/>
    <w:rsid w:val="00867C0B"/>
    <w:rsid w:val="00867CC5"/>
    <w:rsid w:val="00867CD5"/>
    <w:rsid w:val="00867D74"/>
    <w:rsid w:val="00867D76"/>
    <w:rsid w:val="00867DB4"/>
    <w:rsid w:val="00867EA4"/>
    <w:rsid w:val="00867EB9"/>
    <w:rsid w:val="00867FD3"/>
    <w:rsid w:val="00870148"/>
    <w:rsid w:val="008701D0"/>
    <w:rsid w:val="008703F1"/>
    <w:rsid w:val="008704E7"/>
    <w:rsid w:val="00870CD3"/>
    <w:rsid w:val="0087147F"/>
    <w:rsid w:val="008715CB"/>
    <w:rsid w:val="008719DF"/>
    <w:rsid w:val="00871AD3"/>
    <w:rsid w:val="00871AFF"/>
    <w:rsid w:val="00871BE5"/>
    <w:rsid w:val="00872038"/>
    <w:rsid w:val="008720BF"/>
    <w:rsid w:val="008723F6"/>
    <w:rsid w:val="00872611"/>
    <w:rsid w:val="00872740"/>
    <w:rsid w:val="008727A0"/>
    <w:rsid w:val="00872BCB"/>
    <w:rsid w:val="00872CF7"/>
    <w:rsid w:val="00872D90"/>
    <w:rsid w:val="00872F89"/>
    <w:rsid w:val="00873095"/>
    <w:rsid w:val="00873177"/>
    <w:rsid w:val="008732ED"/>
    <w:rsid w:val="00873329"/>
    <w:rsid w:val="00873A19"/>
    <w:rsid w:val="00873AD8"/>
    <w:rsid w:val="00873CB8"/>
    <w:rsid w:val="00873E45"/>
    <w:rsid w:val="00873E76"/>
    <w:rsid w:val="00873F0C"/>
    <w:rsid w:val="0087426A"/>
    <w:rsid w:val="0087440A"/>
    <w:rsid w:val="00874447"/>
    <w:rsid w:val="008747BD"/>
    <w:rsid w:val="00874926"/>
    <w:rsid w:val="00874B70"/>
    <w:rsid w:val="00874D3E"/>
    <w:rsid w:val="00874FE4"/>
    <w:rsid w:val="00875040"/>
    <w:rsid w:val="0087521C"/>
    <w:rsid w:val="00875417"/>
    <w:rsid w:val="008758A0"/>
    <w:rsid w:val="00875E86"/>
    <w:rsid w:val="008760A4"/>
    <w:rsid w:val="008760DF"/>
    <w:rsid w:val="008761D9"/>
    <w:rsid w:val="008765EA"/>
    <w:rsid w:val="0087662A"/>
    <w:rsid w:val="0087690F"/>
    <w:rsid w:val="00876A83"/>
    <w:rsid w:val="00876AF9"/>
    <w:rsid w:val="00876F56"/>
    <w:rsid w:val="00877123"/>
    <w:rsid w:val="00877158"/>
    <w:rsid w:val="00877175"/>
    <w:rsid w:val="00877616"/>
    <w:rsid w:val="008776E5"/>
    <w:rsid w:val="008776FD"/>
    <w:rsid w:val="00877763"/>
    <w:rsid w:val="00880654"/>
    <w:rsid w:val="0088082B"/>
    <w:rsid w:val="0088082F"/>
    <w:rsid w:val="0088097D"/>
    <w:rsid w:val="00880CFB"/>
    <w:rsid w:val="008810E7"/>
    <w:rsid w:val="00881342"/>
    <w:rsid w:val="00881423"/>
    <w:rsid w:val="008814A2"/>
    <w:rsid w:val="00881695"/>
    <w:rsid w:val="00881736"/>
    <w:rsid w:val="008817DB"/>
    <w:rsid w:val="00881C27"/>
    <w:rsid w:val="00881CBC"/>
    <w:rsid w:val="00881CFE"/>
    <w:rsid w:val="00881E15"/>
    <w:rsid w:val="00882406"/>
    <w:rsid w:val="008827D5"/>
    <w:rsid w:val="00882937"/>
    <w:rsid w:val="00882A3F"/>
    <w:rsid w:val="00882D41"/>
    <w:rsid w:val="00882DB1"/>
    <w:rsid w:val="00882E24"/>
    <w:rsid w:val="00883144"/>
    <w:rsid w:val="00883371"/>
    <w:rsid w:val="00883471"/>
    <w:rsid w:val="008834B0"/>
    <w:rsid w:val="0088366F"/>
    <w:rsid w:val="00883BE9"/>
    <w:rsid w:val="00883D37"/>
    <w:rsid w:val="00884022"/>
    <w:rsid w:val="00884834"/>
    <w:rsid w:val="00884883"/>
    <w:rsid w:val="00884CF1"/>
    <w:rsid w:val="00884E92"/>
    <w:rsid w:val="00885023"/>
    <w:rsid w:val="00885208"/>
    <w:rsid w:val="008852A3"/>
    <w:rsid w:val="0088538B"/>
    <w:rsid w:val="0088554F"/>
    <w:rsid w:val="0088573C"/>
    <w:rsid w:val="008857D3"/>
    <w:rsid w:val="0088584E"/>
    <w:rsid w:val="0088599B"/>
    <w:rsid w:val="00885B27"/>
    <w:rsid w:val="00885BC5"/>
    <w:rsid w:val="00886013"/>
    <w:rsid w:val="0088624B"/>
    <w:rsid w:val="008862EB"/>
    <w:rsid w:val="008862FA"/>
    <w:rsid w:val="0088643B"/>
    <w:rsid w:val="00886771"/>
    <w:rsid w:val="00886D3B"/>
    <w:rsid w:val="00886FAD"/>
    <w:rsid w:val="00887627"/>
    <w:rsid w:val="00887B7E"/>
    <w:rsid w:val="00887E2B"/>
    <w:rsid w:val="0089076C"/>
    <w:rsid w:val="0089091B"/>
    <w:rsid w:val="00890AFA"/>
    <w:rsid w:val="00890B0D"/>
    <w:rsid w:val="00890D91"/>
    <w:rsid w:val="00890DA7"/>
    <w:rsid w:val="00890F4E"/>
    <w:rsid w:val="00891048"/>
    <w:rsid w:val="00891144"/>
    <w:rsid w:val="008911D8"/>
    <w:rsid w:val="0089125E"/>
    <w:rsid w:val="0089145A"/>
    <w:rsid w:val="0089162D"/>
    <w:rsid w:val="00891807"/>
    <w:rsid w:val="008919A4"/>
    <w:rsid w:val="00891B5C"/>
    <w:rsid w:val="00891EED"/>
    <w:rsid w:val="00891FEF"/>
    <w:rsid w:val="008921A6"/>
    <w:rsid w:val="00892223"/>
    <w:rsid w:val="00892479"/>
    <w:rsid w:val="00892496"/>
    <w:rsid w:val="00892905"/>
    <w:rsid w:val="008929AB"/>
    <w:rsid w:val="008929CE"/>
    <w:rsid w:val="00892E4A"/>
    <w:rsid w:val="008933CF"/>
    <w:rsid w:val="00893418"/>
    <w:rsid w:val="0089379D"/>
    <w:rsid w:val="0089389F"/>
    <w:rsid w:val="00893962"/>
    <w:rsid w:val="00893E01"/>
    <w:rsid w:val="00893F21"/>
    <w:rsid w:val="008941C0"/>
    <w:rsid w:val="00894253"/>
    <w:rsid w:val="00894610"/>
    <w:rsid w:val="00894C70"/>
    <w:rsid w:val="008950B1"/>
    <w:rsid w:val="008951C7"/>
    <w:rsid w:val="00895232"/>
    <w:rsid w:val="008953B7"/>
    <w:rsid w:val="0089547F"/>
    <w:rsid w:val="00895592"/>
    <w:rsid w:val="00895610"/>
    <w:rsid w:val="00895669"/>
    <w:rsid w:val="008957A7"/>
    <w:rsid w:val="00895D8F"/>
    <w:rsid w:val="00895D9A"/>
    <w:rsid w:val="00895DF4"/>
    <w:rsid w:val="008965B3"/>
    <w:rsid w:val="0089666B"/>
    <w:rsid w:val="008967C8"/>
    <w:rsid w:val="00896A04"/>
    <w:rsid w:val="00896B37"/>
    <w:rsid w:val="00896C73"/>
    <w:rsid w:val="008973D6"/>
    <w:rsid w:val="00897437"/>
    <w:rsid w:val="00897DAC"/>
    <w:rsid w:val="00897E2C"/>
    <w:rsid w:val="008A0011"/>
    <w:rsid w:val="008A01FD"/>
    <w:rsid w:val="008A048C"/>
    <w:rsid w:val="008A06A0"/>
    <w:rsid w:val="008A08B6"/>
    <w:rsid w:val="008A0B7D"/>
    <w:rsid w:val="008A0C03"/>
    <w:rsid w:val="008A0D59"/>
    <w:rsid w:val="008A153B"/>
    <w:rsid w:val="008A1892"/>
    <w:rsid w:val="008A1A56"/>
    <w:rsid w:val="008A1AC9"/>
    <w:rsid w:val="008A1EB1"/>
    <w:rsid w:val="008A1F8C"/>
    <w:rsid w:val="008A21AB"/>
    <w:rsid w:val="008A221F"/>
    <w:rsid w:val="008A2291"/>
    <w:rsid w:val="008A238F"/>
    <w:rsid w:val="008A23CA"/>
    <w:rsid w:val="008A2544"/>
    <w:rsid w:val="008A256B"/>
    <w:rsid w:val="008A28D0"/>
    <w:rsid w:val="008A29E2"/>
    <w:rsid w:val="008A29F6"/>
    <w:rsid w:val="008A2BD1"/>
    <w:rsid w:val="008A2D71"/>
    <w:rsid w:val="008A2D96"/>
    <w:rsid w:val="008A2F07"/>
    <w:rsid w:val="008A32A4"/>
    <w:rsid w:val="008A32A9"/>
    <w:rsid w:val="008A3511"/>
    <w:rsid w:val="008A3516"/>
    <w:rsid w:val="008A3872"/>
    <w:rsid w:val="008A4109"/>
    <w:rsid w:val="008A41D3"/>
    <w:rsid w:val="008A43A4"/>
    <w:rsid w:val="008A44EA"/>
    <w:rsid w:val="008A49DA"/>
    <w:rsid w:val="008A4FD4"/>
    <w:rsid w:val="008A513D"/>
    <w:rsid w:val="008A51C8"/>
    <w:rsid w:val="008A5327"/>
    <w:rsid w:val="008A53E7"/>
    <w:rsid w:val="008A54A7"/>
    <w:rsid w:val="008A57E9"/>
    <w:rsid w:val="008A58C2"/>
    <w:rsid w:val="008A58D2"/>
    <w:rsid w:val="008A591D"/>
    <w:rsid w:val="008A5957"/>
    <w:rsid w:val="008A5ACB"/>
    <w:rsid w:val="008A5BA1"/>
    <w:rsid w:val="008A5CA9"/>
    <w:rsid w:val="008A6034"/>
    <w:rsid w:val="008A636D"/>
    <w:rsid w:val="008A65E9"/>
    <w:rsid w:val="008A68B6"/>
    <w:rsid w:val="008A68D9"/>
    <w:rsid w:val="008A6C8B"/>
    <w:rsid w:val="008A6FFF"/>
    <w:rsid w:val="008A7117"/>
    <w:rsid w:val="008A730A"/>
    <w:rsid w:val="008A7330"/>
    <w:rsid w:val="008A7450"/>
    <w:rsid w:val="008A7457"/>
    <w:rsid w:val="008A75BB"/>
    <w:rsid w:val="008A75F7"/>
    <w:rsid w:val="008A769B"/>
    <w:rsid w:val="008A772D"/>
    <w:rsid w:val="008A79D6"/>
    <w:rsid w:val="008A7A2B"/>
    <w:rsid w:val="008A7C40"/>
    <w:rsid w:val="008A7EA0"/>
    <w:rsid w:val="008A7FF0"/>
    <w:rsid w:val="008B010E"/>
    <w:rsid w:val="008B056F"/>
    <w:rsid w:val="008B057A"/>
    <w:rsid w:val="008B07D8"/>
    <w:rsid w:val="008B07F4"/>
    <w:rsid w:val="008B0AD8"/>
    <w:rsid w:val="008B0C99"/>
    <w:rsid w:val="008B0F5B"/>
    <w:rsid w:val="008B1176"/>
    <w:rsid w:val="008B1B2F"/>
    <w:rsid w:val="008B1F1E"/>
    <w:rsid w:val="008B220A"/>
    <w:rsid w:val="008B23D8"/>
    <w:rsid w:val="008B26FF"/>
    <w:rsid w:val="008B2733"/>
    <w:rsid w:val="008B2769"/>
    <w:rsid w:val="008B2D65"/>
    <w:rsid w:val="008B2D95"/>
    <w:rsid w:val="008B2EF5"/>
    <w:rsid w:val="008B2FC7"/>
    <w:rsid w:val="008B2FF0"/>
    <w:rsid w:val="008B3326"/>
    <w:rsid w:val="008B34AA"/>
    <w:rsid w:val="008B3763"/>
    <w:rsid w:val="008B37B2"/>
    <w:rsid w:val="008B3900"/>
    <w:rsid w:val="008B39CB"/>
    <w:rsid w:val="008B3A14"/>
    <w:rsid w:val="008B3B91"/>
    <w:rsid w:val="008B3BBD"/>
    <w:rsid w:val="008B3E65"/>
    <w:rsid w:val="008B3E98"/>
    <w:rsid w:val="008B3EA7"/>
    <w:rsid w:val="008B429A"/>
    <w:rsid w:val="008B4487"/>
    <w:rsid w:val="008B4536"/>
    <w:rsid w:val="008B49BB"/>
    <w:rsid w:val="008B4B1C"/>
    <w:rsid w:val="008B4B6D"/>
    <w:rsid w:val="008B4BA2"/>
    <w:rsid w:val="008B4FDB"/>
    <w:rsid w:val="008B5075"/>
    <w:rsid w:val="008B50F0"/>
    <w:rsid w:val="008B520F"/>
    <w:rsid w:val="008B5554"/>
    <w:rsid w:val="008B5711"/>
    <w:rsid w:val="008B5B23"/>
    <w:rsid w:val="008B5CAE"/>
    <w:rsid w:val="008B5D0D"/>
    <w:rsid w:val="008B5E30"/>
    <w:rsid w:val="008B63CB"/>
    <w:rsid w:val="008B6709"/>
    <w:rsid w:val="008B6ADD"/>
    <w:rsid w:val="008B6B05"/>
    <w:rsid w:val="008B6C60"/>
    <w:rsid w:val="008B6D53"/>
    <w:rsid w:val="008B6F74"/>
    <w:rsid w:val="008B7A25"/>
    <w:rsid w:val="008B7C2F"/>
    <w:rsid w:val="008B7E36"/>
    <w:rsid w:val="008C00C5"/>
    <w:rsid w:val="008C02DA"/>
    <w:rsid w:val="008C0361"/>
    <w:rsid w:val="008C0739"/>
    <w:rsid w:val="008C0955"/>
    <w:rsid w:val="008C0BD3"/>
    <w:rsid w:val="008C0C23"/>
    <w:rsid w:val="008C0CE5"/>
    <w:rsid w:val="008C0DA2"/>
    <w:rsid w:val="008C0E0C"/>
    <w:rsid w:val="008C0F22"/>
    <w:rsid w:val="008C0F64"/>
    <w:rsid w:val="008C151E"/>
    <w:rsid w:val="008C153B"/>
    <w:rsid w:val="008C17A3"/>
    <w:rsid w:val="008C18AF"/>
    <w:rsid w:val="008C1C81"/>
    <w:rsid w:val="008C1DB5"/>
    <w:rsid w:val="008C1DF8"/>
    <w:rsid w:val="008C219A"/>
    <w:rsid w:val="008C2216"/>
    <w:rsid w:val="008C2301"/>
    <w:rsid w:val="008C282F"/>
    <w:rsid w:val="008C2929"/>
    <w:rsid w:val="008C29DE"/>
    <w:rsid w:val="008C2B5C"/>
    <w:rsid w:val="008C2C01"/>
    <w:rsid w:val="008C2DEA"/>
    <w:rsid w:val="008C30EC"/>
    <w:rsid w:val="008C325E"/>
    <w:rsid w:val="008C328B"/>
    <w:rsid w:val="008C33B3"/>
    <w:rsid w:val="008C3596"/>
    <w:rsid w:val="008C37A8"/>
    <w:rsid w:val="008C3906"/>
    <w:rsid w:val="008C3A03"/>
    <w:rsid w:val="008C3A17"/>
    <w:rsid w:val="008C3B3C"/>
    <w:rsid w:val="008C3C2C"/>
    <w:rsid w:val="008C3D5F"/>
    <w:rsid w:val="008C3DCA"/>
    <w:rsid w:val="008C419F"/>
    <w:rsid w:val="008C41CB"/>
    <w:rsid w:val="008C4B04"/>
    <w:rsid w:val="008C4BA3"/>
    <w:rsid w:val="008C5043"/>
    <w:rsid w:val="008C533E"/>
    <w:rsid w:val="008C5609"/>
    <w:rsid w:val="008C5649"/>
    <w:rsid w:val="008C5758"/>
    <w:rsid w:val="008C58FB"/>
    <w:rsid w:val="008C5B07"/>
    <w:rsid w:val="008C5B0E"/>
    <w:rsid w:val="008C6068"/>
    <w:rsid w:val="008C6251"/>
    <w:rsid w:val="008C628A"/>
    <w:rsid w:val="008C6398"/>
    <w:rsid w:val="008C64CA"/>
    <w:rsid w:val="008C65F3"/>
    <w:rsid w:val="008C6A16"/>
    <w:rsid w:val="008C6A55"/>
    <w:rsid w:val="008C6AE5"/>
    <w:rsid w:val="008C72D8"/>
    <w:rsid w:val="008C75C5"/>
    <w:rsid w:val="008C78A4"/>
    <w:rsid w:val="008C7BB9"/>
    <w:rsid w:val="008C7BEA"/>
    <w:rsid w:val="008C7C4A"/>
    <w:rsid w:val="008C7F3A"/>
    <w:rsid w:val="008D03D0"/>
    <w:rsid w:val="008D03F4"/>
    <w:rsid w:val="008D03F7"/>
    <w:rsid w:val="008D06B1"/>
    <w:rsid w:val="008D09C9"/>
    <w:rsid w:val="008D0A27"/>
    <w:rsid w:val="008D0B0C"/>
    <w:rsid w:val="008D0B90"/>
    <w:rsid w:val="008D0E65"/>
    <w:rsid w:val="008D0E8B"/>
    <w:rsid w:val="008D0F32"/>
    <w:rsid w:val="008D1166"/>
    <w:rsid w:val="008D11E3"/>
    <w:rsid w:val="008D139E"/>
    <w:rsid w:val="008D174E"/>
    <w:rsid w:val="008D180A"/>
    <w:rsid w:val="008D1C39"/>
    <w:rsid w:val="008D1CE4"/>
    <w:rsid w:val="008D1E81"/>
    <w:rsid w:val="008D1FBA"/>
    <w:rsid w:val="008D23E1"/>
    <w:rsid w:val="008D240C"/>
    <w:rsid w:val="008D27F0"/>
    <w:rsid w:val="008D28E5"/>
    <w:rsid w:val="008D2BB8"/>
    <w:rsid w:val="008D2F86"/>
    <w:rsid w:val="008D2F9D"/>
    <w:rsid w:val="008D3100"/>
    <w:rsid w:val="008D3858"/>
    <w:rsid w:val="008D385C"/>
    <w:rsid w:val="008D3AC3"/>
    <w:rsid w:val="008D3C5A"/>
    <w:rsid w:val="008D3C94"/>
    <w:rsid w:val="008D3D5F"/>
    <w:rsid w:val="008D3DF5"/>
    <w:rsid w:val="008D4296"/>
    <w:rsid w:val="008D449E"/>
    <w:rsid w:val="008D44AA"/>
    <w:rsid w:val="008D468C"/>
    <w:rsid w:val="008D4B4B"/>
    <w:rsid w:val="008D4B61"/>
    <w:rsid w:val="008D4CD9"/>
    <w:rsid w:val="008D4CE7"/>
    <w:rsid w:val="008D4E5C"/>
    <w:rsid w:val="008D4FB7"/>
    <w:rsid w:val="008D50EB"/>
    <w:rsid w:val="008D520D"/>
    <w:rsid w:val="008D5686"/>
    <w:rsid w:val="008D5C13"/>
    <w:rsid w:val="008D6500"/>
    <w:rsid w:val="008D6602"/>
    <w:rsid w:val="008D669D"/>
    <w:rsid w:val="008D6701"/>
    <w:rsid w:val="008D6BA6"/>
    <w:rsid w:val="008D6DE1"/>
    <w:rsid w:val="008D72A0"/>
    <w:rsid w:val="008D73DF"/>
    <w:rsid w:val="008D77CC"/>
    <w:rsid w:val="008D787E"/>
    <w:rsid w:val="008D78DA"/>
    <w:rsid w:val="008E060B"/>
    <w:rsid w:val="008E074A"/>
    <w:rsid w:val="008E096A"/>
    <w:rsid w:val="008E0D04"/>
    <w:rsid w:val="008E0D10"/>
    <w:rsid w:val="008E0EC5"/>
    <w:rsid w:val="008E0ECA"/>
    <w:rsid w:val="008E1092"/>
    <w:rsid w:val="008E1307"/>
    <w:rsid w:val="008E144F"/>
    <w:rsid w:val="008E1531"/>
    <w:rsid w:val="008E18F8"/>
    <w:rsid w:val="008E19E8"/>
    <w:rsid w:val="008E1C4D"/>
    <w:rsid w:val="008E1EF0"/>
    <w:rsid w:val="008E2020"/>
    <w:rsid w:val="008E22E6"/>
    <w:rsid w:val="008E24EA"/>
    <w:rsid w:val="008E282D"/>
    <w:rsid w:val="008E28D7"/>
    <w:rsid w:val="008E2B63"/>
    <w:rsid w:val="008E3273"/>
    <w:rsid w:val="008E329F"/>
    <w:rsid w:val="008E33BC"/>
    <w:rsid w:val="008E36B3"/>
    <w:rsid w:val="008E37B7"/>
    <w:rsid w:val="008E3CD5"/>
    <w:rsid w:val="008E3E85"/>
    <w:rsid w:val="008E3EDC"/>
    <w:rsid w:val="008E41D1"/>
    <w:rsid w:val="008E46BC"/>
    <w:rsid w:val="008E4CDC"/>
    <w:rsid w:val="008E4DA1"/>
    <w:rsid w:val="008E4E3E"/>
    <w:rsid w:val="008E510B"/>
    <w:rsid w:val="008E5157"/>
    <w:rsid w:val="008E57B4"/>
    <w:rsid w:val="008E597D"/>
    <w:rsid w:val="008E5B08"/>
    <w:rsid w:val="008E5CC1"/>
    <w:rsid w:val="008E5D1E"/>
    <w:rsid w:val="008E5F3F"/>
    <w:rsid w:val="008E64B8"/>
    <w:rsid w:val="008E64D1"/>
    <w:rsid w:val="008E68D0"/>
    <w:rsid w:val="008E6A5D"/>
    <w:rsid w:val="008E6A6A"/>
    <w:rsid w:val="008E6DA8"/>
    <w:rsid w:val="008E6EEB"/>
    <w:rsid w:val="008E6F2E"/>
    <w:rsid w:val="008E7053"/>
    <w:rsid w:val="008E7104"/>
    <w:rsid w:val="008E713C"/>
    <w:rsid w:val="008E7332"/>
    <w:rsid w:val="008E735E"/>
    <w:rsid w:val="008E7376"/>
    <w:rsid w:val="008E74C1"/>
    <w:rsid w:val="008E75DF"/>
    <w:rsid w:val="008E788E"/>
    <w:rsid w:val="008E7C4B"/>
    <w:rsid w:val="008E7DF1"/>
    <w:rsid w:val="008F0031"/>
    <w:rsid w:val="008F00C6"/>
    <w:rsid w:val="008F0271"/>
    <w:rsid w:val="008F03B1"/>
    <w:rsid w:val="008F066F"/>
    <w:rsid w:val="008F08E8"/>
    <w:rsid w:val="008F0968"/>
    <w:rsid w:val="008F0C57"/>
    <w:rsid w:val="008F0CFF"/>
    <w:rsid w:val="008F0D8A"/>
    <w:rsid w:val="008F0DC8"/>
    <w:rsid w:val="008F0EDD"/>
    <w:rsid w:val="008F11FA"/>
    <w:rsid w:val="008F133E"/>
    <w:rsid w:val="008F15EF"/>
    <w:rsid w:val="008F1927"/>
    <w:rsid w:val="008F1981"/>
    <w:rsid w:val="008F19BB"/>
    <w:rsid w:val="008F1B3C"/>
    <w:rsid w:val="008F1BD8"/>
    <w:rsid w:val="008F1F36"/>
    <w:rsid w:val="008F22F1"/>
    <w:rsid w:val="008F24D6"/>
    <w:rsid w:val="008F26C3"/>
    <w:rsid w:val="008F275B"/>
    <w:rsid w:val="008F298E"/>
    <w:rsid w:val="008F2B97"/>
    <w:rsid w:val="008F2FB3"/>
    <w:rsid w:val="008F2FC5"/>
    <w:rsid w:val="008F3155"/>
    <w:rsid w:val="008F3166"/>
    <w:rsid w:val="008F3340"/>
    <w:rsid w:val="008F334C"/>
    <w:rsid w:val="008F3422"/>
    <w:rsid w:val="008F3693"/>
    <w:rsid w:val="008F38CE"/>
    <w:rsid w:val="008F3A0F"/>
    <w:rsid w:val="008F3F2E"/>
    <w:rsid w:val="008F428B"/>
    <w:rsid w:val="008F4539"/>
    <w:rsid w:val="008F477E"/>
    <w:rsid w:val="008F4A7B"/>
    <w:rsid w:val="008F4B16"/>
    <w:rsid w:val="008F4CA0"/>
    <w:rsid w:val="008F4FB9"/>
    <w:rsid w:val="008F520A"/>
    <w:rsid w:val="008F525F"/>
    <w:rsid w:val="008F52F8"/>
    <w:rsid w:val="008F5696"/>
    <w:rsid w:val="008F5F3D"/>
    <w:rsid w:val="008F60AD"/>
    <w:rsid w:val="008F6788"/>
    <w:rsid w:val="008F683C"/>
    <w:rsid w:val="008F6CB9"/>
    <w:rsid w:val="008F6DFF"/>
    <w:rsid w:val="008F6E2F"/>
    <w:rsid w:val="008F73E8"/>
    <w:rsid w:val="008F746C"/>
    <w:rsid w:val="008F7822"/>
    <w:rsid w:val="008F7875"/>
    <w:rsid w:val="008F7A33"/>
    <w:rsid w:val="008F7C1A"/>
    <w:rsid w:val="008F7DFD"/>
    <w:rsid w:val="008F7E99"/>
    <w:rsid w:val="00900008"/>
    <w:rsid w:val="009003D2"/>
    <w:rsid w:val="009006CC"/>
    <w:rsid w:val="00900786"/>
    <w:rsid w:val="009008F2"/>
    <w:rsid w:val="00900EA8"/>
    <w:rsid w:val="00900F87"/>
    <w:rsid w:val="00900FE5"/>
    <w:rsid w:val="00900FFC"/>
    <w:rsid w:val="00901149"/>
    <w:rsid w:val="0090135A"/>
    <w:rsid w:val="009014DF"/>
    <w:rsid w:val="0090182F"/>
    <w:rsid w:val="00901B68"/>
    <w:rsid w:val="00901D44"/>
    <w:rsid w:val="00902075"/>
    <w:rsid w:val="009020E2"/>
    <w:rsid w:val="009021E8"/>
    <w:rsid w:val="00902229"/>
    <w:rsid w:val="00902284"/>
    <w:rsid w:val="00902314"/>
    <w:rsid w:val="00902347"/>
    <w:rsid w:val="0090237B"/>
    <w:rsid w:val="0090270E"/>
    <w:rsid w:val="0090287C"/>
    <w:rsid w:val="00902BF6"/>
    <w:rsid w:val="009032A6"/>
    <w:rsid w:val="00903431"/>
    <w:rsid w:val="009035A9"/>
    <w:rsid w:val="00903661"/>
    <w:rsid w:val="009036FE"/>
    <w:rsid w:val="00903991"/>
    <w:rsid w:val="009039CA"/>
    <w:rsid w:val="00903B64"/>
    <w:rsid w:val="00903CAF"/>
    <w:rsid w:val="00903D4D"/>
    <w:rsid w:val="0090494F"/>
    <w:rsid w:val="0090499F"/>
    <w:rsid w:val="0090563F"/>
    <w:rsid w:val="00905AED"/>
    <w:rsid w:val="00905BDC"/>
    <w:rsid w:val="00905C06"/>
    <w:rsid w:val="00905F99"/>
    <w:rsid w:val="0090604E"/>
    <w:rsid w:val="0090628F"/>
    <w:rsid w:val="009063F3"/>
    <w:rsid w:val="0090640D"/>
    <w:rsid w:val="00906559"/>
    <w:rsid w:val="00906777"/>
    <w:rsid w:val="0090681A"/>
    <w:rsid w:val="0090699D"/>
    <w:rsid w:val="00906C23"/>
    <w:rsid w:val="00906D27"/>
    <w:rsid w:val="00906ED3"/>
    <w:rsid w:val="0090701F"/>
    <w:rsid w:val="00907635"/>
    <w:rsid w:val="009077EA"/>
    <w:rsid w:val="00907837"/>
    <w:rsid w:val="00907888"/>
    <w:rsid w:val="00907935"/>
    <w:rsid w:val="00907971"/>
    <w:rsid w:val="00907997"/>
    <w:rsid w:val="00907F74"/>
    <w:rsid w:val="0091003B"/>
    <w:rsid w:val="00910164"/>
    <w:rsid w:val="00910235"/>
    <w:rsid w:val="0091031B"/>
    <w:rsid w:val="0091038F"/>
    <w:rsid w:val="009103FA"/>
    <w:rsid w:val="00910436"/>
    <w:rsid w:val="009104B0"/>
    <w:rsid w:val="0091065C"/>
    <w:rsid w:val="009106D2"/>
    <w:rsid w:val="009109A4"/>
    <w:rsid w:val="00910C17"/>
    <w:rsid w:val="00911243"/>
    <w:rsid w:val="0091168E"/>
    <w:rsid w:val="009116C6"/>
    <w:rsid w:val="0091182C"/>
    <w:rsid w:val="009118DD"/>
    <w:rsid w:val="009119DF"/>
    <w:rsid w:val="00911CAC"/>
    <w:rsid w:val="00912094"/>
    <w:rsid w:val="0091218A"/>
    <w:rsid w:val="009121AC"/>
    <w:rsid w:val="009123AA"/>
    <w:rsid w:val="009123EB"/>
    <w:rsid w:val="0091250D"/>
    <w:rsid w:val="00912688"/>
    <w:rsid w:val="009128B1"/>
    <w:rsid w:val="00912A1C"/>
    <w:rsid w:val="00912CD1"/>
    <w:rsid w:val="0091313A"/>
    <w:rsid w:val="00913F4D"/>
    <w:rsid w:val="0091420F"/>
    <w:rsid w:val="009143B6"/>
    <w:rsid w:val="00914803"/>
    <w:rsid w:val="00914A4C"/>
    <w:rsid w:val="00914B3C"/>
    <w:rsid w:val="009154A6"/>
    <w:rsid w:val="009156B5"/>
    <w:rsid w:val="00915844"/>
    <w:rsid w:val="009158C6"/>
    <w:rsid w:val="00915BE6"/>
    <w:rsid w:val="00915BEC"/>
    <w:rsid w:val="00915C73"/>
    <w:rsid w:val="00915DDA"/>
    <w:rsid w:val="00916387"/>
    <w:rsid w:val="009170DF"/>
    <w:rsid w:val="00917248"/>
    <w:rsid w:val="00917527"/>
    <w:rsid w:val="00917704"/>
    <w:rsid w:val="0091778B"/>
    <w:rsid w:val="00917B48"/>
    <w:rsid w:val="00917DFC"/>
    <w:rsid w:val="00920106"/>
    <w:rsid w:val="0092035F"/>
    <w:rsid w:val="00920638"/>
    <w:rsid w:val="009207F6"/>
    <w:rsid w:val="00920A3A"/>
    <w:rsid w:val="00921032"/>
    <w:rsid w:val="009210F3"/>
    <w:rsid w:val="00921630"/>
    <w:rsid w:val="009219C4"/>
    <w:rsid w:val="00921A6F"/>
    <w:rsid w:val="00921C40"/>
    <w:rsid w:val="00921EAB"/>
    <w:rsid w:val="00922527"/>
    <w:rsid w:val="00922621"/>
    <w:rsid w:val="009228F2"/>
    <w:rsid w:val="00922B6F"/>
    <w:rsid w:val="00923476"/>
    <w:rsid w:val="009234AA"/>
    <w:rsid w:val="009239F2"/>
    <w:rsid w:val="00923C3C"/>
    <w:rsid w:val="00923D6C"/>
    <w:rsid w:val="00923E2E"/>
    <w:rsid w:val="00923F09"/>
    <w:rsid w:val="0092409B"/>
    <w:rsid w:val="009240CF"/>
    <w:rsid w:val="00924457"/>
    <w:rsid w:val="009244DB"/>
    <w:rsid w:val="0092481C"/>
    <w:rsid w:val="009249B5"/>
    <w:rsid w:val="009249F4"/>
    <w:rsid w:val="00924AF2"/>
    <w:rsid w:val="00924CC2"/>
    <w:rsid w:val="00924CDF"/>
    <w:rsid w:val="009251A8"/>
    <w:rsid w:val="009251C5"/>
    <w:rsid w:val="0092530E"/>
    <w:rsid w:val="00925398"/>
    <w:rsid w:val="009253B8"/>
    <w:rsid w:val="009254E8"/>
    <w:rsid w:val="009257E9"/>
    <w:rsid w:val="0092581E"/>
    <w:rsid w:val="00925D34"/>
    <w:rsid w:val="00925DB8"/>
    <w:rsid w:val="00925DD6"/>
    <w:rsid w:val="00925E5D"/>
    <w:rsid w:val="00925E62"/>
    <w:rsid w:val="00926128"/>
    <w:rsid w:val="009261D9"/>
    <w:rsid w:val="00926381"/>
    <w:rsid w:val="009264BF"/>
    <w:rsid w:val="009264E7"/>
    <w:rsid w:val="009264EC"/>
    <w:rsid w:val="00926631"/>
    <w:rsid w:val="009268A6"/>
    <w:rsid w:val="00926A42"/>
    <w:rsid w:val="00926B59"/>
    <w:rsid w:val="00927199"/>
    <w:rsid w:val="00927769"/>
    <w:rsid w:val="00927A4E"/>
    <w:rsid w:val="00930335"/>
    <w:rsid w:val="0093040E"/>
    <w:rsid w:val="009304EA"/>
    <w:rsid w:val="00930514"/>
    <w:rsid w:val="00930996"/>
    <w:rsid w:val="009309FA"/>
    <w:rsid w:val="00930A21"/>
    <w:rsid w:val="00930B4E"/>
    <w:rsid w:val="00930F32"/>
    <w:rsid w:val="009311B8"/>
    <w:rsid w:val="009313F5"/>
    <w:rsid w:val="00931521"/>
    <w:rsid w:val="0093159F"/>
    <w:rsid w:val="0093181E"/>
    <w:rsid w:val="0093186A"/>
    <w:rsid w:val="00931D65"/>
    <w:rsid w:val="00931F44"/>
    <w:rsid w:val="00932260"/>
    <w:rsid w:val="00932406"/>
    <w:rsid w:val="00932413"/>
    <w:rsid w:val="00932446"/>
    <w:rsid w:val="009326A9"/>
    <w:rsid w:val="00932783"/>
    <w:rsid w:val="00932824"/>
    <w:rsid w:val="00932D26"/>
    <w:rsid w:val="00932D65"/>
    <w:rsid w:val="00932E4D"/>
    <w:rsid w:val="00932E51"/>
    <w:rsid w:val="00932F11"/>
    <w:rsid w:val="00932FA3"/>
    <w:rsid w:val="00932FC9"/>
    <w:rsid w:val="0093316F"/>
    <w:rsid w:val="00933692"/>
    <w:rsid w:val="009336AC"/>
    <w:rsid w:val="009338CF"/>
    <w:rsid w:val="009338E0"/>
    <w:rsid w:val="00933BBD"/>
    <w:rsid w:val="00933BC8"/>
    <w:rsid w:val="00933D8B"/>
    <w:rsid w:val="00934090"/>
    <w:rsid w:val="00934115"/>
    <w:rsid w:val="00934129"/>
    <w:rsid w:val="00934345"/>
    <w:rsid w:val="009344DF"/>
    <w:rsid w:val="00934567"/>
    <w:rsid w:val="00934997"/>
    <w:rsid w:val="00934B05"/>
    <w:rsid w:val="00934C5A"/>
    <w:rsid w:val="00935270"/>
    <w:rsid w:val="009353A7"/>
    <w:rsid w:val="00935DAB"/>
    <w:rsid w:val="009364E6"/>
    <w:rsid w:val="00936630"/>
    <w:rsid w:val="00936793"/>
    <w:rsid w:val="00936D1E"/>
    <w:rsid w:val="00936F45"/>
    <w:rsid w:val="00937057"/>
    <w:rsid w:val="0093747F"/>
    <w:rsid w:val="00937D2E"/>
    <w:rsid w:val="009400C0"/>
    <w:rsid w:val="0094027F"/>
    <w:rsid w:val="009405C1"/>
    <w:rsid w:val="00940909"/>
    <w:rsid w:val="00940B26"/>
    <w:rsid w:val="00940F04"/>
    <w:rsid w:val="00940F35"/>
    <w:rsid w:val="00941027"/>
    <w:rsid w:val="00941077"/>
    <w:rsid w:val="00941394"/>
    <w:rsid w:val="009417A4"/>
    <w:rsid w:val="00941A1D"/>
    <w:rsid w:val="00941C5B"/>
    <w:rsid w:val="00941CD0"/>
    <w:rsid w:val="00941CE3"/>
    <w:rsid w:val="0094205D"/>
    <w:rsid w:val="00942448"/>
    <w:rsid w:val="00942A0A"/>
    <w:rsid w:val="00942A5D"/>
    <w:rsid w:val="00942B51"/>
    <w:rsid w:val="00942C38"/>
    <w:rsid w:val="00942CFB"/>
    <w:rsid w:val="00942D86"/>
    <w:rsid w:val="00942D90"/>
    <w:rsid w:val="00942E87"/>
    <w:rsid w:val="0094341E"/>
    <w:rsid w:val="00943543"/>
    <w:rsid w:val="0094362F"/>
    <w:rsid w:val="0094364E"/>
    <w:rsid w:val="009436CC"/>
    <w:rsid w:val="00943C57"/>
    <w:rsid w:val="00943F92"/>
    <w:rsid w:val="00943FBE"/>
    <w:rsid w:val="0094401E"/>
    <w:rsid w:val="0094402F"/>
    <w:rsid w:val="00944083"/>
    <w:rsid w:val="00944508"/>
    <w:rsid w:val="00944708"/>
    <w:rsid w:val="00944717"/>
    <w:rsid w:val="0094493B"/>
    <w:rsid w:val="00944A27"/>
    <w:rsid w:val="00944DC3"/>
    <w:rsid w:val="00944EBC"/>
    <w:rsid w:val="009451B7"/>
    <w:rsid w:val="009451FD"/>
    <w:rsid w:val="009455BF"/>
    <w:rsid w:val="009458FA"/>
    <w:rsid w:val="00945B64"/>
    <w:rsid w:val="00946A3A"/>
    <w:rsid w:val="0094742A"/>
    <w:rsid w:val="00947528"/>
    <w:rsid w:val="009476ED"/>
    <w:rsid w:val="00947AB1"/>
    <w:rsid w:val="00947CC9"/>
    <w:rsid w:val="0095030D"/>
    <w:rsid w:val="0095033F"/>
    <w:rsid w:val="00950569"/>
    <w:rsid w:val="009506AF"/>
    <w:rsid w:val="00950752"/>
    <w:rsid w:val="00950999"/>
    <w:rsid w:val="00950A10"/>
    <w:rsid w:val="00950C16"/>
    <w:rsid w:val="00950E5C"/>
    <w:rsid w:val="00950F9F"/>
    <w:rsid w:val="00950FD0"/>
    <w:rsid w:val="00951163"/>
    <w:rsid w:val="009516B4"/>
    <w:rsid w:val="009516B8"/>
    <w:rsid w:val="00951912"/>
    <w:rsid w:val="00951C36"/>
    <w:rsid w:val="00951DF7"/>
    <w:rsid w:val="0095270D"/>
    <w:rsid w:val="0095276D"/>
    <w:rsid w:val="0095283C"/>
    <w:rsid w:val="00952984"/>
    <w:rsid w:val="00952AD9"/>
    <w:rsid w:val="00952B3E"/>
    <w:rsid w:val="00952CFF"/>
    <w:rsid w:val="00952D36"/>
    <w:rsid w:val="00952EA5"/>
    <w:rsid w:val="00953221"/>
    <w:rsid w:val="009532EB"/>
    <w:rsid w:val="0095380E"/>
    <w:rsid w:val="00953820"/>
    <w:rsid w:val="009539BB"/>
    <w:rsid w:val="009539D3"/>
    <w:rsid w:val="0095429E"/>
    <w:rsid w:val="0095435E"/>
    <w:rsid w:val="00954A92"/>
    <w:rsid w:val="00954F79"/>
    <w:rsid w:val="009550B5"/>
    <w:rsid w:val="009551A7"/>
    <w:rsid w:val="009554B6"/>
    <w:rsid w:val="0095566C"/>
    <w:rsid w:val="00955AAF"/>
    <w:rsid w:val="00955BC2"/>
    <w:rsid w:val="00955C70"/>
    <w:rsid w:val="00955CF4"/>
    <w:rsid w:val="0095600D"/>
    <w:rsid w:val="0095608F"/>
    <w:rsid w:val="0095626B"/>
    <w:rsid w:val="009568B2"/>
    <w:rsid w:val="00956937"/>
    <w:rsid w:val="00956C72"/>
    <w:rsid w:val="0095726F"/>
    <w:rsid w:val="00957310"/>
    <w:rsid w:val="00957458"/>
    <w:rsid w:val="00957A1D"/>
    <w:rsid w:val="00957CCF"/>
    <w:rsid w:val="009600D1"/>
    <w:rsid w:val="0096014F"/>
    <w:rsid w:val="00960565"/>
    <w:rsid w:val="009606ED"/>
    <w:rsid w:val="0096071F"/>
    <w:rsid w:val="0096073A"/>
    <w:rsid w:val="00960795"/>
    <w:rsid w:val="00960A01"/>
    <w:rsid w:val="00960A6C"/>
    <w:rsid w:val="00960D45"/>
    <w:rsid w:val="00960F37"/>
    <w:rsid w:val="00961134"/>
    <w:rsid w:val="009619A1"/>
    <w:rsid w:val="00961BB4"/>
    <w:rsid w:val="00961D2F"/>
    <w:rsid w:val="00961EFC"/>
    <w:rsid w:val="009626D5"/>
    <w:rsid w:val="0096288E"/>
    <w:rsid w:val="00962A77"/>
    <w:rsid w:val="00962F93"/>
    <w:rsid w:val="009630D5"/>
    <w:rsid w:val="00963246"/>
    <w:rsid w:val="00963314"/>
    <w:rsid w:val="00963521"/>
    <w:rsid w:val="0096383D"/>
    <w:rsid w:val="00964542"/>
    <w:rsid w:val="0096474D"/>
    <w:rsid w:val="009647EA"/>
    <w:rsid w:val="0096487E"/>
    <w:rsid w:val="0096491A"/>
    <w:rsid w:val="009649E0"/>
    <w:rsid w:val="00964BFF"/>
    <w:rsid w:val="00964D11"/>
    <w:rsid w:val="00964E9F"/>
    <w:rsid w:val="00964F7D"/>
    <w:rsid w:val="009651B2"/>
    <w:rsid w:val="009652A6"/>
    <w:rsid w:val="009652FD"/>
    <w:rsid w:val="00965568"/>
    <w:rsid w:val="00965DD3"/>
    <w:rsid w:val="009664BC"/>
    <w:rsid w:val="0096664A"/>
    <w:rsid w:val="0096668D"/>
    <w:rsid w:val="009666CA"/>
    <w:rsid w:val="009669BE"/>
    <w:rsid w:val="00966A6E"/>
    <w:rsid w:val="00966B99"/>
    <w:rsid w:val="00966D77"/>
    <w:rsid w:val="00967014"/>
    <w:rsid w:val="0096704A"/>
    <w:rsid w:val="00967205"/>
    <w:rsid w:val="00967253"/>
    <w:rsid w:val="009676F7"/>
    <w:rsid w:val="00967A44"/>
    <w:rsid w:val="00967D70"/>
    <w:rsid w:val="00967E29"/>
    <w:rsid w:val="00967E9D"/>
    <w:rsid w:val="009701F4"/>
    <w:rsid w:val="009703F0"/>
    <w:rsid w:val="0097042C"/>
    <w:rsid w:val="0097045B"/>
    <w:rsid w:val="0097046E"/>
    <w:rsid w:val="00970B47"/>
    <w:rsid w:val="00970CFE"/>
    <w:rsid w:val="00971015"/>
    <w:rsid w:val="00971062"/>
    <w:rsid w:val="00971087"/>
    <w:rsid w:val="00971226"/>
    <w:rsid w:val="009715C4"/>
    <w:rsid w:val="009716AF"/>
    <w:rsid w:val="009717A3"/>
    <w:rsid w:val="00971875"/>
    <w:rsid w:val="00971C33"/>
    <w:rsid w:val="00971C3A"/>
    <w:rsid w:val="00971E39"/>
    <w:rsid w:val="009722DD"/>
    <w:rsid w:val="009724F9"/>
    <w:rsid w:val="00972554"/>
    <w:rsid w:val="00972621"/>
    <w:rsid w:val="00972A2B"/>
    <w:rsid w:val="00972A9A"/>
    <w:rsid w:val="00972AC8"/>
    <w:rsid w:val="00972B66"/>
    <w:rsid w:val="00972EA3"/>
    <w:rsid w:val="00972EC2"/>
    <w:rsid w:val="00972F2E"/>
    <w:rsid w:val="00973308"/>
    <w:rsid w:val="00973463"/>
    <w:rsid w:val="009735B2"/>
    <w:rsid w:val="00973690"/>
    <w:rsid w:val="00973787"/>
    <w:rsid w:val="009739FB"/>
    <w:rsid w:val="00973B0F"/>
    <w:rsid w:val="00973BB3"/>
    <w:rsid w:val="00973E24"/>
    <w:rsid w:val="00974381"/>
    <w:rsid w:val="00974482"/>
    <w:rsid w:val="009746FA"/>
    <w:rsid w:val="0097477C"/>
    <w:rsid w:val="00974897"/>
    <w:rsid w:val="0097490D"/>
    <w:rsid w:val="00974AD8"/>
    <w:rsid w:val="00974C02"/>
    <w:rsid w:val="00974D37"/>
    <w:rsid w:val="00974E4E"/>
    <w:rsid w:val="0097500B"/>
    <w:rsid w:val="0097517E"/>
    <w:rsid w:val="009752EA"/>
    <w:rsid w:val="0097547C"/>
    <w:rsid w:val="00975579"/>
    <w:rsid w:val="0097569F"/>
    <w:rsid w:val="00975775"/>
    <w:rsid w:val="00975BD8"/>
    <w:rsid w:val="00975ECA"/>
    <w:rsid w:val="0097668E"/>
    <w:rsid w:val="00976E5E"/>
    <w:rsid w:val="00976EA0"/>
    <w:rsid w:val="00976EFC"/>
    <w:rsid w:val="009772BD"/>
    <w:rsid w:val="009775A0"/>
    <w:rsid w:val="009775DD"/>
    <w:rsid w:val="0097792D"/>
    <w:rsid w:val="00977B07"/>
    <w:rsid w:val="00977D5F"/>
    <w:rsid w:val="00977DA9"/>
    <w:rsid w:val="00977E0C"/>
    <w:rsid w:val="00977E32"/>
    <w:rsid w:val="00977E84"/>
    <w:rsid w:val="00980427"/>
    <w:rsid w:val="00980560"/>
    <w:rsid w:val="00980692"/>
    <w:rsid w:val="009806E7"/>
    <w:rsid w:val="00980B5D"/>
    <w:rsid w:val="00980D40"/>
    <w:rsid w:val="00980DFA"/>
    <w:rsid w:val="00980E82"/>
    <w:rsid w:val="00980EF1"/>
    <w:rsid w:val="00981081"/>
    <w:rsid w:val="009816DB"/>
    <w:rsid w:val="009818BE"/>
    <w:rsid w:val="00981918"/>
    <w:rsid w:val="00981967"/>
    <w:rsid w:val="00981D31"/>
    <w:rsid w:val="00981DC5"/>
    <w:rsid w:val="00981ED5"/>
    <w:rsid w:val="00981F00"/>
    <w:rsid w:val="00982094"/>
    <w:rsid w:val="009824E4"/>
    <w:rsid w:val="009825A6"/>
    <w:rsid w:val="0098263D"/>
    <w:rsid w:val="009827D4"/>
    <w:rsid w:val="009829BA"/>
    <w:rsid w:val="00982A06"/>
    <w:rsid w:val="00982A25"/>
    <w:rsid w:val="00982CAB"/>
    <w:rsid w:val="009834CC"/>
    <w:rsid w:val="00983525"/>
    <w:rsid w:val="0098366E"/>
    <w:rsid w:val="009836B4"/>
    <w:rsid w:val="00983763"/>
    <w:rsid w:val="009837A9"/>
    <w:rsid w:val="00983C97"/>
    <w:rsid w:val="00983D03"/>
    <w:rsid w:val="00983FDB"/>
    <w:rsid w:val="0098429A"/>
    <w:rsid w:val="00984585"/>
    <w:rsid w:val="009846BF"/>
    <w:rsid w:val="0098477E"/>
    <w:rsid w:val="00984E4B"/>
    <w:rsid w:val="00984E83"/>
    <w:rsid w:val="00984F83"/>
    <w:rsid w:val="00985148"/>
    <w:rsid w:val="009853D1"/>
    <w:rsid w:val="00985438"/>
    <w:rsid w:val="00985886"/>
    <w:rsid w:val="00985934"/>
    <w:rsid w:val="00985BDB"/>
    <w:rsid w:val="00985D60"/>
    <w:rsid w:val="00985EAE"/>
    <w:rsid w:val="00986098"/>
    <w:rsid w:val="009860F3"/>
    <w:rsid w:val="009862AE"/>
    <w:rsid w:val="00986814"/>
    <w:rsid w:val="00986861"/>
    <w:rsid w:val="00986A90"/>
    <w:rsid w:val="00986AAD"/>
    <w:rsid w:val="00986B53"/>
    <w:rsid w:val="00986BC6"/>
    <w:rsid w:val="00986D43"/>
    <w:rsid w:val="00986E60"/>
    <w:rsid w:val="00986E69"/>
    <w:rsid w:val="00986FE9"/>
    <w:rsid w:val="0098715C"/>
    <w:rsid w:val="009871E4"/>
    <w:rsid w:val="00987305"/>
    <w:rsid w:val="0098780B"/>
    <w:rsid w:val="00987908"/>
    <w:rsid w:val="00987939"/>
    <w:rsid w:val="00987E2F"/>
    <w:rsid w:val="00987FD6"/>
    <w:rsid w:val="00990149"/>
    <w:rsid w:val="009902B4"/>
    <w:rsid w:val="00990444"/>
    <w:rsid w:val="00990725"/>
    <w:rsid w:val="00990870"/>
    <w:rsid w:val="00990BDA"/>
    <w:rsid w:val="00990D92"/>
    <w:rsid w:val="009913B2"/>
    <w:rsid w:val="00991731"/>
    <w:rsid w:val="0099192F"/>
    <w:rsid w:val="00991C2A"/>
    <w:rsid w:val="00991D39"/>
    <w:rsid w:val="009922B9"/>
    <w:rsid w:val="0099232A"/>
    <w:rsid w:val="00992379"/>
    <w:rsid w:val="009923C5"/>
    <w:rsid w:val="00992B22"/>
    <w:rsid w:val="00992C92"/>
    <w:rsid w:val="00993441"/>
    <w:rsid w:val="00993985"/>
    <w:rsid w:val="00993DD6"/>
    <w:rsid w:val="00994534"/>
    <w:rsid w:val="009946F3"/>
    <w:rsid w:val="00994725"/>
    <w:rsid w:val="009947C5"/>
    <w:rsid w:val="009947E8"/>
    <w:rsid w:val="009949DA"/>
    <w:rsid w:val="00994DE3"/>
    <w:rsid w:val="00994FD5"/>
    <w:rsid w:val="00994FEF"/>
    <w:rsid w:val="00995262"/>
    <w:rsid w:val="0099553D"/>
    <w:rsid w:val="00995B8E"/>
    <w:rsid w:val="00995DCE"/>
    <w:rsid w:val="00995E7F"/>
    <w:rsid w:val="0099602C"/>
    <w:rsid w:val="0099616C"/>
    <w:rsid w:val="009961CB"/>
    <w:rsid w:val="00996303"/>
    <w:rsid w:val="009963CF"/>
    <w:rsid w:val="009974FD"/>
    <w:rsid w:val="00997537"/>
    <w:rsid w:val="00997671"/>
    <w:rsid w:val="009979CE"/>
    <w:rsid w:val="009A0223"/>
    <w:rsid w:val="009A0CB2"/>
    <w:rsid w:val="009A0D71"/>
    <w:rsid w:val="009A0E8A"/>
    <w:rsid w:val="009A0FBE"/>
    <w:rsid w:val="009A12A1"/>
    <w:rsid w:val="009A1931"/>
    <w:rsid w:val="009A1E97"/>
    <w:rsid w:val="009A1F19"/>
    <w:rsid w:val="009A21AD"/>
    <w:rsid w:val="009A24E6"/>
    <w:rsid w:val="009A29B7"/>
    <w:rsid w:val="009A2B6F"/>
    <w:rsid w:val="009A2C6B"/>
    <w:rsid w:val="009A2E19"/>
    <w:rsid w:val="009A2E93"/>
    <w:rsid w:val="009A2EA6"/>
    <w:rsid w:val="009A313E"/>
    <w:rsid w:val="009A342B"/>
    <w:rsid w:val="009A3590"/>
    <w:rsid w:val="009A3798"/>
    <w:rsid w:val="009A3AD4"/>
    <w:rsid w:val="009A3B21"/>
    <w:rsid w:val="009A3BFE"/>
    <w:rsid w:val="009A3E37"/>
    <w:rsid w:val="009A3EF6"/>
    <w:rsid w:val="009A408D"/>
    <w:rsid w:val="009A40DA"/>
    <w:rsid w:val="009A4805"/>
    <w:rsid w:val="009A4950"/>
    <w:rsid w:val="009A49F4"/>
    <w:rsid w:val="009A4AF8"/>
    <w:rsid w:val="009A4B1F"/>
    <w:rsid w:val="009A4C26"/>
    <w:rsid w:val="009A4D4B"/>
    <w:rsid w:val="009A509A"/>
    <w:rsid w:val="009A529E"/>
    <w:rsid w:val="009A53E2"/>
    <w:rsid w:val="009A54CF"/>
    <w:rsid w:val="009A55C6"/>
    <w:rsid w:val="009A568D"/>
    <w:rsid w:val="009A57C4"/>
    <w:rsid w:val="009A5DBD"/>
    <w:rsid w:val="009A5E28"/>
    <w:rsid w:val="009A615B"/>
    <w:rsid w:val="009A62EA"/>
    <w:rsid w:val="009A6301"/>
    <w:rsid w:val="009A6348"/>
    <w:rsid w:val="009A6589"/>
    <w:rsid w:val="009A67E0"/>
    <w:rsid w:val="009A6865"/>
    <w:rsid w:val="009A6AAC"/>
    <w:rsid w:val="009A6B07"/>
    <w:rsid w:val="009A6B2D"/>
    <w:rsid w:val="009A6B39"/>
    <w:rsid w:val="009A6D1C"/>
    <w:rsid w:val="009A6F4B"/>
    <w:rsid w:val="009A72B4"/>
    <w:rsid w:val="009A72F1"/>
    <w:rsid w:val="009A74FA"/>
    <w:rsid w:val="009A76D2"/>
    <w:rsid w:val="009A77FF"/>
    <w:rsid w:val="009A7F38"/>
    <w:rsid w:val="009A7F70"/>
    <w:rsid w:val="009B026E"/>
    <w:rsid w:val="009B0628"/>
    <w:rsid w:val="009B07E5"/>
    <w:rsid w:val="009B08C5"/>
    <w:rsid w:val="009B091A"/>
    <w:rsid w:val="009B0AED"/>
    <w:rsid w:val="009B10DE"/>
    <w:rsid w:val="009B114B"/>
    <w:rsid w:val="009B12E0"/>
    <w:rsid w:val="009B1597"/>
    <w:rsid w:val="009B196E"/>
    <w:rsid w:val="009B1C01"/>
    <w:rsid w:val="009B1C9C"/>
    <w:rsid w:val="009B1DFA"/>
    <w:rsid w:val="009B20A3"/>
    <w:rsid w:val="009B218C"/>
    <w:rsid w:val="009B23CE"/>
    <w:rsid w:val="009B23E2"/>
    <w:rsid w:val="009B2753"/>
    <w:rsid w:val="009B2B7A"/>
    <w:rsid w:val="009B2F77"/>
    <w:rsid w:val="009B3004"/>
    <w:rsid w:val="009B316E"/>
    <w:rsid w:val="009B370E"/>
    <w:rsid w:val="009B3A6A"/>
    <w:rsid w:val="009B3FE8"/>
    <w:rsid w:val="009B4052"/>
    <w:rsid w:val="009B4310"/>
    <w:rsid w:val="009B4834"/>
    <w:rsid w:val="009B49E8"/>
    <w:rsid w:val="009B4B24"/>
    <w:rsid w:val="009B4CAC"/>
    <w:rsid w:val="009B4D82"/>
    <w:rsid w:val="009B4D9E"/>
    <w:rsid w:val="009B4DDC"/>
    <w:rsid w:val="009B4E7E"/>
    <w:rsid w:val="009B4EFC"/>
    <w:rsid w:val="009B500B"/>
    <w:rsid w:val="009B50FC"/>
    <w:rsid w:val="009B51A3"/>
    <w:rsid w:val="009B5254"/>
    <w:rsid w:val="009B532E"/>
    <w:rsid w:val="009B54B8"/>
    <w:rsid w:val="009B5809"/>
    <w:rsid w:val="009B582F"/>
    <w:rsid w:val="009B5D2C"/>
    <w:rsid w:val="009B61FB"/>
    <w:rsid w:val="009B6343"/>
    <w:rsid w:val="009B6484"/>
    <w:rsid w:val="009B65E4"/>
    <w:rsid w:val="009B6619"/>
    <w:rsid w:val="009B6690"/>
    <w:rsid w:val="009B6815"/>
    <w:rsid w:val="009B6A00"/>
    <w:rsid w:val="009B6BEF"/>
    <w:rsid w:val="009B765D"/>
    <w:rsid w:val="009B7C21"/>
    <w:rsid w:val="009B7DCD"/>
    <w:rsid w:val="009B7E04"/>
    <w:rsid w:val="009C02C1"/>
    <w:rsid w:val="009C0342"/>
    <w:rsid w:val="009C0458"/>
    <w:rsid w:val="009C074D"/>
    <w:rsid w:val="009C09DA"/>
    <w:rsid w:val="009C0C38"/>
    <w:rsid w:val="009C0CF2"/>
    <w:rsid w:val="009C10A1"/>
    <w:rsid w:val="009C10EE"/>
    <w:rsid w:val="009C11D4"/>
    <w:rsid w:val="009C13AB"/>
    <w:rsid w:val="009C1B2F"/>
    <w:rsid w:val="009C237A"/>
    <w:rsid w:val="009C25FD"/>
    <w:rsid w:val="009C2672"/>
    <w:rsid w:val="009C26B3"/>
    <w:rsid w:val="009C2754"/>
    <w:rsid w:val="009C2876"/>
    <w:rsid w:val="009C2C00"/>
    <w:rsid w:val="009C3153"/>
    <w:rsid w:val="009C3154"/>
    <w:rsid w:val="009C319C"/>
    <w:rsid w:val="009C32F8"/>
    <w:rsid w:val="009C3356"/>
    <w:rsid w:val="009C340A"/>
    <w:rsid w:val="009C35FC"/>
    <w:rsid w:val="009C3A83"/>
    <w:rsid w:val="009C3B00"/>
    <w:rsid w:val="009C3D72"/>
    <w:rsid w:val="009C3F20"/>
    <w:rsid w:val="009C3F73"/>
    <w:rsid w:val="009C45AA"/>
    <w:rsid w:val="009C4AAA"/>
    <w:rsid w:val="009C4BC7"/>
    <w:rsid w:val="009C4D20"/>
    <w:rsid w:val="009C4EC7"/>
    <w:rsid w:val="009C502C"/>
    <w:rsid w:val="009C5158"/>
    <w:rsid w:val="009C5460"/>
    <w:rsid w:val="009C5AEA"/>
    <w:rsid w:val="009C60D9"/>
    <w:rsid w:val="009C616E"/>
    <w:rsid w:val="009C6420"/>
    <w:rsid w:val="009C6612"/>
    <w:rsid w:val="009C6A3C"/>
    <w:rsid w:val="009C6C20"/>
    <w:rsid w:val="009C6CE8"/>
    <w:rsid w:val="009C6D2D"/>
    <w:rsid w:val="009C705C"/>
    <w:rsid w:val="009C706E"/>
    <w:rsid w:val="009C70CD"/>
    <w:rsid w:val="009C713F"/>
    <w:rsid w:val="009C7434"/>
    <w:rsid w:val="009C7954"/>
    <w:rsid w:val="009C79A2"/>
    <w:rsid w:val="009C79D6"/>
    <w:rsid w:val="009C7E02"/>
    <w:rsid w:val="009C7E30"/>
    <w:rsid w:val="009D0236"/>
    <w:rsid w:val="009D05A0"/>
    <w:rsid w:val="009D08B6"/>
    <w:rsid w:val="009D0AD0"/>
    <w:rsid w:val="009D0C5D"/>
    <w:rsid w:val="009D1583"/>
    <w:rsid w:val="009D1752"/>
    <w:rsid w:val="009D186C"/>
    <w:rsid w:val="009D18D1"/>
    <w:rsid w:val="009D18F0"/>
    <w:rsid w:val="009D190E"/>
    <w:rsid w:val="009D1967"/>
    <w:rsid w:val="009D1B03"/>
    <w:rsid w:val="009D1C05"/>
    <w:rsid w:val="009D20C7"/>
    <w:rsid w:val="009D228E"/>
    <w:rsid w:val="009D22B3"/>
    <w:rsid w:val="009D28F5"/>
    <w:rsid w:val="009D335E"/>
    <w:rsid w:val="009D3749"/>
    <w:rsid w:val="009D3879"/>
    <w:rsid w:val="009D38C6"/>
    <w:rsid w:val="009D3BB7"/>
    <w:rsid w:val="009D46DE"/>
    <w:rsid w:val="009D5208"/>
    <w:rsid w:val="009D5436"/>
    <w:rsid w:val="009D5597"/>
    <w:rsid w:val="009D5860"/>
    <w:rsid w:val="009D58E3"/>
    <w:rsid w:val="009D5BE4"/>
    <w:rsid w:val="009D5D4D"/>
    <w:rsid w:val="009D5E49"/>
    <w:rsid w:val="009D608B"/>
    <w:rsid w:val="009D6222"/>
    <w:rsid w:val="009D6BBD"/>
    <w:rsid w:val="009D6C93"/>
    <w:rsid w:val="009D7072"/>
    <w:rsid w:val="009D71A1"/>
    <w:rsid w:val="009D76DF"/>
    <w:rsid w:val="009E01D5"/>
    <w:rsid w:val="009E020F"/>
    <w:rsid w:val="009E03C6"/>
    <w:rsid w:val="009E0964"/>
    <w:rsid w:val="009E09A2"/>
    <w:rsid w:val="009E0B8D"/>
    <w:rsid w:val="009E0C1D"/>
    <w:rsid w:val="009E0C66"/>
    <w:rsid w:val="009E132C"/>
    <w:rsid w:val="009E177D"/>
    <w:rsid w:val="009E1840"/>
    <w:rsid w:val="009E1B28"/>
    <w:rsid w:val="009E23F7"/>
    <w:rsid w:val="009E23FF"/>
    <w:rsid w:val="009E24B5"/>
    <w:rsid w:val="009E25D3"/>
    <w:rsid w:val="009E2A9E"/>
    <w:rsid w:val="009E2D64"/>
    <w:rsid w:val="009E2D7C"/>
    <w:rsid w:val="009E2D98"/>
    <w:rsid w:val="009E2DCD"/>
    <w:rsid w:val="009E354A"/>
    <w:rsid w:val="009E3763"/>
    <w:rsid w:val="009E381C"/>
    <w:rsid w:val="009E3A25"/>
    <w:rsid w:val="009E3AD3"/>
    <w:rsid w:val="009E3C16"/>
    <w:rsid w:val="009E3D5F"/>
    <w:rsid w:val="009E3E7C"/>
    <w:rsid w:val="009E3FDE"/>
    <w:rsid w:val="009E415D"/>
    <w:rsid w:val="009E44A3"/>
    <w:rsid w:val="009E453B"/>
    <w:rsid w:val="009E4AC8"/>
    <w:rsid w:val="009E4C66"/>
    <w:rsid w:val="009E4E65"/>
    <w:rsid w:val="009E4EDE"/>
    <w:rsid w:val="009E50CD"/>
    <w:rsid w:val="009E512D"/>
    <w:rsid w:val="009E53F4"/>
    <w:rsid w:val="009E5601"/>
    <w:rsid w:val="009E58BE"/>
    <w:rsid w:val="009E5C7B"/>
    <w:rsid w:val="009E5F6E"/>
    <w:rsid w:val="009E615D"/>
    <w:rsid w:val="009E6307"/>
    <w:rsid w:val="009E65A1"/>
    <w:rsid w:val="009E6D30"/>
    <w:rsid w:val="009E6E50"/>
    <w:rsid w:val="009E6F9B"/>
    <w:rsid w:val="009E6FD8"/>
    <w:rsid w:val="009E70B0"/>
    <w:rsid w:val="009E710E"/>
    <w:rsid w:val="009E735C"/>
    <w:rsid w:val="009E75B9"/>
    <w:rsid w:val="009E7792"/>
    <w:rsid w:val="009E791D"/>
    <w:rsid w:val="009E79DB"/>
    <w:rsid w:val="009E7D65"/>
    <w:rsid w:val="009F0031"/>
    <w:rsid w:val="009F00BA"/>
    <w:rsid w:val="009F037A"/>
    <w:rsid w:val="009F048D"/>
    <w:rsid w:val="009F04FC"/>
    <w:rsid w:val="009F050E"/>
    <w:rsid w:val="009F061C"/>
    <w:rsid w:val="009F07B0"/>
    <w:rsid w:val="009F0AF5"/>
    <w:rsid w:val="009F0B48"/>
    <w:rsid w:val="009F0C63"/>
    <w:rsid w:val="009F117B"/>
    <w:rsid w:val="009F12F4"/>
    <w:rsid w:val="009F14EC"/>
    <w:rsid w:val="009F1511"/>
    <w:rsid w:val="009F167E"/>
    <w:rsid w:val="009F173E"/>
    <w:rsid w:val="009F17B1"/>
    <w:rsid w:val="009F1996"/>
    <w:rsid w:val="009F1F76"/>
    <w:rsid w:val="009F215D"/>
    <w:rsid w:val="009F24C3"/>
    <w:rsid w:val="009F29AB"/>
    <w:rsid w:val="009F2AA4"/>
    <w:rsid w:val="009F2B59"/>
    <w:rsid w:val="009F2B60"/>
    <w:rsid w:val="009F2C4E"/>
    <w:rsid w:val="009F2CAB"/>
    <w:rsid w:val="009F2FE1"/>
    <w:rsid w:val="009F30A0"/>
    <w:rsid w:val="009F335D"/>
    <w:rsid w:val="009F33A2"/>
    <w:rsid w:val="009F34CC"/>
    <w:rsid w:val="009F37FE"/>
    <w:rsid w:val="009F3850"/>
    <w:rsid w:val="009F3912"/>
    <w:rsid w:val="009F396B"/>
    <w:rsid w:val="009F3983"/>
    <w:rsid w:val="009F43C3"/>
    <w:rsid w:val="009F4665"/>
    <w:rsid w:val="009F46D1"/>
    <w:rsid w:val="009F475C"/>
    <w:rsid w:val="009F48FB"/>
    <w:rsid w:val="009F4907"/>
    <w:rsid w:val="009F4B4F"/>
    <w:rsid w:val="009F4BFC"/>
    <w:rsid w:val="009F4D81"/>
    <w:rsid w:val="009F4F19"/>
    <w:rsid w:val="009F528A"/>
    <w:rsid w:val="009F5411"/>
    <w:rsid w:val="009F5847"/>
    <w:rsid w:val="009F5BA6"/>
    <w:rsid w:val="009F5C71"/>
    <w:rsid w:val="009F5DD8"/>
    <w:rsid w:val="009F5E52"/>
    <w:rsid w:val="009F60F1"/>
    <w:rsid w:val="009F62B2"/>
    <w:rsid w:val="009F63C5"/>
    <w:rsid w:val="009F642C"/>
    <w:rsid w:val="009F64CF"/>
    <w:rsid w:val="009F64EC"/>
    <w:rsid w:val="009F66A9"/>
    <w:rsid w:val="009F6753"/>
    <w:rsid w:val="009F6A89"/>
    <w:rsid w:val="009F6E34"/>
    <w:rsid w:val="009F700B"/>
    <w:rsid w:val="009F75FC"/>
    <w:rsid w:val="009F775B"/>
    <w:rsid w:val="009F791C"/>
    <w:rsid w:val="009F7A79"/>
    <w:rsid w:val="009F7B27"/>
    <w:rsid w:val="009F7BA7"/>
    <w:rsid w:val="009F7FC6"/>
    <w:rsid w:val="00A00177"/>
    <w:rsid w:val="00A001BE"/>
    <w:rsid w:val="00A002C8"/>
    <w:rsid w:val="00A004EA"/>
    <w:rsid w:val="00A00558"/>
    <w:rsid w:val="00A00799"/>
    <w:rsid w:val="00A0079C"/>
    <w:rsid w:val="00A00EB9"/>
    <w:rsid w:val="00A010F3"/>
    <w:rsid w:val="00A011B6"/>
    <w:rsid w:val="00A014D0"/>
    <w:rsid w:val="00A01BA0"/>
    <w:rsid w:val="00A01C13"/>
    <w:rsid w:val="00A01E8E"/>
    <w:rsid w:val="00A01F0D"/>
    <w:rsid w:val="00A020D3"/>
    <w:rsid w:val="00A0280E"/>
    <w:rsid w:val="00A02A2E"/>
    <w:rsid w:val="00A02B43"/>
    <w:rsid w:val="00A0314C"/>
    <w:rsid w:val="00A032C7"/>
    <w:rsid w:val="00A03363"/>
    <w:rsid w:val="00A03490"/>
    <w:rsid w:val="00A0399F"/>
    <w:rsid w:val="00A039F3"/>
    <w:rsid w:val="00A03D9C"/>
    <w:rsid w:val="00A0428A"/>
    <w:rsid w:val="00A043A5"/>
    <w:rsid w:val="00A04402"/>
    <w:rsid w:val="00A0441E"/>
    <w:rsid w:val="00A04836"/>
    <w:rsid w:val="00A04CC1"/>
    <w:rsid w:val="00A04E49"/>
    <w:rsid w:val="00A053BD"/>
    <w:rsid w:val="00A056AC"/>
    <w:rsid w:val="00A058FD"/>
    <w:rsid w:val="00A05B1C"/>
    <w:rsid w:val="00A05C63"/>
    <w:rsid w:val="00A060E3"/>
    <w:rsid w:val="00A06114"/>
    <w:rsid w:val="00A06127"/>
    <w:rsid w:val="00A062C9"/>
    <w:rsid w:val="00A06350"/>
    <w:rsid w:val="00A068E4"/>
    <w:rsid w:val="00A075CF"/>
    <w:rsid w:val="00A076EF"/>
    <w:rsid w:val="00A07B17"/>
    <w:rsid w:val="00A07ED9"/>
    <w:rsid w:val="00A10176"/>
    <w:rsid w:val="00A101EF"/>
    <w:rsid w:val="00A104F4"/>
    <w:rsid w:val="00A106CE"/>
    <w:rsid w:val="00A106D6"/>
    <w:rsid w:val="00A10965"/>
    <w:rsid w:val="00A10A36"/>
    <w:rsid w:val="00A10AD8"/>
    <w:rsid w:val="00A10C5A"/>
    <w:rsid w:val="00A1114E"/>
    <w:rsid w:val="00A11681"/>
    <w:rsid w:val="00A11AEC"/>
    <w:rsid w:val="00A11C02"/>
    <w:rsid w:val="00A11C9A"/>
    <w:rsid w:val="00A11CAB"/>
    <w:rsid w:val="00A11F29"/>
    <w:rsid w:val="00A120D9"/>
    <w:rsid w:val="00A129BA"/>
    <w:rsid w:val="00A12A8F"/>
    <w:rsid w:val="00A12C61"/>
    <w:rsid w:val="00A12CB0"/>
    <w:rsid w:val="00A12ED2"/>
    <w:rsid w:val="00A1322E"/>
    <w:rsid w:val="00A13AD3"/>
    <w:rsid w:val="00A14238"/>
    <w:rsid w:val="00A142A6"/>
    <w:rsid w:val="00A14312"/>
    <w:rsid w:val="00A143B3"/>
    <w:rsid w:val="00A14519"/>
    <w:rsid w:val="00A14782"/>
    <w:rsid w:val="00A1491A"/>
    <w:rsid w:val="00A14D23"/>
    <w:rsid w:val="00A14D81"/>
    <w:rsid w:val="00A14FEB"/>
    <w:rsid w:val="00A15041"/>
    <w:rsid w:val="00A15099"/>
    <w:rsid w:val="00A151C9"/>
    <w:rsid w:val="00A152F2"/>
    <w:rsid w:val="00A155B6"/>
    <w:rsid w:val="00A155C3"/>
    <w:rsid w:val="00A15673"/>
    <w:rsid w:val="00A157E2"/>
    <w:rsid w:val="00A157EC"/>
    <w:rsid w:val="00A15824"/>
    <w:rsid w:val="00A15A6E"/>
    <w:rsid w:val="00A15AFB"/>
    <w:rsid w:val="00A15EBC"/>
    <w:rsid w:val="00A15EDF"/>
    <w:rsid w:val="00A160C0"/>
    <w:rsid w:val="00A163BE"/>
    <w:rsid w:val="00A164A3"/>
    <w:rsid w:val="00A164AE"/>
    <w:rsid w:val="00A164BD"/>
    <w:rsid w:val="00A166B5"/>
    <w:rsid w:val="00A1673D"/>
    <w:rsid w:val="00A16968"/>
    <w:rsid w:val="00A16A9C"/>
    <w:rsid w:val="00A16FA9"/>
    <w:rsid w:val="00A172A2"/>
    <w:rsid w:val="00A173F1"/>
    <w:rsid w:val="00A176EC"/>
    <w:rsid w:val="00A17A6F"/>
    <w:rsid w:val="00A17DFF"/>
    <w:rsid w:val="00A17F46"/>
    <w:rsid w:val="00A20164"/>
    <w:rsid w:val="00A201E4"/>
    <w:rsid w:val="00A20271"/>
    <w:rsid w:val="00A2034F"/>
    <w:rsid w:val="00A204A1"/>
    <w:rsid w:val="00A204E4"/>
    <w:rsid w:val="00A205A4"/>
    <w:rsid w:val="00A207D3"/>
    <w:rsid w:val="00A208BA"/>
    <w:rsid w:val="00A209DF"/>
    <w:rsid w:val="00A20CA7"/>
    <w:rsid w:val="00A20EEE"/>
    <w:rsid w:val="00A20F5E"/>
    <w:rsid w:val="00A20FEA"/>
    <w:rsid w:val="00A21081"/>
    <w:rsid w:val="00A211C7"/>
    <w:rsid w:val="00A21788"/>
    <w:rsid w:val="00A21812"/>
    <w:rsid w:val="00A21A13"/>
    <w:rsid w:val="00A21BC2"/>
    <w:rsid w:val="00A21BCD"/>
    <w:rsid w:val="00A21D25"/>
    <w:rsid w:val="00A21DEF"/>
    <w:rsid w:val="00A21F32"/>
    <w:rsid w:val="00A220E3"/>
    <w:rsid w:val="00A224D7"/>
    <w:rsid w:val="00A227AD"/>
    <w:rsid w:val="00A22AE8"/>
    <w:rsid w:val="00A22CD3"/>
    <w:rsid w:val="00A22D68"/>
    <w:rsid w:val="00A230D1"/>
    <w:rsid w:val="00A23254"/>
    <w:rsid w:val="00A2344C"/>
    <w:rsid w:val="00A23512"/>
    <w:rsid w:val="00A235AC"/>
    <w:rsid w:val="00A2396A"/>
    <w:rsid w:val="00A23ACC"/>
    <w:rsid w:val="00A23B1D"/>
    <w:rsid w:val="00A2406F"/>
    <w:rsid w:val="00A24410"/>
    <w:rsid w:val="00A24608"/>
    <w:rsid w:val="00A248AD"/>
    <w:rsid w:val="00A24F49"/>
    <w:rsid w:val="00A25032"/>
    <w:rsid w:val="00A253EB"/>
    <w:rsid w:val="00A254AF"/>
    <w:rsid w:val="00A25713"/>
    <w:rsid w:val="00A25934"/>
    <w:rsid w:val="00A25A42"/>
    <w:rsid w:val="00A25A5A"/>
    <w:rsid w:val="00A25A70"/>
    <w:rsid w:val="00A25B51"/>
    <w:rsid w:val="00A2614F"/>
    <w:rsid w:val="00A262E7"/>
    <w:rsid w:val="00A26632"/>
    <w:rsid w:val="00A267F9"/>
    <w:rsid w:val="00A26A3C"/>
    <w:rsid w:val="00A26ADC"/>
    <w:rsid w:val="00A26F3A"/>
    <w:rsid w:val="00A2710F"/>
    <w:rsid w:val="00A271A1"/>
    <w:rsid w:val="00A27335"/>
    <w:rsid w:val="00A27CF1"/>
    <w:rsid w:val="00A27DBD"/>
    <w:rsid w:val="00A27F46"/>
    <w:rsid w:val="00A3001D"/>
    <w:rsid w:val="00A302C7"/>
    <w:rsid w:val="00A30495"/>
    <w:rsid w:val="00A3055E"/>
    <w:rsid w:val="00A307F2"/>
    <w:rsid w:val="00A3086E"/>
    <w:rsid w:val="00A30C3C"/>
    <w:rsid w:val="00A31013"/>
    <w:rsid w:val="00A31266"/>
    <w:rsid w:val="00A3175A"/>
    <w:rsid w:val="00A3177C"/>
    <w:rsid w:val="00A317B1"/>
    <w:rsid w:val="00A31B86"/>
    <w:rsid w:val="00A31BCC"/>
    <w:rsid w:val="00A31F49"/>
    <w:rsid w:val="00A31FB7"/>
    <w:rsid w:val="00A322F3"/>
    <w:rsid w:val="00A322F7"/>
    <w:rsid w:val="00A32573"/>
    <w:rsid w:val="00A32637"/>
    <w:rsid w:val="00A328EC"/>
    <w:rsid w:val="00A32971"/>
    <w:rsid w:val="00A32A77"/>
    <w:rsid w:val="00A32BEA"/>
    <w:rsid w:val="00A32D3B"/>
    <w:rsid w:val="00A32EDE"/>
    <w:rsid w:val="00A33132"/>
    <w:rsid w:val="00A33371"/>
    <w:rsid w:val="00A333BC"/>
    <w:rsid w:val="00A33412"/>
    <w:rsid w:val="00A33708"/>
    <w:rsid w:val="00A339E8"/>
    <w:rsid w:val="00A33B3E"/>
    <w:rsid w:val="00A34060"/>
    <w:rsid w:val="00A343C1"/>
    <w:rsid w:val="00A3443F"/>
    <w:rsid w:val="00A34660"/>
    <w:rsid w:val="00A34785"/>
    <w:rsid w:val="00A34848"/>
    <w:rsid w:val="00A34AFE"/>
    <w:rsid w:val="00A34DF2"/>
    <w:rsid w:val="00A34E43"/>
    <w:rsid w:val="00A34EA3"/>
    <w:rsid w:val="00A34F44"/>
    <w:rsid w:val="00A350D4"/>
    <w:rsid w:val="00A351DD"/>
    <w:rsid w:val="00A353A2"/>
    <w:rsid w:val="00A3557F"/>
    <w:rsid w:val="00A355D1"/>
    <w:rsid w:val="00A35814"/>
    <w:rsid w:val="00A3586B"/>
    <w:rsid w:val="00A35B38"/>
    <w:rsid w:val="00A3622F"/>
    <w:rsid w:val="00A365BC"/>
    <w:rsid w:val="00A36920"/>
    <w:rsid w:val="00A36998"/>
    <w:rsid w:val="00A36A69"/>
    <w:rsid w:val="00A36C6C"/>
    <w:rsid w:val="00A36C8F"/>
    <w:rsid w:val="00A36E22"/>
    <w:rsid w:val="00A36F7D"/>
    <w:rsid w:val="00A372B9"/>
    <w:rsid w:val="00A372FB"/>
    <w:rsid w:val="00A373EF"/>
    <w:rsid w:val="00A37576"/>
    <w:rsid w:val="00A378CB"/>
    <w:rsid w:val="00A37AC5"/>
    <w:rsid w:val="00A37C08"/>
    <w:rsid w:val="00A4010E"/>
    <w:rsid w:val="00A40530"/>
    <w:rsid w:val="00A4069E"/>
    <w:rsid w:val="00A40837"/>
    <w:rsid w:val="00A40B06"/>
    <w:rsid w:val="00A40D94"/>
    <w:rsid w:val="00A40DE8"/>
    <w:rsid w:val="00A4161E"/>
    <w:rsid w:val="00A4196B"/>
    <w:rsid w:val="00A41B88"/>
    <w:rsid w:val="00A41EF8"/>
    <w:rsid w:val="00A42308"/>
    <w:rsid w:val="00A424A9"/>
    <w:rsid w:val="00A427AE"/>
    <w:rsid w:val="00A429A6"/>
    <w:rsid w:val="00A42A5D"/>
    <w:rsid w:val="00A42F10"/>
    <w:rsid w:val="00A43301"/>
    <w:rsid w:val="00A433D2"/>
    <w:rsid w:val="00A434FD"/>
    <w:rsid w:val="00A437F8"/>
    <w:rsid w:val="00A43A84"/>
    <w:rsid w:val="00A43BA7"/>
    <w:rsid w:val="00A43BAD"/>
    <w:rsid w:val="00A43CBB"/>
    <w:rsid w:val="00A43E11"/>
    <w:rsid w:val="00A43E4F"/>
    <w:rsid w:val="00A43EFB"/>
    <w:rsid w:val="00A43F25"/>
    <w:rsid w:val="00A442D7"/>
    <w:rsid w:val="00A450E4"/>
    <w:rsid w:val="00A4526D"/>
    <w:rsid w:val="00A452BF"/>
    <w:rsid w:val="00A452F7"/>
    <w:rsid w:val="00A454A1"/>
    <w:rsid w:val="00A4553C"/>
    <w:rsid w:val="00A45567"/>
    <w:rsid w:val="00A45680"/>
    <w:rsid w:val="00A45A93"/>
    <w:rsid w:val="00A45C80"/>
    <w:rsid w:val="00A45E73"/>
    <w:rsid w:val="00A46006"/>
    <w:rsid w:val="00A46345"/>
    <w:rsid w:val="00A46747"/>
    <w:rsid w:val="00A46777"/>
    <w:rsid w:val="00A467DC"/>
    <w:rsid w:val="00A46B91"/>
    <w:rsid w:val="00A46EA9"/>
    <w:rsid w:val="00A47036"/>
    <w:rsid w:val="00A4774F"/>
    <w:rsid w:val="00A47893"/>
    <w:rsid w:val="00A47912"/>
    <w:rsid w:val="00A47B9F"/>
    <w:rsid w:val="00A47CDB"/>
    <w:rsid w:val="00A47DE0"/>
    <w:rsid w:val="00A47E93"/>
    <w:rsid w:val="00A504D3"/>
    <w:rsid w:val="00A504D8"/>
    <w:rsid w:val="00A50523"/>
    <w:rsid w:val="00A505AA"/>
    <w:rsid w:val="00A50D4B"/>
    <w:rsid w:val="00A50FDE"/>
    <w:rsid w:val="00A513A6"/>
    <w:rsid w:val="00A5144E"/>
    <w:rsid w:val="00A5146B"/>
    <w:rsid w:val="00A515B3"/>
    <w:rsid w:val="00A516DA"/>
    <w:rsid w:val="00A5185B"/>
    <w:rsid w:val="00A522C8"/>
    <w:rsid w:val="00A524E0"/>
    <w:rsid w:val="00A52529"/>
    <w:rsid w:val="00A52577"/>
    <w:rsid w:val="00A528B0"/>
    <w:rsid w:val="00A52984"/>
    <w:rsid w:val="00A529F9"/>
    <w:rsid w:val="00A52CF7"/>
    <w:rsid w:val="00A531CB"/>
    <w:rsid w:val="00A53204"/>
    <w:rsid w:val="00A532ED"/>
    <w:rsid w:val="00A53700"/>
    <w:rsid w:val="00A53900"/>
    <w:rsid w:val="00A539B5"/>
    <w:rsid w:val="00A53B45"/>
    <w:rsid w:val="00A53E0B"/>
    <w:rsid w:val="00A53F7C"/>
    <w:rsid w:val="00A541CA"/>
    <w:rsid w:val="00A54291"/>
    <w:rsid w:val="00A542A8"/>
    <w:rsid w:val="00A5439F"/>
    <w:rsid w:val="00A548E9"/>
    <w:rsid w:val="00A54A2C"/>
    <w:rsid w:val="00A54B39"/>
    <w:rsid w:val="00A54D59"/>
    <w:rsid w:val="00A54FB3"/>
    <w:rsid w:val="00A550BC"/>
    <w:rsid w:val="00A5521C"/>
    <w:rsid w:val="00A552E1"/>
    <w:rsid w:val="00A5569F"/>
    <w:rsid w:val="00A55DC7"/>
    <w:rsid w:val="00A55E42"/>
    <w:rsid w:val="00A55F4B"/>
    <w:rsid w:val="00A56402"/>
    <w:rsid w:val="00A56CC9"/>
    <w:rsid w:val="00A56D9B"/>
    <w:rsid w:val="00A57503"/>
    <w:rsid w:val="00A57541"/>
    <w:rsid w:val="00A57988"/>
    <w:rsid w:val="00A57A1C"/>
    <w:rsid w:val="00A57A20"/>
    <w:rsid w:val="00A57AB0"/>
    <w:rsid w:val="00A57CA7"/>
    <w:rsid w:val="00A57D62"/>
    <w:rsid w:val="00A60508"/>
    <w:rsid w:val="00A60B1B"/>
    <w:rsid w:val="00A60D42"/>
    <w:rsid w:val="00A60F3A"/>
    <w:rsid w:val="00A61127"/>
    <w:rsid w:val="00A6147C"/>
    <w:rsid w:val="00A615C3"/>
    <w:rsid w:val="00A6179E"/>
    <w:rsid w:val="00A61D17"/>
    <w:rsid w:val="00A61D55"/>
    <w:rsid w:val="00A61F7F"/>
    <w:rsid w:val="00A61FE0"/>
    <w:rsid w:val="00A62097"/>
    <w:rsid w:val="00A62502"/>
    <w:rsid w:val="00A62843"/>
    <w:rsid w:val="00A62A4D"/>
    <w:rsid w:val="00A62C52"/>
    <w:rsid w:val="00A62EEC"/>
    <w:rsid w:val="00A62EF4"/>
    <w:rsid w:val="00A62F1D"/>
    <w:rsid w:val="00A631A1"/>
    <w:rsid w:val="00A6350A"/>
    <w:rsid w:val="00A63511"/>
    <w:rsid w:val="00A63602"/>
    <w:rsid w:val="00A63680"/>
    <w:rsid w:val="00A637F1"/>
    <w:rsid w:val="00A6382A"/>
    <w:rsid w:val="00A63C6E"/>
    <w:rsid w:val="00A63EBB"/>
    <w:rsid w:val="00A6409D"/>
    <w:rsid w:val="00A640BA"/>
    <w:rsid w:val="00A641C6"/>
    <w:rsid w:val="00A647AF"/>
    <w:rsid w:val="00A64C38"/>
    <w:rsid w:val="00A64C43"/>
    <w:rsid w:val="00A64CE4"/>
    <w:rsid w:val="00A64D16"/>
    <w:rsid w:val="00A64D9A"/>
    <w:rsid w:val="00A64EBA"/>
    <w:rsid w:val="00A6552B"/>
    <w:rsid w:val="00A65607"/>
    <w:rsid w:val="00A656CB"/>
    <w:rsid w:val="00A657B8"/>
    <w:rsid w:val="00A65876"/>
    <w:rsid w:val="00A65B35"/>
    <w:rsid w:val="00A65E5E"/>
    <w:rsid w:val="00A65E94"/>
    <w:rsid w:val="00A65FDE"/>
    <w:rsid w:val="00A6634E"/>
    <w:rsid w:val="00A66663"/>
    <w:rsid w:val="00A6674E"/>
    <w:rsid w:val="00A66B25"/>
    <w:rsid w:val="00A66BF2"/>
    <w:rsid w:val="00A66F3C"/>
    <w:rsid w:val="00A66F3D"/>
    <w:rsid w:val="00A66FDA"/>
    <w:rsid w:val="00A67156"/>
    <w:rsid w:val="00A67668"/>
    <w:rsid w:val="00A677FF"/>
    <w:rsid w:val="00A6781E"/>
    <w:rsid w:val="00A67A44"/>
    <w:rsid w:val="00A67AA7"/>
    <w:rsid w:val="00A67C10"/>
    <w:rsid w:val="00A67C5B"/>
    <w:rsid w:val="00A67DFF"/>
    <w:rsid w:val="00A67F1F"/>
    <w:rsid w:val="00A7075C"/>
    <w:rsid w:val="00A709CA"/>
    <w:rsid w:val="00A70B1D"/>
    <w:rsid w:val="00A70E11"/>
    <w:rsid w:val="00A71096"/>
    <w:rsid w:val="00A71A7F"/>
    <w:rsid w:val="00A71CD6"/>
    <w:rsid w:val="00A71DB1"/>
    <w:rsid w:val="00A71DE7"/>
    <w:rsid w:val="00A71E4F"/>
    <w:rsid w:val="00A71FEC"/>
    <w:rsid w:val="00A726E5"/>
    <w:rsid w:val="00A727AF"/>
    <w:rsid w:val="00A72932"/>
    <w:rsid w:val="00A729ED"/>
    <w:rsid w:val="00A72E0F"/>
    <w:rsid w:val="00A72E38"/>
    <w:rsid w:val="00A72F0B"/>
    <w:rsid w:val="00A732C8"/>
    <w:rsid w:val="00A73580"/>
    <w:rsid w:val="00A736FE"/>
    <w:rsid w:val="00A73A79"/>
    <w:rsid w:val="00A73BCC"/>
    <w:rsid w:val="00A73C05"/>
    <w:rsid w:val="00A73DC7"/>
    <w:rsid w:val="00A73F08"/>
    <w:rsid w:val="00A74041"/>
    <w:rsid w:val="00A7428A"/>
    <w:rsid w:val="00A74505"/>
    <w:rsid w:val="00A745AD"/>
    <w:rsid w:val="00A749D0"/>
    <w:rsid w:val="00A74A1A"/>
    <w:rsid w:val="00A74B44"/>
    <w:rsid w:val="00A74C2A"/>
    <w:rsid w:val="00A74C51"/>
    <w:rsid w:val="00A74EDB"/>
    <w:rsid w:val="00A74EFF"/>
    <w:rsid w:val="00A74FAD"/>
    <w:rsid w:val="00A751A0"/>
    <w:rsid w:val="00A752FB"/>
    <w:rsid w:val="00A7555F"/>
    <w:rsid w:val="00A7565A"/>
    <w:rsid w:val="00A75814"/>
    <w:rsid w:val="00A758D7"/>
    <w:rsid w:val="00A75B7F"/>
    <w:rsid w:val="00A761E1"/>
    <w:rsid w:val="00A76A60"/>
    <w:rsid w:val="00A76E04"/>
    <w:rsid w:val="00A76ED8"/>
    <w:rsid w:val="00A7710F"/>
    <w:rsid w:val="00A77409"/>
    <w:rsid w:val="00A7746F"/>
    <w:rsid w:val="00A7760E"/>
    <w:rsid w:val="00A77C56"/>
    <w:rsid w:val="00A77D94"/>
    <w:rsid w:val="00A8008C"/>
    <w:rsid w:val="00A802EB"/>
    <w:rsid w:val="00A804A0"/>
    <w:rsid w:val="00A8097B"/>
    <w:rsid w:val="00A80B2E"/>
    <w:rsid w:val="00A81439"/>
    <w:rsid w:val="00A814A8"/>
    <w:rsid w:val="00A815A2"/>
    <w:rsid w:val="00A81624"/>
    <w:rsid w:val="00A81645"/>
    <w:rsid w:val="00A81CC0"/>
    <w:rsid w:val="00A8210D"/>
    <w:rsid w:val="00A82352"/>
    <w:rsid w:val="00A823B5"/>
    <w:rsid w:val="00A82452"/>
    <w:rsid w:val="00A82579"/>
    <w:rsid w:val="00A82974"/>
    <w:rsid w:val="00A829C0"/>
    <w:rsid w:val="00A82ABB"/>
    <w:rsid w:val="00A82DBE"/>
    <w:rsid w:val="00A82F0E"/>
    <w:rsid w:val="00A83114"/>
    <w:rsid w:val="00A8322A"/>
    <w:rsid w:val="00A832D1"/>
    <w:rsid w:val="00A83756"/>
    <w:rsid w:val="00A83A33"/>
    <w:rsid w:val="00A83EDF"/>
    <w:rsid w:val="00A843AE"/>
    <w:rsid w:val="00A843E1"/>
    <w:rsid w:val="00A84696"/>
    <w:rsid w:val="00A84876"/>
    <w:rsid w:val="00A84922"/>
    <w:rsid w:val="00A84E04"/>
    <w:rsid w:val="00A84E0C"/>
    <w:rsid w:val="00A84F72"/>
    <w:rsid w:val="00A84FC8"/>
    <w:rsid w:val="00A85043"/>
    <w:rsid w:val="00A850F0"/>
    <w:rsid w:val="00A8551D"/>
    <w:rsid w:val="00A855C4"/>
    <w:rsid w:val="00A85660"/>
    <w:rsid w:val="00A85802"/>
    <w:rsid w:val="00A85B98"/>
    <w:rsid w:val="00A85D54"/>
    <w:rsid w:val="00A860B4"/>
    <w:rsid w:val="00A8640F"/>
    <w:rsid w:val="00A8687E"/>
    <w:rsid w:val="00A86993"/>
    <w:rsid w:val="00A86ABD"/>
    <w:rsid w:val="00A86ADB"/>
    <w:rsid w:val="00A86BE3"/>
    <w:rsid w:val="00A86FD1"/>
    <w:rsid w:val="00A8731D"/>
    <w:rsid w:val="00A8797A"/>
    <w:rsid w:val="00A900AA"/>
    <w:rsid w:val="00A9016D"/>
    <w:rsid w:val="00A9043C"/>
    <w:rsid w:val="00A9048D"/>
    <w:rsid w:val="00A907F6"/>
    <w:rsid w:val="00A9090A"/>
    <w:rsid w:val="00A90C5D"/>
    <w:rsid w:val="00A9117F"/>
    <w:rsid w:val="00A911E6"/>
    <w:rsid w:val="00A913CA"/>
    <w:rsid w:val="00A91728"/>
    <w:rsid w:val="00A91779"/>
    <w:rsid w:val="00A91A47"/>
    <w:rsid w:val="00A91B0E"/>
    <w:rsid w:val="00A91F3F"/>
    <w:rsid w:val="00A9255F"/>
    <w:rsid w:val="00A925A2"/>
    <w:rsid w:val="00A9277F"/>
    <w:rsid w:val="00A928ED"/>
    <w:rsid w:val="00A92B8E"/>
    <w:rsid w:val="00A92BE2"/>
    <w:rsid w:val="00A92C30"/>
    <w:rsid w:val="00A93057"/>
    <w:rsid w:val="00A9336A"/>
    <w:rsid w:val="00A9345D"/>
    <w:rsid w:val="00A93549"/>
    <w:rsid w:val="00A9354B"/>
    <w:rsid w:val="00A93744"/>
    <w:rsid w:val="00A9393F"/>
    <w:rsid w:val="00A93C5A"/>
    <w:rsid w:val="00A93CFA"/>
    <w:rsid w:val="00A94005"/>
    <w:rsid w:val="00A94288"/>
    <w:rsid w:val="00A944B3"/>
    <w:rsid w:val="00A94584"/>
    <w:rsid w:val="00A9476F"/>
    <w:rsid w:val="00A94AE3"/>
    <w:rsid w:val="00A94FA5"/>
    <w:rsid w:val="00A94FD8"/>
    <w:rsid w:val="00A9516B"/>
    <w:rsid w:val="00A953AB"/>
    <w:rsid w:val="00A956A8"/>
    <w:rsid w:val="00A95D0C"/>
    <w:rsid w:val="00A96570"/>
    <w:rsid w:val="00A96756"/>
    <w:rsid w:val="00A9691B"/>
    <w:rsid w:val="00A9694E"/>
    <w:rsid w:val="00A96DF5"/>
    <w:rsid w:val="00A97043"/>
    <w:rsid w:val="00A972AB"/>
    <w:rsid w:val="00A973B2"/>
    <w:rsid w:val="00A975EE"/>
    <w:rsid w:val="00A97C2E"/>
    <w:rsid w:val="00A97CA2"/>
    <w:rsid w:val="00A97D7F"/>
    <w:rsid w:val="00AA00C1"/>
    <w:rsid w:val="00AA0121"/>
    <w:rsid w:val="00AA012F"/>
    <w:rsid w:val="00AA04A2"/>
    <w:rsid w:val="00AA0635"/>
    <w:rsid w:val="00AA064B"/>
    <w:rsid w:val="00AA0698"/>
    <w:rsid w:val="00AA09EF"/>
    <w:rsid w:val="00AA0A6F"/>
    <w:rsid w:val="00AA0B50"/>
    <w:rsid w:val="00AA0D15"/>
    <w:rsid w:val="00AA10D8"/>
    <w:rsid w:val="00AA1221"/>
    <w:rsid w:val="00AA140B"/>
    <w:rsid w:val="00AA1564"/>
    <w:rsid w:val="00AA17A3"/>
    <w:rsid w:val="00AA183C"/>
    <w:rsid w:val="00AA19B8"/>
    <w:rsid w:val="00AA19FA"/>
    <w:rsid w:val="00AA1A15"/>
    <w:rsid w:val="00AA1A7C"/>
    <w:rsid w:val="00AA1AB2"/>
    <w:rsid w:val="00AA1B15"/>
    <w:rsid w:val="00AA1B29"/>
    <w:rsid w:val="00AA1D9B"/>
    <w:rsid w:val="00AA2825"/>
    <w:rsid w:val="00AA2A89"/>
    <w:rsid w:val="00AA2D42"/>
    <w:rsid w:val="00AA2D87"/>
    <w:rsid w:val="00AA2E11"/>
    <w:rsid w:val="00AA327B"/>
    <w:rsid w:val="00AA3342"/>
    <w:rsid w:val="00AA3B61"/>
    <w:rsid w:val="00AA3BD6"/>
    <w:rsid w:val="00AA3DF6"/>
    <w:rsid w:val="00AA3EFD"/>
    <w:rsid w:val="00AA3F9B"/>
    <w:rsid w:val="00AA40E7"/>
    <w:rsid w:val="00AA41B9"/>
    <w:rsid w:val="00AA44D1"/>
    <w:rsid w:val="00AA46C6"/>
    <w:rsid w:val="00AA475F"/>
    <w:rsid w:val="00AA491C"/>
    <w:rsid w:val="00AA4AF1"/>
    <w:rsid w:val="00AA4C3F"/>
    <w:rsid w:val="00AA4CAE"/>
    <w:rsid w:val="00AA5125"/>
    <w:rsid w:val="00AA51C6"/>
    <w:rsid w:val="00AA520A"/>
    <w:rsid w:val="00AA52B6"/>
    <w:rsid w:val="00AA5387"/>
    <w:rsid w:val="00AA5461"/>
    <w:rsid w:val="00AA56C3"/>
    <w:rsid w:val="00AA57EE"/>
    <w:rsid w:val="00AA65B3"/>
    <w:rsid w:val="00AA677F"/>
    <w:rsid w:val="00AA685B"/>
    <w:rsid w:val="00AA6EE5"/>
    <w:rsid w:val="00AA6F6A"/>
    <w:rsid w:val="00AA706C"/>
    <w:rsid w:val="00AA7517"/>
    <w:rsid w:val="00AA7538"/>
    <w:rsid w:val="00AA76A9"/>
    <w:rsid w:val="00AA7890"/>
    <w:rsid w:val="00AA7C4F"/>
    <w:rsid w:val="00AA7E6E"/>
    <w:rsid w:val="00AB0162"/>
    <w:rsid w:val="00AB0287"/>
    <w:rsid w:val="00AB0473"/>
    <w:rsid w:val="00AB0616"/>
    <w:rsid w:val="00AB0693"/>
    <w:rsid w:val="00AB070A"/>
    <w:rsid w:val="00AB07BA"/>
    <w:rsid w:val="00AB0C18"/>
    <w:rsid w:val="00AB0CF8"/>
    <w:rsid w:val="00AB0E14"/>
    <w:rsid w:val="00AB0E1C"/>
    <w:rsid w:val="00AB0E6E"/>
    <w:rsid w:val="00AB16B5"/>
    <w:rsid w:val="00AB1739"/>
    <w:rsid w:val="00AB1AFF"/>
    <w:rsid w:val="00AB1BEC"/>
    <w:rsid w:val="00AB2027"/>
    <w:rsid w:val="00AB22FB"/>
    <w:rsid w:val="00AB23F5"/>
    <w:rsid w:val="00AB2B0C"/>
    <w:rsid w:val="00AB3256"/>
    <w:rsid w:val="00AB3364"/>
    <w:rsid w:val="00AB33F2"/>
    <w:rsid w:val="00AB353D"/>
    <w:rsid w:val="00AB357D"/>
    <w:rsid w:val="00AB370D"/>
    <w:rsid w:val="00AB3C54"/>
    <w:rsid w:val="00AB3C8D"/>
    <w:rsid w:val="00AB4005"/>
    <w:rsid w:val="00AB41D7"/>
    <w:rsid w:val="00AB420E"/>
    <w:rsid w:val="00AB4256"/>
    <w:rsid w:val="00AB440F"/>
    <w:rsid w:val="00AB4694"/>
    <w:rsid w:val="00AB4826"/>
    <w:rsid w:val="00AB484E"/>
    <w:rsid w:val="00AB4B0E"/>
    <w:rsid w:val="00AB4E3A"/>
    <w:rsid w:val="00AB4E3B"/>
    <w:rsid w:val="00AB4F3D"/>
    <w:rsid w:val="00AB502D"/>
    <w:rsid w:val="00AB531D"/>
    <w:rsid w:val="00AB56B8"/>
    <w:rsid w:val="00AB56BD"/>
    <w:rsid w:val="00AB5B40"/>
    <w:rsid w:val="00AB622A"/>
    <w:rsid w:val="00AB65FC"/>
    <w:rsid w:val="00AB66FA"/>
    <w:rsid w:val="00AB68B0"/>
    <w:rsid w:val="00AB6B21"/>
    <w:rsid w:val="00AB6CF4"/>
    <w:rsid w:val="00AB6F21"/>
    <w:rsid w:val="00AB7048"/>
    <w:rsid w:val="00AB744B"/>
    <w:rsid w:val="00AB74BD"/>
    <w:rsid w:val="00AB7502"/>
    <w:rsid w:val="00AB76F7"/>
    <w:rsid w:val="00AB773A"/>
    <w:rsid w:val="00AB795B"/>
    <w:rsid w:val="00AB7A06"/>
    <w:rsid w:val="00AB7A34"/>
    <w:rsid w:val="00AB7DAE"/>
    <w:rsid w:val="00AB7E24"/>
    <w:rsid w:val="00AC0787"/>
    <w:rsid w:val="00AC0C9C"/>
    <w:rsid w:val="00AC0DE5"/>
    <w:rsid w:val="00AC0E70"/>
    <w:rsid w:val="00AC0F5C"/>
    <w:rsid w:val="00AC1017"/>
    <w:rsid w:val="00AC1067"/>
    <w:rsid w:val="00AC108A"/>
    <w:rsid w:val="00AC1120"/>
    <w:rsid w:val="00AC1152"/>
    <w:rsid w:val="00AC1302"/>
    <w:rsid w:val="00AC15BD"/>
    <w:rsid w:val="00AC15D5"/>
    <w:rsid w:val="00AC1602"/>
    <w:rsid w:val="00AC171C"/>
    <w:rsid w:val="00AC1E30"/>
    <w:rsid w:val="00AC2106"/>
    <w:rsid w:val="00AC23EE"/>
    <w:rsid w:val="00AC29B4"/>
    <w:rsid w:val="00AC2C2E"/>
    <w:rsid w:val="00AC2E12"/>
    <w:rsid w:val="00AC2EA6"/>
    <w:rsid w:val="00AC3258"/>
    <w:rsid w:val="00AC3623"/>
    <w:rsid w:val="00AC3665"/>
    <w:rsid w:val="00AC38F0"/>
    <w:rsid w:val="00AC3A53"/>
    <w:rsid w:val="00AC3FD3"/>
    <w:rsid w:val="00AC4111"/>
    <w:rsid w:val="00AC427C"/>
    <w:rsid w:val="00AC437F"/>
    <w:rsid w:val="00AC43D6"/>
    <w:rsid w:val="00AC476E"/>
    <w:rsid w:val="00AC497D"/>
    <w:rsid w:val="00AC4D77"/>
    <w:rsid w:val="00AC4DE9"/>
    <w:rsid w:val="00AC4E77"/>
    <w:rsid w:val="00AC5293"/>
    <w:rsid w:val="00AC54FC"/>
    <w:rsid w:val="00AC560C"/>
    <w:rsid w:val="00AC599B"/>
    <w:rsid w:val="00AC618B"/>
    <w:rsid w:val="00AC61D7"/>
    <w:rsid w:val="00AC637F"/>
    <w:rsid w:val="00AC651D"/>
    <w:rsid w:val="00AC67A7"/>
    <w:rsid w:val="00AC6BCC"/>
    <w:rsid w:val="00AC6E64"/>
    <w:rsid w:val="00AC7147"/>
    <w:rsid w:val="00AC727F"/>
    <w:rsid w:val="00AC730A"/>
    <w:rsid w:val="00AC750D"/>
    <w:rsid w:val="00AC7520"/>
    <w:rsid w:val="00AC75C3"/>
    <w:rsid w:val="00AC75DC"/>
    <w:rsid w:val="00AC7749"/>
    <w:rsid w:val="00AC77BD"/>
    <w:rsid w:val="00AC7AE0"/>
    <w:rsid w:val="00AC7B98"/>
    <w:rsid w:val="00AC7BF9"/>
    <w:rsid w:val="00AC7E61"/>
    <w:rsid w:val="00AD004E"/>
    <w:rsid w:val="00AD0092"/>
    <w:rsid w:val="00AD011A"/>
    <w:rsid w:val="00AD0375"/>
    <w:rsid w:val="00AD0492"/>
    <w:rsid w:val="00AD0536"/>
    <w:rsid w:val="00AD081F"/>
    <w:rsid w:val="00AD0893"/>
    <w:rsid w:val="00AD096A"/>
    <w:rsid w:val="00AD0BB0"/>
    <w:rsid w:val="00AD0BB8"/>
    <w:rsid w:val="00AD0CD4"/>
    <w:rsid w:val="00AD0EF0"/>
    <w:rsid w:val="00AD11B3"/>
    <w:rsid w:val="00AD1450"/>
    <w:rsid w:val="00AD146B"/>
    <w:rsid w:val="00AD14F7"/>
    <w:rsid w:val="00AD154F"/>
    <w:rsid w:val="00AD1655"/>
    <w:rsid w:val="00AD1714"/>
    <w:rsid w:val="00AD1C6C"/>
    <w:rsid w:val="00AD1C94"/>
    <w:rsid w:val="00AD1F41"/>
    <w:rsid w:val="00AD20BC"/>
    <w:rsid w:val="00AD2193"/>
    <w:rsid w:val="00AD21EB"/>
    <w:rsid w:val="00AD2526"/>
    <w:rsid w:val="00AD25D2"/>
    <w:rsid w:val="00AD2683"/>
    <w:rsid w:val="00AD276F"/>
    <w:rsid w:val="00AD281F"/>
    <w:rsid w:val="00AD2821"/>
    <w:rsid w:val="00AD2E83"/>
    <w:rsid w:val="00AD2FE4"/>
    <w:rsid w:val="00AD38EB"/>
    <w:rsid w:val="00AD405B"/>
    <w:rsid w:val="00AD4066"/>
    <w:rsid w:val="00AD41D4"/>
    <w:rsid w:val="00AD441C"/>
    <w:rsid w:val="00AD474D"/>
    <w:rsid w:val="00AD49CB"/>
    <w:rsid w:val="00AD4C59"/>
    <w:rsid w:val="00AD4C7C"/>
    <w:rsid w:val="00AD4DE6"/>
    <w:rsid w:val="00AD4F5B"/>
    <w:rsid w:val="00AD501E"/>
    <w:rsid w:val="00AD50AF"/>
    <w:rsid w:val="00AD50CA"/>
    <w:rsid w:val="00AD5111"/>
    <w:rsid w:val="00AD51EF"/>
    <w:rsid w:val="00AD53EE"/>
    <w:rsid w:val="00AD563F"/>
    <w:rsid w:val="00AD5696"/>
    <w:rsid w:val="00AD587F"/>
    <w:rsid w:val="00AD5918"/>
    <w:rsid w:val="00AD5A8A"/>
    <w:rsid w:val="00AD5CD6"/>
    <w:rsid w:val="00AD5EE3"/>
    <w:rsid w:val="00AD5EFA"/>
    <w:rsid w:val="00AD5FD8"/>
    <w:rsid w:val="00AD611E"/>
    <w:rsid w:val="00AD616F"/>
    <w:rsid w:val="00AD621C"/>
    <w:rsid w:val="00AD63C6"/>
    <w:rsid w:val="00AD64C0"/>
    <w:rsid w:val="00AD65A6"/>
    <w:rsid w:val="00AD6854"/>
    <w:rsid w:val="00AD6B46"/>
    <w:rsid w:val="00AD6D11"/>
    <w:rsid w:val="00AD7087"/>
    <w:rsid w:val="00AD7135"/>
    <w:rsid w:val="00AD73DB"/>
    <w:rsid w:val="00AD75A2"/>
    <w:rsid w:val="00AD7651"/>
    <w:rsid w:val="00AD765F"/>
    <w:rsid w:val="00AD7779"/>
    <w:rsid w:val="00AD7874"/>
    <w:rsid w:val="00AD7C14"/>
    <w:rsid w:val="00AD7C37"/>
    <w:rsid w:val="00AE04C4"/>
    <w:rsid w:val="00AE088B"/>
    <w:rsid w:val="00AE0F69"/>
    <w:rsid w:val="00AE106E"/>
    <w:rsid w:val="00AE10C7"/>
    <w:rsid w:val="00AE12F6"/>
    <w:rsid w:val="00AE145A"/>
    <w:rsid w:val="00AE1685"/>
    <w:rsid w:val="00AE180B"/>
    <w:rsid w:val="00AE19F0"/>
    <w:rsid w:val="00AE1AD9"/>
    <w:rsid w:val="00AE1BEF"/>
    <w:rsid w:val="00AE1E47"/>
    <w:rsid w:val="00AE2018"/>
    <w:rsid w:val="00AE22C4"/>
    <w:rsid w:val="00AE23AF"/>
    <w:rsid w:val="00AE26D0"/>
    <w:rsid w:val="00AE280E"/>
    <w:rsid w:val="00AE296D"/>
    <w:rsid w:val="00AE2C17"/>
    <w:rsid w:val="00AE2C78"/>
    <w:rsid w:val="00AE2E6E"/>
    <w:rsid w:val="00AE2EF0"/>
    <w:rsid w:val="00AE2EFE"/>
    <w:rsid w:val="00AE3069"/>
    <w:rsid w:val="00AE30A6"/>
    <w:rsid w:val="00AE31DE"/>
    <w:rsid w:val="00AE3527"/>
    <w:rsid w:val="00AE388D"/>
    <w:rsid w:val="00AE3984"/>
    <w:rsid w:val="00AE3B03"/>
    <w:rsid w:val="00AE3D6A"/>
    <w:rsid w:val="00AE4096"/>
    <w:rsid w:val="00AE47A9"/>
    <w:rsid w:val="00AE4A34"/>
    <w:rsid w:val="00AE4C0A"/>
    <w:rsid w:val="00AE4CD9"/>
    <w:rsid w:val="00AE4D3B"/>
    <w:rsid w:val="00AE4F60"/>
    <w:rsid w:val="00AE52C8"/>
    <w:rsid w:val="00AE547E"/>
    <w:rsid w:val="00AE592B"/>
    <w:rsid w:val="00AE5938"/>
    <w:rsid w:val="00AE5A20"/>
    <w:rsid w:val="00AE5BDA"/>
    <w:rsid w:val="00AE5BDE"/>
    <w:rsid w:val="00AE5C05"/>
    <w:rsid w:val="00AE5F4D"/>
    <w:rsid w:val="00AE6453"/>
    <w:rsid w:val="00AE64A2"/>
    <w:rsid w:val="00AE64D3"/>
    <w:rsid w:val="00AE6906"/>
    <w:rsid w:val="00AE6AAC"/>
    <w:rsid w:val="00AE6C2E"/>
    <w:rsid w:val="00AE6D31"/>
    <w:rsid w:val="00AE6D49"/>
    <w:rsid w:val="00AE73E9"/>
    <w:rsid w:val="00AE75F8"/>
    <w:rsid w:val="00AE7706"/>
    <w:rsid w:val="00AE7759"/>
    <w:rsid w:val="00AE7B1D"/>
    <w:rsid w:val="00AE7B3C"/>
    <w:rsid w:val="00AE7C68"/>
    <w:rsid w:val="00AE7F9F"/>
    <w:rsid w:val="00AF0162"/>
    <w:rsid w:val="00AF0380"/>
    <w:rsid w:val="00AF0561"/>
    <w:rsid w:val="00AF05CE"/>
    <w:rsid w:val="00AF06DA"/>
    <w:rsid w:val="00AF0768"/>
    <w:rsid w:val="00AF0960"/>
    <w:rsid w:val="00AF09F9"/>
    <w:rsid w:val="00AF0AA6"/>
    <w:rsid w:val="00AF0C15"/>
    <w:rsid w:val="00AF0C2C"/>
    <w:rsid w:val="00AF0FCE"/>
    <w:rsid w:val="00AF14F9"/>
    <w:rsid w:val="00AF1521"/>
    <w:rsid w:val="00AF1579"/>
    <w:rsid w:val="00AF178C"/>
    <w:rsid w:val="00AF1852"/>
    <w:rsid w:val="00AF190E"/>
    <w:rsid w:val="00AF1BE4"/>
    <w:rsid w:val="00AF1CAE"/>
    <w:rsid w:val="00AF1CE2"/>
    <w:rsid w:val="00AF1EAD"/>
    <w:rsid w:val="00AF23C2"/>
    <w:rsid w:val="00AF23C4"/>
    <w:rsid w:val="00AF25DE"/>
    <w:rsid w:val="00AF266B"/>
    <w:rsid w:val="00AF28BB"/>
    <w:rsid w:val="00AF294B"/>
    <w:rsid w:val="00AF2AD3"/>
    <w:rsid w:val="00AF2C23"/>
    <w:rsid w:val="00AF2D86"/>
    <w:rsid w:val="00AF33E5"/>
    <w:rsid w:val="00AF375D"/>
    <w:rsid w:val="00AF3905"/>
    <w:rsid w:val="00AF3E59"/>
    <w:rsid w:val="00AF4313"/>
    <w:rsid w:val="00AF45EA"/>
    <w:rsid w:val="00AF4765"/>
    <w:rsid w:val="00AF4932"/>
    <w:rsid w:val="00AF4CA9"/>
    <w:rsid w:val="00AF512A"/>
    <w:rsid w:val="00AF5170"/>
    <w:rsid w:val="00AF530E"/>
    <w:rsid w:val="00AF5427"/>
    <w:rsid w:val="00AF57B5"/>
    <w:rsid w:val="00AF57BF"/>
    <w:rsid w:val="00AF5AFD"/>
    <w:rsid w:val="00AF5B5A"/>
    <w:rsid w:val="00AF5CAA"/>
    <w:rsid w:val="00AF5DB0"/>
    <w:rsid w:val="00AF5FF9"/>
    <w:rsid w:val="00AF6058"/>
    <w:rsid w:val="00AF61C4"/>
    <w:rsid w:val="00AF628C"/>
    <w:rsid w:val="00AF6711"/>
    <w:rsid w:val="00AF6950"/>
    <w:rsid w:val="00AF6A48"/>
    <w:rsid w:val="00AF6B2F"/>
    <w:rsid w:val="00AF6B73"/>
    <w:rsid w:val="00AF6B7B"/>
    <w:rsid w:val="00AF6BDA"/>
    <w:rsid w:val="00AF6D54"/>
    <w:rsid w:val="00AF6E4D"/>
    <w:rsid w:val="00AF6FCB"/>
    <w:rsid w:val="00AF70B5"/>
    <w:rsid w:val="00AF770A"/>
    <w:rsid w:val="00AF7B49"/>
    <w:rsid w:val="00B00404"/>
    <w:rsid w:val="00B00689"/>
    <w:rsid w:val="00B008AC"/>
    <w:rsid w:val="00B00B54"/>
    <w:rsid w:val="00B00B95"/>
    <w:rsid w:val="00B010CA"/>
    <w:rsid w:val="00B011C7"/>
    <w:rsid w:val="00B014DE"/>
    <w:rsid w:val="00B01581"/>
    <w:rsid w:val="00B018C4"/>
    <w:rsid w:val="00B01B7D"/>
    <w:rsid w:val="00B01C7F"/>
    <w:rsid w:val="00B01CDD"/>
    <w:rsid w:val="00B01FAA"/>
    <w:rsid w:val="00B026FC"/>
    <w:rsid w:val="00B027F7"/>
    <w:rsid w:val="00B02886"/>
    <w:rsid w:val="00B02C53"/>
    <w:rsid w:val="00B02CB6"/>
    <w:rsid w:val="00B02D56"/>
    <w:rsid w:val="00B02E3B"/>
    <w:rsid w:val="00B02F8F"/>
    <w:rsid w:val="00B02FE0"/>
    <w:rsid w:val="00B0301C"/>
    <w:rsid w:val="00B0313C"/>
    <w:rsid w:val="00B03542"/>
    <w:rsid w:val="00B03565"/>
    <w:rsid w:val="00B0360C"/>
    <w:rsid w:val="00B037A9"/>
    <w:rsid w:val="00B038C6"/>
    <w:rsid w:val="00B03B13"/>
    <w:rsid w:val="00B03BA4"/>
    <w:rsid w:val="00B03D47"/>
    <w:rsid w:val="00B0433E"/>
    <w:rsid w:val="00B04636"/>
    <w:rsid w:val="00B0482E"/>
    <w:rsid w:val="00B0495F"/>
    <w:rsid w:val="00B04CE8"/>
    <w:rsid w:val="00B0514A"/>
    <w:rsid w:val="00B0518A"/>
    <w:rsid w:val="00B05435"/>
    <w:rsid w:val="00B05705"/>
    <w:rsid w:val="00B05805"/>
    <w:rsid w:val="00B05889"/>
    <w:rsid w:val="00B05C09"/>
    <w:rsid w:val="00B05C68"/>
    <w:rsid w:val="00B05D06"/>
    <w:rsid w:val="00B05DD0"/>
    <w:rsid w:val="00B063B7"/>
    <w:rsid w:val="00B063CD"/>
    <w:rsid w:val="00B06551"/>
    <w:rsid w:val="00B067A3"/>
    <w:rsid w:val="00B069CD"/>
    <w:rsid w:val="00B06FCE"/>
    <w:rsid w:val="00B070EA"/>
    <w:rsid w:val="00B0774D"/>
    <w:rsid w:val="00B07999"/>
    <w:rsid w:val="00B07B8E"/>
    <w:rsid w:val="00B07EB1"/>
    <w:rsid w:val="00B07FE5"/>
    <w:rsid w:val="00B1033B"/>
    <w:rsid w:val="00B103C3"/>
    <w:rsid w:val="00B10440"/>
    <w:rsid w:val="00B10515"/>
    <w:rsid w:val="00B1064F"/>
    <w:rsid w:val="00B107D2"/>
    <w:rsid w:val="00B107D5"/>
    <w:rsid w:val="00B10DF7"/>
    <w:rsid w:val="00B117E7"/>
    <w:rsid w:val="00B11991"/>
    <w:rsid w:val="00B11A16"/>
    <w:rsid w:val="00B11B89"/>
    <w:rsid w:val="00B11D36"/>
    <w:rsid w:val="00B1206E"/>
    <w:rsid w:val="00B12184"/>
    <w:rsid w:val="00B12454"/>
    <w:rsid w:val="00B125A6"/>
    <w:rsid w:val="00B12B51"/>
    <w:rsid w:val="00B12BDB"/>
    <w:rsid w:val="00B13465"/>
    <w:rsid w:val="00B138B6"/>
    <w:rsid w:val="00B1398A"/>
    <w:rsid w:val="00B13B0E"/>
    <w:rsid w:val="00B13BA6"/>
    <w:rsid w:val="00B13BD7"/>
    <w:rsid w:val="00B13BE8"/>
    <w:rsid w:val="00B13CF5"/>
    <w:rsid w:val="00B13F0F"/>
    <w:rsid w:val="00B14124"/>
    <w:rsid w:val="00B1418C"/>
    <w:rsid w:val="00B14411"/>
    <w:rsid w:val="00B144FE"/>
    <w:rsid w:val="00B14523"/>
    <w:rsid w:val="00B14912"/>
    <w:rsid w:val="00B149A8"/>
    <w:rsid w:val="00B14C72"/>
    <w:rsid w:val="00B14FEA"/>
    <w:rsid w:val="00B15352"/>
    <w:rsid w:val="00B15366"/>
    <w:rsid w:val="00B153AA"/>
    <w:rsid w:val="00B154EE"/>
    <w:rsid w:val="00B15571"/>
    <w:rsid w:val="00B15797"/>
    <w:rsid w:val="00B15B90"/>
    <w:rsid w:val="00B162CB"/>
    <w:rsid w:val="00B16354"/>
    <w:rsid w:val="00B1675C"/>
    <w:rsid w:val="00B16BF0"/>
    <w:rsid w:val="00B16E39"/>
    <w:rsid w:val="00B16ED9"/>
    <w:rsid w:val="00B172DE"/>
    <w:rsid w:val="00B1734A"/>
    <w:rsid w:val="00B1737A"/>
    <w:rsid w:val="00B17407"/>
    <w:rsid w:val="00B1793B"/>
    <w:rsid w:val="00B20166"/>
    <w:rsid w:val="00B204F9"/>
    <w:rsid w:val="00B2079A"/>
    <w:rsid w:val="00B20849"/>
    <w:rsid w:val="00B2084E"/>
    <w:rsid w:val="00B209C9"/>
    <w:rsid w:val="00B21040"/>
    <w:rsid w:val="00B211B3"/>
    <w:rsid w:val="00B215CD"/>
    <w:rsid w:val="00B21B91"/>
    <w:rsid w:val="00B21B9F"/>
    <w:rsid w:val="00B21C43"/>
    <w:rsid w:val="00B21DED"/>
    <w:rsid w:val="00B21F73"/>
    <w:rsid w:val="00B21F9F"/>
    <w:rsid w:val="00B21FB8"/>
    <w:rsid w:val="00B22079"/>
    <w:rsid w:val="00B221B9"/>
    <w:rsid w:val="00B2236A"/>
    <w:rsid w:val="00B224A8"/>
    <w:rsid w:val="00B226D8"/>
    <w:rsid w:val="00B22746"/>
    <w:rsid w:val="00B2274B"/>
    <w:rsid w:val="00B22860"/>
    <w:rsid w:val="00B22962"/>
    <w:rsid w:val="00B229D0"/>
    <w:rsid w:val="00B22AAE"/>
    <w:rsid w:val="00B22AFB"/>
    <w:rsid w:val="00B22BE4"/>
    <w:rsid w:val="00B22BF1"/>
    <w:rsid w:val="00B22C3E"/>
    <w:rsid w:val="00B22D4A"/>
    <w:rsid w:val="00B22ED1"/>
    <w:rsid w:val="00B231A0"/>
    <w:rsid w:val="00B23995"/>
    <w:rsid w:val="00B239FA"/>
    <w:rsid w:val="00B23C7B"/>
    <w:rsid w:val="00B23DD5"/>
    <w:rsid w:val="00B23DE1"/>
    <w:rsid w:val="00B23E9A"/>
    <w:rsid w:val="00B23F82"/>
    <w:rsid w:val="00B2420A"/>
    <w:rsid w:val="00B24271"/>
    <w:rsid w:val="00B245BD"/>
    <w:rsid w:val="00B24879"/>
    <w:rsid w:val="00B24C3D"/>
    <w:rsid w:val="00B24DAD"/>
    <w:rsid w:val="00B24EB3"/>
    <w:rsid w:val="00B25261"/>
    <w:rsid w:val="00B255E0"/>
    <w:rsid w:val="00B256EE"/>
    <w:rsid w:val="00B25726"/>
    <w:rsid w:val="00B25A64"/>
    <w:rsid w:val="00B25AA5"/>
    <w:rsid w:val="00B25E04"/>
    <w:rsid w:val="00B25FD6"/>
    <w:rsid w:val="00B26186"/>
    <w:rsid w:val="00B263D9"/>
    <w:rsid w:val="00B26423"/>
    <w:rsid w:val="00B2665C"/>
    <w:rsid w:val="00B26DF6"/>
    <w:rsid w:val="00B26E77"/>
    <w:rsid w:val="00B26F19"/>
    <w:rsid w:val="00B26FCF"/>
    <w:rsid w:val="00B275C3"/>
    <w:rsid w:val="00B2764C"/>
    <w:rsid w:val="00B2796A"/>
    <w:rsid w:val="00B27994"/>
    <w:rsid w:val="00B279FF"/>
    <w:rsid w:val="00B27B25"/>
    <w:rsid w:val="00B27D86"/>
    <w:rsid w:val="00B3002F"/>
    <w:rsid w:val="00B30253"/>
    <w:rsid w:val="00B30860"/>
    <w:rsid w:val="00B308B6"/>
    <w:rsid w:val="00B30AE4"/>
    <w:rsid w:val="00B30E1F"/>
    <w:rsid w:val="00B30F14"/>
    <w:rsid w:val="00B31257"/>
    <w:rsid w:val="00B31586"/>
    <w:rsid w:val="00B316F3"/>
    <w:rsid w:val="00B3189F"/>
    <w:rsid w:val="00B318C3"/>
    <w:rsid w:val="00B31AC9"/>
    <w:rsid w:val="00B31C2D"/>
    <w:rsid w:val="00B31E1A"/>
    <w:rsid w:val="00B31EEA"/>
    <w:rsid w:val="00B32502"/>
    <w:rsid w:val="00B327B4"/>
    <w:rsid w:val="00B329C1"/>
    <w:rsid w:val="00B32C49"/>
    <w:rsid w:val="00B32D02"/>
    <w:rsid w:val="00B3307C"/>
    <w:rsid w:val="00B33259"/>
    <w:rsid w:val="00B3378B"/>
    <w:rsid w:val="00B3385A"/>
    <w:rsid w:val="00B338A4"/>
    <w:rsid w:val="00B3396D"/>
    <w:rsid w:val="00B33A07"/>
    <w:rsid w:val="00B33C83"/>
    <w:rsid w:val="00B33EAF"/>
    <w:rsid w:val="00B340E9"/>
    <w:rsid w:val="00B342B2"/>
    <w:rsid w:val="00B342FE"/>
    <w:rsid w:val="00B343B9"/>
    <w:rsid w:val="00B34D7C"/>
    <w:rsid w:val="00B34DDF"/>
    <w:rsid w:val="00B34F89"/>
    <w:rsid w:val="00B3516D"/>
    <w:rsid w:val="00B355FF"/>
    <w:rsid w:val="00B35820"/>
    <w:rsid w:val="00B35ABC"/>
    <w:rsid w:val="00B35C77"/>
    <w:rsid w:val="00B35D7B"/>
    <w:rsid w:val="00B35E66"/>
    <w:rsid w:val="00B360D1"/>
    <w:rsid w:val="00B36286"/>
    <w:rsid w:val="00B362D0"/>
    <w:rsid w:val="00B3646D"/>
    <w:rsid w:val="00B366AF"/>
    <w:rsid w:val="00B366E8"/>
    <w:rsid w:val="00B366ED"/>
    <w:rsid w:val="00B369C2"/>
    <w:rsid w:val="00B36A9B"/>
    <w:rsid w:val="00B36BC6"/>
    <w:rsid w:val="00B36CA3"/>
    <w:rsid w:val="00B36D2E"/>
    <w:rsid w:val="00B36D57"/>
    <w:rsid w:val="00B376BB"/>
    <w:rsid w:val="00B3784F"/>
    <w:rsid w:val="00B37871"/>
    <w:rsid w:val="00B37C20"/>
    <w:rsid w:val="00B37DD8"/>
    <w:rsid w:val="00B37FD4"/>
    <w:rsid w:val="00B37FF8"/>
    <w:rsid w:val="00B40012"/>
    <w:rsid w:val="00B400F9"/>
    <w:rsid w:val="00B40180"/>
    <w:rsid w:val="00B40371"/>
    <w:rsid w:val="00B403E1"/>
    <w:rsid w:val="00B404F4"/>
    <w:rsid w:val="00B4080D"/>
    <w:rsid w:val="00B40BA8"/>
    <w:rsid w:val="00B41036"/>
    <w:rsid w:val="00B4103F"/>
    <w:rsid w:val="00B412F6"/>
    <w:rsid w:val="00B41749"/>
    <w:rsid w:val="00B418AD"/>
    <w:rsid w:val="00B4199B"/>
    <w:rsid w:val="00B41D85"/>
    <w:rsid w:val="00B41E3B"/>
    <w:rsid w:val="00B423CC"/>
    <w:rsid w:val="00B4254F"/>
    <w:rsid w:val="00B426A8"/>
    <w:rsid w:val="00B4327B"/>
    <w:rsid w:val="00B432A7"/>
    <w:rsid w:val="00B432F9"/>
    <w:rsid w:val="00B43312"/>
    <w:rsid w:val="00B43486"/>
    <w:rsid w:val="00B43667"/>
    <w:rsid w:val="00B43865"/>
    <w:rsid w:val="00B438E3"/>
    <w:rsid w:val="00B43BF1"/>
    <w:rsid w:val="00B43D03"/>
    <w:rsid w:val="00B43E60"/>
    <w:rsid w:val="00B441E1"/>
    <w:rsid w:val="00B4466E"/>
    <w:rsid w:val="00B44C2B"/>
    <w:rsid w:val="00B44CA6"/>
    <w:rsid w:val="00B44D49"/>
    <w:rsid w:val="00B44EA6"/>
    <w:rsid w:val="00B451A6"/>
    <w:rsid w:val="00B452E2"/>
    <w:rsid w:val="00B45398"/>
    <w:rsid w:val="00B4579C"/>
    <w:rsid w:val="00B45DEC"/>
    <w:rsid w:val="00B45E92"/>
    <w:rsid w:val="00B46380"/>
    <w:rsid w:val="00B4638F"/>
    <w:rsid w:val="00B46694"/>
    <w:rsid w:val="00B46DF0"/>
    <w:rsid w:val="00B472C5"/>
    <w:rsid w:val="00B4732E"/>
    <w:rsid w:val="00B4734B"/>
    <w:rsid w:val="00B474E7"/>
    <w:rsid w:val="00B475B5"/>
    <w:rsid w:val="00B475F9"/>
    <w:rsid w:val="00B47915"/>
    <w:rsid w:val="00B47AE8"/>
    <w:rsid w:val="00B5011A"/>
    <w:rsid w:val="00B5036E"/>
    <w:rsid w:val="00B5046E"/>
    <w:rsid w:val="00B50892"/>
    <w:rsid w:val="00B50BFF"/>
    <w:rsid w:val="00B50C56"/>
    <w:rsid w:val="00B50C90"/>
    <w:rsid w:val="00B50D42"/>
    <w:rsid w:val="00B50DAF"/>
    <w:rsid w:val="00B51480"/>
    <w:rsid w:val="00B515EE"/>
    <w:rsid w:val="00B51782"/>
    <w:rsid w:val="00B51A82"/>
    <w:rsid w:val="00B51C43"/>
    <w:rsid w:val="00B51CA8"/>
    <w:rsid w:val="00B5243B"/>
    <w:rsid w:val="00B52445"/>
    <w:rsid w:val="00B5263F"/>
    <w:rsid w:val="00B52663"/>
    <w:rsid w:val="00B526D8"/>
    <w:rsid w:val="00B5315A"/>
    <w:rsid w:val="00B53365"/>
    <w:rsid w:val="00B535F1"/>
    <w:rsid w:val="00B536D5"/>
    <w:rsid w:val="00B53B07"/>
    <w:rsid w:val="00B53CE1"/>
    <w:rsid w:val="00B53CEE"/>
    <w:rsid w:val="00B540B2"/>
    <w:rsid w:val="00B54A12"/>
    <w:rsid w:val="00B54BED"/>
    <w:rsid w:val="00B54DFD"/>
    <w:rsid w:val="00B54F37"/>
    <w:rsid w:val="00B555E0"/>
    <w:rsid w:val="00B559BB"/>
    <w:rsid w:val="00B55E5D"/>
    <w:rsid w:val="00B56455"/>
    <w:rsid w:val="00B56794"/>
    <w:rsid w:val="00B567D7"/>
    <w:rsid w:val="00B56FA5"/>
    <w:rsid w:val="00B5712A"/>
    <w:rsid w:val="00B57178"/>
    <w:rsid w:val="00B573F4"/>
    <w:rsid w:val="00B57771"/>
    <w:rsid w:val="00B57A56"/>
    <w:rsid w:val="00B57BB4"/>
    <w:rsid w:val="00B57D69"/>
    <w:rsid w:val="00B60029"/>
    <w:rsid w:val="00B604AA"/>
    <w:rsid w:val="00B60515"/>
    <w:rsid w:val="00B6052A"/>
    <w:rsid w:val="00B6073B"/>
    <w:rsid w:val="00B60764"/>
    <w:rsid w:val="00B608EB"/>
    <w:rsid w:val="00B60AAE"/>
    <w:rsid w:val="00B60B79"/>
    <w:rsid w:val="00B60BF8"/>
    <w:rsid w:val="00B60E47"/>
    <w:rsid w:val="00B60EA3"/>
    <w:rsid w:val="00B61027"/>
    <w:rsid w:val="00B611D2"/>
    <w:rsid w:val="00B61284"/>
    <w:rsid w:val="00B6172B"/>
    <w:rsid w:val="00B618AF"/>
    <w:rsid w:val="00B61E36"/>
    <w:rsid w:val="00B620B5"/>
    <w:rsid w:val="00B6236C"/>
    <w:rsid w:val="00B624D1"/>
    <w:rsid w:val="00B62585"/>
    <w:rsid w:val="00B625C5"/>
    <w:rsid w:val="00B6291C"/>
    <w:rsid w:val="00B62A83"/>
    <w:rsid w:val="00B62CD1"/>
    <w:rsid w:val="00B62F0C"/>
    <w:rsid w:val="00B62FAA"/>
    <w:rsid w:val="00B63710"/>
    <w:rsid w:val="00B63897"/>
    <w:rsid w:val="00B63A88"/>
    <w:rsid w:val="00B63C3F"/>
    <w:rsid w:val="00B63CE5"/>
    <w:rsid w:val="00B63D54"/>
    <w:rsid w:val="00B63E33"/>
    <w:rsid w:val="00B641EF"/>
    <w:rsid w:val="00B643B8"/>
    <w:rsid w:val="00B645C5"/>
    <w:rsid w:val="00B646F9"/>
    <w:rsid w:val="00B64C8E"/>
    <w:rsid w:val="00B65021"/>
    <w:rsid w:val="00B65173"/>
    <w:rsid w:val="00B652A2"/>
    <w:rsid w:val="00B652A5"/>
    <w:rsid w:val="00B65982"/>
    <w:rsid w:val="00B65D9F"/>
    <w:rsid w:val="00B65F30"/>
    <w:rsid w:val="00B660FD"/>
    <w:rsid w:val="00B66363"/>
    <w:rsid w:val="00B664AF"/>
    <w:rsid w:val="00B66562"/>
    <w:rsid w:val="00B66711"/>
    <w:rsid w:val="00B66835"/>
    <w:rsid w:val="00B66C6D"/>
    <w:rsid w:val="00B66D2B"/>
    <w:rsid w:val="00B66D92"/>
    <w:rsid w:val="00B67298"/>
    <w:rsid w:val="00B6740E"/>
    <w:rsid w:val="00B67520"/>
    <w:rsid w:val="00B67770"/>
    <w:rsid w:val="00B67957"/>
    <w:rsid w:val="00B679D2"/>
    <w:rsid w:val="00B67FAF"/>
    <w:rsid w:val="00B70032"/>
    <w:rsid w:val="00B7080C"/>
    <w:rsid w:val="00B708DD"/>
    <w:rsid w:val="00B70BE1"/>
    <w:rsid w:val="00B70C09"/>
    <w:rsid w:val="00B70CC3"/>
    <w:rsid w:val="00B70EB5"/>
    <w:rsid w:val="00B71284"/>
    <w:rsid w:val="00B713EF"/>
    <w:rsid w:val="00B719E2"/>
    <w:rsid w:val="00B71B7B"/>
    <w:rsid w:val="00B71E15"/>
    <w:rsid w:val="00B720AD"/>
    <w:rsid w:val="00B721D9"/>
    <w:rsid w:val="00B7235F"/>
    <w:rsid w:val="00B72384"/>
    <w:rsid w:val="00B7244E"/>
    <w:rsid w:val="00B725EE"/>
    <w:rsid w:val="00B7282E"/>
    <w:rsid w:val="00B72899"/>
    <w:rsid w:val="00B728D4"/>
    <w:rsid w:val="00B72945"/>
    <w:rsid w:val="00B72A7A"/>
    <w:rsid w:val="00B732A1"/>
    <w:rsid w:val="00B7338D"/>
    <w:rsid w:val="00B73C85"/>
    <w:rsid w:val="00B73E43"/>
    <w:rsid w:val="00B744FA"/>
    <w:rsid w:val="00B7465D"/>
    <w:rsid w:val="00B74A58"/>
    <w:rsid w:val="00B7555C"/>
    <w:rsid w:val="00B75567"/>
    <w:rsid w:val="00B75574"/>
    <w:rsid w:val="00B7596C"/>
    <w:rsid w:val="00B75B9B"/>
    <w:rsid w:val="00B75BD2"/>
    <w:rsid w:val="00B75E0C"/>
    <w:rsid w:val="00B75E3A"/>
    <w:rsid w:val="00B7611C"/>
    <w:rsid w:val="00B76238"/>
    <w:rsid w:val="00B764A1"/>
    <w:rsid w:val="00B76886"/>
    <w:rsid w:val="00B76A75"/>
    <w:rsid w:val="00B76AA6"/>
    <w:rsid w:val="00B76AD2"/>
    <w:rsid w:val="00B76B76"/>
    <w:rsid w:val="00B76F3B"/>
    <w:rsid w:val="00B76F61"/>
    <w:rsid w:val="00B76F7A"/>
    <w:rsid w:val="00B770FD"/>
    <w:rsid w:val="00B7714D"/>
    <w:rsid w:val="00B774E7"/>
    <w:rsid w:val="00B77A8E"/>
    <w:rsid w:val="00B77ADE"/>
    <w:rsid w:val="00B77C1D"/>
    <w:rsid w:val="00B77CC8"/>
    <w:rsid w:val="00B77D68"/>
    <w:rsid w:val="00B8009D"/>
    <w:rsid w:val="00B800D2"/>
    <w:rsid w:val="00B802ED"/>
    <w:rsid w:val="00B80D41"/>
    <w:rsid w:val="00B80E3B"/>
    <w:rsid w:val="00B80F9A"/>
    <w:rsid w:val="00B80FA4"/>
    <w:rsid w:val="00B811AF"/>
    <w:rsid w:val="00B8140E"/>
    <w:rsid w:val="00B819ED"/>
    <w:rsid w:val="00B81D2E"/>
    <w:rsid w:val="00B81E07"/>
    <w:rsid w:val="00B826EF"/>
    <w:rsid w:val="00B827E5"/>
    <w:rsid w:val="00B828C5"/>
    <w:rsid w:val="00B82977"/>
    <w:rsid w:val="00B82A43"/>
    <w:rsid w:val="00B83179"/>
    <w:rsid w:val="00B834B4"/>
    <w:rsid w:val="00B83656"/>
    <w:rsid w:val="00B83786"/>
    <w:rsid w:val="00B83A83"/>
    <w:rsid w:val="00B83A86"/>
    <w:rsid w:val="00B83E0A"/>
    <w:rsid w:val="00B83FC9"/>
    <w:rsid w:val="00B8421F"/>
    <w:rsid w:val="00B842E1"/>
    <w:rsid w:val="00B8458A"/>
    <w:rsid w:val="00B8461F"/>
    <w:rsid w:val="00B8462F"/>
    <w:rsid w:val="00B848A2"/>
    <w:rsid w:val="00B84B6C"/>
    <w:rsid w:val="00B84E94"/>
    <w:rsid w:val="00B84F52"/>
    <w:rsid w:val="00B84FB6"/>
    <w:rsid w:val="00B85037"/>
    <w:rsid w:val="00B85376"/>
    <w:rsid w:val="00B8547D"/>
    <w:rsid w:val="00B855A7"/>
    <w:rsid w:val="00B8577F"/>
    <w:rsid w:val="00B85D75"/>
    <w:rsid w:val="00B85DD4"/>
    <w:rsid w:val="00B86036"/>
    <w:rsid w:val="00B8620F"/>
    <w:rsid w:val="00B86351"/>
    <w:rsid w:val="00B864E4"/>
    <w:rsid w:val="00B8654D"/>
    <w:rsid w:val="00B8692F"/>
    <w:rsid w:val="00B8698F"/>
    <w:rsid w:val="00B869F7"/>
    <w:rsid w:val="00B86A2A"/>
    <w:rsid w:val="00B86BEF"/>
    <w:rsid w:val="00B87107"/>
    <w:rsid w:val="00B875C8"/>
    <w:rsid w:val="00B875D3"/>
    <w:rsid w:val="00B87A12"/>
    <w:rsid w:val="00B87BA1"/>
    <w:rsid w:val="00B87C81"/>
    <w:rsid w:val="00B87DC4"/>
    <w:rsid w:val="00B87E08"/>
    <w:rsid w:val="00B90182"/>
    <w:rsid w:val="00B90352"/>
    <w:rsid w:val="00B907B3"/>
    <w:rsid w:val="00B908A5"/>
    <w:rsid w:val="00B90AF6"/>
    <w:rsid w:val="00B90E48"/>
    <w:rsid w:val="00B90F0D"/>
    <w:rsid w:val="00B90F8E"/>
    <w:rsid w:val="00B90FBA"/>
    <w:rsid w:val="00B90FEA"/>
    <w:rsid w:val="00B910EF"/>
    <w:rsid w:val="00B91104"/>
    <w:rsid w:val="00B91927"/>
    <w:rsid w:val="00B91A48"/>
    <w:rsid w:val="00B91B3E"/>
    <w:rsid w:val="00B92118"/>
    <w:rsid w:val="00B9237E"/>
    <w:rsid w:val="00B92486"/>
    <w:rsid w:val="00B9257A"/>
    <w:rsid w:val="00B92712"/>
    <w:rsid w:val="00B929ED"/>
    <w:rsid w:val="00B92C3A"/>
    <w:rsid w:val="00B92C6C"/>
    <w:rsid w:val="00B93298"/>
    <w:rsid w:val="00B933EA"/>
    <w:rsid w:val="00B93900"/>
    <w:rsid w:val="00B93B36"/>
    <w:rsid w:val="00B93DA5"/>
    <w:rsid w:val="00B94449"/>
    <w:rsid w:val="00B94459"/>
    <w:rsid w:val="00B944C6"/>
    <w:rsid w:val="00B94683"/>
    <w:rsid w:val="00B946EE"/>
    <w:rsid w:val="00B94B4D"/>
    <w:rsid w:val="00B94D4D"/>
    <w:rsid w:val="00B94DF7"/>
    <w:rsid w:val="00B94ED2"/>
    <w:rsid w:val="00B9513D"/>
    <w:rsid w:val="00B95B0A"/>
    <w:rsid w:val="00B95E5B"/>
    <w:rsid w:val="00B961BA"/>
    <w:rsid w:val="00B967BB"/>
    <w:rsid w:val="00B96826"/>
    <w:rsid w:val="00B96D7B"/>
    <w:rsid w:val="00B96FED"/>
    <w:rsid w:val="00B9717E"/>
    <w:rsid w:val="00B9739D"/>
    <w:rsid w:val="00B9761A"/>
    <w:rsid w:val="00B97A9C"/>
    <w:rsid w:val="00B97AC8"/>
    <w:rsid w:val="00B97B7B"/>
    <w:rsid w:val="00B97DBF"/>
    <w:rsid w:val="00B97F20"/>
    <w:rsid w:val="00BA012C"/>
    <w:rsid w:val="00BA0345"/>
    <w:rsid w:val="00BA036E"/>
    <w:rsid w:val="00BA03D1"/>
    <w:rsid w:val="00BA0466"/>
    <w:rsid w:val="00BA04D0"/>
    <w:rsid w:val="00BA076A"/>
    <w:rsid w:val="00BA07B6"/>
    <w:rsid w:val="00BA0822"/>
    <w:rsid w:val="00BA0948"/>
    <w:rsid w:val="00BA0B19"/>
    <w:rsid w:val="00BA0B7A"/>
    <w:rsid w:val="00BA0CAD"/>
    <w:rsid w:val="00BA0D74"/>
    <w:rsid w:val="00BA0F8B"/>
    <w:rsid w:val="00BA0FB1"/>
    <w:rsid w:val="00BA10D8"/>
    <w:rsid w:val="00BA11AB"/>
    <w:rsid w:val="00BA1477"/>
    <w:rsid w:val="00BA1900"/>
    <w:rsid w:val="00BA1D41"/>
    <w:rsid w:val="00BA1ED3"/>
    <w:rsid w:val="00BA1F2A"/>
    <w:rsid w:val="00BA20EE"/>
    <w:rsid w:val="00BA241C"/>
    <w:rsid w:val="00BA24BD"/>
    <w:rsid w:val="00BA2C4C"/>
    <w:rsid w:val="00BA2E4A"/>
    <w:rsid w:val="00BA3708"/>
    <w:rsid w:val="00BA3DA3"/>
    <w:rsid w:val="00BA3F2D"/>
    <w:rsid w:val="00BA3F4B"/>
    <w:rsid w:val="00BA40E7"/>
    <w:rsid w:val="00BA4149"/>
    <w:rsid w:val="00BA4511"/>
    <w:rsid w:val="00BA4C6A"/>
    <w:rsid w:val="00BA4E62"/>
    <w:rsid w:val="00BA54E0"/>
    <w:rsid w:val="00BA59E8"/>
    <w:rsid w:val="00BA5CFF"/>
    <w:rsid w:val="00BA66A7"/>
    <w:rsid w:val="00BA6990"/>
    <w:rsid w:val="00BA69F2"/>
    <w:rsid w:val="00BA6AA3"/>
    <w:rsid w:val="00BA6D17"/>
    <w:rsid w:val="00BA6E4C"/>
    <w:rsid w:val="00BA6F94"/>
    <w:rsid w:val="00BA71B2"/>
    <w:rsid w:val="00BA742B"/>
    <w:rsid w:val="00BA7BE7"/>
    <w:rsid w:val="00BA7BF5"/>
    <w:rsid w:val="00BB011D"/>
    <w:rsid w:val="00BB01B8"/>
    <w:rsid w:val="00BB0257"/>
    <w:rsid w:val="00BB02E8"/>
    <w:rsid w:val="00BB042E"/>
    <w:rsid w:val="00BB0644"/>
    <w:rsid w:val="00BB0BF6"/>
    <w:rsid w:val="00BB0E60"/>
    <w:rsid w:val="00BB0F4D"/>
    <w:rsid w:val="00BB0FCC"/>
    <w:rsid w:val="00BB13EE"/>
    <w:rsid w:val="00BB1569"/>
    <w:rsid w:val="00BB1655"/>
    <w:rsid w:val="00BB231B"/>
    <w:rsid w:val="00BB242E"/>
    <w:rsid w:val="00BB2603"/>
    <w:rsid w:val="00BB2645"/>
    <w:rsid w:val="00BB2869"/>
    <w:rsid w:val="00BB2B13"/>
    <w:rsid w:val="00BB2DCF"/>
    <w:rsid w:val="00BB2E06"/>
    <w:rsid w:val="00BB2F63"/>
    <w:rsid w:val="00BB326F"/>
    <w:rsid w:val="00BB333B"/>
    <w:rsid w:val="00BB3E5D"/>
    <w:rsid w:val="00BB3EF4"/>
    <w:rsid w:val="00BB4B77"/>
    <w:rsid w:val="00BB4CD2"/>
    <w:rsid w:val="00BB4E6C"/>
    <w:rsid w:val="00BB50FC"/>
    <w:rsid w:val="00BB524F"/>
    <w:rsid w:val="00BB532D"/>
    <w:rsid w:val="00BB536D"/>
    <w:rsid w:val="00BB55F2"/>
    <w:rsid w:val="00BB59CF"/>
    <w:rsid w:val="00BB5F41"/>
    <w:rsid w:val="00BB61B2"/>
    <w:rsid w:val="00BB624B"/>
    <w:rsid w:val="00BB6302"/>
    <w:rsid w:val="00BB6485"/>
    <w:rsid w:val="00BB66E5"/>
    <w:rsid w:val="00BB6705"/>
    <w:rsid w:val="00BB69E3"/>
    <w:rsid w:val="00BB70EE"/>
    <w:rsid w:val="00BB72CE"/>
    <w:rsid w:val="00BB7533"/>
    <w:rsid w:val="00BB7728"/>
    <w:rsid w:val="00BB7810"/>
    <w:rsid w:val="00BB7B51"/>
    <w:rsid w:val="00BB7C72"/>
    <w:rsid w:val="00BB7CE9"/>
    <w:rsid w:val="00BB7E8D"/>
    <w:rsid w:val="00BB7F91"/>
    <w:rsid w:val="00BC00A0"/>
    <w:rsid w:val="00BC06F5"/>
    <w:rsid w:val="00BC07F2"/>
    <w:rsid w:val="00BC0802"/>
    <w:rsid w:val="00BC0B89"/>
    <w:rsid w:val="00BC0C14"/>
    <w:rsid w:val="00BC0C83"/>
    <w:rsid w:val="00BC0F51"/>
    <w:rsid w:val="00BC127A"/>
    <w:rsid w:val="00BC164A"/>
    <w:rsid w:val="00BC1654"/>
    <w:rsid w:val="00BC18AF"/>
    <w:rsid w:val="00BC1991"/>
    <w:rsid w:val="00BC1A12"/>
    <w:rsid w:val="00BC1CB6"/>
    <w:rsid w:val="00BC1CE0"/>
    <w:rsid w:val="00BC21D9"/>
    <w:rsid w:val="00BC2279"/>
    <w:rsid w:val="00BC232C"/>
    <w:rsid w:val="00BC24BD"/>
    <w:rsid w:val="00BC250C"/>
    <w:rsid w:val="00BC2544"/>
    <w:rsid w:val="00BC2868"/>
    <w:rsid w:val="00BC2A14"/>
    <w:rsid w:val="00BC2A2A"/>
    <w:rsid w:val="00BC2A6B"/>
    <w:rsid w:val="00BC2C64"/>
    <w:rsid w:val="00BC2F67"/>
    <w:rsid w:val="00BC2FA1"/>
    <w:rsid w:val="00BC31B2"/>
    <w:rsid w:val="00BC3213"/>
    <w:rsid w:val="00BC348B"/>
    <w:rsid w:val="00BC38C7"/>
    <w:rsid w:val="00BC3C87"/>
    <w:rsid w:val="00BC3D39"/>
    <w:rsid w:val="00BC3D60"/>
    <w:rsid w:val="00BC3E17"/>
    <w:rsid w:val="00BC3E1D"/>
    <w:rsid w:val="00BC3EA6"/>
    <w:rsid w:val="00BC3EA8"/>
    <w:rsid w:val="00BC4194"/>
    <w:rsid w:val="00BC4426"/>
    <w:rsid w:val="00BC45BA"/>
    <w:rsid w:val="00BC4AEA"/>
    <w:rsid w:val="00BC4C7D"/>
    <w:rsid w:val="00BC4CFE"/>
    <w:rsid w:val="00BC4D8B"/>
    <w:rsid w:val="00BC4E2C"/>
    <w:rsid w:val="00BC4EDB"/>
    <w:rsid w:val="00BC4EEF"/>
    <w:rsid w:val="00BC4F02"/>
    <w:rsid w:val="00BC4FAE"/>
    <w:rsid w:val="00BC4FB7"/>
    <w:rsid w:val="00BC517A"/>
    <w:rsid w:val="00BC5A0E"/>
    <w:rsid w:val="00BC5B66"/>
    <w:rsid w:val="00BC5C22"/>
    <w:rsid w:val="00BC5EC5"/>
    <w:rsid w:val="00BC60AC"/>
    <w:rsid w:val="00BC60F1"/>
    <w:rsid w:val="00BC65BE"/>
    <w:rsid w:val="00BC671E"/>
    <w:rsid w:val="00BC6893"/>
    <w:rsid w:val="00BC6E86"/>
    <w:rsid w:val="00BC78A6"/>
    <w:rsid w:val="00BC794C"/>
    <w:rsid w:val="00BC7A5C"/>
    <w:rsid w:val="00BC7AA8"/>
    <w:rsid w:val="00BC7B06"/>
    <w:rsid w:val="00BC7B2F"/>
    <w:rsid w:val="00BC7C11"/>
    <w:rsid w:val="00BC7E28"/>
    <w:rsid w:val="00BD012A"/>
    <w:rsid w:val="00BD023F"/>
    <w:rsid w:val="00BD027C"/>
    <w:rsid w:val="00BD036F"/>
    <w:rsid w:val="00BD0684"/>
    <w:rsid w:val="00BD0720"/>
    <w:rsid w:val="00BD076B"/>
    <w:rsid w:val="00BD08EF"/>
    <w:rsid w:val="00BD0959"/>
    <w:rsid w:val="00BD0D60"/>
    <w:rsid w:val="00BD0D8E"/>
    <w:rsid w:val="00BD116E"/>
    <w:rsid w:val="00BD1572"/>
    <w:rsid w:val="00BD1588"/>
    <w:rsid w:val="00BD1AD9"/>
    <w:rsid w:val="00BD1C7B"/>
    <w:rsid w:val="00BD1F12"/>
    <w:rsid w:val="00BD21E3"/>
    <w:rsid w:val="00BD2623"/>
    <w:rsid w:val="00BD29DC"/>
    <w:rsid w:val="00BD2D44"/>
    <w:rsid w:val="00BD2E09"/>
    <w:rsid w:val="00BD2EA9"/>
    <w:rsid w:val="00BD2F5B"/>
    <w:rsid w:val="00BD2F82"/>
    <w:rsid w:val="00BD34C2"/>
    <w:rsid w:val="00BD34F2"/>
    <w:rsid w:val="00BD355E"/>
    <w:rsid w:val="00BD3AC1"/>
    <w:rsid w:val="00BD487F"/>
    <w:rsid w:val="00BD4C04"/>
    <w:rsid w:val="00BD4C06"/>
    <w:rsid w:val="00BD4F6C"/>
    <w:rsid w:val="00BD50D7"/>
    <w:rsid w:val="00BD51B8"/>
    <w:rsid w:val="00BD571C"/>
    <w:rsid w:val="00BD5762"/>
    <w:rsid w:val="00BD5C60"/>
    <w:rsid w:val="00BD60F4"/>
    <w:rsid w:val="00BD652C"/>
    <w:rsid w:val="00BD6687"/>
    <w:rsid w:val="00BD6783"/>
    <w:rsid w:val="00BD6C15"/>
    <w:rsid w:val="00BD6C91"/>
    <w:rsid w:val="00BD6E82"/>
    <w:rsid w:val="00BD6EBD"/>
    <w:rsid w:val="00BD6F0C"/>
    <w:rsid w:val="00BD6FF4"/>
    <w:rsid w:val="00BD75A5"/>
    <w:rsid w:val="00BD78A5"/>
    <w:rsid w:val="00BD7A08"/>
    <w:rsid w:val="00BD7ABA"/>
    <w:rsid w:val="00BD7C90"/>
    <w:rsid w:val="00BD7DEF"/>
    <w:rsid w:val="00BE039E"/>
    <w:rsid w:val="00BE04C2"/>
    <w:rsid w:val="00BE085C"/>
    <w:rsid w:val="00BE092E"/>
    <w:rsid w:val="00BE0947"/>
    <w:rsid w:val="00BE09A5"/>
    <w:rsid w:val="00BE09C6"/>
    <w:rsid w:val="00BE0A7B"/>
    <w:rsid w:val="00BE0B84"/>
    <w:rsid w:val="00BE0CC9"/>
    <w:rsid w:val="00BE0D85"/>
    <w:rsid w:val="00BE0F64"/>
    <w:rsid w:val="00BE142E"/>
    <w:rsid w:val="00BE1626"/>
    <w:rsid w:val="00BE18D9"/>
    <w:rsid w:val="00BE19A0"/>
    <w:rsid w:val="00BE1B36"/>
    <w:rsid w:val="00BE215C"/>
    <w:rsid w:val="00BE2291"/>
    <w:rsid w:val="00BE235D"/>
    <w:rsid w:val="00BE23DE"/>
    <w:rsid w:val="00BE269E"/>
    <w:rsid w:val="00BE273A"/>
    <w:rsid w:val="00BE2793"/>
    <w:rsid w:val="00BE28AE"/>
    <w:rsid w:val="00BE2B4B"/>
    <w:rsid w:val="00BE30A7"/>
    <w:rsid w:val="00BE3186"/>
    <w:rsid w:val="00BE3A23"/>
    <w:rsid w:val="00BE3B50"/>
    <w:rsid w:val="00BE3C6D"/>
    <w:rsid w:val="00BE3E74"/>
    <w:rsid w:val="00BE4268"/>
    <w:rsid w:val="00BE430C"/>
    <w:rsid w:val="00BE4359"/>
    <w:rsid w:val="00BE44AB"/>
    <w:rsid w:val="00BE47E2"/>
    <w:rsid w:val="00BE4879"/>
    <w:rsid w:val="00BE49DB"/>
    <w:rsid w:val="00BE49EC"/>
    <w:rsid w:val="00BE4A58"/>
    <w:rsid w:val="00BE4CE0"/>
    <w:rsid w:val="00BE4DFB"/>
    <w:rsid w:val="00BE4E5D"/>
    <w:rsid w:val="00BE4EB9"/>
    <w:rsid w:val="00BE52FD"/>
    <w:rsid w:val="00BE56C7"/>
    <w:rsid w:val="00BE6022"/>
    <w:rsid w:val="00BE605C"/>
    <w:rsid w:val="00BE61FA"/>
    <w:rsid w:val="00BE62B3"/>
    <w:rsid w:val="00BE65CE"/>
    <w:rsid w:val="00BE65FA"/>
    <w:rsid w:val="00BE68F5"/>
    <w:rsid w:val="00BE6BD7"/>
    <w:rsid w:val="00BE6C4C"/>
    <w:rsid w:val="00BE70BD"/>
    <w:rsid w:val="00BE7107"/>
    <w:rsid w:val="00BE715D"/>
    <w:rsid w:val="00BE72F4"/>
    <w:rsid w:val="00BE7519"/>
    <w:rsid w:val="00BE7537"/>
    <w:rsid w:val="00BE7827"/>
    <w:rsid w:val="00BE786F"/>
    <w:rsid w:val="00BE7B38"/>
    <w:rsid w:val="00BE7D72"/>
    <w:rsid w:val="00BE7D8C"/>
    <w:rsid w:val="00BE7EDB"/>
    <w:rsid w:val="00BF034A"/>
    <w:rsid w:val="00BF0779"/>
    <w:rsid w:val="00BF07DB"/>
    <w:rsid w:val="00BF0903"/>
    <w:rsid w:val="00BF0A8D"/>
    <w:rsid w:val="00BF0ADE"/>
    <w:rsid w:val="00BF0AFA"/>
    <w:rsid w:val="00BF0EA2"/>
    <w:rsid w:val="00BF16E2"/>
    <w:rsid w:val="00BF1A02"/>
    <w:rsid w:val="00BF1B1D"/>
    <w:rsid w:val="00BF1B1F"/>
    <w:rsid w:val="00BF1B70"/>
    <w:rsid w:val="00BF1D8B"/>
    <w:rsid w:val="00BF1F25"/>
    <w:rsid w:val="00BF1FF0"/>
    <w:rsid w:val="00BF2162"/>
    <w:rsid w:val="00BF21EB"/>
    <w:rsid w:val="00BF225A"/>
    <w:rsid w:val="00BF24A4"/>
    <w:rsid w:val="00BF24B9"/>
    <w:rsid w:val="00BF25E0"/>
    <w:rsid w:val="00BF28E6"/>
    <w:rsid w:val="00BF2C92"/>
    <w:rsid w:val="00BF2CAD"/>
    <w:rsid w:val="00BF2D53"/>
    <w:rsid w:val="00BF2E14"/>
    <w:rsid w:val="00BF2EC9"/>
    <w:rsid w:val="00BF30D3"/>
    <w:rsid w:val="00BF30D5"/>
    <w:rsid w:val="00BF347A"/>
    <w:rsid w:val="00BF3537"/>
    <w:rsid w:val="00BF3669"/>
    <w:rsid w:val="00BF3853"/>
    <w:rsid w:val="00BF3D23"/>
    <w:rsid w:val="00BF4123"/>
    <w:rsid w:val="00BF44AE"/>
    <w:rsid w:val="00BF4564"/>
    <w:rsid w:val="00BF47E2"/>
    <w:rsid w:val="00BF4B6B"/>
    <w:rsid w:val="00BF50AA"/>
    <w:rsid w:val="00BF524A"/>
    <w:rsid w:val="00BF5502"/>
    <w:rsid w:val="00BF55D6"/>
    <w:rsid w:val="00BF583C"/>
    <w:rsid w:val="00BF59F6"/>
    <w:rsid w:val="00BF68C9"/>
    <w:rsid w:val="00BF6B52"/>
    <w:rsid w:val="00BF6E22"/>
    <w:rsid w:val="00BF734F"/>
    <w:rsid w:val="00BF763A"/>
    <w:rsid w:val="00BF7FEB"/>
    <w:rsid w:val="00C0017F"/>
    <w:rsid w:val="00C0051D"/>
    <w:rsid w:val="00C007A0"/>
    <w:rsid w:val="00C0088F"/>
    <w:rsid w:val="00C00A7C"/>
    <w:rsid w:val="00C00AF0"/>
    <w:rsid w:val="00C00B8E"/>
    <w:rsid w:val="00C00CFA"/>
    <w:rsid w:val="00C00D35"/>
    <w:rsid w:val="00C00DFB"/>
    <w:rsid w:val="00C00EE9"/>
    <w:rsid w:val="00C011BE"/>
    <w:rsid w:val="00C0140B"/>
    <w:rsid w:val="00C017B4"/>
    <w:rsid w:val="00C01B0D"/>
    <w:rsid w:val="00C01D74"/>
    <w:rsid w:val="00C020AC"/>
    <w:rsid w:val="00C0237D"/>
    <w:rsid w:val="00C02414"/>
    <w:rsid w:val="00C02611"/>
    <w:rsid w:val="00C0290E"/>
    <w:rsid w:val="00C029AF"/>
    <w:rsid w:val="00C02A1E"/>
    <w:rsid w:val="00C02D99"/>
    <w:rsid w:val="00C030F2"/>
    <w:rsid w:val="00C031BC"/>
    <w:rsid w:val="00C0322D"/>
    <w:rsid w:val="00C03595"/>
    <w:rsid w:val="00C035FB"/>
    <w:rsid w:val="00C03B34"/>
    <w:rsid w:val="00C03BF3"/>
    <w:rsid w:val="00C03FE9"/>
    <w:rsid w:val="00C04027"/>
    <w:rsid w:val="00C040D3"/>
    <w:rsid w:val="00C04726"/>
    <w:rsid w:val="00C04DF0"/>
    <w:rsid w:val="00C04E12"/>
    <w:rsid w:val="00C0507F"/>
    <w:rsid w:val="00C052CB"/>
    <w:rsid w:val="00C05472"/>
    <w:rsid w:val="00C05479"/>
    <w:rsid w:val="00C054B0"/>
    <w:rsid w:val="00C054DF"/>
    <w:rsid w:val="00C05585"/>
    <w:rsid w:val="00C05628"/>
    <w:rsid w:val="00C0567E"/>
    <w:rsid w:val="00C05A2C"/>
    <w:rsid w:val="00C05E07"/>
    <w:rsid w:val="00C05F08"/>
    <w:rsid w:val="00C05FCD"/>
    <w:rsid w:val="00C064D9"/>
    <w:rsid w:val="00C0699E"/>
    <w:rsid w:val="00C06A4B"/>
    <w:rsid w:val="00C06B54"/>
    <w:rsid w:val="00C06CE9"/>
    <w:rsid w:val="00C06E50"/>
    <w:rsid w:val="00C0733C"/>
    <w:rsid w:val="00C075FC"/>
    <w:rsid w:val="00C07792"/>
    <w:rsid w:val="00C0789A"/>
    <w:rsid w:val="00C07D80"/>
    <w:rsid w:val="00C10018"/>
    <w:rsid w:val="00C103BE"/>
    <w:rsid w:val="00C106E1"/>
    <w:rsid w:val="00C10820"/>
    <w:rsid w:val="00C109B7"/>
    <w:rsid w:val="00C10A70"/>
    <w:rsid w:val="00C10BE3"/>
    <w:rsid w:val="00C10E29"/>
    <w:rsid w:val="00C10FB2"/>
    <w:rsid w:val="00C112A6"/>
    <w:rsid w:val="00C11387"/>
    <w:rsid w:val="00C114DE"/>
    <w:rsid w:val="00C11567"/>
    <w:rsid w:val="00C11749"/>
    <w:rsid w:val="00C117A9"/>
    <w:rsid w:val="00C11815"/>
    <w:rsid w:val="00C118B6"/>
    <w:rsid w:val="00C119A9"/>
    <w:rsid w:val="00C11A11"/>
    <w:rsid w:val="00C11A1B"/>
    <w:rsid w:val="00C11B9C"/>
    <w:rsid w:val="00C11C10"/>
    <w:rsid w:val="00C11E70"/>
    <w:rsid w:val="00C1205D"/>
    <w:rsid w:val="00C1243B"/>
    <w:rsid w:val="00C1262E"/>
    <w:rsid w:val="00C12E90"/>
    <w:rsid w:val="00C12E92"/>
    <w:rsid w:val="00C12EF4"/>
    <w:rsid w:val="00C12FB4"/>
    <w:rsid w:val="00C13342"/>
    <w:rsid w:val="00C135DA"/>
    <w:rsid w:val="00C137B9"/>
    <w:rsid w:val="00C139FB"/>
    <w:rsid w:val="00C13BEE"/>
    <w:rsid w:val="00C13C98"/>
    <w:rsid w:val="00C13E83"/>
    <w:rsid w:val="00C13F4D"/>
    <w:rsid w:val="00C140D5"/>
    <w:rsid w:val="00C14232"/>
    <w:rsid w:val="00C14671"/>
    <w:rsid w:val="00C14B06"/>
    <w:rsid w:val="00C14B30"/>
    <w:rsid w:val="00C14FD6"/>
    <w:rsid w:val="00C15978"/>
    <w:rsid w:val="00C159CD"/>
    <w:rsid w:val="00C15A95"/>
    <w:rsid w:val="00C15D95"/>
    <w:rsid w:val="00C15F8C"/>
    <w:rsid w:val="00C16336"/>
    <w:rsid w:val="00C167A5"/>
    <w:rsid w:val="00C168D0"/>
    <w:rsid w:val="00C16B3E"/>
    <w:rsid w:val="00C16CC2"/>
    <w:rsid w:val="00C17106"/>
    <w:rsid w:val="00C171EF"/>
    <w:rsid w:val="00C17470"/>
    <w:rsid w:val="00C174A4"/>
    <w:rsid w:val="00C178F4"/>
    <w:rsid w:val="00C17D57"/>
    <w:rsid w:val="00C20139"/>
    <w:rsid w:val="00C20312"/>
    <w:rsid w:val="00C2045B"/>
    <w:rsid w:val="00C20650"/>
    <w:rsid w:val="00C20A7B"/>
    <w:rsid w:val="00C20AE6"/>
    <w:rsid w:val="00C20E15"/>
    <w:rsid w:val="00C20F0D"/>
    <w:rsid w:val="00C21382"/>
    <w:rsid w:val="00C216C8"/>
    <w:rsid w:val="00C21791"/>
    <w:rsid w:val="00C21930"/>
    <w:rsid w:val="00C21A49"/>
    <w:rsid w:val="00C21B94"/>
    <w:rsid w:val="00C21D62"/>
    <w:rsid w:val="00C21DC8"/>
    <w:rsid w:val="00C2221C"/>
    <w:rsid w:val="00C226B4"/>
    <w:rsid w:val="00C22733"/>
    <w:rsid w:val="00C22F1F"/>
    <w:rsid w:val="00C23190"/>
    <w:rsid w:val="00C23B6C"/>
    <w:rsid w:val="00C23C0A"/>
    <w:rsid w:val="00C23E4C"/>
    <w:rsid w:val="00C241BC"/>
    <w:rsid w:val="00C2472D"/>
    <w:rsid w:val="00C249B6"/>
    <w:rsid w:val="00C24EDD"/>
    <w:rsid w:val="00C24F43"/>
    <w:rsid w:val="00C24FAA"/>
    <w:rsid w:val="00C2516F"/>
    <w:rsid w:val="00C252E9"/>
    <w:rsid w:val="00C253AB"/>
    <w:rsid w:val="00C25594"/>
    <w:rsid w:val="00C257A8"/>
    <w:rsid w:val="00C2598E"/>
    <w:rsid w:val="00C25AB7"/>
    <w:rsid w:val="00C25C8F"/>
    <w:rsid w:val="00C25D88"/>
    <w:rsid w:val="00C25E0A"/>
    <w:rsid w:val="00C26573"/>
    <w:rsid w:val="00C26582"/>
    <w:rsid w:val="00C266DB"/>
    <w:rsid w:val="00C268EF"/>
    <w:rsid w:val="00C26A6B"/>
    <w:rsid w:val="00C26C37"/>
    <w:rsid w:val="00C27164"/>
    <w:rsid w:val="00C273E0"/>
    <w:rsid w:val="00C273FE"/>
    <w:rsid w:val="00C27469"/>
    <w:rsid w:val="00C2752E"/>
    <w:rsid w:val="00C27588"/>
    <w:rsid w:val="00C276B3"/>
    <w:rsid w:val="00C27C61"/>
    <w:rsid w:val="00C303AB"/>
    <w:rsid w:val="00C30447"/>
    <w:rsid w:val="00C3064C"/>
    <w:rsid w:val="00C30BE7"/>
    <w:rsid w:val="00C31257"/>
    <w:rsid w:val="00C314F3"/>
    <w:rsid w:val="00C3158E"/>
    <w:rsid w:val="00C319E5"/>
    <w:rsid w:val="00C31B87"/>
    <w:rsid w:val="00C31DD6"/>
    <w:rsid w:val="00C31E96"/>
    <w:rsid w:val="00C32036"/>
    <w:rsid w:val="00C32965"/>
    <w:rsid w:val="00C32E1A"/>
    <w:rsid w:val="00C32E44"/>
    <w:rsid w:val="00C32F14"/>
    <w:rsid w:val="00C3307E"/>
    <w:rsid w:val="00C3343C"/>
    <w:rsid w:val="00C33780"/>
    <w:rsid w:val="00C33781"/>
    <w:rsid w:val="00C33847"/>
    <w:rsid w:val="00C339EB"/>
    <w:rsid w:val="00C33A60"/>
    <w:rsid w:val="00C33AE2"/>
    <w:rsid w:val="00C33E71"/>
    <w:rsid w:val="00C340BE"/>
    <w:rsid w:val="00C3416E"/>
    <w:rsid w:val="00C341A9"/>
    <w:rsid w:val="00C342D4"/>
    <w:rsid w:val="00C343D3"/>
    <w:rsid w:val="00C3460E"/>
    <w:rsid w:val="00C34A8F"/>
    <w:rsid w:val="00C34B27"/>
    <w:rsid w:val="00C34F39"/>
    <w:rsid w:val="00C34F48"/>
    <w:rsid w:val="00C351C4"/>
    <w:rsid w:val="00C352B7"/>
    <w:rsid w:val="00C35792"/>
    <w:rsid w:val="00C357C1"/>
    <w:rsid w:val="00C36294"/>
    <w:rsid w:val="00C36361"/>
    <w:rsid w:val="00C36781"/>
    <w:rsid w:val="00C36797"/>
    <w:rsid w:val="00C36994"/>
    <w:rsid w:val="00C370D9"/>
    <w:rsid w:val="00C37384"/>
    <w:rsid w:val="00C373B0"/>
    <w:rsid w:val="00C37467"/>
    <w:rsid w:val="00C375B1"/>
    <w:rsid w:val="00C375B7"/>
    <w:rsid w:val="00C37763"/>
    <w:rsid w:val="00C37877"/>
    <w:rsid w:val="00C37A08"/>
    <w:rsid w:val="00C37B06"/>
    <w:rsid w:val="00C37B27"/>
    <w:rsid w:val="00C37C7A"/>
    <w:rsid w:val="00C37E68"/>
    <w:rsid w:val="00C401D1"/>
    <w:rsid w:val="00C40232"/>
    <w:rsid w:val="00C40340"/>
    <w:rsid w:val="00C403B1"/>
    <w:rsid w:val="00C40577"/>
    <w:rsid w:val="00C406D4"/>
    <w:rsid w:val="00C40B40"/>
    <w:rsid w:val="00C40BD8"/>
    <w:rsid w:val="00C40D1C"/>
    <w:rsid w:val="00C41003"/>
    <w:rsid w:val="00C4106F"/>
    <w:rsid w:val="00C411AC"/>
    <w:rsid w:val="00C411C9"/>
    <w:rsid w:val="00C41210"/>
    <w:rsid w:val="00C41860"/>
    <w:rsid w:val="00C4190E"/>
    <w:rsid w:val="00C41928"/>
    <w:rsid w:val="00C41E7E"/>
    <w:rsid w:val="00C42127"/>
    <w:rsid w:val="00C42541"/>
    <w:rsid w:val="00C42610"/>
    <w:rsid w:val="00C42B32"/>
    <w:rsid w:val="00C42BE9"/>
    <w:rsid w:val="00C42BEF"/>
    <w:rsid w:val="00C42E1E"/>
    <w:rsid w:val="00C42EB9"/>
    <w:rsid w:val="00C42F1B"/>
    <w:rsid w:val="00C430FB"/>
    <w:rsid w:val="00C43266"/>
    <w:rsid w:val="00C432F5"/>
    <w:rsid w:val="00C433B6"/>
    <w:rsid w:val="00C435A9"/>
    <w:rsid w:val="00C436BA"/>
    <w:rsid w:val="00C437BA"/>
    <w:rsid w:val="00C43927"/>
    <w:rsid w:val="00C4393D"/>
    <w:rsid w:val="00C43AFE"/>
    <w:rsid w:val="00C43B64"/>
    <w:rsid w:val="00C43FC9"/>
    <w:rsid w:val="00C445AB"/>
    <w:rsid w:val="00C445C2"/>
    <w:rsid w:val="00C4495A"/>
    <w:rsid w:val="00C44A3F"/>
    <w:rsid w:val="00C44C84"/>
    <w:rsid w:val="00C44CC8"/>
    <w:rsid w:val="00C44D77"/>
    <w:rsid w:val="00C44DC5"/>
    <w:rsid w:val="00C44DE5"/>
    <w:rsid w:val="00C44EC2"/>
    <w:rsid w:val="00C44F7A"/>
    <w:rsid w:val="00C45215"/>
    <w:rsid w:val="00C45273"/>
    <w:rsid w:val="00C45502"/>
    <w:rsid w:val="00C45672"/>
    <w:rsid w:val="00C456D9"/>
    <w:rsid w:val="00C458D5"/>
    <w:rsid w:val="00C4594F"/>
    <w:rsid w:val="00C45A20"/>
    <w:rsid w:val="00C45E6C"/>
    <w:rsid w:val="00C461AB"/>
    <w:rsid w:val="00C46257"/>
    <w:rsid w:val="00C46459"/>
    <w:rsid w:val="00C467F5"/>
    <w:rsid w:val="00C46819"/>
    <w:rsid w:val="00C46B19"/>
    <w:rsid w:val="00C46BBC"/>
    <w:rsid w:val="00C46D04"/>
    <w:rsid w:val="00C46D09"/>
    <w:rsid w:val="00C46DD4"/>
    <w:rsid w:val="00C46E04"/>
    <w:rsid w:val="00C46E2F"/>
    <w:rsid w:val="00C47130"/>
    <w:rsid w:val="00C471DE"/>
    <w:rsid w:val="00C4732D"/>
    <w:rsid w:val="00C47439"/>
    <w:rsid w:val="00C4744E"/>
    <w:rsid w:val="00C47859"/>
    <w:rsid w:val="00C478E1"/>
    <w:rsid w:val="00C47E88"/>
    <w:rsid w:val="00C5000C"/>
    <w:rsid w:val="00C505B6"/>
    <w:rsid w:val="00C507AC"/>
    <w:rsid w:val="00C514BB"/>
    <w:rsid w:val="00C51595"/>
    <w:rsid w:val="00C51947"/>
    <w:rsid w:val="00C5199B"/>
    <w:rsid w:val="00C519E6"/>
    <w:rsid w:val="00C51E6F"/>
    <w:rsid w:val="00C51FB5"/>
    <w:rsid w:val="00C522B6"/>
    <w:rsid w:val="00C522E9"/>
    <w:rsid w:val="00C523A0"/>
    <w:rsid w:val="00C5246D"/>
    <w:rsid w:val="00C5259C"/>
    <w:rsid w:val="00C525D9"/>
    <w:rsid w:val="00C52710"/>
    <w:rsid w:val="00C52754"/>
    <w:rsid w:val="00C527F8"/>
    <w:rsid w:val="00C52896"/>
    <w:rsid w:val="00C528FF"/>
    <w:rsid w:val="00C52BCA"/>
    <w:rsid w:val="00C538B2"/>
    <w:rsid w:val="00C53A47"/>
    <w:rsid w:val="00C54034"/>
    <w:rsid w:val="00C5453A"/>
    <w:rsid w:val="00C5484B"/>
    <w:rsid w:val="00C549DD"/>
    <w:rsid w:val="00C54B56"/>
    <w:rsid w:val="00C552E3"/>
    <w:rsid w:val="00C555AF"/>
    <w:rsid w:val="00C55800"/>
    <w:rsid w:val="00C55C32"/>
    <w:rsid w:val="00C55EF1"/>
    <w:rsid w:val="00C55FF7"/>
    <w:rsid w:val="00C56079"/>
    <w:rsid w:val="00C560A9"/>
    <w:rsid w:val="00C564C0"/>
    <w:rsid w:val="00C565F5"/>
    <w:rsid w:val="00C567DB"/>
    <w:rsid w:val="00C568E1"/>
    <w:rsid w:val="00C568F6"/>
    <w:rsid w:val="00C56A7A"/>
    <w:rsid w:val="00C56AB4"/>
    <w:rsid w:val="00C56F8B"/>
    <w:rsid w:val="00C56FCC"/>
    <w:rsid w:val="00C57337"/>
    <w:rsid w:val="00C57375"/>
    <w:rsid w:val="00C574A5"/>
    <w:rsid w:val="00C57526"/>
    <w:rsid w:val="00C5763D"/>
    <w:rsid w:val="00C57835"/>
    <w:rsid w:val="00C57984"/>
    <w:rsid w:val="00C57A4D"/>
    <w:rsid w:val="00C57DE5"/>
    <w:rsid w:val="00C57F3E"/>
    <w:rsid w:val="00C57F82"/>
    <w:rsid w:val="00C57FE7"/>
    <w:rsid w:val="00C60087"/>
    <w:rsid w:val="00C6072E"/>
    <w:rsid w:val="00C607D4"/>
    <w:rsid w:val="00C6081D"/>
    <w:rsid w:val="00C60C82"/>
    <w:rsid w:val="00C60D4F"/>
    <w:rsid w:val="00C60DD7"/>
    <w:rsid w:val="00C60DE5"/>
    <w:rsid w:val="00C6101A"/>
    <w:rsid w:val="00C613A6"/>
    <w:rsid w:val="00C613C1"/>
    <w:rsid w:val="00C61635"/>
    <w:rsid w:val="00C61824"/>
    <w:rsid w:val="00C61939"/>
    <w:rsid w:val="00C61A3C"/>
    <w:rsid w:val="00C61A74"/>
    <w:rsid w:val="00C61C04"/>
    <w:rsid w:val="00C628A6"/>
    <w:rsid w:val="00C62AED"/>
    <w:rsid w:val="00C62B08"/>
    <w:rsid w:val="00C62B87"/>
    <w:rsid w:val="00C62CCC"/>
    <w:rsid w:val="00C62DE6"/>
    <w:rsid w:val="00C632EA"/>
    <w:rsid w:val="00C634B5"/>
    <w:rsid w:val="00C63D82"/>
    <w:rsid w:val="00C63DEB"/>
    <w:rsid w:val="00C63F82"/>
    <w:rsid w:val="00C641EF"/>
    <w:rsid w:val="00C6422B"/>
    <w:rsid w:val="00C642A8"/>
    <w:rsid w:val="00C643C9"/>
    <w:rsid w:val="00C64626"/>
    <w:rsid w:val="00C6469F"/>
    <w:rsid w:val="00C64808"/>
    <w:rsid w:val="00C6487B"/>
    <w:rsid w:val="00C64B31"/>
    <w:rsid w:val="00C64E54"/>
    <w:rsid w:val="00C651E0"/>
    <w:rsid w:val="00C6536B"/>
    <w:rsid w:val="00C6546F"/>
    <w:rsid w:val="00C65776"/>
    <w:rsid w:val="00C65784"/>
    <w:rsid w:val="00C65865"/>
    <w:rsid w:val="00C65963"/>
    <w:rsid w:val="00C659BB"/>
    <w:rsid w:val="00C65C8B"/>
    <w:rsid w:val="00C65CED"/>
    <w:rsid w:val="00C66041"/>
    <w:rsid w:val="00C660A7"/>
    <w:rsid w:val="00C6624B"/>
    <w:rsid w:val="00C66697"/>
    <w:rsid w:val="00C66794"/>
    <w:rsid w:val="00C667AB"/>
    <w:rsid w:val="00C66E2B"/>
    <w:rsid w:val="00C677B3"/>
    <w:rsid w:val="00C67846"/>
    <w:rsid w:val="00C67856"/>
    <w:rsid w:val="00C67B0A"/>
    <w:rsid w:val="00C67C34"/>
    <w:rsid w:val="00C67DB4"/>
    <w:rsid w:val="00C67FA4"/>
    <w:rsid w:val="00C704F9"/>
    <w:rsid w:val="00C70545"/>
    <w:rsid w:val="00C705B4"/>
    <w:rsid w:val="00C70A29"/>
    <w:rsid w:val="00C70A3B"/>
    <w:rsid w:val="00C70B0D"/>
    <w:rsid w:val="00C70B9F"/>
    <w:rsid w:val="00C70BD1"/>
    <w:rsid w:val="00C70D0E"/>
    <w:rsid w:val="00C70EC3"/>
    <w:rsid w:val="00C70ECE"/>
    <w:rsid w:val="00C7106E"/>
    <w:rsid w:val="00C7110F"/>
    <w:rsid w:val="00C713A7"/>
    <w:rsid w:val="00C71777"/>
    <w:rsid w:val="00C718BF"/>
    <w:rsid w:val="00C71F47"/>
    <w:rsid w:val="00C71F4D"/>
    <w:rsid w:val="00C71FBE"/>
    <w:rsid w:val="00C71FD0"/>
    <w:rsid w:val="00C723E4"/>
    <w:rsid w:val="00C72554"/>
    <w:rsid w:val="00C72657"/>
    <w:rsid w:val="00C728E6"/>
    <w:rsid w:val="00C72EEA"/>
    <w:rsid w:val="00C730DF"/>
    <w:rsid w:val="00C734B6"/>
    <w:rsid w:val="00C7356F"/>
    <w:rsid w:val="00C73703"/>
    <w:rsid w:val="00C73715"/>
    <w:rsid w:val="00C73772"/>
    <w:rsid w:val="00C73A40"/>
    <w:rsid w:val="00C73E84"/>
    <w:rsid w:val="00C7455D"/>
    <w:rsid w:val="00C748A6"/>
    <w:rsid w:val="00C74B33"/>
    <w:rsid w:val="00C74CD9"/>
    <w:rsid w:val="00C75153"/>
    <w:rsid w:val="00C75423"/>
    <w:rsid w:val="00C75EBD"/>
    <w:rsid w:val="00C767D6"/>
    <w:rsid w:val="00C76AA3"/>
    <w:rsid w:val="00C76AA7"/>
    <w:rsid w:val="00C76DAC"/>
    <w:rsid w:val="00C7743B"/>
    <w:rsid w:val="00C77650"/>
    <w:rsid w:val="00C7779E"/>
    <w:rsid w:val="00C77CD2"/>
    <w:rsid w:val="00C77D17"/>
    <w:rsid w:val="00C800B6"/>
    <w:rsid w:val="00C80271"/>
    <w:rsid w:val="00C8092B"/>
    <w:rsid w:val="00C80956"/>
    <w:rsid w:val="00C80D5F"/>
    <w:rsid w:val="00C80DC2"/>
    <w:rsid w:val="00C80F89"/>
    <w:rsid w:val="00C812A5"/>
    <w:rsid w:val="00C812D0"/>
    <w:rsid w:val="00C81586"/>
    <w:rsid w:val="00C8159B"/>
    <w:rsid w:val="00C815A1"/>
    <w:rsid w:val="00C81654"/>
    <w:rsid w:val="00C81B8D"/>
    <w:rsid w:val="00C81C31"/>
    <w:rsid w:val="00C81C44"/>
    <w:rsid w:val="00C81CAE"/>
    <w:rsid w:val="00C81CE2"/>
    <w:rsid w:val="00C81D3A"/>
    <w:rsid w:val="00C820DD"/>
    <w:rsid w:val="00C8217A"/>
    <w:rsid w:val="00C821D2"/>
    <w:rsid w:val="00C82475"/>
    <w:rsid w:val="00C82546"/>
    <w:rsid w:val="00C82A6B"/>
    <w:rsid w:val="00C82C4C"/>
    <w:rsid w:val="00C82ED1"/>
    <w:rsid w:val="00C82F40"/>
    <w:rsid w:val="00C8301E"/>
    <w:rsid w:val="00C831C2"/>
    <w:rsid w:val="00C8324A"/>
    <w:rsid w:val="00C83688"/>
    <w:rsid w:val="00C836D5"/>
    <w:rsid w:val="00C8383A"/>
    <w:rsid w:val="00C83BEF"/>
    <w:rsid w:val="00C83E10"/>
    <w:rsid w:val="00C842A8"/>
    <w:rsid w:val="00C84398"/>
    <w:rsid w:val="00C8485A"/>
    <w:rsid w:val="00C84A90"/>
    <w:rsid w:val="00C84CFD"/>
    <w:rsid w:val="00C84DCB"/>
    <w:rsid w:val="00C84E68"/>
    <w:rsid w:val="00C84EB3"/>
    <w:rsid w:val="00C8501C"/>
    <w:rsid w:val="00C85024"/>
    <w:rsid w:val="00C8521C"/>
    <w:rsid w:val="00C853DC"/>
    <w:rsid w:val="00C853FD"/>
    <w:rsid w:val="00C8540A"/>
    <w:rsid w:val="00C855A7"/>
    <w:rsid w:val="00C855AA"/>
    <w:rsid w:val="00C8560C"/>
    <w:rsid w:val="00C85749"/>
    <w:rsid w:val="00C857AA"/>
    <w:rsid w:val="00C8584B"/>
    <w:rsid w:val="00C85C2E"/>
    <w:rsid w:val="00C85DC7"/>
    <w:rsid w:val="00C85DDD"/>
    <w:rsid w:val="00C86014"/>
    <w:rsid w:val="00C8604C"/>
    <w:rsid w:val="00C861BD"/>
    <w:rsid w:val="00C86319"/>
    <w:rsid w:val="00C8663E"/>
    <w:rsid w:val="00C86642"/>
    <w:rsid w:val="00C86761"/>
    <w:rsid w:val="00C8677F"/>
    <w:rsid w:val="00C86B73"/>
    <w:rsid w:val="00C87229"/>
    <w:rsid w:val="00C87336"/>
    <w:rsid w:val="00C87BC1"/>
    <w:rsid w:val="00C87D14"/>
    <w:rsid w:val="00C87DD4"/>
    <w:rsid w:val="00C87E73"/>
    <w:rsid w:val="00C87F41"/>
    <w:rsid w:val="00C87FA3"/>
    <w:rsid w:val="00C9044C"/>
    <w:rsid w:val="00C90D21"/>
    <w:rsid w:val="00C90D47"/>
    <w:rsid w:val="00C90F49"/>
    <w:rsid w:val="00C90FAD"/>
    <w:rsid w:val="00C91049"/>
    <w:rsid w:val="00C9104F"/>
    <w:rsid w:val="00C9127A"/>
    <w:rsid w:val="00C912BA"/>
    <w:rsid w:val="00C91880"/>
    <w:rsid w:val="00C918C7"/>
    <w:rsid w:val="00C91A3D"/>
    <w:rsid w:val="00C91ADC"/>
    <w:rsid w:val="00C91CA2"/>
    <w:rsid w:val="00C92237"/>
    <w:rsid w:val="00C929D6"/>
    <w:rsid w:val="00C92A5C"/>
    <w:rsid w:val="00C92E61"/>
    <w:rsid w:val="00C92FEC"/>
    <w:rsid w:val="00C930A3"/>
    <w:rsid w:val="00C9313C"/>
    <w:rsid w:val="00C93150"/>
    <w:rsid w:val="00C931A5"/>
    <w:rsid w:val="00C93336"/>
    <w:rsid w:val="00C93C18"/>
    <w:rsid w:val="00C93D6A"/>
    <w:rsid w:val="00C93D6D"/>
    <w:rsid w:val="00C93FAF"/>
    <w:rsid w:val="00C94258"/>
    <w:rsid w:val="00C945F0"/>
    <w:rsid w:val="00C9467F"/>
    <w:rsid w:val="00C947B3"/>
    <w:rsid w:val="00C948B9"/>
    <w:rsid w:val="00C94974"/>
    <w:rsid w:val="00C94A2E"/>
    <w:rsid w:val="00C94E04"/>
    <w:rsid w:val="00C94F23"/>
    <w:rsid w:val="00C9542C"/>
    <w:rsid w:val="00C95449"/>
    <w:rsid w:val="00C956BE"/>
    <w:rsid w:val="00C9577C"/>
    <w:rsid w:val="00C95950"/>
    <w:rsid w:val="00C9596F"/>
    <w:rsid w:val="00C95BC3"/>
    <w:rsid w:val="00C96058"/>
    <w:rsid w:val="00C9619D"/>
    <w:rsid w:val="00C961D3"/>
    <w:rsid w:val="00C961F5"/>
    <w:rsid w:val="00C96504"/>
    <w:rsid w:val="00C9671B"/>
    <w:rsid w:val="00C96865"/>
    <w:rsid w:val="00C96922"/>
    <w:rsid w:val="00C969C8"/>
    <w:rsid w:val="00C96A3C"/>
    <w:rsid w:val="00C96A7B"/>
    <w:rsid w:val="00C96AAE"/>
    <w:rsid w:val="00C97154"/>
    <w:rsid w:val="00C972EF"/>
    <w:rsid w:val="00C97632"/>
    <w:rsid w:val="00C97EEA"/>
    <w:rsid w:val="00CA013E"/>
    <w:rsid w:val="00CA020B"/>
    <w:rsid w:val="00CA025D"/>
    <w:rsid w:val="00CA0350"/>
    <w:rsid w:val="00CA0389"/>
    <w:rsid w:val="00CA0458"/>
    <w:rsid w:val="00CA0485"/>
    <w:rsid w:val="00CA04CA"/>
    <w:rsid w:val="00CA05A6"/>
    <w:rsid w:val="00CA06B5"/>
    <w:rsid w:val="00CA0739"/>
    <w:rsid w:val="00CA08DA"/>
    <w:rsid w:val="00CA0B1E"/>
    <w:rsid w:val="00CA0C62"/>
    <w:rsid w:val="00CA0DC4"/>
    <w:rsid w:val="00CA0F72"/>
    <w:rsid w:val="00CA0FE7"/>
    <w:rsid w:val="00CA16E6"/>
    <w:rsid w:val="00CA1786"/>
    <w:rsid w:val="00CA1BF8"/>
    <w:rsid w:val="00CA1E78"/>
    <w:rsid w:val="00CA2047"/>
    <w:rsid w:val="00CA221B"/>
    <w:rsid w:val="00CA2528"/>
    <w:rsid w:val="00CA2676"/>
    <w:rsid w:val="00CA2C56"/>
    <w:rsid w:val="00CA3097"/>
    <w:rsid w:val="00CA3170"/>
    <w:rsid w:val="00CA3384"/>
    <w:rsid w:val="00CA34DC"/>
    <w:rsid w:val="00CA3739"/>
    <w:rsid w:val="00CA375B"/>
    <w:rsid w:val="00CA3791"/>
    <w:rsid w:val="00CA3975"/>
    <w:rsid w:val="00CA3AB9"/>
    <w:rsid w:val="00CA3CC5"/>
    <w:rsid w:val="00CA3CE0"/>
    <w:rsid w:val="00CA3FC0"/>
    <w:rsid w:val="00CA4944"/>
    <w:rsid w:val="00CA4B1A"/>
    <w:rsid w:val="00CA4D46"/>
    <w:rsid w:val="00CA4D4F"/>
    <w:rsid w:val="00CA4F38"/>
    <w:rsid w:val="00CA525B"/>
    <w:rsid w:val="00CA5471"/>
    <w:rsid w:val="00CA54D7"/>
    <w:rsid w:val="00CA575C"/>
    <w:rsid w:val="00CA5852"/>
    <w:rsid w:val="00CA5B57"/>
    <w:rsid w:val="00CA5CA6"/>
    <w:rsid w:val="00CA5D9D"/>
    <w:rsid w:val="00CA6029"/>
    <w:rsid w:val="00CA6B4A"/>
    <w:rsid w:val="00CA6B98"/>
    <w:rsid w:val="00CA6CC5"/>
    <w:rsid w:val="00CA6EED"/>
    <w:rsid w:val="00CA6F78"/>
    <w:rsid w:val="00CA6F79"/>
    <w:rsid w:val="00CA7011"/>
    <w:rsid w:val="00CA7239"/>
    <w:rsid w:val="00CA745E"/>
    <w:rsid w:val="00CA7546"/>
    <w:rsid w:val="00CA773D"/>
    <w:rsid w:val="00CA773E"/>
    <w:rsid w:val="00CA77F5"/>
    <w:rsid w:val="00CA7989"/>
    <w:rsid w:val="00CB0409"/>
    <w:rsid w:val="00CB06D4"/>
    <w:rsid w:val="00CB088D"/>
    <w:rsid w:val="00CB0C7E"/>
    <w:rsid w:val="00CB0E4C"/>
    <w:rsid w:val="00CB0F20"/>
    <w:rsid w:val="00CB1050"/>
    <w:rsid w:val="00CB10B4"/>
    <w:rsid w:val="00CB1D72"/>
    <w:rsid w:val="00CB1E33"/>
    <w:rsid w:val="00CB1E6E"/>
    <w:rsid w:val="00CB1F89"/>
    <w:rsid w:val="00CB1F8A"/>
    <w:rsid w:val="00CB1FF5"/>
    <w:rsid w:val="00CB2021"/>
    <w:rsid w:val="00CB23E2"/>
    <w:rsid w:val="00CB261E"/>
    <w:rsid w:val="00CB27D9"/>
    <w:rsid w:val="00CB28D0"/>
    <w:rsid w:val="00CB2DE1"/>
    <w:rsid w:val="00CB2ED3"/>
    <w:rsid w:val="00CB3121"/>
    <w:rsid w:val="00CB3169"/>
    <w:rsid w:val="00CB3332"/>
    <w:rsid w:val="00CB3728"/>
    <w:rsid w:val="00CB3C43"/>
    <w:rsid w:val="00CB3C5F"/>
    <w:rsid w:val="00CB409F"/>
    <w:rsid w:val="00CB42BE"/>
    <w:rsid w:val="00CB459A"/>
    <w:rsid w:val="00CB467C"/>
    <w:rsid w:val="00CB47BA"/>
    <w:rsid w:val="00CB4C6B"/>
    <w:rsid w:val="00CB4C93"/>
    <w:rsid w:val="00CB51C9"/>
    <w:rsid w:val="00CB52FF"/>
    <w:rsid w:val="00CB542A"/>
    <w:rsid w:val="00CB5662"/>
    <w:rsid w:val="00CB575E"/>
    <w:rsid w:val="00CB58DB"/>
    <w:rsid w:val="00CB59DD"/>
    <w:rsid w:val="00CB5A1A"/>
    <w:rsid w:val="00CB5A9F"/>
    <w:rsid w:val="00CB5B47"/>
    <w:rsid w:val="00CB5B8C"/>
    <w:rsid w:val="00CB5F36"/>
    <w:rsid w:val="00CB6118"/>
    <w:rsid w:val="00CB6EEA"/>
    <w:rsid w:val="00CB71CA"/>
    <w:rsid w:val="00CB735F"/>
    <w:rsid w:val="00CB741C"/>
    <w:rsid w:val="00CB783B"/>
    <w:rsid w:val="00CB790A"/>
    <w:rsid w:val="00CB7AF3"/>
    <w:rsid w:val="00CB7B54"/>
    <w:rsid w:val="00CB7D26"/>
    <w:rsid w:val="00CB7EE3"/>
    <w:rsid w:val="00CC015B"/>
    <w:rsid w:val="00CC028C"/>
    <w:rsid w:val="00CC0311"/>
    <w:rsid w:val="00CC0379"/>
    <w:rsid w:val="00CC05E3"/>
    <w:rsid w:val="00CC077D"/>
    <w:rsid w:val="00CC08A5"/>
    <w:rsid w:val="00CC08BE"/>
    <w:rsid w:val="00CC0919"/>
    <w:rsid w:val="00CC0920"/>
    <w:rsid w:val="00CC0966"/>
    <w:rsid w:val="00CC0A7E"/>
    <w:rsid w:val="00CC0AB0"/>
    <w:rsid w:val="00CC0B3E"/>
    <w:rsid w:val="00CC0C18"/>
    <w:rsid w:val="00CC1621"/>
    <w:rsid w:val="00CC1C9A"/>
    <w:rsid w:val="00CC21F2"/>
    <w:rsid w:val="00CC251B"/>
    <w:rsid w:val="00CC264A"/>
    <w:rsid w:val="00CC2810"/>
    <w:rsid w:val="00CC2869"/>
    <w:rsid w:val="00CC28DB"/>
    <w:rsid w:val="00CC296C"/>
    <w:rsid w:val="00CC29A0"/>
    <w:rsid w:val="00CC2A41"/>
    <w:rsid w:val="00CC3189"/>
    <w:rsid w:val="00CC3269"/>
    <w:rsid w:val="00CC32B5"/>
    <w:rsid w:val="00CC3312"/>
    <w:rsid w:val="00CC33D2"/>
    <w:rsid w:val="00CC33E5"/>
    <w:rsid w:val="00CC3549"/>
    <w:rsid w:val="00CC3D55"/>
    <w:rsid w:val="00CC407A"/>
    <w:rsid w:val="00CC46AF"/>
    <w:rsid w:val="00CC46E9"/>
    <w:rsid w:val="00CC48B3"/>
    <w:rsid w:val="00CC48F8"/>
    <w:rsid w:val="00CC492D"/>
    <w:rsid w:val="00CC4A3D"/>
    <w:rsid w:val="00CC4BFF"/>
    <w:rsid w:val="00CC4C4E"/>
    <w:rsid w:val="00CC4FF0"/>
    <w:rsid w:val="00CC5137"/>
    <w:rsid w:val="00CC53E0"/>
    <w:rsid w:val="00CC552B"/>
    <w:rsid w:val="00CC559D"/>
    <w:rsid w:val="00CC56B0"/>
    <w:rsid w:val="00CC5754"/>
    <w:rsid w:val="00CC594C"/>
    <w:rsid w:val="00CC5A0B"/>
    <w:rsid w:val="00CC5A69"/>
    <w:rsid w:val="00CC5CD0"/>
    <w:rsid w:val="00CC5DC7"/>
    <w:rsid w:val="00CC5F8F"/>
    <w:rsid w:val="00CC5F96"/>
    <w:rsid w:val="00CC6130"/>
    <w:rsid w:val="00CC63F6"/>
    <w:rsid w:val="00CC6515"/>
    <w:rsid w:val="00CC692D"/>
    <w:rsid w:val="00CC6954"/>
    <w:rsid w:val="00CC6EAA"/>
    <w:rsid w:val="00CC7289"/>
    <w:rsid w:val="00CC7437"/>
    <w:rsid w:val="00CC7562"/>
    <w:rsid w:val="00CC78F8"/>
    <w:rsid w:val="00CC7B02"/>
    <w:rsid w:val="00CD0196"/>
    <w:rsid w:val="00CD0202"/>
    <w:rsid w:val="00CD0285"/>
    <w:rsid w:val="00CD0777"/>
    <w:rsid w:val="00CD0848"/>
    <w:rsid w:val="00CD0AB4"/>
    <w:rsid w:val="00CD0B2D"/>
    <w:rsid w:val="00CD0D39"/>
    <w:rsid w:val="00CD0E3E"/>
    <w:rsid w:val="00CD0E98"/>
    <w:rsid w:val="00CD0EB5"/>
    <w:rsid w:val="00CD1029"/>
    <w:rsid w:val="00CD1046"/>
    <w:rsid w:val="00CD12E8"/>
    <w:rsid w:val="00CD1328"/>
    <w:rsid w:val="00CD141E"/>
    <w:rsid w:val="00CD17B2"/>
    <w:rsid w:val="00CD1B71"/>
    <w:rsid w:val="00CD1E3F"/>
    <w:rsid w:val="00CD1F26"/>
    <w:rsid w:val="00CD1FC9"/>
    <w:rsid w:val="00CD2376"/>
    <w:rsid w:val="00CD23EC"/>
    <w:rsid w:val="00CD24D5"/>
    <w:rsid w:val="00CD25BE"/>
    <w:rsid w:val="00CD265E"/>
    <w:rsid w:val="00CD2F9F"/>
    <w:rsid w:val="00CD2FD8"/>
    <w:rsid w:val="00CD300D"/>
    <w:rsid w:val="00CD30FE"/>
    <w:rsid w:val="00CD34C0"/>
    <w:rsid w:val="00CD356A"/>
    <w:rsid w:val="00CD3596"/>
    <w:rsid w:val="00CD3901"/>
    <w:rsid w:val="00CD3BA4"/>
    <w:rsid w:val="00CD3BBE"/>
    <w:rsid w:val="00CD3C79"/>
    <w:rsid w:val="00CD3CB4"/>
    <w:rsid w:val="00CD3F14"/>
    <w:rsid w:val="00CD3F32"/>
    <w:rsid w:val="00CD4088"/>
    <w:rsid w:val="00CD40DD"/>
    <w:rsid w:val="00CD43CD"/>
    <w:rsid w:val="00CD4456"/>
    <w:rsid w:val="00CD4C82"/>
    <w:rsid w:val="00CD4DC3"/>
    <w:rsid w:val="00CD53AE"/>
    <w:rsid w:val="00CD557F"/>
    <w:rsid w:val="00CD5680"/>
    <w:rsid w:val="00CD57D2"/>
    <w:rsid w:val="00CD5863"/>
    <w:rsid w:val="00CD5CF0"/>
    <w:rsid w:val="00CD5D1A"/>
    <w:rsid w:val="00CD5E95"/>
    <w:rsid w:val="00CD6032"/>
    <w:rsid w:val="00CD6580"/>
    <w:rsid w:val="00CD65AF"/>
    <w:rsid w:val="00CD6714"/>
    <w:rsid w:val="00CD6739"/>
    <w:rsid w:val="00CD6B7B"/>
    <w:rsid w:val="00CD6B94"/>
    <w:rsid w:val="00CD6D4D"/>
    <w:rsid w:val="00CD6FA9"/>
    <w:rsid w:val="00CD7210"/>
    <w:rsid w:val="00CD7469"/>
    <w:rsid w:val="00CD772B"/>
    <w:rsid w:val="00CD7AD8"/>
    <w:rsid w:val="00CD7B93"/>
    <w:rsid w:val="00CD7DD1"/>
    <w:rsid w:val="00CD7E15"/>
    <w:rsid w:val="00CD7F14"/>
    <w:rsid w:val="00CE04B2"/>
    <w:rsid w:val="00CE052F"/>
    <w:rsid w:val="00CE07BB"/>
    <w:rsid w:val="00CE0A2E"/>
    <w:rsid w:val="00CE0AF8"/>
    <w:rsid w:val="00CE0D85"/>
    <w:rsid w:val="00CE10F5"/>
    <w:rsid w:val="00CE1508"/>
    <w:rsid w:val="00CE1589"/>
    <w:rsid w:val="00CE160A"/>
    <w:rsid w:val="00CE162C"/>
    <w:rsid w:val="00CE1718"/>
    <w:rsid w:val="00CE2612"/>
    <w:rsid w:val="00CE2743"/>
    <w:rsid w:val="00CE2794"/>
    <w:rsid w:val="00CE2ECA"/>
    <w:rsid w:val="00CE301F"/>
    <w:rsid w:val="00CE302B"/>
    <w:rsid w:val="00CE31F4"/>
    <w:rsid w:val="00CE327D"/>
    <w:rsid w:val="00CE32C7"/>
    <w:rsid w:val="00CE33AF"/>
    <w:rsid w:val="00CE37CE"/>
    <w:rsid w:val="00CE395C"/>
    <w:rsid w:val="00CE3C7D"/>
    <w:rsid w:val="00CE3DC8"/>
    <w:rsid w:val="00CE4205"/>
    <w:rsid w:val="00CE42E4"/>
    <w:rsid w:val="00CE43D4"/>
    <w:rsid w:val="00CE47B5"/>
    <w:rsid w:val="00CE4874"/>
    <w:rsid w:val="00CE495F"/>
    <w:rsid w:val="00CE4C12"/>
    <w:rsid w:val="00CE4C2F"/>
    <w:rsid w:val="00CE4D2B"/>
    <w:rsid w:val="00CE4FBE"/>
    <w:rsid w:val="00CE555A"/>
    <w:rsid w:val="00CE563B"/>
    <w:rsid w:val="00CE5728"/>
    <w:rsid w:val="00CE5829"/>
    <w:rsid w:val="00CE5F8C"/>
    <w:rsid w:val="00CE6258"/>
    <w:rsid w:val="00CE664D"/>
    <w:rsid w:val="00CE6848"/>
    <w:rsid w:val="00CE6B3A"/>
    <w:rsid w:val="00CE6FD2"/>
    <w:rsid w:val="00CE721D"/>
    <w:rsid w:val="00CE7259"/>
    <w:rsid w:val="00CE726A"/>
    <w:rsid w:val="00CE73D5"/>
    <w:rsid w:val="00CE76FE"/>
    <w:rsid w:val="00CE7B65"/>
    <w:rsid w:val="00CE7CC8"/>
    <w:rsid w:val="00CE7E20"/>
    <w:rsid w:val="00CE7E9C"/>
    <w:rsid w:val="00CF02C6"/>
    <w:rsid w:val="00CF0716"/>
    <w:rsid w:val="00CF0819"/>
    <w:rsid w:val="00CF093E"/>
    <w:rsid w:val="00CF0963"/>
    <w:rsid w:val="00CF0A83"/>
    <w:rsid w:val="00CF0D45"/>
    <w:rsid w:val="00CF0EA4"/>
    <w:rsid w:val="00CF0F0A"/>
    <w:rsid w:val="00CF107F"/>
    <w:rsid w:val="00CF1353"/>
    <w:rsid w:val="00CF1374"/>
    <w:rsid w:val="00CF13A7"/>
    <w:rsid w:val="00CF1543"/>
    <w:rsid w:val="00CF17F4"/>
    <w:rsid w:val="00CF18C1"/>
    <w:rsid w:val="00CF1C0D"/>
    <w:rsid w:val="00CF1EE2"/>
    <w:rsid w:val="00CF2436"/>
    <w:rsid w:val="00CF25D2"/>
    <w:rsid w:val="00CF27E1"/>
    <w:rsid w:val="00CF293A"/>
    <w:rsid w:val="00CF2990"/>
    <w:rsid w:val="00CF2B0F"/>
    <w:rsid w:val="00CF2B19"/>
    <w:rsid w:val="00CF2BE9"/>
    <w:rsid w:val="00CF2D7F"/>
    <w:rsid w:val="00CF3394"/>
    <w:rsid w:val="00CF34B4"/>
    <w:rsid w:val="00CF36CA"/>
    <w:rsid w:val="00CF3719"/>
    <w:rsid w:val="00CF3A47"/>
    <w:rsid w:val="00CF3BE6"/>
    <w:rsid w:val="00CF3CDE"/>
    <w:rsid w:val="00CF3CEA"/>
    <w:rsid w:val="00CF3E7F"/>
    <w:rsid w:val="00CF3FAC"/>
    <w:rsid w:val="00CF400E"/>
    <w:rsid w:val="00CF413B"/>
    <w:rsid w:val="00CF42AA"/>
    <w:rsid w:val="00CF473B"/>
    <w:rsid w:val="00CF4945"/>
    <w:rsid w:val="00CF4CD5"/>
    <w:rsid w:val="00CF53C1"/>
    <w:rsid w:val="00CF5591"/>
    <w:rsid w:val="00CF5D0E"/>
    <w:rsid w:val="00CF62AA"/>
    <w:rsid w:val="00CF66FB"/>
    <w:rsid w:val="00CF6754"/>
    <w:rsid w:val="00CF6917"/>
    <w:rsid w:val="00CF69F5"/>
    <w:rsid w:val="00CF6DA0"/>
    <w:rsid w:val="00CF6F5D"/>
    <w:rsid w:val="00CF77DA"/>
    <w:rsid w:val="00CF79E8"/>
    <w:rsid w:val="00CF7A17"/>
    <w:rsid w:val="00CF7AB1"/>
    <w:rsid w:val="00CF7B59"/>
    <w:rsid w:val="00CF7E22"/>
    <w:rsid w:val="00CF7E61"/>
    <w:rsid w:val="00D0003D"/>
    <w:rsid w:val="00D0017B"/>
    <w:rsid w:val="00D00214"/>
    <w:rsid w:val="00D006E1"/>
    <w:rsid w:val="00D0077A"/>
    <w:rsid w:val="00D00857"/>
    <w:rsid w:val="00D00A64"/>
    <w:rsid w:val="00D00ABC"/>
    <w:rsid w:val="00D00B1E"/>
    <w:rsid w:val="00D00B86"/>
    <w:rsid w:val="00D00BE4"/>
    <w:rsid w:val="00D00FF9"/>
    <w:rsid w:val="00D011D0"/>
    <w:rsid w:val="00D013FA"/>
    <w:rsid w:val="00D01447"/>
    <w:rsid w:val="00D01624"/>
    <w:rsid w:val="00D016DA"/>
    <w:rsid w:val="00D0172E"/>
    <w:rsid w:val="00D017C2"/>
    <w:rsid w:val="00D01B8A"/>
    <w:rsid w:val="00D01BD4"/>
    <w:rsid w:val="00D02640"/>
    <w:rsid w:val="00D02728"/>
    <w:rsid w:val="00D02AB6"/>
    <w:rsid w:val="00D02B5D"/>
    <w:rsid w:val="00D02C82"/>
    <w:rsid w:val="00D02CAA"/>
    <w:rsid w:val="00D03020"/>
    <w:rsid w:val="00D0368A"/>
    <w:rsid w:val="00D038B9"/>
    <w:rsid w:val="00D038CF"/>
    <w:rsid w:val="00D03F98"/>
    <w:rsid w:val="00D042DD"/>
    <w:rsid w:val="00D043D6"/>
    <w:rsid w:val="00D04575"/>
    <w:rsid w:val="00D047B4"/>
    <w:rsid w:val="00D047CE"/>
    <w:rsid w:val="00D049DD"/>
    <w:rsid w:val="00D04A68"/>
    <w:rsid w:val="00D04AEB"/>
    <w:rsid w:val="00D04CE2"/>
    <w:rsid w:val="00D04DF2"/>
    <w:rsid w:val="00D04E89"/>
    <w:rsid w:val="00D04EFA"/>
    <w:rsid w:val="00D04FA3"/>
    <w:rsid w:val="00D05219"/>
    <w:rsid w:val="00D05311"/>
    <w:rsid w:val="00D05429"/>
    <w:rsid w:val="00D05431"/>
    <w:rsid w:val="00D05591"/>
    <w:rsid w:val="00D057D7"/>
    <w:rsid w:val="00D0597E"/>
    <w:rsid w:val="00D05E48"/>
    <w:rsid w:val="00D05FD2"/>
    <w:rsid w:val="00D05FF9"/>
    <w:rsid w:val="00D0612F"/>
    <w:rsid w:val="00D06189"/>
    <w:rsid w:val="00D061C7"/>
    <w:rsid w:val="00D06B03"/>
    <w:rsid w:val="00D06DA8"/>
    <w:rsid w:val="00D06DAC"/>
    <w:rsid w:val="00D06E75"/>
    <w:rsid w:val="00D06F43"/>
    <w:rsid w:val="00D071A8"/>
    <w:rsid w:val="00D072BE"/>
    <w:rsid w:val="00D073A2"/>
    <w:rsid w:val="00D079C3"/>
    <w:rsid w:val="00D07A1A"/>
    <w:rsid w:val="00D07A63"/>
    <w:rsid w:val="00D07E6D"/>
    <w:rsid w:val="00D105CC"/>
    <w:rsid w:val="00D10601"/>
    <w:rsid w:val="00D106AE"/>
    <w:rsid w:val="00D10710"/>
    <w:rsid w:val="00D10C10"/>
    <w:rsid w:val="00D10F9B"/>
    <w:rsid w:val="00D1110D"/>
    <w:rsid w:val="00D11204"/>
    <w:rsid w:val="00D114E8"/>
    <w:rsid w:val="00D116F8"/>
    <w:rsid w:val="00D11747"/>
    <w:rsid w:val="00D11D06"/>
    <w:rsid w:val="00D1285A"/>
    <w:rsid w:val="00D128BF"/>
    <w:rsid w:val="00D12C88"/>
    <w:rsid w:val="00D12CC2"/>
    <w:rsid w:val="00D13016"/>
    <w:rsid w:val="00D13452"/>
    <w:rsid w:val="00D134E5"/>
    <w:rsid w:val="00D13BF1"/>
    <w:rsid w:val="00D13E3E"/>
    <w:rsid w:val="00D13F90"/>
    <w:rsid w:val="00D141D2"/>
    <w:rsid w:val="00D14A22"/>
    <w:rsid w:val="00D14C90"/>
    <w:rsid w:val="00D14CD8"/>
    <w:rsid w:val="00D14E49"/>
    <w:rsid w:val="00D14FD8"/>
    <w:rsid w:val="00D15705"/>
    <w:rsid w:val="00D1572E"/>
    <w:rsid w:val="00D15B9A"/>
    <w:rsid w:val="00D15DAE"/>
    <w:rsid w:val="00D15EEA"/>
    <w:rsid w:val="00D166F3"/>
    <w:rsid w:val="00D168B9"/>
    <w:rsid w:val="00D1696D"/>
    <w:rsid w:val="00D16A48"/>
    <w:rsid w:val="00D16CA0"/>
    <w:rsid w:val="00D16CEF"/>
    <w:rsid w:val="00D16EC8"/>
    <w:rsid w:val="00D16F39"/>
    <w:rsid w:val="00D1711D"/>
    <w:rsid w:val="00D171D1"/>
    <w:rsid w:val="00D178AC"/>
    <w:rsid w:val="00D17C68"/>
    <w:rsid w:val="00D17D37"/>
    <w:rsid w:val="00D17E9E"/>
    <w:rsid w:val="00D17EA9"/>
    <w:rsid w:val="00D2028F"/>
    <w:rsid w:val="00D205A5"/>
    <w:rsid w:val="00D2074D"/>
    <w:rsid w:val="00D20793"/>
    <w:rsid w:val="00D20B9F"/>
    <w:rsid w:val="00D20CFB"/>
    <w:rsid w:val="00D20FB5"/>
    <w:rsid w:val="00D210A9"/>
    <w:rsid w:val="00D21646"/>
    <w:rsid w:val="00D218FE"/>
    <w:rsid w:val="00D2194F"/>
    <w:rsid w:val="00D222AB"/>
    <w:rsid w:val="00D228A4"/>
    <w:rsid w:val="00D2303A"/>
    <w:rsid w:val="00D230D7"/>
    <w:rsid w:val="00D2332F"/>
    <w:rsid w:val="00D23618"/>
    <w:rsid w:val="00D2374E"/>
    <w:rsid w:val="00D238A5"/>
    <w:rsid w:val="00D241F1"/>
    <w:rsid w:val="00D24680"/>
    <w:rsid w:val="00D24AC5"/>
    <w:rsid w:val="00D24B21"/>
    <w:rsid w:val="00D24E79"/>
    <w:rsid w:val="00D24EE7"/>
    <w:rsid w:val="00D25174"/>
    <w:rsid w:val="00D2525B"/>
    <w:rsid w:val="00D254A7"/>
    <w:rsid w:val="00D25680"/>
    <w:rsid w:val="00D2583D"/>
    <w:rsid w:val="00D25A20"/>
    <w:rsid w:val="00D25D13"/>
    <w:rsid w:val="00D25F9F"/>
    <w:rsid w:val="00D261B6"/>
    <w:rsid w:val="00D26261"/>
    <w:rsid w:val="00D265CE"/>
    <w:rsid w:val="00D26785"/>
    <w:rsid w:val="00D26C60"/>
    <w:rsid w:val="00D26D4E"/>
    <w:rsid w:val="00D26EBC"/>
    <w:rsid w:val="00D270AF"/>
    <w:rsid w:val="00D2710C"/>
    <w:rsid w:val="00D2730E"/>
    <w:rsid w:val="00D27376"/>
    <w:rsid w:val="00D274C3"/>
    <w:rsid w:val="00D27755"/>
    <w:rsid w:val="00D27866"/>
    <w:rsid w:val="00D27C93"/>
    <w:rsid w:val="00D3015A"/>
    <w:rsid w:val="00D302C6"/>
    <w:rsid w:val="00D3032C"/>
    <w:rsid w:val="00D308C9"/>
    <w:rsid w:val="00D30A0E"/>
    <w:rsid w:val="00D30FE8"/>
    <w:rsid w:val="00D31322"/>
    <w:rsid w:val="00D313CF"/>
    <w:rsid w:val="00D315A3"/>
    <w:rsid w:val="00D316E6"/>
    <w:rsid w:val="00D318C3"/>
    <w:rsid w:val="00D31A5A"/>
    <w:rsid w:val="00D31EC0"/>
    <w:rsid w:val="00D31FA3"/>
    <w:rsid w:val="00D32190"/>
    <w:rsid w:val="00D32225"/>
    <w:rsid w:val="00D32421"/>
    <w:rsid w:val="00D32473"/>
    <w:rsid w:val="00D3261D"/>
    <w:rsid w:val="00D3274E"/>
    <w:rsid w:val="00D328A2"/>
    <w:rsid w:val="00D32EAF"/>
    <w:rsid w:val="00D32F4A"/>
    <w:rsid w:val="00D330F5"/>
    <w:rsid w:val="00D33435"/>
    <w:rsid w:val="00D33770"/>
    <w:rsid w:val="00D33D2F"/>
    <w:rsid w:val="00D33D76"/>
    <w:rsid w:val="00D33DD0"/>
    <w:rsid w:val="00D33FD7"/>
    <w:rsid w:val="00D3404D"/>
    <w:rsid w:val="00D341B2"/>
    <w:rsid w:val="00D3448D"/>
    <w:rsid w:val="00D3467D"/>
    <w:rsid w:val="00D346F7"/>
    <w:rsid w:val="00D34AB7"/>
    <w:rsid w:val="00D34B7A"/>
    <w:rsid w:val="00D34C19"/>
    <w:rsid w:val="00D34DAA"/>
    <w:rsid w:val="00D350F7"/>
    <w:rsid w:val="00D352A9"/>
    <w:rsid w:val="00D353B6"/>
    <w:rsid w:val="00D35448"/>
    <w:rsid w:val="00D35712"/>
    <w:rsid w:val="00D3593B"/>
    <w:rsid w:val="00D35C04"/>
    <w:rsid w:val="00D35C92"/>
    <w:rsid w:val="00D35ED5"/>
    <w:rsid w:val="00D36034"/>
    <w:rsid w:val="00D360E2"/>
    <w:rsid w:val="00D36193"/>
    <w:rsid w:val="00D36204"/>
    <w:rsid w:val="00D36337"/>
    <w:rsid w:val="00D3669B"/>
    <w:rsid w:val="00D36782"/>
    <w:rsid w:val="00D36845"/>
    <w:rsid w:val="00D368E5"/>
    <w:rsid w:val="00D36DD6"/>
    <w:rsid w:val="00D36F2F"/>
    <w:rsid w:val="00D3706D"/>
    <w:rsid w:val="00D37096"/>
    <w:rsid w:val="00D37447"/>
    <w:rsid w:val="00D375F1"/>
    <w:rsid w:val="00D37836"/>
    <w:rsid w:val="00D37AD9"/>
    <w:rsid w:val="00D37DCD"/>
    <w:rsid w:val="00D37E18"/>
    <w:rsid w:val="00D37EA4"/>
    <w:rsid w:val="00D37FAB"/>
    <w:rsid w:val="00D40220"/>
    <w:rsid w:val="00D40614"/>
    <w:rsid w:val="00D40718"/>
    <w:rsid w:val="00D40783"/>
    <w:rsid w:val="00D40933"/>
    <w:rsid w:val="00D40A02"/>
    <w:rsid w:val="00D40C94"/>
    <w:rsid w:val="00D40DA1"/>
    <w:rsid w:val="00D40E24"/>
    <w:rsid w:val="00D40F5F"/>
    <w:rsid w:val="00D411BB"/>
    <w:rsid w:val="00D4174F"/>
    <w:rsid w:val="00D41798"/>
    <w:rsid w:val="00D418E6"/>
    <w:rsid w:val="00D41CDF"/>
    <w:rsid w:val="00D41E4A"/>
    <w:rsid w:val="00D424AC"/>
    <w:rsid w:val="00D42556"/>
    <w:rsid w:val="00D42B60"/>
    <w:rsid w:val="00D42C26"/>
    <w:rsid w:val="00D4331F"/>
    <w:rsid w:val="00D43647"/>
    <w:rsid w:val="00D4386A"/>
    <w:rsid w:val="00D438DB"/>
    <w:rsid w:val="00D4390B"/>
    <w:rsid w:val="00D43AA2"/>
    <w:rsid w:val="00D43B28"/>
    <w:rsid w:val="00D43C70"/>
    <w:rsid w:val="00D43CA8"/>
    <w:rsid w:val="00D43CAD"/>
    <w:rsid w:val="00D43D40"/>
    <w:rsid w:val="00D43D90"/>
    <w:rsid w:val="00D43E52"/>
    <w:rsid w:val="00D43F33"/>
    <w:rsid w:val="00D4433C"/>
    <w:rsid w:val="00D44AAC"/>
    <w:rsid w:val="00D44C96"/>
    <w:rsid w:val="00D45062"/>
    <w:rsid w:val="00D450F2"/>
    <w:rsid w:val="00D45447"/>
    <w:rsid w:val="00D458F5"/>
    <w:rsid w:val="00D45B33"/>
    <w:rsid w:val="00D45CCB"/>
    <w:rsid w:val="00D463D1"/>
    <w:rsid w:val="00D4651D"/>
    <w:rsid w:val="00D4689E"/>
    <w:rsid w:val="00D468DA"/>
    <w:rsid w:val="00D46958"/>
    <w:rsid w:val="00D46C13"/>
    <w:rsid w:val="00D46CA2"/>
    <w:rsid w:val="00D47A09"/>
    <w:rsid w:val="00D47C23"/>
    <w:rsid w:val="00D47C2B"/>
    <w:rsid w:val="00D47D19"/>
    <w:rsid w:val="00D47F55"/>
    <w:rsid w:val="00D504BD"/>
    <w:rsid w:val="00D50E35"/>
    <w:rsid w:val="00D51607"/>
    <w:rsid w:val="00D51E06"/>
    <w:rsid w:val="00D51EC3"/>
    <w:rsid w:val="00D51FE3"/>
    <w:rsid w:val="00D520CE"/>
    <w:rsid w:val="00D52174"/>
    <w:rsid w:val="00D529C0"/>
    <w:rsid w:val="00D52A8A"/>
    <w:rsid w:val="00D52C63"/>
    <w:rsid w:val="00D52E3A"/>
    <w:rsid w:val="00D52E70"/>
    <w:rsid w:val="00D535B5"/>
    <w:rsid w:val="00D537A7"/>
    <w:rsid w:val="00D53BAE"/>
    <w:rsid w:val="00D53D94"/>
    <w:rsid w:val="00D53EFE"/>
    <w:rsid w:val="00D54350"/>
    <w:rsid w:val="00D5446C"/>
    <w:rsid w:val="00D544E5"/>
    <w:rsid w:val="00D5478A"/>
    <w:rsid w:val="00D54A68"/>
    <w:rsid w:val="00D54ED8"/>
    <w:rsid w:val="00D55220"/>
    <w:rsid w:val="00D552C6"/>
    <w:rsid w:val="00D5569B"/>
    <w:rsid w:val="00D557F1"/>
    <w:rsid w:val="00D557FE"/>
    <w:rsid w:val="00D5585E"/>
    <w:rsid w:val="00D5593E"/>
    <w:rsid w:val="00D55C85"/>
    <w:rsid w:val="00D56421"/>
    <w:rsid w:val="00D56445"/>
    <w:rsid w:val="00D56D65"/>
    <w:rsid w:val="00D57199"/>
    <w:rsid w:val="00D57205"/>
    <w:rsid w:val="00D5748E"/>
    <w:rsid w:val="00D57545"/>
    <w:rsid w:val="00D57990"/>
    <w:rsid w:val="00D60029"/>
    <w:rsid w:val="00D60507"/>
    <w:rsid w:val="00D60904"/>
    <w:rsid w:val="00D6101A"/>
    <w:rsid w:val="00D6111B"/>
    <w:rsid w:val="00D613EA"/>
    <w:rsid w:val="00D617AB"/>
    <w:rsid w:val="00D61ACF"/>
    <w:rsid w:val="00D61C26"/>
    <w:rsid w:val="00D61F73"/>
    <w:rsid w:val="00D622DE"/>
    <w:rsid w:val="00D62408"/>
    <w:rsid w:val="00D62668"/>
    <w:rsid w:val="00D6286E"/>
    <w:rsid w:val="00D62C4D"/>
    <w:rsid w:val="00D62FB6"/>
    <w:rsid w:val="00D63161"/>
    <w:rsid w:val="00D631A2"/>
    <w:rsid w:val="00D633AA"/>
    <w:rsid w:val="00D634CC"/>
    <w:rsid w:val="00D634E7"/>
    <w:rsid w:val="00D6365D"/>
    <w:rsid w:val="00D638B8"/>
    <w:rsid w:val="00D638FE"/>
    <w:rsid w:val="00D640AA"/>
    <w:rsid w:val="00D64193"/>
    <w:rsid w:val="00D6438A"/>
    <w:rsid w:val="00D643C1"/>
    <w:rsid w:val="00D6463B"/>
    <w:rsid w:val="00D64A17"/>
    <w:rsid w:val="00D64B1E"/>
    <w:rsid w:val="00D64B5A"/>
    <w:rsid w:val="00D64EDA"/>
    <w:rsid w:val="00D6509C"/>
    <w:rsid w:val="00D650FF"/>
    <w:rsid w:val="00D65560"/>
    <w:rsid w:val="00D65664"/>
    <w:rsid w:val="00D65827"/>
    <w:rsid w:val="00D65933"/>
    <w:rsid w:val="00D65D0A"/>
    <w:rsid w:val="00D65D7C"/>
    <w:rsid w:val="00D65FC4"/>
    <w:rsid w:val="00D660DF"/>
    <w:rsid w:val="00D66299"/>
    <w:rsid w:val="00D66684"/>
    <w:rsid w:val="00D666A8"/>
    <w:rsid w:val="00D667BE"/>
    <w:rsid w:val="00D668B5"/>
    <w:rsid w:val="00D669CE"/>
    <w:rsid w:val="00D66A37"/>
    <w:rsid w:val="00D66AA5"/>
    <w:rsid w:val="00D66B9A"/>
    <w:rsid w:val="00D66DCA"/>
    <w:rsid w:val="00D6719B"/>
    <w:rsid w:val="00D677BA"/>
    <w:rsid w:val="00D677E2"/>
    <w:rsid w:val="00D6797E"/>
    <w:rsid w:val="00D67D88"/>
    <w:rsid w:val="00D67E8C"/>
    <w:rsid w:val="00D67F37"/>
    <w:rsid w:val="00D70451"/>
    <w:rsid w:val="00D704EC"/>
    <w:rsid w:val="00D70525"/>
    <w:rsid w:val="00D70ACB"/>
    <w:rsid w:val="00D70E7B"/>
    <w:rsid w:val="00D70F42"/>
    <w:rsid w:val="00D71084"/>
    <w:rsid w:val="00D7123E"/>
    <w:rsid w:val="00D7133E"/>
    <w:rsid w:val="00D71406"/>
    <w:rsid w:val="00D715C4"/>
    <w:rsid w:val="00D71696"/>
    <w:rsid w:val="00D71846"/>
    <w:rsid w:val="00D718C7"/>
    <w:rsid w:val="00D71955"/>
    <w:rsid w:val="00D71C47"/>
    <w:rsid w:val="00D71CE4"/>
    <w:rsid w:val="00D71D65"/>
    <w:rsid w:val="00D71EF8"/>
    <w:rsid w:val="00D72058"/>
    <w:rsid w:val="00D723B3"/>
    <w:rsid w:val="00D724A4"/>
    <w:rsid w:val="00D72898"/>
    <w:rsid w:val="00D728CF"/>
    <w:rsid w:val="00D728EB"/>
    <w:rsid w:val="00D72D40"/>
    <w:rsid w:val="00D72D63"/>
    <w:rsid w:val="00D72DDD"/>
    <w:rsid w:val="00D72F47"/>
    <w:rsid w:val="00D73013"/>
    <w:rsid w:val="00D73049"/>
    <w:rsid w:val="00D7329D"/>
    <w:rsid w:val="00D73594"/>
    <w:rsid w:val="00D73D06"/>
    <w:rsid w:val="00D74043"/>
    <w:rsid w:val="00D7426D"/>
    <w:rsid w:val="00D74780"/>
    <w:rsid w:val="00D74918"/>
    <w:rsid w:val="00D74970"/>
    <w:rsid w:val="00D74C66"/>
    <w:rsid w:val="00D75005"/>
    <w:rsid w:val="00D7525E"/>
    <w:rsid w:val="00D7528A"/>
    <w:rsid w:val="00D75682"/>
    <w:rsid w:val="00D75B99"/>
    <w:rsid w:val="00D75D31"/>
    <w:rsid w:val="00D75D8C"/>
    <w:rsid w:val="00D7633F"/>
    <w:rsid w:val="00D765A6"/>
    <w:rsid w:val="00D76781"/>
    <w:rsid w:val="00D76A3B"/>
    <w:rsid w:val="00D770E0"/>
    <w:rsid w:val="00D77532"/>
    <w:rsid w:val="00D775A5"/>
    <w:rsid w:val="00D7760C"/>
    <w:rsid w:val="00D77A43"/>
    <w:rsid w:val="00D77AE8"/>
    <w:rsid w:val="00D77CE3"/>
    <w:rsid w:val="00D77D0C"/>
    <w:rsid w:val="00D77E3C"/>
    <w:rsid w:val="00D800A5"/>
    <w:rsid w:val="00D80224"/>
    <w:rsid w:val="00D8058D"/>
    <w:rsid w:val="00D80799"/>
    <w:rsid w:val="00D808FD"/>
    <w:rsid w:val="00D809DF"/>
    <w:rsid w:val="00D80B03"/>
    <w:rsid w:val="00D80F8D"/>
    <w:rsid w:val="00D81344"/>
    <w:rsid w:val="00D81373"/>
    <w:rsid w:val="00D8148F"/>
    <w:rsid w:val="00D8167E"/>
    <w:rsid w:val="00D818B3"/>
    <w:rsid w:val="00D81AD3"/>
    <w:rsid w:val="00D81C04"/>
    <w:rsid w:val="00D81CF2"/>
    <w:rsid w:val="00D81E2E"/>
    <w:rsid w:val="00D81F1E"/>
    <w:rsid w:val="00D82000"/>
    <w:rsid w:val="00D82138"/>
    <w:rsid w:val="00D82202"/>
    <w:rsid w:val="00D8253C"/>
    <w:rsid w:val="00D828D1"/>
    <w:rsid w:val="00D82975"/>
    <w:rsid w:val="00D829B8"/>
    <w:rsid w:val="00D82B3E"/>
    <w:rsid w:val="00D82D8A"/>
    <w:rsid w:val="00D82DA3"/>
    <w:rsid w:val="00D82E14"/>
    <w:rsid w:val="00D82F3E"/>
    <w:rsid w:val="00D830C3"/>
    <w:rsid w:val="00D831EE"/>
    <w:rsid w:val="00D83318"/>
    <w:rsid w:val="00D833C5"/>
    <w:rsid w:val="00D83B8A"/>
    <w:rsid w:val="00D83BD4"/>
    <w:rsid w:val="00D83E91"/>
    <w:rsid w:val="00D8429A"/>
    <w:rsid w:val="00D843AE"/>
    <w:rsid w:val="00D84404"/>
    <w:rsid w:val="00D8460E"/>
    <w:rsid w:val="00D84724"/>
    <w:rsid w:val="00D84B5B"/>
    <w:rsid w:val="00D84C79"/>
    <w:rsid w:val="00D850F1"/>
    <w:rsid w:val="00D852B8"/>
    <w:rsid w:val="00D856C6"/>
    <w:rsid w:val="00D85719"/>
    <w:rsid w:val="00D8572F"/>
    <w:rsid w:val="00D858BE"/>
    <w:rsid w:val="00D85B49"/>
    <w:rsid w:val="00D85F9C"/>
    <w:rsid w:val="00D861B7"/>
    <w:rsid w:val="00D863DA"/>
    <w:rsid w:val="00D865C8"/>
    <w:rsid w:val="00D867BA"/>
    <w:rsid w:val="00D86828"/>
    <w:rsid w:val="00D86A8D"/>
    <w:rsid w:val="00D86BD1"/>
    <w:rsid w:val="00D86E10"/>
    <w:rsid w:val="00D86E1D"/>
    <w:rsid w:val="00D86F7A"/>
    <w:rsid w:val="00D872EC"/>
    <w:rsid w:val="00D8749A"/>
    <w:rsid w:val="00D874DC"/>
    <w:rsid w:val="00D8763A"/>
    <w:rsid w:val="00D87B5F"/>
    <w:rsid w:val="00D87D72"/>
    <w:rsid w:val="00D900B7"/>
    <w:rsid w:val="00D901D7"/>
    <w:rsid w:val="00D90465"/>
    <w:rsid w:val="00D904EA"/>
    <w:rsid w:val="00D90752"/>
    <w:rsid w:val="00D90793"/>
    <w:rsid w:val="00D90852"/>
    <w:rsid w:val="00D90862"/>
    <w:rsid w:val="00D90B1E"/>
    <w:rsid w:val="00D90C0C"/>
    <w:rsid w:val="00D90C24"/>
    <w:rsid w:val="00D90D3B"/>
    <w:rsid w:val="00D90F4C"/>
    <w:rsid w:val="00D916F9"/>
    <w:rsid w:val="00D918E0"/>
    <w:rsid w:val="00D91C59"/>
    <w:rsid w:val="00D91D28"/>
    <w:rsid w:val="00D92480"/>
    <w:rsid w:val="00D9257D"/>
    <w:rsid w:val="00D925EC"/>
    <w:rsid w:val="00D92B57"/>
    <w:rsid w:val="00D92B7A"/>
    <w:rsid w:val="00D92C9F"/>
    <w:rsid w:val="00D92E9E"/>
    <w:rsid w:val="00D9300E"/>
    <w:rsid w:val="00D930B5"/>
    <w:rsid w:val="00D930CF"/>
    <w:rsid w:val="00D9327E"/>
    <w:rsid w:val="00D93448"/>
    <w:rsid w:val="00D937A4"/>
    <w:rsid w:val="00D93B59"/>
    <w:rsid w:val="00D93BF2"/>
    <w:rsid w:val="00D93D8B"/>
    <w:rsid w:val="00D94317"/>
    <w:rsid w:val="00D94342"/>
    <w:rsid w:val="00D94526"/>
    <w:rsid w:val="00D94A6D"/>
    <w:rsid w:val="00D94B63"/>
    <w:rsid w:val="00D94DE5"/>
    <w:rsid w:val="00D950E6"/>
    <w:rsid w:val="00D955F8"/>
    <w:rsid w:val="00D95E44"/>
    <w:rsid w:val="00D95FEC"/>
    <w:rsid w:val="00D96BC5"/>
    <w:rsid w:val="00D97188"/>
    <w:rsid w:val="00D973BA"/>
    <w:rsid w:val="00D9799F"/>
    <w:rsid w:val="00D97A5C"/>
    <w:rsid w:val="00D97FE0"/>
    <w:rsid w:val="00DA02D2"/>
    <w:rsid w:val="00DA05EB"/>
    <w:rsid w:val="00DA06E1"/>
    <w:rsid w:val="00DA07DC"/>
    <w:rsid w:val="00DA0F21"/>
    <w:rsid w:val="00DA1062"/>
    <w:rsid w:val="00DA1484"/>
    <w:rsid w:val="00DA148B"/>
    <w:rsid w:val="00DA1700"/>
    <w:rsid w:val="00DA1722"/>
    <w:rsid w:val="00DA1AEE"/>
    <w:rsid w:val="00DA1C3E"/>
    <w:rsid w:val="00DA1D3B"/>
    <w:rsid w:val="00DA2003"/>
    <w:rsid w:val="00DA24B8"/>
    <w:rsid w:val="00DA25DC"/>
    <w:rsid w:val="00DA2B93"/>
    <w:rsid w:val="00DA2C2B"/>
    <w:rsid w:val="00DA2DF3"/>
    <w:rsid w:val="00DA2E19"/>
    <w:rsid w:val="00DA3086"/>
    <w:rsid w:val="00DA3B4A"/>
    <w:rsid w:val="00DA3BCF"/>
    <w:rsid w:val="00DA3E9E"/>
    <w:rsid w:val="00DA4057"/>
    <w:rsid w:val="00DA4512"/>
    <w:rsid w:val="00DA45F2"/>
    <w:rsid w:val="00DA46CF"/>
    <w:rsid w:val="00DA46E1"/>
    <w:rsid w:val="00DA474E"/>
    <w:rsid w:val="00DA4833"/>
    <w:rsid w:val="00DA49E0"/>
    <w:rsid w:val="00DA4CAC"/>
    <w:rsid w:val="00DA4DF9"/>
    <w:rsid w:val="00DA4E22"/>
    <w:rsid w:val="00DA50DD"/>
    <w:rsid w:val="00DA5201"/>
    <w:rsid w:val="00DA53DA"/>
    <w:rsid w:val="00DA584E"/>
    <w:rsid w:val="00DA590B"/>
    <w:rsid w:val="00DA5E41"/>
    <w:rsid w:val="00DA5FD6"/>
    <w:rsid w:val="00DA63A0"/>
    <w:rsid w:val="00DA6923"/>
    <w:rsid w:val="00DA6F9A"/>
    <w:rsid w:val="00DA72E7"/>
    <w:rsid w:val="00DA73C7"/>
    <w:rsid w:val="00DA75B2"/>
    <w:rsid w:val="00DA7688"/>
    <w:rsid w:val="00DA76CD"/>
    <w:rsid w:val="00DA7E84"/>
    <w:rsid w:val="00DA7E86"/>
    <w:rsid w:val="00DB01AC"/>
    <w:rsid w:val="00DB06E6"/>
    <w:rsid w:val="00DB074A"/>
    <w:rsid w:val="00DB0825"/>
    <w:rsid w:val="00DB0CF6"/>
    <w:rsid w:val="00DB0F61"/>
    <w:rsid w:val="00DB122E"/>
    <w:rsid w:val="00DB1502"/>
    <w:rsid w:val="00DB152B"/>
    <w:rsid w:val="00DB1586"/>
    <w:rsid w:val="00DB16F5"/>
    <w:rsid w:val="00DB1713"/>
    <w:rsid w:val="00DB1A40"/>
    <w:rsid w:val="00DB1AB4"/>
    <w:rsid w:val="00DB1B32"/>
    <w:rsid w:val="00DB1C9C"/>
    <w:rsid w:val="00DB2294"/>
    <w:rsid w:val="00DB2410"/>
    <w:rsid w:val="00DB2416"/>
    <w:rsid w:val="00DB28B9"/>
    <w:rsid w:val="00DB296F"/>
    <w:rsid w:val="00DB2A98"/>
    <w:rsid w:val="00DB2ABC"/>
    <w:rsid w:val="00DB2F27"/>
    <w:rsid w:val="00DB3180"/>
    <w:rsid w:val="00DB333C"/>
    <w:rsid w:val="00DB3364"/>
    <w:rsid w:val="00DB3B94"/>
    <w:rsid w:val="00DB3BD0"/>
    <w:rsid w:val="00DB3D83"/>
    <w:rsid w:val="00DB40A0"/>
    <w:rsid w:val="00DB44D8"/>
    <w:rsid w:val="00DB452D"/>
    <w:rsid w:val="00DB4587"/>
    <w:rsid w:val="00DB4858"/>
    <w:rsid w:val="00DB4A62"/>
    <w:rsid w:val="00DB5172"/>
    <w:rsid w:val="00DB53B3"/>
    <w:rsid w:val="00DB545A"/>
    <w:rsid w:val="00DB597C"/>
    <w:rsid w:val="00DB59DA"/>
    <w:rsid w:val="00DB604B"/>
    <w:rsid w:val="00DB671D"/>
    <w:rsid w:val="00DB690F"/>
    <w:rsid w:val="00DB6B67"/>
    <w:rsid w:val="00DB6B7B"/>
    <w:rsid w:val="00DB6CD8"/>
    <w:rsid w:val="00DB783F"/>
    <w:rsid w:val="00DB78E2"/>
    <w:rsid w:val="00DB7B38"/>
    <w:rsid w:val="00DB7CC1"/>
    <w:rsid w:val="00DB7F4E"/>
    <w:rsid w:val="00DB7F89"/>
    <w:rsid w:val="00DB7FE3"/>
    <w:rsid w:val="00DC02F4"/>
    <w:rsid w:val="00DC0607"/>
    <w:rsid w:val="00DC0744"/>
    <w:rsid w:val="00DC0887"/>
    <w:rsid w:val="00DC0AFB"/>
    <w:rsid w:val="00DC0CBF"/>
    <w:rsid w:val="00DC0F34"/>
    <w:rsid w:val="00DC103A"/>
    <w:rsid w:val="00DC11AB"/>
    <w:rsid w:val="00DC1288"/>
    <w:rsid w:val="00DC15DE"/>
    <w:rsid w:val="00DC1CF7"/>
    <w:rsid w:val="00DC1D05"/>
    <w:rsid w:val="00DC1DB3"/>
    <w:rsid w:val="00DC208C"/>
    <w:rsid w:val="00DC22C9"/>
    <w:rsid w:val="00DC239F"/>
    <w:rsid w:val="00DC282E"/>
    <w:rsid w:val="00DC2964"/>
    <w:rsid w:val="00DC29B1"/>
    <w:rsid w:val="00DC2AA1"/>
    <w:rsid w:val="00DC2BC2"/>
    <w:rsid w:val="00DC2C54"/>
    <w:rsid w:val="00DC2DCF"/>
    <w:rsid w:val="00DC2E4A"/>
    <w:rsid w:val="00DC2E88"/>
    <w:rsid w:val="00DC2F56"/>
    <w:rsid w:val="00DC2FC9"/>
    <w:rsid w:val="00DC313D"/>
    <w:rsid w:val="00DC3140"/>
    <w:rsid w:val="00DC337B"/>
    <w:rsid w:val="00DC35C5"/>
    <w:rsid w:val="00DC35CB"/>
    <w:rsid w:val="00DC3649"/>
    <w:rsid w:val="00DC3813"/>
    <w:rsid w:val="00DC3816"/>
    <w:rsid w:val="00DC387E"/>
    <w:rsid w:val="00DC3969"/>
    <w:rsid w:val="00DC3B59"/>
    <w:rsid w:val="00DC3BA7"/>
    <w:rsid w:val="00DC3BAD"/>
    <w:rsid w:val="00DC3D5C"/>
    <w:rsid w:val="00DC3F54"/>
    <w:rsid w:val="00DC40C6"/>
    <w:rsid w:val="00DC484C"/>
    <w:rsid w:val="00DC49BE"/>
    <w:rsid w:val="00DC4AE7"/>
    <w:rsid w:val="00DC4DFB"/>
    <w:rsid w:val="00DC4FF5"/>
    <w:rsid w:val="00DC5271"/>
    <w:rsid w:val="00DC5343"/>
    <w:rsid w:val="00DC534D"/>
    <w:rsid w:val="00DC569C"/>
    <w:rsid w:val="00DC6049"/>
    <w:rsid w:val="00DC6052"/>
    <w:rsid w:val="00DC636F"/>
    <w:rsid w:val="00DC66B0"/>
    <w:rsid w:val="00DC66E8"/>
    <w:rsid w:val="00DC682A"/>
    <w:rsid w:val="00DC6B39"/>
    <w:rsid w:val="00DC6CE8"/>
    <w:rsid w:val="00DC6E87"/>
    <w:rsid w:val="00DC6F56"/>
    <w:rsid w:val="00DC704B"/>
    <w:rsid w:val="00DC7437"/>
    <w:rsid w:val="00DC751E"/>
    <w:rsid w:val="00DC78B2"/>
    <w:rsid w:val="00DC7BF2"/>
    <w:rsid w:val="00DC7CFE"/>
    <w:rsid w:val="00DD0140"/>
    <w:rsid w:val="00DD02B3"/>
    <w:rsid w:val="00DD036C"/>
    <w:rsid w:val="00DD0808"/>
    <w:rsid w:val="00DD0B91"/>
    <w:rsid w:val="00DD0E00"/>
    <w:rsid w:val="00DD1063"/>
    <w:rsid w:val="00DD1101"/>
    <w:rsid w:val="00DD162B"/>
    <w:rsid w:val="00DD16FE"/>
    <w:rsid w:val="00DD172B"/>
    <w:rsid w:val="00DD1A4A"/>
    <w:rsid w:val="00DD1C59"/>
    <w:rsid w:val="00DD1E1B"/>
    <w:rsid w:val="00DD2080"/>
    <w:rsid w:val="00DD213B"/>
    <w:rsid w:val="00DD25AC"/>
    <w:rsid w:val="00DD25E4"/>
    <w:rsid w:val="00DD2784"/>
    <w:rsid w:val="00DD2886"/>
    <w:rsid w:val="00DD2A05"/>
    <w:rsid w:val="00DD2CCD"/>
    <w:rsid w:val="00DD30A0"/>
    <w:rsid w:val="00DD3190"/>
    <w:rsid w:val="00DD32B5"/>
    <w:rsid w:val="00DD3330"/>
    <w:rsid w:val="00DD3348"/>
    <w:rsid w:val="00DD387C"/>
    <w:rsid w:val="00DD3AAE"/>
    <w:rsid w:val="00DD3ACD"/>
    <w:rsid w:val="00DD3C7B"/>
    <w:rsid w:val="00DD409A"/>
    <w:rsid w:val="00DD410D"/>
    <w:rsid w:val="00DD43FE"/>
    <w:rsid w:val="00DD489F"/>
    <w:rsid w:val="00DD4B26"/>
    <w:rsid w:val="00DD4E1E"/>
    <w:rsid w:val="00DD4EA5"/>
    <w:rsid w:val="00DD5074"/>
    <w:rsid w:val="00DD50DF"/>
    <w:rsid w:val="00DD50F4"/>
    <w:rsid w:val="00DD5471"/>
    <w:rsid w:val="00DD5C31"/>
    <w:rsid w:val="00DD5E9B"/>
    <w:rsid w:val="00DD5F17"/>
    <w:rsid w:val="00DD5FAD"/>
    <w:rsid w:val="00DD5FE8"/>
    <w:rsid w:val="00DD6006"/>
    <w:rsid w:val="00DD644D"/>
    <w:rsid w:val="00DD6521"/>
    <w:rsid w:val="00DD6595"/>
    <w:rsid w:val="00DD65CB"/>
    <w:rsid w:val="00DD6CA9"/>
    <w:rsid w:val="00DD6CD9"/>
    <w:rsid w:val="00DD6CEA"/>
    <w:rsid w:val="00DD6DD9"/>
    <w:rsid w:val="00DD71F6"/>
    <w:rsid w:val="00DD72AE"/>
    <w:rsid w:val="00DD7635"/>
    <w:rsid w:val="00DD7AAB"/>
    <w:rsid w:val="00DD7C87"/>
    <w:rsid w:val="00DE07D8"/>
    <w:rsid w:val="00DE0A70"/>
    <w:rsid w:val="00DE0D86"/>
    <w:rsid w:val="00DE1152"/>
    <w:rsid w:val="00DE1190"/>
    <w:rsid w:val="00DE1A70"/>
    <w:rsid w:val="00DE1BAC"/>
    <w:rsid w:val="00DE1F47"/>
    <w:rsid w:val="00DE2144"/>
    <w:rsid w:val="00DE24FC"/>
    <w:rsid w:val="00DE2771"/>
    <w:rsid w:val="00DE2DCE"/>
    <w:rsid w:val="00DE30AC"/>
    <w:rsid w:val="00DE30CB"/>
    <w:rsid w:val="00DE3368"/>
    <w:rsid w:val="00DE34B1"/>
    <w:rsid w:val="00DE35F7"/>
    <w:rsid w:val="00DE3895"/>
    <w:rsid w:val="00DE3D09"/>
    <w:rsid w:val="00DE3E36"/>
    <w:rsid w:val="00DE46E2"/>
    <w:rsid w:val="00DE4990"/>
    <w:rsid w:val="00DE5199"/>
    <w:rsid w:val="00DE535C"/>
    <w:rsid w:val="00DE55CF"/>
    <w:rsid w:val="00DE58BC"/>
    <w:rsid w:val="00DE59CA"/>
    <w:rsid w:val="00DE5B90"/>
    <w:rsid w:val="00DE5C88"/>
    <w:rsid w:val="00DE5C9D"/>
    <w:rsid w:val="00DE5D0D"/>
    <w:rsid w:val="00DE5E9B"/>
    <w:rsid w:val="00DE5F83"/>
    <w:rsid w:val="00DE6393"/>
    <w:rsid w:val="00DE66DD"/>
    <w:rsid w:val="00DE6955"/>
    <w:rsid w:val="00DE6AA2"/>
    <w:rsid w:val="00DE6B96"/>
    <w:rsid w:val="00DE6BF9"/>
    <w:rsid w:val="00DE6C99"/>
    <w:rsid w:val="00DE701F"/>
    <w:rsid w:val="00DE70B1"/>
    <w:rsid w:val="00DE752F"/>
    <w:rsid w:val="00DE76FC"/>
    <w:rsid w:val="00DE781F"/>
    <w:rsid w:val="00DE782C"/>
    <w:rsid w:val="00DE7863"/>
    <w:rsid w:val="00DE7933"/>
    <w:rsid w:val="00DE7BA7"/>
    <w:rsid w:val="00DE7C44"/>
    <w:rsid w:val="00DF0035"/>
    <w:rsid w:val="00DF0051"/>
    <w:rsid w:val="00DF0740"/>
    <w:rsid w:val="00DF07CB"/>
    <w:rsid w:val="00DF09AC"/>
    <w:rsid w:val="00DF0A57"/>
    <w:rsid w:val="00DF0C93"/>
    <w:rsid w:val="00DF0D3F"/>
    <w:rsid w:val="00DF0F8D"/>
    <w:rsid w:val="00DF0FE9"/>
    <w:rsid w:val="00DF1704"/>
    <w:rsid w:val="00DF1785"/>
    <w:rsid w:val="00DF184F"/>
    <w:rsid w:val="00DF199A"/>
    <w:rsid w:val="00DF1B03"/>
    <w:rsid w:val="00DF1B9E"/>
    <w:rsid w:val="00DF1E3E"/>
    <w:rsid w:val="00DF1F06"/>
    <w:rsid w:val="00DF20E7"/>
    <w:rsid w:val="00DF2284"/>
    <w:rsid w:val="00DF2374"/>
    <w:rsid w:val="00DF23F8"/>
    <w:rsid w:val="00DF250D"/>
    <w:rsid w:val="00DF264A"/>
    <w:rsid w:val="00DF2E4C"/>
    <w:rsid w:val="00DF2F00"/>
    <w:rsid w:val="00DF2F90"/>
    <w:rsid w:val="00DF2FA8"/>
    <w:rsid w:val="00DF30C9"/>
    <w:rsid w:val="00DF311C"/>
    <w:rsid w:val="00DF31D0"/>
    <w:rsid w:val="00DF325D"/>
    <w:rsid w:val="00DF32FA"/>
    <w:rsid w:val="00DF342E"/>
    <w:rsid w:val="00DF364D"/>
    <w:rsid w:val="00DF3714"/>
    <w:rsid w:val="00DF3942"/>
    <w:rsid w:val="00DF3AC9"/>
    <w:rsid w:val="00DF3F59"/>
    <w:rsid w:val="00DF41B0"/>
    <w:rsid w:val="00DF42D5"/>
    <w:rsid w:val="00DF45DE"/>
    <w:rsid w:val="00DF45FB"/>
    <w:rsid w:val="00DF4C4E"/>
    <w:rsid w:val="00DF4CDF"/>
    <w:rsid w:val="00DF4F21"/>
    <w:rsid w:val="00DF5177"/>
    <w:rsid w:val="00DF561A"/>
    <w:rsid w:val="00DF56EA"/>
    <w:rsid w:val="00DF57D4"/>
    <w:rsid w:val="00DF5A7D"/>
    <w:rsid w:val="00DF5C75"/>
    <w:rsid w:val="00DF5D31"/>
    <w:rsid w:val="00DF5E84"/>
    <w:rsid w:val="00DF6266"/>
    <w:rsid w:val="00DF65EA"/>
    <w:rsid w:val="00DF67BA"/>
    <w:rsid w:val="00DF67FC"/>
    <w:rsid w:val="00DF6B94"/>
    <w:rsid w:val="00DF6D39"/>
    <w:rsid w:val="00DF6DA3"/>
    <w:rsid w:val="00DF6FBD"/>
    <w:rsid w:val="00DF6FCA"/>
    <w:rsid w:val="00DF7165"/>
    <w:rsid w:val="00DF72D8"/>
    <w:rsid w:val="00DF7504"/>
    <w:rsid w:val="00DF75A9"/>
    <w:rsid w:val="00DF774B"/>
    <w:rsid w:val="00DF77D4"/>
    <w:rsid w:val="00DF79FF"/>
    <w:rsid w:val="00DF7D43"/>
    <w:rsid w:val="00E0041E"/>
    <w:rsid w:val="00E00685"/>
    <w:rsid w:val="00E00A37"/>
    <w:rsid w:val="00E01309"/>
    <w:rsid w:val="00E013A2"/>
    <w:rsid w:val="00E01747"/>
    <w:rsid w:val="00E01799"/>
    <w:rsid w:val="00E0186A"/>
    <w:rsid w:val="00E01DE3"/>
    <w:rsid w:val="00E021C3"/>
    <w:rsid w:val="00E02263"/>
    <w:rsid w:val="00E027EA"/>
    <w:rsid w:val="00E02D00"/>
    <w:rsid w:val="00E02E1E"/>
    <w:rsid w:val="00E03114"/>
    <w:rsid w:val="00E032E4"/>
    <w:rsid w:val="00E03498"/>
    <w:rsid w:val="00E03619"/>
    <w:rsid w:val="00E03A7B"/>
    <w:rsid w:val="00E03C68"/>
    <w:rsid w:val="00E03CB5"/>
    <w:rsid w:val="00E03ED9"/>
    <w:rsid w:val="00E04159"/>
    <w:rsid w:val="00E041E9"/>
    <w:rsid w:val="00E0424F"/>
    <w:rsid w:val="00E0499D"/>
    <w:rsid w:val="00E04C2E"/>
    <w:rsid w:val="00E04E20"/>
    <w:rsid w:val="00E04E8E"/>
    <w:rsid w:val="00E05119"/>
    <w:rsid w:val="00E052BF"/>
    <w:rsid w:val="00E056CE"/>
    <w:rsid w:val="00E0583A"/>
    <w:rsid w:val="00E05907"/>
    <w:rsid w:val="00E05D14"/>
    <w:rsid w:val="00E05D7D"/>
    <w:rsid w:val="00E05FFE"/>
    <w:rsid w:val="00E0603E"/>
    <w:rsid w:val="00E0607C"/>
    <w:rsid w:val="00E0630F"/>
    <w:rsid w:val="00E068EF"/>
    <w:rsid w:val="00E06B0D"/>
    <w:rsid w:val="00E06F7F"/>
    <w:rsid w:val="00E07005"/>
    <w:rsid w:val="00E07049"/>
    <w:rsid w:val="00E0740C"/>
    <w:rsid w:val="00E075BC"/>
    <w:rsid w:val="00E076D7"/>
    <w:rsid w:val="00E078E4"/>
    <w:rsid w:val="00E07BBA"/>
    <w:rsid w:val="00E07FAD"/>
    <w:rsid w:val="00E07FB2"/>
    <w:rsid w:val="00E10038"/>
    <w:rsid w:val="00E102BA"/>
    <w:rsid w:val="00E102D8"/>
    <w:rsid w:val="00E1033D"/>
    <w:rsid w:val="00E106F6"/>
    <w:rsid w:val="00E1080E"/>
    <w:rsid w:val="00E108A9"/>
    <w:rsid w:val="00E1090F"/>
    <w:rsid w:val="00E1098E"/>
    <w:rsid w:val="00E11045"/>
    <w:rsid w:val="00E11113"/>
    <w:rsid w:val="00E11316"/>
    <w:rsid w:val="00E1173F"/>
    <w:rsid w:val="00E118D5"/>
    <w:rsid w:val="00E119EB"/>
    <w:rsid w:val="00E11B42"/>
    <w:rsid w:val="00E11BAB"/>
    <w:rsid w:val="00E12505"/>
    <w:rsid w:val="00E126BB"/>
    <w:rsid w:val="00E12915"/>
    <w:rsid w:val="00E12BCE"/>
    <w:rsid w:val="00E12BF7"/>
    <w:rsid w:val="00E12EFE"/>
    <w:rsid w:val="00E13214"/>
    <w:rsid w:val="00E13963"/>
    <w:rsid w:val="00E13B1A"/>
    <w:rsid w:val="00E13DE5"/>
    <w:rsid w:val="00E13E92"/>
    <w:rsid w:val="00E13EB8"/>
    <w:rsid w:val="00E13F8F"/>
    <w:rsid w:val="00E1404E"/>
    <w:rsid w:val="00E140B2"/>
    <w:rsid w:val="00E152AE"/>
    <w:rsid w:val="00E1575E"/>
    <w:rsid w:val="00E15C88"/>
    <w:rsid w:val="00E15C93"/>
    <w:rsid w:val="00E15F37"/>
    <w:rsid w:val="00E16486"/>
    <w:rsid w:val="00E165F9"/>
    <w:rsid w:val="00E167E8"/>
    <w:rsid w:val="00E16956"/>
    <w:rsid w:val="00E16A0E"/>
    <w:rsid w:val="00E17602"/>
    <w:rsid w:val="00E1770D"/>
    <w:rsid w:val="00E17797"/>
    <w:rsid w:val="00E17851"/>
    <w:rsid w:val="00E17922"/>
    <w:rsid w:val="00E17D5A"/>
    <w:rsid w:val="00E2027E"/>
    <w:rsid w:val="00E204A4"/>
    <w:rsid w:val="00E208C4"/>
    <w:rsid w:val="00E208FE"/>
    <w:rsid w:val="00E20A1E"/>
    <w:rsid w:val="00E20A83"/>
    <w:rsid w:val="00E20CF1"/>
    <w:rsid w:val="00E20F1E"/>
    <w:rsid w:val="00E20F21"/>
    <w:rsid w:val="00E20FF1"/>
    <w:rsid w:val="00E2102D"/>
    <w:rsid w:val="00E211E5"/>
    <w:rsid w:val="00E216D7"/>
    <w:rsid w:val="00E21701"/>
    <w:rsid w:val="00E2194B"/>
    <w:rsid w:val="00E21B90"/>
    <w:rsid w:val="00E21DA4"/>
    <w:rsid w:val="00E220BF"/>
    <w:rsid w:val="00E22170"/>
    <w:rsid w:val="00E2252D"/>
    <w:rsid w:val="00E22AA5"/>
    <w:rsid w:val="00E22B3D"/>
    <w:rsid w:val="00E22D50"/>
    <w:rsid w:val="00E231C0"/>
    <w:rsid w:val="00E23A50"/>
    <w:rsid w:val="00E23CEE"/>
    <w:rsid w:val="00E23D21"/>
    <w:rsid w:val="00E23D2F"/>
    <w:rsid w:val="00E23E67"/>
    <w:rsid w:val="00E24183"/>
    <w:rsid w:val="00E2440C"/>
    <w:rsid w:val="00E2443C"/>
    <w:rsid w:val="00E244E4"/>
    <w:rsid w:val="00E24890"/>
    <w:rsid w:val="00E24AEF"/>
    <w:rsid w:val="00E24EA0"/>
    <w:rsid w:val="00E24EB6"/>
    <w:rsid w:val="00E25479"/>
    <w:rsid w:val="00E2564D"/>
    <w:rsid w:val="00E2572A"/>
    <w:rsid w:val="00E2588C"/>
    <w:rsid w:val="00E258CA"/>
    <w:rsid w:val="00E25BD1"/>
    <w:rsid w:val="00E25F25"/>
    <w:rsid w:val="00E261B0"/>
    <w:rsid w:val="00E262E1"/>
    <w:rsid w:val="00E2631D"/>
    <w:rsid w:val="00E269A9"/>
    <w:rsid w:val="00E26C99"/>
    <w:rsid w:val="00E26DDF"/>
    <w:rsid w:val="00E26F61"/>
    <w:rsid w:val="00E272AA"/>
    <w:rsid w:val="00E27644"/>
    <w:rsid w:val="00E27899"/>
    <w:rsid w:val="00E27941"/>
    <w:rsid w:val="00E27A86"/>
    <w:rsid w:val="00E27AE8"/>
    <w:rsid w:val="00E27D5F"/>
    <w:rsid w:val="00E27DB3"/>
    <w:rsid w:val="00E308E9"/>
    <w:rsid w:val="00E309D6"/>
    <w:rsid w:val="00E30B39"/>
    <w:rsid w:val="00E30BE5"/>
    <w:rsid w:val="00E30C1C"/>
    <w:rsid w:val="00E30D5C"/>
    <w:rsid w:val="00E30E89"/>
    <w:rsid w:val="00E310B9"/>
    <w:rsid w:val="00E3136C"/>
    <w:rsid w:val="00E31478"/>
    <w:rsid w:val="00E31549"/>
    <w:rsid w:val="00E316D8"/>
    <w:rsid w:val="00E319A7"/>
    <w:rsid w:val="00E31A83"/>
    <w:rsid w:val="00E31CEA"/>
    <w:rsid w:val="00E31E7C"/>
    <w:rsid w:val="00E32113"/>
    <w:rsid w:val="00E321EF"/>
    <w:rsid w:val="00E32264"/>
    <w:rsid w:val="00E323A6"/>
    <w:rsid w:val="00E3273D"/>
    <w:rsid w:val="00E3283B"/>
    <w:rsid w:val="00E32C0D"/>
    <w:rsid w:val="00E32D0D"/>
    <w:rsid w:val="00E32D51"/>
    <w:rsid w:val="00E33244"/>
    <w:rsid w:val="00E3362F"/>
    <w:rsid w:val="00E3389F"/>
    <w:rsid w:val="00E33D65"/>
    <w:rsid w:val="00E33DC9"/>
    <w:rsid w:val="00E33FF4"/>
    <w:rsid w:val="00E34109"/>
    <w:rsid w:val="00E34347"/>
    <w:rsid w:val="00E3443A"/>
    <w:rsid w:val="00E345B0"/>
    <w:rsid w:val="00E34636"/>
    <w:rsid w:val="00E34689"/>
    <w:rsid w:val="00E3487F"/>
    <w:rsid w:val="00E34BEC"/>
    <w:rsid w:val="00E34C90"/>
    <w:rsid w:val="00E34D3A"/>
    <w:rsid w:val="00E35066"/>
    <w:rsid w:val="00E350E1"/>
    <w:rsid w:val="00E3529E"/>
    <w:rsid w:val="00E3578A"/>
    <w:rsid w:val="00E357F2"/>
    <w:rsid w:val="00E357F7"/>
    <w:rsid w:val="00E359B2"/>
    <w:rsid w:val="00E35A77"/>
    <w:rsid w:val="00E35B18"/>
    <w:rsid w:val="00E35BD3"/>
    <w:rsid w:val="00E35C82"/>
    <w:rsid w:val="00E361B0"/>
    <w:rsid w:val="00E361E2"/>
    <w:rsid w:val="00E361F3"/>
    <w:rsid w:val="00E362A0"/>
    <w:rsid w:val="00E36408"/>
    <w:rsid w:val="00E365B5"/>
    <w:rsid w:val="00E36ACE"/>
    <w:rsid w:val="00E37269"/>
    <w:rsid w:val="00E3747C"/>
    <w:rsid w:val="00E378FE"/>
    <w:rsid w:val="00E37AB0"/>
    <w:rsid w:val="00E37B77"/>
    <w:rsid w:val="00E37F04"/>
    <w:rsid w:val="00E37F19"/>
    <w:rsid w:val="00E37FB5"/>
    <w:rsid w:val="00E401A5"/>
    <w:rsid w:val="00E404EA"/>
    <w:rsid w:val="00E40D35"/>
    <w:rsid w:val="00E40F9A"/>
    <w:rsid w:val="00E40FAC"/>
    <w:rsid w:val="00E416AB"/>
    <w:rsid w:val="00E41709"/>
    <w:rsid w:val="00E419C9"/>
    <w:rsid w:val="00E41BA9"/>
    <w:rsid w:val="00E41BCA"/>
    <w:rsid w:val="00E41DBA"/>
    <w:rsid w:val="00E422C0"/>
    <w:rsid w:val="00E426AC"/>
    <w:rsid w:val="00E42B46"/>
    <w:rsid w:val="00E42B49"/>
    <w:rsid w:val="00E4323A"/>
    <w:rsid w:val="00E43370"/>
    <w:rsid w:val="00E434E4"/>
    <w:rsid w:val="00E4356A"/>
    <w:rsid w:val="00E4371F"/>
    <w:rsid w:val="00E43C52"/>
    <w:rsid w:val="00E43E2F"/>
    <w:rsid w:val="00E43EF3"/>
    <w:rsid w:val="00E43FE0"/>
    <w:rsid w:val="00E445AC"/>
    <w:rsid w:val="00E445E5"/>
    <w:rsid w:val="00E44B94"/>
    <w:rsid w:val="00E44CFA"/>
    <w:rsid w:val="00E452F1"/>
    <w:rsid w:val="00E4552E"/>
    <w:rsid w:val="00E45539"/>
    <w:rsid w:val="00E4553B"/>
    <w:rsid w:val="00E45762"/>
    <w:rsid w:val="00E4596C"/>
    <w:rsid w:val="00E45AE5"/>
    <w:rsid w:val="00E45BE6"/>
    <w:rsid w:val="00E45C58"/>
    <w:rsid w:val="00E45C5F"/>
    <w:rsid w:val="00E45D7A"/>
    <w:rsid w:val="00E45DE1"/>
    <w:rsid w:val="00E46025"/>
    <w:rsid w:val="00E461EF"/>
    <w:rsid w:val="00E46273"/>
    <w:rsid w:val="00E46279"/>
    <w:rsid w:val="00E46685"/>
    <w:rsid w:val="00E466E9"/>
    <w:rsid w:val="00E46736"/>
    <w:rsid w:val="00E46AC3"/>
    <w:rsid w:val="00E46B09"/>
    <w:rsid w:val="00E46C4D"/>
    <w:rsid w:val="00E46F6E"/>
    <w:rsid w:val="00E471F9"/>
    <w:rsid w:val="00E47309"/>
    <w:rsid w:val="00E47403"/>
    <w:rsid w:val="00E474EF"/>
    <w:rsid w:val="00E47A3B"/>
    <w:rsid w:val="00E47A5D"/>
    <w:rsid w:val="00E47D9D"/>
    <w:rsid w:val="00E47EFD"/>
    <w:rsid w:val="00E500C8"/>
    <w:rsid w:val="00E5011F"/>
    <w:rsid w:val="00E50701"/>
    <w:rsid w:val="00E50739"/>
    <w:rsid w:val="00E5088B"/>
    <w:rsid w:val="00E50A1B"/>
    <w:rsid w:val="00E50A4A"/>
    <w:rsid w:val="00E50C1F"/>
    <w:rsid w:val="00E51039"/>
    <w:rsid w:val="00E51050"/>
    <w:rsid w:val="00E513A9"/>
    <w:rsid w:val="00E515F3"/>
    <w:rsid w:val="00E51BB5"/>
    <w:rsid w:val="00E51E7A"/>
    <w:rsid w:val="00E51E95"/>
    <w:rsid w:val="00E5213C"/>
    <w:rsid w:val="00E522C7"/>
    <w:rsid w:val="00E52589"/>
    <w:rsid w:val="00E52795"/>
    <w:rsid w:val="00E529F2"/>
    <w:rsid w:val="00E52AF8"/>
    <w:rsid w:val="00E52C75"/>
    <w:rsid w:val="00E52DA3"/>
    <w:rsid w:val="00E52FE4"/>
    <w:rsid w:val="00E53738"/>
    <w:rsid w:val="00E53901"/>
    <w:rsid w:val="00E53B1B"/>
    <w:rsid w:val="00E53B78"/>
    <w:rsid w:val="00E53C5D"/>
    <w:rsid w:val="00E53E0C"/>
    <w:rsid w:val="00E53E30"/>
    <w:rsid w:val="00E54048"/>
    <w:rsid w:val="00E54102"/>
    <w:rsid w:val="00E54371"/>
    <w:rsid w:val="00E54887"/>
    <w:rsid w:val="00E54906"/>
    <w:rsid w:val="00E54BF3"/>
    <w:rsid w:val="00E54DBC"/>
    <w:rsid w:val="00E552E5"/>
    <w:rsid w:val="00E553E1"/>
    <w:rsid w:val="00E55436"/>
    <w:rsid w:val="00E55445"/>
    <w:rsid w:val="00E55506"/>
    <w:rsid w:val="00E5556B"/>
    <w:rsid w:val="00E555BD"/>
    <w:rsid w:val="00E55A6C"/>
    <w:rsid w:val="00E55FAE"/>
    <w:rsid w:val="00E55FFC"/>
    <w:rsid w:val="00E565E7"/>
    <w:rsid w:val="00E56944"/>
    <w:rsid w:val="00E57170"/>
    <w:rsid w:val="00E5717C"/>
    <w:rsid w:val="00E579AD"/>
    <w:rsid w:val="00E57A59"/>
    <w:rsid w:val="00E57CAA"/>
    <w:rsid w:val="00E57E0D"/>
    <w:rsid w:val="00E57E1C"/>
    <w:rsid w:val="00E6001A"/>
    <w:rsid w:val="00E60489"/>
    <w:rsid w:val="00E6063B"/>
    <w:rsid w:val="00E606E9"/>
    <w:rsid w:val="00E60786"/>
    <w:rsid w:val="00E60A69"/>
    <w:rsid w:val="00E60BF6"/>
    <w:rsid w:val="00E60DEB"/>
    <w:rsid w:val="00E60E3D"/>
    <w:rsid w:val="00E6114D"/>
    <w:rsid w:val="00E6194D"/>
    <w:rsid w:val="00E61983"/>
    <w:rsid w:val="00E61A02"/>
    <w:rsid w:val="00E61A67"/>
    <w:rsid w:val="00E61ED7"/>
    <w:rsid w:val="00E62169"/>
    <w:rsid w:val="00E622B9"/>
    <w:rsid w:val="00E6233A"/>
    <w:rsid w:val="00E62478"/>
    <w:rsid w:val="00E625C8"/>
    <w:rsid w:val="00E62730"/>
    <w:rsid w:val="00E62CAC"/>
    <w:rsid w:val="00E62FD3"/>
    <w:rsid w:val="00E62FF4"/>
    <w:rsid w:val="00E63027"/>
    <w:rsid w:val="00E6306F"/>
    <w:rsid w:val="00E63208"/>
    <w:rsid w:val="00E632CE"/>
    <w:rsid w:val="00E6345C"/>
    <w:rsid w:val="00E63576"/>
    <w:rsid w:val="00E63695"/>
    <w:rsid w:val="00E6389D"/>
    <w:rsid w:val="00E63C8C"/>
    <w:rsid w:val="00E63E8D"/>
    <w:rsid w:val="00E63EA5"/>
    <w:rsid w:val="00E63FA5"/>
    <w:rsid w:val="00E64572"/>
    <w:rsid w:val="00E64941"/>
    <w:rsid w:val="00E64A7D"/>
    <w:rsid w:val="00E64B16"/>
    <w:rsid w:val="00E64DE6"/>
    <w:rsid w:val="00E64F23"/>
    <w:rsid w:val="00E64F75"/>
    <w:rsid w:val="00E650B3"/>
    <w:rsid w:val="00E65156"/>
    <w:rsid w:val="00E651C1"/>
    <w:rsid w:val="00E653B3"/>
    <w:rsid w:val="00E65668"/>
    <w:rsid w:val="00E657C8"/>
    <w:rsid w:val="00E6582B"/>
    <w:rsid w:val="00E65A23"/>
    <w:rsid w:val="00E65B58"/>
    <w:rsid w:val="00E65F49"/>
    <w:rsid w:val="00E66078"/>
    <w:rsid w:val="00E66376"/>
    <w:rsid w:val="00E66470"/>
    <w:rsid w:val="00E664D1"/>
    <w:rsid w:val="00E664D5"/>
    <w:rsid w:val="00E665B1"/>
    <w:rsid w:val="00E665C7"/>
    <w:rsid w:val="00E666D1"/>
    <w:rsid w:val="00E66A26"/>
    <w:rsid w:val="00E66A5B"/>
    <w:rsid w:val="00E66C30"/>
    <w:rsid w:val="00E66D7D"/>
    <w:rsid w:val="00E6719E"/>
    <w:rsid w:val="00E67218"/>
    <w:rsid w:val="00E6739D"/>
    <w:rsid w:val="00E6794C"/>
    <w:rsid w:val="00E67A04"/>
    <w:rsid w:val="00E67F8C"/>
    <w:rsid w:val="00E704AD"/>
    <w:rsid w:val="00E704EB"/>
    <w:rsid w:val="00E708BE"/>
    <w:rsid w:val="00E70A12"/>
    <w:rsid w:val="00E70AED"/>
    <w:rsid w:val="00E70EF7"/>
    <w:rsid w:val="00E711CF"/>
    <w:rsid w:val="00E71494"/>
    <w:rsid w:val="00E71538"/>
    <w:rsid w:val="00E71581"/>
    <w:rsid w:val="00E715AD"/>
    <w:rsid w:val="00E71AF0"/>
    <w:rsid w:val="00E71BB4"/>
    <w:rsid w:val="00E71CC6"/>
    <w:rsid w:val="00E71D0D"/>
    <w:rsid w:val="00E71DDC"/>
    <w:rsid w:val="00E71E96"/>
    <w:rsid w:val="00E720B6"/>
    <w:rsid w:val="00E720BA"/>
    <w:rsid w:val="00E7210C"/>
    <w:rsid w:val="00E72293"/>
    <w:rsid w:val="00E722F9"/>
    <w:rsid w:val="00E724E9"/>
    <w:rsid w:val="00E724F9"/>
    <w:rsid w:val="00E72516"/>
    <w:rsid w:val="00E7265A"/>
    <w:rsid w:val="00E72ADD"/>
    <w:rsid w:val="00E73470"/>
    <w:rsid w:val="00E735CE"/>
    <w:rsid w:val="00E73AE4"/>
    <w:rsid w:val="00E73FE0"/>
    <w:rsid w:val="00E749D8"/>
    <w:rsid w:val="00E74AA1"/>
    <w:rsid w:val="00E74D44"/>
    <w:rsid w:val="00E74E2E"/>
    <w:rsid w:val="00E7506A"/>
    <w:rsid w:val="00E75208"/>
    <w:rsid w:val="00E75505"/>
    <w:rsid w:val="00E755AA"/>
    <w:rsid w:val="00E75902"/>
    <w:rsid w:val="00E75931"/>
    <w:rsid w:val="00E759B9"/>
    <w:rsid w:val="00E75D91"/>
    <w:rsid w:val="00E76035"/>
    <w:rsid w:val="00E76049"/>
    <w:rsid w:val="00E7615F"/>
    <w:rsid w:val="00E7616F"/>
    <w:rsid w:val="00E761A4"/>
    <w:rsid w:val="00E76312"/>
    <w:rsid w:val="00E7633F"/>
    <w:rsid w:val="00E76678"/>
    <w:rsid w:val="00E7670B"/>
    <w:rsid w:val="00E77415"/>
    <w:rsid w:val="00E7756F"/>
    <w:rsid w:val="00E7761B"/>
    <w:rsid w:val="00E77620"/>
    <w:rsid w:val="00E77771"/>
    <w:rsid w:val="00E777F2"/>
    <w:rsid w:val="00E77B28"/>
    <w:rsid w:val="00E77B68"/>
    <w:rsid w:val="00E77CB9"/>
    <w:rsid w:val="00E77F17"/>
    <w:rsid w:val="00E80411"/>
    <w:rsid w:val="00E80A86"/>
    <w:rsid w:val="00E80B99"/>
    <w:rsid w:val="00E80BD9"/>
    <w:rsid w:val="00E80DEE"/>
    <w:rsid w:val="00E81158"/>
    <w:rsid w:val="00E819F2"/>
    <w:rsid w:val="00E81C84"/>
    <w:rsid w:val="00E82159"/>
    <w:rsid w:val="00E821F3"/>
    <w:rsid w:val="00E823A5"/>
    <w:rsid w:val="00E8243F"/>
    <w:rsid w:val="00E82761"/>
    <w:rsid w:val="00E8289A"/>
    <w:rsid w:val="00E82A9D"/>
    <w:rsid w:val="00E8386C"/>
    <w:rsid w:val="00E83926"/>
    <w:rsid w:val="00E83A38"/>
    <w:rsid w:val="00E83A55"/>
    <w:rsid w:val="00E83AC3"/>
    <w:rsid w:val="00E83AF2"/>
    <w:rsid w:val="00E83CBC"/>
    <w:rsid w:val="00E8438F"/>
    <w:rsid w:val="00E84484"/>
    <w:rsid w:val="00E844F2"/>
    <w:rsid w:val="00E8469F"/>
    <w:rsid w:val="00E8472A"/>
    <w:rsid w:val="00E84868"/>
    <w:rsid w:val="00E84BE3"/>
    <w:rsid w:val="00E8572E"/>
    <w:rsid w:val="00E859DD"/>
    <w:rsid w:val="00E85E59"/>
    <w:rsid w:val="00E85F64"/>
    <w:rsid w:val="00E8616D"/>
    <w:rsid w:val="00E8625C"/>
    <w:rsid w:val="00E86494"/>
    <w:rsid w:val="00E86525"/>
    <w:rsid w:val="00E865F2"/>
    <w:rsid w:val="00E8665C"/>
    <w:rsid w:val="00E866A2"/>
    <w:rsid w:val="00E86D28"/>
    <w:rsid w:val="00E86D7E"/>
    <w:rsid w:val="00E86FFB"/>
    <w:rsid w:val="00E87478"/>
    <w:rsid w:val="00E8796D"/>
    <w:rsid w:val="00E87B0D"/>
    <w:rsid w:val="00E90000"/>
    <w:rsid w:val="00E90012"/>
    <w:rsid w:val="00E901F9"/>
    <w:rsid w:val="00E90246"/>
    <w:rsid w:val="00E90274"/>
    <w:rsid w:val="00E90530"/>
    <w:rsid w:val="00E9075F"/>
    <w:rsid w:val="00E90A3F"/>
    <w:rsid w:val="00E90E2A"/>
    <w:rsid w:val="00E90F39"/>
    <w:rsid w:val="00E9156E"/>
    <w:rsid w:val="00E91810"/>
    <w:rsid w:val="00E91C6F"/>
    <w:rsid w:val="00E92277"/>
    <w:rsid w:val="00E92359"/>
    <w:rsid w:val="00E9238C"/>
    <w:rsid w:val="00E92665"/>
    <w:rsid w:val="00E92785"/>
    <w:rsid w:val="00E9299B"/>
    <w:rsid w:val="00E92B53"/>
    <w:rsid w:val="00E92CC7"/>
    <w:rsid w:val="00E92E1E"/>
    <w:rsid w:val="00E92E7C"/>
    <w:rsid w:val="00E930B6"/>
    <w:rsid w:val="00E930C8"/>
    <w:rsid w:val="00E9328C"/>
    <w:rsid w:val="00E932F3"/>
    <w:rsid w:val="00E93793"/>
    <w:rsid w:val="00E937DD"/>
    <w:rsid w:val="00E93851"/>
    <w:rsid w:val="00E93D31"/>
    <w:rsid w:val="00E93D46"/>
    <w:rsid w:val="00E941EB"/>
    <w:rsid w:val="00E94258"/>
    <w:rsid w:val="00E94270"/>
    <w:rsid w:val="00E944D5"/>
    <w:rsid w:val="00E94623"/>
    <w:rsid w:val="00E946E4"/>
    <w:rsid w:val="00E948F3"/>
    <w:rsid w:val="00E94943"/>
    <w:rsid w:val="00E94B31"/>
    <w:rsid w:val="00E94E8D"/>
    <w:rsid w:val="00E94E95"/>
    <w:rsid w:val="00E9534A"/>
    <w:rsid w:val="00E95608"/>
    <w:rsid w:val="00E9594A"/>
    <w:rsid w:val="00E95B43"/>
    <w:rsid w:val="00E96092"/>
    <w:rsid w:val="00E96E03"/>
    <w:rsid w:val="00E96F90"/>
    <w:rsid w:val="00E96FFF"/>
    <w:rsid w:val="00E970D8"/>
    <w:rsid w:val="00E97365"/>
    <w:rsid w:val="00E973C7"/>
    <w:rsid w:val="00E97B33"/>
    <w:rsid w:val="00E97B3A"/>
    <w:rsid w:val="00E97B59"/>
    <w:rsid w:val="00EA003D"/>
    <w:rsid w:val="00EA00CD"/>
    <w:rsid w:val="00EA0A58"/>
    <w:rsid w:val="00EA0BFB"/>
    <w:rsid w:val="00EA0C7C"/>
    <w:rsid w:val="00EA0DD1"/>
    <w:rsid w:val="00EA0F9E"/>
    <w:rsid w:val="00EA10C3"/>
    <w:rsid w:val="00EA1128"/>
    <w:rsid w:val="00EA1135"/>
    <w:rsid w:val="00EA2305"/>
    <w:rsid w:val="00EA23AA"/>
    <w:rsid w:val="00EA25B8"/>
    <w:rsid w:val="00EA2753"/>
    <w:rsid w:val="00EA2886"/>
    <w:rsid w:val="00EA2950"/>
    <w:rsid w:val="00EA2A6C"/>
    <w:rsid w:val="00EA2C49"/>
    <w:rsid w:val="00EA321F"/>
    <w:rsid w:val="00EA329B"/>
    <w:rsid w:val="00EA32F2"/>
    <w:rsid w:val="00EA335B"/>
    <w:rsid w:val="00EA35D7"/>
    <w:rsid w:val="00EA381A"/>
    <w:rsid w:val="00EA392B"/>
    <w:rsid w:val="00EA3992"/>
    <w:rsid w:val="00EA3BDB"/>
    <w:rsid w:val="00EA3D71"/>
    <w:rsid w:val="00EA40E7"/>
    <w:rsid w:val="00EA41EC"/>
    <w:rsid w:val="00EA4263"/>
    <w:rsid w:val="00EA43DB"/>
    <w:rsid w:val="00EA45F8"/>
    <w:rsid w:val="00EA45FF"/>
    <w:rsid w:val="00EA4681"/>
    <w:rsid w:val="00EA47F7"/>
    <w:rsid w:val="00EA4B42"/>
    <w:rsid w:val="00EA4CAD"/>
    <w:rsid w:val="00EA4D09"/>
    <w:rsid w:val="00EA5227"/>
    <w:rsid w:val="00EA5257"/>
    <w:rsid w:val="00EA53C0"/>
    <w:rsid w:val="00EA5755"/>
    <w:rsid w:val="00EA582B"/>
    <w:rsid w:val="00EA5869"/>
    <w:rsid w:val="00EA59B6"/>
    <w:rsid w:val="00EA5B42"/>
    <w:rsid w:val="00EA5CD9"/>
    <w:rsid w:val="00EA5DB2"/>
    <w:rsid w:val="00EA62E9"/>
    <w:rsid w:val="00EA6309"/>
    <w:rsid w:val="00EA6407"/>
    <w:rsid w:val="00EA65A4"/>
    <w:rsid w:val="00EA68BF"/>
    <w:rsid w:val="00EA6D26"/>
    <w:rsid w:val="00EA6F85"/>
    <w:rsid w:val="00EA70F5"/>
    <w:rsid w:val="00EA7235"/>
    <w:rsid w:val="00EA7656"/>
    <w:rsid w:val="00EA76F1"/>
    <w:rsid w:val="00EA7C77"/>
    <w:rsid w:val="00EA7D96"/>
    <w:rsid w:val="00EB00D2"/>
    <w:rsid w:val="00EB01CE"/>
    <w:rsid w:val="00EB0298"/>
    <w:rsid w:val="00EB05AE"/>
    <w:rsid w:val="00EB05B1"/>
    <w:rsid w:val="00EB05C1"/>
    <w:rsid w:val="00EB083E"/>
    <w:rsid w:val="00EB086B"/>
    <w:rsid w:val="00EB0B9B"/>
    <w:rsid w:val="00EB0F25"/>
    <w:rsid w:val="00EB1045"/>
    <w:rsid w:val="00EB1213"/>
    <w:rsid w:val="00EB1256"/>
    <w:rsid w:val="00EB167E"/>
    <w:rsid w:val="00EB1689"/>
    <w:rsid w:val="00EB1753"/>
    <w:rsid w:val="00EB17D1"/>
    <w:rsid w:val="00EB19C1"/>
    <w:rsid w:val="00EB1CCE"/>
    <w:rsid w:val="00EB1DD0"/>
    <w:rsid w:val="00EB2081"/>
    <w:rsid w:val="00EB28C4"/>
    <w:rsid w:val="00EB294C"/>
    <w:rsid w:val="00EB2AE8"/>
    <w:rsid w:val="00EB2BBB"/>
    <w:rsid w:val="00EB2D4F"/>
    <w:rsid w:val="00EB2DCA"/>
    <w:rsid w:val="00EB30FD"/>
    <w:rsid w:val="00EB3341"/>
    <w:rsid w:val="00EB33FE"/>
    <w:rsid w:val="00EB393F"/>
    <w:rsid w:val="00EB3A3E"/>
    <w:rsid w:val="00EB3BEE"/>
    <w:rsid w:val="00EB3C1B"/>
    <w:rsid w:val="00EB3C39"/>
    <w:rsid w:val="00EB3D00"/>
    <w:rsid w:val="00EB3E2C"/>
    <w:rsid w:val="00EB4487"/>
    <w:rsid w:val="00EB464E"/>
    <w:rsid w:val="00EB4697"/>
    <w:rsid w:val="00EB4B5C"/>
    <w:rsid w:val="00EB4D30"/>
    <w:rsid w:val="00EB4D7C"/>
    <w:rsid w:val="00EB4F5D"/>
    <w:rsid w:val="00EB5077"/>
    <w:rsid w:val="00EB5141"/>
    <w:rsid w:val="00EB5615"/>
    <w:rsid w:val="00EB56DE"/>
    <w:rsid w:val="00EB576A"/>
    <w:rsid w:val="00EB588B"/>
    <w:rsid w:val="00EB5C51"/>
    <w:rsid w:val="00EB5D7E"/>
    <w:rsid w:val="00EB6054"/>
    <w:rsid w:val="00EB6172"/>
    <w:rsid w:val="00EB6285"/>
    <w:rsid w:val="00EB63C1"/>
    <w:rsid w:val="00EB6448"/>
    <w:rsid w:val="00EB6729"/>
    <w:rsid w:val="00EB6746"/>
    <w:rsid w:val="00EB6AB6"/>
    <w:rsid w:val="00EB6DB5"/>
    <w:rsid w:val="00EB6EFD"/>
    <w:rsid w:val="00EB6FCB"/>
    <w:rsid w:val="00EB7062"/>
    <w:rsid w:val="00EB7121"/>
    <w:rsid w:val="00EB7483"/>
    <w:rsid w:val="00EB753C"/>
    <w:rsid w:val="00EB7550"/>
    <w:rsid w:val="00EB764A"/>
    <w:rsid w:val="00EB76EE"/>
    <w:rsid w:val="00EB77BC"/>
    <w:rsid w:val="00EB787C"/>
    <w:rsid w:val="00EB7898"/>
    <w:rsid w:val="00EB7989"/>
    <w:rsid w:val="00EB7BD6"/>
    <w:rsid w:val="00EC024D"/>
    <w:rsid w:val="00EC027A"/>
    <w:rsid w:val="00EC0285"/>
    <w:rsid w:val="00EC02AF"/>
    <w:rsid w:val="00EC04CC"/>
    <w:rsid w:val="00EC0823"/>
    <w:rsid w:val="00EC0C45"/>
    <w:rsid w:val="00EC0F8D"/>
    <w:rsid w:val="00EC1170"/>
    <w:rsid w:val="00EC1252"/>
    <w:rsid w:val="00EC12E1"/>
    <w:rsid w:val="00EC12E9"/>
    <w:rsid w:val="00EC13D5"/>
    <w:rsid w:val="00EC1D7A"/>
    <w:rsid w:val="00EC1DAB"/>
    <w:rsid w:val="00EC1DD4"/>
    <w:rsid w:val="00EC2425"/>
    <w:rsid w:val="00EC24B4"/>
    <w:rsid w:val="00EC25C2"/>
    <w:rsid w:val="00EC2732"/>
    <w:rsid w:val="00EC27AE"/>
    <w:rsid w:val="00EC27BE"/>
    <w:rsid w:val="00EC2AC3"/>
    <w:rsid w:val="00EC2D21"/>
    <w:rsid w:val="00EC2D87"/>
    <w:rsid w:val="00EC31BE"/>
    <w:rsid w:val="00EC33F2"/>
    <w:rsid w:val="00EC3B17"/>
    <w:rsid w:val="00EC3B5D"/>
    <w:rsid w:val="00EC3CDB"/>
    <w:rsid w:val="00EC3E7F"/>
    <w:rsid w:val="00EC3E89"/>
    <w:rsid w:val="00EC3FCD"/>
    <w:rsid w:val="00EC40C3"/>
    <w:rsid w:val="00EC426C"/>
    <w:rsid w:val="00EC43C3"/>
    <w:rsid w:val="00EC440E"/>
    <w:rsid w:val="00EC4460"/>
    <w:rsid w:val="00EC44E0"/>
    <w:rsid w:val="00EC44EC"/>
    <w:rsid w:val="00EC484E"/>
    <w:rsid w:val="00EC4924"/>
    <w:rsid w:val="00EC49D7"/>
    <w:rsid w:val="00EC4A52"/>
    <w:rsid w:val="00EC4C09"/>
    <w:rsid w:val="00EC4E29"/>
    <w:rsid w:val="00EC4E2C"/>
    <w:rsid w:val="00EC50BA"/>
    <w:rsid w:val="00EC547F"/>
    <w:rsid w:val="00EC5667"/>
    <w:rsid w:val="00EC593C"/>
    <w:rsid w:val="00EC5995"/>
    <w:rsid w:val="00EC5CAE"/>
    <w:rsid w:val="00EC61BF"/>
    <w:rsid w:val="00EC644D"/>
    <w:rsid w:val="00EC67A8"/>
    <w:rsid w:val="00EC6CFC"/>
    <w:rsid w:val="00EC6FF9"/>
    <w:rsid w:val="00EC7190"/>
    <w:rsid w:val="00EC744A"/>
    <w:rsid w:val="00EC7932"/>
    <w:rsid w:val="00EC79F6"/>
    <w:rsid w:val="00EC7AF7"/>
    <w:rsid w:val="00ED0034"/>
    <w:rsid w:val="00ED0187"/>
    <w:rsid w:val="00ED0240"/>
    <w:rsid w:val="00ED02CC"/>
    <w:rsid w:val="00ED0315"/>
    <w:rsid w:val="00ED0615"/>
    <w:rsid w:val="00ED077E"/>
    <w:rsid w:val="00ED0A74"/>
    <w:rsid w:val="00ED0AA1"/>
    <w:rsid w:val="00ED0C8F"/>
    <w:rsid w:val="00ED112C"/>
    <w:rsid w:val="00ED118B"/>
    <w:rsid w:val="00ED163C"/>
    <w:rsid w:val="00ED171D"/>
    <w:rsid w:val="00ED1A2E"/>
    <w:rsid w:val="00ED1EEE"/>
    <w:rsid w:val="00ED20F8"/>
    <w:rsid w:val="00ED2111"/>
    <w:rsid w:val="00ED2303"/>
    <w:rsid w:val="00ED2558"/>
    <w:rsid w:val="00ED26C7"/>
    <w:rsid w:val="00ED2706"/>
    <w:rsid w:val="00ED2790"/>
    <w:rsid w:val="00ED28DA"/>
    <w:rsid w:val="00ED29FE"/>
    <w:rsid w:val="00ED2AA7"/>
    <w:rsid w:val="00ED2B41"/>
    <w:rsid w:val="00ED2BA5"/>
    <w:rsid w:val="00ED2C7E"/>
    <w:rsid w:val="00ED2CC9"/>
    <w:rsid w:val="00ED3053"/>
    <w:rsid w:val="00ED3186"/>
    <w:rsid w:val="00ED33DA"/>
    <w:rsid w:val="00ED3519"/>
    <w:rsid w:val="00ED3851"/>
    <w:rsid w:val="00ED3BEB"/>
    <w:rsid w:val="00ED3D41"/>
    <w:rsid w:val="00ED3F82"/>
    <w:rsid w:val="00ED402C"/>
    <w:rsid w:val="00ED4072"/>
    <w:rsid w:val="00ED43E4"/>
    <w:rsid w:val="00ED46A2"/>
    <w:rsid w:val="00ED4854"/>
    <w:rsid w:val="00ED4890"/>
    <w:rsid w:val="00ED48A7"/>
    <w:rsid w:val="00ED4B4C"/>
    <w:rsid w:val="00ED4BDB"/>
    <w:rsid w:val="00ED4EBD"/>
    <w:rsid w:val="00ED50BE"/>
    <w:rsid w:val="00ED5232"/>
    <w:rsid w:val="00ED54FC"/>
    <w:rsid w:val="00ED5BD5"/>
    <w:rsid w:val="00ED5CD8"/>
    <w:rsid w:val="00ED5D36"/>
    <w:rsid w:val="00ED5D6B"/>
    <w:rsid w:val="00ED5E6F"/>
    <w:rsid w:val="00ED5F2F"/>
    <w:rsid w:val="00ED609B"/>
    <w:rsid w:val="00ED6330"/>
    <w:rsid w:val="00ED63F5"/>
    <w:rsid w:val="00ED6A60"/>
    <w:rsid w:val="00ED6B5D"/>
    <w:rsid w:val="00ED6CED"/>
    <w:rsid w:val="00ED6E30"/>
    <w:rsid w:val="00ED6E62"/>
    <w:rsid w:val="00ED6FC7"/>
    <w:rsid w:val="00ED73CB"/>
    <w:rsid w:val="00ED7429"/>
    <w:rsid w:val="00ED75E8"/>
    <w:rsid w:val="00ED76A6"/>
    <w:rsid w:val="00ED79FF"/>
    <w:rsid w:val="00ED7AC8"/>
    <w:rsid w:val="00ED7CF5"/>
    <w:rsid w:val="00ED7D2B"/>
    <w:rsid w:val="00ED7D4D"/>
    <w:rsid w:val="00EE03A9"/>
    <w:rsid w:val="00EE04BD"/>
    <w:rsid w:val="00EE0507"/>
    <w:rsid w:val="00EE053D"/>
    <w:rsid w:val="00EE090E"/>
    <w:rsid w:val="00EE0B68"/>
    <w:rsid w:val="00EE0B97"/>
    <w:rsid w:val="00EE112B"/>
    <w:rsid w:val="00EE1468"/>
    <w:rsid w:val="00EE188C"/>
    <w:rsid w:val="00EE1950"/>
    <w:rsid w:val="00EE1BDE"/>
    <w:rsid w:val="00EE20E3"/>
    <w:rsid w:val="00EE231F"/>
    <w:rsid w:val="00EE2595"/>
    <w:rsid w:val="00EE2672"/>
    <w:rsid w:val="00EE2702"/>
    <w:rsid w:val="00EE2757"/>
    <w:rsid w:val="00EE2832"/>
    <w:rsid w:val="00EE2E1D"/>
    <w:rsid w:val="00EE31E7"/>
    <w:rsid w:val="00EE34E9"/>
    <w:rsid w:val="00EE375D"/>
    <w:rsid w:val="00EE379E"/>
    <w:rsid w:val="00EE39CD"/>
    <w:rsid w:val="00EE3A3E"/>
    <w:rsid w:val="00EE3D0D"/>
    <w:rsid w:val="00EE3E91"/>
    <w:rsid w:val="00EE3EA5"/>
    <w:rsid w:val="00EE403A"/>
    <w:rsid w:val="00EE4133"/>
    <w:rsid w:val="00EE4916"/>
    <w:rsid w:val="00EE4ABD"/>
    <w:rsid w:val="00EE4B22"/>
    <w:rsid w:val="00EE4BA7"/>
    <w:rsid w:val="00EE4DC5"/>
    <w:rsid w:val="00EE516D"/>
    <w:rsid w:val="00EE5574"/>
    <w:rsid w:val="00EE59F8"/>
    <w:rsid w:val="00EE5A52"/>
    <w:rsid w:val="00EE5B0C"/>
    <w:rsid w:val="00EE5BA7"/>
    <w:rsid w:val="00EE5FFA"/>
    <w:rsid w:val="00EE6025"/>
    <w:rsid w:val="00EE66A3"/>
    <w:rsid w:val="00EE66D9"/>
    <w:rsid w:val="00EE699A"/>
    <w:rsid w:val="00EE699E"/>
    <w:rsid w:val="00EE6F99"/>
    <w:rsid w:val="00EE760C"/>
    <w:rsid w:val="00EE78BC"/>
    <w:rsid w:val="00EE79FF"/>
    <w:rsid w:val="00EE7DA8"/>
    <w:rsid w:val="00EE7EDA"/>
    <w:rsid w:val="00EF01C1"/>
    <w:rsid w:val="00EF04DB"/>
    <w:rsid w:val="00EF04E9"/>
    <w:rsid w:val="00EF054B"/>
    <w:rsid w:val="00EF05DC"/>
    <w:rsid w:val="00EF095A"/>
    <w:rsid w:val="00EF0D58"/>
    <w:rsid w:val="00EF0F74"/>
    <w:rsid w:val="00EF1054"/>
    <w:rsid w:val="00EF1498"/>
    <w:rsid w:val="00EF172D"/>
    <w:rsid w:val="00EF1FE3"/>
    <w:rsid w:val="00EF228C"/>
    <w:rsid w:val="00EF23B5"/>
    <w:rsid w:val="00EF2417"/>
    <w:rsid w:val="00EF25E0"/>
    <w:rsid w:val="00EF2784"/>
    <w:rsid w:val="00EF286D"/>
    <w:rsid w:val="00EF2DE5"/>
    <w:rsid w:val="00EF3417"/>
    <w:rsid w:val="00EF3509"/>
    <w:rsid w:val="00EF3564"/>
    <w:rsid w:val="00EF3615"/>
    <w:rsid w:val="00EF3759"/>
    <w:rsid w:val="00EF39C8"/>
    <w:rsid w:val="00EF3BD2"/>
    <w:rsid w:val="00EF40EB"/>
    <w:rsid w:val="00EF4244"/>
    <w:rsid w:val="00EF4369"/>
    <w:rsid w:val="00EF4489"/>
    <w:rsid w:val="00EF45E3"/>
    <w:rsid w:val="00EF4807"/>
    <w:rsid w:val="00EF4885"/>
    <w:rsid w:val="00EF4927"/>
    <w:rsid w:val="00EF4F88"/>
    <w:rsid w:val="00EF54E0"/>
    <w:rsid w:val="00EF56AA"/>
    <w:rsid w:val="00EF56FE"/>
    <w:rsid w:val="00EF5707"/>
    <w:rsid w:val="00EF5749"/>
    <w:rsid w:val="00EF5A51"/>
    <w:rsid w:val="00EF5D30"/>
    <w:rsid w:val="00EF6100"/>
    <w:rsid w:val="00EF6638"/>
    <w:rsid w:val="00EF67A3"/>
    <w:rsid w:val="00EF6C29"/>
    <w:rsid w:val="00EF6D39"/>
    <w:rsid w:val="00EF6E19"/>
    <w:rsid w:val="00EF6E70"/>
    <w:rsid w:val="00EF6EF6"/>
    <w:rsid w:val="00EF7483"/>
    <w:rsid w:val="00EF7988"/>
    <w:rsid w:val="00EF7A5C"/>
    <w:rsid w:val="00EF7AF8"/>
    <w:rsid w:val="00EF7ED8"/>
    <w:rsid w:val="00F00074"/>
    <w:rsid w:val="00F0014D"/>
    <w:rsid w:val="00F003E0"/>
    <w:rsid w:val="00F00426"/>
    <w:rsid w:val="00F00761"/>
    <w:rsid w:val="00F00A74"/>
    <w:rsid w:val="00F01294"/>
    <w:rsid w:val="00F0138A"/>
    <w:rsid w:val="00F0163E"/>
    <w:rsid w:val="00F019C2"/>
    <w:rsid w:val="00F01FD9"/>
    <w:rsid w:val="00F02020"/>
    <w:rsid w:val="00F0216D"/>
    <w:rsid w:val="00F025E8"/>
    <w:rsid w:val="00F02638"/>
    <w:rsid w:val="00F0268E"/>
    <w:rsid w:val="00F028A0"/>
    <w:rsid w:val="00F02AAE"/>
    <w:rsid w:val="00F02DC0"/>
    <w:rsid w:val="00F036A7"/>
    <w:rsid w:val="00F03735"/>
    <w:rsid w:val="00F0393B"/>
    <w:rsid w:val="00F03953"/>
    <w:rsid w:val="00F05243"/>
    <w:rsid w:val="00F05299"/>
    <w:rsid w:val="00F052E8"/>
    <w:rsid w:val="00F058E8"/>
    <w:rsid w:val="00F05C3F"/>
    <w:rsid w:val="00F05D2D"/>
    <w:rsid w:val="00F06223"/>
    <w:rsid w:val="00F062C0"/>
    <w:rsid w:val="00F063F4"/>
    <w:rsid w:val="00F065EF"/>
    <w:rsid w:val="00F06963"/>
    <w:rsid w:val="00F06D2C"/>
    <w:rsid w:val="00F06EB8"/>
    <w:rsid w:val="00F06F31"/>
    <w:rsid w:val="00F0755F"/>
    <w:rsid w:val="00F076DC"/>
    <w:rsid w:val="00F07A9D"/>
    <w:rsid w:val="00F07B7D"/>
    <w:rsid w:val="00F07C10"/>
    <w:rsid w:val="00F07C29"/>
    <w:rsid w:val="00F07CBA"/>
    <w:rsid w:val="00F1004F"/>
    <w:rsid w:val="00F1009F"/>
    <w:rsid w:val="00F101C1"/>
    <w:rsid w:val="00F1066E"/>
    <w:rsid w:val="00F106F0"/>
    <w:rsid w:val="00F10825"/>
    <w:rsid w:val="00F1089E"/>
    <w:rsid w:val="00F10C03"/>
    <w:rsid w:val="00F10DDE"/>
    <w:rsid w:val="00F10DE1"/>
    <w:rsid w:val="00F11442"/>
    <w:rsid w:val="00F1170E"/>
    <w:rsid w:val="00F117DA"/>
    <w:rsid w:val="00F117E2"/>
    <w:rsid w:val="00F1197F"/>
    <w:rsid w:val="00F11EE7"/>
    <w:rsid w:val="00F12028"/>
    <w:rsid w:val="00F12514"/>
    <w:rsid w:val="00F125D7"/>
    <w:rsid w:val="00F126C0"/>
    <w:rsid w:val="00F12735"/>
    <w:rsid w:val="00F12759"/>
    <w:rsid w:val="00F12782"/>
    <w:rsid w:val="00F12C9A"/>
    <w:rsid w:val="00F1300D"/>
    <w:rsid w:val="00F13132"/>
    <w:rsid w:val="00F13175"/>
    <w:rsid w:val="00F1333E"/>
    <w:rsid w:val="00F1345C"/>
    <w:rsid w:val="00F135C0"/>
    <w:rsid w:val="00F13717"/>
    <w:rsid w:val="00F137CF"/>
    <w:rsid w:val="00F13BAE"/>
    <w:rsid w:val="00F13CB1"/>
    <w:rsid w:val="00F1469F"/>
    <w:rsid w:val="00F147BC"/>
    <w:rsid w:val="00F14A11"/>
    <w:rsid w:val="00F14A90"/>
    <w:rsid w:val="00F14AFA"/>
    <w:rsid w:val="00F14FB1"/>
    <w:rsid w:val="00F151BC"/>
    <w:rsid w:val="00F154AC"/>
    <w:rsid w:val="00F1553D"/>
    <w:rsid w:val="00F15629"/>
    <w:rsid w:val="00F15990"/>
    <w:rsid w:val="00F15FE3"/>
    <w:rsid w:val="00F16322"/>
    <w:rsid w:val="00F163A1"/>
    <w:rsid w:val="00F16821"/>
    <w:rsid w:val="00F1686C"/>
    <w:rsid w:val="00F16903"/>
    <w:rsid w:val="00F169BC"/>
    <w:rsid w:val="00F16CA4"/>
    <w:rsid w:val="00F16CE5"/>
    <w:rsid w:val="00F16E22"/>
    <w:rsid w:val="00F16F16"/>
    <w:rsid w:val="00F17000"/>
    <w:rsid w:val="00F171C1"/>
    <w:rsid w:val="00F172F5"/>
    <w:rsid w:val="00F17348"/>
    <w:rsid w:val="00F17553"/>
    <w:rsid w:val="00F17A8B"/>
    <w:rsid w:val="00F17C0A"/>
    <w:rsid w:val="00F17C6A"/>
    <w:rsid w:val="00F17E4C"/>
    <w:rsid w:val="00F203A1"/>
    <w:rsid w:val="00F20745"/>
    <w:rsid w:val="00F2082E"/>
    <w:rsid w:val="00F20E1E"/>
    <w:rsid w:val="00F20F1C"/>
    <w:rsid w:val="00F21129"/>
    <w:rsid w:val="00F21143"/>
    <w:rsid w:val="00F213DA"/>
    <w:rsid w:val="00F21630"/>
    <w:rsid w:val="00F216DF"/>
    <w:rsid w:val="00F21C03"/>
    <w:rsid w:val="00F21C32"/>
    <w:rsid w:val="00F21D73"/>
    <w:rsid w:val="00F21EF2"/>
    <w:rsid w:val="00F227D5"/>
    <w:rsid w:val="00F22887"/>
    <w:rsid w:val="00F22BA5"/>
    <w:rsid w:val="00F22EDB"/>
    <w:rsid w:val="00F22F93"/>
    <w:rsid w:val="00F2308B"/>
    <w:rsid w:val="00F233D4"/>
    <w:rsid w:val="00F234FF"/>
    <w:rsid w:val="00F235E3"/>
    <w:rsid w:val="00F23772"/>
    <w:rsid w:val="00F23998"/>
    <w:rsid w:val="00F23A7E"/>
    <w:rsid w:val="00F23BE0"/>
    <w:rsid w:val="00F23CC1"/>
    <w:rsid w:val="00F23FEE"/>
    <w:rsid w:val="00F241FC"/>
    <w:rsid w:val="00F244EA"/>
    <w:rsid w:val="00F244FB"/>
    <w:rsid w:val="00F245F8"/>
    <w:rsid w:val="00F2466A"/>
    <w:rsid w:val="00F24958"/>
    <w:rsid w:val="00F24D98"/>
    <w:rsid w:val="00F24E56"/>
    <w:rsid w:val="00F24F31"/>
    <w:rsid w:val="00F24FC4"/>
    <w:rsid w:val="00F252CE"/>
    <w:rsid w:val="00F2541A"/>
    <w:rsid w:val="00F254E4"/>
    <w:rsid w:val="00F25942"/>
    <w:rsid w:val="00F25BDD"/>
    <w:rsid w:val="00F25C19"/>
    <w:rsid w:val="00F260EC"/>
    <w:rsid w:val="00F26118"/>
    <w:rsid w:val="00F263E8"/>
    <w:rsid w:val="00F268BB"/>
    <w:rsid w:val="00F26C78"/>
    <w:rsid w:val="00F26DBC"/>
    <w:rsid w:val="00F26F49"/>
    <w:rsid w:val="00F273BB"/>
    <w:rsid w:val="00F275B0"/>
    <w:rsid w:val="00F275C3"/>
    <w:rsid w:val="00F276EE"/>
    <w:rsid w:val="00F27853"/>
    <w:rsid w:val="00F278B6"/>
    <w:rsid w:val="00F27C00"/>
    <w:rsid w:val="00F27FB8"/>
    <w:rsid w:val="00F27FC1"/>
    <w:rsid w:val="00F27FF5"/>
    <w:rsid w:val="00F30185"/>
    <w:rsid w:val="00F30412"/>
    <w:rsid w:val="00F3069F"/>
    <w:rsid w:val="00F30752"/>
    <w:rsid w:val="00F30C1E"/>
    <w:rsid w:val="00F30C7F"/>
    <w:rsid w:val="00F30E6C"/>
    <w:rsid w:val="00F30F09"/>
    <w:rsid w:val="00F3100C"/>
    <w:rsid w:val="00F3108D"/>
    <w:rsid w:val="00F31576"/>
    <w:rsid w:val="00F31E00"/>
    <w:rsid w:val="00F31EF1"/>
    <w:rsid w:val="00F31FA6"/>
    <w:rsid w:val="00F32096"/>
    <w:rsid w:val="00F322D7"/>
    <w:rsid w:val="00F32444"/>
    <w:rsid w:val="00F3247E"/>
    <w:rsid w:val="00F324B8"/>
    <w:rsid w:val="00F325F7"/>
    <w:rsid w:val="00F32A18"/>
    <w:rsid w:val="00F32A52"/>
    <w:rsid w:val="00F32A72"/>
    <w:rsid w:val="00F32A85"/>
    <w:rsid w:val="00F32C92"/>
    <w:rsid w:val="00F331AE"/>
    <w:rsid w:val="00F331E9"/>
    <w:rsid w:val="00F33215"/>
    <w:rsid w:val="00F33330"/>
    <w:rsid w:val="00F33599"/>
    <w:rsid w:val="00F33623"/>
    <w:rsid w:val="00F33937"/>
    <w:rsid w:val="00F339D5"/>
    <w:rsid w:val="00F339F0"/>
    <w:rsid w:val="00F33B8F"/>
    <w:rsid w:val="00F33F92"/>
    <w:rsid w:val="00F3449C"/>
    <w:rsid w:val="00F34667"/>
    <w:rsid w:val="00F34AD1"/>
    <w:rsid w:val="00F34BA6"/>
    <w:rsid w:val="00F34C40"/>
    <w:rsid w:val="00F34F44"/>
    <w:rsid w:val="00F34F45"/>
    <w:rsid w:val="00F34FDD"/>
    <w:rsid w:val="00F354C1"/>
    <w:rsid w:val="00F354C5"/>
    <w:rsid w:val="00F358A0"/>
    <w:rsid w:val="00F35905"/>
    <w:rsid w:val="00F3598D"/>
    <w:rsid w:val="00F35A43"/>
    <w:rsid w:val="00F35B63"/>
    <w:rsid w:val="00F35CB3"/>
    <w:rsid w:val="00F364C7"/>
    <w:rsid w:val="00F3662B"/>
    <w:rsid w:val="00F36873"/>
    <w:rsid w:val="00F36AA4"/>
    <w:rsid w:val="00F36AC9"/>
    <w:rsid w:val="00F36C03"/>
    <w:rsid w:val="00F36CB9"/>
    <w:rsid w:val="00F36E41"/>
    <w:rsid w:val="00F36EB8"/>
    <w:rsid w:val="00F370D0"/>
    <w:rsid w:val="00F371B8"/>
    <w:rsid w:val="00F37311"/>
    <w:rsid w:val="00F37630"/>
    <w:rsid w:val="00F37839"/>
    <w:rsid w:val="00F379FC"/>
    <w:rsid w:val="00F37CDE"/>
    <w:rsid w:val="00F37D85"/>
    <w:rsid w:val="00F40441"/>
    <w:rsid w:val="00F405CF"/>
    <w:rsid w:val="00F405F4"/>
    <w:rsid w:val="00F409B6"/>
    <w:rsid w:val="00F40DC1"/>
    <w:rsid w:val="00F413A5"/>
    <w:rsid w:val="00F4179B"/>
    <w:rsid w:val="00F417D4"/>
    <w:rsid w:val="00F41855"/>
    <w:rsid w:val="00F41AE6"/>
    <w:rsid w:val="00F41AF7"/>
    <w:rsid w:val="00F41B21"/>
    <w:rsid w:val="00F41D08"/>
    <w:rsid w:val="00F41D44"/>
    <w:rsid w:val="00F41EE6"/>
    <w:rsid w:val="00F4200E"/>
    <w:rsid w:val="00F4202B"/>
    <w:rsid w:val="00F4237C"/>
    <w:rsid w:val="00F424E5"/>
    <w:rsid w:val="00F42A30"/>
    <w:rsid w:val="00F42B24"/>
    <w:rsid w:val="00F42C68"/>
    <w:rsid w:val="00F42D37"/>
    <w:rsid w:val="00F42D6D"/>
    <w:rsid w:val="00F42DF3"/>
    <w:rsid w:val="00F4322C"/>
    <w:rsid w:val="00F43316"/>
    <w:rsid w:val="00F433C0"/>
    <w:rsid w:val="00F4363D"/>
    <w:rsid w:val="00F43763"/>
    <w:rsid w:val="00F437CB"/>
    <w:rsid w:val="00F43A6B"/>
    <w:rsid w:val="00F43AD2"/>
    <w:rsid w:val="00F43AEB"/>
    <w:rsid w:val="00F43C8F"/>
    <w:rsid w:val="00F43D05"/>
    <w:rsid w:val="00F43D23"/>
    <w:rsid w:val="00F43FFC"/>
    <w:rsid w:val="00F442C4"/>
    <w:rsid w:val="00F444D3"/>
    <w:rsid w:val="00F44774"/>
    <w:rsid w:val="00F449A6"/>
    <w:rsid w:val="00F44BCE"/>
    <w:rsid w:val="00F44CD9"/>
    <w:rsid w:val="00F44D26"/>
    <w:rsid w:val="00F44EAF"/>
    <w:rsid w:val="00F44EE1"/>
    <w:rsid w:val="00F452FE"/>
    <w:rsid w:val="00F45339"/>
    <w:rsid w:val="00F45539"/>
    <w:rsid w:val="00F45595"/>
    <w:rsid w:val="00F455DC"/>
    <w:rsid w:val="00F45633"/>
    <w:rsid w:val="00F4565B"/>
    <w:rsid w:val="00F458A6"/>
    <w:rsid w:val="00F45F89"/>
    <w:rsid w:val="00F46080"/>
    <w:rsid w:val="00F465FF"/>
    <w:rsid w:val="00F46624"/>
    <w:rsid w:val="00F46DBA"/>
    <w:rsid w:val="00F46EC6"/>
    <w:rsid w:val="00F47391"/>
    <w:rsid w:val="00F47AD9"/>
    <w:rsid w:val="00F47C01"/>
    <w:rsid w:val="00F50018"/>
    <w:rsid w:val="00F50052"/>
    <w:rsid w:val="00F5025D"/>
    <w:rsid w:val="00F5028E"/>
    <w:rsid w:val="00F502A3"/>
    <w:rsid w:val="00F5033F"/>
    <w:rsid w:val="00F50361"/>
    <w:rsid w:val="00F50411"/>
    <w:rsid w:val="00F504E7"/>
    <w:rsid w:val="00F50540"/>
    <w:rsid w:val="00F5063F"/>
    <w:rsid w:val="00F50AED"/>
    <w:rsid w:val="00F50B1D"/>
    <w:rsid w:val="00F50B22"/>
    <w:rsid w:val="00F50C85"/>
    <w:rsid w:val="00F50D78"/>
    <w:rsid w:val="00F50D97"/>
    <w:rsid w:val="00F50F04"/>
    <w:rsid w:val="00F51218"/>
    <w:rsid w:val="00F51691"/>
    <w:rsid w:val="00F51AAE"/>
    <w:rsid w:val="00F51B57"/>
    <w:rsid w:val="00F51B80"/>
    <w:rsid w:val="00F51BAF"/>
    <w:rsid w:val="00F51C77"/>
    <w:rsid w:val="00F522EE"/>
    <w:rsid w:val="00F5233D"/>
    <w:rsid w:val="00F52521"/>
    <w:rsid w:val="00F5263D"/>
    <w:rsid w:val="00F5268B"/>
    <w:rsid w:val="00F52795"/>
    <w:rsid w:val="00F528D7"/>
    <w:rsid w:val="00F52987"/>
    <w:rsid w:val="00F52B02"/>
    <w:rsid w:val="00F52B98"/>
    <w:rsid w:val="00F52C78"/>
    <w:rsid w:val="00F52D48"/>
    <w:rsid w:val="00F52D57"/>
    <w:rsid w:val="00F52F07"/>
    <w:rsid w:val="00F52F69"/>
    <w:rsid w:val="00F531C9"/>
    <w:rsid w:val="00F53227"/>
    <w:rsid w:val="00F53382"/>
    <w:rsid w:val="00F536DE"/>
    <w:rsid w:val="00F53B8E"/>
    <w:rsid w:val="00F53D8B"/>
    <w:rsid w:val="00F54419"/>
    <w:rsid w:val="00F54506"/>
    <w:rsid w:val="00F546F3"/>
    <w:rsid w:val="00F54929"/>
    <w:rsid w:val="00F54E54"/>
    <w:rsid w:val="00F55043"/>
    <w:rsid w:val="00F55231"/>
    <w:rsid w:val="00F55C9A"/>
    <w:rsid w:val="00F55F51"/>
    <w:rsid w:val="00F56046"/>
    <w:rsid w:val="00F568B8"/>
    <w:rsid w:val="00F56A52"/>
    <w:rsid w:val="00F56CDD"/>
    <w:rsid w:val="00F56D52"/>
    <w:rsid w:val="00F56DD2"/>
    <w:rsid w:val="00F5715D"/>
    <w:rsid w:val="00F5719A"/>
    <w:rsid w:val="00F572CA"/>
    <w:rsid w:val="00F5739A"/>
    <w:rsid w:val="00F57557"/>
    <w:rsid w:val="00F57988"/>
    <w:rsid w:val="00F57A41"/>
    <w:rsid w:val="00F57CC3"/>
    <w:rsid w:val="00F57DC3"/>
    <w:rsid w:val="00F57F7E"/>
    <w:rsid w:val="00F60267"/>
    <w:rsid w:val="00F60315"/>
    <w:rsid w:val="00F603CA"/>
    <w:rsid w:val="00F604D4"/>
    <w:rsid w:val="00F60513"/>
    <w:rsid w:val="00F606CF"/>
    <w:rsid w:val="00F6080A"/>
    <w:rsid w:val="00F60918"/>
    <w:rsid w:val="00F60968"/>
    <w:rsid w:val="00F6098E"/>
    <w:rsid w:val="00F60CB4"/>
    <w:rsid w:val="00F60D88"/>
    <w:rsid w:val="00F614A3"/>
    <w:rsid w:val="00F617D1"/>
    <w:rsid w:val="00F618C2"/>
    <w:rsid w:val="00F619E9"/>
    <w:rsid w:val="00F61B3B"/>
    <w:rsid w:val="00F61E6B"/>
    <w:rsid w:val="00F61FD5"/>
    <w:rsid w:val="00F620B9"/>
    <w:rsid w:val="00F620D3"/>
    <w:rsid w:val="00F62252"/>
    <w:rsid w:val="00F624AE"/>
    <w:rsid w:val="00F624B8"/>
    <w:rsid w:val="00F6265E"/>
    <w:rsid w:val="00F62995"/>
    <w:rsid w:val="00F62BFC"/>
    <w:rsid w:val="00F631D6"/>
    <w:rsid w:val="00F63660"/>
    <w:rsid w:val="00F63729"/>
    <w:rsid w:val="00F63D89"/>
    <w:rsid w:val="00F6411F"/>
    <w:rsid w:val="00F642E9"/>
    <w:rsid w:val="00F643BE"/>
    <w:rsid w:val="00F64542"/>
    <w:rsid w:val="00F645F4"/>
    <w:rsid w:val="00F64600"/>
    <w:rsid w:val="00F64FC4"/>
    <w:rsid w:val="00F651CA"/>
    <w:rsid w:val="00F65702"/>
    <w:rsid w:val="00F6585C"/>
    <w:rsid w:val="00F6599E"/>
    <w:rsid w:val="00F65D2E"/>
    <w:rsid w:val="00F66098"/>
    <w:rsid w:val="00F6613A"/>
    <w:rsid w:val="00F6648D"/>
    <w:rsid w:val="00F66680"/>
    <w:rsid w:val="00F6678F"/>
    <w:rsid w:val="00F66F40"/>
    <w:rsid w:val="00F672C1"/>
    <w:rsid w:val="00F67399"/>
    <w:rsid w:val="00F6747E"/>
    <w:rsid w:val="00F674BB"/>
    <w:rsid w:val="00F6768D"/>
    <w:rsid w:val="00F677B2"/>
    <w:rsid w:val="00F67814"/>
    <w:rsid w:val="00F6796F"/>
    <w:rsid w:val="00F67BBA"/>
    <w:rsid w:val="00F67DA8"/>
    <w:rsid w:val="00F67F36"/>
    <w:rsid w:val="00F701C2"/>
    <w:rsid w:val="00F7020E"/>
    <w:rsid w:val="00F70689"/>
    <w:rsid w:val="00F70948"/>
    <w:rsid w:val="00F70A6D"/>
    <w:rsid w:val="00F70C3E"/>
    <w:rsid w:val="00F70D89"/>
    <w:rsid w:val="00F70DE1"/>
    <w:rsid w:val="00F70F9E"/>
    <w:rsid w:val="00F71114"/>
    <w:rsid w:val="00F71428"/>
    <w:rsid w:val="00F717E2"/>
    <w:rsid w:val="00F71848"/>
    <w:rsid w:val="00F721F5"/>
    <w:rsid w:val="00F72248"/>
    <w:rsid w:val="00F723EC"/>
    <w:rsid w:val="00F72413"/>
    <w:rsid w:val="00F72437"/>
    <w:rsid w:val="00F725F4"/>
    <w:rsid w:val="00F72664"/>
    <w:rsid w:val="00F72761"/>
    <w:rsid w:val="00F72777"/>
    <w:rsid w:val="00F7285A"/>
    <w:rsid w:val="00F72BF2"/>
    <w:rsid w:val="00F72D49"/>
    <w:rsid w:val="00F72F13"/>
    <w:rsid w:val="00F73236"/>
    <w:rsid w:val="00F73255"/>
    <w:rsid w:val="00F7327C"/>
    <w:rsid w:val="00F73BA1"/>
    <w:rsid w:val="00F73E71"/>
    <w:rsid w:val="00F741F5"/>
    <w:rsid w:val="00F742FD"/>
    <w:rsid w:val="00F7461E"/>
    <w:rsid w:val="00F74CE4"/>
    <w:rsid w:val="00F7517C"/>
    <w:rsid w:val="00F7533C"/>
    <w:rsid w:val="00F7584A"/>
    <w:rsid w:val="00F759FC"/>
    <w:rsid w:val="00F75C72"/>
    <w:rsid w:val="00F75C7C"/>
    <w:rsid w:val="00F75EF3"/>
    <w:rsid w:val="00F761A3"/>
    <w:rsid w:val="00F76AC5"/>
    <w:rsid w:val="00F7721E"/>
    <w:rsid w:val="00F7722A"/>
    <w:rsid w:val="00F77243"/>
    <w:rsid w:val="00F772EA"/>
    <w:rsid w:val="00F77372"/>
    <w:rsid w:val="00F77419"/>
    <w:rsid w:val="00F77573"/>
    <w:rsid w:val="00F7766E"/>
    <w:rsid w:val="00F777ED"/>
    <w:rsid w:val="00F80092"/>
    <w:rsid w:val="00F802F1"/>
    <w:rsid w:val="00F803ED"/>
    <w:rsid w:val="00F806CF"/>
    <w:rsid w:val="00F80D18"/>
    <w:rsid w:val="00F8107B"/>
    <w:rsid w:val="00F81620"/>
    <w:rsid w:val="00F8163C"/>
    <w:rsid w:val="00F816CA"/>
    <w:rsid w:val="00F81793"/>
    <w:rsid w:val="00F81BCC"/>
    <w:rsid w:val="00F81DDA"/>
    <w:rsid w:val="00F822C0"/>
    <w:rsid w:val="00F8230B"/>
    <w:rsid w:val="00F8232C"/>
    <w:rsid w:val="00F8244C"/>
    <w:rsid w:val="00F82470"/>
    <w:rsid w:val="00F82C8A"/>
    <w:rsid w:val="00F82CEB"/>
    <w:rsid w:val="00F82EFC"/>
    <w:rsid w:val="00F83182"/>
    <w:rsid w:val="00F83393"/>
    <w:rsid w:val="00F836CD"/>
    <w:rsid w:val="00F838FF"/>
    <w:rsid w:val="00F83A8A"/>
    <w:rsid w:val="00F83DAE"/>
    <w:rsid w:val="00F83E6A"/>
    <w:rsid w:val="00F84173"/>
    <w:rsid w:val="00F844DF"/>
    <w:rsid w:val="00F8489B"/>
    <w:rsid w:val="00F8494C"/>
    <w:rsid w:val="00F84B8A"/>
    <w:rsid w:val="00F84C3C"/>
    <w:rsid w:val="00F84C88"/>
    <w:rsid w:val="00F84EF4"/>
    <w:rsid w:val="00F850C4"/>
    <w:rsid w:val="00F851A2"/>
    <w:rsid w:val="00F852BF"/>
    <w:rsid w:val="00F85873"/>
    <w:rsid w:val="00F85951"/>
    <w:rsid w:val="00F860D9"/>
    <w:rsid w:val="00F86308"/>
    <w:rsid w:val="00F8636B"/>
    <w:rsid w:val="00F86499"/>
    <w:rsid w:val="00F864EB"/>
    <w:rsid w:val="00F864EE"/>
    <w:rsid w:val="00F865F0"/>
    <w:rsid w:val="00F8664C"/>
    <w:rsid w:val="00F866C8"/>
    <w:rsid w:val="00F86A75"/>
    <w:rsid w:val="00F86CCC"/>
    <w:rsid w:val="00F8722E"/>
    <w:rsid w:val="00F87373"/>
    <w:rsid w:val="00F875E6"/>
    <w:rsid w:val="00F876E0"/>
    <w:rsid w:val="00F876F6"/>
    <w:rsid w:val="00F87A4B"/>
    <w:rsid w:val="00F87E28"/>
    <w:rsid w:val="00F90645"/>
    <w:rsid w:val="00F907C1"/>
    <w:rsid w:val="00F907C3"/>
    <w:rsid w:val="00F90CF1"/>
    <w:rsid w:val="00F90DE7"/>
    <w:rsid w:val="00F90ED0"/>
    <w:rsid w:val="00F90F21"/>
    <w:rsid w:val="00F90FC2"/>
    <w:rsid w:val="00F91245"/>
    <w:rsid w:val="00F9151A"/>
    <w:rsid w:val="00F9178D"/>
    <w:rsid w:val="00F91914"/>
    <w:rsid w:val="00F91E44"/>
    <w:rsid w:val="00F921C7"/>
    <w:rsid w:val="00F924F9"/>
    <w:rsid w:val="00F925C4"/>
    <w:rsid w:val="00F92603"/>
    <w:rsid w:val="00F928A6"/>
    <w:rsid w:val="00F929B1"/>
    <w:rsid w:val="00F92C01"/>
    <w:rsid w:val="00F92DD0"/>
    <w:rsid w:val="00F92FBC"/>
    <w:rsid w:val="00F93BEB"/>
    <w:rsid w:val="00F942EC"/>
    <w:rsid w:val="00F94411"/>
    <w:rsid w:val="00F94641"/>
    <w:rsid w:val="00F94B0D"/>
    <w:rsid w:val="00F950A2"/>
    <w:rsid w:val="00F95200"/>
    <w:rsid w:val="00F9530C"/>
    <w:rsid w:val="00F953F1"/>
    <w:rsid w:val="00F958BC"/>
    <w:rsid w:val="00F95E09"/>
    <w:rsid w:val="00F95E0F"/>
    <w:rsid w:val="00F95E42"/>
    <w:rsid w:val="00F960A5"/>
    <w:rsid w:val="00F96437"/>
    <w:rsid w:val="00F964F7"/>
    <w:rsid w:val="00F966F2"/>
    <w:rsid w:val="00F968F4"/>
    <w:rsid w:val="00F96F4C"/>
    <w:rsid w:val="00F97016"/>
    <w:rsid w:val="00F970AC"/>
    <w:rsid w:val="00F97190"/>
    <w:rsid w:val="00F971DD"/>
    <w:rsid w:val="00F973FD"/>
    <w:rsid w:val="00F97660"/>
    <w:rsid w:val="00F9793E"/>
    <w:rsid w:val="00F97CFD"/>
    <w:rsid w:val="00F97F6B"/>
    <w:rsid w:val="00FA0127"/>
    <w:rsid w:val="00FA012C"/>
    <w:rsid w:val="00FA03CC"/>
    <w:rsid w:val="00FA0889"/>
    <w:rsid w:val="00FA08B0"/>
    <w:rsid w:val="00FA09B5"/>
    <w:rsid w:val="00FA0B97"/>
    <w:rsid w:val="00FA0C76"/>
    <w:rsid w:val="00FA1030"/>
    <w:rsid w:val="00FA12D7"/>
    <w:rsid w:val="00FA1A4E"/>
    <w:rsid w:val="00FA1A76"/>
    <w:rsid w:val="00FA1AEF"/>
    <w:rsid w:val="00FA23E2"/>
    <w:rsid w:val="00FA2798"/>
    <w:rsid w:val="00FA296B"/>
    <w:rsid w:val="00FA29F8"/>
    <w:rsid w:val="00FA2DC4"/>
    <w:rsid w:val="00FA2F7B"/>
    <w:rsid w:val="00FA2FF0"/>
    <w:rsid w:val="00FA3245"/>
    <w:rsid w:val="00FA3382"/>
    <w:rsid w:val="00FA339B"/>
    <w:rsid w:val="00FA3570"/>
    <w:rsid w:val="00FA361F"/>
    <w:rsid w:val="00FA37CF"/>
    <w:rsid w:val="00FA3805"/>
    <w:rsid w:val="00FA3B7A"/>
    <w:rsid w:val="00FA3BE4"/>
    <w:rsid w:val="00FA3CB0"/>
    <w:rsid w:val="00FA3EC3"/>
    <w:rsid w:val="00FA4147"/>
    <w:rsid w:val="00FA4307"/>
    <w:rsid w:val="00FA4E27"/>
    <w:rsid w:val="00FA4E99"/>
    <w:rsid w:val="00FA4EA2"/>
    <w:rsid w:val="00FA536D"/>
    <w:rsid w:val="00FA53D8"/>
    <w:rsid w:val="00FA5954"/>
    <w:rsid w:val="00FA5974"/>
    <w:rsid w:val="00FA5B71"/>
    <w:rsid w:val="00FA5D1B"/>
    <w:rsid w:val="00FA5E71"/>
    <w:rsid w:val="00FA6352"/>
    <w:rsid w:val="00FA6611"/>
    <w:rsid w:val="00FA66CB"/>
    <w:rsid w:val="00FA6712"/>
    <w:rsid w:val="00FA696D"/>
    <w:rsid w:val="00FA69DF"/>
    <w:rsid w:val="00FA6A24"/>
    <w:rsid w:val="00FA6CB0"/>
    <w:rsid w:val="00FA6CB2"/>
    <w:rsid w:val="00FA71F8"/>
    <w:rsid w:val="00FA75C5"/>
    <w:rsid w:val="00FA79CE"/>
    <w:rsid w:val="00FA7D37"/>
    <w:rsid w:val="00FA7E38"/>
    <w:rsid w:val="00FB0274"/>
    <w:rsid w:val="00FB0CDC"/>
    <w:rsid w:val="00FB0DF5"/>
    <w:rsid w:val="00FB13D6"/>
    <w:rsid w:val="00FB17D0"/>
    <w:rsid w:val="00FB1A58"/>
    <w:rsid w:val="00FB1EC3"/>
    <w:rsid w:val="00FB21A3"/>
    <w:rsid w:val="00FB2529"/>
    <w:rsid w:val="00FB25A7"/>
    <w:rsid w:val="00FB2819"/>
    <w:rsid w:val="00FB2939"/>
    <w:rsid w:val="00FB2A0F"/>
    <w:rsid w:val="00FB2A65"/>
    <w:rsid w:val="00FB328B"/>
    <w:rsid w:val="00FB3317"/>
    <w:rsid w:val="00FB3392"/>
    <w:rsid w:val="00FB3441"/>
    <w:rsid w:val="00FB3B00"/>
    <w:rsid w:val="00FB3CC7"/>
    <w:rsid w:val="00FB3ECB"/>
    <w:rsid w:val="00FB406B"/>
    <w:rsid w:val="00FB44EE"/>
    <w:rsid w:val="00FB47AF"/>
    <w:rsid w:val="00FB492E"/>
    <w:rsid w:val="00FB4A83"/>
    <w:rsid w:val="00FB4B2F"/>
    <w:rsid w:val="00FB4B7B"/>
    <w:rsid w:val="00FB4CE7"/>
    <w:rsid w:val="00FB5049"/>
    <w:rsid w:val="00FB5333"/>
    <w:rsid w:val="00FB5449"/>
    <w:rsid w:val="00FB557E"/>
    <w:rsid w:val="00FB5763"/>
    <w:rsid w:val="00FB5829"/>
    <w:rsid w:val="00FB584C"/>
    <w:rsid w:val="00FB5DF1"/>
    <w:rsid w:val="00FB6209"/>
    <w:rsid w:val="00FB627E"/>
    <w:rsid w:val="00FB62FC"/>
    <w:rsid w:val="00FB64A1"/>
    <w:rsid w:val="00FB6600"/>
    <w:rsid w:val="00FB6672"/>
    <w:rsid w:val="00FB67BC"/>
    <w:rsid w:val="00FB6985"/>
    <w:rsid w:val="00FB6AD4"/>
    <w:rsid w:val="00FB6F30"/>
    <w:rsid w:val="00FB6F59"/>
    <w:rsid w:val="00FB7060"/>
    <w:rsid w:val="00FB72DC"/>
    <w:rsid w:val="00FB741B"/>
    <w:rsid w:val="00FB77B6"/>
    <w:rsid w:val="00FB792D"/>
    <w:rsid w:val="00FB7B4A"/>
    <w:rsid w:val="00FB7DBC"/>
    <w:rsid w:val="00FC013E"/>
    <w:rsid w:val="00FC01CE"/>
    <w:rsid w:val="00FC0829"/>
    <w:rsid w:val="00FC08E1"/>
    <w:rsid w:val="00FC0AB5"/>
    <w:rsid w:val="00FC0CEB"/>
    <w:rsid w:val="00FC0FC0"/>
    <w:rsid w:val="00FC107D"/>
    <w:rsid w:val="00FC11E7"/>
    <w:rsid w:val="00FC13BD"/>
    <w:rsid w:val="00FC15CA"/>
    <w:rsid w:val="00FC19A4"/>
    <w:rsid w:val="00FC1D1D"/>
    <w:rsid w:val="00FC1F27"/>
    <w:rsid w:val="00FC21C5"/>
    <w:rsid w:val="00FC2304"/>
    <w:rsid w:val="00FC2366"/>
    <w:rsid w:val="00FC2468"/>
    <w:rsid w:val="00FC2685"/>
    <w:rsid w:val="00FC27AF"/>
    <w:rsid w:val="00FC2A24"/>
    <w:rsid w:val="00FC2A80"/>
    <w:rsid w:val="00FC2B3F"/>
    <w:rsid w:val="00FC2D8B"/>
    <w:rsid w:val="00FC2EA4"/>
    <w:rsid w:val="00FC2FD0"/>
    <w:rsid w:val="00FC2FE9"/>
    <w:rsid w:val="00FC33A2"/>
    <w:rsid w:val="00FC371A"/>
    <w:rsid w:val="00FC3D7D"/>
    <w:rsid w:val="00FC404A"/>
    <w:rsid w:val="00FC444F"/>
    <w:rsid w:val="00FC4493"/>
    <w:rsid w:val="00FC47C1"/>
    <w:rsid w:val="00FC4C55"/>
    <w:rsid w:val="00FC4D11"/>
    <w:rsid w:val="00FC4D15"/>
    <w:rsid w:val="00FC4D44"/>
    <w:rsid w:val="00FC4E4B"/>
    <w:rsid w:val="00FC52A6"/>
    <w:rsid w:val="00FC52C6"/>
    <w:rsid w:val="00FC536F"/>
    <w:rsid w:val="00FC594C"/>
    <w:rsid w:val="00FC5A3C"/>
    <w:rsid w:val="00FC5D58"/>
    <w:rsid w:val="00FC5F03"/>
    <w:rsid w:val="00FC5F74"/>
    <w:rsid w:val="00FC5FD4"/>
    <w:rsid w:val="00FC6366"/>
    <w:rsid w:val="00FC646B"/>
    <w:rsid w:val="00FC6655"/>
    <w:rsid w:val="00FC66C4"/>
    <w:rsid w:val="00FC67F7"/>
    <w:rsid w:val="00FC68CE"/>
    <w:rsid w:val="00FC6A0D"/>
    <w:rsid w:val="00FC6B3A"/>
    <w:rsid w:val="00FC6BE6"/>
    <w:rsid w:val="00FC6D92"/>
    <w:rsid w:val="00FC6E67"/>
    <w:rsid w:val="00FC6ED0"/>
    <w:rsid w:val="00FC72F9"/>
    <w:rsid w:val="00FC75A9"/>
    <w:rsid w:val="00FC760E"/>
    <w:rsid w:val="00FC7AF8"/>
    <w:rsid w:val="00FC7BAC"/>
    <w:rsid w:val="00FC7E6C"/>
    <w:rsid w:val="00FD020E"/>
    <w:rsid w:val="00FD049E"/>
    <w:rsid w:val="00FD0682"/>
    <w:rsid w:val="00FD0798"/>
    <w:rsid w:val="00FD07E9"/>
    <w:rsid w:val="00FD0816"/>
    <w:rsid w:val="00FD084B"/>
    <w:rsid w:val="00FD0873"/>
    <w:rsid w:val="00FD0A86"/>
    <w:rsid w:val="00FD0AC2"/>
    <w:rsid w:val="00FD0B5D"/>
    <w:rsid w:val="00FD0B66"/>
    <w:rsid w:val="00FD0D49"/>
    <w:rsid w:val="00FD1003"/>
    <w:rsid w:val="00FD101B"/>
    <w:rsid w:val="00FD10A0"/>
    <w:rsid w:val="00FD1100"/>
    <w:rsid w:val="00FD1191"/>
    <w:rsid w:val="00FD11A0"/>
    <w:rsid w:val="00FD1394"/>
    <w:rsid w:val="00FD1485"/>
    <w:rsid w:val="00FD1532"/>
    <w:rsid w:val="00FD16C2"/>
    <w:rsid w:val="00FD1AE5"/>
    <w:rsid w:val="00FD1B46"/>
    <w:rsid w:val="00FD1B6F"/>
    <w:rsid w:val="00FD1BB6"/>
    <w:rsid w:val="00FD1CE8"/>
    <w:rsid w:val="00FD1E1D"/>
    <w:rsid w:val="00FD215F"/>
    <w:rsid w:val="00FD23E8"/>
    <w:rsid w:val="00FD24A9"/>
    <w:rsid w:val="00FD26E5"/>
    <w:rsid w:val="00FD2700"/>
    <w:rsid w:val="00FD2778"/>
    <w:rsid w:val="00FD27F8"/>
    <w:rsid w:val="00FD3226"/>
    <w:rsid w:val="00FD32F8"/>
    <w:rsid w:val="00FD341C"/>
    <w:rsid w:val="00FD3685"/>
    <w:rsid w:val="00FD368A"/>
    <w:rsid w:val="00FD37DC"/>
    <w:rsid w:val="00FD39A6"/>
    <w:rsid w:val="00FD3D83"/>
    <w:rsid w:val="00FD3FC8"/>
    <w:rsid w:val="00FD413E"/>
    <w:rsid w:val="00FD4431"/>
    <w:rsid w:val="00FD446E"/>
    <w:rsid w:val="00FD45C3"/>
    <w:rsid w:val="00FD462E"/>
    <w:rsid w:val="00FD468B"/>
    <w:rsid w:val="00FD4699"/>
    <w:rsid w:val="00FD4D12"/>
    <w:rsid w:val="00FD4E6F"/>
    <w:rsid w:val="00FD4F82"/>
    <w:rsid w:val="00FD53C9"/>
    <w:rsid w:val="00FD590A"/>
    <w:rsid w:val="00FD5A9A"/>
    <w:rsid w:val="00FD5C79"/>
    <w:rsid w:val="00FD5DBC"/>
    <w:rsid w:val="00FD5FC0"/>
    <w:rsid w:val="00FD6093"/>
    <w:rsid w:val="00FD64FC"/>
    <w:rsid w:val="00FD6721"/>
    <w:rsid w:val="00FD6748"/>
    <w:rsid w:val="00FD6900"/>
    <w:rsid w:val="00FD6D52"/>
    <w:rsid w:val="00FD6F52"/>
    <w:rsid w:val="00FD72BA"/>
    <w:rsid w:val="00FD73E0"/>
    <w:rsid w:val="00FD79CC"/>
    <w:rsid w:val="00FD7DFE"/>
    <w:rsid w:val="00FE01CF"/>
    <w:rsid w:val="00FE02D0"/>
    <w:rsid w:val="00FE08E8"/>
    <w:rsid w:val="00FE0937"/>
    <w:rsid w:val="00FE0B62"/>
    <w:rsid w:val="00FE0B82"/>
    <w:rsid w:val="00FE0F35"/>
    <w:rsid w:val="00FE1079"/>
    <w:rsid w:val="00FE1481"/>
    <w:rsid w:val="00FE1605"/>
    <w:rsid w:val="00FE1667"/>
    <w:rsid w:val="00FE184A"/>
    <w:rsid w:val="00FE1C01"/>
    <w:rsid w:val="00FE20DD"/>
    <w:rsid w:val="00FE2135"/>
    <w:rsid w:val="00FE21D0"/>
    <w:rsid w:val="00FE25E4"/>
    <w:rsid w:val="00FE271C"/>
    <w:rsid w:val="00FE2CE7"/>
    <w:rsid w:val="00FE2D8F"/>
    <w:rsid w:val="00FE2E89"/>
    <w:rsid w:val="00FE3047"/>
    <w:rsid w:val="00FE3158"/>
    <w:rsid w:val="00FE31EE"/>
    <w:rsid w:val="00FE32FB"/>
    <w:rsid w:val="00FE36E0"/>
    <w:rsid w:val="00FE38E4"/>
    <w:rsid w:val="00FE3A36"/>
    <w:rsid w:val="00FE3D47"/>
    <w:rsid w:val="00FE3F9F"/>
    <w:rsid w:val="00FE402C"/>
    <w:rsid w:val="00FE42AC"/>
    <w:rsid w:val="00FE43E1"/>
    <w:rsid w:val="00FE441B"/>
    <w:rsid w:val="00FE4918"/>
    <w:rsid w:val="00FE4A10"/>
    <w:rsid w:val="00FE4CE8"/>
    <w:rsid w:val="00FE4E45"/>
    <w:rsid w:val="00FE4EA2"/>
    <w:rsid w:val="00FE4F5C"/>
    <w:rsid w:val="00FE53BF"/>
    <w:rsid w:val="00FE54E2"/>
    <w:rsid w:val="00FE599D"/>
    <w:rsid w:val="00FE59D2"/>
    <w:rsid w:val="00FE5DEF"/>
    <w:rsid w:val="00FE65F6"/>
    <w:rsid w:val="00FE6B2A"/>
    <w:rsid w:val="00FE6CE7"/>
    <w:rsid w:val="00FE6F08"/>
    <w:rsid w:val="00FE703B"/>
    <w:rsid w:val="00FE71CA"/>
    <w:rsid w:val="00FE7462"/>
    <w:rsid w:val="00FE7A76"/>
    <w:rsid w:val="00FE7CB4"/>
    <w:rsid w:val="00FE7DDE"/>
    <w:rsid w:val="00FE7E6A"/>
    <w:rsid w:val="00FF0128"/>
    <w:rsid w:val="00FF0231"/>
    <w:rsid w:val="00FF0358"/>
    <w:rsid w:val="00FF038C"/>
    <w:rsid w:val="00FF04C1"/>
    <w:rsid w:val="00FF05B2"/>
    <w:rsid w:val="00FF05B3"/>
    <w:rsid w:val="00FF0609"/>
    <w:rsid w:val="00FF084B"/>
    <w:rsid w:val="00FF0933"/>
    <w:rsid w:val="00FF0A61"/>
    <w:rsid w:val="00FF0B7F"/>
    <w:rsid w:val="00FF0B8A"/>
    <w:rsid w:val="00FF1003"/>
    <w:rsid w:val="00FF11B0"/>
    <w:rsid w:val="00FF14E4"/>
    <w:rsid w:val="00FF1618"/>
    <w:rsid w:val="00FF1BDF"/>
    <w:rsid w:val="00FF1C2F"/>
    <w:rsid w:val="00FF1C78"/>
    <w:rsid w:val="00FF1CD7"/>
    <w:rsid w:val="00FF1F0B"/>
    <w:rsid w:val="00FF1F25"/>
    <w:rsid w:val="00FF2B08"/>
    <w:rsid w:val="00FF2B44"/>
    <w:rsid w:val="00FF2D3A"/>
    <w:rsid w:val="00FF2F43"/>
    <w:rsid w:val="00FF3060"/>
    <w:rsid w:val="00FF3109"/>
    <w:rsid w:val="00FF3131"/>
    <w:rsid w:val="00FF368F"/>
    <w:rsid w:val="00FF3870"/>
    <w:rsid w:val="00FF38C9"/>
    <w:rsid w:val="00FF3C0B"/>
    <w:rsid w:val="00FF3E11"/>
    <w:rsid w:val="00FF4112"/>
    <w:rsid w:val="00FF4440"/>
    <w:rsid w:val="00FF4460"/>
    <w:rsid w:val="00FF45D6"/>
    <w:rsid w:val="00FF471D"/>
    <w:rsid w:val="00FF481C"/>
    <w:rsid w:val="00FF4A41"/>
    <w:rsid w:val="00FF4D33"/>
    <w:rsid w:val="00FF5085"/>
    <w:rsid w:val="00FF517E"/>
    <w:rsid w:val="00FF5979"/>
    <w:rsid w:val="00FF5A16"/>
    <w:rsid w:val="00FF6174"/>
    <w:rsid w:val="00FF618C"/>
    <w:rsid w:val="00FF61A9"/>
    <w:rsid w:val="00FF61F2"/>
    <w:rsid w:val="00FF624F"/>
    <w:rsid w:val="00FF657B"/>
    <w:rsid w:val="00FF666A"/>
    <w:rsid w:val="00FF6748"/>
    <w:rsid w:val="00FF6CE9"/>
    <w:rsid w:val="00FF6CFD"/>
    <w:rsid w:val="00FF70D2"/>
    <w:rsid w:val="00FF7216"/>
    <w:rsid w:val="00FF7279"/>
    <w:rsid w:val="00FF7519"/>
    <w:rsid w:val="00FF75FA"/>
    <w:rsid w:val="00FF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062C0"/>
  <w15:docId w15:val="{3CA43214-0885-8A4F-B45A-A11A85DE7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65C8B"/>
    <w:pPr>
      <w:overflowPunct w:val="0"/>
      <w:autoSpaceDE w:val="0"/>
      <w:autoSpaceDN w:val="0"/>
      <w:adjustRightInd w:val="0"/>
      <w:spacing w:line="360" w:lineRule="auto"/>
      <w:ind w:left="284" w:right="-284" w:firstLine="709"/>
      <w:jc w:val="both"/>
      <w:textAlignment w:val="baseline"/>
    </w:pPr>
    <w:rPr>
      <w:rFonts w:eastAsia="Calibri"/>
      <w:sz w:val="28"/>
      <w:szCs w:val="28"/>
    </w:rPr>
  </w:style>
  <w:style w:type="paragraph" w:styleId="1">
    <w:name w:val="heading 1"/>
    <w:basedOn w:val="a"/>
    <w:next w:val="a"/>
    <w:link w:val="10"/>
    <w:uiPriority w:val="99"/>
    <w:qFormat/>
    <w:rsid w:val="00456BBA"/>
    <w:pPr>
      <w:spacing w:line="240" w:lineRule="auto"/>
      <w:ind w:firstLine="0"/>
      <w:jc w:val="center"/>
      <w:outlineLvl w:val="0"/>
    </w:pPr>
    <w:rPr>
      <w:rFonts w:eastAsia="Times New Roman" w:cs="Arial"/>
      <w:b/>
      <w:bCs/>
      <w:caps/>
      <w:spacing w:val="60"/>
    </w:rPr>
  </w:style>
  <w:style w:type="paragraph" w:styleId="2">
    <w:name w:val="heading 2"/>
    <w:basedOn w:val="a"/>
    <w:next w:val="a"/>
    <w:link w:val="20"/>
    <w:uiPriority w:val="9"/>
    <w:qFormat/>
    <w:rsid w:val="00456BBA"/>
    <w:pPr>
      <w:spacing w:line="240" w:lineRule="auto"/>
      <w:ind w:firstLine="0"/>
      <w:jc w:val="center"/>
      <w:outlineLvl w:val="1"/>
    </w:pPr>
    <w:rPr>
      <w:rFonts w:eastAsia="Times New Roman" w:cs="Arial"/>
      <w:b/>
      <w:bCs/>
      <w:iCs/>
      <w:caps/>
    </w:rPr>
  </w:style>
  <w:style w:type="paragraph" w:styleId="3">
    <w:name w:val="heading 3"/>
    <w:basedOn w:val="a"/>
    <w:link w:val="30"/>
    <w:uiPriority w:val="9"/>
    <w:qFormat/>
    <w:rsid w:val="00456BBA"/>
    <w:pPr>
      <w:spacing w:line="240" w:lineRule="auto"/>
      <w:ind w:firstLine="0"/>
      <w:jc w:val="center"/>
      <w:outlineLvl w:val="2"/>
    </w:pPr>
    <w:rPr>
      <w:rFonts w:eastAsia="Times New Roman" w:cs="Arial"/>
      <w:b/>
      <w:bCs/>
    </w:rPr>
  </w:style>
  <w:style w:type="paragraph" w:styleId="6">
    <w:name w:val="heading 6"/>
    <w:basedOn w:val="a"/>
    <w:next w:val="a"/>
    <w:link w:val="60"/>
    <w:uiPriority w:val="9"/>
    <w:qFormat/>
    <w:rsid w:val="00456BBA"/>
    <w:pPr>
      <w:spacing w:before="240" w:after="60"/>
      <w:outlineLvl w:val="5"/>
    </w:pPr>
    <w:rPr>
      <w:rFonts w:eastAsia="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456BBA"/>
    <w:rPr>
      <w:rFonts w:cs="Arial"/>
      <w:b/>
      <w:bCs/>
      <w:caps/>
      <w:spacing w:val="60"/>
      <w:sz w:val="28"/>
      <w:szCs w:val="28"/>
    </w:rPr>
  </w:style>
  <w:style w:type="character" w:customStyle="1" w:styleId="20">
    <w:name w:val="Заголовок 2 Знак"/>
    <w:link w:val="2"/>
    <w:uiPriority w:val="9"/>
    <w:rsid w:val="00456BBA"/>
    <w:rPr>
      <w:rFonts w:cs="Arial"/>
      <w:b/>
      <w:bCs/>
      <w:iCs/>
      <w:caps/>
      <w:sz w:val="28"/>
      <w:szCs w:val="28"/>
    </w:rPr>
  </w:style>
  <w:style w:type="character" w:customStyle="1" w:styleId="30">
    <w:name w:val="Заголовок 3 Знак"/>
    <w:link w:val="3"/>
    <w:uiPriority w:val="9"/>
    <w:rsid w:val="00456BBA"/>
    <w:rPr>
      <w:rFonts w:cs="Arial"/>
      <w:b/>
      <w:bCs/>
      <w:sz w:val="28"/>
      <w:szCs w:val="28"/>
    </w:rPr>
  </w:style>
  <w:style w:type="character" w:customStyle="1" w:styleId="60">
    <w:name w:val="Заголовок 6 Знак"/>
    <w:link w:val="6"/>
    <w:uiPriority w:val="9"/>
    <w:rsid w:val="00456BBA"/>
    <w:rPr>
      <w:b/>
      <w:bCs/>
      <w:sz w:val="22"/>
      <w:szCs w:val="22"/>
    </w:rPr>
  </w:style>
  <w:style w:type="paragraph" w:customStyle="1" w:styleId="a3">
    <w:name w:val="Документ"/>
    <w:basedOn w:val="a"/>
    <w:link w:val="a4"/>
    <w:qFormat/>
    <w:rsid w:val="006436B4"/>
    <w:pPr>
      <w:overflowPunct/>
      <w:autoSpaceDE/>
      <w:autoSpaceDN/>
      <w:adjustRightInd/>
      <w:ind w:left="0" w:right="0"/>
      <w:textAlignment w:val="auto"/>
    </w:pPr>
    <w:rPr>
      <w:szCs w:val="20"/>
    </w:rPr>
  </w:style>
  <w:style w:type="character" w:customStyle="1" w:styleId="a4">
    <w:name w:val="Документ Знак"/>
    <w:link w:val="a3"/>
    <w:locked/>
    <w:rsid w:val="006436B4"/>
    <w:rPr>
      <w:rFonts w:eastAsia="Calibri"/>
      <w:sz w:val="28"/>
      <w:lang w:val="ru-RU" w:eastAsia="ru-RU" w:bidi="ar-SA"/>
    </w:rPr>
  </w:style>
  <w:style w:type="paragraph" w:styleId="a5">
    <w:name w:val="Body Text Indent"/>
    <w:aliases w:val="Надин стиль,Основной текст 1,Нумерованный список !!,Iniiaiie oaeno 1,Ioia?iaaiiue nienie !!,Iaaei noeeu,Основной текст без отступа"/>
    <w:basedOn w:val="a"/>
    <w:link w:val="a6"/>
    <w:uiPriority w:val="99"/>
    <w:qFormat/>
    <w:rsid w:val="006436B4"/>
    <w:pPr>
      <w:tabs>
        <w:tab w:val="left" w:pos="10490"/>
      </w:tabs>
      <w:overflowPunct/>
      <w:autoSpaceDE/>
      <w:autoSpaceDN/>
      <w:adjustRightInd/>
      <w:spacing w:after="120"/>
      <w:ind w:left="283" w:right="-1" w:firstLine="794"/>
      <w:textAlignment w:val="auto"/>
    </w:pPr>
    <w:rPr>
      <w:rFonts w:ascii="Courier New" w:hAnsi="Courier New"/>
      <w:szCs w:val="20"/>
    </w:rPr>
  </w:style>
  <w:style w:type="character" w:customStyle="1" w:styleId="a6">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
    <w:link w:val="a5"/>
    <w:uiPriority w:val="99"/>
    <w:locked/>
    <w:rsid w:val="006436B4"/>
    <w:rPr>
      <w:rFonts w:ascii="Courier New" w:eastAsia="Calibri" w:hAnsi="Courier New"/>
      <w:sz w:val="28"/>
      <w:lang w:val="ru-RU" w:eastAsia="ru-RU" w:bidi="ar-SA"/>
    </w:rPr>
  </w:style>
  <w:style w:type="paragraph" w:customStyle="1" w:styleId="ConsNormal">
    <w:name w:val="ConsNormal"/>
    <w:link w:val="ConsNormal0"/>
    <w:qFormat/>
    <w:rsid w:val="006436B4"/>
    <w:pPr>
      <w:autoSpaceDE w:val="0"/>
      <w:autoSpaceDN w:val="0"/>
      <w:adjustRightInd w:val="0"/>
      <w:ind w:right="19772" w:firstLine="720"/>
    </w:pPr>
    <w:rPr>
      <w:rFonts w:ascii="Arial" w:eastAsia="Calibri" w:hAnsi="Arial" w:cs="Arial"/>
      <w:sz w:val="22"/>
      <w:szCs w:val="22"/>
    </w:rPr>
  </w:style>
  <w:style w:type="paragraph" w:styleId="a7">
    <w:name w:val="Body Text"/>
    <w:aliases w:val="Основной текст1,Основной текст Знак Знак,bt,body text,contents"/>
    <w:basedOn w:val="a"/>
    <w:link w:val="11"/>
    <w:uiPriority w:val="99"/>
    <w:qFormat/>
    <w:rsid w:val="00867717"/>
    <w:pPr>
      <w:spacing w:after="120"/>
    </w:pPr>
  </w:style>
  <w:style w:type="character" w:customStyle="1" w:styleId="11">
    <w:name w:val="Основной текст Знак1"/>
    <w:aliases w:val="Основной текст1 Знак,Основной текст Знак Знак Знак,bt Знак,body text Знак,contents Знак"/>
    <w:link w:val="a7"/>
    <w:uiPriority w:val="99"/>
    <w:rsid w:val="00456BBA"/>
    <w:rPr>
      <w:rFonts w:eastAsia="Calibri"/>
      <w:sz w:val="28"/>
      <w:szCs w:val="28"/>
    </w:rPr>
  </w:style>
  <w:style w:type="paragraph" w:customStyle="1" w:styleId="MainText">
    <w:name w:val="MainText"/>
    <w:uiPriority w:val="34"/>
    <w:qFormat/>
    <w:rsid w:val="00867717"/>
    <w:pPr>
      <w:overflowPunct w:val="0"/>
      <w:autoSpaceDE w:val="0"/>
      <w:autoSpaceDN w:val="0"/>
      <w:adjustRightInd w:val="0"/>
      <w:ind w:firstLine="567"/>
      <w:jc w:val="both"/>
      <w:textAlignment w:val="baseline"/>
    </w:pPr>
    <w:rPr>
      <w:rFonts w:ascii="PragmaticaC" w:eastAsia="Calibri" w:hAnsi="PragmaticaC"/>
      <w:color w:val="000000"/>
      <w:sz w:val="19"/>
      <w:lang w:val="en-US" w:eastAsia="en-US"/>
    </w:rPr>
  </w:style>
  <w:style w:type="paragraph" w:styleId="31">
    <w:name w:val="Body Text Indent 3"/>
    <w:basedOn w:val="a"/>
    <w:link w:val="32"/>
    <w:uiPriority w:val="99"/>
    <w:rsid w:val="00745177"/>
    <w:pPr>
      <w:spacing w:after="120"/>
      <w:ind w:left="283"/>
    </w:pPr>
    <w:rPr>
      <w:sz w:val="16"/>
      <w:szCs w:val="16"/>
    </w:rPr>
  </w:style>
  <w:style w:type="character" w:customStyle="1" w:styleId="32">
    <w:name w:val="Основной текст с отступом 3 Знак"/>
    <w:link w:val="31"/>
    <w:uiPriority w:val="99"/>
    <w:locked/>
    <w:rsid w:val="00745177"/>
    <w:rPr>
      <w:rFonts w:eastAsia="Calibri"/>
      <w:sz w:val="16"/>
      <w:szCs w:val="16"/>
      <w:lang w:val="ru-RU" w:eastAsia="ru-RU" w:bidi="ar-SA"/>
    </w:rPr>
  </w:style>
  <w:style w:type="paragraph" w:customStyle="1" w:styleId="BodyText22">
    <w:name w:val="Body Text 22"/>
    <w:basedOn w:val="a"/>
    <w:uiPriority w:val="99"/>
    <w:qFormat/>
    <w:rsid w:val="00745177"/>
    <w:pPr>
      <w:overflowPunct/>
      <w:autoSpaceDE/>
      <w:autoSpaceDN/>
      <w:adjustRightInd/>
      <w:spacing w:line="240" w:lineRule="auto"/>
      <w:ind w:left="0" w:right="0" w:firstLine="720"/>
      <w:textAlignment w:val="auto"/>
    </w:pPr>
    <w:rPr>
      <w:szCs w:val="20"/>
    </w:rPr>
  </w:style>
  <w:style w:type="paragraph" w:customStyle="1" w:styleId="12">
    <w:name w:val="Обычный12"/>
    <w:uiPriority w:val="34"/>
    <w:qFormat/>
    <w:rsid w:val="00745177"/>
    <w:rPr>
      <w:rFonts w:eastAsia="Calibri"/>
    </w:rPr>
  </w:style>
  <w:style w:type="paragraph" w:customStyle="1" w:styleId="Default">
    <w:name w:val="Default"/>
    <w:qFormat/>
    <w:rsid w:val="00745177"/>
    <w:pPr>
      <w:autoSpaceDE w:val="0"/>
      <w:autoSpaceDN w:val="0"/>
      <w:adjustRightInd w:val="0"/>
    </w:pPr>
    <w:rPr>
      <w:rFonts w:eastAsia="Calibri"/>
      <w:color w:val="000000"/>
      <w:sz w:val="24"/>
      <w:szCs w:val="24"/>
    </w:rPr>
  </w:style>
  <w:style w:type="paragraph" w:customStyle="1" w:styleId="21">
    <w:name w:val="Обычный2"/>
    <w:qFormat/>
    <w:rsid w:val="00745177"/>
    <w:pPr>
      <w:ind w:firstLine="720"/>
      <w:jc w:val="both"/>
    </w:pPr>
    <w:rPr>
      <w:rFonts w:eastAsia="Calibri"/>
      <w:sz w:val="28"/>
    </w:rPr>
  </w:style>
  <w:style w:type="paragraph" w:customStyle="1" w:styleId="33">
    <w:name w:val="Стиль3 Знак Знак Знак Знак Знак Знак Знак Знак Знак Знак Знак Знак Знак Знак Знак Знак Знак"/>
    <w:basedOn w:val="a"/>
    <w:uiPriority w:val="34"/>
    <w:qFormat/>
    <w:rsid w:val="00745177"/>
    <w:pPr>
      <w:overflowPunct/>
      <w:autoSpaceDE/>
      <w:autoSpaceDN/>
      <w:adjustRightInd/>
      <w:ind w:left="0" w:right="0"/>
      <w:textAlignment w:val="auto"/>
    </w:pPr>
    <w:rPr>
      <w:szCs w:val="20"/>
    </w:rPr>
  </w:style>
  <w:style w:type="paragraph" w:customStyle="1" w:styleId="a8">
    <w:name w:val="Основной текст.Основной текст Знак"/>
    <w:basedOn w:val="a"/>
    <w:uiPriority w:val="34"/>
    <w:qFormat/>
    <w:rsid w:val="00745177"/>
    <w:pPr>
      <w:overflowPunct/>
      <w:autoSpaceDE/>
      <w:autoSpaceDN/>
      <w:adjustRightInd/>
      <w:spacing w:line="240" w:lineRule="auto"/>
      <w:ind w:left="0" w:right="0" w:firstLine="0"/>
      <w:textAlignment w:val="auto"/>
    </w:pPr>
    <w:rPr>
      <w:szCs w:val="20"/>
    </w:rPr>
  </w:style>
  <w:style w:type="paragraph" w:customStyle="1" w:styleId="4">
    <w:name w:val="заголовок 4"/>
    <w:basedOn w:val="a"/>
    <w:next w:val="a"/>
    <w:autoRedefine/>
    <w:qFormat/>
    <w:rsid w:val="00A22AE8"/>
    <w:pPr>
      <w:widowControl w:val="0"/>
      <w:tabs>
        <w:tab w:val="left" w:pos="9781"/>
      </w:tabs>
      <w:overflowPunct/>
      <w:autoSpaceDE/>
      <w:autoSpaceDN/>
      <w:adjustRightInd/>
      <w:spacing w:line="240" w:lineRule="auto"/>
      <w:ind w:left="0" w:right="0"/>
      <w:jc w:val="center"/>
      <w:textAlignment w:val="auto"/>
    </w:pPr>
    <w:rPr>
      <w:rFonts w:eastAsia="Times New Roman"/>
      <w:b/>
      <w:sz w:val="24"/>
      <w:szCs w:val="24"/>
    </w:rPr>
  </w:style>
  <w:style w:type="paragraph" w:customStyle="1" w:styleId="13">
    <w:name w:val="Обычный1"/>
    <w:uiPriority w:val="34"/>
    <w:qFormat/>
    <w:rsid w:val="007B41B9"/>
  </w:style>
  <w:style w:type="paragraph" w:customStyle="1" w:styleId="ConsPlusNormal">
    <w:name w:val="ConsPlusNormal"/>
    <w:link w:val="ConsPlusNormal0"/>
    <w:qFormat/>
    <w:rsid w:val="007B41B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7B41B9"/>
    <w:rPr>
      <w:rFonts w:ascii="Arial" w:hAnsi="Arial" w:cs="Arial"/>
      <w:lang w:val="ru-RU" w:eastAsia="ru-RU" w:bidi="ar-SA"/>
    </w:rPr>
  </w:style>
  <w:style w:type="paragraph" w:styleId="22">
    <w:name w:val="Body Text Indent 2"/>
    <w:basedOn w:val="a"/>
    <w:link w:val="23"/>
    <w:uiPriority w:val="99"/>
    <w:rsid w:val="00551573"/>
    <w:pPr>
      <w:spacing w:after="120" w:line="480" w:lineRule="auto"/>
      <w:ind w:left="283"/>
    </w:pPr>
  </w:style>
  <w:style w:type="character" w:customStyle="1" w:styleId="23">
    <w:name w:val="Основной текст с отступом 2 Знак"/>
    <w:link w:val="22"/>
    <w:uiPriority w:val="99"/>
    <w:rsid w:val="00456BBA"/>
    <w:rPr>
      <w:rFonts w:eastAsia="Calibri"/>
      <w:sz w:val="28"/>
      <w:szCs w:val="28"/>
    </w:rPr>
  </w:style>
  <w:style w:type="paragraph" w:styleId="24">
    <w:name w:val="Body Text 2"/>
    <w:basedOn w:val="a"/>
    <w:link w:val="25"/>
    <w:uiPriority w:val="99"/>
    <w:rsid w:val="00551573"/>
    <w:pPr>
      <w:spacing w:after="120" w:line="480" w:lineRule="auto"/>
    </w:pPr>
  </w:style>
  <w:style w:type="character" w:customStyle="1" w:styleId="25">
    <w:name w:val="Основной текст 2 Знак"/>
    <w:link w:val="24"/>
    <w:uiPriority w:val="99"/>
    <w:rsid w:val="00456BBA"/>
    <w:rPr>
      <w:rFonts w:eastAsia="Calibri"/>
      <w:sz w:val="28"/>
      <w:szCs w:val="28"/>
    </w:rPr>
  </w:style>
  <w:style w:type="paragraph" w:styleId="a9">
    <w:name w:val="Normal (Web)"/>
    <w:aliases w:val="Обычный (Web)1"/>
    <w:basedOn w:val="a"/>
    <w:uiPriority w:val="99"/>
    <w:qFormat/>
    <w:rsid w:val="00551573"/>
    <w:pPr>
      <w:overflowPunct/>
      <w:autoSpaceDE/>
      <w:autoSpaceDN/>
      <w:adjustRightInd/>
      <w:spacing w:before="100" w:beforeAutospacing="1" w:after="100" w:afterAutospacing="1" w:line="240" w:lineRule="auto"/>
      <w:ind w:left="0" w:right="0" w:firstLine="0"/>
      <w:jc w:val="left"/>
      <w:textAlignment w:val="auto"/>
    </w:pPr>
    <w:rPr>
      <w:sz w:val="24"/>
      <w:szCs w:val="24"/>
    </w:rPr>
  </w:style>
  <w:style w:type="paragraph" w:customStyle="1" w:styleId="Style2">
    <w:name w:val="Style2"/>
    <w:basedOn w:val="a"/>
    <w:uiPriority w:val="34"/>
    <w:qFormat/>
    <w:rsid w:val="00551573"/>
    <w:pPr>
      <w:widowControl w:val="0"/>
      <w:overflowPunct/>
      <w:spacing w:line="322" w:lineRule="exact"/>
      <w:ind w:left="0" w:right="0" w:firstLine="706"/>
      <w:textAlignment w:val="auto"/>
    </w:pPr>
    <w:rPr>
      <w:sz w:val="24"/>
      <w:szCs w:val="24"/>
    </w:rPr>
  </w:style>
  <w:style w:type="character" w:styleId="aa">
    <w:name w:val="page number"/>
    <w:basedOn w:val="a0"/>
    <w:uiPriority w:val="99"/>
    <w:rsid w:val="00456BBA"/>
  </w:style>
  <w:style w:type="paragraph" w:styleId="ab">
    <w:name w:val="header"/>
    <w:basedOn w:val="a"/>
    <w:link w:val="ac"/>
    <w:uiPriority w:val="99"/>
    <w:rsid w:val="00456BBA"/>
    <w:pPr>
      <w:spacing w:after="120"/>
      <w:ind w:firstLine="0"/>
      <w:jc w:val="center"/>
    </w:pPr>
    <w:rPr>
      <w:rFonts w:eastAsia="Times New Roman"/>
    </w:rPr>
  </w:style>
  <w:style w:type="character" w:customStyle="1" w:styleId="ac">
    <w:name w:val="Верхний колонтитул Знак"/>
    <w:link w:val="ab"/>
    <w:uiPriority w:val="99"/>
    <w:rsid w:val="00456BBA"/>
    <w:rPr>
      <w:sz w:val="28"/>
      <w:szCs w:val="28"/>
    </w:rPr>
  </w:style>
  <w:style w:type="paragraph" w:customStyle="1" w:styleId="ad">
    <w:name w:val="подпись"/>
    <w:basedOn w:val="a"/>
    <w:uiPriority w:val="34"/>
    <w:qFormat/>
    <w:rsid w:val="00456BBA"/>
    <w:pPr>
      <w:spacing w:line="240" w:lineRule="auto"/>
      <w:ind w:left="0" w:right="0" w:firstLine="0"/>
      <w:jc w:val="right"/>
    </w:pPr>
    <w:rPr>
      <w:rFonts w:eastAsia="Times New Roman"/>
    </w:rPr>
  </w:style>
  <w:style w:type="paragraph" w:customStyle="1" w:styleId="ae">
    <w:name w:val="адрес"/>
    <w:basedOn w:val="a"/>
    <w:uiPriority w:val="34"/>
    <w:qFormat/>
    <w:rsid w:val="00456BBA"/>
    <w:pPr>
      <w:spacing w:line="240" w:lineRule="auto"/>
      <w:ind w:left="0" w:right="0" w:firstLine="0"/>
      <w:jc w:val="center"/>
    </w:pPr>
    <w:rPr>
      <w:rFonts w:eastAsia="Times New Roman"/>
    </w:rPr>
  </w:style>
  <w:style w:type="paragraph" w:customStyle="1" w:styleId="af">
    <w:name w:val="Должность"/>
    <w:basedOn w:val="a"/>
    <w:uiPriority w:val="34"/>
    <w:qFormat/>
    <w:rsid w:val="00456BBA"/>
    <w:pPr>
      <w:spacing w:line="240" w:lineRule="auto"/>
      <w:ind w:left="0" w:right="0" w:firstLine="0"/>
      <w:jc w:val="center"/>
    </w:pPr>
    <w:rPr>
      <w:rFonts w:eastAsia="Times New Roman"/>
      <w:szCs w:val="20"/>
    </w:rPr>
  </w:style>
  <w:style w:type="paragraph" w:styleId="af0">
    <w:name w:val="Balloon Text"/>
    <w:basedOn w:val="a"/>
    <w:link w:val="af1"/>
    <w:uiPriority w:val="99"/>
    <w:rsid w:val="00456BBA"/>
    <w:rPr>
      <w:rFonts w:ascii="Tahoma" w:eastAsia="Times New Roman" w:hAnsi="Tahoma" w:cs="Tahoma"/>
      <w:sz w:val="16"/>
      <w:szCs w:val="16"/>
    </w:rPr>
  </w:style>
  <w:style w:type="character" w:customStyle="1" w:styleId="af1">
    <w:name w:val="Текст выноски Знак"/>
    <w:link w:val="af0"/>
    <w:uiPriority w:val="99"/>
    <w:rsid w:val="00456BBA"/>
    <w:rPr>
      <w:rFonts w:ascii="Tahoma" w:hAnsi="Tahoma" w:cs="Tahoma"/>
      <w:sz w:val="16"/>
      <w:szCs w:val="16"/>
    </w:rPr>
  </w:style>
  <w:style w:type="paragraph" w:customStyle="1" w:styleId="af2">
    <w:name w:val="отметка ЭЦП"/>
    <w:basedOn w:val="a"/>
    <w:uiPriority w:val="34"/>
    <w:qFormat/>
    <w:rsid w:val="00456BBA"/>
    <w:pPr>
      <w:spacing w:line="240" w:lineRule="auto"/>
      <w:ind w:left="0" w:right="0" w:firstLine="0"/>
      <w:jc w:val="center"/>
    </w:pPr>
    <w:rPr>
      <w:rFonts w:eastAsia="Times New Roman"/>
      <w:i/>
      <w:sz w:val="24"/>
      <w:szCs w:val="24"/>
    </w:rPr>
  </w:style>
  <w:style w:type="paragraph" w:customStyle="1" w:styleId="af3">
    <w:name w:val="исполнитель"/>
    <w:basedOn w:val="a"/>
    <w:uiPriority w:val="34"/>
    <w:qFormat/>
    <w:rsid w:val="00456BBA"/>
    <w:pPr>
      <w:spacing w:line="240" w:lineRule="auto"/>
      <w:ind w:firstLine="0"/>
      <w:jc w:val="left"/>
    </w:pPr>
    <w:rPr>
      <w:rFonts w:eastAsia="Times New Roman"/>
      <w:sz w:val="24"/>
      <w:szCs w:val="24"/>
    </w:rPr>
  </w:style>
  <w:style w:type="paragraph" w:customStyle="1" w:styleId="14">
    <w:name w:val="Должность1"/>
    <w:basedOn w:val="a"/>
    <w:uiPriority w:val="34"/>
    <w:qFormat/>
    <w:rsid w:val="00456BBA"/>
    <w:pPr>
      <w:spacing w:line="240" w:lineRule="auto"/>
      <w:ind w:left="0" w:right="0" w:firstLine="0"/>
      <w:jc w:val="left"/>
    </w:pPr>
    <w:rPr>
      <w:rFonts w:eastAsia="Times New Roman"/>
    </w:rPr>
  </w:style>
  <w:style w:type="paragraph" w:customStyle="1" w:styleId="af4">
    <w:name w:val="ДСП"/>
    <w:basedOn w:val="a"/>
    <w:uiPriority w:val="34"/>
    <w:qFormat/>
    <w:rsid w:val="00456BBA"/>
    <w:pPr>
      <w:spacing w:line="240" w:lineRule="auto"/>
      <w:ind w:left="0" w:right="0" w:firstLine="0"/>
      <w:jc w:val="center"/>
    </w:pPr>
    <w:rPr>
      <w:rFonts w:eastAsia="Times New Roman"/>
      <w:i/>
      <w:sz w:val="24"/>
    </w:rPr>
  </w:style>
  <w:style w:type="paragraph" w:styleId="af5">
    <w:name w:val="Block Text"/>
    <w:aliases w:val="Цитата Знак,Цитата Знак1,Знак Знак Знак Знак Знак"/>
    <w:basedOn w:val="a"/>
    <w:link w:val="26"/>
    <w:uiPriority w:val="99"/>
    <w:qFormat/>
    <w:rsid w:val="00456BBA"/>
    <w:pPr>
      <w:overflowPunct/>
      <w:autoSpaceDE/>
      <w:autoSpaceDN/>
      <w:adjustRightInd/>
      <w:ind w:left="-567" w:right="-908"/>
      <w:textAlignment w:val="auto"/>
    </w:pPr>
    <w:rPr>
      <w:rFonts w:eastAsia="Times New Roman"/>
      <w:szCs w:val="20"/>
    </w:rPr>
  </w:style>
  <w:style w:type="character" w:customStyle="1" w:styleId="af6">
    <w:name w:val="Основной текст Знак"/>
    <w:aliases w:val="Основной текст1 Знак1,Основной текст Знак Знак Знак1,bt Знак1,body text Знак1,contents Знак1"/>
    <w:uiPriority w:val="99"/>
    <w:rsid w:val="00456BBA"/>
    <w:rPr>
      <w:rFonts w:eastAsia="Times New Roman" w:cs="Times New Roman"/>
      <w:szCs w:val="28"/>
      <w:lang w:eastAsia="ru-RU"/>
    </w:rPr>
  </w:style>
  <w:style w:type="paragraph" w:styleId="af7">
    <w:name w:val="Subtitle"/>
    <w:basedOn w:val="a"/>
    <w:link w:val="af8"/>
    <w:uiPriority w:val="11"/>
    <w:qFormat/>
    <w:rsid w:val="00456BBA"/>
    <w:pPr>
      <w:overflowPunct/>
      <w:autoSpaceDE/>
      <w:autoSpaceDN/>
      <w:adjustRightInd/>
      <w:ind w:left="0" w:right="0"/>
      <w:jc w:val="center"/>
      <w:textAlignment w:val="auto"/>
    </w:pPr>
    <w:rPr>
      <w:rFonts w:eastAsia="Times New Roman"/>
      <w:b/>
      <w:sz w:val="24"/>
      <w:szCs w:val="20"/>
    </w:rPr>
  </w:style>
  <w:style w:type="character" w:customStyle="1" w:styleId="af8">
    <w:name w:val="Подзаголовок Знак"/>
    <w:link w:val="af7"/>
    <w:uiPriority w:val="11"/>
    <w:rsid w:val="00456BBA"/>
    <w:rPr>
      <w:b/>
      <w:sz w:val="24"/>
    </w:rPr>
  </w:style>
  <w:style w:type="paragraph" w:customStyle="1" w:styleId="15">
    <w:name w:val="Знак1"/>
    <w:basedOn w:val="a"/>
    <w:qFormat/>
    <w:rsid w:val="00456BBA"/>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character" w:styleId="af9">
    <w:name w:val="Hyperlink"/>
    <w:uiPriority w:val="99"/>
    <w:rsid w:val="00456BBA"/>
    <w:rPr>
      <w:color w:val="0000FF"/>
      <w:u w:val="single"/>
    </w:rPr>
  </w:style>
  <w:style w:type="paragraph" w:styleId="afa">
    <w:name w:val="footer"/>
    <w:basedOn w:val="a"/>
    <w:link w:val="afb"/>
    <w:uiPriority w:val="99"/>
    <w:rsid w:val="00456BBA"/>
    <w:pPr>
      <w:tabs>
        <w:tab w:val="center" w:pos="4677"/>
        <w:tab w:val="right" w:pos="9355"/>
      </w:tabs>
    </w:pPr>
    <w:rPr>
      <w:rFonts w:eastAsia="Times New Roman"/>
    </w:rPr>
  </w:style>
  <w:style w:type="character" w:customStyle="1" w:styleId="afb">
    <w:name w:val="Нижний колонтитул Знак"/>
    <w:link w:val="afa"/>
    <w:uiPriority w:val="99"/>
    <w:rsid w:val="00456BBA"/>
    <w:rPr>
      <w:sz w:val="28"/>
      <w:szCs w:val="28"/>
    </w:rPr>
  </w:style>
  <w:style w:type="paragraph" w:customStyle="1" w:styleId="CharChar">
    <w:name w:val="Char Знак Знак Char Знак Знак Знак Знак Знак Знак Знак Знак Знак Знак Знак Знак Знак Знак Знак Знак"/>
    <w:basedOn w:val="a"/>
    <w:uiPriority w:val="34"/>
    <w:qFormat/>
    <w:rsid w:val="00456BBA"/>
    <w:pPr>
      <w:overflowPunct/>
      <w:autoSpaceDE/>
      <w:autoSpaceDN/>
      <w:adjustRightInd/>
      <w:spacing w:line="240" w:lineRule="auto"/>
      <w:ind w:left="0" w:right="0" w:firstLine="0"/>
      <w:jc w:val="left"/>
      <w:textAlignment w:val="auto"/>
    </w:pPr>
    <w:rPr>
      <w:rFonts w:ascii="Verdana" w:eastAsia="Times New Roman" w:hAnsi="Verdana" w:cs="Verdana"/>
      <w:sz w:val="20"/>
      <w:szCs w:val="20"/>
      <w:lang w:val="en-US" w:eastAsia="en-US"/>
    </w:rPr>
  </w:style>
  <w:style w:type="paragraph" w:customStyle="1" w:styleId="16">
    <w:name w:val="Заголовок1"/>
    <w:aliases w:val="Title, Знак"/>
    <w:basedOn w:val="a"/>
    <w:link w:val="afc"/>
    <w:uiPriority w:val="10"/>
    <w:qFormat/>
    <w:rsid w:val="00456BBA"/>
    <w:pPr>
      <w:widowControl w:val="0"/>
      <w:overflowPunct/>
      <w:autoSpaceDE/>
      <w:autoSpaceDN/>
      <w:adjustRightInd/>
      <w:spacing w:line="240" w:lineRule="auto"/>
      <w:ind w:left="0" w:right="-1332" w:hanging="142"/>
      <w:jc w:val="center"/>
      <w:textAlignment w:val="auto"/>
    </w:pPr>
    <w:rPr>
      <w:rFonts w:eastAsia="Times New Roman"/>
      <w:b/>
      <w:snapToGrid w:val="0"/>
      <w:color w:val="000000"/>
      <w:sz w:val="24"/>
      <w:szCs w:val="20"/>
    </w:rPr>
  </w:style>
  <w:style w:type="character" w:customStyle="1" w:styleId="afc">
    <w:name w:val="Название Знак"/>
    <w:aliases w:val=" Знак Знак,Знак Знак"/>
    <w:link w:val="16"/>
    <w:uiPriority w:val="10"/>
    <w:rsid w:val="00456BBA"/>
    <w:rPr>
      <w:b/>
      <w:snapToGrid/>
      <w:color w:val="000000"/>
      <w:sz w:val="24"/>
    </w:rPr>
  </w:style>
  <w:style w:type="paragraph" w:customStyle="1" w:styleId="ConsPlusNonformat">
    <w:name w:val="ConsPlusNonformat"/>
    <w:uiPriority w:val="99"/>
    <w:qFormat/>
    <w:rsid w:val="00456BBA"/>
    <w:pPr>
      <w:autoSpaceDE w:val="0"/>
      <w:autoSpaceDN w:val="0"/>
      <w:adjustRightInd w:val="0"/>
    </w:pPr>
    <w:rPr>
      <w:rFonts w:ascii="Courier New" w:hAnsi="Courier New" w:cs="Courier New"/>
    </w:rPr>
  </w:style>
  <w:style w:type="paragraph" w:customStyle="1" w:styleId="CharChar0">
    <w:name w:val="Char Char"/>
    <w:basedOn w:val="a"/>
    <w:uiPriority w:val="34"/>
    <w:qFormat/>
    <w:rsid w:val="00456BBA"/>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styleId="afd">
    <w:name w:val="footnote text"/>
    <w:aliases w:val="Table_Footnote_last,Текст сноски-FN,Oaeno niinee-FN,Oaeno niinee Ciae,Текст сноски Знак Знак,Текст сноски Знак Знак Знак,F1,Footnote Text Char Знак Знак,Footnote Text Char Знак,Текст сноски1,Текст сноски-FN1,Текст сноски Знак2,Style 7,ft,f"/>
    <w:basedOn w:val="a"/>
    <w:link w:val="afe"/>
    <w:uiPriority w:val="99"/>
    <w:qFormat/>
    <w:rsid w:val="00456BBA"/>
    <w:pPr>
      <w:overflowPunct/>
      <w:autoSpaceDE/>
      <w:autoSpaceDN/>
      <w:adjustRightInd/>
      <w:spacing w:line="240" w:lineRule="auto"/>
      <w:ind w:left="0" w:right="0" w:firstLine="0"/>
      <w:jc w:val="left"/>
      <w:textAlignment w:val="auto"/>
    </w:pPr>
    <w:rPr>
      <w:rFonts w:eastAsia="Times New Roman"/>
      <w:sz w:val="20"/>
      <w:szCs w:val="20"/>
    </w:rPr>
  </w:style>
  <w:style w:type="character" w:customStyle="1" w:styleId="afe">
    <w:name w:val="Текст сноски Знак"/>
    <w:aliases w:val="Table_Footnote_last Знак,Текст сноски-FN Знак,Oaeno niinee-FN Знак,Oaeno niinee Ciae Знак,Текст сноски Знак Знак Знак1,Текст сноски Знак Знак Знак Знак,F1 Знак,Footnote Text Char Знак Знак Знак,Footnote Text Char Знак Знак1,ft Знак"/>
    <w:basedOn w:val="a0"/>
    <w:link w:val="afd"/>
    <w:uiPriority w:val="99"/>
    <w:qFormat/>
    <w:rsid w:val="00456BBA"/>
  </w:style>
  <w:style w:type="paragraph" w:customStyle="1" w:styleId="aff">
    <w:name w:val="Знак Знак Знак"/>
    <w:basedOn w:val="a"/>
    <w:uiPriority w:val="34"/>
    <w:qFormat/>
    <w:rsid w:val="00456BBA"/>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customStyle="1" w:styleId="aff0">
    <w:name w:val="Москва"/>
    <w:aliases w:val="Кремль"/>
    <w:basedOn w:val="a"/>
    <w:uiPriority w:val="34"/>
    <w:qFormat/>
    <w:rsid w:val="00456BBA"/>
    <w:pPr>
      <w:keepLines/>
      <w:tabs>
        <w:tab w:val="left" w:pos="7088"/>
      </w:tabs>
      <w:overflowPunct/>
      <w:autoSpaceDE/>
      <w:autoSpaceDN/>
      <w:adjustRightInd/>
      <w:spacing w:before="960" w:line="360" w:lineRule="exact"/>
      <w:ind w:left="0" w:right="0" w:firstLine="0"/>
      <w:jc w:val="left"/>
      <w:textAlignment w:val="auto"/>
    </w:pPr>
    <w:rPr>
      <w:rFonts w:eastAsia="Times New Roman"/>
      <w:sz w:val="30"/>
      <w:szCs w:val="20"/>
    </w:rPr>
  </w:style>
  <w:style w:type="character" w:customStyle="1" w:styleId="17">
    <w:name w:val="Знак Знак1"/>
    <w:aliases w:val="Название Знак1"/>
    <w:rsid w:val="00456BBA"/>
    <w:rPr>
      <w:b/>
      <w:snapToGrid/>
      <w:color w:val="000000"/>
      <w:sz w:val="24"/>
      <w:lang w:val="ru-RU" w:eastAsia="ru-RU" w:bidi="ar-SA"/>
    </w:rPr>
  </w:style>
  <w:style w:type="paragraph" w:customStyle="1" w:styleId="aff1">
    <w:name w:val="Знак"/>
    <w:basedOn w:val="a"/>
    <w:rsid w:val="00456BBA"/>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paragraph" w:customStyle="1" w:styleId="NormalANX">
    <w:name w:val="NormalANX"/>
    <w:basedOn w:val="a"/>
    <w:uiPriority w:val="34"/>
    <w:qFormat/>
    <w:rsid w:val="00456BBA"/>
    <w:pPr>
      <w:overflowPunct/>
      <w:autoSpaceDE/>
      <w:autoSpaceDN/>
      <w:adjustRightInd/>
      <w:spacing w:before="240" w:after="240"/>
      <w:ind w:left="0" w:right="0" w:firstLine="720"/>
      <w:textAlignment w:val="auto"/>
    </w:pPr>
    <w:rPr>
      <w:rFonts w:eastAsia="Times New Roman"/>
      <w:szCs w:val="24"/>
    </w:rPr>
  </w:style>
  <w:style w:type="paragraph" w:customStyle="1" w:styleId="18">
    <w:name w:val="Знак Знак Знак1 Знак Знак Знак Знак"/>
    <w:basedOn w:val="a"/>
    <w:autoRedefine/>
    <w:uiPriority w:val="34"/>
    <w:qFormat/>
    <w:rsid w:val="00456BBA"/>
    <w:pPr>
      <w:overflowPunct/>
      <w:autoSpaceDE/>
      <w:autoSpaceDN/>
      <w:adjustRightInd/>
      <w:spacing w:after="160" w:line="240" w:lineRule="exact"/>
      <w:ind w:left="0" w:right="0" w:firstLine="0"/>
      <w:jc w:val="left"/>
      <w:textAlignment w:val="auto"/>
    </w:pPr>
    <w:rPr>
      <w:rFonts w:eastAsia="SimSun"/>
      <w:b/>
      <w:szCs w:val="24"/>
      <w:lang w:val="en-US" w:eastAsia="en-US"/>
    </w:rPr>
  </w:style>
  <w:style w:type="paragraph" w:customStyle="1" w:styleId="Style1">
    <w:name w:val="Style1"/>
    <w:basedOn w:val="a"/>
    <w:uiPriority w:val="34"/>
    <w:qFormat/>
    <w:rsid w:val="00456BBA"/>
    <w:pPr>
      <w:widowControl w:val="0"/>
      <w:overflowPunct/>
      <w:spacing w:line="434" w:lineRule="exact"/>
      <w:ind w:left="0" w:right="0" w:firstLine="696"/>
      <w:textAlignment w:val="auto"/>
    </w:pPr>
    <w:rPr>
      <w:rFonts w:eastAsia="Times New Roman"/>
      <w:sz w:val="24"/>
      <w:szCs w:val="24"/>
    </w:rPr>
  </w:style>
  <w:style w:type="paragraph" w:customStyle="1" w:styleId="BodyText21">
    <w:name w:val="Body Text 21"/>
    <w:basedOn w:val="a"/>
    <w:qFormat/>
    <w:rsid w:val="00456BBA"/>
    <w:pPr>
      <w:widowControl w:val="0"/>
      <w:overflowPunct/>
      <w:autoSpaceDE/>
      <w:autoSpaceDN/>
      <w:adjustRightInd/>
      <w:spacing w:line="-379" w:lineRule="auto"/>
      <w:ind w:left="0" w:right="0" w:firstLine="0"/>
      <w:jc w:val="center"/>
      <w:textAlignment w:val="auto"/>
    </w:pPr>
    <w:rPr>
      <w:rFonts w:eastAsia="Times New Roman"/>
      <w:b/>
      <w:szCs w:val="20"/>
    </w:rPr>
  </w:style>
  <w:style w:type="character" w:styleId="aff2">
    <w:name w:val="footnote reference"/>
    <w:aliases w:val="Знак сноски-FN,Ciae niinee-FN,Знак сноски 1,SUPERS,ftref,16 Point,Superscript 6 Point,Referencia nota al pie,fr,Used by Word for Help footnote symbols,Ciae niinee 1,Ссылка на сноску 45,Footnote Reference Number,анкета сноска,SUPER,сноска,Ref"/>
    <w:link w:val="19"/>
    <w:uiPriority w:val="99"/>
    <w:unhideWhenUsed/>
    <w:qFormat/>
    <w:rsid w:val="00456BBA"/>
    <w:rPr>
      <w:vertAlign w:val="superscript"/>
    </w:rPr>
  </w:style>
  <w:style w:type="paragraph" w:customStyle="1" w:styleId="27">
    <w:name w:val="сновной текст с отступом 2"/>
    <w:basedOn w:val="a"/>
    <w:qFormat/>
    <w:rsid w:val="00456BBA"/>
    <w:pPr>
      <w:widowControl w:val="0"/>
      <w:overflowPunct/>
      <w:autoSpaceDE/>
      <w:autoSpaceDN/>
      <w:adjustRightInd/>
      <w:spacing w:line="240" w:lineRule="auto"/>
      <w:ind w:left="0" w:right="0" w:firstLine="720"/>
      <w:textAlignment w:val="auto"/>
    </w:pPr>
    <w:rPr>
      <w:rFonts w:eastAsia="Times New Roman"/>
      <w:sz w:val="26"/>
      <w:szCs w:val="20"/>
    </w:rPr>
  </w:style>
  <w:style w:type="paragraph" w:customStyle="1" w:styleId="CharCharCharChar">
    <w:name w:val="Char Char Знак Знак Char Char"/>
    <w:basedOn w:val="a"/>
    <w:uiPriority w:val="34"/>
    <w:qFormat/>
    <w:rsid w:val="00456BBA"/>
    <w:pPr>
      <w:overflowPunct/>
      <w:autoSpaceDE/>
      <w:autoSpaceDN/>
      <w:adjustRightInd/>
      <w:spacing w:line="240" w:lineRule="auto"/>
      <w:ind w:left="0" w:right="0" w:firstLine="0"/>
      <w:jc w:val="left"/>
      <w:textAlignment w:val="auto"/>
    </w:pPr>
    <w:rPr>
      <w:rFonts w:ascii="Verdana" w:eastAsia="Times New Roman" w:hAnsi="Verdana" w:cs="Verdana"/>
      <w:sz w:val="20"/>
      <w:szCs w:val="20"/>
      <w:lang w:val="en-US" w:eastAsia="en-US"/>
    </w:rPr>
  </w:style>
  <w:style w:type="character" w:customStyle="1" w:styleId="FontStyle12">
    <w:name w:val="Font Style12"/>
    <w:rsid w:val="00456BBA"/>
    <w:rPr>
      <w:rFonts w:ascii="Times New Roman" w:hAnsi="Times New Roman" w:cs="Times New Roman"/>
      <w:sz w:val="26"/>
      <w:szCs w:val="26"/>
    </w:rPr>
  </w:style>
  <w:style w:type="paragraph" w:customStyle="1" w:styleId="rvps698610">
    <w:name w:val="rvps698610"/>
    <w:basedOn w:val="a"/>
    <w:uiPriority w:val="34"/>
    <w:qFormat/>
    <w:rsid w:val="00456BBA"/>
    <w:pPr>
      <w:overflowPunct/>
      <w:autoSpaceDE/>
      <w:autoSpaceDN/>
      <w:adjustRightInd/>
      <w:spacing w:after="150" w:line="240" w:lineRule="auto"/>
      <w:ind w:left="0" w:right="300" w:firstLine="0"/>
      <w:jc w:val="left"/>
      <w:textAlignment w:val="auto"/>
    </w:pPr>
    <w:rPr>
      <w:rFonts w:eastAsia="Times New Roman"/>
      <w:sz w:val="24"/>
      <w:szCs w:val="24"/>
    </w:rPr>
  </w:style>
  <w:style w:type="paragraph" w:customStyle="1" w:styleId="aff3">
    <w:name w:val="ИОбычный текст"/>
    <w:basedOn w:val="a"/>
    <w:autoRedefine/>
    <w:uiPriority w:val="34"/>
    <w:qFormat/>
    <w:rsid w:val="00456BBA"/>
    <w:pPr>
      <w:widowControl w:val="0"/>
      <w:overflowPunct/>
      <w:autoSpaceDE/>
      <w:autoSpaceDN/>
      <w:adjustRightInd/>
      <w:ind w:left="0" w:right="-113" w:firstLine="720"/>
      <w:textAlignment w:val="auto"/>
    </w:pPr>
    <w:rPr>
      <w:rFonts w:eastAsia="Times New Roman"/>
      <w:snapToGrid w:val="0"/>
      <w:color w:val="FF0000"/>
      <w:sz w:val="24"/>
      <w:szCs w:val="24"/>
    </w:rPr>
  </w:style>
  <w:style w:type="character" w:customStyle="1" w:styleId="aff4">
    <w:name w:val="Основной текст + Полужирный"/>
    <w:rsid w:val="00456BBA"/>
    <w:rPr>
      <w:rFonts w:ascii="Times New Roman" w:eastAsia="Times New Roman" w:hAnsi="Times New Roman" w:cs="Times New Roman"/>
      <w:b/>
      <w:bCs/>
      <w:spacing w:val="0"/>
      <w:sz w:val="22"/>
      <w:szCs w:val="22"/>
      <w:lang w:eastAsia="ru-RU"/>
    </w:rPr>
  </w:style>
  <w:style w:type="character" w:customStyle="1" w:styleId="1pt">
    <w:name w:val="Основной текст + Интервал 1 pt"/>
    <w:rsid w:val="00456BBA"/>
    <w:rPr>
      <w:rFonts w:ascii="Times New Roman" w:eastAsia="Times New Roman" w:hAnsi="Times New Roman" w:cs="Times New Roman"/>
      <w:spacing w:val="30"/>
      <w:sz w:val="22"/>
      <w:szCs w:val="22"/>
      <w:lang w:eastAsia="ru-RU"/>
    </w:rPr>
  </w:style>
  <w:style w:type="character" w:customStyle="1" w:styleId="34">
    <w:name w:val="Основной текст (3)_"/>
    <w:link w:val="35"/>
    <w:rsid w:val="00456BBA"/>
    <w:rPr>
      <w:sz w:val="21"/>
      <w:szCs w:val="21"/>
      <w:shd w:val="clear" w:color="auto" w:fill="FFFFFF"/>
    </w:rPr>
  </w:style>
  <w:style w:type="paragraph" w:customStyle="1" w:styleId="35">
    <w:name w:val="Основной текст (3)"/>
    <w:basedOn w:val="a"/>
    <w:link w:val="34"/>
    <w:qFormat/>
    <w:rsid w:val="00456BBA"/>
    <w:pPr>
      <w:shd w:val="clear" w:color="auto" w:fill="FFFFFF"/>
      <w:overflowPunct/>
      <w:autoSpaceDE/>
      <w:autoSpaceDN/>
      <w:adjustRightInd/>
      <w:spacing w:line="413" w:lineRule="exact"/>
      <w:ind w:left="0" w:right="0" w:firstLine="0"/>
      <w:textAlignment w:val="auto"/>
    </w:pPr>
    <w:rPr>
      <w:rFonts w:eastAsia="Times New Roman"/>
      <w:sz w:val="21"/>
      <w:szCs w:val="21"/>
    </w:rPr>
  </w:style>
  <w:style w:type="character" w:customStyle="1" w:styleId="310pt">
    <w:name w:val="Основной текст (3) + 10 pt"/>
    <w:aliases w:val="Полужирный,Основной текст (3) + 11 pt1"/>
    <w:rsid w:val="00456BBA"/>
    <w:rPr>
      <w:b/>
      <w:bCs/>
      <w:sz w:val="20"/>
      <w:szCs w:val="20"/>
      <w:shd w:val="clear" w:color="auto" w:fill="FFFFFF"/>
    </w:rPr>
  </w:style>
  <w:style w:type="character" w:customStyle="1" w:styleId="311pt">
    <w:name w:val="Основной текст (3) + 11 pt"/>
    <w:rsid w:val="00456BBA"/>
    <w:rPr>
      <w:rFonts w:ascii="Times New Roman" w:hAnsi="Times New Roman" w:cs="Times New Roman"/>
      <w:spacing w:val="0"/>
      <w:sz w:val="22"/>
      <w:szCs w:val="22"/>
      <w:shd w:val="clear" w:color="auto" w:fill="FFFFFF"/>
    </w:rPr>
  </w:style>
  <w:style w:type="paragraph" w:customStyle="1" w:styleId="aff5">
    <w:name w:val="На номер"/>
    <w:basedOn w:val="a"/>
    <w:uiPriority w:val="34"/>
    <w:qFormat/>
    <w:rsid w:val="00456BBA"/>
    <w:pPr>
      <w:spacing w:line="240" w:lineRule="auto"/>
      <w:ind w:left="0" w:right="0" w:firstLine="0"/>
      <w:jc w:val="left"/>
      <w:textAlignment w:val="auto"/>
    </w:pPr>
    <w:rPr>
      <w:rFonts w:eastAsia="Times New Roman"/>
      <w:sz w:val="24"/>
      <w:szCs w:val="24"/>
    </w:rPr>
  </w:style>
  <w:style w:type="paragraph" w:styleId="aff6">
    <w:name w:val="List Paragraph"/>
    <w:aliases w:val="A_маркированный_список"/>
    <w:basedOn w:val="a"/>
    <w:link w:val="aff7"/>
    <w:uiPriority w:val="34"/>
    <w:qFormat/>
    <w:rsid w:val="00456BBA"/>
    <w:pPr>
      <w:ind w:left="720"/>
      <w:contextualSpacing/>
    </w:pPr>
    <w:rPr>
      <w:rFonts w:eastAsia="Times New Roman"/>
    </w:rPr>
  </w:style>
  <w:style w:type="paragraph" w:customStyle="1" w:styleId="210">
    <w:name w:val="Основной текст 21"/>
    <w:basedOn w:val="a"/>
    <w:uiPriority w:val="34"/>
    <w:qFormat/>
    <w:rsid w:val="00456BBA"/>
    <w:pPr>
      <w:widowControl w:val="0"/>
      <w:overflowPunct/>
      <w:autoSpaceDE/>
      <w:autoSpaceDN/>
      <w:adjustRightInd/>
      <w:ind w:left="0" w:right="0"/>
      <w:textAlignment w:val="auto"/>
    </w:pPr>
    <w:rPr>
      <w:rFonts w:eastAsia="Times New Roman"/>
      <w:sz w:val="24"/>
      <w:szCs w:val="20"/>
    </w:rPr>
  </w:style>
  <w:style w:type="paragraph" w:customStyle="1" w:styleId="aff8">
    <w:name w:val="Знак Знак Знак Знак"/>
    <w:basedOn w:val="a"/>
    <w:uiPriority w:val="34"/>
    <w:qFormat/>
    <w:rsid w:val="00456BBA"/>
    <w:pPr>
      <w:overflowPunct/>
      <w:autoSpaceDE/>
      <w:autoSpaceDN/>
      <w:adjustRightInd/>
      <w:spacing w:after="160" w:line="240" w:lineRule="exact"/>
      <w:ind w:left="0" w:right="0" w:firstLine="0"/>
      <w:jc w:val="left"/>
      <w:textAlignment w:val="auto"/>
    </w:pPr>
    <w:rPr>
      <w:rFonts w:ascii="Verdana" w:eastAsia="Times New Roman" w:hAnsi="Verdana"/>
      <w:sz w:val="20"/>
      <w:szCs w:val="20"/>
      <w:lang w:val="en-US" w:eastAsia="en-US"/>
    </w:rPr>
  </w:style>
  <w:style w:type="character" w:customStyle="1" w:styleId="aff9">
    <w:name w:val="Гипертекстовая ссылка"/>
    <w:uiPriority w:val="99"/>
    <w:rsid w:val="00456BBA"/>
    <w:rPr>
      <w:color w:val="008000"/>
    </w:rPr>
  </w:style>
  <w:style w:type="paragraph" w:customStyle="1" w:styleId="110">
    <w:name w:val="Обычный11"/>
    <w:uiPriority w:val="34"/>
    <w:qFormat/>
    <w:rsid w:val="00456BBA"/>
  </w:style>
  <w:style w:type="paragraph" w:customStyle="1" w:styleId="36">
    <w:name w:val="Обычный3"/>
    <w:uiPriority w:val="34"/>
    <w:qFormat/>
    <w:rsid w:val="00456BBA"/>
    <w:pPr>
      <w:widowControl w:val="0"/>
    </w:pPr>
    <w:rPr>
      <w:rFonts w:ascii="Courier New" w:hAnsi="Courier New"/>
      <w:snapToGrid w:val="0"/>
    </w:rPr>
  </w:style>
  <w:style w:type="paragraph" w:customStyle="1" w:styleId="affa">
    <w:name w:val="Справка"/>
    <w:basedOn w:val="a"/>
    <w:autoRedefine/>
    <w:uiPriority w:val="34"/>
    <w:qFormat/>
    <w:rsid w:val="00456BBA"/>
    <w:pPr>
      <w:widowControl w:val="0"/>
      <w:overflowPunct/>
      <w:autoSpaceDE/>
      <w:autoSpaceDN/>
      <w:adjustRightInd/>
      <w:spacing w:line="240" w:lineRule="auto"/>
      <w:ind w:left="0" w:right="22" w:firstLine="720"/>
      <w:textAlignment w:val="auto"/>
    </w:pPr>
    <w:rPr>
      <w:rFonts w:eastAsia="Times New Roman"/>
      <w:iCs/>
      <w:sz w:val="24"/>
      <w:szCs w:val="20"/>
    </w:rPr>
  </w:style>
  <w:style w:type="character" w:customStyle="1" w:styleId="12pt">
    <w:name w:val="Основной текст + 12 pt"/>
    <w:rsid w:val="00456BBA"/>
    <w:rPr>
      <w:rFonts w:ascii="Times New Roman" w:hAnsi="Times New Roman" w:cs="Times New Roman" w:hint="default"/>
      <w:sz w:val="24"/>
      <w:szCs w:val="24"/>
      <w:shd w:val="clear" w:color="auto" w:fill="FFFFFF"/>
    </w:rPr>
  </w:style>
  <w:style w:type="paragraph" w:customStyle="1" w:styleId="affb">
    <w:name w:val="уважаемый"/>
    <w:basedOn w:val="a"/>
    <w:qFormat/>
    <w:rsid w:val="00456BBA"/>
    <w:pPr>
      <w:spacing w:line="240" w:lineRule="auto"/>
      <w:ind w:firstLine="0"/>
      <w:jc w:val="center"/>
    </w:pPr>
    <w:rPr>
      <w:rFonts w:eastAsia="Times New Roman"/>
    </w:rPr>
  </w:style>
  <w:style w:type="paragraph" w:customStyle="1" w:styleId="affc">
    <w:name w:val="Прижатый влево"/>
    <w:basedOn w:val="a"/>
    <w:next w:val="a"/>
    <w:uiPriority w:val="99"/>
    <w:qFormat/>
    <w:rsid w:val="00456BBA"/>
    <w:pPr>
      <w:overflowPunct/>
      <w:spacing w:line="240" w:lineRule="auto"/>
      <w:ind w:left="0" w:right="0" w:firstLine="0"/>
      <w:jc w:val="left"/>
      <w:textAlignment w:val="auto"/>
    </w:pPr>
    <w:rPr>
      <w:rFonts w:ascii="Arial" w:eastAsia="Times New Roman" w:hAnsi="Arial"/>
      <w:sz w:val="24"/>
      <w:szCs w:val="24"/>
    </w:rPr>
  </w:style>
  <w:style w:type="character" w:customStyle="1" w:styleId="178">
    <w:name w:val="Основной текст (178)_"/>
    <w:link w:val="1781"/>
    <w:locked/>
    <w:rsid w:val="00456BBA"/>
    <w:rPr>
      <w:sz w:val="25"/>
      <w:szCs w:val="25"/>
      <w:shd w:val="clear" w:color="auto" w:fill="FFFFFF"/>
    </w:rPr>
  </w:style>
  <w:style w:type="paragraph" w:customStyle="1" w:styleId="1781">
    <w:name w:val="Основной текст (178)1"/>
    <w:basedOn w:val="a"/>
    <w:link w:val="178"/>
    <w:qFormat/>
    <w:rsid w:val="00456BBA"/>
    <w:pPr>
      <w:shd w:val="clear" w:color="auto" w:fill="FFFFFF"/>
      <w:overflowPunct/>
      <w:autoSpaceDE/>
      <w:autoSpaceDN/>
      <w:adjustRightInd/>
      <w:spacing w:line="485" w:lineRule="exact"/>
      <w:ind w:left="0" w:right="0" w:firstLine="0"/>
      <w:textAlignment w:val="auto"/>
    </w:pPr>
    <w:rPr>
      <w:rFonts w:eastAsia="Times New Roman"/>
      <w:sz w:val="25"/>
      <w:szCs w:val="25"/>
    </w:rPr>
  </w:style>
  <w:style w:type="character" w:customStyle="1" w:styleId="17848">
    <w:name w:val="Основной текст (178)48"/>
    <w:rsid w:val="00456BBA"/>
    <w:rPr>
      <w:sz w:val="25"/>
      <w:szCs w:val="25"/>
      <w:shd w:val="clear" w:color="auto" w:fill="FFFFFF"/>
    </w:rPr>
  </w:style>
  <w:style w:type="paragraph" w:customStyle="1" w:styleId="msonormalcxspmiddle">
    <w:name w:val="msonormalcxspmiddle"/>
    <w:basedOn w:val="a"/>
    <w:uiPriority w:val="34"/>
    <w:qFormat/>
    <w:rsid w:val="00456BBA"/>
    <w:pPr>
      <w:overflowPunct/>
      <w:autoSpaceDE/>
      <w:autoSpaceDN/>
      <w:adjustRightInd/>
      <w:spacing w:before="100" w:beforeAutospacing="1" w:after="100" w:afterAutospacing="1" w:line="240" w:lineRule="auto"/>
      <w:ind w:left="0" w:right="0" w:firstLine="0"/>
      <w:jc w:val="left"/>
      <w:textAlignment w:val="auto"/>
    </w:pPr>
    <w:rPr>
      <w:rFonts w:eastAsia="Times New Roman"/>
      <w:sz w:val="24"/>
      <w:szCs w:val="24"/>
    </w:rPr>
  </w:style>
  <w:style w:type="paragraph" w:customStyle="1" w:styleId="1a">
    <w:name w:val="Абзац списка1"/>
    <w:basedOn w:val="a"/>
    <w:qFormat/>
    <w:rsid w:val="0033732B"/>
    <w:pPr>
      <w:ind w:left="720"/>
      <w:contextualSpacing/>
    </w:pPr>
    <w:rPr>
      <w:rFonts w:eastAsia="Times New Roman"/>
    </w:rPr>
  </w:style>
  <w:style w:type="paragraph" w:customStyle="1" w:styleId="40">
    <w:name w:val="Обычный4"/>
    <w:uiPriority w:val="34"/>
    <w:qFormat/>
    <w:rsid w:val="00D84C79"/>
    <w:pPr>
      <w:ind w:firstLine="720"/>
      <w:jc w:val="both"/>
    </w:pPr>
    <w:rPr>
      <w:sz w:val="28"/>
    </w:rPr>
  </w:style>
  <w:style w:type="paragraph" w:styleId="affd">
    <w:name w:val="Body Text First Indent"/>
    <w:basedOn w:val="a7"/>
    <w:link w:val="affe"/>
    <w:uiPriority w:val="99"/>
    <w:rsid w:val="001B74B3"/>
    <w:pPr>
      <w:ind w:firstLine="210"/>
    </w:pPr>
  </w:style>
  <w:style w:type="character" w:customStyle="1" w:styleId="affe">
    <w:name w:val="Красная строка Знак"/>
    <w:link w:val="affd"/>
    <w:uiPriority w:val="99"/>
    <w:rsid w:val="001B74B3"/>
    <w:rPr>
      <w:rFonts w:eastAsia="Calibri"/>
      <w:sz w:val="28"/>
      <w:szCs w:val="28"/>
    </w:rPr>
  </w:style>
  <w:style w:type="paragraph" w:customStyle="1" w:styleId="ConsPlusTitle">
    <w:name w:val="ConsPlusTitle"/>
    <w:qFormat/>
    <w:rsid w:val="00877158"/>
    <w:pPr>
      <w:widowControl w:val="0"/>
      <w:autoSpaceDE w:val="0"/>
      <w:autoSpaceDN w:val="0"/>
      <w:adjustRightInd w:val="0"/>
    </w:pPr>
    <w:rPr>
      <w:rFonts w:ascii="Arial" w:hAnsi="Arial"/>
      <w:b/>
    </w:rPr>
  </w:style>
  <w:style w:type="paragraph" w:customStyle="1" w:styleId="afff">
    <w:name w:val="ЭЭГ"/>
    <w:basedOn w:val="a"/>
    <w:uiPriority w:val="34"/>
    <w:qFormat/>
    <w:rsid w:val="00877158"/>
    <w:pPr>
      <w:overflowPunct/>
      <w:autoSpaceDE/>
      <w:autoSpaceDN/>
      <w:adjustRightInd/>
      <w:ind w:left="0" w:right="0" w:firstLine="720"/>
      <w:textAlignment w:val="auto"/>
    </w:pPr>
    <w:rPr>
      <w:rFonts w:eastAsia="Times New Roman"/>
      <w:sz w:val="24"/>
      <w:szCs w:val="24"/>
    </w:rPr>
  </w:style>
  <w:style w:type="paragraph" w:customStyle="1" w:styleId="28">
    <w:name w:val="Стиль2"/>
    <w:basedOn w:val="a"/>
    <w:link w:val="29"/>
    <w:qFormat/>
    <w:rsid w:val="00C17470"/>
    <w:pPr>
      <w:widowControl w:val="0"/>
      <w:shd w:val="clear" w:color="auto" w:fill="FFFFFF"/>
      <w:overflowPunct/>
      <w:spacing w:line="480" w:lineRule="exact"/>
      <w:ind w:left="0" w:right="0" w:firstLine="851"/>
      <w:textAlignment w:val="auto"/>
    </w:pPr>
    <w:rPr>
      <w:rFonts w:eastAsia="Times New Roman"/>
      <w:bCs/>
      <w:color w:val="000000"/>
    </w:rPr>
  </w:style>
  <w:style w:type="character" w:customStyle="1" w:styleId="29">
    <w:name w:val="Стиль2 Знак"/>
    <w:link w:val="28"/>
    <w:rsid w:val="00C17470"/>
    <w:rPr>
      <w:bCs/>
      <w:color w:val="000000"/>
      <w:sz w:val="28"/>
      <w:szCs w:val="28"/>
      <w:shd w:val="clear" w:color="auto" w:fill="FFFFFF"/>
    </w:rPr>
  </w:style>
  <w:style w:type="character" w:customStyle="1" w:styleId="apple-converted-space">
    <w:name w:val="apple-converted-space"/>
    <w:basedOn w:val="a0"/>
    <w:rsid w:val="006F172A"/>
  </w:style>
  <w:style w:type="character" w:styleId="afff0">
    <w:name w:val="FollowedHyperlink"/>
    <w:uiPriority w:val="99"/>
    <w:unhideWhenUsed/>
    <w:rsid w:val="006F172A"/>
    <w:rPr>
      <w:color w:val="800080"/>
      <w:u w:val="single"/>
    </w:rPr>
  </w:style>
  <w:style w:type="paragraph" w:customStyle="1" w:styleId="font5">
    <w:name w:val="font5"/>
    <w:basedOn w:val="a"/>
    <w:uiPriority w:val="34"/>
    <w:qFormat/>
    <w:rsid w:val="006F172A"/>
    <w:pPr>
      <w:overflowPunct/>
      <w:autoSpaceDE/>
      <w:autoSpaceDN/>
      <w:adjustRightInd/>
      <w:spacing w:before="100" w:beforeAutospacing="1" w:after="100" w:afterAutospacing="1" w:line="240" w:lineRule="auto"/>
      <w:ind w:left="0" w:right="0" w:firstLine="0"/>
      <w:jc w:val="left"/>
      <w:textAlignment w:val="auto"/>
    </w:pPr>
    <w:rPr>
      <w:rFonts w:ascii="Tahoma" w:eastAsia="Times New Roman" w:hAnsi="Tahoma" w:cs="Tahoma"/>
      <w:color w:val="000000"/>
      <w:sz w:val="16"/>
      <w:szCs w:val="16"/>
    </w:rPr>
  </w:style>
  <w:style w:type="paragraph" w:customStyle="1" w:styleId="font6">
    <w:name w:val="font6"/>
    <w:basedOn w:val="a"/>
    <w:uiPriority w:val="34"/>
    <w:qFormat/>
    <w:rsid w:val="006F172A"/>
    <w:pPr>
      <w:overflowPunct/>
      <w:autoSpaceDE/>
      <w:autoSpaceDN/>
      <w:adjustRightInd/>
      <w:spacing w:before="100" w:beforeAutospacing="1" w:after="100" w:afterAutospacing="1" w:line="240" w:lineRule="auto"/>
      <w:ind w:left="0" w:right="0" w:firstLine="0"/>
      <w:jc w:val="left"/>
      <w:textAlignment w:val="auto"/>
    </w:pPr>
    <w:rPr>
      <w:rFonts w:ascii="Tahoma" w:eastAsia="Times New Roman" w:hAnsi="Tahoma" w:cs="Tahoma"/>
      <w:b/>
      <w:bCs/>
      <w:color w:val="000000"/>
      <w:sz w:val="16"/>
      <w:szCs w:val="16"/>
    </w:rPr>
  </w:style>
  <w:style w:type="paragraph" w:customStyle="1" w:styleId="xl113">
    <w:name w:val="xl113"/>
    <w:basedOn w:val="a"/>
    <w:uiPriority w:val="34"/>
    <w:qFormat/>
    <w:rsid w:val="006F172A"/>
    <w:pPr>
      <w:overflowPunct/>
      <w:autoSpaceDE/>
      <w:autoSpaceDN/>
      <w:adjustRightInd/>
      <w:spacing w:before="100" w:beforeAutospacing="1" w:after="100" w:afterAutospacing="1" w:line="240" w:lineRule="auto"/>
      <w:ind w:left="0" w:right="0" w:firstLine="0"/>
      <w:jc w:val="left"/>
      <w:textAlignment w:val="center"/>
    </w:pPr>
    <w:rPr>
      <w:rFonts w:eastAsia="Times New Roman"/>
      <w:sz w:val="22"/>
      <w:szCs w:val="22"/>
    </w:rPr>
  </w:style>
  <w:style w:type="paragraph" w:customStyle="1" w:styleId="xl114">
    <w:name w:val="xl114"/>
    <w:basedOn w:val="a"/>
    <w:uiPriority w:val="34"/>
    <w:qFormat/>
    <w:rsid w:val="006F172A"/>
    <w:pPr>
      <w:overflowPunct/>
      <w:autoSpaceDE/>
      <w:autoSpaceDN/>
      <w:adjustRightInd/>
      <w:spacing w:before="100" w:beforeAutospacing="1" w:after="100" w:afterAutospacing="1" w:line="240" w:lineRule="auto"/>
      <w:ind w:left="0" w:right="0" w:firstLine="0"/>
      <w:textAlignment w:val="center"/>
    </w:pPr>
    <w:rPr>
      <w:rFonts w:eastAsia="Times New Roman"/>
      <w:sz w:val="22"/>
      <w:szCs w:val="22"/>
    </w:rPr>
  </w:style>
  <w:style w:type="paragraph" w:customStyle="1" w:styleId="xl115">
    <w:name w:val="xl115"/>
    <w:basedOn w:val="a"/>
    <w:uiPriority w:val="34"/>
    <w:qFormat/>
    <w:rsid w:val="006F172A"/>
    <w:pPr>
      <w:overflowPunct/>
      <w:autoSpaceDE/>
      <w:autoSpaceDN/>
      <w:adjustRightInd/>
      <w:spacing w:before="100" w:beforeAutospacing="1" w:after="100" w:afterAutospacing="1" w:line="240" w:lineRule="auto"/>
      <w:ind w:left="0" w:right="0" w:firstLine="0"/>
      <w:jc w:val="right"/>
      <w:textAlignment w:val="center"/>
    </w:pPr>
    <w:rPr>
      <w:rFonts w:eastAsia="Times New Roman"/>
      <w:sz w:val="22"/>
      <w:szCs w:val="22"/>
    </w:rPr>
  </w:style>
  <w:style w:type="paragraph" w:customStyle="1" w:styleId="xl116">
    <w:name w:val="xl116"/>
    <w:basedOn w:val="a"/>
    <w:uiPriority w:val="34"/>
    <w:qFormat/>
    <w:rsid w:val="006F172A"/>
    <w:pP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2"/>
      <w:szCs w:val="22"/>
    </w:rPr>
  </w:style>
  <w:style w:type="paragraph" w:customStyle="1" w:styleId="xl117">
    <w:name w:val="xl117"/>
    <w:basedOn w:val="a"/>
    <w:uiPriority w:val="34"/>
    <w:qFormat/>
    <w:rsid w:val="006F172A"/>
    <w:pP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2"/>
      <w:szCs w:val="22"/>
    </w:rPr>
  </w:style>
  <w:style w:type="paragraph" w:customStyle="1" w:styleId="xl118">
    <w:name w:val="xl118"/>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19">
    <w:name w:val="xl119"/>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0">
    <w:name w:val="xl120"/>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1">
    <w:name w:val="xl121"/>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2"/>
      <w:szCs w:val="22"/>
    </w:rPr>
  </w:style>
  <w:style w:type="paragraph" w:customStyle="1" w:styleId="xl122">
    <w:name w:val="xl122"/>
    <w:basedOn w:val="a"/>
    <w:uiPriority w:val="34"/>
    <w:qFormat/>
    <w:rsid w:val="006F172A"/>
    <w:pPr>
      <w:overflowPunct/>
      <w:autoSpaceDE/>
      <w:autoSpaceDN/>
      <w:adjustRightInd/>
      <w:spacing w:before="100" w:beforeAutospacing="1" w:after="100" w:afterAutospacing="1" w:line="240" w:lineRule="auto"/>
      <w:ind w:left="0" w:right="0" w:firstLine="0"/>
      <w:jc w:val="left"/>
      <w:textAlignment w:val="center"/>
    </w:pPr>
    <w:rPr>
      <w:rFonts w:eastAsia="Times New Roman"/>
      <w:sz w:val="24"/>
      <w:szCs w:val="24"/>
    </w:rPr>
  </w:style>
  <w:style w:type="paragraph" w:customStyle="1" w:styleId="xl123">
    <w:name w:val="xl123"/>
    <w:basedOn w:val="a"/>
    <w:uiPriority w:val="34"/>
    <w:qFormat/>
    <w:rsid w:val="006F172A"/>
    <w:pPr>
      <w:overflowPunct/>
      <w:autoSpaceDE/>
      <w:autoSpaceDN/>
      <w:adjustRightInd/>
      <w:spacing w:before="100" w:beforeAutospacing="1" w:after="100" w:afterAutospacing="1" w:line="240" w:lineRule="auto"/>
      <w:ind w:left="0" w:right="0" w:firstLine="0"/>
      <w:jc w:val="center"/>
      <w:textAlignment w:val="center"/>
    </w:pPr>
    <w:rPr>
      <w:rFonts w:eastAsia="Times New Roman"/>
      <w:b/>
      <w:bCs/>
      <w:sz w:val="24"/>
      <w:szCs w:val="24"/>
    </w:rPr>
  </w:style>
  <w:style w:type="paragraph" w:customStyle="1" w:styleId="xl124">
    <w:name w:val="xl124"/>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25">
    <w:name w:val="xl125"/>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1"/>
      <w:szCs w:val="21"/>
    </w:rPr>
  </w:style>
  <w:style w:type="paragraph" w:customStyle="1" w:styleId="xl126">
    <w:name w:val="xl126"/>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paragraph" w:customStyle="1" w:styleId="xl127">
    <w:name w:val="xl127"/>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2"/>
      <w:szCs w:val="22"/>
    </w:rPr>
  </w:style>
  <w:style w:type="paragraph" w:customStyle="1" w:styleId="xl128">
    <w:name w:val="xl128"/>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21"/>
      <w:szCs w:val="21"/>
    </w:rPr>
  </w:style>
  <w:style w:type="paragraph" w:customStyle="1" w:styleId="xl129">
    <w:name w:val="xl129"/>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21"/>
      <w:szCs w:val="21"/>
    </w:rPr>
  </w:style>
  <w:style w:type="paragraph" w:customStyle="1" w:styleId="xl130">
    <w:name w:val="xl130"/>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1">
    <w:name w:val="xl131"/>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paragraph" w:customStyle="1" w:styleId="xl132">
    <w:name w:val="xl132"/>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21"/>
      <w:szCs w:val="21"/>
    </w:rPr>
  </w:style>
  <w:style w:type="paragraph" w:customStyle="1" w:styleId="xl133">
    <w:name w:val="xl133"/>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4">
    <w:name w:val="xl134"/>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24"/>
      <w:szCs w:val="24"/>
    </w:rPr>
  </w:style>
  <w:style w:type="paragraph" w:customStyle="1" w:styleId="xl135">
    <w:name w:val="xl135"/>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color w:val="FFFFFF"/>
      <w:sz w:val="21"/>
      <w:szCs w:val="21"/>
    </w:rPr>
  </w:style>
  <w:style w:type="paragraph" w:customStyle="1" w:styleId="xl136">
    <w:name w:val="xl136"/>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24"/>
      <w:szCs w:val="24"/>
    </w:rPr>
  </w:style>
  <w:style w:type="paragraph" w:customStyle="1" w:styleId="xl137">
    <w:name w:val="xl137"/>
    <w:basedOn w:val="a"/>
    <w:uiPriority w:val="34"/>
    <w:qFormat/>
    <w:rsid w:val="006F172A"/>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38">
    <w:name w:val="xl138"/>
    <w:basedOn w:val="a"/>
    <w:uiPriority w:val="34"/>
    <w:qFormat/>
    <w:rsid w:val="006F172A"/>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b/>
      <w:bCs/>
      <w:sz w:val="18"/>
      <w:szCs w:val="18"/>
    </w:rPr>
  </w:style>
  <w:style w:type="paragraph" w:customStyle="1" w:styleId="xl139">
    <w:name w:val="xl139"/>
    <w:basedOn w:val="a"/>
    <w:uiPriority w:val="34"/>
    <w:qFormat/>
    <w:rsid w:val="006F172A"/>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b/>
      <w:bCs/>
      <w:sz w:val="21"/>
      <w:szCs w:val="21"/>
    </w:rPr>
  </w:style>
  <w:style w:type="paragraph" w:customStyle="1" w:styleId="xl140">
    <w:name w:val="xl140"/>
    <w:basedOn w:val="a"/>
    <w:uiPriority w:val="34"/>
    <w:qFormat/>
    <w:rsid w:val="006F172A"/>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21"/>
      <w:szCs w:val="21"/>
    </w:rPr>
  </w:style>
  <w:style w:type="character" w:customStyle="1" w:styleId="afff1">
    <w:name w:val="Основной текст_"/>
    <w:rsid w:val="006F172A"/>
    <w:rPr>
      <w:sz w:val="27"/>
      <w:szCs w:val="27"/>
      <w:shd w:val="clear" w:color="auto" w:fill="FFFFFF"/>
    </w:rPr>
  </w:style>
  <w:style w:type="paragraph" w:customStyle="1" w:styleId="120">
    <w:name w:val="Знак12"/>
    <w:basedOn w:val="a"/>
    <w:uiPriority w:val="34"/>
    <w:qFormat/>
    <w:rsid w:val="007D07DB"/>
    <w:pPr>
      <w:overflowPunct/>
      <w:autoSpaceDE/>
      <w:autoSpaceDN/>
      <w:adjustRightInd/>
      <w:spacing w:after="160" w:line="240" w:lineRule="exact"/>
      <w:ind w:left="0" w:right="0" w:firstLine="0"/>
      <w:jc w:val="left"/>
      <w:textAlignment w:val="auto"/>
    </w:pPr>
    <w:rPr>
      <w:rFonts w:ascii="Verdana" w:hAnsi="Verdana"/>
      <w:sz w:val="20"/>
      <w:szCs w:val="20"/>
      <w:lang w:val="en-US" w:eastAsia="en-US"/>
    </w:rPr>
  </w:style>
  <w:style w:type="character" w:customStyle="1" w:styleId="5">
    <w:name w:val="Знак Знак5"/>
    <w:rsid w:val="007D07DB"/>
    <w:rPr>
      <w:rFonts w:cs="Times New Roman"/>
      <w:sz w:val="28"/>
      <w:lang w:val="ru-RU" w:eastAsia="ru-RU" w:bidi="ar-SA"/>
    </w:rPr>
  </w:style>
  <w:style w:type="character" w:customStyle="1" w:styleId="41">
    <w:name w:val="Знак Знак4"/>
    <w:rsid w:val="007D07DB"/>
    <w:rPr>
      <w:rFonts w:eastAsia="Times New Roman" w:cs="Times New Roman"/>
      <w:sz w:val="20"/>
      <w:szCs w:val="20"/>
      <w:lang w:eastAsia="ru-RU"/>
    </w:rPr>
  </w:style>
  <w:style w:type="paragraph" w:customStyle="1" w:styleId="111">
    <w:name w:val="Знак11"/>
    <w:basedOn w:val="a"/>
    <w:uiPriority w:val="34"/>
    <w:qFormat/>
    <w:rsid w:val="007D07DB"/>
    <w:pPr>
      <w:overflowPunct/>
      <w:autoSpaceDE/>
      <w:autoSpaceDN/>
      <w:adjustRightInd/>
      <w:spacing w:after="160" w:line="240" w:lineRule="exact"/>
      <w:ind w:left="0" w:right="0" w:firstLine="0"/>
      <w:jc w:val="left"/>
      <w:textAlignment w:val="auto"/>
    </w:pPr>
    <w:rPr>
      <w:rFonts w:ascii="Verdana" w:hAnsi="Verdana"/>
      <w:sz w:val="20"/>
      <w:szCs w:val="20"/>
      <w:lang w:val="en-US" w:eastAsia="en-US"/>
    </w:rPr>
  </w:style>
  <w:style w:type="character" w:styleId="afff2">
    <w:name w:val="annotation reference"/>
    <w:uiPriority w:val="99"/>
    <w:rsid w:val="007D07DB"/>
    <w:rPr>
      <w:rFonts w:cs="Times New Roman"/>
      <w:sz w:val="16"/>
      <w:szCs w:val="16"/>
    </w:rPr>
  </w:style>
  <w:style w:type="paragraph" w:styleId="afff3">
    <w:name w:val="annotation text"/>
    <w:basedOn w:val="a"/>
    <w:link w:val="afff4"/>
    <w:uiPriority w:val="99"/>
    <w:rsid w:val="007D07DB"/>
    <w:pPr>
      <w:spacing w:line="240" w:lineRule="auto"/>
    </w:pPr>
    <w:rPr>
      <w:sz w:val="20"/>
      <w:szCs w:val="20"/>
    </w:rPr>
  </w:style>
  <w:style w:type="character" w:customStyle="1" w:styleId="afff4">
    <w:name w:val="Текст примечания Знак"/>
    <w:link w:val="afff3"/>
    <w:uiPriority w:val="99"/>
    <w:rsid w:val="007D07DB"/>
    <w:rPr>
      <w:rFonts w:eastAsia="Calibri"/>
    </w:rPr>
  </w:style>
  <w:style w:type="paragraph" w:styleId="afff5">
    <w:name w:val="annotation subject"/>
    <w:basedOn w:val="afff3"/>
    <w:next w:val="afff3"/>
    <w:link w:val="afff6"/>
    <w:uiPriority w:val="99"/>
    <w:rsid w:val="007D07DB"/>
    <w:rPr>
      <w:b/>
      <w:bCs/>
    </w:rPr>
  </w:style>
  <w:style w:type="character" w:customStyle="1" w:styleId="afff6">
    <w:name w:val="Тема примечания Знак"/>
    <w:link w:val="afff5"/>
    <w:uiPriority w:val="99"/>
    <w:rsid w:val="007D07DB"/>
    <w:rPr>
      <w:rFonts w:eastAsia="Calibri"/>
      <w:b/>
      <w:bCs/>
    </w:rPr>
  </w:style>
  <w:style w:type="character" w:customStyle="1" w:styleId="310">
    <w:name w:val="Заголовок 3 Знак1"/>
    <w:rsid w:val="007D07DB"/>
    <w:rPr>
      <w:b/>
      <w:i/>
      <w:sz w:val="24"/>
      <w:lang w:val="ru-RU" w:eastAsia="ru-RU"/>
    </w:rPr>
  </w:style>
  <w:style w:type="character" w:customStyle="1" w:styleId="FontStyle84">
    <w:name w:val="Font Style84"/>
    <w:rsid w:val="00497A90"/>
    <w:rPr>
      <w:rFonts w:ascii="Times New Roman" w:hAnsi="Times New Roman" w:cs="Times New Roman"/>
      <w:sz w:val="26"/>
      <w:szCs w:val="26"/>
    </w:rPr>
  </w:style>
  <w:style w:type="table" w:styleId="afff7">
    <w:name w:val="Table Grid"/>
    <w:basedOn w:val="a1"/>
    <w:uiPriority w:val="59"/>
    <w:rsid w:val="005C1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с отступом 22"/>
    <w:basedOn w:val="a"/>
    <w:uiPriority w:val="34"/>
    <w:qFormat/>
    <w:rsid w:val="00516C07"/>
    <w:pPr>
      <w:widowControl w:val="0"/>
      <w:suppressAutoHyphens/>
      <w:overflowPunct/>
      <w:autoSpaceDE/>
      <w:autoSpaceDN/>
      <w:adjustRightInd/>
      <w:ind w:left="0" w:right="0" w:firstLine="720"/>
      <w:textAlignment w:val="auto"/>
    </w:pPr>
    <w:rPr>
      <w:rFonts w:eastAsia="Times New Roman"/>
      <w:szCs w:val="24"/>
      <w:lang w:eastAsia="ar-SA"/>
    </w:rPr>
  </w:style>
  <w:style w:type="table" w:customStyle="1" w:styleId="1b">
    <w:name w:val="Сетка таблицы1"/>
    <w:basedOn w:val="a1"/>
    <w:uiPriority w:val="59"/>
    <w:locked/>
    <w:rsid w:val="00E076D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22"/>
    <w:basedOn w:val="a"/>
    <w:uiPriority w:val="34"/>
    <w:qFormat/>
    <w:rsid w:val="00C660A7"/>
    <w:pPr>
      <w:overflowPunct/>
      <w:autoSpaceDE/>
      <w:autoSpaceDN/>
      <w:adjustRightInd/>
      <w:spacing w:line="240" w:lineRule="auto"/>
      <w:ind w:left="0" w:right="0" w:firstLine="720"/>
      <w:textAlignment w:val="auto"/>
    </w:pPr>
    <w:rPr>
      <w:rFonts w:eastAsia="Times New Roman"/>
      <w:sz w:val="24"/>
      <w:szCs w:val="20"/>
    </w:rPr>
  </w:style>
  <w:style w:type="character" w:styleId="afff8">
    <w:name w:val="Emphasis"/>
    <w:uiPriority w:val="20"/>
    <w:qFormat/>
    <w:rsid w:val="00C660A7"/>
    <w:rPr>
      <w:i/>
      <w:iCs/>
    </w:rPr>
  </w:style>
  <w:style w:type="paragraph" w:customStyle="1" w:styleId="afff9">
    <w:name w:val="Заголовок статьи"/>
    <w:basedOn w:val="a"/>
    <w:next w:val="a"/>
    <w:uiPriority w:val="99"/>
    <w:qFormat/>
    <w:rsid w:val="00C660A7"/>
    <w:pPr>
      <w:overflowPunct/>
      <w:spacing w:line="240" w:lineRule="auto"/>
      <w:ind w:left="1612" w:right="0" w:hanging="892"/>
      <w:textAlignment w:val="auto"/>
    </w:pPr>
    <w:rPr>
      <w:rFonts w:ascii="Arial" w:eastAsia="Times New Roman" w:hAnsi="Arial"/>
      <w:sz w:val="20"/>
      <w:szCs w:val="20"/>
    </w:rPr>
  </w:style>
  <w:style w:type="paragraph" w:styleId="afffa">
    <w:name w:val="No Spacing"/>
    <w:uiPriority w:val="1"/>
    <w:qFormat/>
    <w:rsid w:val="00C660A7"/>
    <w:rPr>
      <w:rFonts w:eastAsia="Calibri"/>
      <w:sz w:val="28"/>
      <w:szCs w:val="22"/>
      <w:lang w:eastAsia="en-US"/>
    </w:rPr>
  </w:style>
  <w:style w:type="paragraph" w:customStyle="1" w:styleId="1c">
    <w:name w:val="1"/>
    <w:basedOn w:val="a"/>
    <w:uiPriority w:val="34"/>
    <w:qFormat/>
    <w:rsid w:val="00C660A7"/>
    <w:pPr>
      <w:overflowPunct/>
      <w:autoSpaceDE/>
      <w:autoSpaceDN/>
      <w:adjustRightInd/>
      <w:spacing w:line="240" w:lineRule="auto"/>
      <w:ind w:left="0" w:right="0" w:firstLine="0"/>
      <w:jc w:val="left"/>
      <w:textAlignment w:val="auto"/>
    </w:pPr>
    <w:rPr>
      <w:sz w:val="20"/>
      <w:szCs w:val="20"/>
    </w:rPr>
  </w:style>
  <w:style w:type="character" w:customStyle="1" w:styleId="FontStyle13">
    <w:name w:val="Font Style13"/>
    <w:rsid w:val="00C16336"/>
    <w:rPr>
      <w:rFonts w:ascii="Times New Roman" w:hAnsi="Times New Roman" w:cs="Times New Roman"/>
      <w:sz w:val="28"/>
      <w:szCs w:val="28"/>
    </w:rPr>
  </w:style>
  <w:style w:type="character" w:customStyle="1" w:styleId="1d">
    <w:name w:val="Текст примечания Знак1"/>
    <w:uiPriority w:val="99"/>
    <w:semiHidden/>
    <w:rsid w:val="00815C9B"/>
    <w:rPr>
      <w:rFonts w:eastAsia="Calibri"/>
    </w:rPr>
  </w:style>
  <w:style w:type="character" w:customStyle="1" w:styleId="1e">
    <w:name w:val="Подзаголовок Знак1"/>
    <w:rsid w:val="00815C9B"/>
    <w:rPr>
      <w:rFonts w:ascii="Cambria" w:eastAsia="Times New Roman" w:hAnsi="Cambria" w:cs="Times New Roman"/>
      <w:i/>
      <w:iCs/>
      <w:color w:val="4F81BD"/>
      <w:spacing w:val="15"/>
      <w:sz w:val="24"/>
      <w:szCs w:val="24"/>
    </w:rPr>
  </w:style>
  <w:style w:type="character" w:customStyle="1" w:styleId="2a">
    <w:name w:val="Основной текст (2)_"/>
    <w:link w:val="2b"/>
    <w:uiPriority w:val="99"/>
    <w:rsid w:val="00C32F14"/>
    <w:rPr>
      <w:shd w:val="clear" w:color="auto" w:fill="FFFFFF"/>
    </w:rPr>
  </w:style>
  <w:style w:type="character" w:customStyle="1" w:styleId="2105pt">
    <w:name w:val="Основной текст (2) + 10;5 pt"/>
    <w:rsid w:val="00C32F14"/>
    <w:rPr>
      <w:color w:val="000000"/>
      <w:spacing w:val="0"/>
      <w:w w:val="100"/>
      <w:position w:val="0"/>
      <w:sz w:val="21"/>
      <w:szCs w:val="21"/>
      <w:shd w:val="clear" w:color="auto" w:fill="FFFFFF"/>
      <w:lang w:val="ru-RU" w:eastAsia="ru-RU" w:bidi="ru-RU"/>
    </w:rPr>
  </w:style>
  <w:style w:type="character" w:customStyle="1" w:styleId="2105pt0pt">
    <w:name w:val="Основной текст (2) + 10;5 pt;Курсив;Интервал 0 pt"/>
    <w:rsid w:val="00C32F14"/>
    <w:rPr>
      <w:i/>
      <w:iCs/>
      <w:color w:val="000000"/>
      <w:spacing w:val="-10"/>
      <w:w w:val="100"/>
      <w:position w:val="0"/>
      <w:sz w:val="21"/>
      <w:szCs w:val="21"/>
      <w:shd w:val="clear" w:color="auto" w:fill="FFFFFF"/>
      <w:lang w:val="ru-RU" w:eastAsia="ru-RU" w:bidi="ru-RU"/>
    </w:rPr>
  </w:style>
  <w:style w:type="paragraph" w:customStyle="1" w:styleId="2b">
    <w:name w:val="Основной текст (2)"/>
    <w:basedOn w:val="a"/>
    <w:link w:val="2a"/>
    <w:uiPriority w:val="99"/>
    <w:qFormat/>
    <w:rsid w:val="00C32F14"/>
    <w:pPr>
      <w:widowControl w:val="0"/>
      <w:shd w:val="clear" w:color="auto" w:fill="FFFFFF"/>
      <w:overflowPunct/>
      <w:autoSpaceDE/>
      <w:autoSpaceDN/>
      <w:adjustRightInd/>
      <w:spacing w:line="240" w:lineRule="auto"/>
      <w:ind w:left="0" w:right="0" w:firstLine="0"/>
      <w:jc w:val="left"/>
      <w:textAlignment w:val="auto"/>
    </w:pPr>
    <w:rPr>
      <w:rFonts w:eastAsia="Times New Roman"/>
      <w:sz w:val="20"/>
      <w:szCs w:val="20"/>
    </w:rPr>
  </w:style>
  <w:style w:type="numbering" w:customStyle="1" w:styleId="1f">
    <w:name w:val="Нет списка1"/>
    <w:next w:val="a2"/>
    <w:uiPriority w:val="99"/>
    <w:semiHidden/>
    <w:unhideWhenUsed/>
    <w:rsid w:val="00E357F2"/>
  </w:style>
  <w:style w:type="table" w:customStyle="1" w:styleId="2c">
    <w:name w:val="Сетка таблицы2"/>
    <w:basedOn w:val="a1"/>
    <w:next w:val="afff7"/>
    <w:uiPriority w:val="59"/>
    <w:rsid w:val="00E35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locked/>
    <w:rsid w:val="00E357F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Default"/>
    <w:next w:val="Default"/>
    <w:uiPriority w:val="99"/>
    <w:qFormat/>
    <w:rsid w:val="00806C25"/>
    <w:pPr>
      <w:spacing w:line="488" w:lineRule="atLeast"/>
    </w:pPr>
    <w:rPr>
      <w:rFonts w:ascii="HiddenHorzOCl" w:hAnsi="HiddenHorzOCl"/>
      <w:color w:val="auto"/>
      <w:lang w:eastAsia="en-US"/>
    </w:rPr>
  </w:style>
  <w:style w:type="paragraph" w:styleId="afffb">
    <w:name w:val="Revision"/>
    <w:hidden/>
    <w:uiPriority w:val="99"/>
    <w:semiHidden/>
    <w:rsid w:val="00CB4C93"/>
    <w:rPr>
      <w:rFonts w:ascii="Calibri" w:eastAsia="Calibri" w:hAnsi="Calibri"/>
      <w:sz w:val="22"/>
      <w:szCs w:val="22"/>
      <w:lang w:eastAsia="en-US"/>
    </w:rPr>
  </w:style>
  <w:style w:type="table" w:customStyle="1" w:styleId="37">
    <w:name w:val="Сетка таблицы3"/>
    <w:basedOn w:val="a1"/>
    <w:next w:val="afff7"/>
    <w:uiPriority w:val="59"/>
    <w:rsid w:val="00582B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ff7"/>
    <w:uiPriority w:val="59"/>
    <w:rsid w:val="009E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Strong"/>
    <w:uiPriority w:val="22"/>
    <w:qFormat/>
    <w:rsid w:val="007B66A5"/>
    <w:rPr>
      <w:b/>
      <w:bCs/>
    </w:rPr>
  </w:style>
  <w:style w:type="character" w:customStyle="1" w:styleId="c91">
    <w:name w:val="c91"/>
    <w:rsid w:val="007B66A5"/>
    <w:rPr>
      <w:rFonts w:ascii="Times New Roman" w:hAnsi="Times New Roman" w:cs="Times New Roman" w:hint="default"/>
      <w:color w:val="000000"/>
      <w:sz w:val="22"/>
      <w:szCs w:val="22"/>
    </w:rPr>
  </w:style>
  <w:style w:type="paragraph" w:customStyle="1" w:styleId="xl145">
    <w:name w:val="xl145"/>
    <w:basedOn w:val="a"/>
    <w:uiPriority w:val="34"/>
    <w:qFormat/>
    <w:rsid w:val="007B66A5"/>
    <w:pPr>
      <w:overflowPunct/>
      <w:autoSpaceDE/>
      <w:autoSpaceDN/>
      <w:adjustRightInd/>
      <w:spacing w:before="100" w:beforeAutospacing="1" w:after="100" w:afterAutospacing="1" w:line="240" w:lineRule="auto"/>
      <w:ind w:left="0" w:right="0" w:firstLine="0"/>
      <w:jc w:val="left"/>
      <w:textAlignment w:val="center"/>
    </w:pPr>
    <w:rPr>
      <w:rFonts w:ascii="Times New Roman CYR" w:eastAsia="Times New Roman" w:hAnsi="Times New Roman CYR" w:cs="Times New Roman CYR"/>
      <w:sz w:val="22"/>
      <w:szCs w:val="22"/>
    </w:rPr>
  </w:style>
  <w:style w:type="paragraph" w:customStyle="1" w:styleId="xl146">
    <w:name w:val="xl146"/>
    <w:basedOn w:val="a"/>
    <w:uiPriority w:val="34"/>
    <w:qFormat/>
    <w:rsid w:val="007B66A5"/>
    <w:pPr>
      <w:overflowPunct/>
      <w:autoSpaceDE/>
      <w:autoSpaceDN/>
      <w:adjustRightInd/>
      <w:spacing w:before="100" w:beforeAutospacing="1" w:after="100" w:afterAutospacing="1" w:line="240" w:lineRule="auto"/>
      <w:ind w:left="0" w:right="0" w:firstLine="0"/>
      <w:jc w:val="left"/>
      <w:textAlignment w:val="center"/>
    </w:pPr>
    <w:rPr>
      <w:rFonts w:ascii="Times New Roman CYR" w:eastAsia="Times New Roman" w:hAnsi="Times New Roman CYR" w:cs="Times New Roman CYR"/>
      <w:sz w:val="22"/>
      <w:szCs w:val="22"/>
    </w:rPr>
  </w:style>
  <w:style w:type="paragraph" w:customStyle="1" w:styleId="xl147">
    <w:name w:val="xl147"/>
    <w:basedOn w:val="a"/>
    <w:uiPriority w:val="34"/>
    <w:qFormat/>
    <w:rsid w:val="007B66A5"/>
    <w:pP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22"/>
      <w:szCs w:val="22"/>
    </w:rPr>
  </w:style>
  <w:style w:type="paragraph" w:customStyle="1" w:styleId="xl148">
    <w:name w:val="xl148"/>
    <w:basedOn w:val="a"/>
    <w:uiPriority w:val="34"/>
    <w:qFormat/>
    <w:rsid w:val="007B66A5"/>
    <w:pPr>
      <w:overflowPunct/>
      <w:autoSpaceDE/>
      <w:autoSpaceDN/>
      <w:adjustRightInd/>
      <w:spacing w:before="100" w:beforeAutospacing="1" w:after="100" w:afterAutospacing="1" w:line="240" w:lineRule="auto"/>
      <w:ind w:left="0" w:right="0" w:firstLine="0"/>
      <w:jc w:val="right"/>
      <w:textAlignment w:val="center"/>
    </w:pPr>
    <w:rPr>
      <w:rFonts w:ascii="Times New Roman CYR" w:eastAsia="Times New Roman" w:hAnsi="Times New Roman CYR" w:cs="Times New Roman CYR"/>
      <w:sz w:val="22"/>
      <w:szCs w:val="22"/>
    </w:rPr>
  </w:style>
  <w:style w:type="paragraph" w:customStyle="1" w:styleId="xl149">
    <w:name w:val="xl149"/>
    <w:basedOn w:val="a"/>
    <w:uiPriority w:val="34"/>
    <w:qFormat/>
    <w:rsid w:val="007B66A5"/>
    <w:pPr>
      <w:overflowPunct/>
      <w:autoSpaceDE/>
      <w:autoSpaceDN/>
      <w:adjustRightInd/>
      <w:spacing w:before="100" w:beforeAutospacing="1" w:after="100" w:afterAutospacing="1" w:line="240" w:lineRule="auto"/>
      <w:ind w:left="0" w:right="0" w:firstLine="0"/>
      <w:jc w:val="left"/>
      <w:textAlignment w:val="auto"/>
    </w:pPr>
    <w:rPr>
      <w:rFonts w:eastAsia="Times New Roman"/>
      <w:b/>
      <w:bCs/>
      <w:sz w:val="24"/>
      <w:szCs w:val="24"/>
    </w:rPr>
  </w:style>
  <w:style w:type="paragraph" w:customStyle="1" w:styleId="xl150">
    <w:name w:val="xl150"/>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24"/>
      <w:szCs w:val="24"/>
    </w:rPr>
  </w:style>
  <w:style w:type="paragraph" w:customStyle="1" w:styleId="xl151">
    <w:name w:val="xl151"/>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52">
    <w:name w:val="xl152"/>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53">
    <w:name w:val="xl153"/>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54">
    <w:name w:val="xl154"/>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55">
    <w:name w:val="xl155"/>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6">
    <w:name w:val="xl156"/>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7">
    <w:name w:val="xl157"/>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58">
    <w:name w:val="xl158"/>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59">
    <w:name w:val="xl159"/>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60">
    <w:name w:val="xl160"/>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1">
    <w:name w:val="xl161"/>
    <w:basedOn w:val="a"/>
    <w:uiPriority w:val="34"/>
    <w:qFormat/>
    <w:rsid w:val="007B66A5"/>
    <w:pPr>
      <w:pBdr>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62">
    <w:name w:val="xl162"/>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3">
    <w:name w:val="xl163"/>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64">
    <w:name w:val="xl164"/>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5">
    <w:name w:val="xl165"/>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66">
    <w:name w:val="xl166"/>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67">
    <w:name w:val="xl167"/>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14"/>
      <w:szCs w:val="14"/>
    </w:rPr>
  </w:style>
  <w:style w:type="paragraph" w:customStyle="1" w:styleId="xl168">
    <w:name w:val="xl168"/>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69">
    <w:name w:val="xl169"/>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70">
    <w:name w:val="xl170"/>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71">
    <w:name w:val="xl171"/>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table" w:customStyle="1" w:styleId="50">
    <w:name w:val="Сетка таблицы5"/>
    <w:basedOn w:val="a1"/>
    <w:next w:val="afff7"/>
    <w:uiPriority w:val="59"/>
    <w:rsid w:val="007B6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2"/>
    <w:uiPriority w:val="99"/>
    <w:semiHidden/>
    <w:unhideWhenUsed/>
    <w:rsid w:val="007B66A5"/>
  </w:style>
  <w:style w:type="paragraph" w:customStyle="1" w:styleId="xl172">
    <w:name w:val="xl172"/>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73">
    <w:name w:val="xl173"/>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74">
    <w:name w:val="xl174"/>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left"/>
      <w:textAlignment w:val="center"/>
    </w:pPr>
    <w:rPr>
      <w:rFonts w:eastAsia="Times New Roman"/>
      <w:sz w:val="14"/>
      <w:szCs w:val="14"/>
    </w:rPr>
  </w:style>
  <w:style w:type="paragraph" w:customStyle="1" w:styleId="xl175">
    <w:name w:val="xl175"/>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b/>
      <w:bCs/>
      <w:sz w:val="14"/>
      <w:szCs w:val="14"/>
    </w:rPr>
  </w:style>
  <w:style w:type="paragraph" w:customStyle="1" w:styleId="xl176">
    <w:name w:val="xl176"/>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eastAsia="Times New Roman"/>
      <w:sz w:val="14"/>
      <w:szCs w:val="14"/>
    </w:rPr>
  </w:style>
  <w:style w:type="paragraph" w:customStyle="1" w:styleId="xl177">
    <w:name w:val="xl177"/>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18"/>
      <w:szCs w:val="18"/>
    </w:rPr>
  </w:style>
  <w:style w:type="paragraph" w:customStyle="1" w:styleId="xl178">
    <w:name w:val="xl178"/>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textAlignment w:val="center"/>
    </w:pPr>
    <w:rPr>
      <w:rFonts w:ascii="Times New Roman CYR" w:eastAsia="Times New Roman" w:hAnsi="Times New Roman CYR" w:cs="Times New Roman CYR"/>
      <w:sz w:val="14"/>
      <w:szCs w:val="14"/>
    </w:rPr>
  </w:style>
  <w:style w:type="paragraph" w:customStyle="1" w:styleId="xl179">
    <w:name w:val="xl179"/>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0">
    <w:name w:val="xl180"/>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1">
    <w:name w:val="xl181"/>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sz w:val="14"/>
      <w:szCs w:val="14"/>
    </w:rPr>
  </w:style>
  <w:style w:type="paragraph" w:customStyle="1" w:styleId="xl182">
    <w:name w:val="xl182"/>
    <w:basedOn w:val="a"/>
    <w:uiPriority w:val="34"/>
    <w:qFormat/>
    <w:rsid w:val="007B66A5"/>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line="240" w:lineRule="auto"/>
      <w:ind w:left="0" w:right="0" w:firstLine="0"/>
      <w:jc w:val="right"/>
      <w:textAlignment w:val="center"/>
    </w:pPr>
    <w:rPr>
      <w:rFonts w:eastAsia="Times New Roman"/>
      <w:color w:val="FFFFFF"/>
      <w:sz w:val="14"/>
      <w:szCs w:val="14"/>
    </w:rPr>
  </w:style>
  <w:style w:type="paragraph" w:customStyle="1" w:styleId="xl183">
    <w:name w:val="xl183"/>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right"/>
      <w:textAlignment w:val="center"/>
    </w:pPr>
    <w:rPr>
      <w:rFonts w:eastAsia="Times New Roman"/>
      <w:b/>
      <w:bCs/>
      <w:sz w:val="14"/>
      <w:szCs w:val="14"/>
    </w:rPr>
  </w:style>
  <w:style w:type="paragraph" w:customStyle="1" w:styleId="xl184">
    <w:name w:val="xl184"/>
    <w:basedOn w:val="a"/>
    <w:uiPriority w:val="34"/>
    <w:qFormat/>
    <w:rsid w:val="007B66A5"/>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5">
    <w:name w:val="xl185"/>
    <w:basedOn w:val="a"/>
    <w:uiPriority w:val="34"/>
    <w:qFormat/>
    <w:rsid w:val="007B66A5"/>
    <w:pPr>
      <w:pBdr>
        <w:top w:val="single" w:sz="4" w:space="0" w:color="auto"/>
        <w:left w:val="single" w:sz="4" w:space="0" w:color="auto"/>
        <w:bottom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6">
    <w:name w:val="xl186"/>
    <w:basedOn w:val="a"/>
    <w:uiPriority w:val="34"/>
    <w:qFormat/>
    <w:rsid w:val="007B66A5"/>
    <w:pPr>
      <w:pBdr>
        <w:top w:val="single" w:sz="4" w:space="0" w:color="auto"/>
        <w:bottom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xl187">
    <w:name w:val="xl187"/>
    <w:basedOn w:val="a"/>
    <w:uiPriority w:val="34"/>
    <w:qFormat/>
    <w:rsid w:val="007B66A5"/>
    <w:pPr>
      <w:pBdr>
        <w:top w:val="single" w:sz="4" w:space="0" w:color="auto"/>
        <w:bottom w:val="single" w:sz="4" w:space="0" w:color="auto"/>
        <w:right w:val="single" w:sz="4" w:space="0" w:color="auto"/>
      </w:pBdr>
      <w:overflowPunct/>
      <w:autoSpaceDE/>
      <w:autoSpaceDN/>
      <w:adjustRightInd/>
      <w:spacing w:before="100" w:beforeAutospacing="1" w:after="100" w:afterAutospacing="1" w:line="240" w:lineRule="auto"/>
      <w:ind w:left="0" w:right="0" w:firstLine="0"/>
      <w:jc w:val="center"/>
      <w:textAlignment w:val="center"/>
    </w:pPr>
    <w:rPr>
      <w:rFonts w:ascii="Times New Roman CYR" w:eastAsia="Times New Roman" w:hAnsi="Times New Roman CYR" w:cs="Times New Roman CYR"/>
      <w:sz w:val="22"/>
      <w:szCs w:val="22"/>
    </w:rPr>
  </w:style>
  <w:style w:type="paragraph" w:customStyle="1" w:styleId="CM19">
    <w:name w:val="CM19"/>
    <w:basedOn w:val="Default"/>
    <w:next w:val="Default"/>
    <w:uiPriority w:val="99"/>
    <w:qFormat/>
    <w:rsid w:val="007B66A5"/>
    <w:rPr>
      <w:rFonts w:ascii="Arial" w:hAnsi="Arial" w:cs="Arial"/>
      <w:color w:val="auto"/>
      <w:lang w:eastAsia="en-US"/>
    </w:rPr>
  </w:style>
  <w:style w:type="paragraph" w:customStyle="1" w:styleId="CM28">
    <w:name w:val="CM28"/>
    <w:basedOn w:val="Default"/>
    <w:next w:val="Default"/>
    <w:uiPriority w:val="99"/>
    <w:qFormat/>
    <w:rsid w:val="007B66A5"/>
    <w:rPr>
      <w:rFonts w:ascii="Arial" w:hAnsi="Arial" w:cs="Arial"/>
      <w:color w:val="auto"/>
      <w:lang w:eastAsia="en-US"/>
    </w:rPr>
  </w:style>
  <w:style w:type="character" w:customStyle="1" w:styleId="aff7">
    <w:name w:val="Абзац списка Знак"/>
    <w:aliases w:val="A_маркированный_список Знак"/>
    <w:link w:val="aff6"/>
    <w:uiPriority w:val="34"/>
    <w:locked/>
    <w:rsid w:val="007B66A5"/>
    <w:rPr>
      <w:sz w:val="28"/>
      <w:szCs w:val="28"/>
    </w:rPr>
  </w:style>
  <w:style w:type="numbering" w:customStyle="1" w:styleId="38">
    <w:name w:val="Нет списка3"/>
    <w:next w:val="a2"/>
    <w:uiPriority w:val="99"/>
    <w:semiHidden/>
    <w:unhideWhenUsed/>
    <w:rsid w:val="007B66A5"/>
  </w:style>
  <w:style w:type="numbering" w:customStyle="1" w:styleId="113">
    <w:name w:val="Нет списка11"/>
    <w:next w:val="a2"/>
    <w:uiPriority w:val="99"/>
    <w:semiHidden/>
    <w:unhideWhenUsed/>
    <w:rsid w:val="007B66A5"/>
  </w:style>
  <w:style w:type="numbering" w:customStyle="1" w:styleId="1110">
    <w:name w:val="Нет списка111"/>
    <w:next w:val="a2"/>
    <w:uiPriority w:val="99"/>
    <w:semiHidden/>
    <w:unhideWhenUsed/>
    <w:rsid w:val="007B66A5"/>
  </w:style>
  <w:style w:type="numbering" w:customStyle="1" w:styleId="211">
    <w:name w:val="Нет списка21"/>
    <w:next w:val="a2"/>
    <w:uiPriority w:val="99"/>
    <w:semiHidden/>
    <w:unhideWhenUsed/>
    <w:rsid w:val="007B66A5"/>
  </w:style>
  <w:style w:type="character" w:customStyle="1" w:styleId="2e">
    <w:name w:val="Основной текст (2) + Полужирный"/>
    <w:rsid w:val="007B66A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111">
    <w:name w:val="Нет списка1111"/>
    <w:next w:val="a2"/>
    <w:uiPriority w:val="99"/>
    <w:semiHidden/>
    <w:unhideWhenUsed/>
    <w:rsid w:val="007B66A5"/>
  </w:style>
  <w:style w:type="paragraph" w:customStyle="1" w:styleId="2f">
    <w:name w:val="Абзац списка2"/>
    <w:basedOn w:val="a"/>
    <w:uiPriority w:val="34"/>
    <w:qFormat/>
    <w:rsid w:val="007B66A5"/>
    <w:pPr>
      <w:overflowPunct/>
      <w:autoSpaceDE/>
      <w:autoSpaceDN/>
      <w:adjustRightInd/>
      <w:spacing w:after="200" w:line="276" w:lineRule="auto"/>
      <w:ind w:left="720" w:right="0" w:firstLine="0"/>
      <w:jc w:val="left"/>
      <w:textAlignment w:val="auto"/>
    </w:pPr>
    <w:rPr>
      <w:rFonts w:ascii="Calibri" w:eastAsia="Times New Roman" w:hAnsi="Calibri" w:cs="Calibri"/>
      <w:sz w:val="22"/>
      <w:szCs w:val="22"/>
      <w:lang w:eastAsia="en-US"/>
    </w:rPr>
  </w:style>
  <w:style w:type="paragraph" w:customStyle="1" w:styleId="afffd">
    <w:name w:val="Письмо"/>
    <w:basedOn w:val="a"/>
    <w:uiPriority w:val="34"/>
    <w:qFormat/>
    <w:rsid w:val="007B66A5"/>
    <w:pPr>
      <w:overflowPunct/>
      <w:autoSpaceDE/>
      <w:autoSpaceDN/>
      <w:adjustRightInd/>
      <w:ind w:left="0" w:right="0" w:firstLine="720"/>
      <w:textAlignment w:val="auto"/>
    </w:pPr>
    <w:rPr>
      <w:rFonts w:eastAsia="Times New Roman"/>
      <w:szCs w:val="20"/>
    </w:rPr>
  </w:style>
  <w:style w:type="paragraph" w:customStyle="1" w:styleId="CM8">
    <w:name w:val="CM8"/>
    <w:basedOn w:val="Default"/>
    <w:next w:val="Default"/>
    <w:uiPriority w:val="99"/>
    <w:qFormat/>
    <w:rsid w:val="007B66A5"/>
    <w:rPr>
      <w:rFonts w:ascii="HiddenHorzOCl" w:eastAsia="Times New Roman" w:hAnsi="HiddenHorzOCl"/>
      <w:color w:val="auto"/>
    </w:rPr>
  </w:style>
  <w:style w:type="paragraph" w:styleId="afffe">
    <w:name w:val="endnote text"/>
    <w:basedOn w:val="a"/>
    <w:link w:val="affff"/>
    <w:uiPriority w:val="99"/>
    <w:unhideWhenUsed/>
    <w:rsid w:val="007B66A5"/>
    <w:pPr>
      <w:spacing w:line="240" w:lineRule="auto"/>
    </w:pPr>
    <w:rPr>
      <w:sz w:val="20"/>
      <w:szCs w:val="20"/>
    </w:rPr>
  </w:style>
  <w:style w:type="character" w:customStyle="1" w:styleId="affff">
    <w:name w:val="Текст концевой сноски Знак"/>
    <w:link w:val="afffe"/>
    <w:uiPriority w:val="99"/>
    <w:rsid w:val="007B66A5"/>
    <w:rPr>
      <w:rFonts w:eastAsia="Calibri"/>
    </w:rPr>
  </w:style>
  <w:style w:type="character" w:styleId="affff0">
    <w:name w:val="endnote reference"/>
    <w:uiPriority w:val="99"/>
    <w:unhideWhenUsed/>
    <w:rsid w:val="007B66A5"/>
    <w:rPr>
      <w:vertAlign w:val="superscript"/>
    </w:rPr>
  </w:style>
  <w:style w:type="character" w:customStyle="1" w:styleId="61">
    <w:name w:val="Основной текст (6)_"/>
    <w:link w:val="62"/>
    <w:rsid w:val="007B66A5"/>
    <w:rPr>
      <w:sz w:val="28"/>
      <w:szCs w:val="28"/>
      <w:shd w:val="clear" w:color="auto" w:fill="FFFFFF"/>
    </w:rPr>
  </w:style>
  <w:style w:type="paragraph" w:customStyle="1" w:styleId="62">
    <w:name w:val="Основной текст (6)"/>
    <w:basedOn w:val="a"/>
    <w:link w:val="61"/>
    <w:qFormat/>
    <w:rsid w:val="007B66A5"/>
    <w:pPr>
      <w:widowControl w:val="0"/>
      <w:shd w:val="clear" w:color="auto" w:fill="FFFFFF"/>
      <w:overflowPunct/>
      <w:autoSpaceDE/>
      <w:autoSpaceDN/>
      <w:adjustRightInd/>
      <w:spacing w:line="367" w:lineRule="exact"/>
      <w:ind w:left="0" w:right="0" w:firstLine="0"/>
      <w:textAlignment w:val="auto"/>
    </w:pPr>
    <w:rPr>
      <w:rFonts w:eastAsia="Times New Roman"/>
    </w:rPr>
  </w:style>
  <w:style w:type="character" w:customStyle="1" w:styleId="43">
    <w:name w:val="Основной текст (4)_"/>
    <w:link w:val="44"/>
    <w:rsid w:val="007B66A5"/>
    <w:rPr>
      <w:shd w:val="clear" w:color="auto" w:fill="FFFFFF"/>
    </w:rPr>
  </w:style>
  <w:style w:type="paragraph" w:customStyle="1" w:styleId="44">
    <w:name w:val="Основной текст (4)"/>
    <w:basedOn w:val="a"/>
    <w:link w:val="43"/>
    <w:qFormat/>
    <w:rsid w:val="007B66A5"/>
    <w:pPr>
      <w:widowControl w:val="0"/>
      <w:shd w:val="clear" w:color="auto" w:fill="FFFFFF"/>
      <w:overflowPunct/>
      <w:autoSpaceDE/>
      <w:autoSpaceDN/>
      <w:adjustRightInd/>
      <w:spacing w:line="413" w:lineRule="exact"/>
      <w:ind w:left="0" w:right="0" w:firstLine="740"/>
      <w:textAlignment w:val="auto"/>
    </w:pPr>
    <w:rPr>
      <w:rFonts w:eastAsia="Times New Roman"/>
      <w:sz w:val="20"/>
      <w:szCs w:val="20"/>
    </w:rPr>
  </w:style>
  <w:style w:type="numbering" w:customStyle="1" w:styleId="45">
    <w:name w:val="Нет списка4"/>
    <w:next w:val="a2"/>
    <w:uiPriority w:val="99"/>
    <w:semiHidden/>
    <w:unhideWhenUsed/>
    <w:rsid w:val="007B66A5"/>
  </w:style>
  <w:style w:type="table" w:customStyle="1" w:styleId="63">
    <w:name w:val="Сетка таблицы6"/>
    <w:basedOn w:val="a1"/>
    <w:next w:val="afff7"/>
    <w:uiPriority w:val="59"/>
    <w:rsid w:val="007B66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Normal Indent"/>
    <w:basedOn w:val="a"/>
    <w:uiPriority w:val="99"/>
    <w:rsid w:val="007B66A5"/>
    <w:pPr>
      <w:overflowPunct/>
      <w:autoSpaceDE/>
      <w:autoSpaceDN/>
      <w:adjustRightInd/>
      <w:ind w:left="0" w:right="0" w:firstLine="624"/>
      <w:textAlignment w:val="auto"/>
    </w:pPr>
    <w:rPr>
      <w:rFonts w:eastAsia="Times New Roman"/>
      <w:szCs w:val="20"/>
      <w:lang w:eastAsia="en-US"/>
    </w:rPr>
  </w:style>
  <w:style w:type="paragraph" w:styleId="affff2">
    <w:name w:val="Plain Text"/>
    <w:aliases w:val="Знак2, Знак2 Знак"/>
    <w:basedOn w:val="a"/>
    <w:link w:val="affff3"/>
    <w:uiPriority w:val="99"/>
    <w:rsid w:val="007B66A5"/>
    <w:pPr>
      <w:overflowPunct/>
      <w:autoSpaceDE/>
      <w:autoSpaceDN/>
      <w:adjustRightInd/>
      <w:spacing w:line="240" w:lineRule="auto"/>
      <w:ind w:left="0" w:right="0" w:firstLine="0"/>
      <w:jc w:val="left"/>
      <w:textAlignment w:val="auto"/>
    </w:pPr>
    <w:rPr>
      <w:rFonts w:ascii="Courier New" w:eastAsia="Times New Roman" w:hAnsi="Courier New"/>
      <w:sz w:val="20"/>
      <w:szCs w:val="20"/>
    </w:rPr>
  </w:style>
  <w:style w:type="character" w:customStyle="1" w:styleId="affff3">
    <w:name w:val="Текст Знак"/>
    <w:aliases w:val="Знак2 Знак, Знак2 Знак Знак"/>
    <w:link w:val="affff2"/>
    <w:uiPriority w:val="99"/>
    <w:rsid w:val="007B66A5"/>
    <w:rPr>
      <w:rFonts w:ascii="Courier New" w:hAnsi="Courier New"/>
    </w:rPr>
  </w:style>
  <w:style w:type="paragraph" w:customStyle="1" w:styleId="p11">
    <w:name w:val="p11"/>
    <w:basedOn w:val="a"/>
    <w:qFormat/>
    <w:rsid w:val="007B66A5"/>
    <w:pPr>
      <w:overflowPunct/>
      <w:autoSpaceDE/>
      <w:autoSpaceDN/>
      <w:adjustRightInd/>
      <w:spacing w:before="100" w:beforeAutospacing="1" w:after="100" w:afterAutospacing="1" w:line="240" w:lineRule="auto"/>
      <w:ind w:left="0" w:right="0" w:firstLine="708"/>
      <w:textAlignment w:val="auto"/>
    </w:pPr>
    <w:rPr>
      <w:rFonts w:eastAsia="Times New Roman"/>
    </w:rPr>
  </w:style>
  <w:style w:type="paragraph" w:styleId="39">
    <w:name w:val="Body Text 3"/>
    <w:basedOn w:val="a"/>
    <w:link w:val="3a"/>
    <w:uiPriority w:val="99"/>
    <w:unhideWhenUsed/>
    <w:rsid w:val="007B66A5"/>
    <w:pPr>
      <w:overflowPunct/>
      <w:autoSpaceDE/>
      <w:autoSpaceDN/>
      <w:adjustRightInd/>
      <w:spacing w:after="120" w:line="276" w:lineRule="auto"/>
      <w:ind w:left="0" w:right="0" w:firstLine="0"/>
      <w:jc w:val="left"/>
      <w:textAlignment w:val="auto"/>
    </w:pPr>
    <w:rPr>
      <w:rFonts w:ascii="Calibri" w:hAnsi="Calibri"/>
      <w:sz w:val="16"/>
      <w:szCs w:val="16"/>
      <w:lang w:eastAsia="en-US"/>
    </w:rPr>
  </w:style>
  <w:style w:type="character" w:customStyle="1" w:styleId="3a">
    <w:name w:val="Основной текст 3 Знак"/>
    <w:link w:val="39"/>
    <w:uiPriority w:val="99"/>
    <w:rsid w:val="007B66A5"/>
    <w:rPr>
      <w:rFonts w:ascii="Calibri" w:eastAsia="Calibri" w:hAnsi="Calibri" w:cs="Times New Roman"/>
      <w:sz w:val="16"/>
      <w:szCs w:val="16"/>
      <w:lang w:eastAsia="en-US"/>
    </w:rPr>
  </w:style>
  <w:style w:type="numbering" w:customStyle="1" w:styleId="51">
    <w:name w:val="Нет списка5"/>
    <w:next w:val="a2"/>
    <w:uiPriority w:val="99"/>
    <w:semiHidden/>
    <w:unhideWhenUsed/>
    <w:rsid w:val="007B66A5"/>
  </w:style>
  <w:style w:type="table" w:customStyle="1" w:styleId="7">
    <w:name w:val="Сетка таблицы7"/>
    <w:basedOn w:val="a1"/>
    <w:next w:val="afff7"/>
    <w:uiPriority w:val="59"/>
    <w:rsid w:val="007B66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ff7"/>
    <w:uiPriority w:val="59"/>
    <w:locked/>
    <w:rsid w:val="007B66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linelead6">
    <w:name w:val="headline_lead6"/>
    <w:rsid w:val="000A5E72"/>
    <w:rPr>
      <w:rFonts w:ascii="Arial" w:hAnsi="Arial" w:cs="Arial" w:hint="default"/>
      <w:color w:val="505050"/>
      <w:sz w:val="20"/>
      <w:szCs w:val="20"/>
    </w:rPr>
  </w:style>
  <w:style w:type="character" w:customStyle="1" w:styleId="1f0">
    <w:name w:val="Текст сноски Знак1"/>
    <w:aliases w:val="Table_Footnote_last Знак1,Текст сноски-FN Знак1,Oaeno niinee-FN Знак1,Oaeno niinee Ciae Знак1,Текст сноски Знак Знак Знак2,Текст сноски Знак Знак Знак Знак1,F1 Знак1,Footnote Text Char Знак Знак Знак1,Footnote Text Char Знак Знак2"/>
    <w:uiPriority w:val="99"/>
    <w:semiHidden/>
    <w:rsid w:val="00255548"/>
    <w:rPr>
      <w:rFonts w:eastAsia="Calibri"/>
    </w:rPr>
  </w:style>
  <w:style w:type="character" w:customStyle="1" w:styleId="1f1">
    <w:name w:val="Основной текст с отступом Знак1"/>
    <w:aliases w:val="Надин стиль Знак1,Основной текст 1 Знак1,Нумерованный список !! Знак1,Iniiaiie oaeno 1 Знак1,Ioia?iaaiiue nienie !! Знак1,Iaaei noeeu Знак1,Основной текст без отступа Знак1"/>
    <w:semiHidden/>
    <w:rsid w:val="00255548"/>
    <w:rPr>
      <w:rFonts w:eastAsia="Calibri"/>
      <w:sz w:val="28"/>
      <w:szCs w:val="28"/>
    </w:rPr>
  </w:style>
  <w:style w:type="character" w:customStyle="1" w:styleId="311">
    <w:name w:val="Основной текст с отступом 3 Знак1"/>
    <w:semiHidden/>
    <w:rsid w:val="00255548"/>
    <w:rPr>
      <w:rFonts w:eastAsia="Calibri"/>
      <w:sz w:val="16"/>
      <w:szCs w:val="16"/>
    </w:rPr>
  </w:style>
  <w:style w:type="character" w:customStyle="1" w:styleId="212">
    <w:name w:val="Основной текст с отступом 2 Знак1"/>
    <w:semiHidden/>
    <w:rsid w:val="00255548"/>
    <w:rPr>
      <w:rFonts w:eastAsia="Calibri"/>
      <w:sz w:val="28"/>
      <w:szCs w:val="28"/>
    </w:rPr>
  </w:style>
  <w:style w:type="character" w:customStyle="1" w:styleId="213">
    <w:name w:val="Основной текст 2 Знак1"/>
    <w:uiPriority w:val="99"/>
    <w:semiHidden/>
    <w:rsid w:val="00255548"/>
    <w:rPr>
      <w:rFonts w:eastAsia="Calibri"/>
      <w:sz w:val="28"/>
      <w:szCs w:val="28"/>
    </w:rPr>
  </w:style>
  <w:style w:type="character" w:customStyle="1" w:styleId="1f2">
    <w:name w:val="Верхний колонтитул Знак1"/>
    <w:uiPriority w:val="99"/>
    <w:semiHidden/>
    <w:rsid w:val="00255548"/>
    <w:rPr>
      <w:rFonts w:eastAsia="Calibri"/>
      <w:sz w:val="28"/>
      <w:szCs w:val="28"/>
    </w:rPr>
  </w:style>
  <w:style w:type="character" w:customStyle="1" w:styleId="1f3">
    <w:name w:val="Текст выноски Знак1"/>
    <w:uiPriority w:val="99"/>
    <w:semiHidden/>
    <w:rsid w:val="00255548"/>
    <w:rPr>
      <w:rFonts w:ascii="Tahoma" w:eastAsia="Calibri" w:hAnsi="Tahoma" w:cs="Tahoma"/>
      <w:sz w:val="16"/>
      <w:szCs w:val="16"/>
    </w:rPr>
  </w:style>
  <w:style w:type="character" w:customStyle="1" w:styleId="1f4">
    <w:name w:val="Нижний колонтитул Знак1"/>
    <w:uiPriority w:val="99"/>
    <w:semiHidden/>
    <w:rsid w:val="00255548"/>
    <w:rPr>
      <w:rFonts w:eastAsia="Calibri"/>
      <w:sz w:val="28"/>
      <w:szCs w:val="28"/>
    </w:rPr>
  </w:style>
  <w:style w:type="character" w:customStyle="1" w:styleId="1f5">
    <w:name w:val="Красная строка Знак1"/>
    <w:semiHidden/>
    <w:rsid w:val="00255548"/>
    <w:rPr>
      <w:rFonts w:eastAsia="Calibri" w:cs="Times New Roman"/>
      <w:sz w:val="28"/>
      <w:szCs w:val="28"/>
      <w:lang w:eastAsia="ru-RU"/>
    </w:rPr>
  </w:style>
  <w:style w:type="character" w:customStyle="1" w:styleId="1f6">
    <w:name w:val="Тема примечания Знак1"/>
    <w:semiHidden/>
    <w:rsid w:val="00255548"/>
    <w:rPr>
      <w:rFonts w:eastAsia="Calibri"/>
      <w:b/>
      <w:bCs/>
    </w:rPr>
  </w:style>
  <w:style w:type="character" w:customStyle="1" w:styleId="2100">
    <w:name w:val="Основной текст (2) + 10"/>
    <w:aliases w:val="5 pt"/>
    <w:rsid w:val="00255548"/>
    <w:rPr>
      <w:i/>
      <w:iCs/>
      <w:color w:val="000000"/>
      <w:spacing w:val="-10"/>
      <w:w w:val="100"/>
      <w:position w:val="0"/>
      <w:sz w:val="21"/>
      <w:szCs w:val="21"/>
      <w:shd w:val="clear" w:color="auto" w:fill="FFFFFF"/>
      <w:lang w:val="ru-RU" w:eastAsia="ru-RU" w:bidi="ru-RU"/>
    </w:rPr>
  </w:style>
  <w:style w:type="character" w:customStyle="1" w:styleId="1f7">
    <w:name w:val="Текст концевой сноски Знак1"/>
    <w:uiPriority w:val="99"/>
    <w:semiHidden/>
    <w:rsid w:val="00255548"/>
    <w:rPr>
      <w:rFonts w:eastAsia="Calibri"/>
    </w:rPr>
  </w:style>
  <w:style w:type="character" w:customStyle="1" w:styleId="1f8">
    <w:name w:val="Текст Знак1"/>
    <w:semiHidden/>
    <w:rsid w:val="00255548"/>
    <w:rPr>
      <w:rFonts w:ascii="Consolas" w:eastAsia="Calibri" w:hAnsi="Consolas" w:cs="Consolas"/>
      <w:sz w:val="21"/>
      <w:szCs w:val="21"/>
    </w:rPr>
  </w:style>
  <w:style w:type="character" w:customStyle="1" w:styleId="312">
    <w:name w:val="Основной текст 3 Знак1"/>
    <w:uiPriority w:val="99"/>
    <w:semiHidden/>
    <w:rsid w:val="00255548"/>
    <w:rPr>
      <w:rFonts w:eastAsia="Calibri"/>
      <w:sz w:val="16"/>
      <w:szCs w:val="16"/>
    </w:rPr>
  </w:style>
  <w:style w:type="numbering" w:customStyle="1" w:styleId="122">
    <w:name w:val="Нет списка12"/>
    <w:next w:val="a2"/>
    <w:uiPriority w:val="99"/>
    <w:semiHidden/>
    <w:unhideWhenUsed/>
    <w:rsid w:val="009B4DDC"/>
  </w:style>
  <w:style w:type="table" w:customStyle="1" w:styleId="214">
    <w:name w:val="Сетка таблицы21"/>
    <w:basedOn w:val="a1"/>
    <w:next w:val="afff7"/>
    <w:uiPriority w:val="59"/>
    <w:rsid w:val="009B4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uiPriority w:val="59"/>
    <w:locked/>
    <w:rsid w:val="009B4DD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1"/>
    <w:next w:val="afff7"/>
    <w:uiPriority w:val="59"/>
    <w:rsid w:val="009B4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ff7"/>
    <w:uiPriority w:val="59"/>
    <w:rsid w:val="009B4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f7"/>
    <w:uiPriority w:val="59"/>
    <w:rsid w:val="009B4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2"/>
    <w:uiPriority w:val="99"/>
    <w:semiHidden/>
    <w:unhideWhenUsed/>
    <w:rsid w:val="009B4DDC"/>
  </w:style>
  <w:style w:type="numbering" w:customStyle="1" w:styleId="314">
    <w:name w:val="Нет списка31"/>
    <w:next w:val="a2"/>
    <w:uiPriority w:val="99"/>
    <w:semiHidden/>
    <w:unhideWhenUsed/>
    <w:rsid w:val="009B4DDC"/>
  </w:style>
  <w:style w:type="numbering" w:customStyle="1" w:styleId="1120">
    <w:name w:val="Нет списка112"/>
    <w:next w:val="a2"/>
    <w:uiPriority w:val="99"/>
    <w:semiHidden/>
    <w:unhideWhenUsed/>
    <w:rsid w:val="009B4DDC"/>
  </w:style>
  <w:style w:type="numbering" w:customStyle="1" w:styleId="11120">
    <w:name w:val="Нет списка1112"/>
    <w:next w:val="a2"/>
    <w:uiPriority w:val="99"/>
    <w:semiHidden/>
    <w:unhideWhenUsed/>
    <w:rsid w:val="009B4DDC"/>
  </w:style>
  <w:style w:type="numbering" w:customStyle="1" w:styleId="2110">
    <w:name w:val="Нет списка211"/>
    <w:next w:val="a2"/>
    <w:uiPriority w:val="99"/>
    <w:semiHidden/>
    <w:unhideWhenUsed/>
    <w:rsid w:val="009B4DDC"/>
  </w:style>
  <w:style w:type="numbering" w:customStyle="1" w:styleId="11111">
    <w:name w:val="Нет списка11111"/>
    <w:next w:val="a2"/>
    <w:uiPriority w:val="99"/>
    <w:semiHidden/>
    <w:unhideWhenUsed/>
    <w:rsid w:val="009B4DDC"/>
  </w:style>
  <w:style w:type="numbering" w:customStyle="1" w:styleId="411">
    <w:name w:val="Нет списка41"/>
    <w:next w:val="a2"/>
    <w:uiPriority w:val="99"/>
    <w:semiHidden/>
    <w:unhideWhenUsed/>
    <w:rsid w:val="009B4DDC"/>
  </w:style>
  <w:style w:type="table" w:customStyle="1" w:styleId="610">
    <w:name w:val="Сетка таблицы61"/>
    <w:basedOn w:val="a1"/>
    <w:next w:val="afff7"/>
    <w:uiPriority w:val="59"/>
    <w:rsid w:val="009B4D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ff7"/>
    <w:uiPriority w:val="59"/>
    <w:locked/>
    <w:rsid w:val="009B4DD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2"/>
    <w:uiPriority w:val="99"/>
    <w:semiHidden/>
    <w:unhideWhenUsed/>
    <w:rsid w:val="009B4DDC"/>
  </w:style>
  <w:style w:type="numbering" w:customStyle="1" w:styleId="70">
    <w:name w:val="Нет списка7"/>
    <w:next w:val="a2"/>
    <w:uiPriority w:val="99"/>
    <w:semiHidden/>
    <w:unhideWhenUsed/>
    <w:rsid w:val="009B4DDC"/>
  </w:style>
  <w:style w:type="numbering" w:customStyle="1" w:styleId="8">
    <w:name w:val="Нет списка8"/>
    <w:next w:val="a2"/>
    <w:uiPriority w:val="99"/>
    <w:semiHidden/>
    <w:unhideWhenUsed/>
    <w:rsid w:val="009B4DDC"/>
  </w:style>
  <w:style w:type="table" w:customStyle="1" w:styleId="80">
    <w:name w:val="Сетка таблицы8"/>
    <w:basedOn w:val="a1"/>
    <w:next w:val="afff7"/>
    <w:uiPriority w:val="59"/>
    <w:rsid w:val="009B4D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
    <w:name w:val="Нет списка9"/>
    <w:next w:val="a2"/>
    <w:uiPriority w:val="99"/>
    <w:semiHidden/>
    <w:unhideWhenUsed/>
    <w:rsid w:val="009B4DDC"/>
  </w:style>
  <w:style w:type="table" w:customStyle="1" w:styleId="90">
    <w:name w:val="Сетка таблицы9"/>
    <w:basedOn w:val="a1"/>
    <w:next w:val="afff7"/>
    <w:uiPriority w:val="59"/>
    <w:rsid w:val="009B4DD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f7"/>
    <w:uiPriority w:val="59"/>
    <w:rsid w:val="009B4DD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ff7"/>
    <w:uiPriority w:val="59"/>
    <w:rsid w:val="002B7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7"/>
    <w:uiPriority w:val="59"/>
    <w:rsid w:val="00DB1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7"/>
    <w:uiPriority w:val="59"/>
    <w:rsid w:val="00AA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7"/>
    <w:uiPriority w:val="59"/>
    <w:rsid w:val="00416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D529C0"/>
  </w:style>
  <w:style w:type="table" w:customStyle="1" w:styleId="170">
    <w:name w:val="Сетка таблицы17"/>
    <w:basedOn w:val="a1"/>
    <w:next w:val="afff7"/>
    <w:uiPriority w:val="59"/>
    <w:rsid w:val="00241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f7"/>
    <w:uiPriority w:val="59"/>
    <w:rsid w:val="007427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f7"/>
    <w:uiPriority w:val="59"/>
    <w:rsid w:val="00795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ff7"/>
    <w:uiPriority w:val="59"/>
    <w:rsid w:val="00795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fff7"/>
    <w:uiPriority w:val="59"/>
    <w:rsid w:val="00795C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f7"/>
    <w:uiPriority w:val="59"/>
    <w:rsid w:val="00767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ff7"/>
    <w:uiPriority w:val="59"/>
    <w:rsid w:val="00BE7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ff7"/>
    <w:uiPriority w:val="59"/>
    <w:rsid w:val="003A58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FF038C"/>
  </w:style>
  <w:style w:type="table" w:customStyle="1" w:styleId="260">
    <w:name w:val="Сетка таблицы26"/>
    <w:basedOn w:val="a1"/>
    <w:next w:val="afff7"/>
    <w:uiPriority w:val="59"/>
    <w:rsid w:val="00FF03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ff7"/>
    <w:uiPriority w:val="59"/>
    <w:rsid w:val="008B1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0B0592"/>
  </w:style>
  <w:style w:type="table" w:customStyle="1" w:styleId="280">
    <w:name w:val="Сетка таблицы28"/>
    <w:basedOn w:val="a1"/>
    <w:next w:val="afff7"/>
    <w:uiPriority w:val="59"/>
    <w:rsid w:val="000B0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59"/>
    <w:locked/>
    <w:rsid w:val="000B059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F95E09"/>
  </w:style>
  <w:style w:type="table" w:customStyle="1" w:styleId="290">
    <w:name w:val="Сетка таблицы29"/>
    <w:basedOn w:val="a1"/>
    <w:next w:val="afff7"/>
    <w:uiPriority w:val="59"/>
    <w:rsid w:val="00F95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uiPriority w:val="59"/>
    <w:locked/>
    <w:rsid w:val="00F95E0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ff7"/>
    <w:uiPriority w:val="59"/>
    <w:rsid w:val="00765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f7"/>
    <w:uiPriority w:val="59"/>
    <w:rsid w:val="00B83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uiPriority w:val="99"/>
    <w:semiHidden/>
    <w:unhideWhenUsed/>
    <w:rsid w:val="00DC22C9"/>
  </w:style>
  <w:style w:type="table" w:customStyle="1" w:styleId="330">
    <w:name w:val="Сетка таблицы33"/>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locked/>
    <w:rsid w:val="00DC22C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2"/>
    <w:uiPriority w:val="99"/>
    <w:semiHidden/>
    <w:unhideWhenUsed/>
    <w:rsid w:val="00DC22C9"/>
  </w:style>
  <w:style w:type="table" w:customStyle="1" w:styleId="2101">
    <w:name w:val="Сетка таблицы210"/>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locked/>
    <w:rsid w:val="00DC22C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ff7"/>
    <w:uiPriority w:val="59"/>
    <w:rsid w:val="00DC22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DC22C9"/>
  </w:style>
  <w:style w:type="numbering" w:customStyle="1" w:styleId="321">
    <w:name w:val="Нет списка32"/>
    <w:next w:val="a2"/>
    <w:uiPriority w:val="99"/>
    <w:semiHidden/>
    <w:unhideWhenUsed/>
    <w:rsid w:val="00DC22C9"/>
  </w:style>
  <w:style w:type="numbering" w:customStyle="1" w:styleId="1131">
    <w:name w:val="Нет списка113"/>
    <w:next w:val="a2"/>
    <w:uiPriority w:val="99"/>
    <w:semiHidden/>
    <w:unhideWhenUsed/>
    <w:rsid w:val="00DC22C9"/>
  </w:style>
  <w:style w:type="numbering" w:customStyle="1" w:styleId="1113">
    <w:name w:val="Нет списка1113"/>
    <w:next w:val="a2"/>
    <w:uiPriority w:val="99"/>
    <w:semiHidden/>
    <w:unhideWhenUsed/>
    <w:rsid w:val="00DC22C9"/>
  </w:style>
  <w:style w:type="numbering" w:customStyle="1" w:styleId="2120">
    <w:name w:val="Нет списка212"/>
    <w:next w:val="a2"/>
    <w:uiPriority w:val="99"/>
    <w:semiHidden/>
    <w:unhideWhenUsed/>
    <w:rsid w:val="00DC22C9"/>
  </w:style>
  <w:style w:type="numbering" w:customStyle="1" w:styleId="11112">
    <w:name w:val="Нет списка11112"/>
    <w:next w:val="a2"/>
    <w:uiPriority w:val="99"/>
    <w:semiHidden/>
    <w:unhideWhenUsed/>
    <w:rsid w:val="00DC22C9"/>
  </w:style>
  <w:style w:type="numbering" w:customStyle="1" w:styleId="421">
    <w:name w:val="Нет списка42"/>
    <w:next w:val="a2"/>
    <w:uiPriority w:val="99"/>
    <w:semiHidden/>
    <w:unhideWhenUsed/>
    <w:rsid w:val="00DC22C9"/>
  </w:style>
  <w:style w:type="table" w:customStyle="1" w:styleId="620">
    <w:name w:val="Сетка таблицы62"/>
    <w:basedOn w:val="a1"/>
    <w:next w:val="afff7"/>
    <w:uiPriority w:val="59"/>
    <w:rsid w:val="00DC2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C22C9"/>
  </w:style>
  <w:style w:type="table" w:customStyle="1" w:styleId="71">
    <w:name w:val="Сетка таблицы71"/>
    <w:basedOn w:val="a1"/>
    <w:next w:val="afff7"/>
    <w:uiPriority w:val="59"/>
    <w:rsid w:val="00DC22C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fff7"/>
    <w:uiPriority w:val="59"/>
    <w:locked/>
    <w:rsid w:val="00DC22C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uiPriority w:val="99"/>
    <w:semiHidden/>
    <w:unhideWhenUsed/>
    <w:rsid w:val="00DC22C9"/>
  </w:style>
  <w:style w:type="table" w:customStyle="1" w:styleId="2111">
    <w:name w:val="Сетка таблицы21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59"/>
    <w:locked/>
    <w:rsid w:val="00DC22C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ff7"/>
    <w:uiPriority w:val="59"/>
    <w:rsid w:val="00DC22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DC22C9"/>
  </w:style>
  <w:style w:type="numbering" w:customStyle="1" w:styleId="3111">
    <w:name w:val="Нет списка311"/>
    <w:next w:val="a2"/>
    <w:uiPriority w:val="99"/>
    <w:semiHidden/>
    <w:unhideWhenUsed/>
    <w:rsid w:val="00DC22C9"/>
  </w:style>
  <w:style w:type="numbering" w:customStyle="1" w:styleId="11210">
    <w:name w:val="Нет списка1121"/>
    <w:next w:val="a2"/>
    <w:uiPriority w:val="99"/>
    <w:semiHidden/>
    <w:unhideWhenUsed/>
    <w:rsid w:val="00DC22C9"/>
  </w:style>
  <w:style w:type="numbering" w:customStyle="1" w:styleId="11121">
    <w:name w:val="Нет списка11121"/>
    <w:next w:val="a2"/>
    <w:uiPriority w:val="99"/>
    <w:semiHidden/>
    <w:unhideWhenUsed/>
    <w:rsid w:val="00DC22C9"/>
  </w:style>
  <w:style w:type="numbering" w:customStyle="1" w:styleId="21110">
    <w:name w:val="Нет списка2111"/>
    <w:next w:val="a2"/>
    <w:uiPriority w:val="99"/>
    <w:semiHidden/>
    <w:unhideWhenUsed/>
    <w:rsid w:val="00DC22C9"/>
  </w:style>
  <w:style w:type="numbering" w:customStyle="1" w:styleId="111111">
    <w:name w:val="Нет списка111111"/>
    <w:next w:val="a2"/>
    <w:uiPriority w:val="99"/>
    <w:semiHidden/>
    <w:unhideWhenUsed/>
    <w:rsid w:val="00DC22C9"/>
  </w:style>
  <w:style w:type="numbering" w:customStyle="1" w:styleId="4111">
    <w:name w:val="Нет списка411"/>
    <w:next w:val="a2"/>
    <w:uiPriority w:val="99"/>
    <w:semiHidden/>
    <w:unhideWhenUsed/>
    <w:rsid w:val="00DC22C9"/>
  </w:style>
  <w:style w:type="table" w:customStyle="1" w:styleId="611">
    <w:name w:val="Сетка таблицы611"/>
    <w:basedOn w:val="a1"/>
    <w:next w:val="afff7"/>
    <w:uiPriority w:val="59"/>
    <w:rsid w:val="00DC2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next w:val="afff7"/>
    <w:uiPriority w:val="59"/>
    <w:locked/>
    <w:rsid w:val="00DC22C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DC22C9"/>
  </w:style>
  <w:style w:type="numbering" w:customStyle="1" w:styleId="710">
    <w:name w:val="Нет списка71"/>
    <w:next w:val="a2"/>
    <w:uiPriority w:val="99"/>
    <w:semiHidden/>
    <w:unhideWhenUsed/>
    <w:rsid w:val="00DC22C9"/>
  </w:style>
  <w:style w:type="numbering" w:customStyle="1" w:styleId="81">
    <w:name w:val="Нет списка81"/>
    <w:next w:val="a2"/>
    <w:uiPriority w:val="99"/>
    <w:semiHidden/>
    <w:unhideWhenUsed/>
    <w:rsid w:val="00DC22C9"/>
  </w:style>
  <w:style w:type="table" w:customStyle="1" w:styleId="810">
    <w:name w:val="Сетка таблицы81"/>
    <w:basedOn w:val="a1"/>
    <w:next w:val="afff7"/>
    <w:uiPriority w:val="59"/>
    <w:rsid w:val="00DC2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1"/>
    <w:next w:val="a2"/>
    <w:uiPriority w:val="99"/>
    <w:semiHidden/>
    <w:unhideWhenUsed/>
    <w:rsid w:val="00DC22C9"/>
  </w:style>
  <w:style w:type="table" w:customStyle="1" w:styleId="910">
    <w:name w:val="Сетка таблицы91"/>
    <w:basedOn w:val="a1"/>
    <w:next w:val="afff7"/>
    <w:uiPriority w:val="59"/>
    <w:rsid w:val="00DC22C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fff7"/>
    <w:uiPriority w:val="59"/>
    <w:rsid w:val="00DC22C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2"/>
    <w:uiPriority w:val="99"/>
    <w:semiHidden/>
    <w:unhideWhenUsed/>
    <w:rsid w:val="00DC22C9"/>
  </w:style>
  <w:style w:type="table" w:customStyle="1" w:styleId="1710">
    <w:name w:val="Сетка таблицы17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fff7"/>
    <w:uiPriority w:val="59"/>
    <w:rsid w:val="00DC2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fff7"/>
    <w:uiPriority w:val="59"/>
    <w:rsid w:val="00DC2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2"/>
    <w:uiPriority w:val="99"/>
    <w:semiHidden/>
    <w:unhideWhenUsed/>
    <w:rsid w:val="00DC22C9"/>
  </w:style>
  <w:style w:type="table" w:customStyle="1" w:styleId="261">
    <w:name w:val="Сетка таблицы261"/>
    <w:basedOn w:val="a1"/>
    <w:next w:val="afff7"/>
    <w:uiPriority w:val="59"/>
    <w:rsid w:val="00DC2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2"/>
    <w:uiPriority w:val="99"/>
    <w:semiHidden/>
    <w:unhideWhenUsed/>
    <w:rsid w:val="00DC22C9"/>
  </w:style>
  <w:style w:type="table" w:customStyle="1" w:styleId="281">
    <w:name w:val="Сетка таблицы28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uiPriority w:val="59"/>
    <w:locked/>
    <w:rsid w:val="00DC22C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2"/>
    <w:uiPriority w:val="99"/>
    <w:semiHidden/>
    <w:unhideWhenUsed/>
    <w:rsid w:val="00DC22C9"/>
  </w:style>
  <w:style w:type="table" w:customStyle="1" w:styleId="291">
    <w:name w:val="Сетка таблицы29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1"/>
    <w:uiPriority w:val="59"/>
    <w:locked/>
    <w:rsid w:val="00DC22C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next w:val="afff7"/>
    <w:uiPriority w:val="59"/>
    <w:rsid w:val="00DC2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2"/>
    <w:uiPriority w:val="99"/>
    <w:semiHidden/>
    <w:unhideWhenUsed/>
    <w:rsid w:val="00471C9F"/>
  </w:style>
  <w:style w:type="table" w:customStyle="1" w:styleId="350">
    <w:name w:val="Сетка таблицы35"/>
    <w:basedOn w:val="a1"/>
    <w:next w:val="afff7"/>
    <w:uiPriority w:val="59"/>
    <w:rsid w:val="00471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uiPriority w:val="59"/>
    <w:locked/>
    <w:rsid w:val="00471C9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ff7"/>
    <w:uiPriority w:val="59"/>
    <w:rsid w:val="00D72D4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fff7"/>
    <w:uiPriority w:val="59"/>
    <w:rsid w:val="00532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2"/>
    <w:uiPriority w:val="99"/>
    <w:semiHidden/>
    <w:unhideWhenUsed/>
    <w:rsid w:val="00707D81"/>
  </w:style>
  <w:style w:type="table" w:customStyle="1" w:styleId="380">
    <w:name w:val="Сетка таблицы38"/>
    <w:basedOn w:val="a1"/>
    <w:next w:val="afff7"/>
    <w:uiPriority w:val="59"/>
    <w:rsid w:val="00707D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fff7"/>
    <w:uiPriority w:val="59"/>
    <w:rsid w:val="009C2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2"/>
    <w:uiPriority w:val="99"/>
    <w:semiHidden/>
    <w:unhideWhenUsed/>
    <w:rsid w:val="00157AC1"/>
  </w:style>
  <w:style w:type="table" w:customStyle="1" w:styleId="400">
    <w:name w:val="Сетка таблицы40"/>
    <w:basedOn w:val="a1"/>
    <w:next w:val="afff7"/>
    <w:uiPriority w:val="59"/>
    <w:rsid w:val="00157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uiPriority w:val="59"/>
    <w:locked/>
    <w:rsid w:val="00157AC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ff7"/>
    <w:uiPriority w:val="59"/>
    <w:rsid w:val="00CD3F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етлая заливка - Акцент 51"/>
    <w:basedOn w:val="a1"/>
    <w:next w:val="-5"/>
    <w:uiPriority w:val="60"/>
    <w:rsid w:val="005B22E8"/>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f9">
    <w:name w:val="Стиль1"/>
    <w:basedOn w:val="a1"/>
    <w:uiPriority w:val="99"/>
    <w:rsid w:val="005B22E8"/>
    <w:rPr>
      <w:rFonts w:ascii="Calibri" w:eastAsia="Calibri" w:hAnsi="Calibri"/>
      <w:sz w:val="22"/>
      <w:szCs w:val="22"/>
      <w:lang w:eastAsia="en-US"/>
    </w:rPr>
    <w:tblPr>
      <w:tblStyleRowBandSize w:val="1"/>
    </w:tblPr>
    <w:tblStylePr w:type="band2Horz">
      <w:tblPr/>
      <w:tcPr>
        <w:shd w:val="clear" w:color="auto" w:fill="DBE5F1"/>
      </w:tcPr>
    </w:tblStylePr>
  </w:style>
  <w:style w:type="table" w:styleId="-5">
    <w:name w:val="Light Shading Accent 5"/>
    <w:basedOn w:val="a1"/>
    <w:uiPriority w:val="60"/>
    <w:rsid w:val="005B22E8"/>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2">
    <w:name w:val="Сетка таблицы142"/>
    <w:basedOn w:val="a1"/>
    <w:next w:val="afff7"/>
    <w:uiPriority w:val="59"/>
    <w:rsid w:val="0030770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ff7"/>
    <w:uiPriority w:val="59"/>
    <w:rsid w:val="00CE27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ff7"/>
    <w:uiPriority w:val="59"/>
    <w:rsid w:val="00C21A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fff7"/>
    <w:uiPriority w:val="59"/>
    <w:rsid w:val="00C21A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ff7"/>
    <w:uiPriority w:val="59"/>
    <w:rsid w:val="00D262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fff7"/>
    <w:uiPriority w:val="59"/>
    <w:rsid w:val="00C17D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fff7"/>
    <w:uiPriority w:val="59"/>
    <w:rsid w:val="007C146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Комментарий"/>
    <w:basedOn w:val="a"/>
    <w:next w:val="a"/>
    <w:uiPriority w:val="99"/>
    <w:rsid w:val="00E46279"/>
    <w:pPr>
      <w:overflowPunct/>
      <w:spacing w:before="75" w:line="240" w:lineRule="auto"/>
      <w:ind w:left="170" w:right="0" w:firstLine="0"/>
      <w:textAlignment w:val="auto"/>
    </w:pPr>
    <w:rPr>
      <w:rFonts w:ascii="Arial" w:hAnsi="Arial" w:cs="Arial"/>
      <w:color w:val="353842"/>
      <w:sz w:val="24"/>
      <w:szCs w:val="24"/>
      <w:shd w:val="clear" w:color="auto" w:fill="F0F0F0"/>
      <w:lang w:eastAsia="en-US"/>
    </w:rPr>
  </w:style>
  <w:style w:type="paragraph" w:customStyle="1" w:styleId="affff5">
    <w:name w:val="Информация об изменениях документа"/>
    <w:basedOn w:val="affff4"/>
    <w:next w:val="a"/>
    <w:uiPriority w:val="99"/>
    <w:rsid w:val="00E46279"/>
    <w:rPr>
      <w:i/>
      <w:iCs/>
    </w:rPr>
  </w:style>
  <w:style w:type="table" w:customStyle="1" w:styleId="49">
    <w:name w:val="Сетка таблицы49"/>
    <w:basedOn w:val="a1"/>
    <w:next w:val="afff7"/>
    <w:uiPriority w:val="59"/>
    <w:rsid w:val="00017967"/>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link w:val="affff6"/>
    <w:rsid w:val="00017967"/>
    <w:rPr>
      <w:sz w:val="13"/>
      <w:szCs w:val="13"/>
      <w:shd w:val="clear" w:color="auto" w:fill="FFFFFF"/>
    </w:rPr>
  </w:style>
  <w:style w:type="character" w:customStyle="1" w:styleId="CenturyGothic6ptExact">
    <w:name w:val="Подпись к картинке + Century Gothic;6 pt Exact"/>
    <w:rsid w:val="00017967"/>
    <w:rPr>
      <w:rFonts w:ascii="Century Gothic" w:eastAsia="Century Gothic" w:hAnsi="Century Gothic" w:cs="Century Gothic"/>
      <w:color w:val="000000"/>
      <w:spacing w:val="0"/>
      <w:w w:val="100"/>
      <w:position w:val="0"/>
      <w:sz w:val="12"/>
      <w:szCs w:val="12"/>
      <w:shd w:val="clear" w:color="auto" w:fill="FFFFFF"/>
      <w:lang w:val="ru-RU" w:eastAsia="ru-RU" w:bidi="ru-RU"/>
    </w:rPr>
  </w:style>
  <w:style w:type="character" w:customStyle="1" w:styleId="2Exact">
    <w:name w:val="Подпись к картинке (2) Exact"/>
    <w:link w:val="2f0"/>
    <w:rsid w:val="00017967"/>
    <w:rPr>
      <w:rFonts w:ascii="Arial" w:eastAsia="Arial" w:hAnsi="Arial" w:cs="Arial"/>
      <w:sz w:val="12"/>
      <w:szCs w:val="12"/>
      <w:shd w:val="clear" w:color="auto" w:fill="FFFFFF"/>
    </w:rPr>
  </w:style>
  <w:style w:type="paragraph" w:customStyle="1" w:styleId="affff6">
    <w:name w:val="Подпись к картинке"/>
    <w:basedOn w:val="a"/>
    <w:link w:val="Exact"/>
    <w:rsid w:val="00017967"/>
    <w:pPr>
      <w:widowControl w:val="0"/>
      <w:shd w:val="clear" w:color="auto" w:fill="FFFFFF"/>
      <w:overflowPunct/>
      <w:autoSpaceDE/>
      <w:autoSpaceDN/>
      <w:adjustRightInd/>
      <w:spacing w:line="0" w:lineRule="atLeast"/>
      <w:ind w:left="0" w:right="0" w:firstLine="0"/>
      <w:jc w:val="left"/>
      <w:textAlignment w:val="auto"/>
    </w:pPr>
    <w:rPr>
      <w:rFonts w:eastAsia="Times New Roman"/>
      <w:sz w:val="13"/>
      <w:szCs w:val="13"/>
    </w:rPr>
  </w:style>
  <w:style w:type="paragraph" w:customStyle="1" w:styleId="2f0">
    <w:name w:val="Подпись к картинке (2)"/>
    <w:basedOn w:val="a"/>
    <w:link w:val="2Exact"/>
    <w:rsid w:val="00017967"/>
    <w:pPr>
      <w:widowControl w:val="0"/>
      <w:shd w:val="clear" w:color="auto" w:fill="FFFFFF"/>
      <w:overflowPunct/>
      <w:autoSpaceDE/>
      <w:autoSpaceDN/>
      <w:adjustRightInd/>
      <w:spacing w:line="0" w:lineRule="atLeast"/>
      <w:ind w:left="0" w:right="0" w:firstLine="0"/>
      <w:jc w:val="left"/>
      <w:textAlignment w:val="auto"/>
    </w:pPr>
    <w:rPr>
      <w:rFonts w:ascii="Arial" w:eastAsia="Arial" w:hAnsi="Arial" w:cs="Arial"/>
      <w:sz w:val="12"/>
      <w:szCs w:val="12"/>
    </w:rPr>
  </w:style>
  <w:style w:type="table" w:customStyle="1" w:styleId="4611">
    <w:name w:val="Сетка таблицы4611"/>
    <w:basedOn w:val="a1"/>
    <w:next w:val="afff7"/>
    <w:uiPriority w:val="59"/>
    <w:rsid w:val="006359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next w:val="afff7"/>
    <w:uiPriority w:val="59"/>
    <w:rsid w:val="008655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Привязка сноски"/>
    <w:uiPriority w:val="99"/>
    <w:rsid w:val="009119DF"/>
    <w:rPr>
      <w:vertAlign w:val="superscript"/>
    </w:rPr>
  </w:style>
  <w:style w:type="character" w:customStyle="1" w:styleId="affff8">
    <w:name w:val="Символ сноски"/>
    <w:uiPriority w:val="99"/>
    <w:rsid w:val="009119DF"/>
  </w:style>
  <w:style w:type="paragraph" w:customStyle="1" w:styleId="FootnoteText1">
    <w:name w:val="Footnote Text1"/>
    <w:basedOn w:val="a"/>
    <w:uiPriority w:val="99"/>
    <w:rsid w:val="009119DF"/>
    <w:pPr>
      <w:autoSpaceDE/>
      <w:autoSpaceDN/>
      <w:adjustRightInd/>
      <w:spacing w:line="240" w:lineRule="auto"/>
      <w:ind w:left="0" w:right="0" w:firstLine="0"/>
      <w:jc w:val="left"/>
      <w:textAlignment w:val="auto"/>
    </w:pPr>
    <w:rPr>
      <w:rFonts w:eastAsia="Times New Roman"/>
      <w:sz w:val="20"/>
      <w:szCs w:val="20"/>
    </w:rPr>
  </w:style>
  <w:style w:type="character" w:customStyle="1" w:styleId="blk">
    <w:name w:val="blk"/>
    <w:rsid w:val="006A170D"/>
  </w:style>
  <w:style w:type="numbering" w:customStyle="1" w:styleId="242">
    <w:name w:val="Нет списка24"/>
    <w:next w:val="a2"/>
    <w:uiPriority w:val="99"/>
    <w:semiHidden/>
    <w:unhideWhenUsed/>
    <w:rsid w:val="006A170D"/>
  </w:style>
  <w:style w:type="character" w:customStyle="1" w:styleId="ConsNormal0">
    <w:name w:val="ConsNormal Знак"/>
    <w:link w:val="ConsNormal"/>
    <w:locked/>
    <w:rsid w:val="006A170D"/>
    <w:rPr>
      <w:rFonts w:ascii="Arial" w:eastAsia="Calibri" w:hAnsi="Arial" w:cs="Arial"/>
      <w:sz w:val="22"/>
      <w:szCs w:val="22"/>
    </w:rPr>
  </w:style>
  <w:style w:type="character" w:customStyle="1" w:styleId="nobr">
    <w:name w:val="nobr"/>
    <w:rsid w:val="006A170D"/>
  </w:style>
  <w:style w:type="character" w:customStyle="1" w:styleId="copyright">
    <w:name w:val="copyright"/>
    <w:rsid w:val="006A170D"/>
  </w:style>
  <w:style w:type="paragraph" w:customStyle="1" w:styleId="affff9">
    <w:name w:val="Абзац заключения"/>
    <w:basedOn w:val="a"/>
    <w:qFormat/>
    <w:rsid w:val="006A170D"/>
    <w:pPr>
      <w:widowControl w:val="0"/>
      <w:overflowPunct/>
      <w:spacing w:after="120" w:line="240" w:lineRule="auto"/>
      <w:ind w:left="0" w:right="0"/>
      <w:contextualSpacing/>
      <w:textAlignment w:val="auto"/>
    </w:pPr>
    <w:rPr>
      <w:rFonts w:eastAsia="Times New Roman"/>
      <w:sz w:val="24"/>
    </w:rPr>
  </w:style>
  <w:style w:type="table" w:customStyle="1" w:styleId="46111">
    <w:name w:val="Сетка таблицы46111"/>
    <w:basedOn w:val="a1"/>
    <w:next w:val="afff7"/>
    <w:uiPriority w:val="59"/>
    <w:rsid w:val="00062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2"/>
    <w:uiPriority w:val="99"/>
    <w:semiHidden/>
    <w:unhideWhenUsed/>
    <w:rsid w:val="000640B9"/>
  </w:style>
  <w:style w:type="table" w:customStyle="1" w:styleId="500">
    <w:name w:val="Сетка таблицы50"/>
    <w:basedOn w:val="a1"/>
    <w:next w:val="afff7"/>
    <w:uiPriority w:val="59"/>
    <w:rsid w:val="000640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ая заливка - Акцент 511"/>
    <w:basedOn w:val="a1"/>
    <w:next w:val="-5"/>
    <w:uiPriority w:val="60"/>
    <w:rsid w:val="000640B9"/>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7">
    <w:name w:val="Стиль11"/>
    <w:basedOn w:val="a1"/>
    <w:uiPriority w:val="99"/>
    <w:rsid w:val="000640B9"/>
    <w:rPr>
      <w:rFonts w:ascii="Calibri" w:eastAsia="Calibri" w:hAnsi="Calibri"/>
      <w:sz w:val="22"/>
      <w:szCs w:val="22"/>
      <w:lang w:eastAsia="en-US"/>
    </w:rPr>
    <w:tblPr>
      <w:tblStyleRowBandSize w:val="1"/>
    </w:tblPr>
    <w:tblStylePr w:type="band2Horz">
      <w:tblPr/>
      <w:tcPr>
        <w:shd w:val="clear" w:color="auto" w:fill="DBE5F1"/>
      </w:tcPr>
    </w:tblStylePr>
  </w:style>
  <w:style w:type="table" w:customStyle="1" w:styleId="-52">
    <w:name w:val="Светлая заливка - Акцент 52"/>
    <w:basedOn w:val="a1"/>
    <w:next w:val="-5"/>
    <w:uiPriority w:val="60"/>
    <w:rsid w:val="000640B9"/>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26">
    <w:name w:val="Цитата Знак2"/>
    <w:aliases w:val="Цитата Знак Знак,Цитата Знак1 Знак,Знак Знак Знак Знак Знак Знак"/>
    <w:link w:val="af5"/>
    <w:rsid w:val="000A0B34"/>
    <w:rPr>
      <w:sz w:val="28"/>
    </w:rPr>
  </w:style>
  <w:style w:type="paragraph" w:customStyle="1" w:styleId="19">
    <w:name w:val="Знак сноски1"/>
    <w:basedOn w:val="a"/>
    <w:link w:val="aff2"/>
    <w:uiPriority w:val="99"/>
    <w:qFormat/>
    <w:rsid w:val="000A0B34"/>
    <w:pPr>
      <w:overflowPunct/>
      <w:autoSpaceDE/>
      <w:autoSpaceDN/>
      <w:adjustRightInd/>
      <w:spacing w:after="200" w:line="276" w:lineRule="auto"/>
      <w:ind w:left="0" w:right="0" w:firstLine="0"/>
      <w:jc w:val="left"/>
      <w:textAlignment w:val="auto"/>
    </w:pPr>
    <w:rPr>
      <w:rFonts w:eastAsia="Times New Roman"/>
      <w:sz w:val="20"/>
      <w:szCs w:val="20"/>
      <w:vertAlign w:val="superscript"/>
    </w:rPr>
  </w:style>
  <w:style w:type="numbering" w:customStyle="1" w:styleId="1111111">
    <w:name w:val="Нет списка1111111"/>
    <w:next w:val="a2"/>
    <w:uiPriority w:val="99"/>
    <w:semiHidden/>
    <w:unhideWhenUsed/>
    <w:rsid w:val="000A0B34"/>
  </w:style>
  <w:style w:type="character" w:customStyle="1" w:styleId="affffa">
    <w:name w:val="Цветовое выделение"/>
    <w:uiPriority w:val="99"/>
    <w:rsid w:val="000A0B34"/>
    <w:rPr>
      <w:b/>
      <w:bCs/>
      <w:color w:val="26282F"/>
    </w:rPr>
  </w:style>
  <w:style w:type="character" w:customStyle="1" w:styleId="affffb">
    <w:name w:val="Заголовок Знак"/>
    <w:rsid w:val="00E51039"/>
    <w:rPr>
      <w:rFonts w:ascii="Times New Roman" w:eastAsia="Times New Roman" w:hAnsi="Times New Roman" w:cs="Times New Roman"/>
      <w:sz w:val="28"/>
      <w:szCs w:val="20"/>
      <w:lang w:eastAsia="ru-RU"/>
    </w:rPr>
  </w:style>
  <w:style w:type="paragraph" w:styleId="affffc">
    <w:name w:val="toa heading"/>
    <w:basedOn w:val="a"/>
    <w:next w:val="a"/>
    <w:uiPriority w:val="99"/>
    <w:semiHidden/>
    <w:unhideWhenUsed/>
    <w:rsid w:val="00E51039"/>
    <w:pPr>
      <w:spacing w:before="120"/>
    </w:pPr>
    <w:rPr>
      <w:rFonts w:ascii="Calibri Light" w:eastAsia="Times New Roman" w:hAnsi="Calibri Light"/>
      <w:b/>
      <w:bCs/>
      <w:sz w:val="24"/>
      <w:szCs w:val="24"/>
    </w:rPr>
  </w:style>
  <w:style w:type="character" w:customStyle="1" w:styleId="2102">
    <w:name w:val="Основной текст (2) + 102"/>
    <w:aliases w:val="5 pt2,Курсив,Интервал 0 pt"/>
    <w:rsid w:val="00E2564D"/>
    <w:rPr>
      <w:rFonts w:cs="Times New Roman"/>
      <w:i/>
      <w:iCs/>
      <w:color w:val="000000"/>
      <w:spacing w:val="-10"/>
      <w:w w:val="100"/>
      <w:position w:val="0"/>
      <w:sz w:val="21"/>
      <w:szCs w:val="21"/>
      <w:shd w:val="clear" w:color="auto" w:fill="FFFFFF"/>
      <w:lang w:val="ru-RU" w:eastAsia="ru-RU"/>
    </w:rPr>
  </w:style>
  <w:style w:type="character" w:customStyle="1" w:styleId="21010">
    <w:name w:val="Основной текст (2) + 101"/>
    <w:aliases w:val="5 pt1"/>
    <w:rsid w:val="00E2564D"/>
    <w:rPr>
      <w:rFonts w:cs="Times New Roman"/>
      <w:i/>
      <w:iCs/>
      <w:color w:val="000000"/>
      <w:spacing w:val="-10"/>
      <w:w w:val="100"/>
      <w:position w:val="0"/>
      <w:sz w:val="21"/>
      <w:szCs w:val="21"/>
      <w:shd w:val="clear" w:color="auto" w:fill="FFFFFF"/>
      <w:lang w:val="ru-RU" w:eastAsia="ru-RU"/>
    </w:rPr>
  </w:style>
  <w:style w:type="character" w:customStyle="1" w:styleId="CenturyGothic">
    <w:name w:val="Подпись к картинке + Century Gothic"/>
    <w:aliases w:val="6 pt Exact"/>
    <w:rsid w:val="00E2564D"/>
    <w:rPr>
      <w:rFonts w:ascii="Century Gothic" w:hAnsi="Century Gothic" w:cs="Century Gothic"/>
      <w:color w:val="000000"/>
      <w:spacing w:val="0"/>
      <w:w w:val="100"/>
      <w:position w:val="0"/>
      <w:sz w:val="12"/>
      <w:szCs w:val="12"/>
      <w:shd w:val="clear" w:color="auto" w:fill="FFFFFF"/>
      <w:lang w:val="ru-RU" w:eastAsia="ru-RU"/>
    </w:rPr>
  </w:style>
  <w:style w:type="numbering" w:customStyle="1" w:styleId="262">
    <w:name w:val="Нет списка26"/>
    <w:next w:val="a2"/>
    <w:uiPriority w:val="99"/>
    <w:semiHidden/>
    <w:unhideWhenUsed/>
    <w:rsid w:val="00A07B17"/>
  </w:style>
  <w:style w:type="table" w:customStyle="1" w:styleId="53">
    <w:name w:val="Сетка таблицы53"/>
    <w:basedOn w:val="a1"/>
    <w:next w:val="afff7"/>
    <w:uiPriority w:val="59"/>
    <w:rsid w:val="00A07B1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ветлая заливка - Акцент 512"/>
    <w:basedOn w:val="a1"/>
    <w:next w:val="-5"/>
    <w:uiPriority w:val="60"/>
    <w:rsid w:val="00A07B17"/>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23">
    <w:name w:val="Стиль12"/>
    <w:basedOn w:val="a1"/>
    <w:uiPriority w:val="99"/>
    <w:rsid w:val="00A07B17"/>
    <w:rPr>
      <w:rFonts w:ascii="Calibri" w:eastAsia="Calibri" w:hAnsi="Calibri"/>
    </w:rPr>
    <w:tblPr>
      <w:tblStyleRowBandSize w:val="1"/>
    </w:tblPr>
    <w:tblStylePr w:type="band2Horz">
      <w:tblPr/>
      <w:tcPr>
        <w:shd w:val="clear" w:color="auto" w:fill="DBE5F1"/>
      </w:tcPr>
    </w:tblStylePr>
  </w:style>
  <w:style w:type="table" w:customStyle="1" w:styleId="-53">
    <w:name w:val="Светлая заливка - Акцент 53"/>
    <w:basedOn w:val="a1"/>
    <w:next w:val="-5"/>
    <w:uiPriority w:val="60"/>
    <w:rsid w:val="00A07B17"/>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fa">
    <w:name w:val="Неразрешенное упоминание1"/>
    <w:uiPriority w:val="99"/>
    <w:semiHidden/>
    <w:unhideWhenUsed/>
    <w:rsid w:val="00A07B17"/>
    <w:rPr>
      <w:color w:val="605E5C"/>
      <w:shd w:val="clear" w:color="auto" w:fill="E1DFDD"/>
    </w:rPr>
  </w:style>
  <w:style w:type="table" w:customStyle="1" w:styleId="54">
    <w:name w:val="Сетка таблицы54"/>
    <w:basedOn w:val="a1"/>
    <w:next w:val="afff7"/>
    <w:uiPriority w:val="59"/>
    <w:rsid w:val="005B4B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2"/>
    <w:uiPriority w:val="99"/>
    <w:semiHidden/>
    <w:unhideWhenUsed/>
    <w:rsid w:val="00E37F04"/>
  </w:style>
  <w:style w:type="table" w:customStyle="1" w:styleId="55">
    <w:name w:val="Сетка таблицы55"/>
    <w:basedOn w:val="a1"/>
    <w:next w:val="afff7"/>
    <w:uiPriority w:val="59"/>
    <w:rsid w:val="00E37F0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2"/>
    <w:uiPriority w:val="99"/>
    <w:semiHidden/>
    <w:unhideWhenUsed/>
    <w:rsid w:val="006F7A0C"/>
  </w:style>
  <w:style w:type="table" w:customStyle="1" w:styleId="1170">
    <w:name w:val="Сетка таблицы117"/>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fff7"/>
    <w:uiPriority w:val="59"/>
    <w:rsid w:val="006F7A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fff7"/>
    <w:uiPriority w:val="59"/>
    <w:rsid w:val="006F7A0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next w:val="afff7"/>
    <w:uiPriority w:val="59"/>
    <w:locked/>
    <w:rsid w:val="006F7A0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ff7"/>
    <w:uiPriority w:val="59"/>
    <w:rsid w:val="006F7A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0">
    <w:name w:val="Сетка таблицы612"/>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next w:val="afff7"/>
    <w:uiPriority w:val="59"/>
    <w:locked/>
    <w:rsid w:val="006F7A0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fff7"/>
    <w:uiPriority w:val="59"/>
    <w:rsid w:val="006F7A0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fff7"/>
    <w:uiPriority w:val="59"/>
    <w:rsid w:val="006F7A0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1"/>
    <w:uiPriority w:val="59"/>
    <w:locked/>
    <w:rsid w:val="006F7A0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ветлая заливка - Акцент 513"/>
    <w:basedOn w:val="a1"/>
    <w:next w:val="-5"/>
    <w:uiPriority w:val="60"/>
    <w:rsid w:val="006F7A0C"/>
    <w:rPr>
      <w:rFonts w:ascii="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3">
    <w:name w:val="Стиль13"/>
    <w:basedOn w:val="a1"/>
    <w:uiPriority w:val="99"/>
    <w:rsid w:val="006F7A0C"/>
    <w:rPr>
      <w:rFonts w:ascii="Calibri" w:hAnsi="Calibri"/>
      <w:sz w:val="22"/>
      <w:szCs w:val="22"/>
      <w:lang w:eastAsia="en-US"/>
    </w:rPr>
    <w:tblPr>
      <w:tblStyleRowBandSize w:val="1"/>
    </w:tblPr>
    <w:tblStylePr w:type="band2Horz">
      <w:rPr>
        <w:rFonts w:cs="Times New Roman"/>
      </w:rPr>
      <w:tblPr/>
      <w:tcPr>
        <w:shd w:val="clear" w:color="auto" w:fill="DBE5F1"/>
      </w:tcPr>
    </w:tblStylePr>
  </w:style>
  <w:style w:type="table" w:customStyle="1" w:styleId="-54">
    <w:name w:val="Светлая заливка - Акцент 54"/>
    <w:basedOn w:val="a1"/>
    <w:next w:val="-5"/>
    <w:uiPriority w:val="60"/>
    <w:rsid w:val="006F7A0C"/>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21">
    <w:name w:val="Сетка таблицы1421"/>
    <w:basedOn w:val="a1"/>
    <w:next w:val="afff7"/>
    <w:uiPriority w:val="59"/>
    <w:rsid w:val="006F7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2"/>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next w:val="afff7"/>
    <w:uiPriority w:val="59"/>
    <w:rsid w:val="006F7A0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2">
    <w:name w:val="Основной текст (16)_"/>
    <w:link w:val="1611"/>
    <w:uiPriority w:val="99"/>
    <w:locked/>
    <w:rsid w:val="006F7A0C"/>
    <w:rPr>
      <w:b/>
      <w:bCs/>
      <w:sz w:val="15"/>
      <w:szCs w:val="15"/>
      <w:shd w:val="clear" w:color="auto" w:fill="FFFFFF"/>
    </w:rPr>
  </w:style>
  <w:style w:type="paragraph" w:customStyle="1" w:styleId="1611">
    <w:name w:val="Основной текст (16)1"/>
    <w:basedOn w:val="a"/>
    <w:link w:val="162"/>
    <w:uiPriority w:val="99"/>
    <w:rsid w:val="006F7A0C"/>
    <w:pPr>
      <w:widowControl w:val="0"/>
      <w:shd w:val="clear" w:color="auto" w:fill="FFFFFF"/>
      <w:overflowPunct/>
      <w:autoSpaceDE/>
      <w:autoSpaceDN/>
      <w:adjustRightInd/>
      <w:spacing w:line="240" w:lineRule="atLeast"/>
      <w:ind w:left="0" w:right="0" w:firstLine="0"/>
      <w:jc w:val="right"/>
      <w:textAlignment w:val="auto"/>
    </w:pPr>
    <w:rPr>
      <w:rFonts w:eastAsia="Times New Roman"/>
      <w:b/>
      <w:bCs/>
      <w:sz w:val="15"/>
      <w:szCs w:val="15"/>
    </w:rPr>
  </w:style>
  <w:style w:type="character" w:customStyle="1" w:styleId="422">
    <w:name w:val="Заголовок №4 (2)_"/>
    <w:link w:val="4210"/>
    <w:uiPriority w:val="99"/>
    <w:locked/>
    <w:rsid w:val="006F7A0C"/>
    <w:rPr>
      <w:b/>
      <w:bCs/>
      <w:sz w:val="15"/>
      <w:szCs w:val="15"/>
      <w:shd w:val="clear" w:color="auto" w:fill="FFFFFF"/>
    </w:rPr>
  </w:style>
  <w:style w:type="paragraph" w:customStyle="1" w:styleId="4210">
    <w:name w:val="Заголовок №4 (2)1"/>
    <w:basedOn w:val="a"/>
    <w:link w:val="422"/>
    <w:uiPriority w:val="99"/>
    <w:rsid w:val="006F7A0C"/>
    <w:pPr>
      <w:widowControl w:val="0"/>
      <w:shd w:val="clear" w:color="auto" w:fill="FFFFFF"/>
      <w:overflowPunct/>
      <w:autoSpaceDE/>
      <w:autoSpaceDN/>
      <w:adjustRightInd/>
      <w:spacing w:line="274" w:lineRule="exact"/>
      <w:ind w:left="0" w:right="0" w:firstLine="0"/>
      <w:jc w:val="right"/>
      <w:textAlignment w:val="auto"/>
      <w:outlineLvl w:val="3"/>
    </w:pPr>
    <w:rPr>
      <w:rFonts w:eastAsia="Times New Roman"/>
      <w:b/>
      <w:bCs/>
      <w:sz w:val="15"/>
      <w:szCs w:val="15"/>
    </w:rPr>
  </w:style>
  <w:style w:type="character" w:customStyle="1" w:styleId="2715">
    <w:name w:val="Основной текст (2) + 715"/>
    <w:aliases w:val="5 pt29"/>
    <w:uiPriority w:val="99"/>
    <w:rsid w:val="006F7A0C"/>
    <w:rPr>
      <w:rFonts w:ascii="Times New Roman" w:hAnsi="Times New Roman" w:cs="Times New Roman"/>
      <w:b/>
      <w:bCs/>
      <w:sz w:val="15"/>
      <w:szCs w:val="15"/>
      <w:shd w:val="clear" w:color="auto" w:fill="FFFFFF"/>
    </w:rPr>
  </w:style>
  <w:style w:type="character" w:customStyle="1" w:styleId="2714">
    <w:name w:val="Основной текст (2) + 714"/>
    <w:aliases w:val="5 pt27,Не полужирный48,Курсив32"/>
    <w:uiPriority w:val="99"/>
    <w:rsid w:val="006F7A0C"/>
    <w:rPr>
      <w:rFonts w:ascii="Times New Roman" w:hAnsi="Times New Roman" w:cs="Times New Roman"/>
      <w:i/>
      <w:iCs/>
      <w:sz w:val="15"/>
      <w:szCs w:val="15"/>
      <w:shd w:val="clear" w:color="auto" w:fill="FFFFFF"/>
    </w:rPr>
  </w:style>
  <w:style w:type="paragraph" w:customStyle="1" w:styleId="215">
    <w:name w:val="Основной текст (2)1"/>
    <w:basedOn w:val="a"/>
    <w:uiPriority w:val="99"/>
    <w:rsid w:val="006F7A0C"/>
    <w:pPr>
      <w:widowControl w:val="0"/>
      <w:shd w:val="clear" w:color="auto" w:fill="FFFFFF"/>
      <w:overflowPunct/>
      <w:autoSpaceDE/>
      <w:autoSpaceDN/>
      <w:adjustRightInd/>
      <w:spacing w:line="302" w:lineRule="exact"/>
      <w:ind w:left="0" w:right="0" w:firstLine="0"/>
      <w:jc w:val="left"/>
      <w:textAlignment w:val="auto"/>
    </w:pPr>
    <w:rPr>
      <w:rFonts w:eastAsia="Times New Roman"/>
      <w:b/>
      <w:bCs/>
      <w:sz w:val="18"/>
      <w:szCs w:val="18"/>
      <w:lang w:eastAsia="en-US"/>
    </w:rPr>
  </w:style>
  <w:style w:type="character" w:customStyle="1" w:styleId="2f1">
    <w:name w:val="Основной текст (2) + Не курсив"/>
    <w:uiPriority w:val="99"/>
    <w:rsid w:val="006F7A0C"/>
    <w:rPr>
      <w:rFonts w:ascii="Times New Roman" w:hAnsi="Times New Roman" w:cs="Times New Roman"/>
      <w:sz w:val="15"/>
      <w:szCs w:val="15"/>
      <w:u w:val="none"/>
    </w:rPr>
  </w:style>
  <w:style w:type="paragraph" w:customStyle="1" w:styleId="1fb">
    <w:name w:val="Название объекта1"/>
    <w:basedOn w:val="a"/>
    <w:next w:val="a"/>
    <w:unhideWhenUsed/>
    <w:qFormat/>
    <w:rsid w:val="006F7A0C"/>
    <w:pPr>
      <w:spacing w:after="200" w:line="240" w:lineRule="auto"/>
    </w:pPr>
    <w:rPr>
      <w:rFonts w:eastAsia="Times New Roman"/>
      <w:i/>
      <w:iCs/>
      <w:color w:val="1F497D"/>
      <w:sz w:val="18"/>
      <w:szCs w:val="18"/>
    </w:rPr>
  </w:style>
  <w:style w:type="table" w:customStyle="1" w:styleId="56">
    <w:name w:val="Сетка таблицы56"/>
    <w:basedOn w:val="a1"/>
    <w:next w:val="afff7"/>
    <w:uiPriority w:val="39"/>
    <w:rsid w:val="0086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Документ в списке"/>
    <w:basedOn w:val="a"/>
    <w:next w:val="a"/>
    <w:uiPriority w:val="99"/>
    <w:rsid w:val="00A55DC7"/>
    <w:pPr>
      <w:overflowPunct/>
      <w:spacing w:before="120" w:line="240" w:lineRule="auto"/>
      <w:ind w:left="0" w:right="300" w:firstLine="0"/>
      <w:textAlignment w:val="auto"/>
    </w:pPr>
    <w:rPr>
      <w:rFonts w:ascii="Arial" w:hAnsi="Arial" w:cs="Arial"/>
      <w:color w:val="000000"/>
      <w:sz w:val="24"/>
      <w:szCs w:val="24"/>
      <w:lang w:eastAsia="en-US"/>
    </w:rPr>
  </w:style>
  <w:style w:type="numbering" w:customStyle="1" w:styleId="292">
    <w:name w:val="Нет списка29"/>
    <w:next w:val="a2"/>
    <w:uiPriority w:val="99"/>
    <w:semiHidden/>
    <w:unhideWhenUsed/>
    <w:rsid w:val="00231969"/>
  </w:style>
  <w:style w:type="table" w:customStyle="1" w:styleId="57">
    <w:name w:val="Сетка таблицы57"/>
    <w:basedOn w:val="a1"/>
    <w:next w:val="afff7"/>
    <w:uiPriority w:val="59"/>
    <w:rsid w:val="0023196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Title"/>
    <w:basedOn w:val="a"/>
    <w:uiPriority w:val="10"/>
    <w:qFormat/>
    <w:rsid w:val="00231969"/>
    <w:pPr>
      <w:overflowPunct/>
      <w:autoSpaceDE/>
      <w:autoSpaceDN/>
      <w:adjustRightInd/>
      <w:spacing w:line="240" w:lineRule="auto"/>
      <w:ind w:left="0" w:right="0"/>
      <w:jc w:val="center"/>
      <w:textAlignment w:val="auto"/>
    </w:pPr>
    <w:rPr>
      <w:rFonts w:eastAsia="Times New Roman"/>
      <w:szCs w:val="20"/>
    </w:rPr>
  </w:style>
  <w:style w:type="character" w:customStyle="1" w:styleId="2f2">
    <w:name w:val="Название Знак2"/>
    <w:uiPriority w:val="10"/>
    <w:rsid w:val="00231969"/>
    <w:rPr>
      <w:rFonts w:ascii="Cambria" w:eastAsia="Times New Roman" w:hAnsi="Cambria" w:cs="Times New Roman"/>
      <w:b/>
      <w:bCs/>
      <w:kern w:val="28"/>
      <w:sz w:val="32"/>
      <w:szCs w:val="32"/>
    </w:rPr>
  </w:style>
  <w:style w:type="table" w:customStyle="1" w:styleId="-514">
    <w:name w:val="Светлая заливка - Акцент 514"/>
    <w:basedOn w:val="a1"/>
    <w:next w:val="-5"/>
    <w:uiPriority w:val="60"/>
    <w:rsid w:val="00231969"/>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43">
    <w:name w:val="Стиль14"/>
    <w:basedOn w:val="a1"/>
    <w:uiPriority w:val="99"/>
    <w:rsid w:val="00231969"/>
    <w:rPr>
      <w:rFonts w:ascii="Calibri" w:eastAsia="Calibri" w:hAnsi="Calibri"/>
    </w:rPr>
    <w:tblPr>
      <w:tblStyleRowBandSize w:val="1"/>
    </w:tblPr>
    <w:tblStylePr w:type="band2Horz">
      <w:tblPr/>
      <w:tcPr>
        <w:shd w:val="clear" w:color="auto" w:fill="DBE5F1"/>
      </w:tcPr>
    </w:tblStylePr>
  </w:style>
  <w:style w:type="table" w:customStyle="1" w:styleId="-55">
    <w:name w:val="Светлая заливка - Акцент 55"/>
    <w:basedOn w:val="a1"/>
    <w:next w:val="-5"/>
    <w:uiPriority w:val="60"/>
    <w:rsid w:val="00231969"/>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302">
    <w:name w:val="Нет списка30"/>
    <w:next w:val="a2"/>
    <w:uiPriority w:val="99"/>
    <w:semiHidden/>
    <w:unhideWhenUsed/>
    <w:rsid w:val="00171858"/>
  </w:style>
  <w:style w:type="table" w:customStyle="1" w:styleId="58">
    <w:name w:val="Сетка таблицы58"/>
    <w:basedOn w:val="a1"/>
    <w:next w:val="afff7"/>
    <w:uiPriority w:val="59"/>
    <w:rsid w:val="0017185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1"/>
    <w:next w:val="afff7"/>
    <w:uiPriority w:val="59"/>
    <w:rsid w:val="0017185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2"/>
    <w:uiPriority w:val="99"/>
    <w:semiHidden/>
    <w:unhideWhenUsed/>
    <w:rsid w:val="004065EA"/>
  </w:style>
  <w:style w:type="table" w:customStyle="1" w:styleId="1200">
    <w:name w:val="Сетка таблицы120"/>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1"/>
    <w:next w:val="afff7"/>
    <w:uiPriority w:val="59"/>
    <w:rsid w:val="004065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fff7"/>
    <w:uiPriority w:val="59"/>
    <w:rsid w:val="004065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next w:val="afff7"/>
    <w:uiPriority w:val="59"/>
    <w:locked/>
    <w:rsid w:val="004065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next w:val="afff7"/>
    <w:uiPriority w:val="59"/>
    <w:rsid w:val="004065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3"/>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1"/>
    <w:next w:val="afff7"/>
    <w:uiPriority w:val="59"/>
    <w:locked/>
    <w:rsid w:val="004065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fff7"/>
    <w:uiPriority w:val="59"/>
    <w:rsid w:val="004065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1"/>
    <w:next w:val="afff7"/>
    <w:uiPriority w:val="59"/>
    <w:rsid w:val="004065E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1"/>
    <w:uiPriority w:val="59"/>
    <w:locked/>
    <w:rsid w:val="004065E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ветлая заливка - Акцент 515"/>
    <w:basedOn w:val="a1"/>
    <w:next w:val="-5"/>
    <w:uiPriority w:val="60"/>
    <w:rsid w:val="004065EA"/>
    <w:rPr>
      <w:rFonts w:ascii="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2">
    <w:name w:val="Стиль15"/>
    <w:basedOn w:val="a1"/>
    <w:uiPriority w:val="99"/>
    <w:rsid w:val="004065EA"/>
    <w:rPr>
      <w:rFonts w:ascii="Calibri" w:hAnsi="Calibri"/>
      <w:sz w:val="22"/>
      <w:szCs w:val="22"/>
      <w:lang w:eastAsia="en-US"/>
    </w:rPr>
    <w:tblPr>
      <w:tblStyleRowBandSize w:val="1"/>
    </w:tblPr>
    <w:tblStylePr w:type="band2Horz">
      <w:rPr>
        <w:rFonts w:cs="Times New Roman"/>
      </w:rPr>
      <w:tblPr/>
      <w:tcPr>
        <w:shd w:val="clear" w:color="auto" w:fill="DBE5F1"/>
      </w:tcPr>
    </w:tblStylePr>
  </w:style>
  <w:style w:type="table" w:customStyle="1" w:styleId="-56">
    <w:name w:val="Светлая заливка - Акцент 56"/>
    <w:basedOn w:val="a1"/>
    <w:next w:val="-5"/>
    <w:uiPriority w:val="60"/>
    <w:rsid w:val="004065EA"/>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22">
    <w:name w:val="Сетка таблицы1422"/>
    <w:basedOn w:val="a1"/>
    <w:next w:val="afff7"/>
    <w:uiPriority w:val="59"/>
    <w:rsid w:val="00406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3">
    <w:name w:val="Сетка таблицы4613"/>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3"/>
    <w:basedOn w:val="a1"/>
    <w:next w:val="afff7"/>
    <w:uiPriority w:val="59"/>
    <w:rsid w:val="004065E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3">
    <w:name w:val="Название объекта2"/>
    <w:basedOn w:val="a"/>
    <w:next w:val="a"/>
    <w:unhideWhenUsed/>
    <w:qFormat/>
    <w:rsid w:val="004065EA"/>
    <w:pPr>
      <w:spacing w:after="200" w:line="240" w:lineRule="auto"/>
    </w:pPr>
    <w:rPr>
      <w:rFonts w:eastAsia="Times New Roman"/>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3899">
      <w:bodyDiv w:val="1"/>
      <w:marLeft w:val="0"/>
      <w:marRight w:val="0"/>
      <w:marTop w:val="0"/>
      <w:marBottom w:val="0"/>
      <w:divBdr>
        <w:top w:val="none" w:sz="0" w:space="0" w:color="auto"/>
        <w:left w:val="none" w:sz="0" w:space="0" w:color="auto"/>
        <w:bottom w:val="none" w:sz="0" w:space="0" w:color="auto"/>
        <w:right w:val="none" w:sz="0" w:space="0" w:color="auto"/>
      </w:divBdr>
    </w:div>
    <w:div w:id="13312327">
      <w:bodyDiv w:val="1"/>
      <w:marLeft w:val="0"/>
      <w:marRight w:val="0"/>
      <w:marTop w:val="0"/>
      <w:marBottom w:val="0"/>
      <w:divBdr>
        <w:top w:val="none" w:sz="0" w:space="0" w:color="auto"/>
        <w:left w:val="none" w:sz="0" w:space="0" w:color="auto"/>
        <w:bottom w:val="none" w:sz="0" w:space="0" w:color="auto"/>
        <w:right w:val="none" w:sz="0" w:space="0" w:color="auto"/>
      </w:divBdr>
    </w:div>
    <w:div w:id="16010962">
      <w:bodyDiv w:val="1"/>
      <w:marLeft w:val="0"/>
      <w:marRight w:val="0"/>
      <w:marTop w:val="0"/>
      <w:marBottom w:val="0"/>
      <w:divBdr>
        <w:top w:val="none" w:sz="0" w:space="0" w:color="auto"/>
        <w:left w:val="none" w:sz="0" w:space="0" w:color="auto"/>
        <w:bottom w:val="none" w:sz="0" w:space="0" w:color="auto"/>
        <w:right w:val="none" w:sz="0" w:space="0" w:color="auto"/>
      </w:divBdr>
    </w:div>
    <w:div w:id="17315162">
      <w:bodyDiv w:val="1"/>
      <w:marLeft w:val="0"/>
      <w:marRight w:val="0"/>
      <w:marTop w:val="0"/>
      <w:marBottom w:val="0"/>
      <w:divBdr>
        <w:top w:val="none" w:sz="0" w:space="0" w:color="auto"/>
        <w:left w:val="none" w:sz="0" w:space="0" w:color="auto"/>
        <w:bottom w:val="none" w:sz="0" w:space="0" w:color="auto"/>
        <w:right w:val="none" w:sz="0" w:space="0" w:color="auto"/>
      </w:divBdr>
    </w:div>
    <w:div w:id="19817513">
      <w:bodyDiv w:val="1"/>
      <w:marLeft w:val="0"/>
      <w:marRight w:val="0"/>
      <w:marTop w:val="0"/>
      <w:marBottom w:val="0"/>
      <w:divBdr>
        <w:top w:val="none" w:sz="0" w:space="0" w:color="auto"/>
        <w:left w:val="none" w:sz="0" w:space="0" w:color="auto"/>
        <w:bottom w:val="none" w:sz="0" w:space="0" w:color="auto"/>
        <w:right w:val="none" w:sz="0" w:space="0" w:color="auto"/>
      </w:divBdr>
    </w:div>
    <w:div w:id="24139138">
      <w:bodyDiv w:val="1"/>
      <w:marLeft w:val="0"/>
      <w:marRight w:val="0"/>
      <w:marTop w:val="0"/>
      <w:marBottom w:val="0"/>
      <w:divBdr>
        <w:top w:val="none" w:sz="0" w:space="0" w:color="auto"/>
        <w:left w:val="none" w:sz="0" w:space="0" w:color="auto"/>
        <w:bottom w:val="none" w:sz="0" w:space="0" w:color="auto"/>
        <w:right w:val="none" w:sz="0" w:space="0" w:color="auto"/>
      </w:divBdr>
    </w:div>
    <w:div w:id="55787439">
      <w:bodyDiv w:val="1"/>
      <w:marLeft w:val="0"/>
      <w:marRight w:val="0"/>
      <w:marTop w:val="0"/>
      <w:marBottom w:val="0"/>
      <w:divBdr>
        <w:top w:val="none" w:sz="0" w:space="0" w:color="auto"/>
        <w:left w:val="none" w:sz="0" w:space="0" w:color="auto"/>
        <w:bottom w:val="none" w:sz="0" w:space="0" w:color="auto"/>
        <w:right w:val="none" w:sz="0" w:space="0" w:color="auto"/>
      </w:divBdr>
    </w:div>
    <w:div w:id="87629482">
      <w:bodyDiv w:val="1"/>
      <w:marLeft w:val="0"/>
      <w:marRight w:val="0"/>
      <w:marTop w:val="0"/>
      <w:marBottom w:val="0"/>
      <w:divBdr>
        <w:top w:val="none" w:sz="0" w:space="0" w:color="auto"/>
        <w:left w:val="none" w:sz="0" w:space="0" w:color="auto"/>
        <w:bottom w:val="none" w:sz="0" w:space="0" w:color="auto"/>
        <w:right w:val="none" w:sz="0" w:space="0" w:color="auto"/>
      </w:divBdr>
    </w:div>
    <w:div w:id="96828824">
      <w:bodyDiv w:val="1"/>
      <w:marLeft w:val="0"/>
      <w:marRight w:val="0"/>
      <w:marTop w:val="0"/>
      <w:marBottom w:val="0"/>
      <w:divBdr>
        <w:top w:val="none" w:sz="0" w:space="0" w:color="auto"/>
        <w:left w:val="none" w:sz="0" w:space="0" w:color="auto"/>
        <w:bottom w:val="none" w:sz="0" w:space="0" w:color="auto"/>
        <w:right w:val="none" w:sz="0" w:space="0" w:color="auto"/>
      </w:divBdr>
    </w:div>
    <w:div w:id="104160888">
      <w:bodyDiv w:val="1"/>
      <w:marLeft w:val="0"/>
      <w:marRight w:val="0"/>
      <w:marTop w:val="0"/>
      <w:marBottom w:val="0"/>
      <w:divBdr>
        <w:top w:val="none" w:sz="0" w:space="0" w:color="auto"/>
        <w:left w:val="none" w:sz="0" w:space="0" w:color="auto"/>
        <w:bottom w:val="none" w:sz="0" w:space="0" w:color="auto"/>
        <w:right w:val="none" w:sz="0" w:space="0" w:color="auto"/>
      </w:divBdr>
    </w:div>
    <w:div w:id="115176288">
      <w:bodyDiv w:val="1"/>
      <w:marLeft w:val="0"/>
      <w:marRight w:val="0"/>
      <w:marTop w:val="0"/>
      <w:marBottom w:val="0"/>
      <w:divBdr>
        <w:top w:val="none" w:sz="0" w:space="0" w:color="auto"/>
        <w:left w:val="none" w:sz="0" w:space="0" w:color="auto"/>
        <w:bottom w:val="none" w:sz="0" w:space="0" w:color="auto"/>
        <w:right w:val="none" w:sz="0" w:space="0" w:color="auto"/>
      </w:divBdr>
    </w:div>
    <w:div w:id="119999340">
      <w:bodyDiv w:val="1"/>
      <w:marLeft w:val="0"/>
      <w:marRight w:val="0"/>
      <w:marTop w:val="0"/>
      <w:marBottom w:val="0"/>
      <w:divBdr>
        <w:top w:val="none" w:sz="0" w:space="0" w:color="auto"/>
        <w:left w:val="none" w:sz="0" w:space="0" w:color="auto"/>
        <w:bottom w:val="none" w:sz="0" w:space="0" w:color="auto"/>
        <w:right w:val="none" w:sz="0" w:space="0" w:color="auto"/>
      </w:divBdr>
    </w:div>
    <w:div w:id="121506328">
      <w:bodyDiv w:val="1"/>
      <w:marLeft w:val="0"/>
      <w:marRight w:val="0"/>
      <w:marTop w:val="0"/>
      <w:marBottom w:val="0"/>
      <w:divBdr>
        <w:top w:val="none" w:sz="0" w:space="0" w:color="auto"/>
        <w:left w:val="none" w:sz="0" w:space="0" w:color="auto"/>
        <w:bottom w:val="none" w:sz="0" w:space="0" w:color="auto"/>
        <w:right w:val="none" w:sz="0" w:space="0" w:color="auto"/>
      </w:divBdr>
    </w:div>
    <w:div w:id="127209488">
      <w:bodyDiv w:val="1"/>
      <w:marLeft w:val="0"/>
      <w:marRight w:val="0"/>
      <w:marTop w:val="0"/>
      <w:marBottom w:val="0"/>
      <w:divBdr>
        <w:top w:val="none" w:sz="0" w:space="0" w:color="auto"/>
        <w:left w:val="none" w:sz="0" w:space="0" w:color="auto"/>
        <w:bottom w:val="none" w:sz="0" w:space="0" w:color="auto"/>
        <w:right w:val="none" w:sz="0" w:space="0" w:color="auto"/>
      </w:divBdr>
    </w:div>
    <w:div w:id="130251595">
      <w:bodyDiv w:val="1"/>
      <w:marLeft w:val="0"/>
      <w:marRight w:val="0"/>
      <w:marTop w:val="0"/>
      <w:marBottom w:val="0"/>
      <w:divBdr>
        <w:top w:val="none" w:sz="0" w:space="0" w:color="auto"/>
        <w:left w:val="none" w:sz="0" w:space="0" w:color="auto"/>
        <w:bottom w:val="none" w:sz="0" w:space="0" w:color="auto"/>
        <w:right w:val="none" w:sz="0" w:space="0" w:color="auto"/>
      </w:divBdr>
    </w:div>
    <w:div w:id="130514229">
      <w:bodyDiv w:val="1"/>
      <w:marLeft w:val="0"/>
      <w:marRight w:val="0"/>
      <w:marTop w:val="0"/>
      <w:marBottom w:val="0"/>
      <w:divBdr>
        <w:top w:val="none" w:sz="0" w:space="0" w:color="auto"/>
        <w:left w:val="none" w:sz="0" w:space="0" w:color="auto"/>
        <w:bottom w:val="none" w:sz="0" w:space="0" w:color="auto"/>
        <w:right w:val="none" w:sz="0" w:space="0" w:color="auto"/>
      </w:divBdr>
    </w:div>
    <w:div w:id="136454861">
      <w:bodyDiv w:val="1"/>
      <w:marLeft w:val="0"/>
      <w:marRight w:val="0"/>
      <w:marTop w:val="0"/>
      <w:marBottom w:val="0"/>
      <w:divBdr>
        <w:top w:val="none" w:sz="0" w:space="0" w:color="auto"/>
        <w:left w:val="none" w:sz="0" w:space="0" w:color="auto"/>
        <w:bottom w:val="none" w:sz="0" w:space="0" w:color="auto"/>
        <w:right w:val="none" w:sz="0" w:space="0" w:color="auto"/>
      </w:divBdr>
    </w:div>
    <w:div w:id="148907994">
      <w:bodyDiv w:val="1"/>
      <w:marLeft w:val="0"/>
      <w:marRight w:val="0"/>
      <w:marTop w:val="0"/>
      <w:marBottom w:val="0"/>
      <w:divBdr>
        <w:top w:val="none" w:sz="0" w:space="0" w:color="auto"/>
        <w:left w:val="none" w:sz="0" w:space="0" w:color="auto"/>
        <w:bottom w:val="none" w:sz="0" w:space="0" w:color="auto"/>
        <w:right w:val="none" w:sz="0" w:space="0" w:color="auto"/>
      </w:divBdr>
    </w:div>
    <w:div w:id="151870996">
      <w:bodyDiv w:val="1"/>
      <w:marLeft w:val="0"/>
      <w:marRight w:val="0"/>
      <w:marTop w:val="0"/>
      <w:marBottom w:val="0"/>
      <w:divBdr>
        <w:top w:val="none" w:sz="0" w:space="0" w:color="auto"/>
        <w:left w:val="none" w:sz="0" w:space="0" w:color="auto"/>
        <w:bottom w:val="none" w:sz="0" w:space="0" w:color="auto"/>
        <w:right w:val="none" w:sz="0" w:space="0" w:color="auto"/>
      </w:divBdr>
    </w:div>
    <w:div w:id="153497794">
      <w:bodyDiv w:val="1"/>
      <w:marLeft w:val="0"/>
      <w:marRight w:val="0"/>
      <w:marTop w:val="0"/>
      <w:marBottom w:val="0"/>
      <w:divBdr>
        <w:top w:val="none" w:sz="0" w:space="0" w:color="auto"/>
        <w:left w:val="none" w:sz="0" w:space="0" w:color="auto"/>
        <w:bottom w:val="none" w:sz="0" w:space="0" w:color="auto"/>
        <w:right w:val="none" w:sz="0" w:space="0" w:color="auto"/>
      </w:divBdr>
    </w:div>
    <w:div w:id="161702925">
      <w:bodyDiv w:val="1"/>
      <w:marLeft w:val="0"/>
      <w:marRight w:val="0"/>
      <w:marTop w:val="0"/>
      <w:marBottom w:val="0"/>
      <w:divBdr>
        <w:top w:val="none" w:sz="0" w:space="0" w:color="auto"/>
        <w:left w:val="none" w:sz="0" w:space="0" w:color="auto"/>
        <w:bottom w:val="none" w:sz="0" w:space="0" w:color="auto"/>
        <w:right w:val="none" w:sz="0" w:space="0" w:color="auto"/>
      </w:divBdr>
    </w:div>
    <w:div w:id="178355134">
      <w:bodyDiv w:val="1"/>
      <w:marLeft w:val="0"/>
      <w:marRight w:val="0"/>
      <w:marTop w:val="0"/>
      <w:marBottom w:val="0"/>
      <w:divBdr>
        <w:top w:val="none" w:sz="0" w:space="0" w:color="auto"/>
        <w:left w:val="none" w:sz="0" w:space="0" w:color="auto"/>
        <w:bottom w:val="none" w:sz="0" w:space="0" w:color="auto"/>
        <w:right w:val="none" w:sz="0" w:space="0" w:color="auto"/>
      </w:divBdr>
    </w:div>
    <w:div w:id="181866595">
      <w:bodyDiv w:val="1"/>
      <w:marLeft w:val="0"/>
      <w:marRight w:val="0"/>
      <w:marTop w:val="0"/>
      <w:marBottom w:val="0"/>
      <w:divBdr>
        <w:top w:val="none" w:sz="0" w:space="0" w:color="auto"/>
        <w:left w:val="none" w:sz="0" w:space="0" w:color="auto"/>
        <w:bottom w:val="none" w:sz="0" w:space="0" w:color="auto"/>
        <w:right w:val="none" w:sz="0" w:space="0" w:color="auto"/>
      </w:divBdr>
    </w:div>
    <w:div w:id="186601292">
      <w:bodyDiv w:val="1"/>
      <w:marLeft w:val="0"/>
      <w:marRight w:val="0"/>
      <w:marTop w:val="0"/>
      <w:marBottom w:val="0"/>
      <w:divBdr>
        <w:top w:val="none" w:sz="0" w:space="0" w:color="auto"/>
        <w:left w:val="none" w:sz="0" w:space="0" w:color="auto"/>
        <w:bottom w:val="none" w:sz="0" w:space="0" w:color="auto"/>
        <w:right w:val="none" w:sz="0" w:space="0" w:color="auto"/>
      </w:divBdr>
    </w:div>
    <w:div w:id="210729679">
      <w:bodyDiv w:val="1"/>
      <w:marLeft w:val="0"/>
      <w:marRight w:val="0"/>
      <w:marTop w:val="0"/>
      <w:marBottom w:val="0"/>
      <w:divBdr>
        <w:top w:val="none" w:sz="0" w:space="0" w:color="auto"/>
        <w:left w:val="none" w:sz="0" w:space="0" w:color="auto"/>
        <w:bottom w:val="none" w:sz="0" w:space="0" w:color="auto"/>
        <w:right w:val="none" w:sz="0" w:space="0" w:color="auto"/>
      </w:divBdr>
    </w:div>
    <w:div w:id="212666259">
      <w:bodyDiv w:val="1"/>
      <w:marLeft w:val="0"/>
      <w:marRight w:val="0"/>
      <w:marTop w:val="0"/>
      <w:marBottom w:val="0"/>
      <w:divBdr>
        <w:top w:val="none" w:sz="0" w:space="0" w:color="auto"/>
        <w:left w:val="none" w:sz="0" w:space="0" w:color="auto"/>
        <w:bottom w:val="none" w:sz="0" w:space="0" w:color="auto"/>
        <w:right w:val="none" w:sz="0" w:space="0" w:color="auto"/>
      </w:divBdr>
    </w:div>
    <w:div w:id="215511687">
      <w:bodyDiv w:val="1"/>
      <w:marLeft w:val="0"/>
      <w:marRight w:val="0"/>
      <w:marTop w:val="0"/>
      <w:marBottom w:val="0"/>
      <w:divBdr>
        <w:top w:val="none" w:sz="0" w:space="0" w:color="auto"/>
        <w:left w:val="none" w:sz="0" w:space="0" w:color="auto"/>
        <w:bottom w:val="none" w:sz="0" w:space="0" w:color="auto"/>
        <w:right w:val="none" w:sz="0" w:space="0" w:color="auto"/>
      </w:divBdr>
    </w:div>
    <w:div w:id="220016960">
      <w:bodyDiv w:val="1"/>
      <w:marLeft w:val="0"/>
      <w:marRight w:val="0"/>
      <w:marTop w:val="0"/>
      <w:marBottom w:val="0"/>
      <w:divBdr>
        <w:top w:val="none" w:sz="0" w:space="0" w:color="auto"/>
        <w:left w:val="none" w:sz="0" w:space="0" w:color="auto"/>
        <w:bottom w:val="none" w:sz="0" w:space="0" w:color="auto"/>
        <w:right w:val="none" w:sz="0" w:space="0" w:color="auto"/>
      </w:divBdr>
    </w:div>
    <w:div w:id="222495418">
      <w:bodyDiv w:val="1"/>
      <w:marLeft w:val="0"/>
      <w:marRight w:val="0"/>
      <w:marTop w:val="0"/>
      <w:marBottom w:val="0"/>
      <w:divBdr>
        <w:top w:val="none" w:sz="0" w:space="0" w:color="auto"/>
        <w:left w:val="none" w:sz="0" w:space="0" w:color="auto"/>
        <w:bottom w:val="none" w:sz="0" w:space="0" w:color="auto"/>
        <w:right w:val="none" w:sz="0" w:space="0" w:color="auto"/>
      </w:divBdr>
    </w:div>
    <w:div w:id="247229465">
      <w:bodyDiv w:val="1"/>
      <w:marLeft w:val="0"/>
      <w:marRight w:val="0"/>
      <w:marTop w:val="0"/>
      <w:marBottom w:val="0"/>
      <w:divBdr>
        <w:top w:val="none" w:sz="0" w:space="0" w:color="auto"/>
        <w:left w:val="none" w:sz="0" w:space="0" w:color="auto"/>
        <w:bottom w:val="none" w:sz="0" w:space="0" w:color="auto"/>
        <w:right w:val="none" w:sz="0" w:space="0" w:color="auto"/>
      </w:divBdr>
    </w:div>
    <w:div w:id="249237901">
      <w:bodyDiv w:val="1"/>
      <w:marLeft w:val="0"/>
      <w:marRight w:val="0"/>
      <w:marTop w:val="0"/>
      <w:marBottom w:val="0"/>
      <w:divBdr>
        <w:top w:val="none" w:sz="0" w:space="0" w:color="auto"/>
        <w:left w:val="none" w:sz="0" w:space="0" w:color="auto"/>
        <w:bottom w:val="none" w:sz="0" w:space="0" w:color="auto"/>
        <w:right w:val="none" w:sz="0" w:space="0" w:color="auto"/>
      </w:divBdr>
    </w:div>
    <w:div w:id="273249241">
      <w:bodyDiv w:val="1"/>
      <w:marLeft w:val="0"/>
      <w:marRight w:val="0"/>
      <w:marTop w:val="0"/>
      <w:marBottom w:val="0"/>
      <w:divBdr>
        <w:top w:val="none" w:sz="0" w:space="0" w:color="auto"/>
        <w:left w:val="none" w:sz="0" w:space="0" w:color="auto"/>
        <w:bottom w:val="none" w:sz="0" w:space="0" w:color="auto"/>
        <w:right w:val="none" w:sz="0" w:space="0" w:color="auto"/>
      </w:divBdr>
    </w:div>
    <w:div w:id="278223359">
      <w:bodyDiv w:val="1"/>
      <w:marLeft w:val="0"/>
      <w:marRight w:val="0"/>
      <w:marTop w:val="0"/>
      <w:marBottom w:val="0"/>
      <w:divBdr>
        <w:top w:val="none" w:sz="0" w:space="0" w:color="auto"/>
        <w:left w:val="none" w:sz="0" w:space="0" w:color="auto"/>
        <w:bottom w:val="none" w:sz="0" w:space="0" w:color="auto"/>
        <w:right w:val="none" w:sz="0" w:space="0" w:color="auto"/>
      </w:divBdr>
    </w:div>
    <w:div w:id="309554440">
      <w:bodyDiv w:val="1"/>
      <w:marLeft w:val="0"/>
      <w:marRight w:val="0"/>
      <w:marTop w:val="0"/>
      <w:marBottom w:val="0"/>
      <w:divBdr>
        <w:top w:val="none" w:sz="0" w:space="0" w:color="auto"/>
        <w:left w:val="none" w:sz="0" w:space="0" w:color="auto"/>
        <w:bottom w:val="none" w:sz="0" w:space="0" w:color="auto"/>
        <w:right w:val="none" w:sz="0" w:space="0" w:color="auto"/>
      </w:divBdr>
    </w:div>
    <w:div w:id="309942801">
      <w:bodyDiv w:val="1"/>
      <w:marLeft w:val="0"/>
      <w:marRight w:val="0"/>
      <w:marTop w:val="0"/>
      <w:marBottom w:val="0"/>
      <w:divBdr>
        <w:top w:val="none" w:sz="0" w:space="0" w:color="auto"/>
        <w:left w:val="none" w:sz="0" w:space="0" w:color="auto"/>
        <w:bottom w:val="none" w:sz="0" w:space="0" w:color="auto"/>
        <w:right w:val="none" w:sz="0" w:space="0" w:color="auto"/>
      </w:divBdr>
    </w:div>
    <w:div w:id="314801489">
      <w:bodyDiv w:val="1"/>
      <w:marLeft w:val="0"/>
      <w:marRight w:val="0"/>
      <w:marTop w:val="0"/>
      <w:marBottom w:val="0"/>
      <w:divBdr>
        <w:top w:val="none" w:sz="0" w:space="0" w:color="auto"/>
        <w:left w:val="none" w:sz="0" w:space="0" w:color="auto"/>
        <w:bottom w:val="none" w:sz="0" w:space="0" w:color="auto"/>
        <w:right w:val="none" w:sz="0" w:space="0" w:color="auto"/>
      </w:divBdr>
    </w:div>
    <w:div w:id="325941631">
      <w:bodyDiv w:val="1"/>
      <w:marLeft w:val="0"/>
      <w:marRight w:val="0"/>
      <w:marTop w:val="0"/>
      <w:marBottom w:val="0"/>
      <w:divBdr>
        <w:top w:val="none" w:sz="0" w:space="0" w:color="auto"/>
        <w:left w:val="none" w:sz="0" w:space="0" w:color="auto"/>
        <w:bottom w:val="none" w:sz="0" w:space="0" w:color="auto"/>
        <w:right w:val="none" w:sz="0" w:space="0" w:color="auto"/>
      </w:divBdr>
    </w:div>
    <w:div w:id="330253361">
      <w:bodyDiv w:val="1"/>
      <w:marLeft w:val="0"/>
      <w:marRight w:val="0"/>
      <w:marTop w:val="0"/>
      <w:marBottom w:val="0"/>
      <w:divBdr>
        <w:top w:val="none" w:sz="0" w:space="0" w:color="auto"/>
        <w:left w:val="none" w:sz="0" w:space="0" w:color="auto"/>
        <w:bottom w:val="none" w:sz="0" w:space="0" w:color="auto"/>
        <w:right w:val="none" w:sz="0" w:space="0" w:color="auto"/>
      </w:divBdr>
    </w:div>
    <w:div w:id="346752991">
      <w:bodyDiv w:val="1"/>
      <w:marLeft w:val="0"/>
      <w:marRight w:val="0"/>
      <w:marTop w:val="0"/>
      <w:marBottom w:val="0"/>
      <w:divBdr>
        <w:top w:val="none" w:sz="0" w:space="0" w:color="auto"/>
        <w:left w:val="none" w:sz="0" w:space="0" w:color="auto"/>
        <w:bottom w:val="none" w:sz="0" w:space="0" w:color="auto"/>
        <w:right w:val="none" w:sz="0" w:space="0" w:color="auto"/>
      </w:divBdr>
    </w:div>
    <w:div w:id="354161231">
      <w:bodyDiv w:val="1"/>
      <w:marLeft w:val="0"/>
      <w:marRight w:val="0"/>
      <w:marTop w:val="0"/>
      <w:marBottom w:val="0"/>
      <w:divBdr>
        <w:top w:val="none" w:sz="0" w:space="0" w:color="auto"/>
        <w:left w:val="none" w:sz="0" w:space="0" w:color="auto"/>
        <w:bottom w:val="none" w:sz="0" w:space="0" w:color="auto"/>
        <w:right w:val="none" w:sz="0" w:space="0" w:color="auto"/>
      </w:divBdr>
    </w:div>
    <w:div w:id="361630877">
      <w:bodyDiv w:val="1"/>
      <w:marLeft w:val="0"/>
      <w:marRight w:val="0"/>
      <w:marTop w:val="0"/>
      <w:marBottom w:val="0"/>
      <w:divBdr>
        <w:top w:val="none" w:sz="0" w:space="0" w:color="auto"/>
        <w:left w:val="none" w:sz="0" w:space="0" w:color="auto"/>
        <w:bottom w:val="none" w:sz="0" w:space="0" w:color="auto"/>
        <w:right w:val="none" w:sz="0" w:space="0" w:color="auto"/>
      </w:divBdr>
    </w:div>
    <w:div w:id="386495672">
      <w:bodyDiv w:val="1"/>
      <w:marLeft w:val="0"/>
      <w:marRight w:val="0"/>
      <w:marTop w:val="0"/>
      <w:marBottom w:val="0"/>
      <w:divBdr>
        <w:top w:val="none" w:sz="0" w:space="0" w:color="auto"/>
        <w:left w:val="none" w:sz="0" w:space="0" w:color="auto"/>
        <w:bottom w:val="none" w:sz="0" w:space="0" w:color="auto"/>
        <w:right w:val="none" w:sz="0" w:space="0" w:color="auto"/>
      </w:divBdr>
    </w:div>
    <w:div w:id="400832383">
      <w:bodyDiv w:val="1"/>
      <w:marLeft w:val="0"/>
      <w:marRight w:val="0"/>
      <w:marTop w:val="0"/>
      <w:marBottom w:val="0"/>
      <w:divBdr>
        <w:top w:val="none" w:sz="0" w:space="0" w:color="auto"/>
        <w:left w:val="none" w:sz="0" w:space="0" w:color="auto"/>
        <w:bottom w:val="none" w:sz="0" w:space="0" w:color="auto"/>
        <w:right w:val="none" w:sz="0" w:space="0" w:color="auto"/>
      </w:divBdr>
    </w:div>
    <w:div w:id="415513471">
      <w:bodyDiv w:val="1"/>
      <w:marLeft w:val="0"/>
      <w:marRight w:val="0"/>
      <w:marTop w:val="0"/>
      <w:marBottom w:val="0"/>
      <w:divBdr>
        <w:top w:val="none" w:sz="0" w:space="0" w:color="auto"/>
        <w:left w:val="none" w:sz="0" w:space="0" w:color="auto"/>
        <w:bottom w:val="none" w:sz="0" w:space="0" w:color="auto"/>
        <w:right w:val="none" w:sz="0" w:space="0" w:color="auto"/>
      </w:divBdr>
    </w:div>
    <w:div w:id="429354997">
      <w:bodyDiv w:val="1"/>
      <w:marLeft w:val="0"/>
      <w:marRight w:val="0"/>
      <w:marTop w:val="0"/>
      <w:marBottom w:val="0"/>
      <w:divBdr>
        <w:top w:val="none" w:sz="0" w:space="0" w:color="auto"/>
        <w:left w:val="none" w:sz="0" w:space="0" w:color="auto"/>
        <w:bottom w:val="none" w:sz="0" w:space="0" w:color="auto"/>
        <w:right w:val="none" w:sz="0" w:space="0" w:color="auto"/>
      </w:divBdr>
    </w:div>
    <w:div w:id="435756685">
      <w:bodyDiv w:val="1"/>
      <w:marLeft w:val="0"/>
      <w:marRight w:val="0"/>
      <w:marTop w:val="0"/>
      <w:marBottom w:val="0"/>
      <w:divBdr>
        <w:top w:val="none" w:sz="0" w:space="0" w:color="auto"/>
        <w:left w:val="none" w:sz="0" w:space="0" w:color="auto"/>
        <w:bottom w:val="none" w:sz="0" w:space="0" w:color="auto"/>
        <w:right w:val="none" w:sz="0" w:space="0" w:color="auto"/>
      </w:divBdr>
    </w:div>
    <w:div w:id="446436601">
      <w:bodyDiv w:val="1"/>
      <w:marLeft w:val="0"/>
      <w:marRight w:val="0"/>
      <w:marTop w:val="0"/>
      <w:marBottom w:val="0"/>
      <w:divBdr>
        <w:top w:val="none" w:sz="0" w:space="0" w:color="auto"/>
        <w:left w:val="none" w:sz="0" w:space="0" w:color="auto"/>
        <w:bottom w:val="none" w:sz="0" w:space="0" w:color="auto"/>
        <w:right w:val="none" w:sz="0" w:space="0" w:color="auto"/>
      </w:divBdr>
    </w:div>
    <w:div w:id="465440832">
      <w:bodyDiv w:val="1"/>
      <w:marLeft w:val="0"/>
      <w:marRight w:val="0"/>
      <w:marTop w:val="0"/>
      <w:marBottom w:val="0"/>
      <w:divBdr>
        <w:top w:val="none" w:sz="0" w:space="0" w:color="auto"/>
        <w:left w:val="none" w:sz="0" w:space="0" w:color="auto"/>
        <w:bottom w:val="none" w:sz="0" w:space="0" w:color="auto"/>
        <w:right w:val="none" w:sz="0" w:space="0" w:color="auto"/>
      </w:divBdr>
    </w:div>
    <w:div w:id="467012491">
      <w:bodyDiv w:val="1"/>
      <w:marLeft w:val="0"/>
      <w:marRight w:val="0"/>
      <w:marTop w:val="0"/>
      <w:marBottom w:val="0"/>
      <w:divBdr>
        <w:top w:val="none" w:sz="0" w:space="0" w:color="auto"/>
        <w:left w:val="none" w:sz="0" w:space="0" w:color="auto"/>
        <w:bottom w:val="none" w:sz="0" w:space="0" w:color="auto"/>
        <w:right w:val="none" w:sz="0" w:space="0" w:color="auto"/>
      </w:divBdr>
    </w:div>
    <w:div w:id="467013121">
      <w:bodyDiv w:val="1"/>
      <w:marLeft w:val="0"/>
      <w:marRight w:val="0"/>
      <w:marTop w:val="0"/>
      <w:marBottom w:val="0"/>
      <w:divBdr>
        <w:top w:val="none" w:sz="0" w:space="0" w:color="auto"/>
        <w:left w:val="none" w:sz="0" w:space="0" w:color="auto"/>
        <w:bottom w:val="none" w:sz="0" w:space="0" w:color="auto"/>
        <w:right w:val="none" w:sz="0" w:space="0" w:color="auto"/>
      </w:divBdr>
    </w:div>
    <w:div w:id="474027812">
      <w:bodyDiv w:val="1"/>
      <w:marLeft w:val="0"/>
      <w:marRight w:val="0"/>
      <w:marTop w:val="0"/>
      <w:marBottom w:val="0"/>
      <w:divBdr>
        <w:top w:val="none" w:sz="0" w:space="0" w:color="auto"/>
        <w:left w:val="none" w:sz="0" w:space="0" w:color="auto"/>
        <w:bottom w:val="none" w:sz="0" w:space="0" w:color="auto"/>
        <w:right w:val="none" w:sz="0" w:space="0" w:color="auto"/>
      </w:divBdr>
    </w:div>
    <w:div w:id="477497529">
      <w:bodyDiv w:val="1"/>
      <w:marLeft w:val="0"/>
      <w:marRight w:val="0"/>
      <w:marTop w:val="0"/>
      <w:marBottom w:val="0"/>
      <w:divBdr>
        <w:top w:val="none" w:sz="0" w:space="0" w:color="auto"/>
        <w:left w:val="none" w:sz="0" w:space="0" w:color="auto"/>
        <w:bottom w:val="none" w:sz="0" w:space="0" w:color="auto"/>
        <w:right w:val="none" w:sz="0" w:space="0" w:color="auto"/>
      </w:divBdr>
    </w:div>
    <w:div w:id="496842401">
      <w:bodyDiv w:val="1"/>
      <w:marLeft w:val="0"/>
      <w:marRight w:val="0"/>
      <w:marTop w:val="0"/>
      <w:marBottom w:val="0"/>
      <w:divBdr>
        <w:top w:val="none" w:sz="0" w:space="0" w:color="auto"/>
        <w:left w:val="none" w:sz="0" w:space="0" w:color="auto"/>
        <w:bottom w:val="none" w:sz="0" w:space="0" w:color="auto"/>
        <w:right w:val="none" w:sz="0" w:space="0" w:color="auto"/>
      </w:divBdr>
    </w:div>
    <w:div w:id="516504459">
      <w:bodyDiv w:val="1"/>
      <w:marLeft w:val="0"/>
      <w:marRight w:val="0"/>
      <w:marTop w:val="0"/>
      <w:marBottom w:val="0"/>
      <w:divBdr>
        <w:top w:val="none" w:sz="0" w:space="0" w:color="auto"/>
        <w:left w:val="none" w:sz="0" w:space="0" w:color="auto"/>
        <w:bottom w:val="none" w:sz="0" w:space="0" w:color="auto"/>
        <w:right w:val="none" w:sz="0" w:space="0" w:color="auto"/>
      </w:divBdr>
    </w:div>
    <w:div w:id="523251444">
      <w:bodyDiv w:val="1"/>
      <w:marLeft w:val="0"/>
      <w:marRight w:val="0"/>
      <w:marTop w:val="0"/>
      <w:marBottom w:val="0"/>
      <w:divBdr>
        <w:top w:val="none" w:sz="0" w:space="0" w:color="auto"/>
        <w:left w:val="none" w:sz="0" w:space="0" w:color="auto"/>
        <w:bottom w:val="none" w:sz="0" w:space="0" w:color="auto"/>
        <w:right w:val="none" w:sz="0" w:space="0" w:color="auto"/>
      </w:divBdr>
    </w:div>
    <w:div w:id="548419763">
      <w:bodyDiv w:val="1"/>
      <w:marLeft w:val="0"/>
      <w:marRight w:val="0"/>
      <w:marTop w:val="0"/>
      <w:marBottom w:val="0"/>
      <w:divBdr>
        <w:top w:val="none" w:sz="0" w:space="0" w:color="auto"/>
        <w:left w:val="none" w:sz="0" w:space="0" w:color="auto"/>
        <w:bottom w:val="none" w:sz="0" w:space="0" w:color="auto"/>
        <w:right w:val="none" w:sz="0" w:space="0" w:color="auto"/>
      </w:divBdr>
    </w:div>
    <w:div w:id="566916008">
      <w:bodyDiv w:val="1"/>
      <w:marLeft w:val="0"/>
      <w:marRight w:val="0"/>
      <w:marTop w:val="0"/>
      <w:marBottom w:val="0"/>
      <w:divBdr>
        <w:top w:val="none" w:sz="0" w:space="0" w:color="auto"/>
        <w:left w:val="none" w:sz="0" w:space="0" w:color="auto"/>
        <w:bottom w:val="none" w:sz="0" w:space="0" w:color="auto"/>
        <w:right w:val="none" w:sz="0" w:space="0" w:color="auto"/>
      </w:divBdr>
    </w:div>
    <w:div w:id="568348721">
      <w:bodyDiv w:val="1"/>
      <w:marLeft w:val="0"/>
      <w:marRight w:val="0"/>
      <w:marTop w:val="0"/>
      <w:marBottom w:val="0"/>
      <w:divBdr>
        <w:top w:val="none" w:sz="0" w:space="0" w:color="auto"/>
        <w:left w:val="none" w:sz="0" w:space="0" w:color="auto"/>
        <w:bottom w:val="none" w:sz="0" w:space="0" w:color="auto"/>
        <w:right w:val="none" w:sz="0" w:space="0" w:color="auto"/>
      </w:divBdr>
    </w:div>
    <w:div w:id="579681521">
      <w:bodyDiv w:val="1"/>
      <w:marLeft w:val="0"/>
      <w:marRight w:val="0"/>
      <w:marTop w:val="0"/>
      <w:marBottom w:val="0"/>
      <w:divBdr>
        <w:top w:val="none" w:sz="0" w:space="0" w:color="auto"/>
        <w:left w:val="none" w:sz="0" w:space="0" w:color="auto"/>
        <w:bottom w:val="none" w:sz="0" w:space="0" w:color="auto"/>
        <w:right w:val="none" w:sz="0" w:space="0" w:color="auto"/>
      </w:divBdr>
    </w:div>
    <w:div w:id="590234258">
      <w:bodyDiv w:val="1"/>
      <w:marLeft w:val="0"/>
      <w:marRight w:val="0"/>
      <w:marTop w:val="0"/>
      <w:marBottom w:val="0"/>
      <w:divBdr>
        <w:top w:val="none" w:sz="0" w:space="0" w:color="auto"/>
        <w:left w:val="none" w:sz="0" w:space="0" w:color="auto"/>
        <w:bottom w:val="none" w:sz="0" w:space="0" w:color="auto"/>
        <w:right w:val="none" w:sz="0" w:space="0" w:color="auto"/>
      </w:divBdr>
    </w:div>
    <w:div w:id="607395947">
      <w:bodyDiv w:val="1"/>
      <w:marLeft w:val="0"/>
      <w:marRight w:val="0"/>
      <w:marTop w:val="0"/>
      <w:marBottom w:val="0"/>
      <w:divBdr>
        <w:top w:val="none" w:sz="0" w:space="0" w:color="auto"/>
        <w:left w:val="none" w:sz="0" w:space="0" w:color="auto"/>
        <w:bottom w:val="none" w:sz="0" w:space="0" w:color="auto"/>
        <w:right w:val="none" w:sz="0" w:space="0" w:color="auto"/>
      </w:divBdr>
    </w:div>
    <w:div w:id="609237766">
      <w:bodyDiv w:val="1"/>
      <w:marLeft w:val="0"/>
      <w:marRight w:val="0"/>
      <w:marTop w:val="0"/>
      <w:marBottom w:val="0"/>
      <w:divBdr>
        <w:top w:val="none" w:sz="0" w:space="0" w:color="auto"/>
        <w:left w:val="none" w:sz="0" w:space="0" w:color="auto"/>
        <w:bottom w:val="none" w:sz="0" w:space="0" w:color="auto"/>
        <w:right w:val="none" w:sz="0" w:space="0" w:color="auto"/>
      </w:divBdr>
    </w:div>
    <w:div w:id="612247265">
      <w:bodyDiv w:val="1"/>
      <w:marLeft w:val="0"/>
      <w:marRight w:val="0"/>
      <w:marTop w:val="0"/>
      <w:marBottom w:val="0"/>
      <w:divBdr>
        <w:top w:val="none" w:sz="0" w:space="0" w:color="auto"/>
        <w:left w:val="none" w:sz="0" w:space="0" w:color="auto"/>
        <w:bottom w:val="none" w:sz="0" w:space="0" w:color="auto"/>
        <w:right w:val="none" w:sz="0" w:space="0" w:color="auto"/>
      </w:divBdr>
    </w:div>
    <w:div w:id="619847253">
      <w:bodyDiv w:val="1"/>
      <w:marLeft w:val="0"/>
      <w:marRight w:val="0"/>
      <w:marTop w:val="0"/>
      <w:marBottom w:val="0"/>
      <w:divBdr>
        <w:top w:val="none" w:sz="0" w:space="0" w:color="auto"/>
        <w:left w:val="none" w:sz="0" w:space="0" w:color="auto"/>
        <w:bottom w:val="none" w:sz="0" w:space="0" w:color="auto"/>
        <w:right w:val="none" w:sz="0" w:space="0" w:color="auto"/>
      </w:divBdr>
    </w:div>
    <w:div w:id="629481750">
      <w:bodyDiv w:val="1"/>
      <w:marLeft w:val="0"/>
      <w:marRight w:val="0"/>
      <w:marTop w:val="0"/>
      <w:marBottom w:val="0"/>
      <w:divBdr>
        <w:top w:val="none" w:sz="0" w:space="0" w:color="auto"/>
        <w:left w:val="none" w:sz="0" w:space="0" w:color="auto"/>
        <w:bottom w:val="none" w:sz="0" w:space="0" w:color="auto"/>
        <w:right w:val="none" w:sz="0" w:space="0" w:color="auto"/>
      </w:divBdr>
    </w:div>
    <w:div w:id="631667491">
      <w:bodyDiv w:val="1"/>
      <w:marLeft w:val="0"/>
      <w:marRight w:val="0"/>
      <w:marTop w:val="0"/>
      <w:marBottom w:val="0"/>
      <w:divBdr>
        <w:top w:val="none" w:sz="0" w:space="0" w:color="auto"/>
        <w:left w:val="none" w:sz="0" w:space="0" w:color="auto"/>
        <w:bottom w:val="none" w:sz="0" w:space="0" w:color="auto"/>
        <w:right w:val="none" w:sz="0" w:space="0" w:color="auto"/>
      </w:divBdr>
    </w:div>
    <w:div w:id="639844531">
      <w:bodyDiv w:val="1"/>
      <w:marLeft w:val="0"/>
      <w:marRight w:val="0"/>
      <w:marTop w:val="0"/>
      <w:marBottom w:val="0"/>
      <w:divBdr>
        <w:top w:val="none" w:sz="0" w:space="0" w:color="auto"/>
        <w:left w:val="none" w:sz="0" w:space="0" w:color="auto"/>
        <w:bottom w:val="none" w:sz="0" w:space="0" w:color="auto"/>
        <w:right w:val="none" w:sz="0" w:space="0" w:color="auto"/>
      </w:divBdr>
    </w:div>
    <w:div w:id="646276233">
      <w:bodyDiv w:val="1"/>
      <w:marLeft w:val="0"/>
      <w:marRight w:val="0"/>
      <w:marTop w:val="0"/>
      <w:marBottom w:val="0"/>
      <w:divBdr>
        <w:top w:val="none" w:sz="0" w:space="0" w:color="auto"/>
        <w:left w:val="none" w:sz="0" w:space="0" w:color="auto"/>
        <w:bottom w:val="none" w:sz="0" w:space="0" w:color="auto"/>
        <w:right w:val="none" w:sz="0" w:space="0" w:color="auto"/>
      </w:divBdr>
    </w:div>
    <w:div w:id="654181698">
      <w:bodyDiv w:val="1"/>
      <w:marLeft w:val="0"/>
      <w:marRight w:val="0"/>
      <w:marTop w:val="0"/>
      <w:marBottom w:val="0"/>
      <w:divBdr>
        <w:top w:val="none" w:sz="0" w:space="0" w:color="auto"/>
        <w:left w:val="none" w:sz="0" w:space="0" w:color="auto"/>
        <w:bottom w:val="none" w:sz="0" w:space="0" w:color="auto"/>
        <w:right w:val="none" w:sz="0" w:space="0" w:color="auto"/>
      </w:divBdr>
    </w:div>
    <w:div w:id="662900445">
      <w:bodyDiv w:val="1"/>
      <w:marLeft w:val="0"/>
      <w:marRight w:val="0"/>
      <w:marTop w:val="0"/>
      <w:marBottom w:val="0"/>
      <w:divBdr>
        <w:top w:val="none" w:sz="0" w:space="0" w:color="auto"/>
        <w:left w:val="none" w:sz="0" w:space="0" w:color="auto"/>
        <w:bottom w:val="none" w:sz="0" w:space="0" w:color="auto"/>
        <w:right w:val="none" w:sz="0" w:space="0" w:color="auto"/>
      </w:divBdr>
    </w:div>
    <w:div w:id="694695752">
      <w:bodyDiv w:val="1"/>
      <w:marLeft w:val="0"/>
      <w:marRight w:val="0"/>
      <w:marTop w:val="0"/>
      <w:marBottom w:val="0"/>
      <w:divBdr>
        <w:top w:val="none" w:sz="0" w:space="0" w:color="auto"/>
        <w:left w:val="none" w:sz="0" w:space="0" w:color="auto"/>
        <w:bottom w:val="none" w:sz="0" w:space="0" w:color="auto"/>
        <w:right w:val="none" w:sz="0" w:space="0" w:color="auto"/>
      </w:divBdr>
    </w:div>
    <w:div w:id="698745167">
      <w:bodyDiv w:val="1"/>
      <w:marLeft w:val="0"/>
      <w:marRight w:val="0"/>
      <w:marTop w:val="0"/>
      <w:marBottom w:val="0"/>
      <w:divBdr>
        <w:top w:val="none" w:sz="0" w:space="0" w:color="auto"/>
        <w:left w:val="none" w:sz="0" w:space="0" w:color="auto"/>
        <w:bottom w:val="none" w:sz="0" w:space="0" w:color="auto"/>
        <w:right w:val="none" w:sz="0" w:space="0" w:color="auto"/>
      </w:divBdr>
    </w:div>
    <w:div w:id="700201385">
      <w:bodyDiv w:val="1"/>
      <w:marLeft w:val="0"/>
      <w:marRight w:val="0"/>
      <w:marTop w:val="0"/>
      <w:marBottom w:val="0"/>
      <w:divBdr>
        <w:top w:val="none" w:sz="0" w:space="0" w:color="auto"/>
        <w:left w:val="none" w:sz="0" w:space="0" w:color="auto"/>
        <w:bottom w:val="none" w:sz="0" w:space="0" w:color="auto"/>
        <w:right w:val="none" w:sz="0" w:space="0" w:color="auto"/>
      </w:divBdr>
    </w:div>
    <w:div w:id="723023459">
      <w:bodyDiv w:val="1"/>
      <w:marLeft w:val="0"/>
      <w:marRight w:val="0"/>
      <w:marTop w:val="0"/>
      <w:marBottom w:val="0"/>
      <w:divBdr>
        <w:top w:val="none" w:sz="0" w:space="0" w:color="auto"/>
        <w:left w:val="none" w:sz="0" w:space="0" w:color="auto"/>
        <w:bottom w:val="none" w:sz="0" w:space="0" w:color="auto"/>
        <w:right w:val="none" w:sz="0" w:space="0" w:color="auto"/>
      </w:divBdr>
    </w:div>
    <w:div w:id="749621132">
      <w:bodyDiv w:val="1"/>
      <w:marLeft w:val="0"/>
      <w:marRight w:val="0"/>
      <w:marTop w:val="0"/>
      <w:marBottom w:val="0"/>
      <w:divBdr>
        <w:top w:val="none" w:sz="0" w:space="0" w:color="auto"/>
        <w:left w:val="none" w:sz="0" w:space="0" w:color="auto"/>
        <w:bottom w:val="none" w:sz="0" w:space="0" w:color="auto"/>
        <w:right w:val="none" w:sz="0" w:space="0" w:color="auto"/>
      </w:divBdr>
    </w:div>
    <w:div w:id="751466353">
      <w:bodyDiv w:val="1"/>
      <w:marLeft w:val="0"/>
      <w:marRight w:val="0"/>
      <w:marTop w:val="0"/>
      <w:marBottom w:val="0"/>
      <w:divBdr>
        <w:top w:val="none" w:sz="0" w:space="0" w:color="auto"/>
        <w:left w:val="none" w:sz="0" w:space="0" w:color="auto"/>
        <w:bottom w:val="none" w:sz="0" w:space="0" w:color="auto"/>
        <w:right w:val="none" w:sz="0" w:space="0" w:color="auto"/>
      </w:divBdr>
    </w:div>
    <w:div w:id="756443705">
      <w:bodyDiv w:val="1"/>
      <w:marLeft w:val="0"/>
      <w:marRight w:val="0"/>
      <w:marTop w:val="0"/>
      <w:marBottom w:val="0"/>
      <w:divBdr>
        <w:top w:val="none" w:sz="0" w:space="0" w:color="auto"/>
        <w:left w:val="none" w:sz="0" w:space="0" w:color="auto"/>
        <w:bottom w:val="none" w:sz="0" w:space="0" w:color="auto"/>
        <w:right w:val="none" w:sz="0" w:space="0" w:color="auto"/>
      </w:divBdr>
    </w:div>
    <w:div w:id="767121047">
      <w:bodyDiv w:val="1"/>
      <w:marLeft w:val="0"/>
      <w:marRight w:val="0"/>
      <w:marTop w:val="0"/>
      <w:marBottom w:val="0"/>
      <w:divBdr>
        <w:top w:val="none" w:sz="0" w:space="0" w:color="auto"/>
        <w:left w:val="none" w:sz="0" w:space="0" w:color="auto"/>
        <w:bottom w:val="none" w:sz="0" w:space="0" w:color="auto"/>
        <w:right w:val="none" w:sz="0" w:space="0" w:color="auto"/>
      </w:divBdr>
    </w:div>
    <w:div w:id="773551007">
      <w:bodyDiv w:val="1"/>
      <w:marLeft w:val="0"/>
      <w:marRight w:val="0"/>
      <w:marTop w:val="0"/>
      <w:marBottom w:val="0"/>
      <w:divBdr>
        <w:top w:val="none" w:sz="0" w:space="0" w:color="auto"/>
        <w:left w:val="none" w:sz="0" w:space="0" w:color="auto"/>
        <w:bottom w:val="none" w:sz="0" w:space="0" w:color="auto"/>
        <w:right w:val="none" w:sz="0" w:space="0" w:color="auto"/>
      </w:divBdr>
    </w:div>
    <w:div w:id="781147204">
      <w:bodyDiv w:val="1"/>
      <w:marLeft w:val="0"/>
      <w:marRight w:val="0"/>
      <w:marTop w:val="0"/>
      <w:marBottom w:val="0"/>
      <w:divBdr>
        <w:top w:val="none" w:sz="0" w:space="0" w:color="auto"/>
        <w:left w:val="none" w:sz="0" w:space="0" w:color="auto"/>
        <w:bottom w:val="none" w:sz="0" w:space="0" w:color="auto"/>
        <w:right w:val="none" w:sz="0" w:space="0" w:color="auto"/>
      </w:divBdr>
    </w:div>
    <w:div w:id="782773995">
      <w:bodyDiv w:val="1"/>
      <w:marLeft w:val="0"/>
      <w:marRight w:val="0"/>
      <w:marTop w:val="0"/>
      <w:marBottom w:val="0"/>
      <w:divBdr>
        <w:top w:val="none" w:sz="0" w:space="0" w:color="auto"/>
        <w:left w:val="none" w:sz="0" w:space="0" w:color="auto"/>
        <w:bottom w:val="none" w:sz="0" w:space="0" w:color="auto"/>
        <w:right w:val="none" w:sz="0" w:space="0" w:color="auto"/>
      </w:divBdr>
    </w:div>
    <w:div w:id="784808115">
      <w:bodyDiv w:val="1"/>
      <w:marLeft w:val="0"/>
      <w:marRight w:val="0"/>
      <w:marTop w:val="0"/>
      <w:marBottom w:val="0"/>
      <w:divBdr>
        <w:top w:val="none" w:sz="0" w:space="0" w:color="auto"/>
        <w:left w:val="none" w:sz="0" w:space="0" w:color="auto"/>
        <w:bottom w:val="none" w:sz="0" w:space="0" w:color="auto"/>
        <w:right w:val="none" w:sz="0" w:space="0" w:color="auto"/>
      </w:divBdr>
    </w:div>
    <w:div w:id="794719682">
      <w:bodyDiv w:val="1"/>
      <w:marLeft w:val="0"/>
      <w:marRight w:val="0"/>
      <w:marTop w:val="0"/>
      <w:marBottom w:val="0"/>
      <w:divBdr>
        <w:top w:val="none" w:sz="0" w:space="0" w:color="auto"/>
        <w:left w:val="none" w:sz="0" w:space="0" w:color="auto"/>
        <w:bottom w:val="none" w:sz="0" w:space="0" w:color="auto"/>
        <w:right w:val="none" w:sz="0" w:space="0" w:color="auto"/>
      </w:divBdr>
    </w:div>
    <w:div w:id="839464221">
      <w:bodyDiv w:val="1"/>
      <w:marLeft w:val="0"/>
      <w:marRight w:val="0"/>
      <w:marTop w:val="0"/>
      <w:marBottom w:val="0"/>
      <w:divBdr>
        <w:top w:val="none" w:sz="0" w:space="0" w:color="auto"/>
        <w:left w:val="none" w:sz="0" w:space="0" w:color="auto"/>
        <w:bottom w:val="none" w:sz="0" w:space="0" w:color="auto"/>
        <w:right w:val="none" w:sz="0" w:space="0" w:color="auto"/>
      </w:divBdr>
    </w:div>
    <w:div w:id="848829454">
      <w:bodyDiv w:val="1"/>
      <w:marLeft w:val="0"/>
      <w:marRight w:val="0"/>
      <w:marTop w:val="0"/>
      <w:marBottom w:val="0"/>
      <w:divBdr>
        <w:top w:val="none" w:sz="0" w:space="0" w:color="auto"/>
        <w:left w:val="none" w:sz="0" w:space="0" w:color="auto"/>
        <w:bottom w:val="none" w:sz="0" w:space="0" w:color="auto"/>
        <w:right w:val="none" w:sz="0" w:space="0" w:color="auto"/>
      </w:divBdr>
    </w:div>
    <w:div w:id="854073135">
      <w:bodyDiv w:val="1"/>
      <w:marLeft w:val="0"/>
      <w:marRight w:val="0"/>
      <w:marTop w:val="0"/>
      <w:marBottom w:val="0"/>
      <w:divBdr>
        <w:top w:val="none" w:sz="0" w:space="0" w:color="auto"/>
        <w:left w:val="none" w:sz="0" w:space="0" w:color="auto"/>
        <w:bottom w:val="none" w:sz="0" w:space="0" w:color="auto"/>
        <w:right w:val="none" w:sz="0" w:space="0" w:color="auto"/>
      </w:divBdr>
    </w:div>
    <w:div w:id="855193949">
      <w:bodyDiv w:val="1"/>
      <w:marLeft w:val="0"/>
      <w:marRight w:val="0"/>
      <w:marTop w:val="0"/>
      <w:marBottom w:val="0"/>
      <w:divBdr>
        <w:top w:val="none" w:sz="0" w:space="0" w:color="auto"/>
        <w:left w:val="none" w:sz="0" w:space="0" w:color="auto"/>
        <w:bottom w:val="none" w:sz="0" w:space="0" w:color="auto"/>
        <w:right w:val="none" w:sz="0" w:space="0" w:color="auto"/>
      </w:divBdr>
    </w:div>
    <w:div w:id="855966121">
      <w:bodyDiv w:val="1"/>
      <w:marLeft w:val="0"/>
      <w:marRight w:val="0"/>
      <w:marTop w:val="0"/>
      <w:marBottom w:val="0"/>
      <w:divBdr>
        <w:top w:val="none" w:sz="0" w:space="0" w:color="auto"/>
        <w:left w:val="none" w:sz="0" w:space="0" w:color="auto"/>
        <w:bottom w:val="none" w:sz="0" w:space="0" w:color="auto"/>
        <w:right w:val="none" w:sz="0" w:space="0" w:color="auto"/>
      </w:divBdr>
    </w:div>
    <w:div w:id="856238681">
      <w:bodyDiv w:val="1"/>
      <w:marLeft w:val="0"/>
      <w:marRight w:val="0"/>
      <w:marTop w:val="0"/>
      <w:marBottom w:val="0"/>
      <w:divBdr>
        <w:top w:val="none" w:sz="0" w:space="0" w:color="auto"/>
        <w:left w:val="none" w:sz="0" w:space="0" w:color="auto"/>
        <w:bottom w:val="none" w:sz="0" w:space="0" w:color="auto"/>
        <w:right w:val="none" w:sz="0" w:space="0" w:color="auto"/>
      </w:divBdr>
    </w:div>
    <w:div w:id="857961318">
      <w:bodyDiv w:val="1"/>
      <w:marLeft w:val="0"/>
      <w:marRight w:val="0"/>
      <w:marTop w:val="0"/>
      <w:marBottom w:val="0"/>
      <w:divBdr>
        <w:top w:val="none" w:sz="0" w:space="0" w:color="auto"/>
        <w:left w:val="none" w:sz="0" w:space="0" w:color="auto"/>
        <w:bottom w:val="none" w:sz="0" w:space="0" w:color="auto"/>
        <w:right w:val="none" w:sz="0" w:space="0" w:color="auto"/>
      </w:divBdr>
    </w:div>
    <w:div w:id="858928952">
      <w:bodyDiv w:val="1"/>
      <w:marLeft w:val="0"/>
      <w:marRight w:val="0"/>
      <w:marTop w:val="0"/>
      <w:marBottom w:val="0"/>
      <w:divBdr>
        <w:top w:val="none" w:sz="0" w:space="0" w:color="auto"/>
        <w:left w:val="none" w:sz="0" w:space="0" w:color="auto"/>
        <w:bottom w:val="none" w:sz="0" w:space="0" w:color="auto"/>
        <w:right w:val="none" w:sz="0" w:space="0" w:color="auto"/>
      </w:divBdr>
    </w:div>
    <w:div w:id="868301012">
      <w:bodyDiv w:val="1"/>
      <w:marLeft w:val="0"/>
      <w:marRight w:val="0"/>
      <w:marTop w:val="0"/>
      <w:marBottom w:val="0"/>
      <w:divBdr>
        <w:top w:val="none" w:sz="0" w:space="0" w:color="auto"/>
        <w:left w:val="none" w:sz="0" w:space="0" w:color="auto"/>
        <w:bottom w:val="none" w:sz="0" w:space="0" w:color="auto"/>
        <w:right w:val="none" w:sz="0" w:space="0" w:color="auto"/>
      </w:divBdr>
    </w:div>
    <w:div w:id="871646279">
      <w:bodyDiv w:val="1"/>
      <w:marLeft w:val="0"/>
      <w:marRight w:val="0"/>
      <w:marTop w:val="0"/>
      <w:marBottom w:val="0"/>
      <w:divBdr>
        <w:top w:val="none" w:sz="0" w:space="0" w:color="auto"/>
        <w:left w:val="none" w:sz="0" w:space="0" w:color="auto"/>
        <w:bottom w:val="none" w:sz="0" w:space="0" w:color="auto"/>
        <w:right w:val="none" w:sz="0" w:space="0" w:color="auto"/>
      </w:divBdr>
    </w:div>
    <w:div w:id="876430420">
      <w:bodyDiv w:val="1"/>
      <w:marLeft w:val="0"/>
      <w:marRight w:val="0"/>
      <w:marTop w:val="0"/>
      <w:marBottom w:val="0"/>
      <w:divBdr>
        <w:top w:val="none" w:sz="0" w:space="0" w:color="auto"/>
        <w:left w:val="none" w:sz="0" w:space="0" w:color="auto"/>
        <w:bottom w:val="none" w:sz="0" w:space="0" w:color="auto"/>
        <w:right w:val="none" w:sz="0" w:space="0" w:color="auto"/>
      </w:divBdr>
    </w:div>
    <w:div w:id="878588758">
      <w:bodyDiv w:val="1"/>
      <w:marLeft w:val="0"/>
      <w:marRight w:val="0"/>
      <w:marTop w:val="0"/>
      <w:marBottom w:val="0"/>
      <w:divBdr>
        <w:top w:val="none" w:sz="0" w:space="0" w:color="auto"/>
        <w:left w:val="none" w:sz="0" w:space="0" w:color="auto"/>
        <w:bottom w:val="none" w:sz="0" w:space="0" w:color="auto"/>
        <w:right w:val="none" w:sz="0" w:space="0" w:color="auto"/>
      </w:divBdr>
    </w:div>
    <w:div w:id="884177532">
      <w:bodyDiv w:val="1"/>
      <w:marLeft w:val="0"/>
      <w:marRight w:val="0"/>
      <w:marTop w:val="0"/>
      <w:marBottom w:val="0"/>
      <w:divBdr>
        <w:top w:val="none" w:sz="0" w:space="0" w:color="auto"/>
        <w:left w:val="none" w:sz="0" w:space="0" w:color="auto"/>
        <w:bottom w:val="none" w:sz="0" w:space="0" w:color="auto"/>
        <w:right w:val="none" w:sz="0" w:space="0" w:color="auto"/>
      </w:divBdr>
    </w:div>
    <w:div w:id="886838313">
      <w:bodyDiv w:val="1"/>
      <w:marLeft w:val="0"/>
      <w:marRight w:val="0"/>
      <w:marTop w:val="0"/>
      <w:marBottom w:val="0"/>
      <w:divBdr>
        <w:top w:val="none" w:sz="0" w:space="0" w:color="auto"/>
        <w:left w:val="none" w:sz="0" w:space="0" w:color="auto"/>
        <w:bottom w:val="none" w:sz="0" w:space="0" w:color="auto"/>
        <w:right w:val="none" w:sz="0" w:space="0" w:color="auto"/>
      </w:divBdr>
    </w:div>
    <w:div w:id="889146649">
      <w:bodyDiv w:val="1"/>
      <w:marLeft w:val="0"/>
      <w:marRight w:val="0"/>
      <w:marTop w:val="0"/>
      <w:marBottom w:val="0"/>
      <w:divBdr>
        <w:top w:val="none" w:sz="0" w:space="0" w:color="auto"/>
        <w:left w:val="none" w:sz="0" w:space="0" w:color="auto"/>
        <w:bottom w:val="none" w:sz="0" w:space="0" w:color="auto"/>
        <w:right w:val="none" w:sz="0" w:space="0" w:color="auto"/>
      </w:divBdr>
    </w:div>
    <w:div w:id="900336705">
      <w:bodyDiv w:val="1"/>
      <w:marLeft w:val="0"/>
      <w:marRight w:val="0"/>
      <w:marTop w:val="0"/>
      <w:marBottom w:val="0"/>
      <w:divBdr>
        <w:top w:val="none" w:sz="0" w:space="0" w:color="auto"/>
        <w:left w:val="none" w:sz="0" w:space="0" w:color="auto"/>
        <w:bottom w:val="none" w:sz="0" w:space="0" w:color="auto"/>
        <w:right w:val="none" w:sz="0" w:space="0" w:color="auto"/>
      </w:divBdr>
    </w:div>
    <w:div w:id="905072878">
      <w:bodyDiv w:val="1"/>
      <w:marLeft w:val="0"/>
      <w:marRight w:val="0"/>
      <w:marTop w:val="0"/>
      <w:marBottom w:val="0"/>
      <w:divBdr>
        <w:top w:val="none" w:sz="0" w:space="0" w:color="auto"/>
        <w:left w:val="none" w:sz="0" w:space="0" w:color="auto"/>
        <w:bottom w:val="none" w:sz="0" w:space="0" w:color="auto"/>
        <w:right w:val="none" w:sz="0" w:space="0" w:color="auto"/>
      </w:divBdr>
    </w:div>
    <w:div w:id="908468056">
      <w:bodyDiv w:val="1"/>
      <w:marLeft w:val="0"/>
      <w:marRight w:val="0"/>
      <w:marTop w:val="0"/>
      <w:marBottom w:val="0"/>
      <w:divBdr>
        <w:top w:val="none" w:sz="0" w:space="0" w:color="auto"/>
        <w:left w:val="none" w:sz="0" w:space="0" w:color="auto"/>
        <w:bottom w:val="none" w:sz="0" w:space="0" w:color="auto"/>
        <w:right w:val="none" w:sz="0" w:space="0" w:color="auto"/>
      </w:divBdr>
    </w:div>
    <w:div w:id="927231753">
      <w:bodyDiv w:val="1"/>
      <w:marLeft w:val="0"/>
      <w:marRight w:val="0"/>
      <w:marTop w:val="0"/>
      <w:marBottom w:val="0"/>
      <w:divBdr>
        <w:top w:val="none" w:sz="0" w:space="0" w:color="auto"/>
        <w:left w:val="none" w:sz="0" w:space="0" w:color="auto"/>
        <w:bottom w:val="none" w:sz="0" w:space="0" w:color="auto"/>
        <w:right w:val="none" w:sz="0" w:space="0" w:color="auto"/>
      </w:divBdr>
    </w:div>
    <w:div w:id="9355531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74678288">
      <w:bodyDiv w:val="1"/>
      <w:marLeft w:val="0"/>
      <w:marRight w:val="0"/>
      <w:marTop w:val="0"/>
      <w:marBottom w:val="0"/>
      <w:divBdr>
        <w:top w:val="none" w:sz="0" w:space="0" w:color="auto"/>
        <w:left w:val="none" w:sz="0" w:space="0" w:color="auto"/>
        <w:bottom w:val="none" w:sz="0" w:space="0" w:color="auto"/>
        <w:right w:val="none" w:sz="0" w:space="0" w:color="auto"/>
      </w:divBdr>
    </w:div>
    <w:div w:id="974682843">
      <w:bodyDiv w:val="1"/>
      <w:marLeft w:val="0"/>
      <w:marRight w:val="0"/>
      <w:marTop w:val="0"/>
      <w:marBottom w:val="0"/>
      <w:divBdr>
        <w:top w:val="none" w:sz="0" w:space="0" w:color="auto"/>
        <w:left w:val="none" w:sz="0" w:space="0" w:color="auto"/>
        <w:bottom w:val="none" w:sz="0" w:space="0" w:color="auto"/>
        <w:right w:val="none" w:sz="0" w:space="0" w:color="auto"/>
      </w:divBdr>
    </w:div>
    <w:div w:id="983125340">
      <w:bodyDiv w:val="1"/>
      <w:marLeft w:val="0"/>
      <w:marRight w:val="0"/>
      <w:marTop w:val="0"/>
      <w:marBottom w:val="0"/>
      <w:divBdr>
        <w:top w:val="none" w:sz="0" w:space="0" w:color="auto"/>
        <w:left w:val="none" w:sz="0" w:space="0" w:color="auto"/>
        <w:bottom w:val="none" w:sz="0" w:space="0" w:color="auto"/>
        <w:right w:val="none" w:sz="0" w:space="0" w:color="auto"/>
      </w:divBdr>
    </w:div>
    <w:div w:id="984236180">
      <w:bodyDiv w:val="1"/>
      <w:marLeft w:val="0"/>
      <w:marRight w:val="0"/>
      <w:marTop w:val="0"/>
      <w:marBottom w:val="0"/>
      <w:divBdr>
        <w:top w:val="none" w:sz="0" w:space="0" w:color="auto"/>
        <w:left w:val="none" w:sz="0" w:space="0" w:color="auto"/>
        <w:bottom w:val="none" w:sz="0" w:space="0" w:color="auto"/>
        <w:right w:val="none" w:sz="0" w:space="0" w:color="auto"/>
      </w:divBdr>
    </w:div>
    <w:div w:id="989407728">
      <w:bodyDiv w:val="1"/>
      <w:marLeft w:val="0"/>
      <w:marRight w:val="0"/>
      <w:marTop w:val="0"/>
      <w:marBottom w:val="0"/>
      <w:divBdr>
        <w:top w:val="none" w:sz="0" w:space="0" w:color="auto"/>
        <w:left w:val="none" w:sz="0" w:space="0" w:color="auto"/>
        <w:bottom w:val="none" w:sz="0" w:space="0" w:color="auto"/>
        <w:right w:val="none" w:sz="0" w:space="0" w:color="auto"/>
      </w:divBdr>
    </w:div>
    <w:div w:id="989751702">
      <w:bodyDiv w:val="1"/>
      <w:marLeft w:val="0"/>
      <w:marRight w:val="0"/>
      <w:marTop w:val="0"/>
      <w:marBottom w:val="0"/>
      <w:divBdr>
        <w:top w:val="none" w:sz="0" w:space="0" w:color="auto"/>
        <w:left w:val="none" w:sz="0" w:space="0" w:color="auto"/>
        <w:bottom w:val="none" w:sz="0" w:space="0" w:color="auto"/>
        <w:right w:val="none" w:sz="0" w:space="0" w:color="auto"/>
      </w:divBdr>
    </w:div>
    <w:div w:id="990404419">
      <w:bodyDiv w:val="1"/>
      <w:marLeft w:val="0"/>
      <w:marRight w:val="0"/>
      <w:marTop w:val="0"/>
      <w:marBottom w:val="0"/>
      <w:divBdr>
        <w:top w:val="none" w:sz="0" w:space="0" w:color="auto"/>
        <w:left w:val="none" w:sz="0" w:space="0" w:color="auto"/>
        <w:bottom w:val="none" w:sz="0" w:space="0" w:color="auto"/>
        <w:right w:val="none" w:sz="0" w:space="0" w:color="auto"/>
      </w:divBdr>
    </w:div>
    <w:div w:id="1004094253">
      <w:bodyDiv w:val="1"/>
      <w:marLeft w:val="0"/>
      <w:marRight w:val="0"/>
      <w:marTop w:val="0"/>
      <w:marBottom w:val="0"/>
      <w:divBdr>
        <w:top w:val="none" w:sz="0" w:space="0" w:color="auto"/>
        <w:left w:val="none" w:sz="0" w:space="0" w:color="auto"/>
        <w:bottom w:val="none" w:sz="0" w:space="0" w:color="auto"/>
        <w:right w:val="none" w:sz="0" w:space="0" w:color="auto"/>
      </w:divBdr>
    </w:div>
    <w:div w:id="1016929088">
      <w:bodyDiv w:val="1"/>
      <w:marLeft w:val="0"/>
      <w:marRight w:val="0"/>
      <w:marTop w:val="0"/>
      <w:marBottom w:val="0"/>
      <w:divBdr>
        <w:top w:val="none" w:sz="0" w:space="0" w:color="auto"/>
        <w:left w:val="none" w:sz="0" w:space="0" w:color="auto"/>
        <w:bottom w:val="none" w:sz="0" w:space="0" w:color="auto"/>
        <w:right w:val="none" w:sz="0" w:space="0" w:color="auto"/>
      </w:divBdr>
    </w:div>
    <w:div w:id="1018387927">
      <w:bodyDiv w:val="1"/>
      <w:marLeft w:val="0"/>
      <w:marRight w:val="0"/>
      <w:marTop w:val="0"/>
      <w:marBottom w:val="0"/>
      <w:divBdr>
        <w:top w:val="none" w:sz="0" w:space="0" w:color="auto"/>
        <w:left w:val="none" w:sz="0" w:space="0" w:color="auto"/>
        <w:bottom w:val="none" w:sz="0" w:space="0" w:color="auto"/>
        <w:right w:val="none" w:sz="0" w:space="0" w:color="auto"/>
      </w:divBdr>
    </w:div>
    <w:div w:id="1021202154">
      <w:bodyDiv w:val="1"/>
      <w:marLeft w:val="0"/>
      <w:marRight w:val="0"/>
      <w:marTop w:val="0"/>
      <w:marBottom w:val="0"/>
      <w:divBdr>
        <w:top w:val="none" w:sz="0" w:space="0" w:color="auto"/>
        <w:left w:val="none" w:sz="0" w:space="0" w:color="auto"/>
        <w:bottom w:val="none" w:sz="0" w:space="0" w:color="auto"/>
        <w:right w:val="none" w:sz="0" w:space="0" w:color="auto"/>
      </w:divBdr>
    </w:div>
    <w:div w:id="1029725251">
      <w:bodyDiv w:val="1"/>
      <w:marLeft w:val="0"/>
      <w:marRight w:val="0"/>
      <w:marTop w:val="0"/>
      <w:marBottom w:val="0"/>
      <w:divBdr>
        <w:top w:val="none" w:sz="0" w:space="0" w:color="auto"/>
        <w:left w:val="none" w:sz="0" w:space="0" w:color="auto"/>
        <w:bottom w:val="none" w:sz="0" w:space="0" w:color="auto"/>
        <w:right w:val="none" w:sz="0" w:space="0" w:color="auto"/>
      </w:divBdr>
    </w:div>
    <w:div w:id="1030304865">
      <w:bodyDiv w:val="1"/>
      <w:marLeft w:val="0"/>
      <w:marRight w:val="0"/>
      <w:marTop w:val="0"/>
      <w:marBottom w:val="0"/>
      <w:divBdr>
        <w:top w:val="none" w:sz="0" w:space="0" w:color="auto"/>
        <w:left w:val="none" w:sz="0" w:space="0" w:color="auto"/>
        <w:bottom w:val="none" w:sz="0" w:space="0" w:color="auto"/>
        <w:right w:val="none" w:sz="0" w:space="0" w:color="auto"/>
      </w:divBdr>
    </w:div>
    <w:div w:id="1043867631">
      <w:bodyDiv w:val="1"/>
      <w:marLeft w:val="0"/>
      <w:marRight w:val="0"/>
      <w:marTop w:val="0"/>
      <w:marBottom w:val="0"/>
      <w:divBdr>
        <w:top w:val="none" w:sz="0" w:space="0" w:color="auto"/>
        <w:left w:val="none" w:sz="0" w:space="0" w:color="auto"/>
        <w:bottom w:val="none" w:sz="0" w:space="0" w:color="auto"/>
        <w:right w:val="none" w:sz="0" w:space="0" w:color="auto"/>
      </w:divBdr>
    </w:div>
    <w:div w:id="1044257289">
      <w:bodyDiv w:val="1"/>
      <w:marLeft w:val="0"/>
      <w:marRight w:val="0"/>
      <w:marTop w:val="0"/>
      <w:marBottom w:val="0"/>
      <w:divBdr>
        <w:top w:val="none" w:sz="0" w:space="0" w:color="auto"/>
        <w:left w:val="none" w:sz="0" w:space="0" w:color="auto"/>
        <w:bottom w:val="none" w:sz="0" w:space="0" w:color="auto"/>
        <w:right w:val="none" w:sz="0" w:space="0" w:color="auto"/>
      </w:divBdr>
    </w:div>
    <w:div w:id="1047149568">
      <w:bodyDiv w:val="1"/>
      <w:marLeft w:val="0"/>
      <w:marRight w:val="0"/>
      <w:marTop w:val="0"/>
      <w:marBottom w:val="0"/>
      <w:divBdr>
        <w:top w:val="none" w:sz="0" w:space="0" w:color="auto"/>
        <w:left w:val="none" w:sz="0" w:space="0" w:color="auto"/>
        <w:bottom w:val="none" w:sz="0" w:space="0" w:color="auto"/>
        <w:right w:val="none" w:sz="0" w:space="0" w:color="auto"/>
      </w:divBdr>
    </w:div>
    <w:div w:id="1048335127">
      <w:bodyDiv w:val="1"/>
      <w:marLeft w:val="0"/>
      <w:marRight w:val="0"/>
      <w:marTop w:val="0"/>
      <w:marBottom w:val="0"/>
      <w:divBdr>
        <w:top w:val="none" w:sz="0" w:space="0" w:color="auto"/>
        <w:left w:val="none" w:sz="0" w:space="0" w:color="auto"/>
        <w:bottom w:val="none" w:sz="0" w:space="0" w:color="auto"/>
        <w:right w:val="none" w:sz="0" w:space="0" w:color="auto"/>
      </w:divBdr>
    </w:div>
    <w:div w:id="1051539074">
      <w:bodyDiv w:val="1"/>
      <w:marLeft w:val="0"/>
      <w:marRight w:val="0"/>
      <w:marTop w:val="0"/>
      <w:marBottom w:val="0"/>
      <w:divBdr>
        <w:top w:val="none" w:sz="0" w:space="0" w:color="auto"/>
        <w:left w:val="none" w:sz="0" w:space="0" w:color="auto"/>
        <w:bottom w:val="none" w:sz="0" w:space="0" w:color="auto"/>
        <w:right w:val="none" w:sz="0" w:space="0" w:color="auto"/>
      </w:divBdr>
    </w:div>
    <w:div w:id="1053311075">
      <w:bodyDiv w:val="1"/>
      <w:marLeft w:val="0"/>
      <w:marRight w:val="0"/>
      <w:marTop w:val="0"/>
      <w:marBottom w:val="0"/>
      <w:divBdr>
        <w:top w:val="none" w:sz="0" w:space="0" w:color="auto"/>
        <w:left w:val="none" w:sz="0" w:space="0" w:color="auto"/>
        <w:bottom w:val="none" w:sz="0" w:space="0" w:color="auto"/>
        <w:right w:val="none" w:sz="0" w:space="0" w:color="auto"/>
      </w:divBdr>
    </w:div>
    <w:div w:id="1059742145">
      <w:bodyDiv w:val="1"/>
      <w:marLeft w:val="0"/>
      <w:marRight w:val="0"/>
      <w:marTop w:val="0"/>
      <w:marBottom w:val="0"/>
      <w:divBdr>
        <w:top w:val="none" w:sz="0" w:space="0" w:color="auto"/>
        <w:left w:val="none" w:sz="0" w:space="0" w:color="auto"/>
        <w:bottom w:val="none" w:sz="0" w:space="0" w:color="auto"/>
        <w:right w:val="none" w:sz="0" w:space="0" w:color="auto"/>
      </w:divBdr>
    </w:div>
    <w:div w:id="1070619825">
      <w:bodyDiv w:val="1"/>
      <w:marLeft w:val="0"/>
      <w:marRight w:val="0"/>
      <w:marTop w:val="0"/>
      <w:marBottom w:val="0"/>
      <w:divBdr>
        <w:top w:val="none" w:sz="0" w:space="0" w:color="auto"/>
        <w:left w:val="none" w:sz="0" w:space="0" w:color="auto"/>
        <w:bottom w:val="none" w:sz="0" w:space="0" w:color="auto"/>
        <w:right w:val="none" w:sz="0" w:space="0" w:color="auto"/>
      </w:divBdr>
    </w:div>
    <w:div w:id="1096946470">
      <w:bodyDiv w:val="1"/>
      <w:marLeft w:val="0"/>
      <w:marRight w:val="0"/>
      <w:marTop w:val="0"/>
      <w:marBottom w:val="0"/>
      <w:divBdr>
        <w:top w:val="none" w:sz="0" w:space="0" w:color="auto"/>
        <w:left w:val="none" w:sz="0" w:space="0" w:color="auto"/>
        <w:bottom w:val="none" w:sz="0" w:space="0" w:color="auto"/>
        <w:right w:val="none" w:sz="0" w:space="0" w:color="auto"/>
      </w:divBdr>
    </w:div>
    <w:div w:id="1101338227">
      <w:bodyDiv w:val="1"/>
      <w:marLeft w:val="0"/>
      <w:marRight w:val="0"/>
      <w:marTop w:val="0"/>
      <w:marBottom w:val="0"/>
      <w:divBdr>
        <w:top w:val="none" w:sz="0" w:space="0" w:color="auto"/>
        <w:left w:val="none" w:sz="0" w:space="0" w:color="auto"/>
        <w:bottom w:val="none" w:sz="0" w:space="0" w:color="auto"/>
        <w:right w:val="none" w:sz="0" w:space="0" w:color="auto"/>
      </w:divBdr>
    </w:div>
    <w:div w:id="1122192453">
      <w:bodyDiv w:val="1"/>
      <w:marLeft w:val="0"/>
      <w:marRight w:val="0"/>
      <w:marTop w:val="0"/>
      <w:marBottom w:val="0"/>
      <w:divBdr>
        <w:top w:val="none" w:sz="0" w:space="0" w:color="auto"/>
        <w:left w:val="none" w:sz="0" w:space="0" w:color="auto"/>
        <w:bottom w:val="none" w:sz="0" w:space="0" w:color="auto"/>
        <w:right w:val="none" w:sz="0" w:space="0" w:color="auto"/>
      </w:divBdr>
    </w:div>
    <w:div w:id="1138380524">
      <w:bodyDiv w:val="1"/>
      <w:marLeft w:val="0"/>
      <w:marRight w:val="0"/>
      <w:marTop w:val="0"/>
      <w:marBottom w:val="0"/>
      <w:divBdr>
        <w:top w:val="none" w:sz="0" w:space="0" w:color="auto"/>
        <w:left w:val="none" w:sz="0" w:space="0" w:color="auto"/>
        <w:bottom w:val="none" w:sz="0" w:space="0" w:color="auto"/>
        <w:right w:val="none" w:sz="0" w:space="0" w:color="auto"/>
      </w:divBdr>
    </w:div>
    <w:div w:id="1145468876">
      <w:bodyDiv w:val="1"/>
      <w:marLeft w:val="0"/>
      <w:marRight w:val="0"/>
      <w:marTop w:val="0"/>
      <w:marBottom w:val="0"/>
      <w:divBdr>
        <w:top w:val="none" w:sz="0" w:space="0" w:color="auto"/>
        <w:left w:val="none" w:sz="0" w:space="0" w:color="auto"/>
        <w:bottom w:val="none" w:sz="0" w:space="0" w:color="auto"/>
        <w:right w:val="none" w:sz="0" w:space="0" w:color="auto"/>
      </w:divBdr>
    </w:div>
    <w:div w:id="1151601088">
      <w:bodyDiv w:val="1"/>
      <w:marLeft w:val="0"/>
      <w:marRight w:val="0"/>
      <w:marTop w:val="0"/>
      <w:marBottom w:val="0"/>
      <w:divBdr>
        <w:top w:val="none" w:sz="0" w:space="0" w:color="auto"/>
        <w:left w:val="none" w:sz="0" w:space="0" w:color="auto"/>
        <w:bottom w:val="none" w:sz="0" w:space="0" w:color="auto"/>
        <w:right w:val="none" w:sz="0" w:space="0" w:color="auto"/>
      </w:divBdr>
    </w:div>
    <w:div w:id="1154833343">
      <w:bodyDiv w:val="1"/>
      <w:marLeft w:val="0"/>
      <w:marRight w:val="0"/>
      <w:marTop w:val="0"/>
      <w:marBottom w:val="0"/>
      <w:divBdr>
        <w:top w:val="none" w:sz="0" w:space="0" w:color="auto"/>
        <w:left w:val="none" w:sz="0" w:space="0" w:color="auto"/>
        <w:bottom w:val="none" w:sz="0" w:space="0" w:color="auto"/>
        <w:right w:val="none" w:sz="0" w:space="0" w:color="auto"/>
      </w:divBdr>
    </w:div>
    <w:div w:id="1156533063">
      <w:bodyDiv w:val="1"/>
      <w:marLeft w:val="0"/>
      <w:marRight w:val="0"/>
      <w:marTop w:val="0"/>
      <w:marBottom w:val="0"/>
      <w:divBdr>
        <w:top w:val="none" w:sz="0" w:space="0" w:color="auto"/>
        <w:left w:val="none" w:sz="0" w:space="0" w:color="auto"/>
        <w:bottom w:val="none" w:sz="0" w:space="0" w:color="auto"/>
        <w:right w:val="none" w:sz="0" w:space="0" w:color="auto"/>
      </w:divBdr>
    </w:div>
    <w:div w:id="1159231955">
      <w:bodyDiv w:val="1"/>
      <w:marLeft w:val="0"/>
      <w:marRight w:val="0"/>
      <w:marTop w:val="0"/>
      <w:marBottom w:val="0"/>
      <w:divBdr>
        <w:top w:val="none" w:sz="0" w:space="0" w:color="auto"/>
        <w:left w:val="none" w:sz="0" w:space="0" w:color="auto"/>
        <w:bottom w:val="none" w:sz="0" w:space="0" w:color="auto"/>
        <w:right w:val="none" w:sz="0" w:space="0" w:color="auto"/>
      </w:divBdr>
    </w:div>
    <w:div w:id="1162745018">
      <w:bodyDiv w:val="1"/>
      <w:marLeft w:val="0"/>
      <w:marRight w:val="0"/>
      <w:marTop w:val="0"/>
      <w:marBottom w:val="0"/>
      <w:divBdr>
        <w:top w:val="none" w:sz="0" w:space="0" w:color="auto"/>
        <w:left w:val="none" w:sz="0" w:space="0" w:color="auto"/>
        <w:bottom w:val="none" w:sz="0" w:space="0" w:color="auto"/>
        <w:right w:val="none" w:sz="0" w:space="0" w:color="auto"/>
      </w:divBdr>
    </w:div>
    <w:div w:id="1168977366">
      <w:bodyDiv w:val="1"/>
      <w:marLeft w:val="0"/>
      <w:marRight w:val="0"/>
      <w:marTop w:val="0"/>
      <w:marBottom w:val="0"/>
      <w:divBdr>
        <w:top w:val="none" w:sz="0" w:space="0" w:color="auto"/>
        <w:left w:val="none" w:sz="0" w:space="0" w:color="auto"/>
        <w:bottom w:val="none" w:sz="0" w:space="0" w:color="auto"/>
        <w:right w:val="none" w:sz="0" w:space="0" w:color="auto"/>
      </w:divBdr>
    </w:div>
    <w:div w:id="1193954155">
      <w:bodyDiv w:val="1"/>
      <w:marLeft w:val="0"/>
      <w:marRight w:val="0"/>
      <w:marTop w:val="0"/>
      <w:marBottom w:val="0"/>
      <w:divBdr>
        <w:top w:val="none" w:sz="0" w:space="0" w:color="auto"/>
        <w:left w:val="none" w:sz="0" w:space="0" w:color="auto"/>
        <w:bottom w:val="none" w:sz="0" w:space="0" w:color="auto"/>
        <w:right w:val="none" w:sz="0" w:space="0" w:color="auto"/>
      </w:divBdr>
    </w:div>
    <w:div w:id="1202669854">
      <w:bodyDiv w:val="1"/>
      <w:marLeft w:val="0"/>
      <w:marRight w:val="0"/>
      <w:marTop w:val="0"/>
      <w:marBottom w:val="0"/>
      <w:divBdr>
        <w:top w:val="none" w:sz="0" w:space="0" w:color="auto"/>
        <w:left w:val="none" w:sz="0" w:space="0" w:color="auto"/>
        <w:bottom w:val="none" w:sz="0" w:space="0" w:color="auto"/>
        <w:right w:val="none" w:sz="0" w:space="0" w:color="auto"/>
      </w:divBdr>
    </w:div>
    <w:div w:id="1210921586">
      <w:bodyDiv w:val="1"/>
      <w:marLeft w:val="0"/>
      <w:marRight w:val="0"/>
      <w:marTop w:val="0"/>
      <w:marBottom w:val="0"/>
      <w:divBdr>
        <w:top w:val="none" w:sz="0" w:space="0" w:color="auto"/>
        <w:left w:val="none" w:sz="0" w:space="0" w:color="auto"/>
        <w:bottom w:val="none" w:sz="0" w:space="0" w:color="auto"/>
        <w:right w:val="none" w:sz="0" w:space="0" w:color="auto"/>
      </w:divBdr>
    </w:div>
    <w:div w:id="1230074889">
      <w:bodyDiv w:val="1"/>
      <w:marLeft w:val="0"/>
      <w:marRight w:val="0"/>
      <w:marTop w:val="0"/>
      <w:marBottom w:val="0"/>
      <w:divBdr>
        <w:top w:val="none" w:sz="0" w:space="0" w:color="auto"/>
        <w:left w:val="none" w:sz="0" w:space="0" w:color="auto"/>
        <w:bottom w:val="none" w:sz="0" w:space="0" w:color="auto"/>
        <w:right w:val="none" w:sz="0" w:space="0" w:color="auto"/>
      </w:divBdr>
    </w:div>
    <w:div w:id="1250650101">
      <w:bodyDiv w:val="1"/>
      <w:marLeft w:val="0"/>
      <w:marRight w:val="0"/>
      <w:marTop w:val="0"/>
      <w:marBottom w:val="0"/>
      <w:divBdr>
        <w:top w:val="none" w:sz="0" w:space="0" w:color="auto"/>
        <w:left w:val="none" w:sz="0" w:space="0" w:color="auto"/>
        <w:bottom w:val="none" w:sz="0" w:space="0" w:color="auto"/>
        <w:right w:val="none" w:sz="0" w:space="0" w:color="auto"/>
      </w:divBdr>
    </w:div>
    <w:div w:id="1254359230">
      <w:bodyDiv w:val="1"/>
      <w:marLeft w:val="0"/>
      <w:marRight w:val="0"/>
      <w:marTop w:val="0"/>
      <w:marBottom w:val="0"/>
      <w:divBdr>
        <w:top w:val="none" w:sz="0" w:space="0" w:color="auto"/>
        <w:left w:val="none" w:sz="0" w:space="0" w:color="auto"/>
        <w:bottom w:val="none" w:sz="0" w:space="0" w:color="auto"/>
        <w:right w:val="none" w:sz="0" w:space="0" w:color="auto"/>
      </w:divBdr>
    </w:div>
    <w:div w:id="1288126519">
      <w:bodyDiv w:val="1"/>
      <w:marLeft w:val="0"/>
      <w:marRight w:val="0"/>
      <w:marTop w:val="0"/>
      <w:marBottom w:val="0"/>
      <w:divBdr>
        <w:top w:val="none" w:sz="0" w:space="0" w:color="auto"/>
        <w:left w:val="none" w:sz="0" w:space="0" w:color="auto"/>
        <w:bottom w:val="none" w:sz="0" w:space="0" w:color="auto"/>
        <w:right w:val="none" w:sz="0" w:space="0" w:color="auto"/>
      </w:divBdr>
    </w:div>
    <w:div w:id="1295063458">
      <w:bodyDiv w:val="1"/>
      <w:marLeft w:val="0"/>
      <w:marRight w:val="0"/>
      <w:marTop w:val="0"/>
      <w:marBottom w:val="0"/>
      <w:divBdr>
        <w:top w:val="none" w:sz="0" w:space="0" w:color="auto"/>
        <w:left w:val="none" w:sz="0" w:space="0" w:color="auto"/>
        <w:bottom w:val="none" w:sz="0" w:space="0" w:color="auto"/>
        <w:right w:val="none" w:sz="0" w:space="0" w:color="auto"/>
      </w:divBdr>
    </w:div>
    <w:div w:id="1299727467">
      <w:bodyDiv w:val="1"/>
      <w:marLeft w:val="0"/>
      <w:marRight w:val="0"/>
      <w:marTop w:val="0"/>
      <w:marBottom w:val="0"/>
      <w:divBdr>
        <w:top w:val="none" w:sz="0" w:space="0" w:color="auto"/>
        <w:left w:val="none" w:sz="0" w:space="0" w:color="auto"/>
        <w:bottom w:val="none" w:sz="0" w:space="0" w:color="auto"/>
        <w:right w:val="none" w:sz="0" w:space="0" w:color="auto"/>
      </w:divBdr>
    </w:div>
    <w:div w:id="1300769378">
      <w:bodyDiv w:val="1"/>
      <w:marLeft w:val="0"/>
      <w:marRight w:val="0"/>
      <w:marTop w:val="0"/>
      <w:marBottom w:val="0"/>
      <w:divBdr>
        <w:top w:val="none" w:sz="0" w:space="0" w:color="auto"/>
        <w:left w:val="none" w:sz="0" w:space="0" w:color="auto"/>
        <w:bottom w:val="none" w:sz="0" w:space="0" w:color="auto"/>
        <w:right w:val="none" w:sz="0" w:space="0" w:color="auto"/>
      </w:divBdr>
    </w:div>
    <w:div w:id="1315912394">
      <w:bodyDiv w:val="1"/>
      <w:marLeft w:val="0"/>
      <w:marRight w:val="0"/>
      <w:marTop w:val="0"/>
      <w:marBottom w:val="0"/>
      <w:divBdr>
        <w:top w:val="none" w:sz="0" w:space="0" w:color="auto"/>
        <w:left w:val="none" w:sz="0" w:space="0" w:color="auto"/>
        <w:bottom w:val="none" w:sz="0" w:space="0" w:color="auto"/>
        <w:right w:val="none" w:sz="0" w:space="0" w:color="auto"/>
      </w:divBdr>
    </w:div>
    <w:div w:id="1324771217">
      <w:bodyDiv w:val="1"/>
      <w:marLeft w:val="0"/>
      <w:marRight w:val="0"/>
      <w:marTop w:val="0"/>
      <w:marBottom w:val="0"/>
      <w:divBdr>
        <w:top w:val="none" w:sz="0" w:space="0" w:color="auto"/>
        <w:left w:val="none" w:sz="0" w:space="0" w:color="auto"/>
        <w:bottom w:val="none" w:sz="0" w:space="0" w:color="auto"/>
        <w:right w:val="none" w:sz="0" w:space="0" w:color="auto"/>
      </w:divBdr>
    </w:div>
    <w:div w:id="1333293046">
      <w:bodyDiv w:val="1"/>
      <w:marLeft w:val="0"/>
      <w:marRight w:val="0"/>
      <w:marTop w:val="0"/>
      <w:marBottom w:val="0"/>
      <w:divBdr>
        <w:top w:val="none" w:sz="0" w:space="0" w:color="auto"/>
        <w:left w:val="none" w:sz="0" w:space="0" w:color="auto"/>
        <w:bottom w:val="none" w:sz="0" w:space="0" w:color="auto"/>
        <w:right w:val="none" w:sz="0" w:space="0" w:color="auto"/>
      </w:divBdr>
    </w:div>
    <w:div w:id="1334842240">
      <w:bodyDiv w:val="1"/>
      <w:marLeft w:val="0"/>
      <w:marRight w:val="0"/>
      <w:marTop w:val="0"/>
      <w:marBottom w:val="0"/>
      <w:divBdr>
        <w:top w:val="none" w:sz="0" w:space="0" w:color="auto"/>
        <w:left w:val="none" w:sz="0" w:space="0" w:color="auto"/>
        <w:bottom w:val="none" w:sz="0" w:space="0" w:color="auto"/>
        <w:right w:val="none" w:sz="0" w:space="0" w:color="auto"/>
      </w:divBdr>
    </w:div>
    <w:div w:id="1339697954">
      <w:bodyDiv w:val="1"/>
      <w:marLeft w:val="0"/>
      <w:marRight w:val="0"/>
      <w:marTop w:val="0"/>
      <w:marBottom w:val="0"/>
      <w:divBdr>
        <w:top w:val="none" w:sz="0" w:space="0" w:color="auto"/>
        <w:left w:val="none" w:sz="0" w:space="0" w:color="auto"/>
        <w:bottom w:val="none" w:sz="0" w:space="0" w:color="auto"/>
        <w:right w:val="none" w:sz="0" w:space="0" w:color="auto"/>
      </w:divBdr>
    </w:div>
    <w:div w:id="1362167167">
      <w:bodyDiv w:val="1"/>
      <w:marLeft w:val="0"/>
      <w:marRight w:val="0"/>
      <w:marTop w:val="0"/>
      <w:marBottom w:val="0"/>
      <w:divBdr>
        <w:top w:val="none" w:sz="0" w:space="0" w:color="auto"/>
        <w:left w:val="none" w:sz="0" w:space="0" w:color="auto"/>
        <w:bottom w:val="none" w:sz="0" w:space="0" w:color="auto"/>
        <w:right w:val="none" w:sz="0" w:space="0" w:color="auto"/>
      </w:divBdr>
    </w:div>
    <w:div w:id="1372732088">
      <w:bodyDiv w:val="1"/>
      <w:marLeft w:val="0"/>
      <w:marRight w:val="0"/>
      <w:marTop w:val="0"/>
      <w:marBottom w:val="0"/>
      <w:divBdr>
        <w:top w:val="none" w:sz="0" w:space="0" w:color="auto"/>
        <w:left w:val="none" w:sz="0" w:space="0" w:color="auto"/>
        <w:bottom w:val="none" w:sz="0" w:space="0" w:color="auto"/>
        <w:right w:val="none" w:sz="0" w:space="0" w:color="auto"/>
      </w:divBdr>
    </w:div>
    <w:div w:id="1375959239">
      <w:bodyDiv w:val="1"/>
      <w:marLeft w:val="0"/>
      <w:marRight w:val="0"/>
      <w:marTop w:val="0"/>
      <w:marBottom w:val="0"/>
      <w:divBdr>
        <w:top w:val="none" w:sz="0" w:space="0" w:color="auto"/>
        <w:left w:val="none" w:sz="0" w:space="0" w:color="auto"/>
        <w:bottom w:val="none" w:sz="0" w:space="0" w:color="auto"/>
        <w:right w:val="none" w:sz="0" w:space="0" w:color="auto"/>
      </w:divBdr>
    </w:div>
    <w:div w:id="1382443163">
      <w:bodyDiv w:val="1"/>
      <w:marLeft w:val="0"/>
      <w:marRight w:val="0"/>
      <w:marTop w:val="0"/>
      <w:marBottom w:val="0"/>
      <w:divBdr>
        <w:top w:val="none" w:sz="0" w:space="0" w:color="auto"/>
        <w:left w:val="none" w:sz="0" w:space="0" w:color="auto"/>
        <w:bottom w:val="none" w:sz="0" w:space="0" w:color="auto"/>
        <w:right w:val="none" w:sz="0" w:space="0" w:color="auto"/>
      </w:divBdr>
    </w:div>
    <w:div w:id="1403865725">
      <w:bodyDiv w:val="1"/>
      <w:marLeft w:val="0"/>
      <w:marRight w:val="0"/>
      <w:marTop w:val="0"/>
      <w:marBottom w:val="0"/>
      <w:divBdr>
        <w:top w:val="none" w:sz="0" w:space="0" w:color="auto"/>
        <w:left w:val="none" w:sz="0" w:space="0" w:color="auto"/>
        <w:bottom w:val="none" w:sz="0" w:space="0" w:color="auto"/>
        <w:right w:val="none" w:sz="0" w:space="0" w:color="auto"/>
      </w:divBdr>
    </w:div>
    <w:div w:id="1406224769">
      <w:bodyDiv w:val="1"/>
      <w:marLeft w:val="0"/>
      <w:marRight w:val="0"/>
      <w:marTop w:val="0"/>
      <w:marBottom w:val="0"/>
      <w:divBdr>
        <w:top w:val="none" w:sz="0" w:space="0" w:color="auto"/>
        <w:left w:val="none" w:sz="0" w:space="0" w:color="auto"/>
        <w:bottom w:val="none" w:sz="0" w:space="0" w:color="auto"/>
        <w:right w:val="none" w:sz="0" w:space="0" w:color="auto"/>
      </w:divBdr>
    </w:div>
    <w:div w:id="1406998823">
      <w:bodyDiv w:val="1"/>
      <w:marLeft w:val="0"/>
      <w:marRight w:val="0"/>
      <w:marTop w:val="0"/>
      <w:marBottom w:val="0"/>
      <w:divBdr>
        <w:top w:val="none" w:sz="0" w:space="0" w:color="auto"/>
        <w:left w:val="none" w:sz="0" w:space="0" w:color="auto"/>
        <w:bottom w:val="none" w:sz="0" w:space="0" w:color="auto"/>
        <w:right w:val="none" w:sz="0" w:space="0" w:color="auto"/>
      </w:divBdr>
    </w:div>
    <w:div w:id="1416780698">
      <w:bodyDiv w:val="1"/>
      <w:marLeft w:val="0"/>
      <w:marRight w:val="0"/>
      <w:marTop w:val="0"/>
      <w:marBottom w:val="0"/>
      <w:divBdr>
        <w:top w:val="none" w:sz="0" w:space="0" w:color="auto"/>
        <w:left w:val="none" w:sz="0" w:space="0" w:color="auto"/>
        <w:bottom w:val="none" w:sz="0" w:space="0" w:color="auto"/>
        <w:right w:val="none" w:sz="0" w:space="0" w:color="auto"/>
      </w:divBdr>
    </w:div>
    <w:div w:id="1452288666">
      <w:bodyDiv w:val="1"/>
      <w:marLeft w:val="0"/>
      <w:marRight w:val="0"/>
      <w:marTop w:val="0"/>
      <w:marBottom w:val="0"/>
      <w:divBdr>
        <w:top w:val="none" w:sz="0" w:space="0" w:color="auto"/>
        <w:left w:val="none" w:sz="0" w:space="0" w:color="auto"/>
        <w:bottom w:val="none" w:sz="0" w:space="0" w:color="auto"/>
        <w:right w:val="none" w:sz="0" w:space="0" w:color="auto"/>
      </w:divBdr>
    </w:div>
    <w:div w:id="1458138120">
      <w:bodyDiv w:val="1"/>
      <w:marLeft w:val="0"/>
      <w:marRight w:val="0"/>
      <w:marTop w:val="0"/>
      <w:marBottom w:val="0"/>
      <w:divBdr>
        <w:top w:val="none" w:sz="0" w:space="0" w:color="auto"/>
        <w:left w:val="none" w:sz="0" w:space="0" w:color="auto"/>
        <w:bottom w:val="none" w:sz="0" w:space="0" w:color="auto"/>
        <w:right w:val="none" w:sz="0" w:space="0" w:color="auto"/>
      </w:divBdr>
    </w:div>
    <w:div w:id="1467316377">
      <w:bodyDiv w:val="1"/>
      <w:marLeft w:val="0"/>
      <w:marRight w:val="0"/>
      <w:marTop w:val="0"/>
      <w:marBottom w:val="0"/>
      <w:divBdr>
        <w:top w:val="none" w:sz="0" w:space="0" w:color="auto"/>
        <w:left w:val="none" w:sz="0" w:space="0" w:color="auto"/>
        <w:bottom w:val="none" w:sz="0" w:space="0" w:color="auto"/>
        <w:right w:val="none" w:sz="0" w:space="0" w:color="auto"/>
      </w:divBdr>
    </w:div>
    <w:div w:id="1467356265">
      <w:bodyDiv w:val="1"/>
      <w:marLeft w:val="0"/>
      <w:marRight w:val="0"/>
      <w:marTop w:val="0"/>
      <w:marBottom w:val="0"/>
      <w:divBdr>
        <w:top w:val="none" w:sz="0" w:space="0" w:color="auto"/>
        <w:left w:val="none" w:sz="0" w:space="0" w:color="auto"/>
        <w:bottom w:val="none" w:sz="0" w:space="0" w:color="auto"/>
        <w:right w:val="none" w:sz="0" w:space="0" w:color="auto"/>
      </w:divBdr>
    </w:div>
    <w:div w:id="1481460070">
      <w:bodyDiv w:val="1"/>
      <w:marLeft w:val="0"/>
      <w:marRight w:val="0"/>
      <w:marTop w:val="0"/>
      <w:marBottom w:val="0"/>
      <w:divBdr>
        <w:top w:val="none" w:sz="0" w:space="0" w:color="auto"/>
        <w:left w:val="none" w:sz="0" w:space="0" w:color="auto"/>
        <w:bottom w:val="none" w:sz="0" w:space="0" w:color="auto"/>
        <w:right w:val="none" w:sz="0" w:space="0" w:color="auto"/>
      </w:divBdr>
    </w:div>
    <w:div w:id="1493913952">
      <w:bodyDiv w:val="1"/>
      <w:marLeft w:val="0"/>
      <w:marRight w:val="0"/>
      <w:marTop w:val="0"/>
      <w:marBottom w:val="0"/>
      <w:divBdr>
        <w:top w:val="none" w:sz="0" w:space="0" w:color="auto"/>
        <w:left w:val="none" w:sz="0" w:space="0" w:color="auto"/>
        <w:bottom w:val="none" w:sz="0" w:space="0" w:color="auto"/>
        <w:right w:val="none" w:sz="0" w:space="0" w:color="auto"/>
      </w:divBdr>
    </w:div>
    <w:div w:id="1535539571">
      <w:bodyDiv w:val="1"/>
      <w:marLeft w:val="0"/>
      <w:marRight w:val="0"/>
      <w:marTop w:val="0"/>
      <w:marBottom w:val="0"/>
      <w:divBdr>
        <w:top w:val="none" w:sz="0" w:space="0" w:color="auto"/>
        <w:left w:val="none" w:sz="0" w:space="0" w:color="auto"/>
        <w:bottom w:val="none" w:sz="0" w:space="0" w:color="auto"/>
        <w:right w:val="none" w:sz="0" w:space="0" w:color="auto"/>
      </w:divBdr>
    </w:div>
    <w:div w:id="1536042510">
      <w:bodyDiv w:val="1"/>
      <w:marLeft w:val="0"/>
      <w:marRight w:val="0"/>
      <w:marTop w:val="0"/>
      <w:marBottom w:val="0"/>
      <w:divBdr>
        <w:top w:val="none" w:sz="0" w:space="0" w:color="auto"/>
        <w:left w:val="none" w:sz="0" w:space="0" w:color="auto"/>
        <w:bottom w:val="none" w:sz="0" w:space="0" w:color="auto"/>
        <w:right w:val="none" w:sz="0" w:space="0" w:color="auto"/>
      </w:divBdr>
    </w:div>
    <w:div w:id="1538157653">
      <w:bodyDiv w:val="1"/>
      <w:marLeft w:val="0"/>
      <w:marRight w:val="0"/>
      <w:marTop w:val="0"/>
      <w:marBottom w:val="0"/>
      <w:divBdr>
        <w:top w:val="none" w:sz="0" w:space="0" w:color="auto"/>
        <w:left w:val="none" w:sz="0" w:space="0" w:color="auto"/>
        <w:bottom w:val="none" w:sz="0" w:space="0" w:color="auto"/>
        <w:right w:val="none" w:sz="0" w:space="0" w:color="auto"/>
      </w:divBdr>
    </w:div>
    <w:div w:id="1555652277">
      <w:bodyDiv w:val="1"/>
      <w:marLeft w:val="0"/>
      <w:marRight w:val="0"/>
      <w:marTop w:val="0"/>
      <w:marBottom w:val="0"/>
      <w:divBdr>
        <w:top w:val="none" w:sz="0" w:space="0" w:color="auto"/>
        <w:left w:val="none" w:sz="0" w:space="0" w:color="auto"/>
        <w:bottom w:val="none" w:sz="0" w:space="0" w:color="auto"/>
        <w:right w:val="none" w:sz="0" w:space="0" w:color="auto"/>
      </w:divBdr>
    </w:div>
    <w:div w:id="1556116348">
      <w:bodyDiv w:val="1"/>
      <w:marLeft w:val="0"/>
      <w:marRight w:val="0"/>
      <w:marTop w:val="0"/>
      <w:marBottom w:val="0"/>
      <w:divBdr>
        <w:top w:val="none" w:sz="0" w:space="0" w:color="auto"/>
        <w:left w:val="none" w:sz="0" w:space="0" w:color="auto"/>
        <w:bottom w:val="none" w:sz="0" w:space="0" w:color="auto"/>
        <w:right w:val="none" w:sz="0" w:space="0" w:color="auto"/>
      </w:divBdr>
    </w:div>
    <w:div w:id="1577127057">
      <w:bodyDiv w:val="1"/>
      <w:marLeft w:val="0"/>
      <w:marRight w:val="0"/>
      <w:marTop w:val="0"/>
      <w:marBottom w:val="0"/>
      <w:divBdr>
        <w:top w:val="none" w:sz="0" w:space="0" w:color="auto"/>
        <w:left w:val="none" w:sz="0" w:space="0" w:color="auto"/>
        <w:bottom w:val="none" w:sz="0" w:space="0" w:color="auto"/>
        <w:right w:val="none" w:sz="0" w:space="0" w:color="auto"/>
      </w:divBdr>
    </w:div>
    <w:div w:id="1583948429">
      <w:bodyDiv w:val="1"/>
      <w:marLeft w:val="0"/>
      <w:marRight w:val="0"/>
      <w:marTop w:val="0"/>
      <w:marBottom w:val="0"/>
      <w:divBdr>
        <w:top w:val="none" w:sz="0" w:space="0" w:color="auto"/>
        <w:left w:val="none" w:sz="0" w:space="0" w:color="auto"/>
        <w:bottom w:val="none" w:sz="0" w:space="0" w:color="auto"/>
        <w:right w:val="none" w:sz="0" w:space="0" w:color="auto"/>
      </w:divBdr>
    </w:div>
    <w:div w:id="1584878581">
      <w:bodyDiv w:val="1"/>
      <w:marLeft w:val="0"/>
      <w:marRight w:val="0"/>
      <w:marTop w:val="0"/>
      <w:marBottom w:val="0"/>
      <w:divBdr>
        <w:top w:val="none" w:sz="0" w:space="0" w:color="auto"/>
        <w:left w:val="none" w:sz="0" w:space="0" w:color="auto"/>
        <w:bottom w:val="none" w:sz="0" w:space="0" w:color="auto"/>
        <w:right w:val="none" w:sz="0" w:space="0" w:color="auto"/>
      </w:divBdr>
    </w:div>
    <w:div w:id="1591542676">
      <w:bodyDiv w:val="1"/>
      <w:marLeft w:val="0"/>
      <w:marRight w:val="0"/>
      <w:marTop w:val="0"/>
      <w:marBottom w:val="0"/>
      <w:divBdr>
        <w:top w:val="none" w:sz="0" w:space="0" w:color="auto"/>
        <w:left w:val="none" w:sz="0" w:space="0" w:color="auto"/>
        <w:bottom w:val="none" w:sz="0" w:space="0" w:color="auto"/>
        <w:right w:val="none" w:sz="0" w:space="0" w:color="auto"/>
      </w:divBdr>
    </w:div>
    <w:div w:id="1598903882">
      <w:bodyDiv w:val="1"/>
      <w:marLeft w:val="0"/>
      <w:marRight w:val="0"/>
      <w:marTop w:val="0"/>
      <w:marBottom w:val="0"/>
      <w:divBdr>
        <w:top w:val="none" w:sz="0" w:space="0" w:color="auto"/>
        <w:left w:val="none" w:sz="0" w:space="0" w:color="auto"/>
        <w:bottom w:val="none" w:sz="0" w:space="0" w:color="auto"/>
        <w:right w:val="none" w:sz="0" w:space="0" w:color="auto"/>
      </w:divBdr>
    </w:div>
    <w:div w:id="1600214311">
      <w:bodyDiv w:val="1"/>
      <w:marLeft w:val="0"/>
      <w:marRight w:val="0"/>
      <w:marTop w:val="0"/>
      <w:marBottom w:val="0"/>
      <w:divBdr>
        <w:top w:val="none" w:sz="0" w:space="0" w:color="auto"/>
        <w:left w:val="none" w:sz="0" w:space="0" w:color="auto"/>
        <w:bottom w:val="none" w:sz="0" w:space="0" w:color="auto"/>
        <w:right w:val="none" w:sz="0" w:space="0" w:color="auto"/>
      </w:divBdr>
    </w:div>
    <w:div w:id="1604916332">
      <w:bodyDiv w:val="1"/>
      <w:marLeft w:val="0"/>
      <w:marRight w:val="0"/>
      <w:marTop w:val="0"/>
      <w:marBottom w:val="0"/>
      <w:divBdr>
        <w:top w:val="none" w:sz="0" w:space="0" w:color="auto"/>
        <w:left w:val="none" w:sz="0" w:space="0" w:color="auto"/>
        <w:bottom w:val="none" w:sz="0" w:space="0" w:color="auto"/>
        <w:right w:val="none" w:sz="0" w:space="0" w:color="auto"/>
      </w:divBdr>
    </w:div>
    <w:div w:id="1625579798">
      <w:bodyDiv w:val="1"/>
      <w:marLeft w:val="0"/>
      <w:marRight w:val="0"/>
      <w:marTop w:val="0"/>
      <w:marBottom w:val="0"/>
      <w:divBdr>
        <w:top w:val="none" w:sz="0" w:space="0" w:color="auto"/>
        <w:left w:val="none" w:sz="0" w:space="0" w:color="auto"/>
        <w:bottom w:val="none" w:sz="0" w:space="0" w:color="auto"/>
        <w:right w:val="none" w:sz="0" w:space="0" w:color="auto"/>
      </w:divBdr>
    </w:div>
    <w:div w:id="1641760529">
      <w:bodyDiv w:val="1"/>
      <w:marLeft w:val="0"/>
      <w:marRight w:val="0"/>
      <w:marTop w:val="0"/>
      <w:marBottom w:val="0"/>
      <w:divBdr>
        <w:top w:val="none" w:sz="0" w:space="0" w:color="auto"/>
        <w:left w:val="none" w:sz="0" w:space="0" w:color="auto"/>
        <w:bottom w:val="none" w:sz="0" w:space="0" w:color="auto"/>
        <w:right w:val="none" w:sz="0" w:space="0" w:color="auto"/>
      </w:divBdr>
    </w:div>
    <w:div w:id="1646933121">
      <w:bodyDiv w:val="1"/>
      <w:marLeft w:val="0"/>
      <w:marRight w:val="0"/>
      <w:marTop w:val="0"/>
      <w:marBottom w:val="0"/>
      <w:divBdr>
        <w:top w:val="none" w:sz="0" w:space="0" w:color="auto"/>
        <w:left w:val="none" w:sz="0" w:space="0" w:color="auto"/>
        <w:bottom w:val="none" w:sz="0" w:space="0" w:color="auto"/>
        <w:right w:val="none" w:sz="0" w:space="0" w:color="auto"/>
      </w:divBdr>
    </w:div>
    <w:div w:id="1649092271">
      <w:bodyDiv w:val="1"/>
      <w:marLeft w:val="0"/>
      <w:marRight w:val="0"/>
      <w:marTop w:val="0"/>
      <w:marBottom w:val="0"/>
      <w:divBdr>
        <w:top w:val="none" w:sz="0" w:space="0" w:color="auto"/>
        <w:left w:val="none" w:sz="0" w:space="0" w:color="auto"/>
        <w:bottom w:val="none" w:sz="0" w:space="0" w:color="auto"/>
        <w:right w:val="none" w:sz="0" w:space="0" w:color="auto"/>
      </w:divBdr>
    </w:div>
    <w:div w:id="1649481714">
      <w:bodyDiv w:val="1"/>
      <w:marLeft w:val="0"/>
      <w:marRight w:val="0"/>
      <w:marTop w:val="0"/>
      <w:marBottom w:val="0"/>
      <w:divBdr>
        <w:top w:val="none" w:sz="0" w:space="0" w:color="auto"/>
        <w:left w:val="none" w:sz="0" w:space="0" w:color="auto"/>
        <w:bottom w:val="none" w:sz="0" w:space="0" w:color="auto"/>
        <w:right w:val="none" w:sz="0" w:space="0" w:color="auto"/>
      </w:divBdr>
    </w:div>
    <w:div w:id="1650674692">
      <w:bodyDiv w:val="1"/>
      <w:marLeft w:val="0"/>
      <w:marRight w:val="0"/>
      <w:marTop w:val="0"/>
      <w:marBottom w:val="0"/>
      <w:divBdr>
        <w:top w:val="none" w:sz="0" w:space="0" w:color="auto"/>
        <w:left w:val="none" w:sz="0" w:space="0" w:color="auto"/>
        <w:bottom w:val="none" w:sz="0" w:space="0" w:color="auto"/>
        <w:right w:val="none" w:sz="0" w:space="0" w:color="auto"/>
      </w:divBdr>
    </w:div>
    <w:div w:id="1668748156">
      <w:bodyDiv w:val="1"/>
      <w:marLeft w:val="0"/>
      <w:marRight w:val="0"/>
      <w:marTop w:val="0"/>
      <w:marBottom w:val="0"/>
      <w:divBdr>
        <w:top w:val="none" w:sz="0" w:space="0" w:color="auto"/>
        <w:left w:val="none" w:sz="0" w:space="0" w:color="auto"/>
        <w:bottom w:val="none" w:sz="0" w:space="0" w:color="auto"/>
        <w:right w:val="none" w:sz="0" w:space="0" w:color="auto"/>
      </w:divBdr>
    </w:div>
    <w:div w:id="1669137984">
      <w:bodyDiv w:val="1"/>
      <w:marLeft w:val="0"/>
      <w:marRight w:val="0"/>
      <w:marTop w:val="0"/>
      <w:marBottom w:val="0"/>
      <w:divBdr>
        <w:top w:val="none" w:sz="0" w:space="0" w:color="auto"/>
        <w:left w:val="none" w:sz="0" w:space="0" w:color="auto"/>
        <w:bottom w:val="none" w:sz="0" w:space="0" w:color="auto"/>
        <w:right w:val="none" w:sz="0" w:space="0" w:color="auto"/>
      </w:divBdr>
    </w:div>
    <w:div w:id="1669944492">
      <w:bodyDiv w:val="1"/>
      <w:marLeft w:val="0"/>
      <w:marRight w:val="0"/>
      <w:marTop w:val="0"/>
      <w:marBottom w:val="0"/>
      <w:divBdr>
        <w:top w:val="none" w:sz="0" w:space="0" w:color="auto"/>
        <w:left w:val="none" w:sz="0" w:space="0" w:color="auto"/>
        <w:bottom w:val="none" w:sz="0" w:space="0" w:color="auto"/>
        <w:right w:val="none" w:sz="0" w:space="0" w:color="auto"/>
      </w:divBdr>
    </w:div>
    <w:div w:id="1675063126">
      <w:bodyDiv w:val="1"/>
      <w:marLeft w:val="0"/>
      <w:marRight w:val="0"/>
      <w:marTop w:val="0"/>
      <w:marBottom w:val="0"/>
      <w:divBdr>
        <w:top w:val="none" w:sz="0" w:space="0" w:color="auto"/>
        <w:left w:val="none" w:sz="0" w:space="0" w:color="auto"/>
        <w:bottom w:val="none" w:sz="0" w:space="0" w:color="auto"/>
        <w:right w:val="none" w:sz="0" w:space="0" w:color="auto"/>
      </w:divBdr>
    </w:div>
    <w:div w:id="1678772713">
      <w:bodyDiv w:val="1"/>
      <w:marLeft w:val="0"/>
      <w:marRight w:val="0"/>
      <w:marTop w:val="0"/>
      <w:marBottom w:val="0"/>
      <w:divBdr>
        <w:top w:val="none" w:sz="0" w:space="0" w:color="auto"/>
        <w:left w:val="none" w:sz="0" w:space="0" w:color="auto"/>
        <w:bottom w:val="none" w:sz="0" w:space="0" w:color="auto"/>
        <w:right w:val="none" w:sz="0" w:space="0" w:color="auto"/>
      </w:divBdr>
    </w:div>
    <w:div w:id="1680153984">
      <w:bodyDiv w:val="1"/>
      <w:marLeft w:val="0"/>
      <w:marRight w:val="0"/>
      <w:marTop w:val="0"/>
      <w:marBottom w:val="0"/>
      <w:divBdr>
        <w:top w:val="none" w:sz="0" w:space="0" w:color="auto"/>
        <w:left w:val="none" w:sz="0" w:space="0" w:color="auto"/>
        <w:bottom w:val="none" w:sz="0" w:space="0" w:color="auto"/>
        <w:right w:val="none" w:sz="0" w:space="0" w:color="auto"/>
      </w:divBdr>
    </w:div>
    <w:div w:id="1704016390">
      <w:bodyDiv w:val="1"/>
      <w:marLeft w:val="0"/>
      <w:marRight w:val="0"/>
      <w:marTop w:val="0"/>
      <w:marBottom w:val="0"/>
      <w:divBdr>
        <w:top w:val="none" w:sz="0" w:space="0" w:color="auto"/>
        <w:left w:val="none" w:sz="0" w:space="0" w:color="auto"/>
        <w:bottom w:val="none" w:sz="0" w:space="0" w:color="auto"/>
        <w:right w:val="none" w:sz="0" w:space="0" w:color="auto"/>
      </w:divBdr>
    </w:div>
    <w:div w:id="1712337504">
      <w:bodyDiv w:val="1"/>
      <w:marLeft w:val="0"/>
      <w:marRight w:val="0"/>
      <w:marTop w:val="0"/>
      <w:marBottom w:val="0"/>
      <w:divBdr>
        <w:top w:val="none" w:sz="0" w:space="0" w:color="auto"/>
        <w:left w:val="none" w:sz="0" w:space="0" w:color="auto"/>
        <w:bottom w:val="none" w:sz="0" w:space="0" w:color="auto"/>
        <w:right w:val="none" w:sz="0" w:space="0" w:color="auto"/>
      </w:divBdr>
    </w:div>
    <w:div w:id="1724912365">
      <w:bodyDiv w:val="1"/>
      <w:marLeft w:val="0"/>
      <w:marRight w:val="0"/>
      <w:marTop w:val="0"/>
      <w:marBottom w:val="0"/>
      <w:divBdr>
        <w:top w:val="none" w:sz="0" w:space="0" w:color="auto"/>
        <w:left w:val="none" w:sz="0" w:space="0" w:color="auto"/>
        <w:bottom w:val="none" w:sz="0" w:space="0" w:color="auto"/>
        <w:right w:val="none" w:sz="0" w:space="0" w:color="auto"/>
      </w:divBdr>
    </w:div>
    <w:div w:id="1738824427">
      <w:bodyDiv w:val="1"/>
      <w:marLeft w:val="0"/>
      <w:marRight w:val="0"/>
      <w:marTop w:val="0"/>
      <w:marBottom w:val="0"/>
      <w:divBdr>
        <w:top w:val="none" w:sz="0" w:space="0" w:color="auto"/>
        <w:left w:val="none" w:sz="0" w:space="0" w:color="auto"/>
        <w:bottom w:val="none" w:sz="0" w:space="0" w:color="auto"/>
        <w:right w:val="none" w:sz="0" w:space="0" w:color="auto"/>
      </w:divBdr>
    </w:div>
    <w:div w:id="1755739243">
      <w:bodyDiv w:val="1"/>
      <w:marLeft w:val="0"/>
      <w:marRight w:val="0"/>
      <w:marTop w:val="0"/>
      <w:marBottom w:val="0"/>
      <w:divBdr>
        <w:top w:val="none" w:sz="0" w:space="0" w:color="auto"/>
        <w:left w:val="none" w:sz="0" w:space="0" w:color="auto"/>
        <w:bottom w:val="none" w:sz="0" w:space="0" w:color="auto"/>
        <w:right w:val="none" w:sz="0" w:space="0" w:color="auto"/>
      </w:divBdr>
    </w:div>
    <w:div w:id="1779905592">
      <w:bodyDiv w:val="1"/>
      <w:marLeft w:val="0"/>
      <w:marRight w:val="0"/>
      <w:marTop w:val="0"/>
      <w:marBottom w:val="0"/>
      <w:divBdr>
        <w:top w:val="none" w:sz="0" w:space="0" w:color="auto"/>
        <w:left w:val="none" w:sz="0" w:space="0" w:color="auto"/>
        <w:bottom w:val="none" w:sz="0" w:space="0" w:color="auto"/>
        <w:right w:val="none" w:sz="0" w:space="0" w:color="auto"/>
      </w:divBdr>
    </w:div>
    <w:div w:id="1783525994">
      <w:bodyDiv w:val="1"/>
      <w:marLeft w:val="0"/>
      <w:marRight w:val="0"/>
      <w:marTop w:val="0"/>
      <w:marBottom w:val="0"/>
      <w:divBdr>
        <w:top w:val="none" w:sz="0" w:space="0" w:color="auto"/>
        <w:left w:val="none" w:sz="0" w:space="0" w:color="auto"/>
        <w:bottom w:val="none" w:sz="0" w:space="0" w:color="auto"/>
        <w:right w:val="none" w:sz="0" w:space="0" w:color="auto"/>
      </w:divBdr>
    </w:div>
    <w:div w:id="1797288911">
      <w:bodyDiv w:val="1"/>
      <w:marLeft w:val="0"/>
      <w:marRight w:val="0"/>
      <w:marTop w:val="0"/>
      <w:marBottom w:val="0"/>
      <w:divBdr>
        <w:top w:val="none" w:sz="0" w:space="0" w:color="auto"/>
        <w:left w:val="none" w:sz="0" w:space="0" w:color="auto"/>
        <w:bottom w:val="none" w:sz="0" w:space="0" w:color="auto"/>
        <w:right w:val="none" w:sz="0" w:space="0" w:color="auto"/>
      </w:divBdr>
    </w:div>
    <w:div w:id="1801336867">
      <w:bodyDiv w:val="1"/>
      <w:marLeft w:val="0"/>
      <w:marRight w:val="0"/>
      <w:marTop w:val="0"/>
      <w:marBottom w:val="0"/>
      <w:divBdr>
        <w:top w:val="none" w:sz="0" w:space="0" w:color="auto"/>
        <w:left w:val="none" w:sz="0" w:space="0" w:color="auto"/>
        <w:bottom w:val="none" w:sz="0" w:space="0" w:color="auto"/>
        <w:right w:val="none" w:sz="0" w:space="0" w:color="auto"/>
      </w:divBdr>
    </w:div>
    <w:div w:id="1805729027">
      <w:bodyDiv w:val="1"/>
      <w:marLeft w:val="0"/>
      <w:marRight w:val="0"/>
      <w:marTop w:val="0"/>
      <w:marBottom w:val="0"/>
      <w:divBdr>
        <w:top w:val="none" w:sz="0" w:space="0" w:color="auto"/>
        <w:left w:val="none" w:sz="0" w:space="0" w:color="auto"/>
        <w:bottom w:val="none" w:sz="0" w:space="0" w:color="auto"/>
        <w:right w:val="none" w:sz="0" w:space="0" w:color="auto"/>
      </w:divBdr>
    </w:div>
    <w:div w:id="1808620955">
      <w:bodyDiv w:val="1"/>
      <w:marLeft w:val="0"/>
      <w:marRight w:val="0"/>
      <w:marTop w:val="0"/>
      <w:marBottom w:val="0"/>
      <w:divBdr>
        <w:top w:val="none" w:sz="0" w:space="0" w:color="auto"/>
        <w:left w:val="none" w:sz="0" w:space="0" w:color="auto"/>
        <w:bottom w:val="none" w:sz="0" w:space="0" w:color="auto"/>
        <w:right w:val="none" w:sz="0" w:space="0" w:color="auto"/>
      </w:divBdr>
    </w:div>
    <w:div w:id="1813254384">
      <w:bodyDiv w:val="1"/>
      <w:marLeft w:val="0"/>
      <w:marRight w:val="0"/>
      <w:marTop w:val="0"/>
      <w:marBottom w:val="0"/>
      <w:divBdr>
        <w:top w:val="none" w:sz="0" w:space="0" w:color="auto"/>
        <w:left w:val="none" w:sz="0" w:space="0" w:color="auto"/>
        <w:bottom w:val="none" w:sz="0" w:space="0" w:color="auto"/>
        <w:right w:val="none" w:sz="0" w:space="0" w:color="auto"/>
      </w:divBdr>
    </w:div>
    <w:div w:id="1813985600">
      <w:bodyDiv w:val="1"/>
      <w:marLeft w:val="0"/>
      <w:marRight w:val="0"/>
      <w:marTop w:val="0"/>
      <w:marBottom w:val="0"/>
      <w:divBdr>
        <w:top w:val="none" w:sz="0" w:space="0" w:color="auto"/>
        <w:left w:val="none" w:sz="0" w:space="0" w:color="auto"/>
        <w:bottom w:val="none" w:sz="0" w:space="0" w:color="auto"/>
        <w:right w:val="none" w:sz="0" w:space="0" w:color="auto"/>
      </w:divBdr>
    </w:div>
    <w:div w:id="1814716510">
      <w:bodyDiv w:val="1"/>
      <w:marLeft w:val="0"/>
      <w:marRight w:val="0"/>
      <w:marTop w:val="0"/>
      <w:marBottom w:val="0"/>
      <w:divBdr>
        <w:top w:val="none" w:sz="0" w:space="0" w:color="auto"/>
        <w:left w:val="none" w:sz="0" w:space="0" w:color="auto"/>
        <w:bottom w:val="none" w:sz="0" w:space="0" w:color="auto"/>
        <w:right w:val="none" w:sz="0" w:space="0" w:color="auto"/>
      </w:divBdr>
    </w:div>
    <w:div w:id="1819880860">
      <w:bodyDiv w:val="1"/>
      <w:marLeft w:val="0"/>
      <w:marRight w:val="0"/>
      <w:marTop w:val="0"/>
      <w:marBottom w:val="0"/>
      <w:divBdr>
        <w:top w:val="none" w:sz="0" w:space="0" w:color="auto"/>
        <w:left w:val="none" w:sz="0" w:space="0" w:color="auto"/>
        <w:bottom w:val="none" w:sz="0" w:space="0" w:color="auto"/>
        <w:right w:val="none" w:sz="0" w:space="0" w:color="auto"/>
      </w:divBdr>
    </w:div>
    <w:div w:id="1837453385">
      <w:bodyDiv w:val="1"/>
      <w:marLeft w:val="0"/>
      <w:marRight w:val="0"/>
      <w:marTop w:val="0"/>
      <w:marBottom w:val="0"/>
      <w:divBdr>
        <w:top w:val="none" w:sz="0" w:space="0" w:color="auto"/>
        <w:left w:val="none" w:sz="0" w:space="0" w:color="auto"/>
        <w:bottom w:val="none" w:sz="0" w:space="0" w:color="auto"/>
        <w:right w:val="none" w:sz="0" w:space="0" w:color="auto"/>
      </w:divBdr>
    </w:div>
    <w:div w:id="1845633515">
      <w:bodyDiv w:val="1"/>
      <w:marLeft w:val="0"/>
      <w:marRight w:val="0"/>
      <w:marTop w:val="0"/>
      <w:marBottom w:val="0"/>
      <w:divBdr>
        <w:top w:val="none" w:sz="0" w:space="0" w:color="auto"/>
        <w:left w:val="none" w:sz="0" w:space="0" w:color="auto"/>
        <w:bottom w:val="none" w:sz="0" w:space="0" w:color="auto"/>
        <w:right w:val="none" w:sz="0" w:space="0" w:color="auto"/>
      </w:divBdr>
    </w:div>
    <w:div w:id="1851289995">
      <w:bodyDiv w:val="1"/>
      <w:marLeft w:val="0"/>
      <w:marRight w:val="0"/>
      <w:marTop w:val="0"/>
      <w:marBottom w:val="0"/>
      <w:divBdr>
        <w:top w:val="none" w:sz="0" w:space="0" w:color="auto"/>
        <w:left w:val="none" w:sz="0" w:space="0" w:color="auto"/>
        <w:bottom w:val="none" w:sz="0" w:space="0" w:color="auto"/>
        <w:right w:val="none" w:sz="0" w:space="0" w:color="auto"/>
      </w:divBdr>
    </w:div>
    <w:div w:id="1860267839">
      <w:bodyDiv w:val="1"/>
      <w:marLeft w:val="0"/>
      <w:marRight w:val="0"/>
      <w:marTop w:val="0"/>
      <w:marBottom w:val="0"/>
      <w:divBdr>
        <w:top w:val="none" w:sz="0" w:space="0" w:color="auto"/>
        <w:left w:val="none" w:sz="0" w:space="0" w:color="auto"/>
        <w:bottom w:val="none" w:sz="0" w:space="0" w:color="auto"/>
        <w:right w:val="none" w:sz="0" w:space="0" w:color="auto"/>
      </w:divBdr>
    </w:div>
    <w:div w:id="1875386635">
      <w:bodyDiv w:val="1"/>
      <w:marLeft w:val="0"/>
      <w:marRight w:val="0"/>
      <w:marTop w:val="0"/>
      <w:marBottom w:val="0"/>
      <w:divBdr>
        <w:top w:val="none" w:sz="0" w:space="0" w:color="auto"/>
        <w:left w:val="none" w:sz="0" w:space="0" w:color="auto"/>
        <w:bottom w:val="none" w:sz="0" w:space="0" w:color="auto"/>
        <w:right w:val="none" w:sz="0" w:space="0" w:color="auto"/>
      </w:divBdr>
    </w:div>
    <w:div w:id="1887638843">
      <w:bodyDiv w:val="1"/>
      <w:marLeft w:val="0"/>
      <w:marRight w:val="0"/>
      <w:marTop w:val="0"/>
      <w:marBottom w:val="0"/>
      <w:divBdr>
        <w:top w:val="none" w:sz="0" w:space="0" w:color="auto"/>
        <w:left w:val="none" w:sz="0" w:space="0" w:color="auto"/>
        <w:bottom w:val="none" w:sz="0" w:space="0" w:color="auto"/>
        <w:right w:val="none" w:sz="0" w:space="0" w:color="auto"/>
      </w:divBdr>
    </w:div>
    <w:div w:id="1892036922">
      <w:bodyDiv w:val="1"/>
      <w:marLeft w:val="0"/>
      <w:marRight w:val="0"/>
      <w:marTop w:val="0"/>
      <w:marBottom w:val="0"/>
      <w:divBdr>
        <w:top w:val="none" w:sz="0" w:space="0" w:color="auto"/>
        <w:left w:val="none" w:sz="0" w:space="0" w:color="auto"/>
        <w:bottom w:val="none" w:sz="0" w:space="0" w:color="auto"/>
        <w:right w:val="none" w:sz="0" w:space="0" w:color="auto"/>
      </w:divBdr>
    </w:div>
    <w:div w:id="1894923891">
      <w:bodyDiv w:val="1"/>
      <w:marLeft w:val="0"/>
      <w:marRight w:val="0"/>
      <w:marTop w:val="0"/>
      <w:marBottom w:val="0"/>
      <w:divBdr>
        <w:top w:val="none" w:sz="0" w:space="0" w:color="auto"/>
        <w:left w:val="none" w:sz="0" w:space="0" w:color="auto"/>
        <w:bottom w:val="none" w:sz="0" w:space="0" w:color="auto"/>
        <w:right w:val="none" w:sz="0" w:space="0" w:color="auto"/>
      </w:divBdr>
    </w:div>
    <w:div w:id="1941177261">
      <w:bodyDiv w:val="1"/>
      <w:marLeft w:val="0"/>
      <w:marRight w:val="0"/>
      <w:marTop w:val="0"/>
      <w:marBottom w:val="0"/>
      <w:divBdr>
        <w:top w:val="none" w:sz="0" w:space="0" w:color="auto"/>
        <w:left w:val="none" w:sz="0" w:space="0" w:color="auto"/>
        <w:bottom w:val="none" w:sz="0" w:space="0" w:color="auto"/>
        <w:right w:val="none" w:sz="0" w:space="0" w:color="auto"/>
      </w:divBdr>
    </w:div>
    <w:div w:id="1951745150">
      <w:bodyDiv w:val="1"/>
      <w:marLeft w:val="0"/>
      <w:marRight w:val="0"/>
      <w:marTop w:val="0"/>
      <w:marBottom w:val="0"/>
      <w:divBdr>
        <w:top w:val="none" w:sz="0" w:space="0" w:color="auto"/>
        <w:left w:val="none" w:sz="0" w:space="0" w:color="auto"/>
        <w:bottom w:val="none" w:sz="0" w:space="0" w:color="auto"/>
        <w:right w:val="none" w:sz="0" w:space="0" w:color="auto"/>
      </w:divBdr>
    </w:div>
    <w:div w:id="1953635606">
      <w:bodyDiv w:val="1"/>
      <w:marLeft w:val="0"/>
      <w:marRight w:val="0"/>
      <w:marTop w:val="0"/>
      <w:marBottom w:val="0"/>
      <w:divBdr>
        <w:top w:val="none" w:sz="0" w:space="0" w:color="auto"/>
        <w:left w:val="none" w:sz="0" w:space="0" w:color="auto"/>
        <w:bottom w:val="none" w:sz="0" w:space="0" w:color="auto"/>
        <w:right w:val="none" w:sz="0" w:space="0" w:color="auto"/>
      </w:divBdr>
    </w:div>
    <w:div w:id="1956056444">
      <w:bodyDiv w:val="1"/>
      <w:marLeft w:val="0"/>
      <w:marRight w:val="0"/>
      <w:marTop w:val="0"/>
      <w:marBottom w:val="0"/>
      <w:divBdr>
        <w:top w:val="none" w:sz="0" w:space="0" w:color="auto"/>
        <w:left w:val="none" w:sz="0" w:space="0" w:color="auto"/>
        <w:bottom w:val="none" w:sz="0" w:space="0" w:color="auto"/>
        <w:right w:val="none" w:sz="0" w:space="0" w:color="auto"/>
      </w:divBdr>
    </w:div>
    <w:div w:id="1980451568">
      <w:bodyDiv w:val="1"/>
      <w:marLeft w:val="0"/>
      <w:marRight w:val="0"/>
      <w:marTop w:val="0"/>
      <w:marBottom w:val="0"/>
      <w:divBdr>
        <w:top w:val="none" w:sz="0" w:space="0" w:color="auto"/>
        <w:left w:val="none" w:sz="0" w:space="0" w:color="auto"/>
        <w:bottom w:val="none" w:sz="0" w:space="0" w:color="auto"/>
        <w:right w:val="none" w:sz="0" w:space="0" w:color="auto"/>
      </w:divBdr>
    </w:div>
    <w:div w:id="1985356473">
      <w:bodyDiv w:val="1"/>
      <w:marLeft w:val="0"/>
      <w:marRight w:val="0"/>
      <w:marTop w:val="0"/>
      <w:marBottom w:val="0"/>
      <w:divBdr>
        <w:top w:val="none" w:sz="0" w:space="0" w:color="auto"/>
        <w:left w:val="none" w:sz="0" w:space="0" w:color="auto"/>
        <w:bottom w:val="none" w:sz="0" w:space="0" w:color="auto"/>
        <w:right w:val="none" w:sz="0" w:space="0" w:color="auto"/>
      </w:divBdr>
    </w:div>
    <w:div w:id="1988047151">
      <w:bodyDiv w:val="1"/>
      <w:marLeft w:val="0"/>
      <w:marRight w:val="0"/>
      <w:marTop w:val="0"/>
      <w:marBottom w:val="0"/>
      <w:divBdr>
        <w:top w:val="none" w:sz="0" w:space="0" w:color="auto"/>
        <w:left w:val="none" w:sz="0" w:space="0" w:color="auto"/>
        <w:bottom w:val="none" w:sz="0" w:space="0" w:color="auto"/>
        <w:right w:val="none" w:sz="0" w:space="0" w:color="auto"/>
      </w:divBdr>
    </w:div>
    <w:div w:id="2001536468">
      <w:bodyDiv w:val="1"/>
      <w:marLeft w:val="0"/>
      <w:marRight w:val="0"/>
      <w:marTop w:val="0"/>
      <w:marBottom w:val="0"/>
      <w:divBdr>
        <w:top w:val="none" w:sz="0" w:space="0" w:color="auto"/>
        <w:left w:val="none" w:sz="0" w:space="0" w:color="auto"/>
        <w:bottom w:val="none" w:sz="0" w:space="0" w:color="auto"/>
        <w:right w:val="none" w:sz="0" w:space="0" w:color="auto"/>
      </w:divBdr>
    </w:div>
    <w:div w:id="2010675966">
      <w:bodyDiv w:val="1"/>
      <w:marLeft w:val="0"/>
      <w:marRight w:val="0"/>
      <w:marTop w:val="0"/>
      <w:marBottom w:val="0"/>
      <w:divBdr>
        <w:top w:val="none" w:sz="0" w:space="0" w:color="auto"/>
        <w:left w:val="none" w:sz="0" w:space="0" w:color="auto"/>
        <w:bottom w:val="none" w:sz="0" w:space="0" w:color="auto"/>
        <w:right w:val="none" w:sz="0" w:space="0" w:color="auto"/>
      </w:divBdr>
    </w:div>
    <w:div w:id="2012676600">
      <w:bodyDiv w:val="1"/>
      <w:marLeft w:val="0"/>
      <w:marRight w:val="0"/>
      <w:marTop w:val="0"/>
      <w:marBottom w:val="0"/>
      <w:divBdr>
        <w:top w:val="none" w:sz="0" w:space="0" w:color="auto"/>
        <w:left w:val="none" w:sz="0" w:space="0" w:color="auto"/>
        <w:bottom w:val="none" w:sz="0" w:space="0" w:color="auto"/>
        <w:right w:val="none" w:sz="0" w:space="0" w:color="auto"/>
      </w:divBdr>
    </w:div>
    <w:div w:id="2019497715">
      <w:bodyDiv w:val="1"/>
      <w:marLeft w:val="0"/>
      <w:marRight w:val="0"/>
      <w:marTop w:val="0"/>
      <w:marBottom w:val="0"/>
      <w:divBdr>
        <w:top w:val="none" w:sz="0" w:space="0" w:color="auto"/>
        <w:left w:val="none" w:sz="0" w:space="0" w:color="auto"/>
        <w:bottom w:val="none" w:sz="0" w:space="0" w:color="auto"/>
        <w:right w:val="none" w:sz="0" w:space="0" w:color="auto"/>
      </w:divBdr>
    </w:div>
    <w:div w:id="2024699413">
      <w:bodyDiv w:val="1"/>
      <w:marLeft w:val="0"/>
      <w:marRight w:val="0"/>
      <w:marTop w:val="0"/>
      <w:marBottom w:val="0"/>
      <w:divBdr>
        <w:top w:val="none" w:sz="0" w:space="0" w:color="auto"/>
        <w:left w:val="none" w:sz="0" w:space="0" w:color="auto"/>
        <w:bottom w:val="none" w:sz="0" w:space="0" w:color="auto"/>
        <w:right w:val="none" w:sz="0" w:space="0" w:color="auto"/>
      </w:divBdr>
    </w:div>
    <w:div w:id="2027906466">
      <w:bodyDiv w:val="1"/>
      <w:marLeft w:val="0"/>
      <w:marRight w:val="0"/>
      <w:marTop w:val="0"/>
      <w:marBottom w:val="0"/>
      <w:divBdr>
        <w:top w:val="none" w:sz="0" w:space="0" w:color="auto"/>
        <w:left w:val="none" w:sz="0" w:space="0" w:color="auto"/>
        <w:bottom w:val="none" w:sz="0" w:space="0" w:color="auto"/>
        <w:right w:val="none" w:sz="0" w:space="0" w:color="auto"/>
      </w:divBdr>
    </w:div>
    <w:div w:id="2032564059">
      <w:bodyDiv w:val="1"/>
      <w:marLeft w:val="0"/>
      <w:marRight w:val="0"/>
      <w:marTop w:val="0"/>
      <w:marBottom w:val="0"/>
      <w:divBdr>
        <w:top w:val="none" w:sz="0" w:space="0" w:color="auto"/>
        <w:left w:val="none" w:sz="0" w:space="0" w:color="auto"/>
        <w:bottom w:val="none" w:sz="0" w:space="0" w:color="auto"/>
        <w:right w:val="none" w:sz="0" w:space="0" w:color="auto"/>
      </w:divBdr>
    </w:div>
    <w:div w:id="2037076407">
      <w:bodyDiv w:val="1"/>
      <w:marLeft w:val="0"/>
      <w:marRight w:val="0"/>
      <w:marTop w:val="0"/>
      <w:marBottom w:val="0"/>
      <w:divBdr>
        <w:top w:val="none" w:sz="0" w:space="0" w:color="auto"/>
        <w:left w:val="none" w:sz="0" w:space="0" w:color="auto"/>
        <w:bottom w:val="none" w:sz="0" w:space="0" w:color="auto"/>
        <w:right w:val="none" w:sz="0" w:space="0" w:color="auto"/>
      </w:divBdr>
    </w:div>
    <w:div w:id="2037341680">
      <w:bodyDiv w:val="1"/>
      <w:marLeft w:val="0"/>
      <w:marRight w:val="0"/>
      <w:marTop w:val="0"/>
      <w:marBottom w:val="0"/>
      <w:divBdr>
        <w:top w:val="none" w:sz="0" w:space="0" w:color="auto"/>
        <w:left w:val="none" w:sz="0" w:space="0" w:color="auto"/>
        <w:bottom w:val="none" w:sz="0" w:space="0" w:color="auto"/>
        <w:right w:val="none" w:sz="0" w:space="0" w:color="auto"/>
      </w:divBdr>
    </w:div>
    <w:div w:id="2040156611">
      <w:bodyDiv w:val="1"/>
      <w:marLeft w:val="0"/>
      <w:marRight w:val="0"/>
      <w:marTop w:val="0"/>
      <w:marBottom w:val="0"/>
      <w:divBdr>
        <w:top w:val="none" w:sz="0" w:space="0" w:color="auto"/>
        <w:left w:val="none" w:sz="0" w:space="0" w:color="auto"/>
        <w:bottom w:val="none" w:sz="0" w:space="0" w:color="auto"/>
        <w:right w:val="none" w:sz="0" w:space="0" w:color="auto"/>
      </w:divBdr>
    </w:div>
    <w:div w:id="2064476787">
      <w:bodyDiv w:val="1"/>
      <w:marLeft w:val="0"/>
      <w:marRight w:val="0"/>
      <w:marTop w:val="0"/>
      <w:marBottom w:val="0"/>
      <w:divBdr>
        <w:top w:val="none" w:sz="0" w:space="0" w:color="auto"/>
        <w:left w:val="none" w:sz="0" w:space="0" w:color="auto"/>
        <w:bottom w:val="none" w:sz="0" w:space="0" w:color="auto"/>
        <w:right w:val="none" w:sz="0" w:space="0" w:color="auto"/>
      </w:divBdr>
    </w:div>
    <w:div w:id="2072847985">
      <w:bodyDiv w:val="1"/>
      <w:marLeft w:val="0"/>
      <w:marRight w:val="0"/>
      <w:marTop w:val="0"/>
      <w:marBottom w:val="0"/>
      <w:divBdr>
        <w:top w:val="none" w:sz="0" w:space="0" w:color="auto"/>
        <w:left w:val="none" w:sz="0" w:space="0" w:color="auto"/>
        <w:bottom w:val="none" w:sz="0" w:space="0" w:color="auto"/>
        <w:right w:val="none" w:sz="0" w:space="0" w:color="auto"/>
      </w:divBdr>
    </w:div>
    <w:div w:id="2079402302">
      <w:bodyDiv w:val="1"/>
      <w:marLeft w:val="0"/>
      <w:marRight w:val="0"/>
      <w:marTop w:val="0"/>
      <w:marBottom w:val="0"/>
      <w:divBdr>
        <w:top w:val="none" w:sz="0" w:space="0" w:color="auto"/>
        <w:left w:val="none" w:sz="0" w:space="0" w:color="auto"/>
        <w:bottom w:val="none" w:sz="0" w:space="0" w:color="auto"/>
        <w:right w:val="none" w:sz="0" w:space="0" w:color="auto"/>
      </w:divBdr>
    </w:div>
    <w:div w:id="2080862162">
      <w:bodyDiv w:val="1"/>
      <w:marLeft w:val="0"/>
      <w:marRight w:val="0"/>
      <w:marTop w:val="0"/>
      <w:marBottom w:val="0"/>
      <w:divBdr>
        <w:top w:val="none" w:sz="0" w:space="0" w:color="auto"/>
        <w:left w:val="none" w:sz="0" w:space="0" w:color="auto"/>
        <w:bottom w:val="none" w:sz="0" w:space="0" w:color="auto"/>
        <w:right w:val="none" w:sz="0" w:space="0" w:color="auto"/>
      </w:divBdr>
    </w:div>
    <w:div w:id="2106269985">
      <w:bodyDiv w:val="1"/>
      <w:marLeft w:val="0"/>
      <w:marRight w:val="0"/>
      <w:marTop w:val="0"/>
      <w:marBottom w:val="0"/>
      <w:divBdr>
        <w:top w:val="none" w:sz="0" w:space="0" w:color="auto"/>
        <w:left w:val="none" w:sz="0" w:space="0" w:color="auto"/>
        <w:bottom w:val="none" w:sz="0" w:space="0" w:color="auto"/>
        <w:right w:val="none" w:sz="0" w:space="0" w:color="auto"/>
      </w:divBdr>
    </w:div>
    <w:div w:id="2108845776">
      <w:bodyDiv w:val="1"/>
      <w:marLeft w:val="0"/>
      <w:marRight w:val="0"/>
      <w:marTop w:val="0"/>
      <w:marBottom w:val="0"/>
      <w:divBdr>
        <w:top w:val="none" w:sz="0" w:space="0" w:color="auto"/>
        <w:left w:val="none" w:sz="0" w:space="0" w:color="auto"/>
        <w:bottom w:val="none" w:sz="0" w:space="0" w:color="auto"/>
        <w:right w:val="none" w:sz="0" w:space="0" w:color="auto"/>
      </w:divBdr>
    </w:div>
    <w:div w:id="2122335692">
      <w:bodyDiv w:val="1"/>
      <w:marLeft w:val="0"/>
      <w:marRight w:val="0"/>
      <w:marTop w:val="0"/>
      <w:marBottom w:val="0"/>
      <w:divBdr>
        <w:top w:val="none" w:sz="0" w:space="0" w:color="auto"/>
        <w:left w:val="none" w:sz="0" w:space="0" w:color="auto"/>
        <w:bottom w:val="none" w:sz="0" w:space="0" w:color="auto"/>
        <w:right w:val="none" w:sz="0" w:space="0" w:color="auto"/>
      </w:divBdr>
    </w:div>
    <w:div w:id="2130588319">
      <w:bodyDiv w:val="1"/>
      <w:marLeft w:val="0"/>
      <w:marRight w:val="0"/>
      <w:marTop w:val="0"/>
      <w:marBottom w:val="0"/>
      <w:divBdr>
        <w:top w:val="none" w:sz="0" w:space="0" w:color="auto"/>
        <w:left w:val="none" w:sz="0" w:space="0" w:color="auto"/>
        <w:bottom w:val="none" w:sz="0" w:space="0" w:color="auto"/>
        <w:right w:val="none" w:sz="0" w:space="0" w:color="auto"/>
      </w:divBdr>
    </w:div>
    <w:div w:id="2132094639">
      <w:bodyDiv w:val="1"/>
      <w:marLeft w:val="0"/>
      <w:marRight w:val="0"/>
      <w:marTop w:val="0"/>
      <w:marBottom w:val="0"/>
      <w:divBdr>
        <w:top w:val="none" w:sz="0" w:space="0" w:color="auto"/>
        <w:left w:val="none" w:sz="0" w:space="0" w:color="auto"/>
        <w:bottom w:val="none" w:sz="0" w:space="0" w:color="auto"/>
        <w:right w:val="none" w:sz="0" w:space="0" w:color="auto"/>
      </w:divBdr>
    </w:div>
    <w:div w:id="2133010562">
      <w:bodyDiv w:val="1"/>
      <w:marLeft w:val="0"/>
      <w:marRight w:val="0"/>
      <w:marTop w:val="0"/>
      <w:marBottom w:val="0"/>
      <w:divBdr>
        <w:top w:val="none" w:sz="0" w:space="0" w:color="auto"/>
        <w:left w:val="none" w:sz="0" w:space="0" w:color="auto"/>
        <w:bottom w:val="none" w:sz="0" w:space="0" w:color="auto"/>
        <w:right w:val="none" w:sz="0" w:space="0" w:color="auto"/>
      </w:divBdr>
    </w:div>
    <w:div w:id="2136940994">
      <w:bodyDiv w:val="1"/>
      <w:marLeft w:val="0"/>
      <w:marRight w:val="0"/>
      <w:marTop w:val="0"/>
      <w:marBottom w:val="0"/>
      <w:divBdr>
        <w:top w:val="none" w:sz="0" w:space="0" w:color="auto"/>
        <w:left w:val="none" w:sz="0" w:space="0" w:color="auto"/>
        <w:bottom w:val="none" w:sz="0" w:space="0" w:color="auto"/>
        <w:right w:val="none" w:sz="0" w:space="0" w:color="auto"/>
      </w:divBdr>
    </w:div>
    <w:div w:id="2139952656">
      <w:bodyDiv w:val="1"/>
      <w:marLeft w:val="0"/>
      <w:marRight w:val="0"/>
      <w:marTop w:val="0"/>
      <w:marBottom w:val="0"/>
      <w:divBdr>
        <w:top w:val="none" w:sz="0" w:space="0" w:color="auto"/>
        <w:left w:val="none" w:sz="0" w:space="0" w:color="auto"/>
        <w:bottom w:val="none" w:sz="0" w:space="0" w:color="auto"/>
        <w:right w:val="none" w:sz="0" w:space="0" w:color="auto"/>
      </w:divBdr>
    </w:div>
    <w:div w:id="214611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garantF1://12012604.21707"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oleObject" Target="embeddings/_____Microsoft_Excel_97_20048.xls"/><Relationship Id="rId89"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garantF1://403071045.2101" TargetMode="External"/><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0.png"/><Relationship Id="rId79" Type="http://schemas.openxmlformats.org/officeDocument/2006/relationships/oleObject" Target="embeddings/_____Microsoft_Excel_97_20046.xls"/><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hyperlink" Target="garantF1://12012604.21707" TargetMode="External"/><Relationship Id="rId27" Type="http://schemas.openxmlformats.org/officeDocument/2006/relationships/image" Target="media/image13.png"/><Relationship Id="rId30" Type="http://schemas.openxmlformats.org/officeDocument/2006/relationships/hyperlink" Target="garantF1://5659555.0" TargetMode="External"/><Relationship Id="rId35" Type="http://schemas.openxmlformats.org/officeDocument/2006/relationships/hyperlink" Target="garantF1://10064072.3"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oleObject" Target="embeddings/_____Microsoft_Excel_97_20041.xls"/><Relationship Id="rId77" Type="http://schemas.openxmlformats.org/officeDocument/2006/relationships/oleObject" Target="embeddings/_____Microsoft_Excel_97_20045.xls"/><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9.png"/><Relationship Id="rId80" Type="http://schemas.openxmlformats.org/officeDocument/2006/relationships/image" Target="media/image53.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garantF1://403071045.2101"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hyperlink" Target="garantF1://12012604.21707"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8.emf"/><Relationship Id="rId75" Type="http://schemas.openxmlformats.org/officeDocument/2006/relationships/oleObject" Target="embeddings/_____Microsoft_Excel_97_20044.xls"/><Relationship Id="rId83" Type="http://schemas.openxmlformats.org/officeDocument/2006/relationships/image" Target="media/image55.emf"/><Relationship Id="rId88" Type="http://schemas.openxmlformats.org/officeDocument/2006/relationships/image" Target="media/image5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garantF1://12012604.21707" TargetMode="External"/><Relationship Id="rId28" Type="http://schemas.openxmlformats.org/officeDocument/2006/relationships/hyperlink" Target="garantF1://403071045.2101"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hyperlink" Target="garantF1://12012604.21703"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oleObject" Target="embeddings/_____Microsoft_Excel_97_20043.xls"/><Relationship Id="rId78" Type="http://schemas.openxmlformats.org/officeDocument/2006/relationships/image" Target="media/image52.png"/><Relationship Id="rId81" Type="http://schemas.openxmlformats.org/officeDocument/2006/relationships/oleObject" Target="embeddings/_____Microsoft_Excel_97_20047.xls"/><Relationship Id="rId86"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oleObject" Target="embeddings/_____Microsoft_Excel_97_20042.xls"/><Relationship Id="rId2" Type="http://schemas.openxmlformats.org/officeDocument/2006/relationships/numbering" Target="numbering.xml"/><Relationship Id="rId29" Type="http://schemas.openxmlformats.org/officeDocument/2006/relationships/hyperlink" Target="consultantplus://offline/ref=4B1496F03F5D3204E9CA919CD08FF15C5C9455A1D362ED1E0D104F66A8620D86D82ECEE789B79A1CD28C9B3EC7DAlAG" TargetMode="External"/><Relationship Id="rId24" Type="http://schemas.openxmlformats.org/officeDocument/2006/relationships/hyperlink" Target="garantF1://70334746.1000"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oleObject" Target="embeddings/_____Microsoft_Excel_97_20049.xls"/><Relationship Id="rId61" Type="http://schemas.openxmlformats.org/officeDocument/2006/relationships/oleObject" Target="embeddings/_____Microsoft_Excel_97_2004.xls"/><Relationship Id="rId82" Type="http://schemas.openxmlformats.org/officeDocument/2006/relationships/image" Target="media/image54.png"/><Relationship Id="rId19" Type="http://schemas.openxmlformats.org/officeDocument/2006/relationships/hyperlink" Target="garantF1://12012604.217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5EFFA0-91B4-41B7-9246-F63638BA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132</Pages>
  <Words>43337</Words>
  <Characters>247023</Characters>
  <Application>Microsoft Office Word</Application>
  <DocSecurity>0</DocSecurity>
  <Lines>2058</Lines>
  <Paragraphs>579</Paragraphs>
  <ScaleCrop>false</ScaleCrop>
  <HeadingPairs>
    <vt:vector size="2" baseType="variant">
      <vt:variant>
        <vt:lpstr>Название</vt:lpstr>
      </vt:variant>
      <vt:variant>
        <vt:i4>1</vt:i4>
      </vt:variant>
    </vt:vector>
  </HeadingPairs>
  <TitlesOfParts>
    <vt:vector size="1" baseType="lpstr">
      <vt:lpstr>Аналитическая записка</vt:lpstr>
    </vt:vector>
  </TitlesOfParts>
  <Company/>
  <LinksUpToDate>false</LinksUpToDate>
  <CharactersWithSpaces>289781</CharactersWithSpaces>
  <SharedDoc>false</SharedDoc>
  <HLinks>
    <vt:vector size="102" baseType="variant">
      <vt:variant>
        <vt:i4>6881343</vt:i4>
      </vt:variant>
      <vt:variant>
        <vt:i4>78</vt:i4>
      </vt:variant>
      <vt:variant>
        <vt:i4>0</vt:i4>
      </vt:variant>
      <vt:variant>
        <vt:i4>5</vt:i4>
      </vt:variant>
      <vt:variant>
        <vt:lpwstr>garantf1://10064072.3/</vt:lpwstr>
      </vt:variant>
      <vt:variant>
        <vt:lpwstr/>
      </vt:variant>
      <vt:variant>
        <vt:i4>3014672</vt:i4>
      </vt:variant>
      <vt:variant>
        <vt:i4>75</vt:i4>
      </vt:variant>
      <vt:variant>
        <vt:i4>0</vt:i4>
      </vt:variant>
      <vt:variant>
        <vt:i4>5</vt:i4>
      </vt:variant>
      <vt:variant>
        <vt:lpwstr/>
      </vt:variant>
      <vt:variant>
        <vt:lpwstr>sub_10041</vt:lpwstr>
      </vt:variant>
      <vt:variant>
        <vt:i4>3014672</vt:i4>
      </vt:variant>
      <vt:variant>
        <vt:i4>72</vt:i4>
      </vt:variant>
      <vt:variant>
        <vt:i4>0</vt:i4>
      </vt:variant>
      <vt:variant>
        <vt:i4>5</vt:i4>
      </vt:variant>
      <vt:variant>
        <vt:lpwstr/>
      </vt:variant>
      <vt:variant>
        <vt:lpwstr>sub_10041</vt:lpwstr>
      </vt:variant>
      <vt:variant>
        <vt:i4>7471139</vt:i4>
      </vt:variant>
      <vt:variant>
        <vt:i4>66</vt:i4>
      </vt:variant>
      <vt:variant>
        <vt:i4>0</vt:i4>
      </vt:variant>
      <vt:variant>
        <vt:i4>5</vt:i4>
      </vt:variant>
      <vt:variant>
        <vt:lpwstr>garantf1://403071045.2101/</vt:lpwstr>
      </vt:variant>
      <vt:variant>
        <vt:lpwstr/>
      </vt:variant>
      <vt:variant>
        <vt:i4>6881343</vt:i4>
      </vt:variant>
      <vt:variant>
        <vt:i4>63</vt:i4>
      </vt:variant>
      <vt:variant>
        <vt:i4>0</vt:i4>
      </vt:variant>
      <vt:variant>
        <vt:i4>5</vt:i4>
      </vt:variant>
      <vt:variant>
        <vt:lpwstr>garantf1://12012604.21703/</vt:lpwstr>
      </vt:variant>
      <vt:variant>
        <vt:lpwstr/>
      </vt:variant>
      <vt:variant>
        <vt:i4>5898268</vt:i4>
      </vt:variant>
      <vt:variant>
        <vt:i4>60</vt:i4>
      </vt:variant>
      <vt:variant>
        <vt:i4>0</vt:i4>
      </vt:variant>
      <vt:variant>
        <vt:i4>5</vt:i4>
      </vt:variant>
      <vt:variant>
        <vt:lpwstr>garantf1://5659555.0/</vt:lpwstr>
      </vt:variant>
      <vt:variant>
        <vt:lpwstr/>
      </vt:variant>
      <vt:variant>
        <vt:i4>4718678</vt:i4>
      </vt:variant>
      <vt:variant>
        <vt:i4>54</vt:i4>
      </vt:variant>
      <vt:variant>
        <vt:i4>0</vt:i4>
      </vt:variant>
      <vt:variant>
        <vt:i4>5</vt:i4>
      </vt:variant>
      <vt:variant>
        <vt:lpwstr>consultantplus://offline/ref=4B1496F03F5D3204E9CA919CD08FF15C5C9455A1D362ED1E0D104F66A8620D86D82ECEE789B79A1CD28C9B3EC7DAlAG</vt:lpwstr>
      </vt:variant>
      <vt:variant>
        <vt:lpwstr/>
      </vt:variant>
      <vt:variant>
        <vt:i4>7471139</vt:i4>
      </vt:variant>
      <vt:variant>
        <vt:i4>51</vt:i4>
      </vt:variant>
      <vt:variant>
        <vt:i4>0</vt:i4>
      </vt:variant>
      <vt:variant>
        <vt:i4>5</vt:i4>
      </vt:variant>
      <vt:variant>
        <vt:lpwstr>garantf1://403071045.2101/</vt:lpwstr>
      </vt:variant>
      <vt:variant>
        <vt:lpwstr/>
      </vt:variant>
      <vt:variant>
        <vt:i4>7471139</vt:i4>
      </vt:variant>
      <vt:variant>
        <vt:i4>48</vt:i4>
      </vt:variant>
      <vt:variant>
        <vt:i4>0</vt:i4>
      </vt:variant>
      <vt:variant>
        <vt:i4>5</vt:i4>
      </vt:variant>
      <vt:variant>
        <vt:lpwstr>garantf1://403071045.2101/</vt:lpwstr>
      </vt:variant>
      <vt:variant>
        <vt:lpwstr/>
      </vt:variant>
      <vt:variant>
        <vt:i4>4194315</vt:i4>
      </vt:variant>
      <vt:variant>
        <vt:i4>45</vt:i4>
      </vt:variant>
      <vt:variant>
        <vt:i4>0</vt:i4>
      </vt:variant>
      <vt:variant>
        <vt:i4>5</vt:i4>
      </vt:variant>
      <vt:variant>
        <vt:lpwstr>garantf1://70334746.1000/</vt:lpwstr>
      </vt:variant>
      <vt:variant>
        <vt:lpwstr/>
      </vt:variant>
      <vt:variant>
        <vt:i4>6881339</vt:i4>
      </vt:variant>
      <vt:variant>
        <vt:i4>42</vt:i4>
      </vt:variant>
      <vt:variant>
        <vt:i4>0</vt:i4>
      </vt:variant>
      <vt:variant>
        <vt:i4>5</vt:i4>
      </vt:variant>
      <vt:variant>
        <vt:lpwstr>garantf1://12012604.21707/</vt:lpwstr>
      </vt:variant>
      <vt:variant>
        <vt:lpwstr/>
      </vt:variant>
      <vt:variant>
        <vt:i4>6881339</vt:i4>
      </vt:variant>
      <vt:variant>
        <vt:i4>39</vt:i4>
      </vt:variant>
      <vt:variant>
        <vt:i4>0</vt:i4>
      </vt:variant>
      <vt:variant>
        <vt:i4>5</vt:i4>
      </vt:variant>
      <vt:variant>
        <vt:lpwstr>garantf1://12012604.21707/</vt:lpwstr>
      </vt:variant>
      <vt:variant>
        <vt:lpwstr/>
      </vt:variant>
      <vt:variant>
        <vt:i4>6881339</vt:i4>
      </vt:variant>
      <vt:variant>
        <vt:i4>36</vt:i4>
      </vt:variant>
      <vt:variant>
        <vt:i4>0</vt:i4>
      </vt:variant>
      <vt:variant>
        <vt:i4>5</vt:i4>
      </vt:variant>
      <vt:variant>
        <vt:lpwstr>garantf1://12012604.21707/</vt:lpwstr>
      </vt:variant>
      <vt:variant>
        <vt:lpwstr/>
      </vt:variant>
      <vt:variant>
        <vt:i4>6881339</vt:i4>
      </vt:variant>
      <vt:variant>
        <vt:i4>33</vt:i4>
      </vt:variant>
      <vt:variant>
        <vt:i4>0</vt:i4>
      </vt:variant>
      <vt:variant>
        <vt:i4>5</vt:i4>
      </vt:variant>
      <vt:variant>
        <vt:lpwstr>garantf1://12012604.21707/</vt:lpwstr>
      </vt:variant>
      <vt:variant>
        <vt:lpwstr/>
      </vt:variant>
      <vt:variant>
        <vt:i4>6881339</vt:i4>
      </vt:variant>
      <vt:variant>
        <vt:i4>30</vt:i4>
      </vt:variant>
      <vt:variant>
        <vt:i4>0</vt:i4>
      </vt:variant>
      <vt:variant>
        <vt:i4>5</vt:i4>
      </vt:variant>
      <vt:variant>
        <vt:lpwstr>garantf1://12012604.21707/</vt:lpwstr>
      </vt:variant>
      <vt:variant>
        <vt:lpwstr/>
      </vt:variant>
      <vt:variant>
        <vt:i4>2752529</vt:i4>
      </vt:variant>
      <vt:variant>
        <vt:i4>3</vt:i4>
      </vt:variant>
      <vt:variant>
        <vt:i4>0</vt:i4>
      </vt:variant>
      <vt:variant>
        <vt:i4>5</vt:i4>
      </vt:variant>
      <vt:variant>
        <vt:lpwstr/>
      </vt:variant>
      <vt:variant>
        <vt:lpwstr>sub_0</vt:lpwstr>
      </vt:variant>
      <vt:variant>
        <vt:i4>2752528</vt:i4>
      </vt:variant>
      <vt:variant>
        <vt:i4>0</vt:i4>
      </vt:variant>
      <vt:variant>
        <vt:i4>0</vt:i4>
      </vt:variant>
      <vt:variant>
        <vt:i4>5</vt:i4>
      </vt:variant>
      <vt:variant>
        <vt:lpwstr/>
      </vt:variant>
      <vt:variant>
        <vt:lpwstr>sub_1000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Аналитическая записка</dc:title>
  <dc:creator>Kalinkina</dc:creator>
  <cp:lastModifiedBy>Microsoft Office User</cp:lastModifiedBy>
  <cp:revision>487</cp:revision>
  <cp:lastPrinted>2022-11-22T16:17:00Z</cp:lastPrinted>
  <dcterms:created xsi:type="dcterms:W3CDTF">2022-11-21T12:06:00Z</dcterms:created>
  <dcterms:modified xsi:type="dcterms:W3CDTF">2022-11-30T06:28:00Z</dcterms:modified>
</cp:coreProperties>
</file>