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78" w:rsidRDefault="00882378" w:rsidP="00803584">
      <w:pPr>
        <w:spacing w:after="0" w:line="240" w:lineRule="auto"/>
        <w:ind w:left="5103"/>
        <w:jc w:val="right"/>
        <w:rPr>
          <w:rFonts w:ascii="Times New Roman" w:hAnsi="Times New Roman" w:cs="Times New Roman"/>
          <w:sz w:val="28"/>
          <w:szCs w:val="28"/>
        </w:rPr>
      </w:pPr>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3D596D">
        <w:rPr>
          <w:rFonts w:ascii="Times New Roman" w:hAnsi="Times New Roman" w:cs="Times New Roman"/>
          <w:sz w:val="28"/>
          <w:szCs w:val="28"/>
        </w:rPr>
        <w:t>1</w:t>
      </w:r>
      <w:r w:rsidR="00CB369C">
        <w:rPr>
          <w:rFonts w:ascii="Times New Roman" w:hAnsi="Times New Roman" w:cs="Times New Roman"/>
          <w:sz w:val="28"/>
          <w:szCs w:val="28"/>
        </w:rPr>
        <w:t>3</w:t>
      </w:r>
    </w:p>
    <w:p w:rsidR="00882378" w:rsidRDefault="00882378" w:rsidP="00627DBF">
      <w:pPr>
        <w:spacing w:after="0" w:line="240" w:lineRule="auto"/>
        <w:ind w:left="5103"/>
        <w:rPr>
          <w:rFonts w:ascii="Times New Roman" w:hAnsi="Times New Roman" w:cs="Times New Roman"/>
          <w:sz w:val="28"/>
          <w:szCs w:val="28"/>
        </w:rPr>
      </w:pPr>
    </w:p>
    <w:p w:rsidR="00803584" w:rsidRDefault="00803584" w:rsidP="00627DBF">
      <w:pPr>
        <w:spacing w:after="0" w:line="240" w:lineRule="auto"/>
        <w:ind w:left="5103"/>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2D60F3" w:rsidRDefault="002D60F3" w:rsidP="00882378">
      <w:pPr>
        <w:ind w:left="-284" w:firstLine="568"/>
        <w:jc w:val="both"/>
        <w:rPr>
          <w:rFonts w:ascii="Times New Roman" w:hAnsi="Times New Roman" w:cs="Times New Roman"/>
          <w:sz w:val="28"/>
          <w:szCs w:val="28"/>
        </w:rPr>
      </w:pPr>
      <w:bookmarkStart w:id="0" w:name="_GoBack"/>
      <w:bookmarkEnd w:id="0"/>
    </w:p>
    <w:p w:rsidR="002D60F3" w:rsidRDefault="002D60F3" w:rsidP="00882378">
      <w:pPr>
        <w:ind w:left="-284" w:firstLine="568"/>
        <w:jc w:val="both"/>
        <w:rPr>
          <w:rFonts w:ascii="Times New Roman" w:hAnsi="Times New Roman" w:cs="Times New Roman"/>
          <w:sz w:val="28"/>
          <w:szCs w:val="28"/>
        </w:rPr>
      </w:pPr>
    </w:p>
    <w:p w:rsidR="0063546A" w:rsidRPr="00E65E71" w:rsidRDefault="003D596D" w:rsidP="00E65E71">
      <w:pPr>
        <w:spacing w:after="0" w:line="240" w:lineRule="auto"/>
        <w:jc w:val="center"/>
        <w:rPr>
          <w:rFonts w:ascii="Times New Roman" w:hAnsi="Times New Roman" w:cs="Times New Roman"/>
          <w:b/>
          <w:bCs/>
          <w:spacing w:val="-4"/>
          <w:sz w:val="28"/>
          <w:szCs w:val="28"/>
        </w:rPr>
      </w:pPr>
      <w:r w:rsidRPr="003D596D">
        <w:rPr>
          <w:rFonts w:ascii="Times New Roman" w:hAnsi="Times New Roman" w:cs="Times New Roman"/>
          <w:b/>
          <w:bCs/>
          <w:spacing w:val="-4"/>
          <w:sz w:val="28"/>
          <w:szCs w:val="28"/>
        </w:rPr>
        <w:t xml:space="preserve">Сведения </w:t>
      </w:r>
      <w:r w:rsidR="00A7301B" w:rsidRPr="00A7301B">
        <w:rPr>
          <w:rFonts w:ascii="Times New Roman" w:hAnsi="Times New Roman" w:cs="Times New Roman"/>
          <w:b/>
          <w:bCs/>
          <w:spacing w:val="-4"/>
          <w:sz w:val="28"/>
          <w:szCs w:val="28"/>
        </w:rPr>
        <w:t xml:space="preserve">об организации </w:t>
      </w:r>
      <w:r w:rsidR="00F61326">
        <w:rPr>
          <w:rFonts w:ascii="Times New Roman" w:hAnsi="Times New Roman" w:cs="Times New Roman"/>
          <w:b/>
          <w:bCs/>
          <w:spacing w:val="-4"/>
          <w:sz w:val="28"/>
          <w:szCs w:val="28"/>
        </w:rPr>
        <w:t>Минсельхозом России</w:t>
      </w:r>
      <w:r w:rsidR="00A7301B" w:rsidRPr="00A7301B">
        <w:rPr>
          <w:rFonts w:ascii="Times New Roman" w:hAnsi="Times New Roman" w:cs="Times New Roman"/>
          <w:b/>
          <w:bCs/>
          <w:spacing w:val="-4"/>
          <w:sz w:val="28"/>
          <w:szCs w:val="28"/>
        </w:rPr>
        <w:t xml:space="preserve"> государственного мониторинга земель</w:t>
      </w:r>
    </w:p>
    <w:p w:rsidR="003D596D" w:rsidRPr="003D596D" w:rsidRDefault="003D596D" w:rsidP="00C87782">
      <w:pPr>
        <w:spacing w:after="0" w:line="240" w:lineRule="auto"/>
        <w:ind w:firstLine="709"/>
        <w:jc w:val="center"/>
        <w:rPr>
          <w:rFonts w:ascii="Times New Roman" w:eastAsia="Calibri" w:hAnsi="Times New Roman" w:cs="Times New Roman"/>
          <w:b/>
          <w:bCs/>
          <w:sz w:val="28"/>
          <w:szCs w:val="28"/>
        </w:rPr>
      </w:pPr>
    </w:p>
    <w:p w:rsidR="00F61326" w:rsidRPr="00F61326" w:rsidRDefault="00F61326" w:rsidP="00F61326">
      <w:pPr>
        <w:spacing w:after="0" w:line="240" w:lineRule="auto"/>
        <w:ind w:firstLine="709"/>
        <w:jc w:val="both"/>
        <w:rPr>
          <w:rFonts w:ascii="Times New Roman" w:eastAsia="Times New Roman" w:hAnsi="Times New Roman" w:cs="Times New Roman"/>
          <w:bCs/>
          <w:color w:val="292C2F"/>
          <w:sz w:val="28"/>
          <w:szCs w:val="28"/>
          <w:lang w:eastAsia="ru-RU"/>
        </w:rPr>
      </w:pPr>
      <w:r w:rsidRPr="00F61326">
        <w:rPr>
          <w:rFonts w:ascii="Times New Roman" w:eastAsia="Times New Roman" w:hAnsi="Times New Roman" w:cs="Times New Roman"/>
          <w:bCs/>
          <w:sz w:val="28"/>
          <w:szCs w:val="28"/>
          <w:lang w:eastAsia="ru-RU"/>
        </w:rP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 w:history="1">
        <w:r w:rsidRPr="00F61326">
          <w:rPr>
            <w:rFonts w:ascii="Times New Roman" w:eastAsia="Times New Roman" w:hAnsi="Times New Roman" w:cs="Times New Roman"/>
            <w:bCs/>
            <w:sz w:val="28"/>
            <w:szCs w:val="28"/>
            <w:lang w:eastAsia="ru-RU"/>
          </w:rPr>
          <w:t>законом</w:t>
        </w:r>
      </w:hyperlink>
      <w:r w:rsidRPr="00F61326">
        <w:rPr>
          <w:rFonts w:ascii="Times New Roman" w:eastAsia="Times New Roman" w:hAnsi="Times New Roman" w:cs="Times New Roman"/>
          <w:bCs/>
          <w:sz w:val="28"/>
          <w:szCs w:val="28"/>
          <w:lang w:eastAsia="ru-RU"/>
        </w:rPr>
        <w:t xml:space="preserve"> от 16 июля 1998 г. № 101-ФЗ «О государственном регулировании обеспечения плодородия земель сельскохозяйственного назначения».</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bidi="ru-RU"/>
        </w:rPr>
      </w:pPr>
      <w:proofErr w:type="gramStart"/>
      <w:r w:rsidRPr="00F61326">
        <w:rPr>
          <w:rFonts w:ascii="Times New Roman" w:eastAsia="Times New Roman" w:hAnsi="Times New Roman" w:cs="Times New Roman"/>
          <w:bCs/>
          <w:sz w:val="28"/>
          <w:szCs w:val="28"/>
          <w:lang w:eastAsia="ru-RU" w:bidi="ru-RU"/>
        </w:rPr>
        <w:t xml:space="preserve">В 2011 году между </w:t>
      </w:r>
      <w:r w:rsidR="00532AE3">
        <w:rPr>
          <w:rFonts w:ascii="Times New Roman" w:eastAsia="Times New Roman" w:hAnsi="Times New Roman" w:cs="Times New Roman"/>
          <w:bCs/>
          <w:sz w:val="28"/>
          <w:szCs w:val="28"/>
          <w:lang w:eastAsia="ru-RU" w:bidi="ru-RU"/>
        </w:rPr>
        <w:t>Минсельхозом России</w:t>
      </w:r>
      <w:r w:rsidR="00532AE3" w:rsidRPr="00F61326">
        <w:rPr>
          <w:rFonts w:ascii="Times New Roman" w:eastAsia="Times New Roman" w:hAnsi="Times New Roman" w:cs="Times New Roman"/>
          <w:bCs/>
          <w:sz w:val="28"/>
          <w:szCs w:val="28"/>
          <w:lang w:eastAsia="ru-RU" w:bidi="ru-RU"/>
        </w:rPr>
        <w:t xml:space="preserve"> и </w:t>
      </w:r>
      <w:proofErr w:type="spellStart"/>
      <w:r w:rsidR="00532AE3">
        <w:rPr>
          <w:rFonts w:ascii="Times New Roman" w:eastAsia="Times New Roman" w:hAnsi="Times New Roman" w:cs="Times New Roman"/>
          <w:bCs/>
          <w:sz w:val="28"/>
          <w:szCs w:val="28"/>
          <w:lang w:eastAsia="ru-RU" w:bidi="ru-RU"/>
        </w:rPr>
        <w:t>Росреестром</w:t>
      </w:r>
      <w:proofErr w:type="spellEnd"/>
      <w:r w:rsidRPr="00F61326">
        <w:rPr>
          <w:rFonts w:ascii="Times New Roman" w:eastAsia="Times New Roman" w:hAnsi="Times New Roman" w:cs="Times New Roman"/>
          <w:bCs/>
          <w:sz w:val="28"/>
          <w:szCs w:val="28"/>
          <w:lang w:eastAsia="ru-RU" w:bidi="ru-RU"/>
        </w:rPr>
        <w:t xml:space="preserve"> заключено Соглашение о сотрудничестве в области земельных отношений (в части, касающейся земель сельскохозяйственного назначения), государственного мониторинга таких земель и формирования государственных информационных ресурсов об этих землях от 28 декабря 2011 г. № 1488/15/59 (далее </w:t>
      </w:r>
      <w:r w:rsidRPr="00F61326">
        <w:rPr>
          <w:rFonts w:ascii="Times New Roman" w:eastAsia="Times New Roman" w:hAnsi="Times New Roman" w:cs="Times New Roman"/>
          <w:bCs/>
          <w:sz w:val="28"/>
          <w:szCs w:val="28"/>
          <w:lang w:eastAsia="ru-RU"/>
        </w:rPr>
        <w:t>–</w:t>
      </w:r>
      <w:r w:rsidRPr="00F61326">
        <w:rPr>
          <w:rFonts w:ascii="Times New Roman" w:eastAsia="Times New Roman" w:hAnsi="Times New Roman" w:cs="Times New Roman"/>
          <w:bCs/>
          <w:sz w:val="28"/>
          <w:szCs w:val="28"/>
          <w:lang w:eastAsia="ru-RU" w:bidi="ru-RU"/>
        </w:rPr>
        <w:t xml:space="preserve"> соглашение от 28 декабря 2011 г. № 1488/15/59), </w:t>
      </w:r>
      <w:r w:rsidRPr="00F61326">
        <w:rPr>
          <w:rFonts w:ascii="Times New Roman" w:eastAsia="Times New Roman" w:hAnsi="Times New Roman" w:cs="Times New Roman"/>
          <w:bCs/>
          <w:i/>
          <w:sz w:val="28"/>
          <w:szCs w:val="28"/>
          <w:lang w:eastAsia="ru-RU" w:bidi="ru-RU"/>
        </w:rPr>
        <w:t xml:space="preserve">которое требует актуализации. </w:t>
      </w:r>
      <w:proofErr w:type="gramEnd"/>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bidi="ru-RU"/>
        </w:rPr>
      </w:pPr>
      <w:r w:rsidRPr="00F61326">
        <w:rPr>
          <w:rFonts w:ascii="Times New Roman" w:eastAsia="Times New Roman" w:hAnsi="Times New Roman" w:cs="Times New Roman"/>
          <w:bCs/>
          <w:sz w:val="28"/>
          <w:szCs w:val="28"/>
          <w:lang w:eastAsia="ru-RU" w:bidi="ru-RU"/>
        </w:rPr>
        <w:t xml:space="preserve">Согласно пункту 3.1 соглашения от 28 декабря 2011 г. № 1488/15/59 </w:t>
      </w:r>
      <w:proofErr w:type="spellStart"/>
      <w:r w:rsidRPr="00F61326">
        <w:rPr>
          <w:rFonts w:ascii="Times New Roman" w:eastAsia="Times New Roman" w:hAnsi="Times New Roman" w:cs="Times New Roman"/>
          <w:bCs/>
          <w:sz w:val="28"/>
          <w:szCs w:val="28"/>
          <w:lang w:eastAsia="ru-RU" w:bidi="ru-RU"/>
        </w:rPr>
        <w:t>Росреестр</w:t>
      </w:r>
      <w:proofErr w:type="spellEnd"/>
      <w:r w:rsidRPr="00F61326">
        <w:rPr>
          <w:rFonts w:ascii="Times New Roman" w:eastAsia="Times New Roman" w:hAnsi="Times New Roman" w:cs="Times New Roman"/>
          <w:bCs/>
          <w:sz w:val="28"/>
          <w:szCs w:val="28"/>
          <w:lang w:eastAsia="ru-RU" w:bidi="ru-RU"/>
        </w:rPr>
        <w:t xml:space="preserve">, территориальные органы и подведомственные организации в установленном порядке представляют Минсельхозу России и его подведомственным организациям следующую информацию: </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bidi="ru-RU"/>
        </w:rPr>
      </w:pPr>
      <w:r w:rsidRPr="00F61326">
        <w:rPr>
          <w:rFonts w:ascii="Times New Roman" w:eastAsia="Times New Roman" w:hAnsi="Times New Roman" w:cs="Times New Roman"/>
          <w:bCs/>
          <w:sz w:val="28"/>
          <w:szCs w:val="28"/>
          <w:lang w:eastAsia="ru-RU"/>
        </w:rPr>
        <w:t>– </w:t>
      </w:r>
      <w:r w:rsidRPr="00F61326">
        <w:rPr>
          <w:rFonts w:ascii="Times New Roman" w:eastAsia="Times New Roman" w:hAnsi="Times New Roman" w:cs="Times New Roman"/>
          <w:bCs/>
          <w:sz w:val="28"/>
          <w:szCs w:val="28"/>
          <w:lang w:eastAsia="ru-RU" w:bidi="ru-RU"/>
        </w:rPr>
        <w:t>сведения о материалах и материалы крупно- и среднемасштабных почвенных обследований, имеющихся в ГФДЗ;</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сведения ГКН и ЕГРП;</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картографические и геодезические материалы;</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w:t>
      </w:r>
      <w:proofErr w:type="gramStart"/>
      <w:r w:rsidRPr="00F61326">
        <w:rPr>
          <w:rFonts w:ascii="Times New Roman" w:eastAsia="Times New Roman" w:hAnsi="Times New Roman" w:cs="Times New Roman"/>
          <w:bCs/>
          <w:sz w:val="28"/>
          <w:szCs w:val="28"/>
          <w:lang w:eastAsia="ru-RU"/>
        </w:rPr>
        <w:t>ежегодный</w:t>
      </w:r>
      <w:proofErr w:type="gramEnd"/>
      <w:r w:rsidRPr="00F61326">
        <w:rPr>
          <w:rFonts w:ascii="Times New Roman" w:eastAsia="Times New Roman" w:hAnsi="Times New Roman" w:cs="Times New Roman"/>
          <w:bCs/>
          <w:sz w:val="28"/>
          <w:szCs w:val="28"/>
          <w:lang w:eastAsia="ru-RU"/>
        </w:rPr>
        <w:t xml:space="preserve"> Государственные (национальные) доклады о состоянии и использовании земель в Российской Федерации;</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ежегодный справочник «Земельный фонд Российской Федерации»;</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ежегодный отчет «Сведения о государственном земельном контроле» по форме статистического наблюдения № 1-ЗЕМ;</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bidi="ru-RU"/>
        </w:rPr>
      </w:pPr>
      <w:r w:rsidRPr="00F61326">
        <w:rPr>
          <w:rFonts w:ascii="Times New Roman" w:eastAsia="Times New Roman" w:hAnsi="Times New Roman" w:cs="Times New Roman"/>
          <w:bCs/>
          <w:sz w:val="28"/>
          <w:szCs w:val="28"/>
          <w:lang w:eastAsia="ru-RU"/>
        </w:rPr>
        <w:t xml:space="preserve">– иные сведения по запросу, в рамках предмета соглашения и компетенции </w:t>
      </w:r>
      <w:proofErr w:type="spellStart"/>
      <w:r w:rsidRPr="00F61326">
        <w:rPr>
          <w:rFonts w:ascii="Times New Roman" w:eastAsia="Times New Roman" w:hAnsi="Times New Roman" w:cs="Times New Roman"/>
          <w:bCs/>
          <w:sz w:val="28"/>
          <w:szCs w:val="28"/>
          <w:lang w:eastAsia="ru-RU"/>
        </w:rPr>
        <w:t>Росреестра</w:t>
      </w:r>
      <w:proofErr w:type="spellEnd"/>
      <w:r w:rsidRPr="00F61326">
        <w:rPr>
          <w:rFonts w:ascii="Times New Roman" w:eastAsia="Times New Roman" w:hAnsi="Times New Roman" w:cs="Times New Roman"/>
          <w:bCs/>
          <w:sz w:val="28"/>
          <w:szCs w:val="28"/>
          <w:lang w:eastAsia="ru-RU"/>
        </w:rPr>
        <w:t>.</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bidi="ru-RU"/>
        </w:rPr>
        <w:t xml:space="preserve">Согласно пункту 4.1 соглашения от 28 декабря 2011 г. № 1488/15/59 Минсельхоз России и его подведомственные учреждения представляют в подведомственные организации </w:t>
      </w:r>
      <w:proofErr w:type="spellStart"/>
      <w:r w:rsidRPr="00F61326">
        <w:rPr>
          <w:rFonts w:ascii="Times New Roman" w:eastAsia="Times New Roman" w:hAnsi="Times New Roman" w:cs="Times New Roman"/>
          <w:bCs/>
          <w:sz w:val="28"/>
          <w:szCs w:val="28"/>
          <w:lang w:eastAsia="ru-RU" w:bidi="ru-RU"/>
        </w:rPr>
        <w:t>Росреестра</w:t>
      </w:r>
      <w:proofErr w:type="spellEnd"/>
      <w:r w:rsidRPr="00F61326">
        <w:rPr>
          <w:rFonts w:ascii="Times New Roman" w:eastAsia="Times New Roman" w:hAnsi="Times New Roman" w:cs="Times New Roman"/>
          <w:bCs/>
          <w:sz w:val="28"/>
          <w:szCs w:val="28"/>
          <w:lang w:eastAsia="ru-RU" w:bidi="ru-RU"/>
        </w:rPr>
        <w:t xml:space="preserve"> и его территориальные органы следующую информацию:</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lastRenderedPageBreak/>
        <w:t xml:space="preserve">– данные о размере ущерба и площадях повреждения и гибели сельскохозяйственных культур от неблагоприятных и опасных </w:t>
      </w:r>
      <w:proofErr w:type="spellStart"/>
      <w:r w:rsidRPr="00F61326">
        <w:rPr>
          <w:rFonts w:ascii="Times New Roman" w:eastAsia="Times New Roman" w:hAnsi="Times New Roman" w:cs="Times New Roman"/>
          <w:bCs/>
          <w:sz w:val="28"/>
          <w:szCs w:val="28"/>
          <w:lang w:eastAsia="ru-RU"/>
        </w:rPr>
        <w:t>гидрометреологических</w:t>
      </w:r>
      <w:proofErr w:type="spellEnd"/>
      <w:r w:rsidRPr="00F61326">
        <w:rPr>
          <w:rFonts w:ascii="Times New Roman" w:eastAsia="Times New Roman" w:hAnsi="Times New Roman" w:cs="Times New Roman"/>
          <w:bCs/>
          <w:sz w:val="28"/>
          <w:szCs w:val="28"/>
          <w:lang w:eastAsia="ru-RU"/>
        </w:rPr>
        <w:t xml:space="preserve"> явлений, а также от болезней и вредителей;</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сведения о посевных площадях сельскохозяйственных культур, в том числе озимых культур (рожь, пшеница, ячмень);</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данные о планируемых площадях посевов яровых зерновых и зернобобовых культур;</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данные о местах захоронений (полигонах) пестицидов, расположении складов, содержащихся на них препаратов;</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данные о размещениях на землях сельскохозяйственного назначения сельскохозяйственных культур по результатам наземных обследований и наблюдений, и данных дистанционного зондирования земли;</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proofErr w:type="gramStart"/>
      <w:r w:rsidRPr="00F61326">
        <w:rPr>
          <w:rFonts w:ascii="Times New Roman" w:eastAsia="Times New Roman" w:hAnsi="Times New Roman" w:cs="Times New Roman"/>
          <w:bCs/>
          <w:sz w:val="28"/>
          <w:szCs w:val="28"/>
          <w:lang w:eastAsia="ru-RU"/>
        </w:rPr>
        <w:t xml:space="preserve">– данные о состоянии и использовании земель сельскохозяйственного назначения, включая: показатели плодородия почв земель сельскохозяйственного назначения; данные о загрязнении тяжелыми металлами, пестицидами, нефтепродуктами, радионуклидами и другими загрязнителями, данные о происходящих на них негативных почвенных процессов (эрозия, засоление, подкисление, подтопление, заболачивание, </w:t>
      </w:r>
      <w:proofErr w:type="spellStart"/>
      <w:r w:rsidRPr="00F61326">
        <w:rPr>
          <w:rFonts w:ascii="Times New Roman" w:eastAsia="Times New Roman" w:hAnsi="Times New Roman" w:cs="Times New Roman"/>
          <w:bCs/>
          <w:sz w:val="28"/>
          <w:szCs w:val="28"/>
          <w:lang w:eastAsia="ru-RU"/>
        </w:rPr>
        <w:t>закустаривание</w:t>
      </w:r>
      <w:proofErr w:type="spellEnd"/>
      <w:r w:rsidRPr="00F61326">
        <w:rPr>
          <w:rFonts w:ascii="Times New Roman" w:eastAsia="Times New Roman" w:hAnsi="Times New Roman" w:cs="Times New Roman"/>
          <w:bCs/>
          <w:sz w:val="28"/>
          <w:szCs w:val="28"/>
          <w:lang w:eastAsia="ru-RU"/>
        </w:rPr>
        <w:t>, опустынивание и др.);</w:t>
      </w:r>
      <w:proofErr w:type="gramEnd"/>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xml:space="preserve">– сведения о проведении агрохимических, мелиоративных, </w:t>
      </w:r>
      <w:proofErr w:type="gramStart"/>
      <w:r w:rsidRPr="00F61326">
        <w:rPr>
          <w:rFonts w:ascii="Times New Roman" w:eastAsia="Times New Roman" w:hAnsi="Times New Roman" w:cs="Times New Roman"/>
          <w:bCs/>
          <w:sz w:val="28"/>
          <w:szCs w:val="28"/>
          <w:lang w:eastAsia="ru-RU"/>
        </w:rPr>
        <w:t>культур-технических</w:t>
      </w:r>
      <w:proofErr w:type="gramEnd"/>
      <w:r w:rsidRPr="00F61326">
        <w:rPr>
          <w:rFonts w:ascii="Times New Roman" w:eastAsia="Times New Roman" w:hAnsi="Times New Roman" w:cs="Times New Roman"/>
          <w:bCs/>
          <w:sz w:val="28"/>
          <w:szCs w:val="28"/>
          <w:lang w:eastAsia="ru-RU"/>
        </w:rPr>
        <w:t xml:space="preserve"> и агротехнологических мероприятий на этих землях;</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bidi="ru-RU"/>
        </w:rPr>
      </w:pPr>
      <w:r w:rsidRPr="00F61326">
        <w:rPr>
          <w:rFonts w:ascii="Times New Roman" w:eastAsia="Times New Roman" w:hAnsi="Times New Roman" w:cs="Times New Roman"/>
          <w:bCs/>
          <w:sz w:val="28"/>
          <w:szCs w:val="28"/>
          <w:lang w:eastAsia="ru-RU"/>
        </w:rPr>
        <w:t>– иные сведения по запросу, в рамках предмета соглашения и компетенции Минсельхоза России.</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bidi="ru-RU"/>
        </w:rPr>
      </w:pPr>
      <w:proofErr w:type="gramStart"/>
      <w:r w:rsidRPr="00F61326">
        <w:rPr>
          <w:rFonts w:ascii="Times New Roman" w:eastAsia="Times New Roman" w:hAnsi="Times New Roman" w:cs="Times New Roman"/>
          <w:bCs/>
          <w:sz w:val="28"/>
          <w:szCs w:val="28"/>
          <w:lang w:eastAsia="ru-RU"/>
        </w:rPr>
        <w:t xml:space="preserve">Изменения в </w:t>
      </w:r>
      <w:r w:rsidRPr="00F61326">
        <w:rPr>
          <w:rFonts w:ascii="Times New Roman" w:eastAsia="Times New Roman" w:hAnsi="Times New Roman" w:cs="Times New Roman"/>
          <w:bCs/>
          <w:sz w:val="28"/>
          <w:szCs w:val="28"/>
          <w:lang w:eastAsia="ru-RU" w:bidi="ru-RU"/>
        </w:rPr>
        <w:t xml:space="preserve">соглашение от 28 декабря 2011 г. № 1488/15/59 внесены дополнительным соглашением № 1 от 11 июня 2021 г. № 9с, согласно которым предмет соглашения дополнен мероприятиями по сопоставлению сведений Единой федеральной информационной системы о землях </w:t>
      </w:r>
      <w:proofErr w:type="spellStart"/>
      <w:r w:rsidRPr="00F61326">
        <w:rPr>
          <w:rFonts w:ascii="Times New Roman" w:eastAsia="Times New Roman" w:hAnsi="Times New Roman" w:cs="Times New Roman"/>
          <w:bCs/>
          <w:sz w:val="28"/>
          <w:szCs w:val="28"/>
          <w:lang w:eastAsia="ru-RU" w:bidi="ru-RU"/>
        </w:rPr>
        <w:t>сельхозназначения</w:t>
      </w:r>
      <w:proofErr w:type="spellEnd"/>
      <w:r w:rsidRPr="00F61326">
        <w:rPr>
          <w:rFonts w:ascii="Times New Roman" w:eastAsia="Times New Roman" w:hAnsi="Times New Roman" w:cs="Times New Roman"/>
          <w:bCs/>
          <w:sz w:val="28"/>
          <w:szCs w:val="28"/>
          <w:lang w:eastAsia="ru-RU" w:bidi="ru-RU"/>
        </w:rPr>
        <w:t xml:space="preserve"> и землях, используемых или предоставленных для ведения сельского хозяйства в составе земель иных категорий, и ЕГРН.</w:t>
      </w:r>
      <w:proofErr w:type="gramEnd"/>
    </w:p>
    <w:p w:rsidR="00F61326" w:rsidRPr="00F61326" w:rsidRDefault="00F61326" w:rsidP="00F61326">
      <w:pPr>
        <w:spacing w:after="120" w:line="240" w:lineRule="auto"/>
        <w:ind w:firstLine="709"/>
        <w:jc w:val="both"/>
        <w:rPr>
          <w:rFonts w:ascii="Times New Roman" w:eastAsia="Times New Roman" w:hAnsi="Times New Roman" w:cs="Times New Roman"/>
          <w:bCs/>
          <w:sz w:val="28"/>
          <w:szCs w:val="28"/>
          <w:lang w:eastAsia="ru-RU" w:bidi="ru-RU"/>
        </w:rPr>
      </w:pPr>
      <w:r w:rsidRPr="00F61326">
        <w:rPr>
          <w:rFonts w:ascii="Times New Roman" w:eastAsia="Times New Roman" w:hAnsi="Times New Roman" w:cs="Times New Roman"/>
          <w:bCs/>
          <w:sz w:val="28"/>
          <w:szCs w:val="28"/>
          <w:lang w:eastAsia="ru-RU"/>
        </w:rPr>
        <w:t>Сведения о переписк</w:t>
      </w:r>
      <w:r w:rsidR="00CC1E7F">
        <w:rPr>
          <w:rFonts w:ascii="Times New Roman" w:eastAsia="Times New Roman" w:hAnsi="Times New Roman" w:cs="Times New Roman"/>
          <w:bCs/>
          <w:sz w:val="28"/>
          <w:szCs w:val="28"/>
          <w:lang w:eastAsia="ru-RU"/>
        </w:rPr>
        <w:t>е</w:t>
      </w:r>
      <w:r w:rsidRPr="00F61326">
        <w:rPr>
          <w:rFonts w:ascii="Times New Roman" w:eastAsia="Times New Roman" w:hAnsi="Times New Roman" w:cs="Times New Roman"/>
          <w:bCs/>
          <w:sz w:val="28"/>
          <w:szCs w:val="28"/>
          <w:lang w:eastAsia="ru-RU"/>
        </w:rPr>
        <w:t xml:space="preserve"> между Минсельхозом России и </w:t>
      </w:r>
      <w:proofErr w:type="spellStart"/>
      <w:r w:rsidRPr="00F61326">
        <w:rPr>
          <w:rFonts w:ascii="Times New Roman" w:eastAsia="Times New Roman" w:hAnsi="Times New Roman" w:cs="Times New Roman"/>
          <w:bCs/>
          <w:sz w:val="28"/>
          <w:szCs w:val="28"/>
          <w:lang w:eastAsia="ru-RU"/>
        </w:rPr>
        <w:t>Росреестром</w:t>
      </w:r>
      <w:proofErr w:type="spellEnd"/>
      <w:r w:rsidRPr="00F61326">
        <w:rPr>
          <w:rFonts w:ascii="Times New Roman" w:eastAsia="Times New Roman" w:hAnsi="Times New Roman" w:cs="Times New Roman"/>
          <w:bCs/>
          <w:sz w:val="28"/>
          <w:szCs w:val="28"/>
          <w:lang w:eastAsia="ru-RU"/>
        </w:rPr>
        <w:t xml:space="preserve"> в рамках </w:t>
      </w:r>
      <w:r w:rsidRPr="00F61326">
        <w:rPr>
          <w:rFonts w:ascii="Times New Roman" w:eastAsia="Times New Roman" w:hAnsi="Times New Roman" w:cs="Times New Roman"/>
          <w:bCs/>
          <w:sz w:val="28"/>
          <w:szCs w:val="28"/>
          <w:lang w:eastAsia="ru-RU" w:bidi="ru-RU"/>
        </w:rPr>
        <w:t xml:space="preserve">соглашения от 28 декабря 2011 г. № 1488/15/59 </w:t>
      </w:r>
      <w:proofErr w:type="gramStart"/>
      <w:r w:rsidRPr="00F61326">
        <w:rPr>
          <w:rFonts w:ascii="Times New Roman" w:eastAsia="Times New Roman" w:hAnsi="Times New Roman" w:cs="Times New Roman"/>
          <w:bCs/>
          <w:sz w:val="28"/>
          <w:szCs w:val="28"/>
          <w:lang w:eastAsia="ru-RU" w:bidi="ru-RU"/>
        </w:rPr>
        <w:t>представлена</w:t>
      </w:r>
      <w:proofErr w:type="gramEnd"/>
      <w:r w:rsidRPr="00F61326">
        <w:rPr>
          <w:rFonts w:ascii="Times New Roman" w:eastAsia="Times New Roman" w:hAnsi="Times New Roman" w:cs="Times New Roman"/>
          <w:bCs/>
          <w:sz w:val="28"/>
          <w:szCs w:val="28"/>
          <w:lang w:eastAsia="ru-RU" w:bidi="ru-RU"/>
        </w:rPr>
        <w:t xml:space="preserve"> в таблице.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3124"/>
        <w:gridCol w:w="1560"/>
        <w:gridCol w:w="2834"/>
      </w:tblGrid>
      <w:tr w:rsidR="00F61326" w:rsidRPr="00F61326" w:rsidTr="00F61326">
        <w:trPr>
          <w:trHeight w:val="828"/>
        </w:trPr>
        <w:tc>
          <w:tcPr>
            <w:tcW w:w="1833"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b/>
                <w:bCs/>
                <w:color w:val="000000"/>
                <w:sz w:val="18"/>
                <w:szCs w:val="18"/>
                <w:lang w:eastAsia="ru-RU"/>
              </w:rPr>
            </w:pPr>
            <w:r w:rsidRPr="00F61326">
              <w:rPr>
                <w:rFonts w:ascii="Times New Roman" w:eastAsia="Times New Roman" w:hAnsi="Times New Roman" w:cs="Times New Roman"/>
                <w:b/>
                <w:bCs/>
                <w:color w:val="000000"/>
                <w:sz w:val="18"/>
                <w:szCs w:val="18"/>
                <w:lang w:eastAsia="ru-RU"/>
              </w:rPr>
              <w:t>Реквизиты письма Минсельхоза России</w:t>
            </w:r>
          </w:p>
        </w:tc>
        <w:tc>
          <w:tcPr>
            <w:tcW w:w="3124"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b/>
                <w:bCs/>
                <w:color w:val="000000"/>
                <w:sz w:val="18"/>
                <w:szCs w:val="18"/>
                <w:lang w:eastAsia="ru-RU"/>
              </w:rPr>
            </w:pPr>
            <w:r w:rsidRPr="00F61326">
              <w:rPr>
                <w:rFonts w:ascii="Times New Roman" w:eastAsia="Times New Roman" w:hAnsi="Times New Roman" w:cs="Times New Roman"/>
                <w:b/>
                <w:bCs/>
                <w:color w:val="000000"/>
                <w:sz w:val="18"/>
                <w:szCs w:val="18"/>
                <w:lang w:eastAsia="ru-RU"/>
              </w:rPr>
              <w:t>Содержание запроса Минсельхоза России</w:t>
            </w:r>
          </w:p>
        </w:tc>
        <w:tc>
          <w:tcPr>
            <w:tcW w:w="1560"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b/>
                <w:bCs/>
                <w:color w:val="000000"/>
                <w:sz w:val="18"/>
                <w:szCs w:val="18"/>
                <w:lang w:eastAsia="ru-RU"/>
              </w:rPr>
            </w:pPr>
            <w:r w:rsidRPr="00F61326">
              <w:rPr>
                <w:rFonts w:ascii="Times New Roman" w:eastAsia="Times New Roman" w:hAnsi="Times New Roman" w:cs="Times New Roman"/>
                <w:b/>
                <w:bCs/>
                <w:color w:val="000000"/>
                <w:sz w:val="18"/>
                <w:szCs w:val="18"/>
                <w:lang w:eastAsia="ru-RU"/>
              </w:rPr>
              <w:t xml:space="preserve">Реквизиты письма </w:t>
            </w:r>
            <w:proofErr w:type="spellStart"/>
            <w:r w:rsidRPr="00F61326">
              <w:rPr>
                <w:rFonts w:ascii="Times New Roman" w:eastAsia="Times New Roman" w:hAnsi="Times New Roman" w:cs="Times New Roman"/>
                <w:b/>
                <w:bCs/>
                <w:color w:val="000000"/>
                <w:sz w:val="18"/>
                <w:szCs w:val="18"/>
                <w:lang w:eastAsia="ru-RU"/>
              </w:rPr>
              <w:t>Росреестра</w:t>
            </w:r>
            <w:proofErr w:type="spellEnd"/>
          </w:p>
        </w:tc>
        <w:tc>
          <w:tcPr>
            <w:tcW w:w="2834"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b/>
                <w:bCs/>
                <w:color w:val="000000"/>
                <w:sz w:val="18"/>
                <w:szCs w:val="18"/>
                <w:lang w:eastAsia="ru-RU"/>
              </w:rPr>
            </w:pPr>
            <w:r w:rsidRPr="00F61326">
              <w:rPr>
                <w:rFonts w:ascii="Times New Roman" w:eastAsia="Times New Roman" w:hAnsi="Times New Roman" w:cs="Times New Roman"/>
                <w:b/>
                <w:bCs/>
                <w:color w:val="000000"/>
                <w:sz w:val="18"/>
                <w:szCs w:val="18"/>
                <w:lang w:eastAsia="ru-RU"/>
              </w:rPr>
              <w:t xml:space="preserve">Содержание письма </w:t>
            </w:r>
            <w:proofErr w:type="spellStart"/>
            <w:r w:rsidRPr="00F61326">
              <w:rPr>
                <w:rFonts w:ascii="Times New Roman" w:eastAsia="Times New Roman" w:hAnsi="Times New Roman" w:cs="Times New Roman"/>
                <w:b/>
                <w:bCs/>
                <w:color w:val="000000"/>
                <w:sz w:val="18"/>
                <w:szCs w:val="18"/>
                <w:lang w:eastAsia="ru-RU"/>
              </w:rPr>
              <w:t>Росреестра</w:t>
            </w:r>
            <w:proofErr w:type="spellEnd"/>
          </w:p>
        </w:tc>
      </w:tr>
      <w:tr w:rsidR="00F61326" w:rsidRPr="00F61326" w:rsidTr="00F61326">
        <w:trPr>
          <w:trHeight w:val="1104"/>
        </w:trPr>
        <w:tc>
          <w:tcPr>
            <w:tcW w:w="1833"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от 25.11.2020 № ОГ-5-23/19157</w:t>
            </w:r>
          </w:p>
        </w:tc>
        <w:tc>
          <w:tcPr>
            <w:tcW w:w="3124" w:type="dxa"/>
            <w:shd w:val="clear" w:color="auto" w:fill="auto"/>
            <w:vAlign w:val="center"/>
            <w:hideMark/>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 предоставлении информации о землях и земельных участках в разрезе субъектов, муниципальных образований и в целом по Российской Федерации по состоянию на 01.01.2020</w:t>
            </w:r>
          </w:p>
        </w:tc>
        <w:tc>
          <w:tcPr>
            <w:tcW w:w="1560"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 xml:space="preserve">от 11.12.2020 № 02-10864-МС/20 </w:t>
            </w:r>
          </w:p>
        </w:tc>
        <w:tc>
          <w:tcPr>
            <w:tcW w:w="2834" w:type="dxa"/>
            <w:shd w:val="clear" w:color="auto" w:fill="auto"/>
            <w:vAlign w:val="center"/>
            <w:hideMark/>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Направление имеющихся сведений</w:t>
            </w:r>
          </w:p>
        </w:tc>
      </w:tr>
      <w:tr w:rsidR="00F61326" w:rsidRPr="00F61326" w:rsidTr="00F61326">
        <w:trPr>
          <w:trHeight w:val="828"/>
        </w:trPr>
        <w:tc>
          <w:tcPr>
            <w:tcW w:w="1833"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 </w:t>
            </w:r>
          </w:p>
        </w:tc>
        <w:tc>
          <w:tcPr>
            <w:tcW w:w="3124" w:type="dxa"/>
            <w:shd w:val="clear" w:color="auto" w:fill="auto"/>
            <w:vAlign w:val="center"/>
            <w:hideMark/>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 </w:t>
            </w:r>
          </w:p>
        </w:tc>
        <w:tc>
          <w:tcPr>
            <w:tcW w:w="1560" w:type="dxa"/>
            <w:shd w:val="clear" w:color="auto" w:fill="auto"/>
            <w:vAlign w:val="center"/>
            <w:hideMark/>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от 29.12.2020 № 16-11378-ОС/20</w:t>
            </w:r>
          </w:p>
        </w:tc>
        <w:tc>
          <w:tcPr>
            <w:tcW w:w="2834" w:type="dxa"/>
            <w:shd w:val="clear" w:color="auto" w:fill="auto"/>
            <w:vAlign w:val="center"/>
            <w:hideMark/>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Направление Государственного (национальный) доклад о состоянии и использовании земель в Российской Федерации в 2019 году</w:t>
            </w:r>
          </w:p>
        </w:tc>
      </w:tr>
      <w:tr w:rsidR="00F61326" w:rsidRPr="00F61326" w:rsidTr="00F61326">
        <w:trPr>
          <w:trHeight w:val="828"/>
        </w:trPr>
        <w:tc>
          <w:tcPr>
            <w:tcW w:w="1833" w:type="dxa"/>
            <w:shd w:val="clear" w:color="auto" w:fill="auto"/>
            <w:vAlign w:val="center"/>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p>
        </w:tc>
        <w:tc>
          <w:tcPr>
            <w:tcW w:w="3124" w:type="dxa"/>
            <w:shd w:val="clear" w:color="auto" w:fill="auto"/>
            <w:vAlign w:val="center"/>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p>
        </w:tc>
        <w:tc>
          <w:tcPr>
            <w:tcW w:w="1560" w:type="dxa"/>
            <w:shd w:val="clear" w:color="auto" w:fill="auto"/>
            <w:vAlign w:val="center"/>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 16-9699-ОС/21 от 27.12.2021</w:t>
            </w:r>
          </w:p>
        </w:tc>
        <w:tc>
          <w:tcPr>
            <w:tcW w:w="2834" w:type="dxa"/>
            <w:shd w:val="clear" w:color="auto" w:fill="auto"/>
            <w:vAlign w:val="center"/>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 xml:space="preserve">Направление Государственного (национальный) доклад о состоянии и использовании земель в Российской Федерации в </w:t>
            </w:r>
            <w:r w:rsidRPr="00F61326">
              <w:rPr>
                <w:rFonts w:ascii="Times New Roman" w:eastAsia="Times New Roman" w:hAnsi="Times New Roman" w:cs="Times New Roman"/>
                <w:color w:val="000000"/>
                <w:sz w:val="18"/>
                <w:szCs w:val="18"/>
                <w:lang w:eastAsia="ru-RU"/>
              </w:rPr>
              <w:lastRenderedPageBreak/>
              <w:t>2020 году</w:t>
            </w:r>
          </w:p>
        </w:tc>
      </w:tr>
      <w:tr w:rsidR="00F61326" w:rsidRPr="00F61326" w:rsidTr="00F61326">
        <w:trPr>
          <w:trHeight w:val="828"/>
        </w:trPr>
        <w:tc>
          <w:tcPr>
            <w:tcW w:w="1833" w:type="dxa"/>
            <w:shd w:val="clear" w:color="auto" w:fill="auto"/>
            <w:vAlign w:val="center"/>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lastRenderedPageBreak/>
              <w:t>от 16.03.2022 № ЕФ-5-23/4895</w:t>
            </w:r>
          </w:p>
        </w:tc>
        <w:tc>
          <w:tcPr>
            <w:tcW w:w="3124" w:type="dxa"/>
            <w:shd w:val="clear" w:color="auto" w:fill="auto"/>
            <w:vAlign w:val="center"/>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 предоставлении информации, необходимой для подготовки ежегодного доклада о состоянии и использовании земель сельскохозяйственного назначения</w:t>
            </w:r>
          </w:p>
        </w:tc>
        <w:tc>
          <w:tcPr>
            <w:tcW w:w="1560" w:type="dxa"/>
            <w:shd w:val="clear" w:color="auto" w:fill="auto"/>
            <w:vAlign w:val="center"/>
          </w:tcPr>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от 10.06.2022 № 06-00696/22</w:t>
            </w:r>
          </w:p>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от 12.07.2022 № 06-00830/22</w:t>
            </w:r>
          </w:p>
          <w:p w:rsidR="00F61326" w:rsidRPr="00F61326" w:rsidRDefault="00F61326" w:rsidP="00F61326">
            <w:pPr>
              <w:spacing w:after="0" w:line="240" w:lineRule="auto"/>
              <w:jc w:val="center"/>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от 04.08.2022 № 06-00992/22</w:t>
            </w:r>
          </w:p>
        </w:tc>
        <w:tc>
          <w:tcPr>
            <w:tcW w:w="2834" w:type="dxa"/>
            <w:shd w:val="clear" w:color="auto" w:fill="auto"/>
            <w:vAlign w:val="center"/>
          </w:tcPr>
          <w:p w:rsidR="00F61326" w:rsidRPr="00F61326" w:rsidRDefault="00F61326" w:rsidP="00F61326">
            <w:pPr>
              <w:spacing w:after="0" w:line="240" w:lineRule="auto"/>
              <w:rPr>
                <w:rFonts w:ascii="Times New Roman" w:eastAsia="Times New Roman" w:hAnsi="Times New Roman" w:cs="Times New Roman"/>
                <w:color w:val="000000"/>
                <w:sz w:val="18"/>
                <w:szCs w:val="18"/>
                <w:lang w:eastAsia="ru-RU"/>
              </w:rPr>
            </w:pPr>
            <w:r w:rsidRPr="00F61326">
              <w:rPr>
                <w:rFonts w:ascii="Times New Roman" w:eastAsia="Times New Roman" w:hAnsi="Times New Roman" w:cs="Times New Roman"/>
                <w:color w:val="000000"/>
                <w:sz w:val="18"/>
                <w:szCs w:val="18"/>
                <w:lang w:eastAsia="ru-RU"/>
              </w:rPr>
              <w:t>Представлена информация.</w:t>
            </w:r>
          </w:p>
        </w:tc>
      </w:tr>
    </w:tbl>
    <w:p w:rsidR="00F61326" w:rsidRPr="00F61326" w:rsidRDefault="00F61326" w:rsidP="00F61326">
      <w:pPr>
        <w:spacing w:before="120" w:after="0" w:line="240" w:lineRule="auto"/>
        <w:ind w:firstLine="709"/>
        <w:jc w:val="both"/>
        <w:rPr>
          <w:rFonts w:ascii="Times New Roman" w:eastAsia="Times New Roman" w:hAnsi="Times New Roman" w:cs="Times New Roman"/>
          <w:bCs/>
          <w:snapToGrid w:val="0"/>
          <w:sz w:val="28"/>
          <w:szCs w:val="28"/>
          <w:lang w:eastAsia="ru-RU" w:bidi="ru-RU"/>
        </w:rPr>
      </w:pPr>
      <w:proofErr w:type="gramStart"/>
      <w:r w:rsidRPr="00F61326">
        <w:rPr>
          <w:rFonts w:ascii="Times New Roman" w:eastAsia="Times New Roman" w:hAnsi="Times New Roman" w:cs="Times New Roman"/>
          <w:bCs/>
          <w:snapToGrid w:val="0"/>
          <w:sz w:val="28"/>
          <w:szCs w:val="28"/>
          <w:lang w:eastAsia="ru-RU"/>
        </w:rPr>
        <w:t xml:space="preserve">Анализ представленных материалов свидетельствует </w:t>
      </w:r>
      <w:r w:rsidRPr="00F61326">
        <w:rPr>
          <w:rFonts w:ascii="Times New Roman" w:eastAsia="Times New Roman" w:hAnsi="Times New Roman" w:cs="Times New Roman"/>
          <w:bCs/>
          <w:i/>
          <w:snapToGrid w:val="0"/>
          <w:sz w:val="28"/>
          <w:szCs w:val="28"/>
          <w:lang w:eastAsia="ru-RU"/>
        </w:rPr>
        <w:t>о не направлении</w:t>
      </w:r>
      <w:r w:rsidRPr="00F61326">
        <w:rPr>
          <w:rFonts w:ascii="Times New Roman" w:eastAsia="Times New Roman" w:hAnsi="Times New Roman" w:cs="Times New Roman"/>
          <w:bCs/>
          <w:snapToGrid w:val="0"/>
          <w:sz w:val="28"/>
          <w:szCs w:val="28"/>
          <w:lang w:eastAsia="ru-RU"/>
        </w:rPr>
        <w:t xml:space="preserve"> в 2020-2021 годах Минсельхозом России документов и сведений, предусмотренных </w:t>
      </w:r>
      <w:r w:rsidRPr="00F61326">
        <w:rPr>
          <w:rFonts w:ascii="Times New Roman" w:eastAsia="Times New Roman" w:hAnsi="Times New Roman" w:cs="Times New Roman"/>
          <w:bCs/>
          <w:snapToGrid w:val="0"/>
          <w:sz w:val="28"/>
          <w:szCs w:val="28"/>
          <w:lang w:eastAsia="ru-RU" w:bidi="ru-RU"/>
        </w:rPr>
        <w:t>пункт</w:t>
      </w:r>
      <w:r w:rsidR="007128E5">
        <w:rPr>
          <w:rFonts w:ascii="Times New Roman" w:eastAsia="Times New Roman" w:hAnsi="Times New Roman" w:cs="Times New Roman"/>
          <w:bCs/>
          <w:snapToGrid w:val="0"/>
          <w:sz w:val="28"/>
          <w:szCs w:val="28"/>
          <w:lang w:eastAsia="ru-RU" w:bidi="ru-RU"/>
        </w:rPr>
        <w:t>ом</w:t>
      </w:r>
      <w:r w:rsidRPr="00F61326">
        <w:rPr>
          <w:rFonts w:ascii="Times New Roman" w:eastAsia="Times New Roman" w:hAnsi="Times New Roman" w:cs="Times New Roman"/>
          <w:bCs/>
          <w:snapToGrid w:val="0"/>
          <w:sz w:val="28"/>
          <w:szCs w:val="28"/>
          <w:lang w:eastAsia="ru-RU" w:bidi="ru-RU"/>
        </w:rPr>
        <w:t xml:space="preserve"> 4.1 соглашения от 28 декабря 2011 г. № 1488/15/59 и необходимых для составления Государственных (национальных) докладов о состоянии и использовании земель в Российской Федерации, в том числе данных о состоянии и использовании земель сельскохозяйственного назначения, включая: показатели плодородия почв земель сельскохозяйственного назначения</w:t>
      </w:r>
      <w:proofErr w:type="gramEnd"/>
      <w:r w:rsidRPr="00F61326">
        <w:rPr>
          <w:rFonts w:ascii="Times New Roman" w:eastAsia="Times New Roman" w:hAnsi="Times New Roman" w:cs="Times New Roman"/>
          <w:bCs/>
          <w:snapToGrid w:val="0"/>
          <w:sz w:val="28"/>
          <w:szCs w:val="28"/>
          <w:lang w:eastAsia="ru-RU" w:bidi="ru-RU"/>
        </w:rPr>
        <w:t xml:space="preserve">; данные о загрязнении тяжелыми металлами, пестицидами, нефтепродуктами, радионуклидами и другими загрязнителями, данные </w:t>
      </w:r>
      <w:proofErr w:type="gramStart"/>
      <w:r w:rsidRPr="00F61326">
        <w:rPr>
          <w:rFonts w:ascii="Times New Roman" w:eastAsia="Times New Roman" w:hAnsi="Times New Roman" w:cs="Times New Roman"/>
          <w:bCs/>
          <w:snapToGrid w:val="0"/>
          <w:sz w:val="28"/>
          <w:szCs w:val="28"/>
          <w:lang w:eastAsia="ru-RU" w:bidi="ru-RU"/>
        </w:rPr>
        <w:t>о</w:t>
      </w:r>
      <w:proofErr w:type="gramEnd"/>
      <w:r w:rsidRPr="00F61326">
        <w:rPr>
          <w:rFonts w:ascii="Times New Roman" w:eastAsia="Times New Roman" w:hAnsi="Times New Roman" w:cs="Times New Roman"/>
          <w:bCs/>
          <w:snapToGrid w:val="0"/>
          <w:sz w:val="28"/>
          <w:szCs w:val="28"/>
          <w:lang w:eastAsia="ru-RU" w:bidi="ru-RU"/>
        </w:rPr>
        <w:t xml:space="preserve"> </w:t>
      </w:r>
      <w:proofErr w:type="gramStart"/>
      <w:r w:rsidRPr="00F61326">
        <w:rPr>
          <w:rFonts w:ascii="Times New Roman" w:eastAsia="Times New Roman" w:hAnsi="Times New Roman" w:cs="Times New Roman"/>
          <w:bCs/>
          <w:snapToGrid w:val="0"/>
          <w:sz w:val="28"/>
          <w:szCs w:val="28"/>
          <w:lang w:eastAsia="ru-RU" w:bidi="ru-RU"/>
        </w:rPr>
        <w:t>происходящих</w:t>
      </w:r>
      <w:proofErr w:type="gramEnd"/>
      <w:r w:rsidRPr="00F61326">
        <w:rPr>
          <w:rFonts w:ascii="Times New Roman" w:eastAsia="Times New Roman" w:hAnsi="Times New Roman" w:cs="Times New Roman"/>
          <w:bCs/>
          <w:snapToGrid w:val="0"/>
          <w:sz w:val="28"/>
          <w:szCs w:val="28"/>
          <w:lang w:eastAsia="ru-RU" w:bidi="ru-RU"/>
        </w:rPr>
        <w:t xml:space="preserve"> на них негативных почвенных процессов (эрозия, засоление, подкисление, подтопление, заболачивание, </w:t>
      </w:r>
      <w:proofErr w:type="spellStart"/>
      <w:r w:rsidRPr="00F61326">
        <w:rPr>
          <w:rFonts w:ascii="Times New Roman" w:eastAsia="Times New Roman" w:hAnsi="Times New Roman" w:cs="Times New Roman"/>
          <w:bCs/>
          <w:snapToGrid w:val="0"/>
          <w:sz w:val="28"/>
          <w:szCs w:val="28"/>
          <w:lang w:eastAsia="ru-RU" w:bidi="ru-RU"/>
        </w:rPr>
        <w:t>закустаривание</w:t>
      </w:r>
      <w:proofErr w:type="spellEnd"/>
      <w:r w:rsidRPr="00F61326">
        <w:rPr>
          <w:rFonts w:ascii="Times New Roman" w:eastAsia="Times New Roman" w:hAnsi="Times New Roman" w:cs="Times New Roman"/>
          <w:bCs/>
          <w:snapToGrid w:val="0"/>
          <w:sz w:val="28"/>
          <w:szCs w:val="28"/>
          <w:lang w:eastAsia="ru-RU" w:bidi="ru-RU"/>
        </w:rPr>
        <w:t>, опустынивание и др.).</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proofErr w:type="gramStart"/>
      <w:r w:rsidRPr="00F61326">
        <w:rPr>
          <w:rFonts w:ascii="Times New Roman" w:eastAsia="Times New Roman" w:hAnsi="Times New Roman" w:cs="Times New Roman"/>
          <w:bCs/>
          <w:snapToGrid w:val="0"/>
          <w:sz w:val="28"/>
          <w:szCs w:val="28"/>
          <w:lang w:eastAsia="ru-RU" w:bidi="ru-RU"/>
        </w:rPr>
        <w:t>Мониторинг земель сельскохозяйственного назначения осуществляется в соответствии с Концепцией развития государственного мониторинга земель сельскохозяйственного назначения и земель, используемых или предоставленных для ведения сельского хозяйства в составе земель иных категорий, и формирования государственных информационных ресурсов об этих землях на период до 2020 года, утвержденной распоряжением Правительства Российской Федерации от 30 июля 2010 г. № 1292-р (далее – Концепция № 1292-р), а также в соответствии</w:t>
      </w:r>
      <w:proofErr w:type="gramEnd"/>
      <w:r w:rsidRPr="00F61326">
        <w:rPr>
          <w:rFonts w:ascii="Times New Roman" w:eastAsia="Times New Roman" w:hAnsi="Times New Roman" w:cs="Times New Roman"/>
          <w:bCs/>
          <w:snapToGrid w:val="0"/>
          <w:sz w:val="28"/>
          <w:szCs w:val="28"/>
          <w:lang w:eastAsia="ru-RU" w:bidi="ru-RU"/>
        </w:rPr>
        <w:t xml:space="preserve"> с приказом </w:t>
      </w:r>
      <w:r w:rsidR="00A47BDC">
        <w:rPr>
          <w:rFonts w:ascii="Times New Roman" w:eastAsia="Times New Roman" w:hAnsi="Times New Roman" w:cs="Times New Roman"/>
          <w:bCs/>
          <w:snapToGrid w:val="0"/>
          <w:sz w:val="28"/>
          <w:szCs w:val="28"/>
          <w:lang w:eastAsia="ru-RU" w:bidi="ru-RU"/>
        </w:rPr>
        <w:t>Минсельхоза России</w:t>
      </w:r>
      <w:r w:rsidRPr="00F61326">
        <w:rPr>
          <w:rFonts w:ascii="Times New Roman" w:eastAsia="Times New Roman" w:hAnsi="Times New Roman" w:cs="Times New Roman"/>
          <w:bCs/>
          <w:snapToGrid w:val="0"/>
          <w:sz w:val="28"/>
          <w:szCs w:val="28"/>
          <w:lang w:eastAsia="ru-RU" w:bidi="ru-RU"/>
        </w:rPr>
        <w:t xml:space="preserve"> от 24 декабря 2015 г. № 664 «Об утверждении </w:t>
      </w:r>
      <w:proofErr w:type="gramStart"/>
      <w:r w:rsidRPr="00F61326">
        <w:rPr>
          <w:rFonts w:ascii="Times New Roman" w:eastAsia="Times New Roman" w:hAnsi="Times New Roman" w:cs="Times New Roman"/>
          <w:bCs/>
          <w:snapToGrid w:val="0"/>
          <w:sz w:val="28"/>
          <w:szCs w:val="28"/>
          <w:lang w:eastAsia="ru-RU" w:bidi="ru-RU"/>
        </w:rPr>
        <w:t>Порядка осуществления государственного мониторинга земель сельскохозяйственного назначения</w:t>
      </w:r>
      <w:proofErr w:type="gramEnd"/>
      <w:r w:rsidRPr="00F61326">
        <w:rPr>
          <w:rFonts w:ascii="Times New Roman" w:eastAsia="Times New Roman" w:hAnsi="Times New Roman" w:cs="Times New Roman"/>
          <w:bCs/>
          <w:snapToGrid w:val="0"/>
          <w:sz w:val="28"/>
          <w:szCs w:val="28"/>
          <w:lang w:eastAsia="ru-RU" w:bidi="ru-RU"/>
        </w:rPr>
        <w:t xml:space="preserve">». </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В связи с истечением периода реализации Концепции № 1292-р в 2021-2022 году у Минсельхоза России отсутствует концепция развития государственного мониторинга земель сельскохозяйственного назначения.</w:t>
      </w:r>
    </w:p>
    <w:p w:rsidR="00F61326" w:rsidRPr="00F61326" w:rsidRDefault="00F61326" w:rsidP="00F61326">
      <w:pPr>
        <w:spacing w:after="0" w:line="240" w:lineRule="auto"/>
        <w:ind w:firstLine="709"/>
        <w:jc w:val="both"/>
        <w:rPr>
          <w:rFonts w:ascii="Times New Roman" w:eastAsia="Times New Roman" w:hAnsi="Times New Roman" w:cs="Times New Roman"/>
          <w:bCs/>
          <w:sz w:val="28"/>
          <w:szCs w:val="28"/>
          <w:lang w:eastAsia="ru-RU"/>
        </w:rPr>
      </w:pPr>
      <w:r w:rsidRPr="00F61326">
        <w:rPr>
          <w:rFonts w:ascii="Times New Roman" w:eastAsia="Times New Roman" w:hAnsi="Times New Roman" w:cs="Times New Roman"/>
          <w:bCs/>
          <w:sz w:val="28"/>
          <w:szCs w:val="28"/>
          <w:lang w:eastAsia="ru-RU"/>
        </w:rPr>
        <w:t xml:space="preserve">Приказом Минсельхоза России от 24 декабря 2015 г. № 664 утвержден Порядок осуществления государственного мониторинга земель сельскохозяйственного назначения (далее – Порядок № 664), согласно которому государственный мониторинг земель сельскохозяйственного назначения в Российской Федерации осуществляется </w:t>
      </w:r>
      <w:r w:rsidR="00227AE8">
        <w:rPr>
          <w:rFonts w:ascii="Times New Roman" w:eastAsia="Times New Roman" w:hAnsi="Times New Roman" w:cs="Times New Roman"/>
          <w:bCs/>
          <w:snapToGrid w:val="0"/>
          <w:sz w:val="28"/>
          <w:szCs w:val="28"/>
          <w:lang w:eastAsia="ru-RU" w:bidi="ru-RU"/>
        </w:rPr>
        <w:t>Минсельхозом России</w:t>
      </w:r>
      <w:r w:rsidRPr="00F61326">
        <w:rPr>
          <w:rFonts w:ascii="Times New Roman" w:eastAsia="Times New Roman" w:hAnsi="Times New Roman" w:cs="Times New Roman"/>
          <w:bCs/>
          <w:sz w:val="28"/>
          <w:szCs w:val="28"/>
          <w:lang w:eastAsia="ru-RU"/>
        </w:rPr>
        <w:t xml:space="preserve"> и подведомственными федеральными государственными бюджетными учреждениями.</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В соответствии с Порядком № 664 порядок сбора информации, ее обобщение и представление о землях сельскохозяйственного назначения аналогичны соответствующим порядкам для земель других категорий с учетом особенностей сельскохозяйственного производства.</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lastRenderedPageBreak/>
        <w:t xml:space="preserve">В рамках мониторинга состояния земель </w:t>
      </w:r>
      <w:r w:rsidR="00227AE8" w:rsidRPr="00F90627">
        <w:rPr>
          <w:rFonts w:ascii="Times New Roman" w:eastAsia="Times New Roman" w:hAnsi="Times New Roman" w:cs="Times New Roman"/>
          <w:bCs/>
          <w:snapToGrid w:val="0"/>
          <w:sz w:val="28"/>
          <w:szCs w:val="28"/>
          <w:lang w:eastAsia="ru-RU" w:bidi="ru-RU"/>
        </w:rPr>
        <w:t>сельскохозяйственного назначения</w:t>
      </w:r>
      <w:r w:rsidR="00227AE8" w:rsidRPr="00F61326">
        <w:rPr>
          <w:rFonts w:ascii="Times New Roman" w:eastAsia="Times New Roman" w:hAnsi="Times New Roman" w:cs="Times New Roman"/>
          <w:bCs/>
          <w:snapToGrid w:val="0"/>
          <w:sz w:val="28"/>
          <w:szCs w:val="28"/>
          <w:lang w:eastAsia="ru-RU" w:bidi="ru-RU"/>
        </w:rPr>
        <w:t xml:space="preserve"> </w:t>
      </w:r>
      <w:r w:rsidRPr="00F61326">
        <w:rPr>
          <w:rFonts w:ascii="Times New Roman" w:eastAsia="Times New Roman" w:hAnsi="Times New Roman" w:cs="Times New Roman"/>
          <w:bCs/>
          <w:snapToGrid w:val="0"/>
          <w:sz w:val="28"/>
          <w:szCs w:val="28"/>
          <w:lang w:eastAsia="ru-RU" w:bidi="ru-RU"/>
        </w:rPr>
        <w:t xml:space="preserve">осуществляется учет показателей состояния плодородия в соответствии с порядком государственного учета показателей состояния плодородия земель сельскохозяйственного назначения, утвержденным приказом </w:t>
      </w:r>
      <w:r w:rsidR="00227AE8">
        <w:rPr>
          <w:rFonts w:ascii="Times New Roman" w:eastAsia="Times New Roman" w:hAnsi="Times New Roman" w:cs="Times New Roman"/>
          <w:bCs/>
          <w:snapToGrid w:val="0"/>
          <w:sz w:val="28"/>
          <w:szCs w:val="28"/>
          <w:lang w:eastAsia="ru-RU" w:bidi="ru-RU"/>
        </w:rPr>
        <w:t xml:space="preserve">Минсельхоза России </w:t>
      </w:r>
      <w:r w:rsidRPr="00F61326">
        <w:rPr>
          <w:rFonts w:ascii="Times New Roman" w:eastAsia="Times New Roman" w:hAnsi="Times New Roman" w:cs="Times New Roman"/>
          <w:bCs/>
          <w:snapToGrid w:val="0"/>
          <w:sz w:val="28"/>
          <w:szCs w:val="28"/>
          <w:lang w:eastAsia="ru-RU" w:bidi="ru-RU"/>
        </w:rPr>
        <w:t>от 4 мая 2010 г. № 150.</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xml:space="preserve">Ежегодно Минсельхозом России запрашиваются у </w:t>
      </w:r>
      <w:proofErr w:type="spellStart"/>
      <w:r w:rsidRPr="00F61326">
        <w:rPr>
          <w:rFonts w:ascii="Times New Roman" w:eastAsia="Times New Roman" w:hAnsi="Times New Roman" w:cs="Times New Roman"/>
          <w:bCs/>
          <w:snapToGrid w:val="0"/>
          <w:sz w:val="28"/>
          <w:szCs w:val="28"/>
          <w:lang w:eastAsia="ru-RU" w:bidi="ru-RU"/>
        </w:rPr>
        <w:t>Росреестра</w:t>
      </w:r>
      <w:proofErr w:type="spellEnd"/>
      <w:r w:rsidRPr="00F61326">
        <w:rPr>
          <w:rFonts w:ascii="Times New Roman" w:eastAsia="Times New Roman" w:hAnsi="Times New Roman" w:cs="Times New Roman"/>
          <w:bCs/>
          <w:snapToGrid w:val="0"/>
          <w:sz w:val="28"/>
          <w:szCs w:val="28"/>
          <w:lang w:eastAsia="ru-RU" w:bidi="ru-RU"/>
        </w:rPr>
        <w:t xml:space="preserve">, </w:t>
      </w:r>
      <w:proofErr w:type="spellStart"/>
      <w:r w:rsidRPr="00F61326">
        <w:rPr>
          <w:rFonts w:ascii="Times New Roman" w:eastAsia="Times New Roman" w:hAnsi="Times New Roman" w:cs="Times New Roman"/>
          <w:bCs/>
          <w:snapToGrid w:val="0"/>
          <w:sz w:val="28"/>
          <w:szCs w:val="28"/>
          <w:lang w:eastAsia="ru-RU" w:bidi="ru-RU"/>
        </w:rPr>
        <w:t>Росимущества</w:t>
      </w:r>
      <w:proofErr w:type="spellEnd"/>
      <w:r w:rsidRPr="00F61326">
        <w:rPr>
          <w:rFonts w:ascii="Times New Roman" w:eastAsia="Times New Roman" w:hAnsi="Times New Roman" w:cs="Times New Roman"/>
          <w:bCs/>
          <w:snapToGrid w:val="0"/>
          <w:sz w:val="28"/>
          <w:szCs w:val="28"/>
          <w:lang w:eastAsia="ru-RU" w:bidi="ru-RU"/>
        </w:rPr>
        <w:t xml:space="preserve">, Минобороны России, Минздрава России, Росгидромета, ФСИН России, </w:t>
      </w:r>
      <w:proofErr w:type="spellStart"/>
      <w:r w:rsidRPr="00F61326">
        <w:rPr>
          <w:rFonts w:ascii="Times New Roman" w:eastAsia="Times New Roman" w:hAnsi="Times New Roman" w:cs="Times New Roman"/>
          <w:bCs/>
          <w:snapToGrid w:val="0"/>
          <w:sz w:val="28"/>
          <w:szCs w:val="28"/>
          <w:lang w:eastAsia="ru-RU" w:bidi="ru-RU"/>
        </w:rPr>
        <w:t>Росрыболовства</w:t>
      </w:r>
      <w:proofErr w:type="spellEnd"/>
      <w:r w:rsidRPr="00F61326">
        <w:rPr>
          <w:rFonts w:ascii="Times New Roman" w:eastAsia="Times New Roman" w:hAnsi="Times New Roman" w:cs="Times New Roman"/>
          <w:bCs/>
          <w:snapToGrid w:val="0"/>
          <w:sz w:val="28"/>
          <w:szCs w:val="28"/>
          <w:lang w:eastAsia="ru-RU" w:bidi="ru-RU"/>
        </w:rPr>
        <w:t xml:space="preserve">, </w:t>
      </w:r>
      <w:proofErr w:type="spellStart"/>
      <w:r w:rsidRPr="00F61326">
        <w:rPr>
          <w:rFonts w:ascii="Times New Roman" w:eastAsia="Times New Roman" w:hAnsi="Times New Roman" w:cs="Times New Roman"/>
          <w:bCs/>
          <w:snapToGrid w:val="0"/>
          <w:sz w:val="28"/>
          <w:szCs w:val="28"/>
          <w:lang w:eastAsia="ru-RU" w:bidi="ru-RU"/>
        </w:rPr>
        <w:t>Минобрнауки</w:t>
      </w:r>
      <w:proofErr w:type="spellEnd"/>
      <w:r w:rsidRPr="00F61326">
        <w:rPr>
          <w:rFonts w:ascii="Times New Roman" w:eastAsia="Times New Roman" w:hAnsi="Times New Roman" w:cs="Times New Roman"/>
          <w:bCs/>
          <w:snapToGrid w:val="0"/>
          <w:sz w:val="28"/>
          <w:szCs w:val="28"/>
          <w:lang w:eastAsia="ru-RU" w:bidi="ru-RU"/>
        </w:rPr>
        <w:t xml:space="preserve"> России и Минприроды России сведения о земельных участках из земель сельскохозяйственного назначения, предоставленных подведомственным учреждениям и предприятиям.</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xml:space="preserve">Минсельхозом России с </w:t>
      </w:r>
      <w:proofErr w:type="spellStart"/>
      <w:r w:rsidRPr="00F61326">
        <w:rPr>
          <w:rFonts w:ascii="Times New Roman" w:eastAsia="Times New Roman" w:hAnsi="Times New Roman" w:cs="Times New Roman"/>
          <w:bCs/>
          <w:snapToGrid w:val="0"/>
          <w:sz w:val="28"/>
          <w:szCs w:val="28"/>
          <w:lang w:eastAsia="ru-RU" w:bidi="ru-RU"/>
        </w:rPr>
        <w:t>Госкорпорацией</w:t>
      </w:r>
      <w:proofErr w:type="spellEnd"/>
      <w:r w:rsidRPr="00F61326">
        <w:rPr>
          <w:rFonts w:ascii="Times New Roman" w:eastAsia="Times New Roman" w:hAnsi="Times New Roman" w:cs="Times New Roman"/>
          <w:bCs/>
          <w:snapToGrid w:val="0"/>
          <w:sz w:val="28"/>
          <w:szCs w:val="28"/>
          <w:lang w:eastAsia="ru-RU" w:bidi="ru-RU"/>
        </w:rPr>
        <w:t xml:space="preserve"> «</w:t>
      </w:r>
      <w:proofErr w:type="spellStart"/>
      <w:r w:rsidRPr="00F61326">
        <w:rPr>
          <w:rFonts w:ascii="Times New Roman" w:eastAsia="Times New Roman" w:hAnsi="Times New Roman" w:cs="Times New Roman"/>
          <w:bCs/>
          <w:snapToGrid w:val="0"/>
          <w:sz w:val="28"/>
          <w:szCs w:val="28"/>
          <w:lang w:eastAsia="ru-RU" w:bidi="ru-RU"/>
        </w:rPr>
        <w:t>Роскосмос</w:t>
      </w:r>
      <w:proofErr w:type="spellEnd"/>
      <w:r w:rsidRPr="00F61326">
        <w:rPr>
          <w:rFonts w:ascii="Times New Roman" w:eastAsia="Times New Roman" w:hAnsi="Times New Roman" w:cs="Times New Roman"/>
          <w:bCs/>
          <w:snapToGrid w:val="0"/>
          <w:sz w:val="28"/>
          <w:szCs w:val="28"/>
          <w:lang w:eastAsia="ru-RU" w:bidi="ru-RU"/>
        </w:rPr>
        <w:t>» заключено соглашение от 18 августа 2016 г. № 7с/по вопросам использования результатов космической деятельности в сфере агропромышленного комплекса, рыбного хозяйства и государственного мониторинга земель сельскохозяйственного назначения. На основании указанного соглашения Минсельхозом России в анализируемый период получены данные дистанционного зондирования земли в целях государственного мониторинга земель сельскохозяйственного назначения.</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proofErr w:type="gramStart"/>
      <w:r w:rsidRPr="00F61326">
        <w:rPr>
          <w:rFonts w:ascii="Times New Roman" w:eastAsia="Times New Roman" w:hAnsi="Times New Roman" w:cs="Times New Roman"/>
          <w:bCs/>
          <w:snapToGrid w:val="0"/>
          <w:sz w:val="28"/>
          <w:szCs w:val="28"/>
          <w:lang w:eastAsia="ru-RU" w:bidi="ru-RU"/>
        </w:rPr>
        <w:t>ФГБУ «Аналитический центр Минсельхоза России» в 2018-2021 годах заключены 117 соглашений о взаимодействии с учреждениями и организациями, включая учреждения науки и уполномоченными органами исполнительной власти субъектов Российской Федерации, в целях обмена информацией для подготовки информационно-аналитических материалов о состоянии и использовании земель сельскохозяйственного назначения в рамках Национального ежегодного доклада о состоянии и использовании земель сельскохозяйственного назначения в Российской Федерации.</w:t>
      </w:r>
      <w:proofErr w:type="gramEnd"/>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Ежегодно ФГБУ «Аналитический центр Минсельхоза России» направляются запросы о предоставлении сведений о севе яровых и озимых сельскохозяйственных культур в субъекты Российской Федерации в целях проведения мониторинга земель с/х назначения и наполнения ЕФИС ЗСН. Так, к проверке представлены письма от 24 ноября 2020 г. № 24/11/552, от 21 июня 2021 г. № 21/06/224, от 10 июня 2021 г. №10/06/207, от 9 ноября 2021 г. № 09/11/425.</w:t>
      </w:r>
    </w:p>
    <w:p w:rsidR="00F61326" w:rsidRPr="00F61326" w:rsidRDefault="00F61326" w:rsidP="00F61326">
      <w:pPr>
        <w:spacing w:after="0" w:line="240" w:lineRule="auto"/>
        <w:ind w:firstLine="709"/>
        <w:jc w:val="both"/>
        <w:rPr>
          <w:rFonts w:ascii="Times New Roman" w:eastAsia="Times New Roman" w:hAnsi="Times New Roman" w:cs="Times New Roman"/>
          <w:bCs/>
          <w:i/>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xml:space="preserve">Следует отметить, что </w:t>
      </w:r>
      <w:r w:rsidRPr="00F61326">
        <w:rPr>
          <w:rFonts w:ascii="Times New Roman" w:eastAsia="Times New Roman" w:hAnsi="Times New Roman" w:cs="Times New Roman"/>
          <w:bCs/>
          <w:i/>
          <w:snapToGrid w:val="0"/>
          <w:sz w:val="28"/>
          <w:szCs w:val="28"/>
          <w:lang w:eastAsia="ru-RU" w:bidi="ru-RU"/>
        </w:rPr>
        <w:t>исполнительные органы власти субъектов Российской Федерации зачастую нарушают сроки предоставления Минсельхозу России требуемой информации или предоставляют ее не в полном объеме.</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Вместе с тем в целях подготовки ежегодного доклада о состоянии и использовании земель с/х назначения Российской Федерации Минсельхоз России запрашивал информацию:</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proofErr w:type="gramStart"/>
      <w:r w:rsidRPr="00F61326">
        <w:rPr>
          <w:rFonts w:ascii="Times New Roman" w:eastAsia="Times New Roman" w:hAnsi="Times New Roman" w:cs="Times New Roman"/>
          <w:bCs/>
          <w:snapToGrid w:val="0"/>
          <w:sz w:val="28"/>
          <w:szCs w:val="28"/>
          <w:lang w:eastAsia="ru-RU" w:bidi="ru-RU"/>
        </w:rPr>
        <w:t xml:space="preserve">– о земельных участках из земель с/х назначения, находящихся в федеральной собственности и свободных от прав третьих лиц, а также сведения о вовлечении таких земельных участков в хозяйственный оборот в 2021 году, в том числе предоставленных в аренду в рамках программы </w:t>
      </w:r>
      <w:proofErr w:type="spellStart"/>
      <w:r w:rsidRPr="00F61326">
        <w:rPr>
          <w:rFonts w:ascii="Times New Roman" w:eastAsia="Times New Roman" w:hAnsi="Times New Roman" w:cs="Times New Roman"/>
          <w:bCs/>
          <w:snapToGrid w:val="0"/>
          <w:sz w:val="28"/>
          <w:szCs w:val="28"/>
          <w:lang w:eastAsia="ru-RU" w:bidi="ru-RU"/>
        </w:rPr>
        <w:lastRenderedPageBreak/>
        <w:t>Росимущества</w:t>
      </w:r>
      <w:proofErr w:type="spellEnd"/>
      <w:r w:rsidRPr="00F61326">
        <w:rPr>
          <w:rFonts w:ascii="Times New Roman" w:eastAsia="Times New Roman" w:hAnsi="Times New Roman" w:cs="Times New Roman"/>
          <w:bCs/>
          <w:snapToGrid w:val="0"/>
          <w:sz w:val="28"/>
          <w:szCs w:val="28"/>
          <w:lang w:eastAsia="ru-RU" w:bidi="ru-RU"/>
        </w:rPr>
        <w:t xml:space="preserve"> «Посевная» (письмо в </w:t>
      </w:r>
      <w:proofErr w:type="spellStart"/>
      <w:r w:rsidRPr="00F61326">
        <w:rPr>
          <w:rFonts w:ascii="Times New Roman" w:eastAsia="Times New Roman" w:hAnsi="Times New Roman" w:cs="Times New Roman"/>
          <w:bCs/>
          <w:snapToGrid w:val="0"/>
          <w:sz w:val="28"/>
          <w:szCs w:val="28"/>
          <w:lang w:eastAsia="ru-RU" w:bidi="ru-RU"/>
        </w:rPr>
        <w:t>Росимущество</w:t>
      </w:r>
      <w:proofErr w:type="spellEnd"/>
      <w:r w:rsidRPr="00F61326">
        <w:rPr>
          <w:rFonts w:ascii="Times New Roman" w:eastAsia="Times New Roman" w:hAnsi="Times New Roman" w:cs="Times New Roman"/>
          <w:bCs/>
          <w:snapToGrid w:val="0"/>
          <w:sz w:val="28"/>
          <w:szCs w:val="28"/>
          <w:lang w:eastAsia="ru-RU" w:bidi="ru-RU"/>
        </w:rPr>
        <w:t xml:space="preserve"> от 16 марта 2022 г. № ЕФ-5-23/4877);</w:t>
      </w:r>
      <w:proofErr w:type="gramEnd"/>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о земельных участках из земель с/х назначения, предоставленных учреждениям и предприятиям, подведомственным федеральным органам исполнительной власти Российской Федерации (письмо в федеральные органы исполнительной власти Российской Федерации</w:t>
      </w:r>
      <w:r w:rsidRPr="00F61326">
        <w:rPr>
          <w:rFonts w:ascii="Times New Roman" w:eastAsia="Times New Roman" w:hAnsi="Times New Roman" w:cs="Times New Roman"/>
          <w:bCs/>
          <w:snapToGrid w:val="0"/>
          <w:sz w:val="28"/>
          <w:szCs w:val="28"/>
          <w:vertAlign w:val="superscript"/>
          <w:lang w:eastAsia="ru-RU" w:bidi="ru-RU"/>
        </w:rPr>
        <w:footnoteReference w:id="1"/>
      </w:r>
      <w:r w:rsidRPr="00F61326">
        <w:rPr>
          <w:rFonts w:ascii="Times New Roman" w:eastAsia="Times New Roman" w:hAnsi="Times New Roman" w:cs="Times New Roman"/>
          <w:bCs/>
          <w:snapToGrid w:val="0"/>
          <w:sz w:val="28"/>
          <w:szCs w:val="28"/>
          <w:lang w:eastAsia="ru-RU" w:bidi="ru-RU"/>
        </w:rPr>
        <w:t xml:space="preserve"> от 16 марта 2022 г. № ЕФ-5-27/4890).</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В 2021 – 2022 годах Минсельхозом России проводились работы в рамках реализации федерального проекта «Комплексная система мониторинга качества окружающей среды». Письмом Минприроды России от 30 марта 2022 г. № 02-17-53/10615 в адрес Минсельхоза России направлено на рассмотрение техническое задание на выполнение работ первой очереди по созданию федеральной государственной информационной системы государственного экологического мониторинга (государственного мониторинга окружающей среды). Письмом от 13 апреля 2022 г. № ЕФ-5-23/7486 Минсельхозом России направлены замечания к техническому заданию.</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Ранее между ведомствами велась переписка по формированию паспорта федерального проекта «Комплексная система мониторинга качества окружающей среды».</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proofErr w:type="gramStart"/>
      <w:r w:rsidRPr="00F61326">
        <w:rPr>
          <w:rFonts w:ascii="Times New Roman" w:eastAsia="Times New Roman" w:hAnsi="Times New Roman" w:cs="Times New Roman"/>
          <w:bCs/>
          <w:snapToGrid w:val="0"/>
          <w:sz w:val="28"/>
          <w:szCs w:val="28"/>
          <w:lang w:eastAsia="ru-RU" w:bidi="ru-RU"/>
        </w:rPr>
        <w:t xml:space="preserve">Обязанности по проведению ежегодных полевых агрохимических и эколого-токсикологических обследований, а также формированию полной и достоверной информации о состоянии почвенного плодородия земель сельскохозяйственных угодий и развитии негативных процессов на землях сельскохозяйственного назначения возложены на подведомственные Минсельхозу России федеральные государственные бюджетные учреждения, центры и станции агрохимической службы, федеральные государственные бюджетные учреждения, центры химизации </w:t>
      </w:r>
      <w:r w:rsidR="00AF2C35">
        <w:rPr>
          <w:rFonts w:ascii="Times New Roman" w:eastAsia="Times New Roman" w:hAnsi="Times New Roman" w:cs="Times New Roman"/>
          <w:bCs/>
          <w:snapToGrid w:val="0"/>
          <w:sz w:val="28"/>
          <w:szCs w:val="28"/>
          <w:lang w:eastAsia="ru-RU" w:bidi="ru-RU"/>
        </w:rPr>
        <w:t>сельскохозяйственной радиологии</w:t>
      </w:r>
      <w:r w:rsidRPr="00F61326">
        <w:rPr>
          <w:rFonts w:ascii="Times New Roman" w:eastAsia="Times New Roman" w:hAnsi="Times New Roman" w:cs="Times New Roman"/>
          <w:bCs/>
          <w:snapToGrid w:val="0"/>
          <w:sz w:val="28"/>
          <w:szCs w:val="28"/>
          <w:lang w:eastAsia="ru-RU" w:bidi="ru-RU"/>
        </w:rPr>
        <w:t>.</w:t>
      </w:r>
      <w:proofErr w:type="gramEnd"/>
      <w:r w:rsidRPr="00F61326">
        <w:rPr>
          <w:rFonts w:ascii="Times New Roman" w:eastAsia="Times New Roman" w:hAnsi="Times New Roman" w:cs="Times New Roman"/>
          <w:bCs/>
          <w:snapToGrid w:val="0"/>
          <w:sz w:val="28"/>
          <w:szCs w:val="28"/>
          <w:lang w:eastAsia="ru-RU" w:bidi="ru-RU"/>
        </w:rPr>
        <w:t xml:space="preserve"> Работы проводятся в соответствии с Методическими указаниями по проведению комплексного мониторинга плодородия почв земель сельскохозяйственного назначения, утвержденными </w:t>
      </w:r>
      <w:r w:rsidR="00AF2C35">
        <w:rPr>
          <w:rFonts w:ascii="Times New Roman" w:eastAsia="Times New Roman" w:hAnsi="Times New Roman" w:cs="Times New Roman"/>
          <w:bCs/>
          <w:snapToGrid w:val="0"/>
          <w:sz w:val="28"/>
          <w:szCs w:val="28"/>
          <w:lang w:eastAsia="ru-RU" w:bidi="ru-RU"/>
        </w:rPr>
        <w:t>Минсельхозом России</w:t>
      </w:r>
      <w:r w:rsidRPr="00F61326">
        <w:rPr>
          <w:rFonts w:ascii="Times New Roman" w:eastAsia="Times New Roman" w:hAnsi="Times New Roman" w:cs="Times New Roman"/>
          <w:bCs/>
          <w:snapToGrid w:val="0"/>
          <w:sz w:val="28"/>
          <w:szCs w:val="28"/>
          <w:lang w:eastAsia="ru-RU" w:bidi="ru-RU"/>
        </w:rPr>
        <w:t xml:space="preserve"> 24</w:t>
      </w:r>
      <w:r w:rsidR="00AF2C35">
        <w:rPr>
          <w:rFonts w:ascii="Times New Roman" w:eastAsia="Times New Roman" w:hAnsi="Times New Roman" w:cs="Times New Roman"/>
          <w:bCs/>
          <w:snapToGrid w:val="0"/>
          <w:sz w:val="28"/>
          <w:szCs w:val="28"/>
          <w:lang w:eastAsia="ru-RU" w:bidi="ru-RU"/>
        </w:rPr>
        <w:t> </w:t>
      </w:r>
      <w:r w:rsidRPr="00F61326">
        <w:rPr>
          <w:rFonts w:ascii="Times New Roman" w:eastAsia="Times New Roman" w:hAnsi="Times New Roman" w:cs="Times New Roman"/>
          <w:bCs/>
          <w:snapToGrid w:val="0"/>
          <w:sz w:val="28"/>
          <w:szCs w:val="28"/>
          <w:lang w:eastAsia="ru-RU" w:bidi="ru-RU"/>
        </w:rPr>
        <w:t>сентября 2003 г</w:t>
      </w:r>
      <w:r w:rsidR="00AF2C35">
        <w:rPr>
          <w:rFonts w:ascii="Times New Roman" w:eastAsia="Times New Roman" w:hAnsi="Times New Roman" w:cs="Times New Roman"/>
          <w:bCs/>
          <w:snapToGrid w:val="0"/>
          <w:sz w:val="28"/>
          <w:szCs w:val="28"/>
          <w:lang w:eastAsia="ru-RU" w:bidi="ru-RU"/>
        </w:rPr>
        <w:t>ода</w:t>
      </w:r>
      <w:r w:rsidR="00EB4F8C">
        <w:rPr>
          <w:rFonts w:ascii="Times New Roman" w:eastAsia="Times New Roman" w:hAnsi="Times New Roman" w:cs="Times New Roman"/>
          <w:bCs/>
          <w:snapToGrid w:val="0"/>
          <w:sz w:val="28"/>
          <w:szCs w:val="28"/>
          <w:lang w:eastAsia="ru-RU" w:bidi="ru-RU"/>
        </w:rPr>
        <w:t>.</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xml:space="preserve">Объектами мониторинговых наблюдений на почвах земель сельскохозяйственных угодий являются административные территориальные единицы (район, область, край, республика). Основная единица в системе оценки существующего уровня состояния земель – административный район. </w:t>
      </w:r>
      <w:proofErr w:type="gramStart"/>
      <w:r w:rsidRPr="00F61326">
        <w:rPr>
          <w:rFonts w:ascii="Times New Roman" w:eastAsia="Times New Roman" w:hAnsi="Times New Roman" w:cs="Times New Roman"/>
          <w:bCs/>
          <w:snapToGrid w:val="0"/>
          <w:sz w:val="28"/>
          <w:szCs w:val="28"/>
          <w:lang w:eastAsia="ru-RU" w:bidi="ru-RU"/>
        </w:rPr>
        <w:t xml:space="preserve">Источником данных по целевым показателям (индикаторам) о наблюдаемом объекте, его общей площади, качественном состоянии и использовании служат ежегодные отчеты, поступающие по унифицированной электронной форме 5-ДДЗ-сх (годовая) «Сведения о мониторинге плодородия земель сельскохозяйственного назначения», утвержденной приказом Минсельхоза России от 2 апреля 2008 г. № 189, представляемые в информационную </w:t>
      </w:r>
      <w:r w:rsidRPr="00F61326">
        <w:rPr>
          <w:rFonts w:ascii="Times New Roman" w:eastAsia="Times New Roman" w:hAnsi="Times New Roman" w:cs="Times New Roman"/>
          <w:bCs/>
          <w:snapToGrid w:val="0"/>
          <w:sz w:val="28"/>
          <w:szCs w:val="28"/>
          <w:lang w:eastAsia="ru-RU" w:bidi="ru-RU"/>
        </w:rPr>
        <w:lastRenderedPageBreak/>
        <w:t xml:space="preserve">систему планирования и контроля государственных программ (ИС ПК ГП) Минсельхоза России. </w:t>
      </w:r>
      <w:proofErr w:type="gramEnd"/>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xml:space="preserve">В докладах о состоянии и использовании земель сельскохозяйственного назначения Российской Федерации представлены итоги мониторинга пахотных угодий по кислотности почв, фосфатного режима почв, калийного режима пахотных почв. </w:t>
      </w:r>
    </w:p>
    <w:p w:rsidR="00F61326" w:rsidRPr="00F61326" w:rsidRDefault="00F61326" w:rsidP="00F61326">
      <w:pPr>
        <w:spacing w:after="0" w:line="240" w:lineRule="auto"/>
        <w:ind w:firstLine="709"/>
        <w:jc w:val="both"/>
        <w:rPr>
          <w:rFonts w:ascii="Times New Roman" w:eastAsia="Times New Roman" w:hAnsi="Times New Roman" w:cs="Times New Roman"/>
          <w:bCs/>
          <w:i/>
          <w:snapToGrid w:val="0"/>
          <w:sz w:val="28"/>
          <w:szCs w:val="28"/>
          <w:lang w:eastAsia="ru-RU" w:bidi="ru-RU"/>
        </w:rPr>
      </w:pPr>
      <w:r w:rsidRPr="00F61326">
        <w:rPr>
          <w:rFonts w:ascii="Times New Roman" w:eastAsia="Times New Roman" w:hAnsi="Times New Roman" w:cs="Times New Roman"/>
          <w:bCs/>
          <w:i/>
          <w:snapToGrid w:val="0"/>
          <w:sz w:val="28"/>
          <w:szCs w:val="28"/>
          <w:lang w:eastAsia="ru-RU" w:bidi="ru-RU"/>
        </w:rPr>
        <w:t>Проводимые ежегодные обследования охватывают только 8-10 % территории земель сельскохозяйственных угодий Российской Федерации. Периодичность наблюдений определяется промежутком времени, за который могут произойти ощутимые изменения почв и почвенного покрова на ключевых участках. В соответствии с имеющимися данными по развитию почвенных процессов и изменению отдельных элементов почвенного плодородия рекомендуется проводить последующие исследования ключевых участков 5-6 летним интервалом, однако в настоящее время показатели определяются с периодичностью 5- 12 лет.</w:t>
      </w:r>
    </w:p>
    <w:p w:rsidR="00F61326" w:rsidRPr="00F61326" w:rsidRDefault="00F61326" w:rsidP="00F61326">
      <w:pPr>
        <w:spacing w:after="12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Сведения о площадях ежегодных полевых обследований и количестве районов, на территории которых проводилось обследование в период с 2000 по 2020 годы</w:t>
      </w:r>
      <w:r w:rsidR="00EB4F8C">
        <w:rPr>
          <w:rFonts w:ascii="Times New Roman" w:eastAsia="Times New Roman" w:hAnsi="Times New Roman" w:cs="Times New Roman"/>
          <w:bCs/>
          <w:snapToGrid w:val="0"/>
          <w:sz w:val="28"/>
          <w:szCs w:val="28"/>
          <w:lang w:eastAsia="ru-RU" w:bidi="ru-RU"/>
        </w:rPr>
        <w:t>,</w:t>
      </w:r>
      <w:r w:rsidRPr="00F61326">
        <w:rPr>
          <w:rFonts w:ascii="Times New Roman" w:eastAsia="Times New Roman" w:hAnsi="Times New Roman" w:cs="Times New Roman"/>
          <w:bCs/>
          <w:snapToGrid w:val="0"/>
          <w:sz w:val="28"/>
          <w:szCs w:val="28"/>
          <w:lang w:eastAsia="ru-RU" w:bidi="ru-RU"/>
        </w:rPr>
        <w:t xml:space="preserve"> представлены в таблице.</w:t>
      </w:r>
    </w:p>
    <w:tbl>
      <w:tblPr>
        <w:tblStyle w:val="9"/>
        <w:tblW w:w="9351" w:type="dxa"/>
        <w:tblLook w:val="04A0" w:firstRow="1" w:lastRow="0" w:firstColumn="1" w:lastColumn="0" w:noHBand="0" w:noVBand="1"/>
      </w:tblPr>
      <w:tblGrid>
        <w:gridCol w:w="1696"/>
        <w:gridCol w:w="3402"/>
        <w:gridCol w:w="4253"/>
      </w:tblGrid>
      <w:tr w:rsidR="00F61326" w:rsidRPr="00F61326" w:rsidTr="00F61326">
        <w:trPr>
          <w:tblHeader/>
        </w:trPr>
        <w:tc>
          <w:tcPr>
            <w:tcW w:w="1696" w:type="dxa"/>
            <w:vAlign w:val="center"/>
          </w:tcPr>
          <w:p w:rsidR="00F61326" w:rsidRPr="00F61326" w:rsidRDefault="00F61326" w:rsidP="00F61326">
            <w:pPr>
              <w:jc w:val="center"/>
              <w:rPr>
                <w:rFonts w:ascii="Times New Roman" w:eastAsia="Times New Roman" w:hAnsi="Times New Roman" w:cs="Times New Roman"/>
                <w:b/>
                <w:bCs/>
                <w:snapToGrid w:val="0"/>
                <w:sz w:val="16"/>
                <w:szCs w:val="16"/>
                <w:lang w:eastAsia="ru-RU" w:bidi="ru-RU"/>
              </w:rPr>
            </w:pPr>
            <w:r w:rsidRPr="00F61326">
              <w:rPr>
                <w:rFonts w:ascii="Times New Roman" w:eastAsia="Times New Roman" w:hAnsi="Times New Roman" w:cs="Times New Roman"/>
                <w:b/>
                <w:bCs/>
                <w:snapToGrid w:val="0"/>
                <w:sz w:val="16"/>
                <w:szCs w:val="16"/>
                <w:lang w:eastAsia="ru-RU" w:bidi="ru-RU"/>
              </w:rPr>
              <w:t>Год</w:t>
            </w:r>
          </w:p>
        </w:tc>
        <w:tc>
          <w:tcPr>
            <w:tcW w:w="3402" w:type="dxa"/>
            <w:vAlign w:val="center"/>
          </w:tcPr>
          <w:p w:rsidR="00F61326" w:rsidRPr="00F61326" w:rsidRDefault="00F61326" w:rsidP="00F61326">
            <w:pPr>
              <w:jc w:val="center"/>
              <w:rPr>
                <w:rFonts w:ascii="Times New Roman" w:eastAsia="Times New Roman" w:hAnsi="Times New Roman" w:cs="Times New Roman"/>
                <w:b/>
                <w:bCs/>
                <w:snapToGrid w:val="0"/>
                <w:sz w:val="16"/>
                <w:szCs w:val="16"/>
                <w:lang w:eastAsia="ru-RU" w:bidi="ru-RU"/>
              </w:rPr>
            </w:pPr>
            <w:r w:rsidRPr="00F61326">
              <w:rPr>
                <w:rFonts w:ascii="Times New Roman" w:eastAsia="Times New Roman" w:hAnsi="Times New Roman" w:cs="Times New Roman"/>
                <w:b/>
                <w:bCs/>
                <w:snapToGrid w:val="0"/>
                <w:sz w:val="16"/>
                <w:szCs w:val="16"/>
                <w:lang w:eastAsia="ru-RU" w:bidi="ru-RU"/>
              </w:rPr>
              <w:t xml:space="preserve">Площадь обследования, </w:t>
            </w:r>
            <w:proofErr w:type="gramStart"/>
            <w:r w:rsidRPr="00F61326">
              <w:rPr>
                <w:rFonts w:ascii="Times New Roman" w:eastAsia="Times New Roman" w:hAnsi="Times New Roman" w:cs="Times New Roman"/>
                <w:b/>
                <w:bCs/>
                <w:snapToGrid w:val="0"/>
                <w:sz w:val="16"/>
                <w:szCs w:val="16"/>
                <w:lang w:eastAsia="ru-RU" w:bidi="ru-RU"/>
              </w:rPr>
              <w:t>млн</w:t>
            </w:r>
            <w:proofErr w:type="gramEnd"/>
            <w:r w:rsidRPr="00F61326">
              <w:rPr>
                <w:rFonts w:ascii="Times New Roman" w:eastAsia="Times New Roman" w:hAnsi="Times New Roman" w:cs="Times New Roman"/>
                <w:b/>
                <w:bCs/>
                <w:snapToGrid w:val="0"/>
                <w:sz w:val="16"/>
                <w:szCs w:val="16"/>
                <w:lang w:eastAsia="ru-RU" w:bidi="ru-RU"/>
              </w:rPr>
              <w:t xml:space="preserve"> га</w:t>
            </w:r>
          </w:p>
        </w:tc>
        <w:tc>
          <w:tcPr>
            <w:tcW w:w="4253" w:type="dxa"/>
            <w:vAlign w:val="center"/>
          </w:tcPr>
          <w:p w:rsidR="00F61326" w:rsidRPr="00F61326" w:rsidRDefault="00F61326" w:rsidP="00F61326">
            <w:pPr>
              <w:jc w:val="center"/>
              <w:rPr>
                <w:rFonts w:ascii="Times New Roman" w:eastAsia="Times New Roman" w:hAnsi="Times New Roman" w:cs="Times New Roman"/>
                <w:b/>
                <w:bCs/>
                <w:snapToGrid w:val="0"/>
                <w:sz w:val="16"/>
                <w:szCs w:val="16"/>
                <w:lang w:eastAsia="ru-RU" w:bidi="ru-RU"/>
              </w:rPr>
            </w:pPr>
            <w:r w:rsidRPr="00F61326">
              <w:rPr>
                <w:rFonts w:ascii="Times New Roman" w:eastAsia="Times New Roman" w:hAnsi="Times New Roman" w:cs="Times New Roman"/>
                <w:b/>
                <w:bCs/>
                <w:snapToGrid w:val="0"/>
                <w:sz w:val="16"/>
                <w:szCs w:val="16"/>
                <w:lang w:eastAsia="ru-RU" w:bidi="ru-RU"/>
              </w:rPr>
              <w:t>Количество административных районов</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2000</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20,5</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293</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2001</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19,7</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272</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2002</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20,6</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289</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2003</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17,8</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269</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2004</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18,7</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281</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2005</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16,9</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260</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2006</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14,0</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259</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2007</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20,6</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415</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2008</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18,7</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342</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2009</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19,3</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322</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2010</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15,7</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246</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2011</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15,7</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257</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2012</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14,0</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237</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2013</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8,9</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151</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2014</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8,1</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134</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2015</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5,8</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113</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2016</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9,7</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184</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2017</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12,1</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234</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2018</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13,8</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278</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2019</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12,8</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276</w:t>
            </w:r>
          </w:p>
        </w:tc>
      </w:tr>
      <w:tr w:rsidR="00F61326" w:rsidRPr="00F61326" w:rsidTr="00F61326">
        <w:tc>
          <w:tcPr>
            <w:tcW w:w="1696"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2020</w:t>
            </w:r>
          </w:p>
        </w:tc>
        <w:tc>
          <w:tcPr>
            <w:tcW w:w="3402"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12,9</w:t>
            </w:r>
          </w:p>
        </w:tc>
        <w:tc>
          <w:tcPr>
            <w:tcW w:w="4253" w:type="dxa"/>
            <w:vAlign w:val="center"/>
          </w:tcPr>
          <w:p w:rsidR="00F61326" w:rsidRPr="00F61326" w:rsidRDefault="00F61326" w:rsidP="00F61326">
            <w:pPr>
              <w:jc w:val="center"/>
              <w:rPr>
                <w:rFonts w:ascii="Times New Roman" w:eastAsia="Times New Roman" w:hAnsi="Times New Roman" w:cs="Times New Roman"/>
                <w:bCs/>
                <w:snapToGrid w:val="0"/>
                <w:sz w:val="18"/>
                <w:szCs w:val="18"/>
                <w:lang w:eastAsia="ru-RU" w:bidi="ru-RU"/>
              </w:rPr>
            </w:pPr>
            <w:r w:rsidRPr="00F61326">
              <w:rPr>
                <w:rFonts w:ascii="Times New Roman" w:eastAsia="Times New Roman" w:hAnsi="Times New Roman" w:cs="Times New Roman"/>
                <w:bCs/>
                <w:snapToGrid w:val="0"/>
                <w:sz w:val="18"/>
                <w:szCs w:val="18"/>
                <w:lang w:eastAsia="ru-RU" w:bidi="ru-RU"/>
              </w:rPr>
              <w:t>270</w:t>
            </w:r>
          </w:p>
        </w:tc>
      </w:tr>
    </w:tbl>
    <w:p w:rsidR="00F61326" w:rsidRPr="00F61326" w:rsidRDefault="00F61326" w:rsidP="00F61326">
      <w:pPr>
        <w:spacing w:after="0" w:line="240" w:lineRule="auto"/>
        <w:jc w:val="both"/>
        <w:rPr>
          <w:rFonts w:ascii="Times New Roman" w:eastAsia="Times New Roman" w:hAnsi="Times New Roman" w:cs="Times New Roman"/>
          <w:bCs/>
          <w:snapToGrid w:val="0"/>
          <w:sz w:val="28"/>
          <w:szCs w:val="28"/>
          <w:lang w:eastAsia="ru-RU" w:bidi="ru-RU"/>
        </w:rPr>
      </w:pPr>
    </w:p>
    <w:p w:rsidR="00F61326" w:rsidRPr="00F61326" w:rsidRDefault="00F61326" w:rsidP="00F61326">
      <w:pPr>
        <w:spacing w:after="0" w:line="240" w:lineRule="auto"/>
        <w:jc w:val="center"/>
        <w:rPr>
          <w:rFonts w:ascii="Times New Roman" w:eastAsia="Times New Roman" w:hAnsi="Times New Roman" w:cs="Times New Roman"/>
          <w:bCs/>
          <w:snapToGrid w:val="0"/>
          <w:sz w:val="28"/>
          <w:szCs w:val="28"/>
          <w:lang w:eastAsia="ru-RU" w:bidi="ru-RU"/>
        </w:rPr>
      </w:pPr>
      <w:r w:rsidRPr="00F61326">
        <w:rPr>
          <w:rFonts w:ascii="Calibri" w:eastAsia="Calibri" w:hAnsi="Calibri" w:cs="Times New Roman"/>
          <w:noProof/>
          <w:lang w:eastAsia="ru-RU"/>
        </w:rPr>
        <w:lastRenderedPageBreak/>
        <w:drawing>
          <wp:inline distT="0" distB="0" distL="0" distR="0" wp14:anchorId="62C85589" wp14:editId="3A864981">
            <wp:extent cx="4572000" cy="240792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3DD1" w:rsidRPr="00D74D91" w:rsidRDefault="00323DD1" w:rsidP="00323DD1">
      <w:pPr>
        <w:spacing w:after="0" w:line="240" w:lineRule="auto"/>
        <w:ind w:firstLine="709"/>
        <w:jc w:val="both"/>
        <w:rPr>
          <w:rFonts w:ascii="Times New Roman" w:eastAsia="Times New Roman" w:hAnsi="Times New Roman" w:cs="Times New Roman"/>
          <w:bCs/>
          <w:snapToGrid w:val="0"/>
          <w:sz w:val="28"/>
          <w:szCs w:val="28"/>
          <w:lang w:eastAsia="ru-RU" w:bidi="ru-RU"/>
        </w:rPr>
      </w:pPr>
      <w:r w:rsidRPr="00D74D91">
        <w:rPr>
          <w:rFonts w:ascii="Times New Roman" w:eastAsia="Times New Roman" w:hAnsi="Times New Roman" w:cs="Times New Roman"/>
          <w:bCs/>
          <w:snapToGrid w:val="0"/>
          <w:sz w:val="28"/>
          <w:szCs w:val="28"/>
          <w:lang w:eastAsia="ru-RU" w:bidi="ru-RU"/>
        </w:rPr>
        <w:t xml:space="preserve">На 1 января 2022 года площадь мелиорированных сельхозугодий на территории Российской Федерации составляет 9,46 </w:t>
      </w:r>
      <w:proofErr w:type="gramStart"/>
      <w:r w:rsidRPr="00D74D91">
        <w:rPr>
          <w:rFonts w:ascii="Times New Roman" w:eastAsia="Times New Roman" w:hAnsi="Times New Roman" w:cs="Times New Roman"/>
          <w:bCs/>
          <w:snapToGrid w:val="0"/>
          <w:sz w:val="28"/>
          <w:szCs w:val="28"/>
          <w:lang w:eastAsia="ru-RU" w:bidi="ru-RU"/>
        </w:rPr>
        <w:t>млн</w:t>
      </w:r>
      <w:proofErr w:type="gramEnd"/>
      <w:r w:rsidRPr="00D74D91">
        <w:rPr>
          <w:rFonts w:ascii="Times New Roman" w:eastAsia="Times New Roman" w:hAnsi="Times New Roman" w:cs="Times New Roman"/>
          <w:bCs/>
          <w:snapToGrid w:val="0"/>
          <w:sz w:val="28"/>
          <w:szCs w:val="28"/>
          <w:lang w:eastAsia="ru-RU" w:bidi="ru-RU"/>
        </w:rPr>
        <w:t xml:space="preserve"> га, в том числе орошаемых – 4,68 млн га, осушенных – 4,78 млн га, из которых используются в сельскохозяйственном производстве 7,08 млн га (75%), из них орошаемых – 3,96 млн га (85%), осушенных –3,12 млн га (79%). За 2021 год выбыло 2,38 </w:t>
      </w:r>
      <w:proofErr w:type="gramStart"/>
      <w:r w:rsidRPr="00D74D91">
        <w:rPr>
          <w:rFonts w:ascii="Times New Roman" w:eastAsia="Times New Roman" w:hAnsi="Times New Roman" w:cs="Times New Roman"/>
          <w:bCs/>
          <w:snapToGrid w:val="0"/>
          <w:sz w:val="28"/>
          <w:szCs w:val="28"/>
          <w:lang w:eastAsia="ru-RU" w:bidi="ru-RU"/>
        </w:rPr>
        <w:t>млн</w:t>
      </w:r>
      <w:proofErr w:type="gramEnd"/>
      <w:r w:rsidRPr="00D74D91">
        <w:rPr>
          <w:rFonts w:ascii="Times New Roman" w:eastAsia="Times New Roman" w:hAnsi="Times New Roman" w:cs="Times New Roman"/>
          <w:bCs/>
          <w:snapToGrid w:val="0"/>
          <w:sz w:val="28"/>
          <w:szCs w:val="28"/>
          <w:lang w:eastAsia="ru-RU" w:bidi="ru-RU"/>
        </w:rPr>
        <w:t xml:space="preserve"> га из сельскохозяйственного оборота мелиорированных сельхозугодий.</w:t>
      </w:r>
    </w:p>
    <w:p w:rsidR="00323DD1" w:rsidRPr="00F61326" w:rsidRDefault="00323DD1" w:rsidP="00323DD1">
      <w:pPr>
        <w:spacing w:after="0" w:line="240" w:lineRule="auto"/>
        <w:ind w:firstLine="709"/>
        <w:jc w:val="both"/>
        <w:rPr>
          <w:rFonts w:ascii="Times New Roman" w:eastAsia="Times New Roman" w:hAnsi="Times New Roman" w:cs="Times New Roman"/>
          <w:bCs/>
          <w:snapToGrid w:val="0"/>
          <w:sz w:val="28"/>
          <w:szCs w:val="28"/>
          <w:lang w:eastAsia="ru-RU" w:bidi="ru-RU"/>
        </w:rPr>
      </w:pPr>
      <w:r w:rsidRPr="00D74D91">
        <w:rPr>
          <w:rFonts w:ascii="Times New Roman" w:eastAsia="Times New Roman" w:hAnsi="Times New Roman" w:cs="Times New Roman"/>
          <w:bCs/>
          <w:snapToGrid w:val="0"/>
          <w:sz w:val="28"/>
          <w:szCs w:val="28"/>
          <w:lang w:eastAsia="ru-RU" w:bidi="ru-RU"/>
        </w:rPr>
        <w:t>В рамках государственного мониторинга земель Минсельхозом России выявлено надлежащее списание мелиоративных систем и гидротехнических сооружений, преимущественно бесхозяйных, что затрудняет перевод земель из состава мелиорированных в земли иных категорий</w:t>
      </w:r>
      <w:r>
        <w:rPr>
          <w:rFonts w:ascii="Times New Roman" w:eastAsia="Times New Roman" w:hAnsi="Times New Roman" w:cs="Times New Roman"/>
          <w:bCs/>
          <w:snapToGrid w:val="0"/>
          <w:sz w:val="28"/>
          <w:szCs w:val="28"/>
          <w:lang w:eastAsia="ru-RU" w:bidi="ru-RU"/>
        </w:rPr>
        <w:t>.</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Доклад о состоянии и использовании земель сельскохозяйственного назначения Российской Федерации в 2020 году не содержит рекомендаций (предложений) о предотвращении негативного воздействия на земли и об устранении последствий такого воздействия.</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Согласно плану Минсельхоза России Доклад о состоянии и использовании земель сельскохозяйственного назначения Российской Федерации в 2021 году будет подготовлен к 29 ноября 2022 года.</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proofErr w:type="gramStart"/>
      <w:r w:rsidRPr="00F61326">
        <w:rPr>
          <w:rFonts w:ascii="Times New Roman" w:eastAsia="Times New Roman" w:hAnsi="Times New Roman" w:cs="Times New Roman"/>
          <w:bCs/>
          <w:snapToGrid w:val="0"/>
          <w:sz w:val="28"/>
          <w:szCs w:val="28"/>
          <w:lang w:eastAsia="ru-RU" w:bidi="ru-RU"/>
        </w:rPr>
        <w:t>Создание и функционирование информационных ресурсов в рамках подсистем единой системы государственного экологического мониторинга, в том числе и государственного мониторинга земель, предусмотрено пунктом 4 статьи 63 Закона № 7-ФЗ и статьей 3 Положения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 утвержденное постановлением Правительства Российской Федерации от 9 августа 2013 г</w:t>
      </w:r>
      <w:proofErr w:type="gramEnd"/>
      <w:r w:rsidRPr="00F61326">
        <w:rPr>
          <w:rFonts w:ascii="Times New Roman" w:eastAsia="Times New Roman" w:hAnsi="Times New Roman" w:cs="Times New Roman"/>
          <w:bCs/>
          <w:snapToGrid w:val="0"/>
          <w:sz w:val="28"/>
          <w:szCs w:val="28"/>
          <w:lang w:eastAsia="ru-RU" w:bidi="ru-RU"/>
        </w:rPr>
        <w:t>. № 681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w:t>
      </w:r>
    </w:p>
    <w:p w:rsidR="00F61326" w:rsidRP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 xml:space="preserve">Государственный мониторинг земель сельскохозяйственного назначения осуществлялся в 2012-2019 годах в ФГИС «ФП «Электронный </w:t>
      </w:r>
      <w:r w:rsidRPr="00F61326">
        <w:rPr>
          <w:rFonts w:ascii="Times New Roman" w:eastAsia="Times New Roman" w:hAnsi="Times New Roman" w:cs="Times New Roman"/>
          <w:bCs/>
          <w:snapToGrid w:val="0"/>
          <w:sz w:val="28"/>
          <w:szCs w:val="28"/>
          <w:lang w:eastAsia="ru-RU" w:bidi="ru-RU"/>
        </w:rPr>
        <w:lastRenderedPageBreak/>
        <w:t>атлас земель сельскохозяйственного назначения»</w:t>
      </w:r>
      <w:r w:rsidRPr="00F61326">
        <w:rPr>
          <w:rFonts w:ascii="Times New Roman" w:eastAsia="Times New Roman" w:hAnsi="Times New Roman" w:cs="Times New Roman"/>
          <w:bCs/>
          <w:snapToGrid w:val="0"/>
          <w:sz w:val="28"/>
          <w:szCs w:val="28"/>
          <w:vertAlign w:val="superscript"/>
          <w:lang w:eastAsia="ru-RU" w:bidi="ru-RU"/>
        </w:rPr>
        <w:footnoteReference w:id="2"/>
      </w:r>
      <w:r w:rsidRPr="00F61326">
        <w:rPr>
          <w:rFonts w:ascii="Times New Roman" w:eastAsia="Times New Roman" w:hAnsi="Times New Roman" w:cs="Times New Roman"/>
          <w:bCs/>
          <w:snapToGrid w:val="0"/>
          <w:sz w:val="28"/>
          <w:szCs w:val="28"/>
          <w:lang w:eastAsia="ru-RU" w:bidi="ru-RU"/>
        </w:rPr>
        <w:t>. На базе ФГИС «ФП «Электронный атлас земель сельскохозяйственного назначения» создана Единая федеральная информационная система земель сельскохозяйственного назначения (далее – ЕФИС ЗСН)</w:t>
      </w:r>
      <w:r w:rsidRPr="00F61326">
        <w:rPr>
          <w:rFonts w:ascii="Times New Roman" w:eastAsia="Times New Roman" w:hAnsi="Times New Roman" w:cs="Times New Roman"/>
          <w:bCs/>
          <w:snapToGrid w:val="0"/>
          <w:sz w:val="28"/>
          <w:szCs w:val="28"/>
          <w:vertAlign w:val="superscript"/>
          <w:lang w:eastAsia="ru-RU" w:bidi="ru-RU"/>
        </w:rPr>
        <w:footnoteReference w:id="3"/>
      </w:r>
      <w:r w:rsidRPr="00F61326">
        <w:rPr>
          <w:rFonts w:ascii="Times New Roman" w:eastAsia="Times New Roman" w:hAnsi="Times New Roman" w:cs="Times New Roman"/>
          <w:bCs/>
          <w:snapToGrid w:val="0"/>
          <w:sz w:val="28"/>
          <w:szCs w:val="28"/>
          <w:lang w:eastAsia="ru-RU" w:bidi="ru-RU"/>
        </w:rPr>
        <w:t>.</w:t>
      </w:r>
    </w:p>
    <w:p w:rsidR="00F61326" w:rsidRDefault="00F61326" w:rsidP="00F61326">
      <w:pPr>
        <w:spacing w:after="0" w:line="240" w:lineRule="auto"/>
        <w:ind w:firstLine="709"/>
        <w:jc w:val="both"/>
        <w:rPr>
          <w:rFonts w:ascii="Times New Roman" w:eastAsia="Times New Roman" w:hAnsi="Times New Roman" w:cs="Times New Roman"/>
          <w:bCs/>
          <w:snapToGrid w:val="0"/>
          <w:sz w:val="28"/>
          <w:szCs w:val="28"/>
          <w:lang w:eastAsia="ru-RU" w:bidi="ru-RU"/>
        </w:rPr>
      </w:pPr>
      <w:r w:rsidRPr="00F61326">
        <w:rPr>
          <w:rFonts w:ascii="Times New Roman" w:eastAsia="Times New Roman" w:hAnsi="Times New Roman" w:cs="Times New Roman"/>
          <w:bCs/>
          <w:snapToGrid w:val="0"/>
          <w:sz w:val="28"/>
          <w:szCs w:val="28"/>
          <w:lang w:eastAsia="ru-RU" w:bidi="ru-RU"/>
        </w:rPr>
        <w:t>В целях совершенствования информационного взаимодействия ФОИВ при осуществлении государственного мониторинга земель в 2021 году Минсельхозом России осуществлено мероприятие по информатизации: развитие ЕФИС ЗСН (государственный контракт от 9 ноября 2021 г. № 286/5-ГК), результатом работ по которому в том числе стало развитие функционала обмен</w:t>
      </w:r>
      <w:r w:rsidR="00DE1A59">
        <w:rPr>
          <w:rFonts w:ascii="Times New Roman" w:eastAsia="Times New Roman" w:hAnsi="Times New Roman" w:cs="Times New Roman"/>
          <w:bCs/>
          <w:snapToGrid w:val="0"/>
          <w:sz w:val="28"/>
          <w:szCs w:val="28"/>
          <w:lang w:eastAsia="ru-RU" w:bidi="ru-RU"/>
        </w:rPr>
        <w:t>а</w:t>
      </w:r>
      <w:r w:rsidRPr="00F61326">
        <w:rPr>
          <w:rFonts w:ascii="Times New Roman" w:eastAsia="Times New Roman" w:hAnsi="Times New Roman" w:cs="Times New Roman"/>
          <w:bCs/>
          <w:snapToGrid w:val="0"/>
          <w:sz w:val="28"/>
          <w:szCs w:val="28"/>
          <w:lang w:eastAsia="ru-RU" w:bidi="ru-RU"/>
        </w:rPr>
        <w:t xml:space="preserve"> данными с внеш</w:t>
      </w:r>
      <w:r w:rsidR="00D74D91">
        <w:rPr>
          <w:rFonts w:ascii="Times New Roman" w:eastAsia="Times New Roman" w:hAnsi="Times New Roman" w:cs="Times New Roman"/>
          <w:bCs/>
          <w:snapToGrid w:val="0"/>
          <w:sz w:val="28"/>
          <w:szCs w:val="28"/>
          <w:lang w:eastAsia="ru-RU" w:bidi="ru-RU"/>
        </w:rPr>
        <w:t>ними информационными системами.</w:t>
      </w:r>
    </w:p>
    <w:sectPr w:rsidR="00F61326" w:rsidSect="008B69E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AA5" w:rsidRDefault="000B6AA5" w:rsidP="00882378">
      <w:pPr>
        <w:spacing w:after="0" w:line="240" w:lineRule="auto"/>
      </w:pPr>
      <w:r>
        <w:separator/>
      </w:r>
    </w:p>
  </w:endnote>
  <w:endnote w:type="continuationSeparator" w:id="0">
    <w:p w:rsidR="000B6AA5" w:rsidRDefault="000B6AA5"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AA5" w:rsidRDefault="000B6AA5" w:rsidP="00882378">
      <w:pPr>
        <w:spacing w:after="0" w:line="240" w:lineRule="auto"/>
      </w:pPr>
      <w:r>
        <w:separator/>
      </w:r>
    </w:p>
  </w:footnote>
  <w:footnote w:type="continuationSeparator" w:id="0">
    <w:p w:rsidR="000B6AA5" w:rsidRDefault="000B6AA5" w:rsidP="00882378">
      <w:pPr>
        <w:spacing w:after="0" w:line="240" w:lineRule="auto"/>
      </w:pPr>
      <w:r>
        <w:continuationSeparator/>
      </w:r>
    </w:p>
  </w:footnote>
  <w:footnote w:id="1">
    <w:p w:rsidR="00F61326" w:rsidRDefault="00F61326" w:rsidP="00F61326">
      <w:pPr>
        <w:pStyle w:val="a3"/>
      </w:pPr>
      <w:r>
        <w:rPr>
          <w:rStyle w:val="a5"/>
        </w:rPr>
        <w:footnoteRef/>
      </w:r>
      <w:r>
        <w:t xml:space="preserve"> Минобороны России, Минздрав России, Росгидромет, ФСИН России, </w:t>
      </w:r>
      <w:proofErr w:type="spellStart"/>
      <w:r>
        <w:t>Росрыболовство</w:t>
      </w:r>
      <w:proofErr w:type="spellEnd"/>
      <w:r>
        <w:t xml:space="preserve">, </w:t>
      </w:r>
      <w:proofErr w:type="spellStart"/>
      <w:r>
        <w:t>Минобрнауки</w:t>
      </w:r>
      <w:proofErr w:type="spellEnd"/>
      <w:r>
        <w:t xml:space="preserve"> России, Минприроды России.</w:t>
      </w:r>
    </w:p>
  </w:footnote>
  <w:footnote w:id="2">
    <w:p w:rsidR="00F61326" w:rsidRPr="00721520" w:rsidRDefault="00F61326" w:rsidP="00F61326">
      <w:pPr>
        <w:pStyle w:val="a3"/>
        <w:ind w:firstLine="0"/>
      </w:pPr>
      <w:r w:rsidRPr="00721520">
        <w:rPr>
          <w:rStyle w:val="a5"/>
        </w:rPr>
        <w:footnoteRef/>
      </w:r>
      <w:r w:rsidRPr="00721520">
        <w:t xml:space="preserve"> </w:t>
      </w:r>
      <w:r w:rsidRPr="00721520">
        <w:rPr>
          <w:bCs/>
          <w:lang w:bidi="ru-RU"/>
        </w:rPr>
        <w:t xml:space="preserve">ФГИС «ФП «Электронный атлас земель сельскохозяйственного назначения» </w:t>
      </w:r>
      <w:proofErr w:type="gramStart"/>
      <w:r w:rsidRPr="00721520">
        <w:rPr>
          <w:bCs/>
          <w:lang w:bidi="ru-RU"/>
        </w:rPr>
        <w:t>введена</w:t>
      </w:r>
      <w:proofErr w:type="gramEnd"/>
      <w:r w:rsidRPr="00721520">
        <w:rPr>
          <w:bCs/>
          <w:lang w:bidi="ru-RU"/>
        </w:rPr>
        <w:t xml:space="preserve"> в эксплуатацию приказом Минсельхоза России от</w:t>
      </w:r>
      <w:r>
        <w:rPr>
          <w:bCs/>
          <w:lang w:bidi="ru-RU"/>
        </w:rPr>
        <w:t> </w:t>
      </w:r>
      <w:r w:rsidRPr="00721520">
        <w:rPr>
          <w:bCs/>
          <w:lang w:bidi="ru-RU"/>
        </w:rPr>
        <w:t>27</w:t>
      </w:r>
      <w:r>
        <w:rPr>
          <w:bCs/>
          <w:lang w:bidi="ru-RU"/>
        </w:rPr>
        <w:t xml:space="preserve"> декабря </w:t>
      </w:r>
      <w:r w:rsidRPr="00721520">
        <w:rPr>
          <w:bCs/>
          <w:lang w:bidi="ru-RU"/>
        </w:rPr>
        <w:t>2012</w:t>
      </w:r>
      <w:r>
        <w:rPr>
          <w:bCs/>
          <w:lang w:bidi="ru-RU"/>
        </w:rPr>
        <w:t> г.</w:t>
      </w:r>
      <w:r w:rsidRPr="00721520">
        <w:rPr>
          <w:bCs/>
          <w:lang w:bidi="ru-RU"/>
        </w:rPr>
        <w:t xml:space="preserve"> №</w:t>
      </w:r>
      <w:r>
        <w:rPr>
          <w:bCs/>
          <w:lang w:bidi="ru-RU"/>
        </w:rPr>
        <w:t> </w:t>
      </w:r>
      <w:r w:rsidRPr="00721520">
        <w:rPr>
          <w:bCs/>
          <w:lang w:bidi="ru-RU"/>
        </w:rPr>
        <w:t>653, а выведена из эксплуатации приказом Минсельхоза России от 29</w:t>
      </w:r>
      <w:r>
        <w:rPr>
          <w:bCs/>
          <w:lang w:bidi="ru-RU"/>
        </w:rPr>
        <w:t xml:space="preserve"> августа </w:t>
      </w:r>
      <w:r w:rsidRPr="00721520">
        <w:rPr>
          <w:bCs/>
          <w:lang w:bidi="ru-RU"/>
        </w:rPr>
        <w:t>2019</w:t>
      </w:r>
      <w:r>
        <w:rPr>
          <w:bCs/>
          <w:lang w:bidi="ru-RU"/>
        </w:rPr>
        <w:t> г.</w:t>
      </w:r>
      <w:r w:rsidRPr="00721520">
        <w:rPr>
          <w:bCs/>
          <w:lang w:bidi="ru-RU"/>
        </w:rPr>
        <w:t xml:space="preserve"> №</w:t>
      </w:r>
      <w:r>
        <w:rPr>
          <w:bCs/>
          <w:lang w:bidi="ru-RU"/>
        </w:rPr>
        <w:t> </w:t>
      </w:r>
      <w:r w:rsidRPr="00721520">
        <w:rPr>
          <w:bCs/>
          <w:lang w:bidi="ru-RU"/>
        </w:rPr>
        <w:t>512.</w:t>
      </w:r>
    </w:p>
  </w:footnote>
  <w:footnote w:id="3">
    <w:p w:rsidR="00F61326" w:rsidRPr="00F26313" w:rsidRDefault="00F61326" w:rsidP="00F61326">
      <w:pPr>
        <w:pStyle w:val="a3"/>
        <w:ind w:firstLine="0"/>
        <w:rPr>
          <w:bCs/>
          <w:lang w:bidi="ru-RU"/>
        </w:rPr>
      </w:pPr>
      <w:r w:rsidRPr="00F26313">
        <w:rPr>
          <w:bCs/>
          <w:vertAlign w:val="superscript"/>
          <w:lang w:bidi="ru-RU"/>
        </w:rPr>
        <w:footnoteRef/>
      </w:r>
      <w:r w:rsidRPr="00F26313">
        <w:rPr>
          <w:bCs/>
          <w:lang w:bidi="ru-RU"/>
        </w:rPr>
        <w:t xml:space="preserve"> ЕФИС ЗСН </w:t>
      </w:r>
      <w:proofErr w:type="gramStart"/>
      <w:r w:rsidRPr="00F26313">
        <w:rPr>
          <w:bCs/>
          <w:lang w:bidi="ru-RU"/>
        </w:rPr>
        <w:t>введена</w:t>
      </w:r>
      <w:proofErr w:type="gramEnd"/>
      <w:r w:rsidRPr="00F26313">
        <w:rPr>
          <w:bCs/>
          <w:lang w:bidi="ru-RU"/>
        </w:rPr>
        <w:t xml:space="preserve"> в эксплуатацию</w:t>
      </w:r>
      <w:r>
        <w:rPr>
          <w:bCs/>
          <w:lang w:bidi="ru-RU"/>
        </w:rPr>
        <w:t xml:space="preserve"> приказом Минсельхоза России от </w:t>
      </w:r>
      <w:r w:rsidRPr="00F26313">
        <w:rPr>
          <w:bCs/>
          <w:lang w:bidi="ru-RU"/>
        </w:rPr>
        <w:t>2</w:t>
      </w:r>
      <w:r>
        <w:rPr>
          <w:bCs/>
          <w:lang w:bidi="ru-RU"/>
        </w:rPr>
        <w:t xml:space="preserve"> апреля </w:t>
      </w:r>
      <w:r w:rsidRPr="00F26313">
        <w:rPr>
          <w:bCs/>
          <w:lang w:bidi="ru-RU"/>
        </w:rPr>
        <w:t>2018</w:t>
      </w:r>
      <w:r>
        <w:rPr>
          <w:bCs/>
          <w:lang w:bidi="ru-RU"/>
        </w:rPr>
        <w:t> г.</w:t>
      </w:r>
      <w:r w:rsidRPr="00F26313">
        <w:rPr>
          <w:bCs/>
          <w:lang w:bidi="ru-RU"/>
        </w:rPr>
        <w:t xml:space="preserve"> №</w:t>
      </w:r>
      <w:r>
        <w:rPr>
          <w:bCs/>
          <w:lang w:bidi="ru-RU"/>
        </w:rPr>
        <w:t> </w:t>
      </w:r>
      <w:r w:rsidRPr="00F26313">
        <w:rPr>
          <w:bCs/>
          <w:lang w:bidi="ru-RU"/>
        </w:rPr>
        <w:t>130 с 12</w:t>
      </w:r>
      <w:r>
        <w:rPr>
          <w:bCs/>
          <w:lang w:bidi="ru-RU"/>
        </w:rPr>
        <w:t xml:space="preserve"> апреля </w:t>
      </w:r>
      <w:r w:rsidRPr="00F26313">
        <w:rPr>
          <w:bCs/>
          <w:lang w:bidi="ru-RU"/>
        </w:rPr>
        <w:t>2018</w:t>
      </w:r>
      <w:r>
        <w:rPr>
          <w:bCs/>
          <w:lang w:bidi="ru-RU"/>
        </w:rPr>
        <w:t> года</w:t>
      </w:r>
      <w:r w:rsidRPr="00F26313">
        <w:rPr>
          <w:bCs/>
          <w:lang w:bidi="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02556"/>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2D60F3">
          <w:rPr>
            <w:noProof/>
          </w:rPr>
          <w:t>6</w:t>
        </w:r>
        <w:r>
          <w:fldChar w:fldCharType="end"/>
        </w:r>
      </w:p>
    </w:sdtContent>
  </w:sdt>
  <w:p w:rsidR="008B69E0" w:rsidRDefault="008B69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A201E"/>
    <w:multiLevelType w:val="hybridMultilevel"/>
    <w:tmpl w:val="A5C047FA"/>
    <w:lvl w:ilvl="0" w:tplc="131444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9C5433A"/>
    <w:multiLevelType w:val="hybridMultilevel"/>
    <w:tmpl w:val="FA7ACDB0"/>
    <w:styleLink w:val="List061"/>
    <w:lvl w:ilvl="0" w:tplc="23F249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32"/>
    <w:rsid w:val="000106C7"/>
    <w:rsid w:val="00015284"/>
    <w:rsid w:val="000263B0"/>
    <w:rsid w:val="00053562"/>
    <w:rsid w:val="00057649"/>
    <w:rsid w:val="00080CE9"/>
    <w:rsid w:val="000A0859"/>
    <w:rsid w:val="000A3812"/>
    <w:rsid w:val="000B334C"/>
    <w:rsid w:val="000B6AA5"/>
    <w:rsid w:val="000E2E32"/>
    <w:rsid w:val="000F6557"/>
    <w:rsid w:val="0010407F"/>
    <w:rsid w:val="00106E7B"/>
    <w:rsid w:val="0016316A"/>
    <w:rsid w:val="00167FFE"/>
    <w:rsid w:val="001E7095"/>
    <w:rsid w:val="00200938"/>
    <w:rsid w:val="002052CD"/>
    <w:rsid w:val="00227AE8"/>
    <w:rsid w:val="002356AA"/>
    <w:rsid w:val="002401E2"/>
    <w:rsid w:val="00252DCF"/>
    <w:rsid w:val="00291603"/>
    <w:rsid w:val="002A2E65"/>
    <w:rsid w:val="002A404A"/>
    <w:rsid w:val="002A557E"/>
    <w:rsid w:val="002B7A33"/>
    <w:rsid w:val="002D60F3"/>
    <w:rsid w:val="002E5B35"/>
    <w:rsid w:val="002F1435"/>
    <w:rsid w:val="003048EF"/>
    <w:rsid w:val="00323DD1"/>
    <w:rsid w:val="00330E02"/>
    <w:rsid w:val="00336C98"/>
    <w:rsid w:val="00361A5B"/>
    <w:rsid w:val="00362908"/>
    <w:rsid w:val="00376994"/>
    <w:rsid w:val="0039125D"/>
    <w:rsid w:val="0039217E"/>
    <w:rsid w:val="003A0EDC"/>
    <w:rsid w:val="003D0865"/>
    <w:rsid w:val="003D4DF9"/>
    <w:rsid w:val="003D596D"/>
    <w:rsid w:val="004274E2"/>
    <w:rsid w:val="00427F50"/>
    <w:rsid w:val="00467BE7"/>
    <w:rsid w:val="004C5526"/>
    <w:rsid w:val="004E0D34"/>
    <w:rsid w:val="004E4E48"/>
    <w:rsid w:val="004F0440"/>
    <w:rsid w:val="0051576B"/>
    <w:rsid w:val="0051586B"/>
    <w:rsid w:val="00515EFF"/>
    <w:rsid w:val="00532AE3"/>
    <w:rsid w:val="00575F38"/>
    <w:rsid w:val="00596434"/>
    <w:rsid w:val="005E05B1"/>
    <w:rsid w:val="00627DBF"/>
    <w:rsid w:val="006335DB"/>
    <w:rsid w:val="0063546A"/>
    <w:rsid w:val="006436DD"/>
    <w:rsid w:val="00682FA3"/>
    <w:rsid w:val="006A1815"/>
    <w:rsid w:val="006A22E0"/>
    <w:rsid w:val="006A32A0"/>
    <w:rsid w:val="006F5DDF"/>
    <w:rsid w:val="007128E5"/>
    <w:rsid w:val="00723AE4"/>
    <w:rsid w:val="0073146A"/>
    <w:rsid w:val="007333B7"/>
    <w:rsid w:val="00755A14"/>
    <w:rsid w:val="00770C20"/>
    <w:rsid w:val="007D2A07"/>
    <w:rsid w:val="007F06F5"/>
    <w:rsid w:val="008007EC"/>
    <w:rsid w:val="00802E1B"/>
    <w:rsid w:val="00803584"/>
    <w:rsid w:val="008230C6"/>
    <w:rsid w:val="008375C3"/>
    <w:rsid w:val="00882378"/>
    <w:rsid w:val="008953FD"/>
    <w:rsid w:val="008B69E0"/>
    <w:rsid w:val="008E06DA"/>
    <w:rsid w:val="008E25C1"/>
    <w:rsid w:val="008F671F"/>
    <w:rsid w:val="0094043C"/>
    <w:rsid w:val="00955664"/>
    <w:rsid w:val="00964261"/>
    <w:rsid w:val="00982701"/>
    <w:rsid w:val="009B5FD0"/>
    <w:rsid w:val="009C5630"/>
    <w:rsid w:val="009C6E3F"/>
    <w:rsid w:val="009E55BF"/>
    <w:rsid w:val="00A00CD5"/>
    <w:rsid w:val="00A0785A"/>
    <w:rsid w:val="00A10ABE"/>
    <w:rsid w:val="00A25118"/>
    <w:rsid w:val="00A2709D"/>
    <w:rsid w:val="00A35111"/>
    <w:rsid w:val="00A47BDC"/>
    <w:rsid w:val="00A7301B"/>
    <w:rsid w:val="00AC3F3B"/>
    <w:rsid w:val="00AF06F4"/>
    <w:rsid w:val="00AF2C35"/>
    <w:rsid w:val="00B12A22"/>
    <w:rsid w:val="00B25A49"/>
    <w:rsid w:val="00B36EA8"/>
    <w:rsid w:val="00B871ED"/>
    <w:rsid w:val="00B90CDF"/>
    <w:rsid w:val="00B95C37"/>
    <w:rsid w:val="00B96CC4"/>
    <w:rsid w:val="00BD01A0"/>
    <w:rsid w:val="00BD2787"/>
    <w:rsid w:val="00BD3855"/>
    <w:rsid w:val="00BF4BDC"/>
    <w:rsid w:val="00C01F88"/>
    <w:rsid w:val="00C03168"/>
    <w:rsid w:val="00C03CF2"/>
    <w:rsid w:val="00C21FFD"/>
    <w:rsid w:val="00C44C7D"/>
    <w:rsid w:val="00C47A00"/>
    <w:rsid w:val="00C5230A"/>
    <w:rsid w:val="00C7025C"/>
    <w:rsid w:val="00C73D41"/>
    <w:rsid w:val="00C779D9"/>
    <w:rsid w:val="00C87205"/>
    <w:rsid w:val="00C87782"/>
    <w:rsid w:val="00CA7BD3"/>
    <w:rsid w:val="00CB369C"/>
    <w:rsid w:val="00CC1E7F"/>
    <w:rsid w:val="00CC7A9B"/>
    <w:rsid w:val="00CD6B2F"/>
    <w:rsid w:val="00D01909"/>
    <w:rsid w:val="00D109E3"/>
    <w:rsid w:val="00D11E0C"/>
    <w:rsid w:val="00D60CF1"/>
    <w:rsid w:val="00D6170C"/>
    <w:rsid w:val="00D74D91"/>
    <w:rsid w:val="00D936DE"/>
    <w:rsid w:val="00DB5B6D"/>
    <w:rsid w:val="00DC3E54"/>
    <w:rsid w:val="00DD0EB1"/>
    <w:rsid w:val="00DE1A59"/>
    <w:rsid w:val="00DF7C84"/>
    <w:rsid w:val="00E15E42"/>
    <w:rsid w:val="00E16A18"/>
    <w:rsid w:val="00E20207"/>
    <w:rsid w:val="00E65E71"/>
    <w:rsid w:val="00E666F9"/>
    <w:rsid w:val="00E67FF4"/>
    <w:rsid w:val="00E8713A"/>
    <w:rsid w:val="00EA458C"/>
    <w:rsid w:val="00EB4F8C"/>
    <w:rsid w:val="00EF17C7"/>
    <w:rsid w:val="00F32F9C"/>
    <w:rsid w:val="00F61326"/>
    <w:rsid w:val="00FA4ADB"/>
    <w:rsid w:val="00FB7ED9"/>
    <w:rsid w:val="00FD03E1"/>
    <w:rsid w:val="00FD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39"/>
    <w:rsid w:val="005E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61">
    <w:name w:val="List 061"/>
    <w:basedOn w:val="a2"/>
    <w:rsid w:val="002052CD"/>
    <w:pPr>
      <w:numPr>
        <w:numId w:val="2"/>
      </w:numPr>
    </w:pPr>
  </w:style>
  <w:style w:type="table" w:customStyle="1" w:styleId="121">
    <w:name w:val="Леша121"/>
    <w:basedOn w:val="a1"/>
    <w:next w:val="ab"/>
    <w:uiPriority w:val="39"/>
    <w:rsid w:val="00C87205"/>
    <w:pPr>
      <w:spacing w:after="0" w:line="240" w:lineRule="auto"/>
      <w:ind w:firstLine="709"/>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F61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D60F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D6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39"/>
    <w:rsid w:val="005E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61">
    <w:name w:val="List 061"/>
    <w:basedOn w:val="a2"/>
    <w:rsid w:val="002052CD"/>
    <w:pPr>
      <w:numPr>
        <w:numId w:val="2"/>
      </w:numPr>
    </w:pPr>
  </w:style>
  <w:style w:type="table" w:customStyle="1" w:styleId="121">
    <w:name w:val="Леша121"/>
    <w:basedOn w:val="a1"/>
    <w:next w:val="ab"/>
    <w:uiPriority w:val="39"/>
    <w:rsid w:val="00C87205"/>
    <w:pPr>
      <w:spacing w:after="0" w:line="240" w:lineRule="auto"/>
      <w:ind w:firstLine="709"/>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F61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D60F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D6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consultantplus://offline/ref=3058D816F9BE94AD4290AD540C0FFA3B9EE8DE5544097B8FB7EE51BDD0CAA5F93B3E94F66D7F5828921515E9980A430E78C4AB2AA5CDA771g7IDP"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047;&#1077;&#1084;&#1083;&#1103;\1_&#1069;&#1040;&#1052;%20&#1047;&#1077;&#1084;&#1083;&#1103;%202022\&#1056;&#1086;&#1089;&#1088;&#1077;&#1077;&#1089;&#1090;&#1088;%20&#1069;&#1040;&#1052;\&#1056;&#1072;&#1073;&#1086;&#1095;&#1072;&#1103;%20&#1084;&#1086;&#1103;%20&#1087;&#1086;%20&#1069;&#1040;&#1052;%20&#1047;&#1077;&#1084;&#1083;&#1103;\&#1056;&#1072;&#1089;&#1095;&#1077;&#1090;%20&#1089;&#1091;&#1073;&#1089;&#1080;&#1076;&#1080;&#1081;%20&#1085;&#1072;%20&#1050;&#1050;&#1056;%202022%20&#1075;&#1086;&#1076;&#107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247594050743664E-2"/>
          <c:y val="5.8016877637130801E-2"/>
          <c:w val="0.83526859142607179"/>
          <c:h val="0.73702448586331759"/>
        </c:manualLayout>
      </c:layout>
      <c:barChart>
        <c:barDir val="col"/>
        <c:grouping val="clustered"/>
        <c:varyColors val="0"/>
        <c:ser>
          <c:idx val="1"/>
          <c:order val="1"/>
          <c:tx>
            <c:v>Площадь обследования, млн га</c:v>
          </c:tx>
          <c:spPr>
            <a:solidFill>
              <a:srgbClr val="00B0F0"/>
            </a:solidFill>
            <a:ln>
              <a:noFill/>
            </a:ln>
            <a:effectLst/>
          </c:spPr>
          <c:invertIfNegative val="0"/>
          <c:val>
            <c:numRef>
              <c:f>Минсельхоз!$C$2:$C$22</c:f>
              <c:numCache>
                <c:formatCode>0</c:formatCode>
                <c:ptCount val="21"/>
                <c:pt idx="0">
                  <c:v>293</c:v>
                </c:pt>
                <c:pt idx="1">
                  <c:v>272</c:v>
                </c:pt>
                <c:pt idx="2">
                  <c:v>289</c:v>
                </c:pt>
                <c:pt idx="3">
                  <c:v>269</c:v>
                </c:pt>
                <c:pt idx="4">
                  <c:v>281</c:v>
                </c:pt>
                <c:pt idx="5">
                  <c:v>260</c:v>
                </c:pt>
                <c:pt idx="6">
                  <c:v>259</c:v>
                </c:pt>
                <c:pt idx="7">
                  <c:v>415</c:v>
                </c:pt>
                <c:pt idx="8">
                  <c:v>342</c:v>
                </c:pt>
                <c:pt idx="9">
                  <c:v>322</c:v>
                </c:pt>
                <c:pt idx="10">
                  <c:v>246</c:v>
                </c:pt>
                <c:pt idx="11">
                  <c:v>257</c:v>
                </c:pt>
                <c:pt idx="12">
                  <c:v>237</c:v>
                </c:pt>
                <c:pt idx="13">
                  <c:v>151</c:v>
                </c:pt>
                <c:pt idx="14">
                  <c:v>134</c:v>
                </c:pt>
                <c:pt idx="15">
                  <c:v>113</c:v>
                </c:pt>
                <c:pt idx="16">
                  <c:v>184</c:v>
                </c:pt>
                <c:pt idx="17">
                  <c:v>234</c:v>
                </c:pt>
                <c:pt idx="18">
                  <c:v>278</c:v>
                </c:pt>
                <c:pt idx="19">
                  <c:v>276</c:v>
                </c:pt>
                <c:pt idx="20">
                  <c:v>270</c:v>
                </c:pt>
              </c:numCache>
            </c:numRef>
          </c:val>
          <c:extLst xmlns:c16r2="http://schemas.microsoft.com/office/drawing/2015/06/chart">
            <c:ext xmlns:c16="http://schemas.microsoft.com/office/drawing/2014/chart" uri="{C3380CC4-5D6E-409C-BE32-E72D297353CC}">
              <c16:uniqueId val="{00000000-C74F-491F-9DB7-EA5D584894E4}"/>
            </c:ext>
          </c:extLst>
        </c:ser>
        <c:dLbls>
          <c:showLegendKey val="0"/>
          <c:showVal val="0"/>
          <c:showCatName val="0"/>
          <c:showSerName val="0"/>
          <c:showPercent val="0"/>
          <c:showBubbleSize val="0"/>
        </c:dLbls>
        <c:gapWidth val="200"/>
        <c:overlap val="63"/>
        <c:axId val="45925888"/>
        <c:axId val="138041536"/>
      </c:barChart>
      <c:lineChart>
        <c:grouping val="standard"/>
        <c:varyColors val="0"/>
        <c:ser>
          <c:idx val="0"/>
          <c:order val="0"/>
          <c:tx>
            <c:v>Количество районов</c:v>
          </c:tx>
          <c:spPr>
            <a:ln w="28575" cap="rnd">
              <a:solidFill>
                <a:schemeClr val="accent2"/>
              </a:solidFill>
              <a:round/>
            </a:ln>
            <a:effectLst/>
          </c:spPr>
          <c:marker>
            <c:symbol val="none"/>
          </c:marker>
          <c:val>
            <c:numRef>
              <c:f>Минсельхоз!$B$2:$B$22</c:f>
              <c:numCache>
                <c:formatCode>0.0</c:formatCode>
                <c:ptCount val="21"/>
                <c:pt idx="0">
                  <c:v>20.5</c:v>
                </c:pt>
                <c:pt idx="1">
                  <c:v>19.7</c:v>
                </c:pt>
                <c:pt idx="2">
                  <c:v>20.6</c:v>
                </c:pt>
                <c:pt idx="3">
                  <c:v>17.8</c:v>
                </c:pt>
                <c:pt idx="4">
                  <c:v>18.7</c:v>
                </c:pt>
                <c:pt idx="5">
                  <c:v>16.899999999999999</c:v>
                </c:pt>
                <c:pt idx="6">
                  <c:v>14</c:v>
                </c:pt>
                <c:pt idx="7">
                  <c:v>20.6</c:v>
                </c:pt>
                <c:pt idx="8">
                  <c:v>18.7</c:v>
                </c:pt>
                <c:pt idx="9">
                  <c:v>19.3</c:v>
                </c:pt>
                <c:pt idx="10">
                  <c:v>15.7</c:v>
                </c:pt>
                <c:pt idx="11">
                  <c:v>15.7</c:v>
                </c:pt>
                <c:pt idx="12">
                  <c:v>14</c:v>
                </c:pt>
                <c:pt idx="13">
                  <c:v>8.9</c:v>
                </c:pt>
                <c:pt idx="14">
                  <c:v>8.1</c:v>
                </c:pt>
                <c:pt idx="15">
                  <c:v>5.8</c:v>
                </c:pt>
                <c:pt idx="16">
                  <c:v>9.6999999999999993</c:v>
                </c:pt>
                <c:pt idx="17">
                  <c:v>12.1</c:v>
                </c:pt>
                <c:pt idx="18">
                  <c:v>13.8</c:v>
                </c:pt>
                <c:pt idx="19">
                  <c:v>12.8</c:v>
                </c:pt>
                <c:pt idx="20" formatCode="General">
                  <c:v>12.9</c:v>
                </c:pt>
              </c:numCache>
            </c:numRef>
          </c:val>
          <c:smooth val="0"/>
          <c:extLst xmlns:c16r2="http://schemas.microsoft.com/office/drawing/2015/06/chart">
            <c:ext xmlns:c16="http://schemas.microsoft.com/office/drawing/2014/chart" uri="{C3380CC4-5D6E-409C-BE32-E72D297353CC}">
              <c16:uniqueId val="{00000001-C74F-491F-9DB7-EA5D584894E4}"/>
            </c:ext>
          </c:extLst>
        </c:ser>
        <c:dLbls>
          <c:showLegendKey val="0"/>
          <c:showVal val="0"/>
          <c:showCatName val="0"/>
          <c:showSerName val="0"/>
          <c:showPercent val="0"/>
          <c:showBubbleSize val="0"/>
        </c:dLbls>
        <c:marker val="1"/>
        <c:smooth val="0"/>
        <c:axId val="45926912"/>
        <c:axId val="138042112"/>
      </c:lineChart>
      <c:catAx>
        <c:axId val="45925888"/>
        <c:scaling>
          <c:orientation val="minMax"/>
        </c:scaling>
        <c:delete val="1"/>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u-RU" sz="900" b="1">
                    <a:solidFill>
                      <a:sysClr val="windowText" lastClr="000000"/>
                    </a:solidFill>
                  </a:rPr>
                  <a:t>2000 - 2020 годы </a:t>
                </a:r>
              </a:p>
            </c:rich>
          </c:tx>
          <c:overlay val="0"/>
          <c:spPr>
            <a:noFill/>
            <a:ln>
              <a:noFill/>
            </a:ln>
            <a:effectLst/>
          </c:spPr>
        </c:title>
        <c:majorTickMark val="none"/>
        <c:minorTickMark val="none"/>
        <c:tickLblPos val="nextTo"/>
        <c:crossAx val="138041536"/>
        <c:crosses val="autoZero"/>
        <c:auto val="1"/>
        <c:lblAlgn val="ctr"/>
        <c:lblOffset val="100"/>
        <c:noMultiLvlLbl val="0"/>
      </c:catAx>
      <c:valAx>
        <c:axId val="1380415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25888"/>
        <c:crosses val="autoZero"/>
        <c:crossBetween val="between"/>
        <c:majorUnit val="100"/>
      </c:valAx>
      <c:valAx>
        <c:axId val="13804211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26912"/>
        <c:crosses val="max"/>
        <c:crossBetween val="between"/>
      </c:valAx>
      <c:catAx>
        <c:axId val="45926912"/>
        <c:scaling>
          <c:orientation val="minMax"/>
        </c:scaling>
        <c:delete val="1"/>
        <c:axPos val="b"/>
        <c:numFmt formatCode="0" sourceLinked="1"/>
        <c:majorTickMark val="out"/>
        <c:minorTickMark val="none"/>
        <c:tickLblPos val="nextTo"/>
        <c:crossAx val="138042112"/>
        <c:crosses val="autoZero"/>
        <c:auto val="1"/>
        <c:lblAlgn val="ctr"/>
        <c:lblOffset val="100"/>
        <c:noMultiLvlLbl val="0"/>
      </c:catAx>
      <c:spPr>
        <a:noFill/>
        <a:ln>
          <a:noFill/>
        </a:ln>
        <a:effectLst/>
      </c:spPr>
    </c:plotArea>
    <c:legend>
      <c:legendPos val="b"/>
      <c:layout>
        <c:manualLayout>
          <c:xMode val="edge"/>
          <c:yMode val="edge"/>
          <c:x val="8.0886045494313205E-2"/>
          <c:y val="0.89915985580916313"/>
          <c:w val="0.8437834645669291"/>
          <c:h val="8.707491284951610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2C46-A5E8-498F-8BB2-6A845AB3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Грачева</cp:lastModifiedBy>
  <cp:revision>4</cp:revision>
  <dcterms:created xsi:type="dcterms:W3CDTF">2022-12-06T15:17:00Z</dcterms:created>
  <dcterms:modified xsi:type="dcterms:W3CDTF">2022-12-22T07:01:00Z</dcterms:modified>
</cp:coreProperties>
</file>