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1060" w14:textId="29864704" w:rsidR="00A81C6E" w:rsidRPr="003622B9" w:rsidRDefault="00A81C6E" w:rsidP="00A81C6E">
      <w:pPr>
        <w:jc w:val="right"/>
        <w:rPr>
          <w:rFonts w:ascii="Times New Roman" w:hAnsi="Times New Roman" w:cs="Times New Roman"/>
          <w:sz w:val="24"/>
          <w:szCs w:val="24"/>
        </w:rPr>
      </w:pPr>
      <w:r w:rsidRPr="003622B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44AE7">
        <w:rPr>
          <w:rFonts w:ascii="Times New Roman" w:hAnsi="Times New Roman" w:cs="Times New Roman"/>
          <w:sz w:val="24"/>
          <w:szCs w:val="24"/>
        </w:rPr>
        <w:t>3</w:t>
      </w:r>
    </w:p>
    <w:p w14:paraId="3E1C3008" w14:textId="5A6B8A3B" w:rsidR="00A81C6E" w:rsidRPr="00A81C6E" w:rsidRDefault="00A81C6E">
      <w:pPr>
        <w:rPr>
          <w:rFonts w:ascii="Times New Roman" w:hAnsi="Times New Roman" w:cs="Times New Roman"/>
        </w:rPr>
      </w:pPr>
    </w:p>
    <w:p w14:paraId="39BD6E0D" w14:textId="4ABB5FDA" w:rsidR="00A81C6E" w:rsidRDefault="00A81C6E" w:rsidP="003622B9">
      <w:pPr>
        <w:widowControl w:val="0"/>
        <w:tabs>
          <w:tab w:val="left" w:pos="808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C6E">
        <w:rPr>
          <w:rFonts w:ascii="Times New Roman" w:hAnsi="Times New Roman" w:cs="Times New Roman"/>
          <w:b/>
          <w:bCs/>
          <w:sz w:val="32"/>
          <w:szCs w:val="32"/>
        </w:rPr>
        <w:t>Информация о часто исключаемых критериях риска в ходе проведения предпроверочного анализа</w:t>
      </w:r>
    </w:p>
    <w:p w14:paraId="1158F801" w14:textId="05C4E785" w:rsidR="003622B9" w:rsidRPr="00D16F6A" w:rsidRDefault="00D16F6A" w:rsidP="003622B9">
      <w:pPr>
        <w:widowControl w:val="0"/>
        <w:tabs>
          <w:tab w:val="left" w:pos="808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16F6A">
        <w:rPr>
          <w:rFonts w:ascii="Times New Roman" w:hAnsi="Times New Roman" w:cs="Times New Roman"/>
          <w:i/>
          <w:iCs/>
          <w:sz w:val="24"/>
          <w:szCs w:val="20"/>
        </w:rPr>
        <w:t>(по результатам анализа информации, предоставленной по 16-ти УФНС по субъектам и 2-м МИ ФНС по КН)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1"/>
        <w:gridCol w:w="2013"/>
        <w:gridCol w:w="600"/>
        <w:gridCol w:w="533"/>
        <w:gridCol w:w="709"/>
        <w:gridCol w:w="9"/>
        <w:gridCol w:w="558"/>
        <w:gridCol w:w="567"/>
        <w:gridCol w:w="710"/>
        <w:gridCol w:w="613"/>
        <w:gridCol w:w="567"/>
        <w:gridCol w:w="662"/>
        <w:gridCol w:w="567"/>
        <w:gridCol w:w="567"/>
        <w:gridCol w:w="662"/>
        <w:gridCol w:w="18"/>
      </w:tblGrid>
      <w:tr w:rsidR="00A81C6E" w:rsidRPr="001B24CC" w14:paraId="4493A8DE" w14:textId="77777777" w:rsidTr="001B24CC">
        <w:trPr>
          <w:trHeight w:val="288"/>
        </w:trPr>
        <w:tc>
          <w:tcPr>
            <w:tcW w:w="2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12ED" w14:textId="77777777" w:rsidR="00A81C6E" w:rsidRPr="001B24CC" w:rsidRDefault="00A81C6E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риска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CCF6" w14:textId="77777777" w:rsidR="00A81C6E" w:rsidRPr="001B24CC" w:rsidRDefault="00A81C6E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2019 год</w:t>
            </w: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EDEB" w14:textId="77777777" w:rsidR="00A81C6E" w:rsidRPr="001B24CC" w:rsidRDefault="00A81C6E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2BDC" w14:textId="77777777" w:rsidR="00A81C6E" w:rsidRPr="001B24CC" w:rsidRDefault="00A81C6E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6872" w14:textId="77777777" w:rsidR="00A81C6E" w:rsidRPr="001B24CC" w:rsidRDefault="00A81C6E" w:rsidP="001653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</w:tr>
      <w:tr w:rsidR="00A81C6E" w:rsidRPr="001B24CC" w14:paraId="48E751D6" w14:textId="77777777" w:rsidTr="001B24CC">
        <w:trPr>
          <w:gridAfter w:val="1"/>
          <w:wAfter w:w="18" w:type="dxa"/>
          <w:cantSplit/>
          <w:trHeight w:val="1885"/>
        </w:trPr>
        <w:tc>
          <w:tcPr>
            <w:tcW w:w="2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231D" w14:textId="77777777" w:rsidR="00A81C6E" w:rsidRPr="001B24CC" w:rsidRDefault="00A81C6E" w:rsidP="0016531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5CA00E8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Рассчитанные риски</w:t>
            </w: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(кол-во случаев)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1917104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Исключенные риски</w:t>
            </w: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(кол-во случаев)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3A96ACA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572940A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Рассчитанные риски</w:t>
            </w: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(кол-во случаев)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7A5F025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Исключенные риски</w:t>
            </w: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(кол-во случаев)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3FA6ADF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8E2C607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Рассчитанные риски</w:t>
            </w: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(кол-во случаев)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D3CC4A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Исключенные риски</w:t>
            </w: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(кол-во случаев)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E51133D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75BFBA0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Рассчитанные риски</w:t>
            </w: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(кол-во случаев)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ED11B9D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Исключенные риски</w:t>
            </w: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(кол-во случаев)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71D44DB" w14:textId="77777777" w:rsidR="00A81C6E" w:rsidRPr="001B24CC" w:rsidRDefault="00A81C6E" w:rsidP="0016531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A81C6E" w:rsidRPr="001B24CC" w14:paraId="3C9AFB5C" w14:textId="77777777" w:rsidTr="001B24CC">
        <w:trPr>
          <w:gridAfter w:val="1"/>
          <w:wAfter w:w="18" w:type="dxa"/>
          <w:trHeight w:val="4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5522" w14:textId="77777777" w:rsidR="00A81C6E" w:rsidRPr="001B24CC" w:rsidRDefault="00A81C6E" w:rsidP="001653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Hlk115442706"/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Р-5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E3C1" w14:textId="77777777" w:rsidR="00A81C6E" w:rsidRPr="001B24CC" w:rsidRDefault="00A81C6E" w:rsidP="0016531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По результатам анализа банковских выписок присутствуют расчеты с недобросовестными контрагентами – поставщиками.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13E5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5 071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F52F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1 398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E05E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27,6%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5D41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37B1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625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A2A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27,4%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E76F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1 858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4F90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398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10AC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434B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9 207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5F8D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2 421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6CC0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26,3%</w:t>
            </w:r>
          </w:p>
        </w:tc>
      </w:tr>
      <w:tr w:rsidR="00A81C6E" w:rsidRPr="001B24CC" w14:paraId="0BE3DC24" w14:textId="77777777" w:rsidTr="001B24CC">
        <w:trPr>
          <w:gridAfter w:val="1"/>
          <w:wAfter w:w="18" w:type="dxa"/>
          <w:trHeight w:val="61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CAC5" w14:textId="77777777" w:rsidR="00A81C6E" w:rsidRPr="001B24CC" w:rsidRDefault="00A81C6E" w:rsidP="001653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Р-6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B2F2" w14:textId="77777777" w:rsidR="00A81C6E" w:rsidRPr="001B24CC" w:rsidRDefault="00A81C6E" w:rsidP="0016531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В книге покупок, и журнале полученных счетов-фактур анализируемого НП присутствуют контрагенты, отнесенные к категории «Однодневка» и «Техническая компания»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BD69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4 516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5AA2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1 270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CB80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28,1%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AE63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2 358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F157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862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DAA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36,6%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A4A5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2 453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51BE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624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ACFB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25,4%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F38C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9 327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1DF3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2 756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AFD3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29,5%</w:t>
            </w:r>
          </w:p>
        </w:tc>
      </w:tr>
      <w:tr w:rsidR="00A81C6E" w:rsidRPr="001B24CC" w14:paraId="46256285" w14:textId="77777777" w:rsidTr="001B24CC">
        <w:trPr>
          <w:gridAfter w:val="1"/>
          <w:wAfter w:w="18" w:type="dxa"/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042E" w14:textId="77777777" w:rsidR="00A81C6E" w:rsidRPr="001B24CC" w:rsidRDefault="00A81C6E" w:rsidP="001653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Р-1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2DE7" w14:textId="77777777" w:rsidR="00A81C6E" w:rsidRPr="001B24CC" w:rsidRDefault="00A81C6E" w:rsidP="0016531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В соответствии с базой ПП «Контроль НДС» установлено наличие взаимоотношений по книге покупок анализируемого НП с контрагентами, имеющими высокий уровень налогового риска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E4E9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4 713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B15C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F3DB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18,7%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5CE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2 595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833B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549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4EA4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21,2%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CC1D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229E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380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D613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17,0%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661A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9 549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CD10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1 811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9B95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19,0%</w:t>
            </w:r>
          </w:p>
        </w:tc>
      </w:tr>
      <w:tr w:rsidR="00A81C6E" w:rsidRPr="001B24CC" w14:paraId="1C290F73" w14:textId="77777777" w:rsidTr="001B24CC">
        <w:trPr>
          <w:gridAfter w:val="1"/>
          <w:wAfter w:w="18" w:type="dxa"/>
          <w:trHeight w:val="4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556B" w14:textId="77777777" w:rsidR="00A81C6E" w:rsidRPr="001B24CC" w:rsidRDefault="00A81C6E" w:rsidP="001653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Р-14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C031" w14:textId="77777777" w:rsidR="00A81C6E" w:rsidRPr="001B24CC" w:rsidRDefault="00A81C6E" w:rsidP="0016531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В справках по НДФЛ сумма начисленного налога не совпадает с суммой уплаченного по данным КРСБ конкретного налогоплательщика.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4DF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2 903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23EA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857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849F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29,5%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C5F1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83E4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BDC3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5F4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3964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6A33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FB32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2 903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0BF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857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B238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29,5%</w:t>
            </w:r>
          </w:p>
        </w:tc>
      </w:tr>
      <w:tr w:rsidR="00A81C6E" w:rsidRPr="001B24CC" w14:paraId="676CD9FD" w14:textId="77777777" w:rsidTr="001B24CC">
        <w:trPr>
          <w:gridAfter w:val="1"/>
          <w:wAfter w:w="18" w:type="dxa"/>
          <w:trHeight w:val="816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610D" w14:textId="77777777" w:rsidR="00A81C6E" w:rsidRPr="001B24CC" w:rsidRDefault="00A81C6E" w:rsidP="001653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Р-2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2B5C" w14:textId="77777777" w:rsidR="00A81C6E" w:rsidRPr="001B24CC" w:rsidRDefault="00A81C6E" w:rsidP="00165310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В соответствии с базой ПП «Контроль НДС» по книге покупок анализируемого НП установлено расхождение вида «разрыв» с контрагентами, имеющими средний уровень налогового риска риска либо не подавшими декларацию по НДС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0D0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1 515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AB5E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461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AA4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30,4%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1914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1CDD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332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02DB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44,0%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AB8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E28C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D633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25,9%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4FC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3 026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DC2B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989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4AF1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32,7%</w:t>
            </w:r>
          </w:p>
        </w:tc>
      </w:tr>
      <w:tr w:rsidR="00A81C6E" w:rsidRPr="001B24CC" w14:paraId="39EE4DD7" w14:textId="77777777" w:rsidTr="001B24CC">
        <w:trPr>
          <w:gridAfter w:val="1"/>
          <w:wAfter w:w="18" w:type="dxa"/>
          <w:trHeight w:val="40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A1F7" w14:textId="77777777" w:rsidR="00A81C6E" w:rsidRPr="001B24CC" w:rsidRDefault="00A81C6E" w:rsidP="001653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Р-4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5F83" w14:textId="77777777" w:rsidR="00A81C6E" w:rsidRPr="001B24CC" w:rsidRDefault="00A81C6E" w:rsidP="0016531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Превышение суммы доходов по данным ККТ, над суммой выручки по данным налогового учета.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C2D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C04A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BDD5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8440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587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4611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353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EA91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60,1%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A834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671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791A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CCB7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27,9%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5308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1 258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4FD8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540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E791" w14:textId="77777777" w:rsidR="00A81C6E" w:rsidRPr="001B24CC" w:rsidRDefault="00A81C6E" w:rsidP="00165310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1B24CC">
              <w:rPr>
                <w:rFonts w:ascii="Times New Roman" w:hAnsi="Times New Roman" w:cs="Times New Roman"/>
                <w:sz w:val="14"/>
                <w:szCs w:val="14"/>
              </w:rPr>
              <w:t>42,9%</w:t>
            </w:r>
          </w:p>
        </w:tc>
      </w:tr>
      <w:bookmarkEnd w:id="0"/>
    </w:tbl>
    <w:p w14:paraId="2AD147D5" w14:textId="77777777" w:rsidR="00A81C6E" w:rsidRPr="00A81C6E" w:rsidRDefault="00A81C6E">
      <w:pPr>
        <w:rPr>
          <w:rFonts w:ascii="Times New Roman" w:hAnsi="Times New Roman" w:cs="Times New Roman"/>
        </w:rPr>
      </w:pPr>
    </w:p>
    <w:sectPr w:rsidR="00A81C6E" w:rsidRPr="00A81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6E"/>
    <w:rsid w:val="001B24CC"/>
    <w:rsid w:val="003622B9"/>
    <w:rsid w:val="00544AE7"/>
    <w:rsid w:val="00A81C6E"/>
    <w:rsid w:val="00D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1899"/>
  <w15:chartTrackingRefBased/>
  <w15:docId w15:val="{B84CA0DE-653E-48E4-B8B3-2916428E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2022-09-30T12:06:00Z</dcterms:created>
  <dcterms:modified xsi:type="dcterms:W3CDTF">2022-10-21T12:31:00Z</dcterms:modified>
</cp:coreProperties>
</file>