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378" w:rsidRDefault="00882378" w:rsidP="00A8092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6260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D596D">
        <w:rPr>
          <w:rFonts w:ascii="Times New Roman" w:hAnsi="Times New Roman" w:cs="Times New Roman"/>
          <w:sz w:val="28"/>
          <w:szCs w:val="28"/>
        </w:rPr>
        <w:t>1</w:t>
      </w:r>
      <w:r w:rsidR="00043A2D">
        <w:rPr>
          <w:rFonts w:ascii="Times New Roman" w:hAnsi="Times New Roman" w:cs="Times New Roman"/>
          <w:sz w:val="28"/>
          <w:szCs w:val="28"/>
        </w:rPr>
        <w:t>4</w:t>
      </w:r>
    </w:p>
    <w:p w:rsidR="00882378" w:rsidRDefault="00882378" w:rsidP="00882378">
      <w:pPr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3546A" w:rsidRPr="00E65E71" w:rsidRDefault="003D596D" w:rsidP="0082059E">
      <w:pPr>
        <w:spacing w:after="12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3D596D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Сведения </w:t>
      </w:r>
      <w:r w:rsidR="007C17D9" w:rsidRPr="007C17D9">
        <w:rPr>
          <w:rFonts w:ascii="Times New Roman" w:hAnsi="Times New Roman" w:cs="Times New Roman"/>
          <w:b/>
          <w:bCs/>
          <w:spacing w:val="-4"/>
          <w:sz w:val="28"/>
          <w:szCs w:val="28"/>
        </w:rPr>
        <w:t>о регистрации ФОИВ права федеральной собственности на земельные участки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Росимуществом исполнялись пункт 1 перечня поручений Президента Российской Федерации от 18 августа 2015 г. № Пр-1659 (далее – Поручение № Пр-1659), а также поручения Правительства Российской Федерации от</w:t>
      </w:r>
      <w:r w:rsidR="00EB150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29 августа 2015 г. № ДМ-П13-5943 (пункт 13), от 29 июня 2016 г. № ИШ-П13-3789, от 12 августа 2021 г. № МХ-П13-10969, </w:t>
      </w:r>
      <w:r w:rsidR="00FC057D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от 2 ноября 2021 г. № МХ-П13-15657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Согласно проекту доклада в Правительство Российской Федерации, направленного Росимуществом письмом от 26 мая 2022 г. № ИП-18/23714 в адрес Минфина России и подготовленного в целях исполнений поручений Правительства Российской Федерации от 29 августа 2015 г. № ДМ-П13-5943 (пункт 13) и от 29 июня 2016 г. № ИШ-П13-3789 об утверждении и реализации планов-графиков государственной регистрации права собственности Российской Федерации и иных прав на объекты недвижимого имущества (далее – планы-графики, </w:t>
      </w:r>
      <w:r w:rsidR="00FC057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оручение № ДМ-П13-5943, </w:t>
      </w:r>
      <w:r w:rsidR="00FC057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</w:t>
      </w:r>
      <w:r w:rsidR="00FC057D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оручение 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№ ИШ-П13-3789), Росимуществом осуществляется мониторинг организованной деятельности ФОИВ и их подведомственных организаций по регистрации прав на федеральное недвижимое имущество, включая земельные участки, через реализованный на МВ-Портале Модуль «Контроль регистрации прав» (далее – Модуль</w:t>
      </w:r>
      <w:r w:rsidR="00754B2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754B22" w:rsidRPr="00754B2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МВ-Портала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).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данном </w:t>
      </w:r>
      <w:r w:rsidR="00FC057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м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одуле Росимуществом с использованием сведений </w:t>
      </w:r>
      <w:r w:rsidR="00FC057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реестра федерального имущества (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РФИ</w:t>
      </w:r>
      <w:r w:rsidR="00FC057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)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сформирован единый массив данных – планов-графиков по каждому ФОИВ, который учитывает динамику регистрации прав за период с 20 августа 2015</w:t>
      </w:r>
      <w:r w:rsidR="00FC057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года.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Согласно планам-графикам на 24 мая 2022 года: 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общее количество объектов, учтенных на балансе ФОИВ и их подведомственных правообладателей, а также объектов государственной казны Российской Федерации составляет 1 227 189 объектов, в том числе 509 382 земельных участков;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зарегистрировано право собственности Российской Федерации, включая объекты государственной казны Российской Федерации, на 1 022 515 объектов (8</w:t>
      </w:r>
      <w:r w:rsidR="0016283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</w:t>
      </w:r>
      <w:r w:rsidR="0016283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</w:t>
      </w:r>
      <w:r w:rsidR="005D004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%), в том числе 502 409 земельных участков (98,6</w:t>
      </w:r>
      <w:r w:rsidR="005D004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%);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регистрация права собственности Российской Федерации требуется на 204</w:t>
      </w:r>
      <w:r w:rsidR="00A21AF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674</w:t>
      </w:r>
      <w:r w:rsidR="00A21AF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D94D4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объектов (16,7</w:t>
      </w:r>
      <w:r w:rsidR="005D004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%), в том числе </w:t>
      </w:r>
      <w:r w:rsidR="000800BF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на 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6 973земельных участков (1,</w:t>
      </w:r>
      <w:r w:rsidR="00D94D4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4</w:t>
      </w:r>
      <w:r w:rsidR="005D004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%).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При этом на дату выхода </w:t>
      </w:r>
      <w:r w:rsidR="00FC057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оручения № ДМ-П13-5943 в РФИ имелись сведения в отношении 1 134 316 объектов недвижимого имущества, из них 149 884 земельных участков, регистрация права собственности Российской Федерации была отражена в отношении 603 539 объектов (53,2</w:t>
      </w:r>
      <w:r w:rsidR="00F2017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%), из них 10 561 земельных участков (7</w:t>
      </w:r>
      <w:r w:rsidR="00F2017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%).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Таким образом, количество объектов, на которые зарегистрировано право собственности Российской Федерации, от общего количества объектов, сведения о которых содержались в РФИ за период с 20 августа 2015 года по 26</w:t>
      </w:r>
      <w:r w:rsidR="006B725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мая 2022 года</w:t>
      </w:r>
      <w:r w:rsidR="003A704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возросло в процентном выражении с 53,2</w:t>
      </w:r>
      <w:r w:rsidR="00F2017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% до 8</w:t>
      </w:r>
      <w:r w:rsidR="00F2017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</w:t>
      </w:r>
      <w:r w:rsidR="00F2017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%, в том числе по земельным участкам с 7</w:t>
      </w:r>
      <w:r w:rsidR="00F2017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% до 98,6</w:t>
      </w:r>
      <w:r w:rsidR="00F2017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%.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Снижение темпов проводимых ФОИВ мероприятий по оформлению прав собственности Российской Федерации </w:t>
      </w:r>
      <w:r w:rsidR="00FC057D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Росимуществом 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объясняется следующим: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необходимостью проведения кадастровых работ в отношении части объектов федерального недвижимого имущества, получения разрешительной и иной документации на проведение этих работ;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– необходимостью снятия судебных запретов на проведение регистрационных мероприятий, признания права собственности в судебном порядке.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При этом, исходя </w:t>
      </w:r>
      <w:r w:rsidR="003A704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из 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проекта доклада, ряд ФОИВ не отразили по состоянию на 24 мая 2022 года в полном объеме результаты организованной работы по регистрации прав в Модуле МВ-Портал</w:t>
      </w:r>
      <w:r w:rsidR="003A704D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(Минобороны России, Минобрнауки России, Минкультуры России, Минспорта России, Роспотребнадзор, Росморречфлот, Росжелдор).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 необходимости своевременного формирования и утверждения планов-графиков государственной регистрации права собственности Российской Федерации и иных прав на объекты недвижимого имущества посредством </w:t>
      </w:r>
      <w:r w:rsidR="006B725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Модуля </w:t>
      </w:r>
      <w:r w:rsidR="006B7253" w:rsidRPr="00754B2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МВ-Портала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первом полугодии 2022 года Росимущество уведомляло ФОИВ письмами от 22 марта 2022 г. № ИП-18/11185</w:t>
      </w:r>
      <w:r w:rsidR="006B725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и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от 23 мая 2022 г. № ИП-18/22971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vertAlign w:val="superscript"/>
          <w:lang w:eastAsia="ru-RU"/>
        </w:rPr>
        <w:footnoteReference w:id="1"/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 вопросу утверждения соответствующих планов-графиков в Модуле</w:t>
      </w:r>
      <w:r w:rsidR="00754B22" w:rsidRPr="00754B22">
        <w:rPr>
          <w:bCs/>
          <w:sz w:val="28"/>
          <w:szCs w:val="20"/>
        </w:rPr>
        <w:t xml:space="preserve"> </w:t>
      </w:r>
      <w:r w:rsidR="00754B22" w:rsidRPr="00754B2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МВ-Портала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Росжелдор отчитался письмом от 23 июня 2022 г. № ВЛ-25/6385-ис, Росморречфлот – письмом от 8 июня 2022 г. № ЗД-24/7165, Минобороны России – письмом от 25 мая 2022 г. № 141/17867дсп. Сведения о наличии ответов от Роспотребнадзора, Минобрнауки России и Минспорта России в связанных документах СЭДО Росимущества отсутствуют.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Минкультуры России письмом от 26 мая 2022 г. № 1131-01-2 уведомило, что планы-графики Минкультуры России в Модуле </w:t>
      </w:r>
      <w:r w:rsidR="00754B22" w:rsidRPr="00754B2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МВ-Портала 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не могут быть размещены и утверждены в связи с отсутствием в Модуле</w:t>
      </w:r>
      <w:r w:rsidR="00754B22" w:rsidRPr="00754B22">
        <w:rPr>
          <w:bCs/>
          <w:sz w:val="28"/>
          <w:szCs w:val="20"/>
        </w:rPr>
        <w:t xml:space="preserve"> </w:t>
      </w:r>
      <w:r w:rsidR="00754B22" w:rsidRPr="00754B2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МВ-Портала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ряда подведомственных Минкультуры России учреждений или их неактуальным наименованием, о чем Росимущество было уведомлено письмом от 6 апреля 2022 г. № 732-01-2, и по состоянию на 26 мая 2022 года указанные препятствия к формированию плана-графика устранены не были</w:t>
      </w:r>
      <w:r w:rsidR="00F5255D">
        <w:rPr>
          <w:rStyle w:val="a5"/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footnoteReference w:id="2"/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333904" w:rsidRPr="00333904" w:rsidRDefault="00333904" w:rsidP="00723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 xml:space="preserve">Поручение </w:t>
      </w:r>
      <w:r w:rsidR="00EB1506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Заместител</w:t>
      </w:r>
      <w:r w:rsidR="00EB150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я</w:t>
      </w:r>
      <w:r w:rsidR="00EB1506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Председателя Правительства Российской Федерации М.Ш. Хуснуллин</w:t>
      </w:r>
      <w:r w:rsidR="00EB150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</w:t>
      </w:r>
      <w:r w:rsidR="00EB1506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от 12 августа 2021 г. № МХ-П13-10969 (далее – Поручение № МХ-П13-10969) </w:t>
      </w:r>
      <w:r w:rsidR="00723A9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предусматривало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: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</w:t>
      </w:r>
      <w:r w:rsidR="00EB150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ФОИВ (по списку 70 ФОИВ, в </w:t>
      </w:r>
      <w:proofErr w:type="spellStart"/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т.ч</w:t>
      </w:r>
      <w:proofErr w:type="spellEnd"/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 Росимуществ</w:t>
      </w:r>
      <w:r w:rsidR="00EB150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) разработать ведомственные планы мероприятий (</w:t>
      </w:r>
      <w:r w:rsidR="006B725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«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дорожные карты</w:t>
      </w:r>
      <w:r w:rsidR="006B725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»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) по устранению причин, препятствующих завершению регистрации прав в отношении федерального недвижимого имущества, и представить их в Росимущество для дальнейшего мониторинга исполнения в срок до 27 августа 2021 года;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</w:t>
      </w:r>
      <w:r w:rsidR="00EB150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Росимуществу проинформировать Правительство Российской Федерации об итогах разработки ФОИВ соответствующих ведомственных планов (</w:t>
      </w:r>
      <w:r w:rsidR="006B725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«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дорожных карт</w:t>
      </w:r>
      <w:r w:rsidR="006B725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»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) в срок до 3 сентября 2021 года.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Письмом от</w:t>
      </w:r>
      <w:r w:rsidR="006B725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 сентября 2021</w:t>
      </w:r>
      <w:r w:rsidR="006B725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г. №</w:t>
      </w:r>
      <w:r w:rsidR="006B725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МИ-18/29210 Росимущество представило в Правительство Российской Федерации сводную информацию в табличном виде об исполнении ФОИВ пункта 2 Поручения № МХ-П13-10969. Согласно приложенным материалам</w:t>
      </w:r>
      <w:r w:rsidR="001C2F28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из 70 ФОИВ не представили позиции по разработке ведомственных планов мероприятий (</w:t>
      </w:r>
      <w:r w:rsidR="006B725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«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дорожных карт</w:t>
      </w:r>
      <w:r w:rsidR="006B725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»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) Минтранс России, </w:t>
      </w:r>
      <w:proofErr w:type="spellStart"/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Росморречфлот</w:t>
      </w:r>
      <w:proofErr w:type="spellEnd"/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, </w:t>
      </w:r>
      <w:proofErr w:type="spellStart"/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Роскомнадзор</w:t>
      </w:r>
      <w:proofErr w:type="spellEnd"/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также отсутствовала информация по самому Росимуществу. Кроме того, лишь 49 ведомств отразили информацию о разработке соответствующих дорожных карт, включающих суммарно 12 012 объектов.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Росимуществом представлена информация, что «до 27 августа 2021 года Росимуществом во исполнение поручения Правительства Российской Федерации от 12 августа 2021 г. № МХ-П13-10969 был сформирован ведомственный план (</w:t>
      </w:r>
      <w:r w:rsidR="006B725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«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дорожная карта</w:t>
      </w:r>
      <w:r w:rsidR="006B725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»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) по 118 объектам недвижимости. В настоящее время ведомственный план (дорожная карта) Росимущества составляет 50 объектов недвижимого имущества». Соответствующие распорядительные документы об утверждении и сам ведомственный план </w:t>
      </w:r>
      <w:r w:rsidRPr="00333904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>не представлены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Согласно письму Аппарата Правительства Российской Федерации от 18 ноября 2021 г. № П13-81944 </w:t>
      </w:r>
      <w:r w:rsidR="006B725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оручения № МХ-П13-8342 и № МХ-П13-10969 сняты с контроля, </w:t>
      </w:r>
      <w:r w:rsidR="006B7253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а 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дальнейшая работа по мониторингу исполнения и актуализации </w:t>
      </w:r>
      <w:r w:rsidR="00427A7E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ФОИВ 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ведомственных планов мероприятий (дорожных карт) по устранению причин, препятствующих завершению регистрации прав в отношении федерального недвижимого имущества, будет продолжена Росимуществом совместно с заинтересованными </w:t>
      </w:r>
      <w:r w:rsidR="00DF23F1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ФОИВ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рамках исполнения поручения Правительства Российской Федерации от 2 ноября 2021 г. № МХ-П13-15657</w:t>
      </w:r>
      <w:r w:rsidR="00DF23F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DF23F1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(далее – Поручение № МХ-П13-15657)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333904" w:rsidRPr="00333904" w:rsidRDefault="00DF23F1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Согласно 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Поручени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ю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МХ-П13-15657) Росимуществ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обязано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 срок до 15 ноября 2021 года обеспечить мониторинг исполнения и актуализации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ФОИВ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ведомственных планов мероприятий (</w:t>
      </w:r>
      <w:r w:rsidR="00EB150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«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дорожных карт</w:t>
      </w:r>
      <w:r w:rsidR="00EB150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»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) по устранению причин, препятствующих завершению регистрации прав в отношении федерального недвижимого имущества, и ежеквартально докладывать в Правительство Российской Федерации о результатах их исполнения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связи с чем 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Росимуществом направлены доклады в 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Правительство Российской Федерации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от 11</w:t>
      </w:r>
      <w:r w:rsidR="00EB1506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февраля 2022 г. № ВЯ-18/5177, 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12 мая 2022 г. № ВЯ-18/20972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и 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от 9 августа 2022 г. №</w:t>
      </w:r>
      <w:r w:rsidR="00723A9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ВЯ-18/35943.</w:t>
      </w:r>
    </w:p>
    <w:p w:rsidR="00333904" w:rsidRDefault="00DF23F1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</w:t>
      </w:r>
      <w:r w:rsidR="00AF553C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орм</w:t>
      </w:r>
      <w:r w:rsidR="00AF553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а</w:t>
      </w:r>
      <w:r w:rsidR="00AF553C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AF553C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 состав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содержания 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доклада Росимущества в Правительство Российской Федерации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рамках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Поручени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я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№ МХ-П13-15657 не установлен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ы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в результате доклад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ы Росимущества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представля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ю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т собой описательн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ую 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обобщенн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ую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статистик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у с приложением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таблиц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ы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с количеством объектов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, включенных 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 ведомственны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е планы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(«дорожны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е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ы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разрезе </w:t>
      </w:r>
      <w:r w:rsidR="00333904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ФОИВ.</w:t>
      </w:r>
    </w:p>
    <w:p w:rsidR="00B82B52" w:rsidRPr="00333904" w:rsidRDefault="00B82B52" w:rsidP="00B82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Д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оклад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ы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Росимущества в Правительство Российской Федерации не позволя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ю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т сделать вывод о количестве объектов с проблемами, препятствующими завершению регистрации прав, в разрезе вида прав (право собственности Российской Федерации или иное вещное право), вида объектов (земельные участки, здания, помещения, сооружения), а также о площадных характеристиках объектов, статистике причин не регистрации прав.</w:t>
      </w:r>
    </w:p>
    <w:p w:rsidR="00B82B52" w:rsidRPr="00333904" w:rsidRDefault="00B82B52" w:rsidP="00B82B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Кроме того, доклады Росимущества не содержат информации о ведомственном плане («дорожной карте»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)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самого Росимущества и не содержат сведений о несвоевременном исполнении ведомственных планов (дорожных карт), а также о статистике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их 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исполнения по каждому ФОИВ.</w:t>
      </w:r>
    </w:p>
    <w:p w:rsidR="00333904" w:rsidRPr="00333904" w:rsidRDefault="00333904" w:rsidP="0033390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Обобщенные сведения докладов </w:t>
      </w:r>
      <w:r w:rsidR="00DF23F1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Росимущества 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приведены в таблице:</w:t>
      </w:r>
    </w:p>
    <w:tbl>
      <w:tblPr>
        <w:tblStyle w:val="122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11"/>
        <w:gridCol w:w="1483"/>
        <w:gridCol w:w="1570"/>
        <w:gridCol w:w="1549"/>
        <w:gridCol w:w="1549"/>
        <w:gridCol w:w="1549"/>
      </w:tblGrid>
      <w:tr w:rsidR="00333904" w:rsidRPr="00333904" w:rsidTr="00073ECD">
        <w:trPr>
          <w:tblHeader/>
          <w:jc w:val="center"/>
        </w:trPr>
        <w:tc>
          <w:tcPr>
            <w:tcW w:w="1729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333904"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  <w:t>Доклад</w:t>
            </w:r>
          </w:p>
        </w:tc>
        <w:tc>
          <w:tcPr>
            <w:tcW w:w="153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333904"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  <w:t>от 2 сентября 2021 г. № МИ-18/29210*</w:t>
            </w:r>
          </w:p>
        </w:tc>
        <w:tc>
          <w:tcPr>
            <w:tcW w:w="1625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333904"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  <w:t>от 12 ноября 2021 г. № ВЯ-18/38446</w:t>
            </w:r>
          </w:p>
        </w:tc>
        <w:tc>
          <w:tcPr>
            <w:tcW w:w="160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333904"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  <w:t>от 11 февраля 2022 г. № ВЯ-18/5177</w:t>
            </w:r>
          </w:p>
        </w:tc>
        <w:tc>
          <w:tcPr>
            <w:tcW w:w="160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333904"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  <w:t>от 12 мая 2022 г. № ВЯ-18/20972</w:t>
            </w:r>
          </w:p>
        </w:tc>
        <w:tc>
          <w:tcPr>
            <w:tcW w:w="1603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333904"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  <w:t>от 9 августа 2022 г. № ВЯ-18/35943</w:t>
            </w:r>
          </w:p>
        </w:tc>
      </w:tr>
      <w:tr w:rsidR="00333904" w:rsidRPr="00333904" w:rsidTr="00073ECD">
        <w:trPr>
          <w:jc w:val="center"/>
        </w:trPr>
        <w:tc>
          <w:tcPr>
            <w:tcW w:w="1729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333904"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  <w:t>Дата актуальности</w:t>
            </w:r>
          </w:p>
        </w:tc>
        <w:tc>
          <w:tcPr>
            <w:tcW w:w="153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333904"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  <w:t>02.09.2021</w:t>
            </w:r>
          </w:p>
        </w:tc>
        <w:tc>
          <w:tcPr>
            <w:tcW w:w="1625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333904"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  <w:t>11.11.2021</w:t>
            </w:r>
          </w:p>
        </w:tc>
        <w:tc>
          <w:tcPr>
            <w:tcW w:w="160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333904"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  <w:t>07.02.2022</w:t>
            </w:r>
          </w:p>
        </w:tc>
        <w:tc>
          <w:tcPr>
            <w:tcW w:w="160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333904"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  <w:t>12.05.2022</w:t>
            </w:r>
          </w:p>
        </w:tc>
        <w:tc>
          <w:tcPr>
            <w:tcW w:w="1603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333904">
              <w:rPr>
                <w:rFonts w:eastAsia="Times New Roman"/>
                <w:b/>
                <w:bCs/>
                <w:snapToGrid w:val="0"/>
                <w:sz w:val="16"/>
                <w:szCs w:val="16"/>
                <w:lang w:eastAsia="ru-RU"/>
              </w:rPr>
              <w:t>08.08.2022</w:t>
            </w:r>
          </w:p>
        </w:tc>
      </w:tr>
      <w:tr w:rsidR="00333904" w:rsidRPr="00333904" w:rsidTr="00073ECD">
        <w:trPr>
          <w:jc w:val="center"/>
        </w:trPr>
        <w:tc>
          <w:tcPr>
            <w:tcW w:w="1729" w:type="dxa"/>
            <w:vAlign w:val="center"/>
          </w:tcPr>
          <w:p w:rsidR="00333904" w:rsidRPr="00333904" w:rsidRDefault="00333904" w:rsidP="00333904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Количество объектов, включенных в ведомственные планы</w:t>
            </w:r>
          </w:p>
        </w:tc>
        <w:tc>
          <w:tcPr>
            <w:tcW w:w="153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12 012</w:t>
            </w:r>
          </w:p>
        </w:tc>
        <w:tc>
          <w:tcPr>
            <w:tcW w:w="1625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72 206</w:t>
            </w:r>
          </w:p>
        </w:tc>
        <w:tc>
          <w:tcPr>
            <w:tcW w:w="160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71 457</w:t>
            </w:r>
          </w:p>
        </w:tc>
        <w:tc>
          <w:tcPr>
            <w:tcW w:w="160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71 456</w:t>
            </w:r>
          </w:p>
        </w:tc>
        <w:tc>
          <w:tcPr>
            <w:tcW w:w="1603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71 077</w:t>
            </w:r>
          </w:p>
        </w:tc>
      </w:tr>
      <w:tr w:rsidR="00333904" w:rsidRPr="00333904" w:rsidTr="00073ECD">
        <w:trPr>
          <w:jc w:val="center"/>
        </w:trPr>
        <w:tc>
          <w:tcPr>
            <w:tcW w:w="1729" w:type="dxa"/>
            <w:vAlign w:val="center"/>
          </w:tcPr>
          <w:p w:rsidR="00333904" w:rsidRPr="00333904" w:rsidRDefault="00333904" w:rsidP="00333904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Количество ФОИВ, разработавших ведомственные планы</w:t>
            </w:r>
          </w:p>
        </w:tc>
        <w:tc>
          <w:tcPr>
            <w:tcW w:w="153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625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0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0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603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55</w:t>
            </w:r>
          </w:p>
        </w:tc>
      </w:tr>
      <w:tr w:rsidR="00333904" w:rsidRPr="00333904" w:rsidTr="00073ECD">
        <w:trPr>
          <w:jc w:val="center"/>
        </w:trPr>
        <w:tc>
          <w:tcPr>
            <w:tcW w:w="1729" w:type="dxa"/>
          </w:tcPr>
          <w:p w:rsidR="00333904" w:rsidRPr="00333904" w:rsidRDefault="00333904" w:rsidP="00333904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зарегистрированы права РФ</w:t>
            </w:r>
          </w:p>
        </w:tc>
        <w:tc>
          <w:tcPr>
            <w:tcW w:w="153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5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6 124</w:t>
            </w:r>
          </w:p>
        </w:tc>
        <w:tc>
          <w:tcPr>
            <w:tcW w:w="160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6 494</w:t>
            </w:r>
          </w:p>
        </w:tc>
        <w:tc>
          <w:tcPr>
            <w:tcW w:w="160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6 503</w:t>
            </w:r>
          </w:p>
        </w:tc>
        <w:tc>
          <w:tcPr>
            <w:tcW w:w="1603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7 257</w:t>
            </w:r>
          </w:p>
        </w:tc>
      </w:tr>
      <w:tr w:rsidR="00333904" w:rsidRPr="00333904" w:rsidTr="00073ECD">
        <w:trPr>
          <w:jc w:val="center"/>
        </w:trPr>
        <w:tc>
          <w:tcPr>
            <w:tcW w:w="1729" w:type="dxa"/>
          </w:tcPr>
          <w:p w:rsidR="00333904" w:rsidRPr="00333904" w:rsidRDefault="00333904" w:rsidP="00333904">
            <w:pPr>
              <w:ind w:firstLine="0"/>
              <w:jc w:val="both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зарегистрированы иные вещные права</w:t>
            </w:r>
          </w:p>
        </w:tc>
        <w:tc>
          <w:tcPr>
            <w:tcW w:w="153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25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3 194</w:t>
            </w:r>
          </w:p>
        </w:tc>
        <w:tc>
          <w:tcPr>
            <w:tcW w:w="160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3 681</w:t>
            </w:r>
          </w:p>
        </w:tc>
        <w:tc>
          <w:tcPr>
            <w:tcW w:w="1602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3 692</w:t>
            </w:r>
          </w:p>
        </w:tc>
        <w:tc>
          <w:tcPr>
            <w:tcW w:w="1603" w:type="dxa"/>
            <w:vAlign w:val="center"/>
          </w:tcPr>
          <w:p w:rsidR="00333904" w:rsidRPr="00333904" w:rsidRDefault="00333904" w:rsidP="00333904">
            <w:pPr>
              <w:ind w:firstLine="0"/>
              <w:jc w:val="center"/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</w:pPr>
            <w:r w:rsidRPr="00333904">
              <w:rPr>
                <w:rFonts w:eastAsia="Times New Roman"/>
                <w:bCs/>
                <w:snapToGrid w:val="0"/>
                <w:sz w:val="18"/>
                <w:szCs w:val="18"/>
                <w:lang w:eastAsia="ru-RU"/>
              </w:rPr>
              <w:t>4 151</w:t>
            </w:r>
          </w:p>
        </w:tc>
      </w:tr>
    </w:tbl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* приведено справочно</w:t>
      </w:r>
      <w:r w:rsidR="004504BE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 xml:space="preserve"> </w:t>
      </w:r>
      <w:r w:rsidRPr="00333904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- доклад в рамках исполнения Поручения № МХ-П13-10969 (для сопоставимой статистики).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Таким образом, по состоянию на 8 августа 2022 года по 55 ФОИВ в ведомственные планы (</w:t>
      </w:r>
      <w:r w:rsidR="00B82B5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«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дорожные карты</w:t>
      </w:r>
      <w:r w:rsidR="00B82B5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»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) включены 71 077 объектов с проблемами в регистрации прав Российской Федерации. При этом существующие объемы регистрации, исходя из указанной информации, например, с 11 ноября 2021 года по 7 февраля 2022 года – 370 объектов (прим. 6 494-6 124= 370), с 7 февраля по 12 мая 2022 года – 9 объектов (прим. 6 503-6 494=9), с 12 мая по 8 августа 2022 года – 754 объекта (прим. 7 257-6 503= 754), расчетно </w:t>
      </w:r>
      <w:r w:rsidR="00375289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позвол</w:t>
      </w:r>
      <w:r w:rsidR="0037528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я</w:t>
      </w:r>
      <w:r w:rsidR="00375289"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т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реализовать все ведомственные планы («дорожные карты») за 4</w:t>
      </w:r>
      <w:r w:rsidR="0037528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7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лет (прим. 71 077/((370+9+754)*4/3)=4</w:t>
      </w:r>
      <w:r w:rsidR="0037528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7</w:t>
      </w:r>
      <w:r w:rsidRPr="00333904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).</w:t>
      </w:r>
    </w:p>
    <w:p w:rsidR="00C07D75" w:rsidRPr="00B90FC2" w:rsidRDefault="00375289" w:rsidP="00C07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7528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Согласно проектам доклада Президенту Российской Федерации по выполнению подпункта «н» пункта 1 Поручения № Пр-1659, </w:t>
      </w:r>
      <w:r w:rsidRPr="0037528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подготовленным Минфином России, проекту доклада в Правительство Российской Федерации по выполнению Поручений № ДМ-П13-5943 и № ИШ-П13-3789, подготовленному Росимуществом, имеется следующая динамика по регистрации прав на федеральное недвижимое имущество</w:t>
      </w:r>
      <w:r w:rsidR="00C07D75" w:rsidRPr="00B90FC2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:</w:t>
      </w:r>
    </w:p>
    <w:p w:rsidR="00C07D75" w:rsidRPr="00B90FC2" w:rsidRDefault="00C07D75" w:rsidP="00C07D7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90FC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участков, ед.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4"/>
        <w:gridCol w:w="1566"/>
        <w:gridCol w:w="1188"/>
        <w:gridCol w:w="890"/>
        <w:gridCol w:w="988"/>
        <w:gridCol w:w="1176"/>
        <w:gridCol w:w="1419"/>
      </w:tblGrid>
      <w:tr w:rsidR="00C07D75" w:rsidRPr="00B90FC2" w:rsidTr="00375289">
        <w:trPr>
          <w:trHeight w:val="342"/>
          <w:tblHeader/>
        </w:trPr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Показатель</w:t>
            </w:r>
          </w:p>
        </w:tc>
        <w:tc>
          <w:tcPr>
            <w:tcW w:w="24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Данные докладов Минфина России</w:t>
            </w:r>
          </w:p>
        </w:tc>
        <w:tc>
          <w:tcPr>
            <w:tcW w:w="13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Данные Росимущества</w:t>
            </w:r>
          </w:p>
        </w:tc>
      </w:tr>
      <w:tr w:rsidR="00375289" w:rsidRPr="00B90FC2" w:rsidTr="00375289">
        <w:trPr>
          <w:trHeight w:val="1483"/>
          <w:tblHeader/>
        </w:trPr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289" w:rsidRPr="00B90FC2" w:rsidRDefault="00375289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</w:p>
        </w:tc>
        <w:tc>
          <w:tcPr>
            <w:tcW w:w="14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89" w:rsidRPr="00B90FC2" w:rsidRDefault="00375289" w:rsidP="00375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375289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Проект доклада Президенту Российской Федерации от 11.12.2020 № 01-02-02/28-108892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289" w:rsidRPr="00B90FC2" w:rsidRDefault="00375289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Проект доклада Президенту Российской Федерации от 07.12.2021 № 01-02-02/28-99197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89" w:rsidRPr="00B90FC2" w:rsidRDefault="00375289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Проект доклада в Правительство Российской Федерации от 26.05.2022 № ИП-18/23714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89" w:rsidRPr="00B90FC2" w:rsidRDefault="00375289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16"/>
                <w:lang w:eastAsia="ru-RU"/>
              </w:rPr>
              <w:t>Выгрузка земельных участков из РФИ в рамках проверки по пункту 3.2.3.2 и 3.2.3.2.5 Плана работы на 2022 год</w:t>
            </w:r>
          </w:p>
        </w:tc>
      </w:tr>
      <w:tr w:rsidR="00C07D75" w:rsidRPr="00B90FC2" w:rsidTr="00375289">
        <w:trPr>
          <w:trHeight w:val="20"/>
          <w:tblHeader/>
        </w:trPr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t>29.08.2015</w:t>
            </w:r>
            <w:r w:rsidR="00375289">
              <w:rPr>
                <w:rStyle w:val="a5"/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footnoteReference w:id="3"/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t>09.12.2020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t>18.05.2021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t>01.12.2021*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t>24.05.2022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/>
                <w:bCs/>
                <w:snapToGrid w:val="0"/>
                <w:sz w:val="18"/>
                <w:szCs w:val="18"/>
                <w:lang w:eastAsia="ru-RU"/>
              </w:rPr>
              <w:t>08.08.2022</w:t>
            </w:r>
          </w:p>
        </w:tc>
      </w:tr>
      <w:tr w:rsidR="00C07D75" w:rsidRPr="00B90FC2" w:rsidTr="00375289">
        <w:trPr>
          <w:trHeight w:val="2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Всего в РФИ объектов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1 134 316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1 020 189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1 286 474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1 286 474*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1 227 189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не анализировалось</w:t>
            </w:r>
          </w:p>
        </w:tc>
      </w:tr>
      <w:tr w:rsidR="00C07D75" w:rsidRPr="00B90FC2" w:rsidTr="00375289">
        <w:trPr>
          <w:trHeight w:val="2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т.ч</w:t>
            </w:r>
            <w:proofErr w:type="spellEnd"/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. ЗУ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149 884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464 735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473 648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473 648*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509 382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556 999**</w:t>
            </w:r>
          </w:p>
        </w:tc>
      </w:tr>
      <w:tr w:rsidR="00C07D75" w:rsidRPr="00B90FC2" w:rsidTr="00375289">
        <w:trPr>
          <w:trHeight w:val="2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Зарегистрировано право собственности Российской Федерации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603 539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894 572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1 017 097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1 085 972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1 022 515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не анализировалось</w:t>
            </w:r>
          </w:p>
        </w:tc>
      </w:tr>
      <w:tr w:rsidR="00C07D75" w:rsidRPr="00B90FC2" w:rsidTr="00375289">
        <w:trPr>
          <w:trHeight w:val="2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т.ч</w:t>
            </w:r>
            <w:proofErr w:type="spellEnd"/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. ЗУ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10 561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457 946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462 604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466 599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502 409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546 683</w:t>
            </w:r>
          </w:p>
        </w:tc>
      </w:tr>
      <w:tr w:rsidR="00C07D75" w:rsidRPr="00B90FC2" w:rsidTr="00375289">
        <w:trPr>
          <w:trHeight w:val="2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Регистрация права собственности Российской Федерации требуется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530 777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125 617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269 377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200 502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204 674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не анализировалось</w:t>
            </w:r>
          </w:p>
        </w:tc>
      </w:tr>
      <w:tr w:rsidR="00C07D75" w:rsidRPr="00B90FC2" w:rsidTr="00375289">
        <w:trPr>
          <w:trHeight w:val="2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% от общего количества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46,8%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12,3%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20,9%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15,6%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16,7%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-</w:t>
            </w:r>
          </w:p>
        </w:tc>
      </w:tr>
      <w:tr w:rsidR="00C07D75" w:rsidRPr="00B90FC2" w:rsidTr="00375289">
        <w:trPr>
          <w:trHeight w:val="2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т.ч</w:t>
            </w:r>
            <w:proofErr w:type="spellEnd"/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. ЗУ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139 323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6 789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11 044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7 049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6 973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10 316</w:t>
            </w:r>
          </w:p>
        </w:tc>
      </w:tr>
      <w:tr w:rsidR="00C07D75" w:rsidRPr="00B90FC2" w:rsidTr="00375289">
        <w:trPr>
          <w:trHeight w:val="2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% от общего количества ЗУ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93,0%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1,5%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2,3%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1,5%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1,4%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5" w:rsidRPr="00B90FC2" w:rsidRDefault="00C07D75" w:rsidP="00D31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</w:pPr>
            <w:r w:rsidRPr="00B90FC2">
              <w:rPr>
                <w:rFonts w:ascii="Times New Roman" w:eastAsia="Times New Roman" w:hAnsi="Times New Roman" w:cs="Times New Roman"/>
                <w:bCs/>
                <w:snapToGrid w:val="0"/>
                <w:sz w:val="18"/>
                <w:szCs w:val="18"/>
                <w:lang w:eastAsia="ru-RU"/>
              </w:rPr>
              <w:t>1,9%</w:t>
            </w:r>
          </w:p>
        </w:tc>
      </w:tr>
    </w:tbl>
    <w:p w:rsidR="00C07D75" w:rsidRPr="00B90FC2" w:rsidRDefault="00C07D75" w:rsidP="00C07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90FC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*В Проекте доклада Президенту Российской Федерации от 7 декабря 2021 г. № 01-02-02/28-99197 данные на 1 декабря 2021 года приведены в отношении объектов, учтенных в РФИ на 18 мая 2022 года. В отношении объектов, учтенных в период с 18 мая по 1 декабря 2022 года статистика не приведена.</w:t>
      </w:r>
    </w:p>
    <w:p w:rsidR="00C07D75" w:rsidRPr="00B90FC2" w:rsidRDefault="00C07D75" w:rsidP="00C07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</w:pPr>
      <w:r w:rsidRPr="00B90FC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**555 887 участков, учет которых осуществляет Ро</w:t>
      </w:r>
      <w:r w:rsidR="00B82B5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симущество и ТО Росимущества (</w:t>
      </w:r>
      <w:r w:rsidRPr="00B90FC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1 112 участков, учет которых осуществляет УД Президента Российской Федерации</w:t>
      </w:r>
      <w:r w:rsidR="00B82B5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)</w:t>
      </w:r>
      <w:r w:rsidRPr="00B90FC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ru-RU"/>
        </w:rPr>
        <w:t>.</w:t>
      </w:r>
    </w:p>
    <w:p w:rsidR="00333904" w:rsidRPr="00333904" w:rsidRDefault="00333904" w:rsidP="00333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333904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>Мероприятия, проводимые уполномоченными органами по регистрации прав на земельные участки, а также реализация мер по обеспечению государственной регистрации права собственности Российской Федерации и иных вещных прав на объекты недвижимого имущества привели к положительно</w:t>
      </w:r>
      <w:r w:rsidR="004504BE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>й</w:t>
      </w:r>
      <w:r w:rsidRPr="00333904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 xml:space="preserve"> динамике по оформлению прав на земельные участки, предоставленные ФОИФ и подведомственным им организациям. Однако до настоящего времени соответствующая работа не завершена в полном объеме. Таким образом</w:t>
      </w:r>
      <w:r w:rsidR="0047771B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>,</w:t>
      </w:r>
      <w:r w:rsidRPr="00333904">
        <w:rPr>
          <w:rFonts w:ascii="Times New Roman" w:eastAsia="Times New Roman" w:hAnsi="Times New Roman" w:cs="Times New Roman"/>
          <w:bCs/>
          <w:i/>
          <w:snapToGrid w:val="0"/>
          <w:sz w:val="28"/>
          <w:szCs w:val="28"/>
          <w:lang w:eastAsia="ru-RU"/>
        </w:rPr>
        <w:t xml:space="preserve"> представляется целесообразным продолжить мониторинг проведения соответствующих мероприятий ФОИВ.</w:t>
      </w:r>
    </w:p>
    <w:sectPr w:rsidR="00333904" w:rsidRPr="00333904" w:rsidSect="008B69E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D1" w:rsidRDefault="00376BD1" w:rsidP="00882378">
      <w:pPr>
        <w:spacing w:after="0" w:line="240" w:lineRule="auto"/>
      </w:pPr>
      <w:r>
        <w:separator/>
      </w:r>
    </w:p>
  </w:endnote>
  <w:endnote w:type="continuationSeparator" w:id="0">
    <w:p w:rsidR="00376BD1" w:rsidRDefault="00376BD1" w:rsidP="00882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D1" w:rsidRDefault="00376BD1" w:rsidP="00882378">
      <w:pPr>
        <w:spacing w:after="0" w:line="240" w:lineRule="auto"/>
      </w:pPr>
      <w:r>
        <w:separator/>
      </w:r>
    </w:p>
  </w:footnote>
  <w:footnote w:type="continuationSeparator" w:id="0">
    <w:p w:rsidR="00376BD1" w:rsidRDefault="00376BD1" w:rsidP="00882378">
      <w:pPr>
        <w:spacing w:after="0" w:line="240" w:lineRule="auto"/>
      </w:pPr>
      <w:r>
        <w:continuationSeparator/>
      </w:r>
    </w:p>
  </w:footnote>
  <w:footnote w:id="1">
    <w:p w:rsidR="00EB1506" w:rsidRDefault="00EB1506" w:rsidP="00C53FEA">
      <w:pPr>
        <w:pStyle w:val="a3"/>
        <w:ind w:firstLine="0"/>
      </w:pPr>
      <w:r>
        <w:rPr>
          <w:rStyle w:val="a5"/>
        </w:rPr>
        <w:footnoteRef/>
      </w:r>
      <w:r>
        <w:t xml:space="preserve"> </w:t>
      </w:r>
      <w:r w:rsidRPr="00471815">
        <w:t>Минобороны России, Минобрнауки России, Минкультуры России, Минспорт</w:t>
      </w:r>
      <w:r>
        <w:t xml:space="preserve"> </w:t>
      </w:r>
      <w:r w:rsidRPr="00471815">
        <w:t>России, Роспотребнадзор, Росморречфлот, Росжелдор</w:t>
      </w:r>
      <w:r>
        <w:t xml:space="preserve"> – не представившие своевременно соответствующие планы-графики.</w:t>
      </w:r>
    </w:p>
  </w:footnote>
  <w:footnote w:id="2">
    <w:p w:rsidR="00F5255D" w:rsidRDefault="00F5255D" w:rsidP="00F5255D">
      <w:pPr>
        <w:pStyle w:val="a3"/>
        <w:ind w:firstLine="0"/>
      </w:pPr>
      <w:r>
        <w:rPr>
          <w:rStyle w:val="a5"/>
        </w:rPr>
        <w:footnoteRef/>
      </w:r>
      <w:r>
        <w:t xml:space="preserve"> Письмом от </w:t>
      </w:r>
      <w:r w:rsidRPr="0006208D">
        <w:t>8</w:t>
      </w:r>
      <w:r>
        <w:t xml:space="preserve"> сентября </w:t>
      </w:r>
      <w:r w:rsidRPr="0006208D">
        <w:t>2022</w:t>
      </w:r>
      <w:r>
        <w:t> г.</w:t>
      </w:r>
      <w:r w:rsidRPr="0006208D">
        <w:t xml:space="preserve"> № ОМ-10/40330</w:t>
      </w:r>
      <w:r>
        <w:t xml:space="preserve"> Росимущество уведомило Счетную палату Российской Федерации, что по состоянию на 26 мая 2022 года указанные проблемы были сняты, о чем ответственные сотрудники Минкультуры России были уведомлены в рабочем порядке. Проверить данную информацию не представляется возможным.</w:t>
      </w:r>
    </w:p>
  </w:footnote>
  <w:footnote w:id="3">
    <w:p w:rsidR="00375289" w:rsidRDefault="00375289" w:rsidP="00375289">
      <w:pPr>
        <w:pStyle w:val="a3"/>
        <w:ind w:firstLine="0"/>
      </w:pPr>
      <w:r>
        <w:rPr>
          <w:rStyle w:val="a5"/>
        </w:rPr>
        <w:footnoteRef/>
      </w:r>
      <w:r>
        <w:t xml:space="preserve"> Соответствует дате</w:t>
      </w:r>
      <w:r w:rsidRPr="005501F7">
        <w:t xml:space="preserve"> Поручения Правительства Российской Федерации от 29.08.2015 № ДМ-П13-5943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7102556"/>
      <w:docPartObj>
        <w:docPartGallery w:val="Page Numbers (Top of Page)"/>
        <w:docPartUnique/>
      </w:docPartObj>
    </w:sdtPr>
    <w:sdtEndPr/>
    <w:sdtContent>
      <w:p w:rsidR="00EB1506" w:rsidRDefault="00EB150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925">
          <w:rPr>
            <w:noProof/>
          </w:rPr>
          <w:t>5</w:t>
        </w:r>
        <w:r>
          <w:fldChar w:fldCharType="end"/>
        </w:r>
      </w:p>
    </w:sdtContent>
  </w:sdt>
  <w:p w:rsidR="00EB1506" w:rsidRDefault="00EB150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A03F0"/>
    <w:multiLevelType w:val="multilevel"/>
    <w:tmpl w:val="BA90D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>
    <w:nsid w:val="6B6A201E"/>
    <w:multiLevelType w:val="hybridMultilevel"/>
    <w:tmpl w:val="A5C047FA"/>
    <w:lvl w:ilvl="0" w:tplc="13144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C5433A"/>
    <w:multiLevelType w:val="hybridMultilevel"/>
    <w:tmpl w:val="FA7ACDB0"/>
    <w:styleLink w:val="List061"/>
    <w:lvl w:ilvl="0" w:tplc="23F249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32"/>
    <w:rsid w:val="00003A8B"/>
    <w:rsid w:val="000106C7"/>
    <w:rsid w:val="00015284"/>
    <w:rsid w:val="00022290"/>
    <w:rsid w:val="000263B0"/>
    <w:rsid w:val="00026D12"/>
    <w:rsid w:val="00043A2D"/>
    <w:rsid w:val="000440A6"/>
    <w:rsid w:val="00053562"/>
    <w:rsid w:val="00057649"/>
    <w:rsid w:val="00073ECD"/>
    <w:rsid w:val="000800BF"/>
    <w:rsid w:val="00080CE9"/>
    <w:rsid w:val="00087408"/>
    <w:rsid w:val="000A0859"/>
    <w:rsid w:val="000A3812"/>
    <w:rsid w:val="000B1C62"/>
    <w:rsid w:val="000B32F7"/>
    <w:rsid w:val="000B334C"/>
    <w:rsid w:val="000E2E32"/>
    <w:rsid w:val="000E40AE"/>
    <w:rsid w:val="000F6557"/>
    <w:rsid w:val="0010407F"/>
    <w:rsid w:val="00106E7B"/>
    <w:rsid w:val="00112522"/>
    <w:rsid w:val="00134658"/>
    <w:rsid w:val="00161944"/>
    <w:rsid w:val="00161F66"/>
    <w:rsid w:val="00162833"/>
    <w:rsid w:val="0016316A"/>
    <w:rsid w:val="00167FFE"/>
    <w:rsid w:val="001C101D"/>
    <w:rsid w:val="001C2F28"/>
    <w:rsid w:val="001E6339"/>
    <w:rsid w:val="001E7095"/>
    <w:rsid w:val="001F6B5B"/>
    <w:rsid w:val="00200938"/>
    <w:rsid w:val="002052CD"/>
    <w:rsid w:val="00207BC6"/>
    <w:rsid w:val="00216CF5"/>
    <w:rsid w:val="002356AA"/>
    <w:rsid w:val="002401E2"/>
    <w:rsid w:val="00252DCF"/>
    <w:rsid w:val="00256B85"/>
    <w:rsid w:val="00291603"/>
    <w:rsid w:val="002A2E65"/>
    <w:rsid w:val="002A557E"/>
    <w:rsid w:val="002B7A33"/>
    <w:rsid w:val="002E5B35"/>
    <w:rsid w:val="002F0EC8"/>
    <w:rsid w:val="002F1435"/>
    <w:rsid w:val="003048EF"/>
    <w:rsid w:val="00330E02"/>
    <w:rsid w:val="00332774"/>
    <w:rsid w:val="00333904"/>
    <w:rsid w:val="00336C98"/>
    <w:rsid w:val="00361A5B"/>
    <w:rsid w:val="00362908"/>
    <w:rsid w:val="00375289"/>
    <w:rsid w:val="00376994"/>
    <w:rsid w:val="00376BD1"/>
    <w:rsid w:val="0037759D"/>
    <w:rsid w:val="0039125D"/>
    <w:rsid w:val="0039217E"/>
    <w:rsid w:val="003977C7"/>
    <w:rsid w:val="003A0EDC"/>
    <w:rsid w:val="003A704D"/>
    <w:rsid w:val="003B333E"/>
    <w:rsid w:val="003C6630"/>
    <w:rsid w:val="003D4DF9"/>
    <w:rsid w:val="003D596D"/>
    <w:rsid w:val="0040368D"/>
    <w:rsid w:val="004274E2"/>
    <w:rsid w:val="00427A7E"/>
    <w:rsid w:val="00427F50"/>
    <w:rsid w:val="00430628"/>
    <w:rsid w:val="004321B9"/>
    <w:rsid w:val="004331AE"/>
    <w:rsid w:val="0044400D"/>
    <w:rsid w:val="004504BE"/>
    <w:rsid w:val="00467BE7"/>
    <w:rsid w:val="00472603"/>
    <w:rsid w:val="0047771B"/>
    <w:rsid w:val="00481635"/>
    <w:rsid w:val="004C242E"/>
    <w:rsid w:val="004C5526"/>
    <w:rsid w:val="004E0D34"/>
    <w:rsid w:val="004E4E48"/>
    <w:rsid w:val="004F0440"/>
    <w:rsid w:val="00500B2E"/>
    <w:rsid w:val="0051586B"/>
    <w:rsid w:val="00515EFF"/>
    <w:rsid w:val="005241F3"/>
    <w:rsid w:val="00550D5C"/>
    <w:rsid w:val="00553F03"/>
    <w:rsid w:val="00592B47"/>
    <w:rsid w:val="00596434"/>
    <w:rsid w:val="005C4A65"/>
    <w:rsid w:val="005D0049"/>
    <w:rsid w:val="005E05B1"/>
    <w:rsid w:val="005E074B"/>
    <w:rsid w:val="005F6723"/>
    <w:rsid w:val="00602183"/>
    <w:rsid w:val="006069A3"/>
    <w:rsid w:val="006335DB"/>
    <w:rsid w:val="0063546A"/>
    <w:rsid w:val="0064019E"/>
    <w:rsid w:val="00640A7A"/>
    <w:rsid w:val="00642631"/>
    <w:rsid w:val="006436DD"/>
    <w:rsid w:val="00660AB3"/>
    <w:rsid w:val="00663A18"/>
    <w:rsid w:val="00670DD7"/>
    <w:rsid w:val="0067556D"/>
    <w:rsid w:val="00677C6A"/>
    <w:rsid w:val="00682FA3"/>
    <w:rsid w:val="00685704"/>
    <w:rsid w:val="006A1369"/>
    <w:rsid w:val="006A1815"/>
    <w:rsid w:val="006A22E0"/>
    <w:rsid w:val="006A32A0"/>
    <w:rsid w:val="006A7F4D"/>
    <w:rsid w:val="006B7253"/>
    <w:rsid w:val="006F5DDF"/>
    <w:rsid w:val="00721C08"/>
    <w:rsid w:val="00723A9C"/>
    <w:rsid w:val="00723AE4"/>
    <w:rsid w:val="0073146A"/>
    <w:rsid w:val="007333B7"/>
    <w:rsid w:val="00751914"/>
    <w:rsid w:val="00754B22"/>
    <w:rsid w:val="00755A14"/>
    <w:rsid w:val="0076584D"/>
    <w:rsid w:val="007678D6"/>
    <w:rsid w:val="00770C20"/>
    <w:rsid w:val="00771C49"/>
    <w:rsid w:val="007C17D9"/>
    <w:rsid w:val="007D2A07"/>
    <w:rsid w:val="007E07E7"/>
    <w:rsid w:val="007E75B8"/>
    <w:rsid w:val="007F06F5"/>
    <w:rsid w:val="008007EC"/>
    <w:rsid w:val="00802E1B"/>
    <w:rsid w:val="0082059E"/>
    <w:rsid w:val="008230C6"/>
    <w:rsid w:val="00827AB0"/>
    <w:rsid w:val="00831992"/>
    <w:rsid w:val="008375C3"/>
    <w:rsid w:val="00851DFC"/>
    <w:rsid w:val="00867E5F"/>
    <w:rsid w:val="00874F49"/>
    <w:rsid w:val="008760ED"/>
    <w:rsid w:val="00882378"/>
    <w:rsid w:val="00887AA2"/>
    <w:rsid w:val="008953FD"/>
    <w:rsid w:val="008B69E0"/>
    <w:rsid w:val="008B729F"/>
    <w:rsid w:val="008E06DA"/>
    <w:rsid w:val="008E25C1"/>
    <w:rsid w:val="00901F00"/>
    <w:rsid w:val="0090659A"/>
    <w:rsid w:val="00923458"/>
    <w:rsid w:val="0094043C"/>
    <w:rsid w:val="00941FB0"/>
    <w:rsid w:val="00953645"/>
    <w:rsid w:val="00955664"/>
    <w:rsid w:val="00964261"/>
    <w:rsid w:val="00982701"/>
    <w:rsid w:val="0098369F"/>
    <w:rsid w:val="009B5FD0"/>
    <w:rsid w:val="009C5630"/>
    <w:rsid w:val="009C6E3F"/>
    <w:rsid w:val="009E5379"/>
    <w:rsid w:val="009E55BF"/>
    <w:rsid w:val="00A0785A"/>
    <w:rsid w:val="00A10ABE"/>
    <w:rsid w:val="00A21AF8"/>
    <w:rsid w:val="00A25118"/>
    <w:rsid w:val="00A2709D"/>
    <w:rsid w:val="00A35111"/>
    <w:rsid w:val="00A36FAA"/>
    <w:rsid w:val="00A55BA9"/>
    <w:rsid w:val="00A7301B"/>
    <w:rsid w:val="00A80925"/>
    <w:rsid w:val="00A82C01"/>
    <w:rsid w:val="00AB064B"/>
    <w:rsid w:val="00AC3F3B"/>
    <w:rsid w:val="00AD2ABF"/>
    <w:rsid w:val="00AE6201"/>
    <w:rsid w:val="00AF553C"/>
    <w:rsid w:val="00B0319A"/>
    <w:rsid w:val="00B12A22"/>
    <w:rsid w:val="00B13626"/>
    <w:rsid w:val="00B2500C"/>
    <w:rsid w:val="00B25A49"/>
    <w:rsid w:val="00B36EA8"/>
    <w:rsid w:val="00B52605"/>
    <w:rsid w:val="00B61EE5"/>
    <w:rsid w:val="00B67132"/>
    <w:rsid w:val="00B769F8"/>
    <w:rsid w:val="00B82B52"/>
    <w:rsid w:val="00B871ED"/>
    <w:rsid w:val="00B90CDF"/>
    <w:rsid w:val="00B90FC2"/>
    <w:rsid w:val="00B95C37"/>
    <w:rsid w:val="00B96CC4"/>
    <w:rsid w:val="00BD01A0"/>
    <w:rsid w:val="00BD2787"/>
    <w:rsid w:val="00BD3855"/>
    <w:rsid w:val="00BD56D1"/>
    <w:rsid w:val="00BE7603"/>
    <w:rsid w:val="00BF4BDC"/>
    <w:rsid w:val="00C01F88"/>
    <w:rsid w:val="00C030AD"/>
    <w:rsid w:val="00C03168"/>
    <w:rsid w:val="00C03CF2"/>
    <w:rsid w:val="00C07D75"/>
    <w:rsid w:val="00C21FFD"/>
    <w:rsid w:val="00C447BD"/>
    <w:rsid w:val="00C44C7D"/>
    <w:rsid w:val="00C47A00"/>
    <w:rsid w:val="00C5230A"/>
    <w:rsid w:val="00C53FEA"/>
    <w:rsid w:val="00C7025C"/>
    <w:rsid w:val="00C7054C"/>
    <w:rsid w:val="00C73D41"/>
    <w:rsid w:val="00C779D9"/>
    <w:rsid w:val="00C84590"/>
    <w:rsid w:val="00C84C31"/>
    <w:rsid w:val="00C87205"/>
    <w:rsid w:val="00C87782"/>
    <w:rsid w:val="00CA7BD3"/>
    <w:rsid w:val="00CB7A55"/>
    <w:rsid w:val="00CC26F9"/>
    <w:rsid w:val="00CC7A9B"/>
    <w:rsid w:val="00CD6B2F"/>
    <w:rsid w:val="00CF165C"/>
    <w:rsid w:val="00D01909"/>
    <w:rsid w:val="00D109E3"/>
    <w:rsid w:val="00D11E0C"/>
    <w:rsid w:val="00D60CF1"/>
    <w:rsid w:val="00D6170C"/>
    <w:rsid w:val="00D74D91"/>
    <w:rsid w:val="00D936DE"/>
    <w:rsid w:val="00D94D4D"/>
    <w:rsid w:val="00DA3922"/>
    <w:rsid w:val="00DB5B6D"/>
    <w:rsid w:val="00DD0EB1"/>
    <w:rsid w:val="00DE51D8"/>
    <w:rsid w:val="00DF23F1"/>
    <w:rsid w:val="00DF7C84"/>
    <w:rsid w:val="00E15E42"/>
    <w:rsid w:val="00E16A18"/>
    <w:rsid w:val="00E20207"/>
    <w:rsid w:val="00E25FCB"/>
    <w:rsid w:val="00E5379B"/>
    <w:rsid w:val="00E62397"/>
    <w:rsid w:val="00E65E71"/>
    <w:rsid w:val="00E666F9"/>
    <w:rsid w:val="00E67FF4"/>
    <w:rsid w:val="00E818C7"/>
    <w:rsid w:val="00E8713A"/>
    <w:rsid w:val="00EA4104"/>
    <w:rsid w:val="00EA458C"/>
    <w:rsid w:val="00EB1506"/>
    <w:rsid w:val="00EC284B"/>
    <w:rsid w:val="00EE4818"/>
    <w:rsid w:val="00EF17C7"/>
    <w:rsid w:val="00EF6DBE"/>
    <w:rsid w:val="00F04EC4"/>
    <w:rsid w:val="00F20174"/>
    <w:rsid w:val="00F32F9C"/>
    <w:rsid w:val="00F464FD"/>
    <w:rsid w:val="00F5255D"/>
    <w:rsid w:val="00F61326"/>
    <w:rsid w:val="00F708FF"/>
    <w:rsid w:val="00F73585"/>
    <w:rsid w:val="00FA4ADB"/>
    <w:rsid w:val="00FB6DE8"/>
    <w:rsid w:val="00FB7ED9"/>
    <w:rsid w:val="00FC057D"/>
    <w:rsid w:val="00FC5748"/>
    <w:rsid w:val="00FD03E1"/>
    <w:rsid w:val="00FD4631"/>
    <w:rsid w:val="00FD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5E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61">
    <w:name w:val="List 061"/>
    <w:basedOn w:val="a2"/>
    <w:rsid w:val="002052CD"/>
    <w:pPr>
      <w:numPr>
        <w:numId w:val="2"/>
      </w:numPr>
    </w:pPr>
  </w:style>
  <w:style w:type="table" w:customStyle="1" w:styleId="121">
    <w:name w:val="Леша121"/>
    <w:basedOn w:val="a1"/>
    <w:next w:val="ab"/>
    <w:uiPriority w:val="39"/>
    <w:rsid w:val="00C87205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b"/>
    <w:uiPriority w:val="39"/>
    <w:rsid w:val="00F6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Леша122"/>
    <w:basedOn w:val="a1"/>
    <w:next w:val="ab"/>
    <w:uiPriority w:val="39"/>
    <w:rsid w:val="00333904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75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556D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7528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7528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7528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Oaeno niinee Ciae,Ciae Ciae,Oaeno niinee Ciae Ciae,Oaeno niinee Ciae1,Текст сноски Знак1 Знак,Текст сноски Знак Знак Знак,Текст сноски Знак Знак,Текст сноски Знак Знак Знак Знак Знак Знак Знак Знак,Текст сноски-FN,Текст сноски1 Знак, Знак,F"/>
    <w:basedOn w:val="a"/>
    <w:link w:val="a4"/>
    <w:uiPriority w:val="99"/>
    <w:unhideWhenUsed/>
    <w:qFormat/>
    <w:rsid w:val="008823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aliases w:val="Oaeno niinee Ciae Знак,Ciae Ciae Знак,Oaeno niinee Ciae Ciae Знак,Oaeno niinee Ciae1 Знак,Текст сноски Знак1 Знак Знак,Текст сноски Знак Знак Знак Знак,Текст сноски Знак Знак Знак1,Текст сноски-FN Знак,Текст сноски1 Знак Знак,F Знак"/>
    <w:basedOn w:val="a0"/>
    <w:link w:val="a3"/>
    <w:uiPriority w:val="99"/>
    <w:rsid w:val="0088237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Footnote Reference Superscript,fr,SUPERS"/>
    <w:uiPriority w:val="99"/>
    <w:unhideWhenUsed/>
    <w:qFormat/>
    <w:rsid w:val="00882378"/>
    <w:rPr>
      <w:vertAlign w:val="superscript"/>
    </w:rPr>
  </w:style>
  <w:style w:type="character" w:styleId="a6">
    <w:name w:val="Hyperlink"/>
    <w:basedOn w:val="a0"/>
    <w:uiPriority w:val="99"/>
    <w:unhideWhenUsed/>
    <w:rsid w:val="0088237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69E0"/>
  </w:style>
  <w:style w:type="paragraph" w:styleId="a9">
    <w:name w:val="footer"/>
    <w:basedOn w:val="a"/>
    <w:link w:val="aa"/>
    <w:uiPriority w:val="99"/>
    <w:unhideWhenUsed/>
    <w:rsid w:val="008B6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69E0"/>
  </w:style>
  <w:style w:type="table" w:customStyle="1" w:styleId="3">
    <w:name w:val="Сетка таблицы3"/>
    <w:basedOn w:val="a1"/>
    <w:next w:val="ab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C70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5E0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61">
    <w:name w:val="List 061"/>
    <w:basedOn w:val="a2"/>
    <w:rsid w:val="002052CD"/>
    <w:pPr>
      <w:numPr>
        <w:numId w:val="2"/>
      </w:numPr>
    </w:pPr>
  </w:style>
  <w:style w:type="table" w:customStyle="1" w:styleId="121">
    <w:name w:val="Леша121"/>
    <w:basedOn w:val="a1"/>
    <w:next w:val="ab"/>
    <w:uiPriority w:val="39"/>
    <w:rsid w:val="00C87205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b"/>
    <w:uiPriority w:val="39"/>
    <w:rsid w:val="00F6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Леша122"/>
    <w:basedOn w:val="a1"/>
    <w:next w:val="ab"/>
    <w:uiPriority w:val="39"/>
    <w:rsid w:val="00333904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75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556D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7528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75289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752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8BE1F-70DD-459F-BC90-02EBC17F6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Поборцева О.В.</cp:lastModifiedBy>
  <cp:revision>7</cp:revision>
  <dcterms:created xsi:type="dcterms:W3CDTF">2023-04-22T12:09:00Z</dcterms:created>
  <dcterms:modified xsi:type="dcterms:W3CDTF">2023-04-25T18:02:00Z</dcterms:modified>
</cp:coreProperties>
</file>