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E6BF9" w14:textId="3D7E0162" w:rsidR="006E10A8" w:rsidRDefault="006E10A8" w:rsidP="00FE7C41">
      <w:pPr>
        <w:spacing w:line="360" w:lineRule="auto"/>
        <w:ind w:right="139" w:firstLine="709"/>
        <w:jc w:val="right"/>
        <w:rPr>
          <w:sz w:val="28"/>
        </w:rPr>
      </w:pPr>
      <w:r>
        <w:rPr>
          <w:sz w:val="28"/>
        </w:rPr>
        <w:t xml:space="preserve">Приложение № </w:t>
      </w:r>
      <w:r w:rsidR="001F3EAD">
        <w:rPr>
          <w:sz w:val="28"/>
        </w:rPr>
        <w:t>2</w:t>
      </w:r>
      <w:r>
        <w:rPr>
          <w:sz w:val="28"/>
        </w:rPr>
        <w:t xml:space="preserve"> к отчету</w:t>
      </w:r>
    </w:p>
    <w:p w14:paraId="07711823" w14:textId="5D277172" w:rsidR="000F3C99" w:rsidRDefault="000F3C99" w:rsidP="00FE7C41">
      <w:pPr>
        <w:spacing w:line="360" w:lineRule="auto"/>
        <w:ind w:right="139" w:firstLine="709"/>
        <w:jc w:val="both"/>
        <w:rPr>
          <w:sz w:val="28"/>
        </w:rPr>
      </w:pPr>
      <w:r>
        <w:rPr>
          <w:sz w:val="28"/>
        </w:rPr>
        <w:t xml:space="preserve">В ходе </w:t>
      </w:r>
      <w:r w:rsidR="000573F4">
        <w:rPr>
          <w:sz w:val="28"/>
        </w:rPr>
        <w:t>экспертно-аналитического мероприятия</w:t>
      </w:r>
      <w:r>
        <w:rPr>
          <w:sz w:val="28"/>
        </w:rPr>
        <w:t xml:space="preserve"> проведен анализ эффективности СК согласно установленным</w:t>
      </w:r>
      <w:r>
        <w:rPr>
          <w:rStyle w:val="a5"/>
          <w:sz w:val="28"/>
        </w:rPr>
        <w:footnoteReference w:id="1"/>
      </w:r>
      <w:r>
        <w:rPr>
          <w:sz w:val="28"/>
        </w:rPr>
        <w:t xml:space="preserve"> критериям:</w:t>
      </w:r>
    </w:p>
    <w:p w14:paraId="18B7A0AD" w14:textId="77777777" w:rsidR="006E10A8" w:rsidRPr="00246259" w:rsidRDefault="006E10A8" w:rsidP="006E10A8">
      <w:pPr>
        <w:spacing w:line="360" w:lineRule="auto"/>
        <w:ind w:right="-284" w:firstLine="709"/>
        <w:jc w:val="both"/>
        <w:rPr>
          <w:b/>
          <w:sz w:val="28"/>
        </w:rPr>
      </w:pPr>
      <w:r w:rsidRPr="00246259">
        <w:rPr>
          <w:b/>
          <w:sz w:val="28"/>
        </w:rPr>
        <w:t>Критерии аудита эффективности</w:t>
      </w:r>
      <w:r w:rsidR="000F3C99" w:rsidRPr="00246259">
        <w:rPr>
          <w:b/>
          <w:sz w:val="28"/>
        </w:rPr>
        <w:t xml:space="preserve"> (оценки)</w:t>
      </w:r>
      <w:r w:rsidRPr="00246259">
        <w:rPr>
          <w:b/>
          <w:sz w:val="28"/>
        </w:rPr>
        <w:t>:</w:t>
      </w:r>
    </w:p>
    <w:tbl>
      <w:tblPr>
        <w:tblStyle w:val="a6"/>
        <w:tblW w:w="0" w:type="auto"/>
        <w:tblLook w:val="04A0" w:firstRow="1" w:lastRow="0" w:firstColumn="1" w:lastColumn="0" w:noHBand="0" w:noVBand="1"/>
      </w:tblPr>
      <w:tblGrid>
        <w:gridCol w:w="9571"/>
      </w:tblGrid>
      <w:tr w:rsidR="000F3C99" w:rsidRPr="00246259" w14:paraId="114FD23C" w14:textId="77777777" w:rsidTr="000F3C99">
        <w:tc>
          <w:tcPr>
            <w:tcW w:w="9571" w:type="dxa"/>
          </w:tcPr>
          <w:p w14:paraId="579BDBE5" w14:textId="77777777" w:rsidR="000F3C99" w:rsidRPr="00246259" w:rsidRDefault="000F3C99" w:rsidP="000F3C99">
            <w:pPr>
              <w:spacing w:line="276" w:lineRule="auto"/>
              <w:jc w:val="both"/>
              <w:rPr>
                <w:sz w:val="28"/>
              </w:rPr>
            </w:pPr>
            <w:r w:rsidRPr="00246259">
              <w:rPr>
                <w:sz w:val="28"/>
              </w:rPr>
              <w:t>1. Бюджетные средства, выделенные на ГСП на основании СК, использованы более, чем на 99 %.</w:t>
            </w:r>
          </w:p>
        </w:tc>
      </w:tr>
      <w:tr w:rsidR="000F3C99" w:rsidRPr="00246259" w14:paraId="60951FD6" w14:textId="77777777" w:rsidTr="000F3C99">
        <w:tc>
          <w:tcPr>
            <w:tcW w:w="9571" w:type="dxa"/>
          </w:tcPr>
          <w:p w14:paraId="3E410CCE" w14:textId="77777777" w:rsidR="000F3C99" w:rsidRPr="00246259" w:rsidRDefault="000F3C99" w:rsidP="000F3C99">
            <w:pPr>
              <w:spacing w:line="276" w:lineRule="auto"/>
              <w:jc w:val="both"/>
              <w:rPr>
                <w:sz w:val="28"/>
              </w:rPr>
            </w:pPr>
            <w:r w:rsidRPr="00246259">
              <w:rPr>
                <w:sz w:val="28"/>
              </w:rPr>
              <w:t>2. В регионах с охватом малоимущих граждан ГСП на основании СК выше среднего охвата по Российской Федерации доля вышедших из бедности получателей ГСП на основании СК равна или выше средней доли вышедших из бедности получателей ГСП на основании СК по Российской Федерации</w:t>
            </w:r>
            <w:r w:rsidRPr="00246259">
              <w:rPr>
                <w:rStyle w:val="a5"/>
                <w:sz w:val="28"/>
              </w:rPr>
              <w:footnoteReference w:id="2"/>
            </w:r>
            <w:r w:rsidRPr="00246259">
              <w:rPr>
                <w:sz w:val="28"/>
              </w:rPr>
              <w:t>.</w:t>
            </w:r>
          </w:p>
        </w:tc>
      </w:tr>
      <w:tr w:rsidR="000F3C99" w:rsidRPr="00246259" w14:paraId="3834236A" w14:textId="77777777" w:rsidTr="000F3C99">
        <w:tc>
          <w:tcPr>
            <w:tcW w:w="9571" w:type="dxa"/>
          </w:tcPr>
          <w:p w14:paraId="53F34F40" w14:textId="77777777" w:rsidR="000F3C99" w:rsidRPr="00246259" w:rsidRDefault="000F3C99" w:rsidP="000F3C99">
            <w:pPr>
              <w:spacing w:line="276" w:lineRule="auto"/>
              <w:jc w:val="both"/>
              <w:rPr>
                <w:sz w:val="28"/>
              </w:rPr>
            </w:pPr>
            <w:r w:rsidRPr="00246259">
              <w:rPr>
                <w:sz w:val="28"/>
              </w:rPr>
              <w:t>3. Реализация повторно заключенных социальных контрактов с получателями ГСП на основании СК приводит к превышению среднедушевых доходов семьи таких получателей регионального размера прожиточного минимума.</w:t>
            </w:r>
          </w:p>
        </w:tc>
      </w:tr>
      <w:tr w:rsidR="000F3C99" w:rsidRPr="00246259" w14:paraId="751924EA" w14:textId="77777777" w:rsidTr="000F3C99">
        <w:tc>
          <w:tcPr>
            <w:tcW w:w="9571" w:type="dxa"/>
          </w:tcPr>
          <w:p w14:paraId="433F7931" w14:textId="77777777" w:rsidR="000F3C99" w:rsidRPr="00246259" w:rsidRDefault="000F3C99" w:rsidP="000F3C99">
            <w:pPr>
              <w:spacing w:line="276" w:lineRule="auto"/>
              <w:jc w:val="both"/>
              <w:rPr>
                <w:sz w:val="28"/>
              </w:rPr>
            </w:pPr>
            <w:r w:rsidRPr="00246259">
              <w:rPr>
                <w:sz w:val="28"/>
              </w:rPr>
              <w:t>4. Во всех субъектах Российской Федерации обеспечено увеличение доли получателей ГСП на основании СК по мероприятию, направленному на поиск работы, у которых среднедушевой доход семьи превысил региональный размер прожиточного минимума.</w:t>
            </w:r>
          </w:p>
        </w:tc>
      </w:tr>
      <w:tr w:rsidR="000F3C99" w:rsidRPr="00246259" w14:paraId="7823743A" w14:textId="77777777" w:rsidTr="000F3C99">
        <w:tc>
          <w:tcPr>
            <w:tcW w:w="9571" w:type="dxa"/>
          </w:tcPr>
          <w:p w14:paraId="60AA1639" w14:textId="77777777" w:rsidR="000F3C99" w:rsidRPr="00246259" w:rsidRDefault="000F3C99" w:rsidP="000F3C99">
            <w:pPr>
              <w:spacing w:line="276" w:lineRule="auto"/>
              <w:jc w:val="both"/>
              <w:rPr>
                <w:sz w:val="28"/>
              </w:rPr>
            </w:pPr>
            <w:r w:rsidRPr="00246259">
              <w:rPr>
                <w:sz w:val="28"/>
              </w:rPr>
              <w:t>5. Во всех субъектах Российской Федерации обеспечено увеличение доли получателей ГСП на основании СК по мероприятию, направленному на осуществление индивидуальной предпринимательской деятельности, у которых среднедушевой доход семьи превысил региональный размер прожиточного минимума.</w:t>
            </w:r>
          </w:p>
        </w:tc>
      </w:tr>
      <w:tr w:rsidR="000F3C99" w:rsidRPr="00246259" w14:paraId="34BBE725" w14:textId="77777777" w:rsidTr="000F3C99">
        <w:tc>
          <w:tcPr>
            <w:tcW w:w="9571" w:type="dxa"/>
          </w:tcPr>
          <w:p w14:paraId="032EC804" w14:textId="77777777" w:rsidR="000F3C99" w:rsidRPr="00246259" w:rsidRDefault="000F3C99" w:rsidP="000F3C99">
            <w:pPr>
              <w:spacing w:line="276" w:lineRule="auto"/>
              <w:jc w:val="both"/>
              <w:rPr>
                <w:sz w:val="28"/>
              </w:rPr>
            </w:pPr>
            <w:r w:rsidRPr="00246259">
              <w:rPr>
                <w:sz w:val="28"/>
              </w:rPr>
              <w:t>6. В субъектах Российской Федерации обеспечен прирост к предыдущему году доли получателей ГСП на основании СК по мероприятию, направленному на осуществление индивидуальной предпринимательской деятельности, у которых среднедушевой доход превысил региональный размер прожиточного минимума без учета социальных выплат на детей.</w:t>
            </w:r>
          </w:p>
        </w:tc>
      </w:tr>
      <w:tr w:rsidR="000F3C99" w:rsidRPr="00246259" w14:paraId="22318CDD" w14:textId="77777777" w:rsidTr="000F3C99">
        <w:tc>
          <w:tcPr>
            <w:tcW w:w="9571" w:type="dxa"/>
          </w:tcPr>
          <w:p w14:paraId="279F37EF" w14:textId="77777777" w:rsidR="000F3C99" w:rsidRPr="00246259" w:rsidRDefault="000F3C99" w:rsidP="000F3C99">
            <w:pPr>
              <w:spacing w:line="276" w:lineRule="auto"/>
              <w:jc w:val="both"/>
              <w:rPr>
                <w:sz w:val="28"/>
              </w:rPr>
            </w:pPr>
            <w:r w:rsidRPr="00246259">
              <w:rPr>
                <w:sz w:val="28"/>
              </w:rPr>
              <w:t>7. Во всех субъектах Российской Федерации обеспечено увеличение доли получателей ГСП на основании СК по мероприятию, направленному на ведение личного подсобного хозяйства, у которых среднедушевой доход семьи превысил региональный размер прожиточного минимума.</w:t>
            </w:r>
          </w:p>
        </w:tc>
      </w:tr>
    </w:tbl>
    <w:p w14:paraId="322130D7" w14:textId="77777777" w:rsidR="007445B5" w:rsidRPr="007445B5" w:rsidRDefault="007445B5" w:rsidP="00FE7C41">
      <w:pPr>
        <w:spacing w:line="360" w:lineRule="auto"/>
        <w:ind w:right="-2" w:firstLine="709"/>
        <w:jc w:val="both"/>
        <w:rPr>
          <w:sz w:val="20"/>
        </w:rPr>
      </w:pPr>
    </w:p>
    <w:p w14:paraId="2CE9378B" w14:textId="7EEBAB8D" w:rsidR="000F3C99" w:rsidRDefault="000F3C99" w:rsidP="00FE7C41">
      <w:pPr>
        <w:spacing w:line="360" w:lineRule="auto"/>
        <w:ind w:right="-2" w:firstLine="709"/>
        <w:jc w:val="both"/>
        <w:rPr>
          <w:sz w:val="28"/>
        </w:rPr>
      </w:pPr>
      <w:r>
        <w:rPr>
          <w:sz w:val="28"/>
        </w:rPr>
        <w:t>Анализ критериев эффективности проводился по</w:t>
      </w:r>
      <w:r w:rsidR="00617B94">
        <w:rPr>
          <w:sz w:val="28"/>
        </w:rPr>
        <w:t xml:space="preserve"> данным мониторинга Минтруда Р</w:t>
      </w:r>
      <w:r w:rsidR="00C036F6">
        <w:rPr>
          <w:sz w:val="28"/>
        </w:rPr>
        <w:t>о</w:t>
      </w:r>
      <w:r w:rsidR="00617B94">
        <w:rPr>
          <w:sz w:val="28"/>
        </w:rPr>
        <w:t>ссии, а также по</w:t>
      </w:r>
      <w:r>
        <w:rPr>
          <w:sz w:val="28"/>
        </w:rPr>
        <w:t xml:space="preserve"> личным делам граждан</w:t>
      </w:r>
      <w:r w:rsidR="00617B94" w:rsidRPr="00617B94">
        <w:rPr>
          <w:sz w:val="28"/>
        </w:rPr>
        <w:t xml:space="preserve"> </w:t>
      </w:r>
      <w:r w:rsidR="00617B94">
        <w:rPr>
          <w:sz w:val="28"/>
        </w:rPr>
        <w:t xml:space="preserve">в Республике Бурятия и </w:t>
      </w:r>
      <w:r w:rsidR="00617B94">
        <w:rPr>
          <w:sz w:val="28"/>
        </w:rPr>
        <w:lastRenderedPageBreak/>
        <w:t>Рязанской области</w:t>
      </w:r>
      <w:r>
        <w:rPr>
          <w:sz w:val="28"/>
        </w:rPr>
        <w:t>, у которых СК завершились</w:t>
      </w:r>
      <w:r w:rsidR="00EB6841">
        <w:rPr>
          <w:sz w:val="28"/>
        </w:rPr>
        <w:t xml:space="preserve"> и проведена оценка их результативности</w:t>
      </w:r>
      <w:r>
        <w:rPr>
          <w:sz w:val="28"/>
        </w:rPr>
        <w:t>.</w:t>
      </w:r>
    </w:p>
    <w:p w14:paraId="05FD0DBB" w14:textId="77777777" w:rsidR="005821E4" w:rsidRPr="00246259" w:rsidRDefault="005821E4" w:rsidP="00246259">
      <w:pPr>
        <w:pStyle w:val="1"/>
        <w:keepNext w:val="0"/>
        <w:widowControl w:val="0"/>
        <w:spacing w:before="0" w:after="0" w:line="360" w:lineRule="auto"/>
        <w:ind w:firstLine="709"/>
        <w:jc w:val="both"/>
        <w:rPr>
          <w:sz w:val="8"/>
          <w:szCs w:val="28"/>
        </w:rPr>
      </w:pPr>
      <w:r w:rsidRPr="00246259">
        <w:rPr>
          <w:rFonts w:ascii="Times New Roman" w:hAnsi="Times New Roman" w:cs="Times New Roman"/>
          <w:sz w:val="28"/>
          <w:szCs w:val="28"/>
        </w:rPr>
        <w:t>8.1.1. Оценить использование бюджетных средств, направленных на оказание ГСП на основании СК, в том числе с точки зрения изменений доходов семей и выхода их из бедности после реализации СК.</w:t>
      </w:r>
    </w:p>
    <w:p w14:paraId="0A0494CF" w14:textId="48667C28" w:rsidR="000F3C99" w:rsidRPr="00246259" w:rsidRDefault="000F3C99" w:rsidP="00246259">
      <w:pPr>
        <w:spacing w:line="360" w:lineRule="auto"/>
        <w:ind w:right="-2" w:firstLine="709"/>
        <w:jc w:val="both"/>
        <w:rPr>
          <w:bCs/>
          <w:sz w:val="28"/>
        </w:rPr>
      </w:pPr>
      <w:r w:rsidRPr="00246259">
        <w:rPr>
          <w:bCs/>
          <w:sz w:val="28"/>
        </w:rPr>
        <w:t>Критерий 1</w:t>
      </w:r>
    </w:p>
    <w:p w14:paraId="6CCD7D59" w14:textId="77777777" w:rsidR="000F3C99" w:rsidRPr="00246259" w:rsidRDefault="000F3C99" w:rsidP="00246259">
      <w:pPr>
        <w:spacing w:line="360" w:lineRule="auto"/>
        <w:ind w:firstLine="709"/>
        <w:jc w:val="both"/>
        <w:rPr>
          <w:sz w:val="28"/>
        </w:rPr>
      </w:pPr>
      <w:r w:rsidRPr="00246259">
        <w:rPr>
          <w:sz w:val="28"/>
        </w:rPr>
        <w:t>Бюджетные средства, выделенные на ГСП на основании СК, использованы более, чем на 99 %.</w:t>
      </w:r>
    </w:p>
    <w:p w14:paraId="224EA95C" w14:textId="71F08EA1" w:rsidR="000F3C99" w:rsidRPr="00246259" w:rsidRDefault="000F3C99" w:rsidP="00246259">
      <w:pPr>
        <w:spacing w:line="360" w:lineRule="auto"/>
        <w:ind w:right="-2" w:firstLine="709"/>
        <w:jc w:val="both"/>
        <w:rPr>
          <w:bCs/>
          <w:sz w:val="28"/>
        </w:rPr>
      </w:pPr>
      <w:r w:rsidRPr="00246259">
        <w:rPr>
          <w:bCs/>
          <w:sz w:val="28"/>
        </w:rPr>
        <w:t>Критерий 1 выполнен.</w:t>
      </w:r>
    </w:p>
    <w:p w14:paraId="6AC8C7CD" w14:textId="34EA635D" w:rsidR="00243928" w:rsidRDefault="005C17EE" w:rsidP="00246259">
      <w:pPr>
        <w:shd w:val="clear" w:color="auto" w:fill="FFFFFF" w:themeFill="background1"/>
        <w:autoSpaceDE w:val="0"/>
        <w:autoSpaceDN w:val="0"/>
        <w:adjustRightInd w:val="0"/>
        <w:spacing w:line="360" w:lineRule="auto"/>
        <w:ind w:right="-2" w:firstLine="709"/>
        <w:contextualSpacing/>
        <w:jc w:val="both"/>
        <w:rPr>
          <w:sz w:val="28"/>
          <w:szCs w:val="28"/>
        </w:rPr>
      </w:pPr>
      <w:r w:rsidRPr="00520711">
        <w:rPr>
          <w:sz w:val="28"/>
          <w:szCs w:val="28"/>
        </w:rPr>
        <w:t xml:space="preserve">В 2022 </w:t>
      </w:r>
      <w:r w:rsidR="00076A0E">
        <w:rPr>
          <w:sz w:val="28"/>
          <w:szCs w:val="28"/>
        </w:rPr>
        <w:t>и 2023 годах</w:t>
      </w:r>
      <w:r w:rsidRPr="00520711">
        <w:rPr>
          <w:sz w:val="28"/>
          <w:szCs w:val="28"/>
        </w:rPr>
        <w:t xml:space="preserve"> </w:t>
      </w:r>
      <w:r w:rsidR="00243928">
        <w:rPr>
          <w:sz w:val="28"/>
          <w:szCs w:val="28"/>
        </w:rPr>
        <w:t xml:space="preserve">расходы на ГСП на основании СК в субъектах Российской Федерации составили 99,9 % </w:t>
      </w:r>
      <w:r w:rsidR="007D3DD6">
        <w:rPr>
          <w:sz w:val="28"/>
          <w:szCs w:val="28"/>
        </w:rPr>
        <w:t xml:space="preserve">от </w:t>
      </w:r>
      <w:r w:rsidR="007D3DD6" w:rsidRPr="00520711">
        <w:rPr>
          <w:sz w:val="28"/>
          <w:szCs w:val="28"/>
        </w:rPr>
        <w:t>выделенны</w:t>
      </w:r>
      <w:r w:rsidR="007D3DD6">
        <w:rPr>
          <w:sz w:val="28"/>
          <w:szCs w:val="28"/>
        </w:rPr>
        <w:t>х</w:t>
      </w:r>
      <w:r w:rsidR="007D3DD6" w:rsidRPr="00520711">
        <w:rPr>
          <w:sz w:val="28"/>
          <w:szCs w:val="28"/>
        </w:rPr>
        <w:t xml:space="preserve"> </w:t>
      </w:r>
      <w:r w:rsidR="007D3DD6">
        <w:rPr>
          <w:sz w:val="28"/>
          <w:szCs w:val="28"/>
        </w:rPr>
        <w:t xml:space="preserve">в соответствии с бюджетной росписью </w:t>
      </w:r>
      <w:r w:rsidR="007D3DD6" w:rsidRPr="00520711">
        <w:rPr>
          <w:sz w:val="28"/>
          <w:szCs w:val="28"/>
        </w:rPr>
        <w:t>на финансирование ГСП на основании СК</w:t>
      </w:r>
      <w:r w:rsidR="00076A0E">
        <w:rPr>
          <w:sz w:val="28"/>
          <w:szCs w:val="28"/>
        </w:rPr>
        <w:t xml:space="preserve"> на соответствующий год.</w:t>
      </w:r>
    </w:p>
    <w:p w14:paraId="7BE084AC" w14:textId="2423A02B" w:rsidR="002C1E80" w:rsidRPr="00246259" w:rsidRDefault="002C1E80" w:rsidP="00246259">
      <w:pPr>
        <w:spacing w:line="360" w:lineRule="auto"/>
        <w:ind w:right="-2" w:firstLine="709"/>
        <w:jc w:val="both"/>
        <w:rPr>
          <w:bCs/>
          <w:sz w:val="28"/>
        </w:rPr>
      </w:pPr>
      <w:r w:rsidRPr="00246259">
        <w:rPr>
          <w:bCs/>
          <w:sz w:val="28"/>
        </w:rPr>
        <w:t>Критерий 2</w:t>
      </w:r>
    </w:p>
    <w:p w14:paraId="6F4EAF25" w14:textId="77777777" w:rsidR="002C1E80" w:rsidRPr="00246259" w:rsidRDefault="002C1E80" w:rsidP="00246259">
      <w:pPr>
        <w:spacing w:line="360" w:lineRule="auto"/>
        <w:ind w:firstLine="709"/>
        <w:jc w:val="both"/>
        <w:rPr>
          <w:sz w:val="28"/>
        </w:rPr>
      </w:pPr>
      <w:r w:rsidRPr="00246259">
        <w:rPr>
          <w:sz w:val="28"/>
        </w:rPr>
        <w:t>В регионах с охватом малоимущих граждан ГСП на основании СК выше среднего охвата по Российской Федерации доля вышедших из бедности получателей ГСП на основании СК равна или выше средней доли вышедших из бедности получателей ГСП на основании СК по Российской Федерации.</w:t>
      </w:r>
    </w:p>
    <w:p w14:paraId="502B4604" w14:textId="403C06DD" w:rsidR="005C17EE" w:rsidRPr="00246259" w:rsidRDefault="005C17EE" w:rsidP="00246259">
      <w:pPr>
        <w:spacing w:line="360" w:lineRule="auto"/>
        <w:ind w:firstLine="709"/>
        <w:jc w:val="both"/>
        <w:rPr>
          <w:bCs/>
          <w:iCs/>
          <w:sz w:val="28"/>
        </w:rPr>
      </w:pPr>
      <w:r w:rsidRPr="00246259">
        <w:rPr>
          <w:bCs/>
          <w:iCs/>
          <w:sz w:val="28"/>
          <w:szCs w:val="28"/>
        </w:rPr>
        <w:t>Критерий 2 выполнен.</w:t>
      </w:r>
      <w:r w:rsidRPr="00246259">
        <w:rPr>
          <w:bCs/>
          <w:iCs/>
          <w:sz w:val="28"/>
        </w:rPr>
        <w:t xml:space="preserve"> </w:t>
      </w:r>
    </w:p>
    <w:p w14:paraId="3B6D39D0" w14:textId="16E32194" w:rsidR="006A31D2" w:rsidRPr="00F032DD" w:rsidRDefault="003D6DA3" w:rsidP="00246259">
      <w:pPr>
        <w:spacing w:line="360" w:lineRule="auto"/>
        <w:ind w:firstLine="709"/>
        <w:jc w:val="both"/>
        <w:rPr>
          <w:sz w:val="28"/>
        </w:rPr>
      </w:pPr>
      <w:r>
        <w:rPr>
          <w:sz w:val="28"/>
        </w:rPr>
        <w:t xml:space="preserve">В </w:t>
      </w:r>
      <w:r w:rsidR="0009625C">
        <w:rPr>
          <w:sz w:val="28"/>
        </w:rPr>
        <w:t xml:space="preserve">статистических данных </w:t>
      </w:r>
      <w:r>
        <w:rPr>
          <w:sz w:val="28"/>
        </w:rPr>
        <w:t>по СК (в</w:t>
      </w:r>
      <w:r w:rsidR="0009625C">
        <w:rPr>
          <w:sz w:val="28"/>
        </w:rPr>
        <w:t xml:space="preserve"> том числе, в </w:t>
      </w:r>
      <w:r w:rsidR="00570E45">
        <w:rPr>
          <w:sz w:val="28"/>
        </w:rPr>
        <w:t xml:space="preserve">мониторинге, проводимом </w:t>
      </w:r>
      <w:r w:rsidR="00FE7C41">
        <w:rPr>
          <w:sz w:val="28"/>
        </w:rPr>
        <w:t>Минтрудом России</w:t>
      </w:r>
      <w:r w:rsidR="00570E45">
        <w:rPr>
          <w:sz w:val="28"/>
        </w:rPr>
        <w:t>) отсутству</w:t>
      </w:r>
      <w:r w:rsidR="006107BE">
        <w:rPr>
          <w:sz w:val="28"/>
        </w:rPr>
        <w:t xml:space="preserve">ют данные </w:t>
      </w:r>
      <w:r w:rsidR="004A0B7D">
        <w:rPr>
          <w:sz w:val="28"/>
        </w:rPr>
        <w:t>о</w:t>
      </w:r>
      <w:r w:rsidR="00B312DB">
        <w:rPr>
          <w:sz w:val="28"/>
        </w:rPr>
        <w:t xml:space="preserve"> результативности СК, заключенны</w:t>
      </w:r>
      <w:r w:rsidR="004C7BD5">
        <w:rPr>
          <w:sz w:val="28"/>
        </w:rPr>
        <w:t>х</w:t>
      </w:r>
      <w:r w:rsidR="00B312DB">
        <w:rPr>
          <w:sz w:val="28"/>
        </w:rPr>
        <w:t xml:space="preserve"> в определе</w:t>
      </w:r>
      <w:r w:rsidR="00A43DC9">
        <w:rPr>
          <w:sz w:val="28"/>
        </w:rPr>
        <w:t xml:space="preserve">нном году. </w:t>
      </w:r>
      <w:r w:rsidR="004A0B7D">
        <w:rPr>
          <w:sz w:val="28"/>
        </w:rPr>
        <w:t xml:space="preserve">Данные по результативности </w:t>
      </w:r>
      <w:r w:rsidR="00F57010">
        <w:rPr>
          <w:sz w:val="28"/>
        </w:rPr>
        <w:t xml:space="preserve">ГСП на основании </w:t>
      </w:r>
      <w:r w:rsidR="004A0B7D">
        <w:rPr>
          <w:sz w:val="28"/>
        </w:rPr>
        <w:t xml:space="preserve">СК </w:t>
      </w:r>
      <w:r w:rsidR="004A0B7D" w:rsidRPr="00F032DD">
        <w:rPr>
          <w:sz w:val="28"/>
        </w:rPr>
        <w:t>собираются по СК, завершенным в определенный год</w:t>
      </w:r>
      <w:r w:rsidR="002D344C" w:rsidRPr="00F032DD">
        <w:rPr>
          <w:sz w:val="28"/>
        </w:rPr>
        <w:t>.</w:t>
      </w:r>
    </w:p>
    <w:p w14:paraId="1DC128F6" w14:textId="630D248B" w:rsidR="0009625C" w:rsidRPr="00F032DD" w:rsidRDefault="00352915" w:rsidP="00246259">
      <w:pPr>
        <w:spacing w:line="360" w:lineRule="auto"/>
        <w:ind w:firstLine="709"/>
        <w:jc w:val="both"/>
        <w:rPr>
          <w:sz w:val="28"/>
        </w:rPr>
      </w:pPr>
      <w:r w:rsidRPr="00F032DD">
        <w:rPr>
          <w:sz w:val="28"/>
        </w:rPr>
        <w:t xml:space="preserve">В регионах с охватом СК более 9,5% </w:t>
      </w:r>
      <w:r w:rsidR="006C53E9" w:rsidRPr="00F032DD">
        <w:rPr>
          <w:sz w:val="28"/>
        </w:rPr>
        <w:t xml:space="preserve">доля превысивших черту бедности </w:t>
      </w:r>
      <w:r w:rsidR="002D20AA" w:rsidRPr="00F032DD">
        <w:rPr>
          <w:sz w:val="28"/>
        </w:rPr>
        <w:t>г</w:t>
      </w:r>
      <w:r w:rsidR="006C53E9" w:rsidRPr="00F032DD">
        <w:rPr>
          <w:sz w:val="28"/>
        </w:rPr>
        <w:t xml:space="preserve">раждан по результатам СК превышает </w:t>
      </w:r>
      <w:r w:rsidR="0042003F" w:rsidRPr="00F032DD">
        <w:rPr>
          <w:sz w:val="28"/>
        </w:rPr>
        <w:t xml:space="preserve">указанный среднероссийский показатель, равный </w:t>
      </w:r>
      <w:r w:rsidR="00003CF9" w:rsidRPr="00F032DD">
        <w:rPr>
          <w:sz w:val="28"/>
        </w:rPr>
        <w:t xml:space="preserve">28,7% </w:t>
      </w:r>
      <w:r w:rsidR="00076A0E">
        <w:rPr>
          <w:sz w:val="28"/>
        </w:rPr>
        <w:t>–</w:t>
      </w:r>
      <w:r w:rsidR="00003CF9" w:rsidRPr="00F032DD">
        <w:rPr>
          <w:sz w:val="28"/>
        </w:rPr>
        <w:t xml:space="preserve"> по</w:t>
      </w:r>
      <w:r w:rsidR="00076A0E">
        <w:rPr>
          <w:sz w:val="28"/>
        </w:rPr>
        <w:t xml:space="preserve"> </w:t>
      </w:r>
      <w:r w:rsidR="00003CF9" w:rsidRPr="00F032DD">
        <w:rPr>
          <w:sz w:val="28"/>
        </w:rPr>
        <w:t>СК, завершенным в 2022 году</w:t>
      </w:r>
      <w:r w:rsidR="0046778D" w:rsidRPr="00F032DD">
        <w:rPr>
          <w:sz w:val="28"/>
        </w:rPr>
        <w:t xml:space="preserve"> (рисунок 1)</w:t>
      </w:r>
      <w:r w:rsidR="00003CF9" w:rsidRPr="00F032DD">
        <w:rPr>
          <w:sz w:val="28"/>
        </w:rPr>
        <w:t>.</w:t>
      </w:r>
    </w:p>
    <w:p w14:paraId="75DAE271" w14:textId="08F252F0" w:rsidR="000759F8" w:rsidRDefault="000759F8" w:rsidP="000759F8">
      <w:pPr>
        <w:spacing w:line="360" w:lineRule="auto"/>
        <w:jc w:val="both"/>
        <w:rPr>
          <w:sz w:val="28"/>
          <w:highlight w:val="yellow"/>
        </w:rPr>
      </w:pPr>
      <w:r>
        <w:rPr>
          <w:noProof/>
        </w:rPr>
        <w:drawing>
          <wp:inline distT="0" distB="0" distL="0" distR="0" wp14:anchorId="5364818D" wp14:editId="7008BDEC">
            <wp:extent cx="6122505" cy="2719346"/>
            <wp:effectExtent l="0" t="0" r="0" b="5080"/>
            <wp:docPr id="356596377" name="Диаграмма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F5B11A" w14:textId="2041863A" w:rsidR="00151A2F" w:rsidRPr="00246259" w:rsidRDefault="00151A2F" w:rsidP="00194F45">
      <w:pPr>
        <w:shd w:val="clear" w:color="auto" w:fill="FFFFFF" w:themeFill="background1"/>
        <w:spacing w:line="360" w:lineRule="auto"/>
        <w:jc w:val="center"/>
        <w:rPr>
          <w:i/>
          <w:sz w:val="6"/>
          <w:szCs w:val="28"/>
        </w:rPr>
      </w:pPr>
      <w:r w:rsidRPr="00246259">
        <w:rPr>
          <w:i/>
          <w:sz w:val="22"/>
        </w:rPr>
        <w:t xml:space="preserve">Рисунок 1. Результативность СК в субъектах Российской Федерации с охватом СК малоимущих граждан выше </w:t>
      </w:r>
      <w:r w:rsidR="00176155" w:rsidRPr="00246259">
        <w:rPr>
          <w:i/>
          <w:sz w:val="22"/>
        </w:rPr>
        <w:t xml:space="preserve">9,5% </w:t>
      </w:r>
      <w:r w:rsidRPr="00246259">
        <w:rPr>
          <w:i/>
          <w:sz w:val="22"/>
        </w:rPr>
        <w:t xml:space="preserve"> Источник: данные мониторинга, проводимого Минтрудом России</w:t>
      </w:r>
      <w:r w:rsidRPr="00246259">
        <w:rPr>
          <w:bCs/>
          <w:i/>
          <w:sz w:val="22"/>
        </w:rPr>
        <w:t>.</w:t>
      </w:r>
      <w:r w:rsidRPr="00246259">
        <w:rPr>
          <w:i/>
          <w:sz w:val="6"/>
          <w:szCs w:val="28"/>
        </w:rPr>
        <w:t xml:space="preserve"> </w:t>
      </w:r>
    </w:p>
    <w:p w14:paraId="17914D59" w14:textId="77777777" w:rsidR="00194F45" w:rsidRDefault="00194F45" w:rsidP="00194F45">
      <w:pPr>
        <w:spacing w:line="360" w:lineRule="auto"/>
        <w:ind w:firstLine="709"/>
        <w:jc w:val="both"/>
        <w:rPr>
          <w:sz w:val="28"/>
        </w:rPr>
      </w:pPr>
    </w:p>
    <w:p w14:paraId="042B9366" w14:textId="2AA3071E" w:rsidR="00EB6841" w:rsidRDefault="00882505" w:rsidP="00194F45">
      <w:pPr>
        <w:spacing w:line="360" w:lineRule="auto"/>
        <w:ind w:firstLine="709"/>
        <w:jc w:val="both"/>
        <w:rPr>
          <w:sz w:val="28"/>
          <w:szCs w:val="28"/>
        </w:rPr>
      </w:pPr>
      <w:r>
        <w:rPr>
          <w:sz w:val="28"/>
        </w:rPr>
        <w:t xml:space="preserve">На рисунке </w:t>
      </w:r>
      <w:r w:rsidR="00F032DD">
        <w:rPr>
          <w:sz w:val="28"/>
        </w:rPr>
        <w:t>2</w:t>
      </w:r>
      <w:r>
        <w:rPr>
          <w:sz w:val="28"/>
        </w:rPr>
        <w:t xml:space="preserve"> представлены регионы </w:t>
      </w:r>
      <w:r w:rsidR="001E41B5" w:rsidRPr="00B3625D">
        <w:rPr>
          <w:sz w:val="28"/>
        </w:rPr>
        <w:t xml:space="preserve">с охватом малоимущих граждан ГСП на основании СК </w:t>
      </w:r>
      <w:r w:rsidR="001E41B5">
        <w:rPr>
          <w:sz w:val="28"/>
        </w:rPr>
        <w:t xml:space="preserve">в 2022 году </w:t>
      </w:r>
      <w:r w:rsidR="001E41B5" w:rsidRPr="00B3625D">
        <w:rPr>
          <w:sz w:val="28"/>
        </w:rPr>
        <w:t>выше среднего охвата по Российской Федерации</w:t>
      </w:r>
      <w:r w:rsidR="0009625C">
        <w:rPr>
          <w:sz w:val="28"/>
        </w:rPr>
        <w:t xml:space="preserve"> (6,0%) </w:t>
      </w:r>
      <w:r w:rsidR="007445B5">
        <w:rPr>
          <w:sz w:val="28"/>
        </w:rPr>
        <w:t>–</w:t>
      </w:r>
      <w:r w:rsidR="0009625C">
        <w:rPr>
          <w:sz w:val="28"/>
        </w:rPr>
        <w:t xml:space="preserve"> </w:t>
      </w:r>
      <w:r>
        <w:rPr>
          <w:sz w:val="28"/>
        </w:rPr>
        <w:t xml:space="preserve">от </w:t>
      </w:r>
      <w:r w:rsidR="00F9141D">
        <w:rPr>
          <w:sz w:val="28"/>
        </w:rPr>
        <w:t>6</w:t>
      </w:r>
      <w:r>
        <w:rPr>
          <w:sz w:val="28"/>
        </w:rPr>
        <w:t>,2</w:t>
      </w:r>
      <w:r w:rsidR="00F9141D">
        <w:rPr>
          <w:sz w:val="28"/>
        </w:rPr>
        <w:t xml:space="preserve"> до 9,5</w:t>
      </w:r>
      <w:r w:rsidR="00FE7C41">
        <w:rPr>
          <w:sz w:val="28"/>
        </w:rPr>
        <w:t xml:space="preserve"> %</w:t>
      </w:r>
      <w:r w:rsidR="001E41B5">
        <w:rPr>
          <w:sz w:val="28"/>
        </w:rPr>
        <w:t xml:space="preserve">, в которых </w:t>
      </w:r>
      <w:r w:rsidR="001E41B5" w:rsidRPr="00B3625D">
        <w:rPr>
          <w:sz w:val="28"/>
        </w:rPr>
        <w:t>доля вышедших из бедности получателей СК</w:t>
      </w:r>
      <w:r w:rsidR="00EB6841">
        <w:rPr>
          <w:sz w:val="28"/>
        </w:rPr>
        <w:t xml:space="preserve"> </w:t>
      </w:r>
      <w:r w:rsidR="009567E9">
        <w:rPr>
          <w:sz w:val="28"/>
        </w:rPr>
        <w:t>по СК,</w:t>
      </w:r>
      <w:r w:rsidR="005553B1">
        <w:rPr>
          <w:sz w:val="28"/>
        </w:rPr>
        <w:t xml:space="preserve"> </w:t>
      </w:r>
      <w:r w:rsidR="00EB6841">
        <w:rPr>
          <w:sz w:val="28"/>
        </w:rPr>
        <w:t>за</w:t>
      </w:r>
      <w:r w:rsidR="00337B2E">
        <w:rPr>
          <w:sz w:val="28"/>
        </w:rPr>
        <w:t xml:space="preserve">вершенным </w:t>
      </w:r>
      <w:r w:rsidR="002527E4">
        <w:rPr>
          <w:sz w:val="28"/>
        </w:rPr>
        <w:t>в 2022 году (заключенным в 2021</w:t>
      </w:r>
      <w:r w:rsidR="007445B5">
        <w:rPr>
          <w:sz w:val="28"/>
        </w:rPr>
        <w:t>–</w:t>
      </w:r>
      <w:r w:rsidR="002527E4">
        <w:rPr>
          <w:sz w:val="28"/>
        </w:rPr>
        <w:t>2022 годах</w:t>
      </w:r>
      <w:r w:rsidR="0066661E">
        <w:rPr>
          <w:sz w:val="28"/>
        </w:rPr>
        <w:t>)</w:t>
      </w:r>
      <w:r w:rsidR="002D344C">
        <w:rPr>
          <w:sz w:val="28"/>
        </w:rPr>
        <w:t>,</w:t>
      </w:r>
      <w:r w:rsidR="0066661E">
        <w:rPr>
          <w:sz w:val="28"/>
        </w:rPr>
        <w:t xml:space="preserve"> </w:t>
      </w:r>
      <w:r w:rsidR="00337B2E">
        <w:rPr>
          <w:sz w:val="28"/>
        </w:rPr>
        <w:t xml:space="preserve">оказалась </w:t>
      </w:r>
      <w:r w:rsidR="001E41B5" w:rsidRPr="00B3625D">
        <w:rPr>
          <w:sz w:val="28"/>
        </w:rPr>
        <w:t xml:space="preserve">ниже </w:t>
      </w:r>
      <w:r w:rsidR="001E41B5">
        <w:rPr>
          <w:sz w:val="28"/>
        </w:rPr>
        <w:t>указанного среднероссийско</w:t>
      </w:r>
      <w:r w:rsidR="00830C52">
        <w:rPr>
          <w:sz w:val="28"/>
        </w:rPr>
        <w:t>го</w:t>
      </w:r>
      <w:r w:rsidR="001E41B5">
        <w:rPr>
          <w:sz w:val="28"/>
        </w:rPr>
        <w:t xml:space="preserve"> показателя</w:t>
      </w:r>
      <w:r w:rsidR="001E41B5">
        <w:rPr>
          <w:sz w:val="28"/>
          <w:szCs w:val="28"/>
        </w:rPr>
        <w:t xml:space="preserve"> </w:t>
      </w:r>
      <w:r w:rsidR="001E41B5" w:rsidRPr="00B3625D">
        <w:rPr>
          <w:sz w:val="28"/>
        </w:rPr>
        <w:t>(2</w:t>
      </w:r>
      <w:r w:rsidR="001E41B5">
        <w:rPr>
          <w:sz w:val="28"/>
        </w:rPr>
        <w:t>8,7</w:t>
      </w:r>
      <w:r w:rsidR="001E41B5" w:rsidRPr="00B3625D">
        <w:rPr>
          <w:sz w:val="28"/>
          <w:szCs w:val="28"/>
        </w:rPr>
        <w:t> </w:t>
      </w:r>
      <w:r w:rsidR="001E41B5" w:rsidRPr="00B3625D">
        <w:rPr>
          <w:sz w:val="28"/>
        </w:rPr>
        <w:t>%)</w:t>
      </w:r>
      <w:r w:rsidR="001E41B5" w:rsidRPr="00846682">
        <w:rPr>
          <w:rStyle w:val="a5"/>
          <w:sz w:val="28"/>
          <w:szCs w:val="28"/>
        </w:rPr>
        <w:footnoteReference w:id="3"/>
      </w:r>
      <w:r w:rsidR="00F9141D">
        <w:rPr>
          <w:sz w:val="28"/>
        </w:rPr>
        <w:t>.</w:t>
      </w:r>
      <w:r w:rsidR="001E41B5">
        <w:rPr>
          <w:sz w:val="28"/>
          <w:szCs w:val="28"/>
        </w:rPr>
        <w:t xml:space="preserve"> </w:t>
      </w:r>
      <w:r w:rsidR="00D8685F">
        <w:rPr>
          <w:sz w:val="28"/>
          <w:szCs w:val="28"/>
        </w:rPr>
        <w:t xml:space="preserve">В течение 2023 года </w:t>
      </w:r>
      <w:r w:rsidR="008E0971">
        <w:rPr>
          <w:sz w:val="28"/>
          <w:szCs w:val="28"/>
        </w:rPr>
        <w:t>во</w:t>
      </w:r>
      <w:r w:rsidR="00F9141D">
        <w:rPr>
          <w:sz w:val="28"/>
          <w:szCs w:val="28"/>
        </w:rPr>
        <w:t xml:space="preserve"> всех указанных регионах резуль</w:t>
      </w:r>
      <w:r w:rsidR="00EB6841">
        <w:rPr>
          <w:sz w:val="28"/>
          <w:szCs w:val="28"/>
        </w:rPr>
        <w:t>тативность СК значительно повысилась и по СК, завершенным в 2023 году (заключенным в 2022 и 2023</w:t>
      </w:r>
      <w:r w:rsidR="00D8685F" w:rsidRPr="00846682">
        <w:rPr>
          <w:rStyle w:val="a5"/>
          <w:sz w:val="28"/>
          <w:szCs w:val="28"/>
        </w:rPr>
        <w:footnoteReference w:id="4"/>
      </w:r>
      <w:r w:rsidR="00EB6841">
        <w:rPr>
          <w:sz w:val="28"/>
          <w:szCs w:val="28"/>
        </w:rPr>
        <w:t xml:space="preserve"> году)</w:t>
      </w:r>
      <w:r w:rsidR="001F2122">
        <w:rPr>
          <w:sz w:val="28"/>
          <w:szCs w:val="28"/>
        </w:rPr>
        <w:t>,</w:t>
      </w:r>
      <w:r w:rsidR="00EB6841">
        <w:rPr>
          <w:sz w:val="28"/>
          <w:szCs w:val="28"/>
        </w:rPr>
        <w:t xml:space="preserve"> оказалась выше </w:t>
      </w:r>
      <w:r w:rsidR="00F9141D">
        <w:rPr>
          <w:sz w:val="28"/>
          <w:szCs w:val="28"/>
        </w:rPr>
        <w:t xml:space="preserve">среднероссийского показателя </w:t>
      </w:r>
      <w:r w:rsidR="00EB6841">
        <w:rPr>
          <w:sz w:val="28"/>
          <w:szCs w:val="28"/>
        </w:rPr>
        <w:t>28,7</w:t>
      </w:r>
      <w:r w:rsidR="007445B5">
        <w:t> </w:t>
      </w:r>
      <w:r w:rsidR="00EB6841">
        <w:rPr>
          <w:sz w:val="28"/>
          <w:szCs w:val="28"/>
        </w:rPr>
        <w:t>%.</w:t>
      </w:r>
    </w:p>
    <w:p w14:paraId="4D779EF5" w14:textId="77777777" w:rsidR="00EB6841" w:rsidRDefault="00EB6841" w:rsidP="00EB6841">
      <w:r>
        <w:rPr>
          <w:noProof/>
        </w:rPr>
        <w:drawing>
          <wp:inline distT="0" distB="0" distL="0" distR="0" wp14:anchorId="0119E9E2" wp14:editId="0BA62836">
            <wp:extent cx="6216650" cy="4450080"/>
            <wp:effectExtent l="0" t="0" r="12700" b="26670"/>
            <wp:docPr id="627974953" name="Диаграмма 6279749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99FF62" w14:textId="786044EF" w:rsidR="000079F7" w:rsidRPr="00194F45" w:rsidRDefault="000079F7" w:rsidP="00246259">
      <w:pPr>
        <w:shd w:val="clear" w:color="auto" w:fill="FFFFFF" w:themeFill="background1"/>
        <w:jc w:val="center"/>
        <w:rPr>
          <w:i/>
          <w:sz w:val="6"/>
          <w:szCs w:val="28"/>
        </w:rPr>
      </w:pPr>
      <w:r w:rsidRPr="00194F45">
        <w:rPr>
          <w:i/>
          <w:sz w:val="22"/>
        </w:rPr>
        <w:t xml:space="preserve">Рисунок </w:t>
      </w:r>
      <w:r w:rsidR="00657CAF" w:rsidRPr="00194F45">
        <w:rPr>
          <w:i/>
          <w:sz w:val="22"/>
        </w:rPr>
        <w:t>2</w:t>
      </w:r>
      <w:r w:rsidRPr="00194F45">
        <w:rPr>
          <w:i/>
          <w:sz w:val="22"/>
        </w:rPr>
        <w:t>. Результативность СК в субъектах Российской Федерации с охватом СК малоимущих граждан выше среднероссийского показателя с наименьшей долей выхода из бедности малоимущих граждан по результатам СК. Источник: данные мониторинга, проводимого Минтрудом России</w:t>
      </w:r>
      <w:r w:rsidRPr="00194F45">
        <w:rPr>
          <w:bCs/>
          <w:i/>
          <w:sz w:val="22"/>
        </w:rPr>
        <w:t>.</w:t>
      </w:r>
      <w:r w:rsidRPr="00194F45">
        <w:rPr>
          <w:i/>
          <w:sz w:val="6"/>
          <w:szCs w:val="28"/>
        </w:rPr>
        <w:t xml:space="preserve"> </w:t>
      </w:r>
    </w:p>
    <w:p w14:paraId="4AE72A6B" w14:textId="77777777" w:rsidR="000079F7" w:rsidRPr="00194F45" w:rsidRDefault="000079F7" w:rsidP="000079F7">
      <w:pPr>
        <w:pStyle w:val="Style1"/>
        <w:spacing w:line="240" w:lineRule="exact"/>
        <w:ind w:left="-96" w:right="-147" w:firstLine="11"/>
        <w:jc w:val="center"/>
        <w:rPr>
          <w:rStyle w:val="FontStyle12"/>
          <w:rFonts w:eastAsia="Arial"/>
          <w:i/>
          <w:sz w:val="10"/>
        </w:rPr>
      </w:pPr>
    </w:p>
    <w:p w14:paraId="3D703DD8" w14:textId="77777777" w:rsidR="002C1E80" w:rsidRPr="00246259" w:rsidRDefault="002C1E80" w:rsidP="00246259">
      <w:pPr>
        <w:spacing w:line="360" w:lineRule="auto"/>
        <w:ind w:right="-142" w:firstLine="709"/>
        <w:jc w:val="both"/>
        <w:rPr>
          <w:bCs/>
          <w:sz w:val="28"/>
        </w:rPr>
      </w:pPr>
      <w:r w:rsidRPr="00246259">
        <w:rPr>
          <w:bCs/>
          <w:sz w:val="28"/>
        </w:rPr>
        <w:t>Критерий 3</w:t>
      </w:r>
    </w:p>
    <w:p w14:paraId="16016B93" w14:textId="35BD7F3C" w:rsidR="002C1E80" w:rsidRPr="00246259" w:rsidRDefault="002C1E80" w:rsidP="00246259">
      <w:pPr>
        <w:spacing w:line="360" w:lineRule="auto"/>
        <w:ind w:right="-142" w:firstLine="709"/>
        <w:jc w:val="both"/>
        <w:rPr>
          <w:sz w:val="28"/>
        </w:rPr>
      </w:pPr>
      <w:r w:rsidRPr="00246259">
        <w:rPr>
          <w:sz w:val="28"/>
        </w:rPr>
        <w:t>Реализация повторно заключенных социальных контрактов с получателями ГСП на основании СК приводит к превышению среднедушевых доходов семьи таких получателей регионального размера прожиточного минимума.</w:t>
      </w:r>
    </w:p>
    <w:p w14:paraId="573D39F2" w14:textId="555542B8" w:rsidR="00E263AD" w:rsidRPr="00246259" w:rsidRDefault="005C17EE" w:rsidP="00246259">
      <w:pPr>
        <w:spacing w:line="360" w:lineRule="auto"/>
        <w:ind w:right="-142" w:firstLine="709"/>
        <w:jc w:val="both"/>
        <w:rPr>
          <w:bCs/>
          <w:iCs/>
          <w:sz w:val="28"/>
          <w:szCs w:val="28"/>
        </w:rPr>
      </w:pPr>
      <w:r w:rsidRPr="00246259">
        <w:rPr>
          <w:bCs/>
          <w:iCs/>
          <w:sz w:val="28"/>
          <w:szCs w:val="28"/>
        </w:rPr>
        <w:t xml:space="preserve">Критерий 3 </w:t>
      </w:r>
      <w:r w:rsidR="007C33BA" w:rsidRPr="00246259">
        <w:rPr>
          <w:bCs/>
          <w:iCs/>
          <w:sz w:val="28"/>
          <w:szCs w:val="28"/>
        </w:rPr>
        <w:t>выполнен.</w:t>
      </w:r>
    </w:p>
    <w:p w14:paraId="38C33B31" w14:textId="70ADDFD9" w:rsidR="00576F9C" w:rsidRDefault="00417777" w:rsidP="00246259">
      <w:pPr>
        <w:spacing w:line="360" w:lineRule="auto"/>
        <w:ind w:right="-142" w:firstLine="709"/>
        <w:jc w:val="both"/>
        <w:rPr>
          <w:iCs/>
          <w:sz w:val="28"/>
          <w:szCs w:val="28"/>
        </w:rPr>
      </w:pPr>
      <w:r>
        <w:rPr>
          <w:iCs/>
          <w:sz w:val="28"/>
          <w:szCs w:val="28"/>
        </w:rPr>
        <w:t xml:space="preserve">Оценка проведена на основании </w:t>
      </w:r>
      <w:r w:rsidR="00576F9C">
        <w:rPr>
          <w:iCs/>
          <w:sz w:val="28"/>
          <w:szCs w:val="28"/>
        </w:rPr>
        <w:t xml:space="preserve">данных </w:t>
      </w:r>
      <w:r w:rsidR="00B767E4" w:rsidRPr="00DA66A6">
        <w:rPr>
          <w:iCs/>
          <w:sz w:val="28"/>
          <w:szCs w:val="28"/>
        </w:rPr>
        <w:t xml:space="preserve">15 </w:t>
      </w:r>
      <w:r w:rsidR="001C18B6">
        <w:rPr>
          <w:iCs/>
          <w:sz w:val="28"/>
          <w:szCs w:val="28"/>
        </w:rPr>
        <w:t>субъектов Российской Федерации</w:t>
      </w:r>
      <w:r w:rsidR="000E0FDB" w:rsidRPr="00DA66A6">
        <w:rPr>
          <w:iCs/>
          <w:sz w:val="28"/>
          <w:szCs w:val="28"/>
        </w:rPr>
        <w:t xml:space="preserve"> с наибольшей долей повторных СК, заключенных в 2022 году</w:t>
      </w:r>
      <w:r w:rsidR="00B767E4" w:rsidRPr="00DA66A6">
        <w:rPr>
          <w:iCs/>
          <w:sz w:val="28"/>
          <w:szCs w:val="28"/>
        </w:rPr>
        <w:t>, полученны</w:t>
      </w:r>
      <w:r w:rsidR="001C18B6">
        <w:rPr>
          <w:iCs/>
          <w:sz w:val="28"/>
          <w:szCs w:val="28"/>
        </w:rPr>
        <w:t xml:space="preserve">х </w:t>
      </w:r>
      <w:r w:rsidR="00B767E4" w:rsidRPr="00DA66A6">
        <w:rPr>
          <w:iCs/>
          <w:sz w:val="28"/>
          <w:szCs w:val="28"/>
        </w:rPr>
        <w:t>по запросу Счетной палаты</w:t>
      </w:r>
      <w:r w:rsidR="00C4051D">
        <w:rPr>
          <w:iCs/>
          <w:sz w:val="28"/>
          <w:szCs w:val="28"/>
        </w:rPr>
        <w:t xml:space="preserve"> Российской Федерации</w:t>
      </w:r>
      <w:r w:rsidR="00576F9C">
        <w:rPr>
          <w:iCs/>
          <w:sz w:val="28"/>
          <w:szCs w:val="28"/>
        </w:rPr>
        <w:t>.</w:t>
      </w:r>
    </w:p>
    <w:p w14:paraId="6AD49C30" w14:textId="6FBE3E1B" w:rsidR="005C17EE" w:rsidRDefault="00576F9C" w:rsidP="00246259">
      <w:pPr>
        <w:spacing w:line="360" w:lineRule="auto"/>
        <w:ind w:right="-142" w:firstLine="709"/>
        <w:jc w:val="both"/>
        <w:rPr>
          <w:iCs/>
          <w:sz w:val="28"/>
          <w:szCs w:val="28"/>
        </w:rPr>
      </w:pPr>
      <w:r>
        <w:rPr>
          <w:iCs/>
          <w:sz w:val="28"/>
          <w:szCs w:val="28"/>
        </w:rPr>
        <w:t>В</w:t>
      </w:r>
      <w:r w:rsidR="005C17EE" w:rsidRPr="00DA66A6">
        <w:rPr>
          <w:iCs/>
          <w:sz w:val="28"/>
          <w:szCs w:val="28"/>
        </w:rPr>
        <w:t xml:space="preserve"> среднем у </w:t>
      </w:r>
      <w:r w:rsidR="007C33BA" w:rsidRPr="00DA66A6">
        <w:rPr>
          <w:iCs/>
          <w:sz w:val="28"/>
          <w:szCs w:val="28"/>
        </w:rPr>
        <w:t>46</w:t>
      </w:r>
      <w:r w:rsidR="005C17EE" w:rsidRPr="00DA66A6">
        <w:rPr>
          <w:iCs/>
          <w:sz w:val="28"/>
          <w:szCs w:val="28"/>
        </w:rPr>
        <w:t> % граждан, заключивших СК повторно</w:t>
      </w:r>
      <w:r w:rsidR="00855B8A">
        <w:rPr>
          <w:iCs/>
          <w:sz w:val="28"/>
          <w:szCs w:val="28"/>
        </w:rPr>
        <w:t xml:space="preserve">, по СК, завершенным в </w:t>
      </w:r>
      <w:r w:rsidR="00B767E4" w:rsidRPr="00DA66A6">
        <w:rPr>
          <w:iCs/>
          <w:sz w:val="28"/>
          <w:szCs w:val="28"/>
        </w:rPr>
        <w:t>2022 году</w:t>
      </w:r>
      <w:r w:rsidR="005C17EE" w:rsidRPr="00DA66A6">
        <w:rPr>
          <w:iCs/>
          <w:sz w:val="28"/>
          <w:szCs w:val="28"/>
        </w:rPr>
        <w:t xml:space="preserve">, после </w:t>
      </w:r>
      <w:r w:rsidR="00855B8A">
        <w:rPr>
          <w:iCs/>
          <w:sz w:val="28"/>
          <w:szCs w:val="28"/>
        </w:rPr>
        <w:t>их</w:t>
      </w:r>
      <w:r w:rsidR="005C17EE" w:rsidRPr="00DA66A6">
        <w:rPr>
          <w:iCs/>
          <w:sz w:val="28"/>
          <w:szCs w:val="28"/>
        </w:rPr>
        <w:t xml:space="preserve"> реализации среднедушевой доход</w:t>
      </w:r>
      <w:r w:rsidR="005C17EE" w:rsidRPr="00DA66A6">
        <w:rPr>
          <w:b/>
          <w:iCs/>
          <w:sz w:val="28"/>
          <w:szCs w:val="28"/>
        </w:rPr>
        <w:t xml:space="preserve"> </w:t>
      </w:r>
      <w:r w:rsidR="00855B8A" w:rsidRPr="00855B8A">
        <w:rPr>
          <w:bCs/>
          <w:iCs/>
          <w:sz w:val="28"/>
          <w:szCs w:val="28"/>
        </w:rPr>
        <w:t>превысил размер ПМ</w:t>
      </w:r>
      <w:r w:rsidR="00855B8A">
        <w:rPr>
          <w:b/>
          <w:iCs/>
          <w:sz w:val="28"/>
          <w:szCs w:val="28"/>
        </w:rPr>
        <w:t>.</w:t>
      </w:r>
      <w:r w:rsidR="00B767E4" w:rsidRPr="00DA66A6">
        <w:rPr>
          <w:iCs/>
          <w:sz w:val="28"/>
          <w:szCs w:val="28"/>
        </w:rPr>
        <w:t xml:space="preserve"> Данный показатель</w:t>
      </w:r>
      <w:r w:rsidR="000E0FDB" w:rsidRPr="00DA66A6">
        <w:rPr>
          <w:iCs/>
          <w:sz w:val="28"/>
          <w:szCs w:val="28"/>
        </w:rPr>
        <w:t xml:space="preserve"> в 1,6 раза </w:t>
      </w:r>
      <w:r w:rsidR="00B767E4" w:rsidRPr="00DA66A6">
        <w:rPr>
          <w:iCs/>
          <w:sz w:val="28"/>
          <w:szCs w:val="28"/>
        </w:rPr>
        <w:t>превышает</w:t>
      </w:r>
      <w:r w:rsidR="004300AB">
        <w:rPr>
          <w:iCs/>
          <w:sz w:val="28"/>
          <w:szCs w:val="28"/>
        </w:rPr>
        <w:t xml:space="preserve"> результативность </w:t>
      </w:r>
      <w:r w:rsidR="00B77DD3">
        <w:rPr>
          <w:iCs/>
          <w:sz w:val="28"/>
          <w:szCs w:val="28"/>
        </w:rPr>
        <w:t>СК, установленную в целом по Р</w:t>
      </w:r>
      <w:r w:rsidR="007445B5">
        <w:rPr>
          <w:iCs/>
          <w:sz w:val="28"/>
          <w:szCs w:val="28"/>
        </w:rPr>
        <w:t xml:space="preserve">оссийской </w:t>
      </w:r>
      <w:r w:rsidR="00B77DD3">
        <w:rPr>
          <w:iCs/>
          <w:sz w:val="28"/>
          <w:szCs w:val="28"/>
        </w:rPr>
        <w:t>Ф</w:t>
      </w:r>
      <w:r w:rsidR="007445B5">
        <w:rPr>
          <w:iCs/>
          <w:sz w:val="28"/>
          <w:szCs w:val="28"/>
        </w:rPr>
        <w:t>едерации</w:t>
      </w:r>
      <w:r w:rsidR="000B0D9F">
        <w:rPr>
          <w:iCs/>
          <w:sz w:val="28"/>
          <w:szCs w:val="28"/>
        </w:rPr>
        <w:t xml:space="preserve">, </w:t>
      </w:r>
      <w:r w:rsidR="00AC1C66">
        <w:rPr>
          <w:iCs/>
          <w:sz w:val="28"/>
          <w:szCs w:val="28"/>
        </w:rPr>
        <w:t>которая составила 28,7</w:t>
      </w:r>
      <w:r w:rsidR="007445B5">
        <w:rPr>
          <w:iCs/>
          <w:sz w:val="28"/>
          <w:szCs w:val="28"/>
        </w:rPr>
        <w:t> </w:t>
      </w:r>
      <w:r w:rsidR="00AC1C66">
        <w:rPr>
          <w:iCs/>
          <w:sz w:val="28"/>
          <w:szCs w:val="28"/>
        </w:rPr>
        <w:t>%</w:t>
      </w:r>
      <w:r w:rsidR="00F577D4">
        <w:rPr>
          <w:iCs/>
          <w:sz w:val="28"/>
          <w:szCs w:val="28"/>
        </w:rPr>
        <w:t xml:space="preserve"> </w:t>
      </w:r>
      <w:r w:rsidR="00DF72D1">
        <w:rPr>
          <w:iCs/>
          <w:sz w:val="28"/>
          <w:szCs w:val="28"/>
        </w:rPr>
        <w:t>(</w:t>
      </w:r>
      <w:r w:rsidR="004001A7">
        <w:rPr>
          <w:iCs/>
          <w:sz w:val="28"/>
          <w:szCs w:val="28"/>
        </w:rPr>
        <w:t>т</w:t>
      </w:r>
      <w:r w:rsidR="007445B5">
        <w:rPr>
          <w:iCs/>
          <w:sz w:val="28"/>
          <w:szCs w:val="28"/>
        </w:rPr>
        <w:t xml:space="preserve">о </w:t>
      </w:r>
      <w:r w:rsidR="004001A7">
        <w:rPr>
          <w:iCs/>
          <w:sz w:val="28"/>
          <w:szCs w:val="28"/>
        </w:rPr>
        <w:t>е</w:t>
      </w:r>
      <w:r w:rsidR="007445B5">
        <w:rPr>
          <w:iCs/>
          <w:sz w:val="28"/>
          <w:szCs w:val="28"/>
        </w:rPr>
        <w:t>сть</w:t>
      </w:r>
      <w:r w:rsidR="004001A7">
        <w:rPr>
          <w:iCs/>
          <w:sz w:val="28"/>
          <w:szCs w:val="28"/>
        </w:rPr>
        <w:t xml:space="preserve"> </w:t>
      </w:r>
      <w:r w:rsidR="00535BD5">
        <w:rPr>
          <w:iCs/>
          <w:sz w:val="28"/>
          <w:szCs w:val="28"/>
        </w:rPr>
        <w:t xml:space="preserve">превысил показатель </w:t>
      </w:r>
      <w:r w:rsidR="00AE1538">
        <w:rPr>
          <w:iCs/>
          <w:sz w:val="28"/>
          <w:szCs w:val="28"/>
        </w:rPr>
        <w:t xml:space="preserve">доли </w:t>
      </w:r>
      <w:r w:rsidR="00F577D4">
        <w:rPr>
          <w:iCs/>
          <w:sz w:val="28"/>
          <w:szCs w:val="28"/>
        </w:rPr>
        <w:t xml:space="preserve">граждан, </w:t>
      </w:r>
      <w:r w:rsidR="00AE1538">
        <w:rPr>
          <w:iCs/>
          <w:sz w:val="28"/>
          <w:szCs w:val="28"/>
        </w:rPr>
        <w:t>вышедших из бедно</w:t>
      </w:r>
      <w:r w:rsidR="00211EE1">
        <w:rPr>
          <w:iCs/>
          <w:sz w:val="28"/>
          <w:szCs w:val="28"/>
        </w:rPr>
        <w:t>сти</w:t>
      </w:r>
      <w:r w:rsidR="00535BD5">
        <w:rPr>
          <w:iCs/>
          <w:sz w:val="28"/>
          <w:szCs w:val="28"/>
        </w:rPr>
        <w:t xml:space="preserve"> </w:t>
      </w:r>
      <w:r w:rsidR="007445B5">
        <w:rPr>
          <w:iCs/>
          <w:sz w:val="28"/>
          <w:szCs w:val="28"/>
        </w:rPr>
        <w:t>по СК, завершенным в 2022 </w:t>
      </w:r>
      <w:r w:rsidR="00A32475">
        <w:rPr>
          <w:iCs/>
          <w:sz w:val="28"/>
          <w:szCs w:val="28"/>
        </w:rPr>
        <w:t xml:space="preserve">году, </w:t>
      </w:r>
      <w:r w:rsidR="00BA515F">
        <w:rPr>
          <w:iCs/>
          <w:sz w:val="28"/>
          <w:szCs w:val="28"/>
        </w:rPr>
        <w:t xml:space="preserve">который </w:t>
      </w:r>
      <w:r w:rsidR="00B767E4" w:rsidRPr="00DA66A6">
        <w:rPr>
          <w:iCs/>
          <w:sz w:val="28"/>
          <w:szCs w:val="28"/>
        </w:rPr>
        <w:t>соста</w:t>
      </w:r>
      <w:r w:rsidR="000E0FDB" w:rsidRPr="00DA66A6">
        <w:rPr>
          <w:iCs/>
          <w:sz w:val="28"/>
          <w:szCs w:val="28"/>
        </w:rPr>
        <w:t xml:space="preserve">вил </w:t>
      </w:r>
      <w:r w:rsidR="00B767E4" w:rsidRPr="00DA66A6">
        <w:rPr>
          <w:iCs/>
          <w:sz w:val="28"/>
          <w:szCs w:val="28"/>
        </w:rPr>
        <w:t>28,7</w:t>
      </w:r>
      <w:r w:rsidR="007445B5">
        <w:rPr>
          <w:iCs/>
          <w:sz w:val="28"/>
          <w:szCs w:val="28"/>
        </w:rPr>
        <w:t> </w:t>
      </w:r>
      <w:r w:rsidR="00B767E4" w:rsidRPr="00DA66A6">
        <w:rPr>
          <w:iCs/>
          <w:sz w:val="28"/>
          <w:szCs w:val="28"/>
        </w:rPr>
        <w:t>%</w:t>
      </w:r>
      <w:r w:rsidR="00435FC7">
        <w:rPr>
          <w:iCs/>
          <w:sz w:val="28"/>
          <w:szCs w:val="28"/>
        </w:rPr>
        <w:t>).</w:t>
      </w:r>
    </w:p>
    <w:p w14:paraId="7037471D" w14:textId="77777777" w:rsidR="00793555" w:rsidRPr="00194F45" w:rsidRDefault="00793555" w:rsidP="00246259">
      <w:pPr>
        <w:pStyle w:val="1"/>
        <w:keepNext w:val="0"/>
        <w:widowControl w:val="0"/>
        <w:spacing w:before="0" w:after="0" w:line="360" w:lineRule="auto"/>
        <w:ind w:firstLine="709"/>
        <w:jc w:val="both"/>
        <w:rPr>
          <w:rFonts w:ascii="Times New Roman" w:hAnsi="Times New Roman" w:cs="Times New Roman"/>
          <w:sz w:val="28"/>
          <w:szCs w:val="28"/>
        </w:rPr>
      </w:pPr>
      <w:r w:rsidRPr="00194F45">
        <w:rPr>
          <w:rFonts w:ascii="Times New Roman" w:hAnsi="Times New Roman" w:cs="Times New Roman"/>
          <w:sz w:val="28"/>
          <w:szCs w:val="28"/>
        </w:rPr>
        <w:t>8.1.2. Оценить результаты реализации ГСП на основании СК по мероприятию, направленному на поиск работы.</w:t>
      </w:r>
    </w:p>
    <w:p w14:paraId="042DC5ED" w14:textId="77777777" w:rsidR="002C1E80" w:rsidRPr="00246259" w:rsidRDefault="002C1E80" w:rsidP="00246259">
      <w:pPr>
        <w:spacing w:line="360" w:lineRule="auto"/>
        <w:ind w:right="-142" w:firstLine="709"/>
        <w:jc w:val="both"/>
        <w:rPr>
          <w:bCs/>
          <w:sz w:val="28"/>
        </w:rPr>
      </w:pPr>
      <w:r w:rsidRPr="00246259">
        <w:rPr>
          <w:bCs/>
          <w:sz w:val="28"/>
        </w:rPr>
        <w:t>Критерий 4</w:t>
      </w:r>
    </w:p>
    <w:p w14:paraId="6B0ECABE" w14:textId="181C2D37" w:rsidR="002C1E80" w:rsidRPr="00246259" w:rsidRDefault="00D14D6D" w:rsidP="00246259">
      <w:pPr>
        <w:spacing w:line="360" w:lineRule="auto"/>
        <w:ind w:right="-142" w:firstLine="709"/>
        <w:jc w:val="both"/>
        <w:rPr>
          <w:sz w:val="28"/>
        </w:rPr>
      </w:pPr>
      <w:r w:rsidRPr="00246259">
        <w:rPr>
          <w:sz w:val="28"/>
        </w:rPr>
        <w:t xml:space="preserve">Во </w:t>
      </w:r>
      <w:r w:rsidR="00C44046" w:rsidRPr="00246259">
        <w:rPr>
          <w:sz w:val="28"/>
        </w:rPr>
        <w:t xml:space="preserve">всех </w:t>
      </w:r>
      <w:r w:rsidRPr="00246259">
        <w:rPr>
          <w:sz w:val="28"/>
        </w:rPr>
        <w:t>субъектах Российской Федерации обеспечено увеличение доли получателей ГСП на основании СК по мероприятию, направленному на поиск работы, у которых среднедушевой доход семьи превысил региональный размер прожиточного минимума.</w:t>
      </w:r>
    </w:p>
    <w:p w14:paraId="3CE35B9B" w14:textId="51E5B673" w:rsidR="00DA66A6" w:rsidRPr="00246259" w:rsidRDefault="00EF74EE" w:rsidP="00246259">
      <w:pPr>
        <w:spacing w:line="360" w:lineRule="auto"/>
        <w:ind w:right="-142" w:firstLine="709"/>
        <w:jc w:val="both"/>
        <w:rPr>
          <w:sz w:val="28"/>
        </w:rPr>
      </w:pPr>
      <w:r w:rsidRPr="00246259">
        <w:rPr>
          <w:bCs/>
          <w:iCs/>
          <w:sz w:val="28"/>
          <w:szCs w:val="28"/>
        </w:rPr>
        <w:t>Критерий 4 выполнен</w:t>
      </w:r>
      <w:r w:rsidRPr="00246259">
        <w:rPr>
          <w:sz w:val="28"/>
        </w:rPr>
        <w:t>.</w:t>
      </w:r>
    </w:p>
    <w:p w14:paraId="2AAC0714" w14:textId="623810B9" w:rsidR="00230127" w:rsidRPr="00246259" w:rsidRDefault="00230127" w:rsidP="00246259">
      <w:pPr>
        <w:spacing w:line="360" w:lineRule="auto"/>
        <w:ind w:right="-142" w:firstLine="709"/>
        <w:jc w:val="both"/>
        <w:rPr>
          <w:sz w:val="28"/>
        </w:rPr>
      </w:pPr>
      <w:r w:rsidRPr="00246259">
        <w:rPr>
          <w:sz w:val="28"/>
        </w:rPr>
        <w:t xml:space="preserve">В </w:t>
      </w:r>
      <w:r w:rsidR="004F11C1" w:rsidRPr="00246259">
        <w:rPr>
          <w:sz w:val="28"/>
        </w:rPr>
        <w:t>66</w:t>
      </w:r>
      <w:r w:rsidR="00EF74EE" w:rsidRPr="00246259">
        <w:rPr>
          <w:sz w:val="28"/>
        </w:rPr>
        <w:t xml:space="preserve"> субъект</w:t>
      </w:r>
      <w:r w:rsidR="004F11C1" w:rsidRPr="00246259">
        <w:rPr>
          <w:sz w:val="28"/>
        </w:rPr>
        <w:t>ах</w:t>
      </w:r>
      <w:r w:rsidR="00EF74EE" w:rsidRPr="00246259">
        <w:rPr>
          <w:sz w:val="28"/>
        </w:rPr>
        <w:t xml:space="preserve"> Российской Федерации обеспечено увеличение доли участников СК по мероприятию, направленному на поиск работы, у которых по результатам СК среднедушевой доход семьи превысил величину ПМ, по СК, завершенным в 202</w:t>
      </w:r>
      <w:r w:rsidR="00A90840" w:rsidRPr="00246259">
        <w:rPr>
          <w:sz w:val="28"/>
        </w:rPr>
        <w:t>3</w:t>
      </w:r>
      <w:r w:rsidR="00EF74EE" w:rsidRPr="00246259">
        <w:rPr>
          <w:sz w:val="28"/>
        </w:rPr>
        <w:t xml:space="preserve"> году по отношению к СК, завершенным в 202</w:t>
      </w:r>
      <w:r w:rsidR="00A90840" w:rsidRPr="00246259">
        <w:rPr>
          <w:sz w:val="28"/>
        </w:rPr>
        <w:t>1</w:t>
      </w:r>
      <w:r w:rsidR="00EF74EE" w:rsidRPr="00246259">
        <w:rPr>
          <w:sz w:val="28"/>
        </w:rPr>
        <w:t xml:space="preserve"> году</w:t>
      </w:r>
      <w:r w:rsidR="00793555" w:rsidRPr="00246259">
        <w:rPr>
          <w:rStyle w:val="a5"/>
          <w:sz w:val="28"/>
          <w:szCs w:val="28"/>
        </w:rPr>
        <w:footnoteReference w:id="5"/>
      </w:r>
      <w:r w:rsidRPr="00246259">
        <w:rPr>
          <w:sz w:val="28"/>
        </w:rPr>
        <w:t>.</w:t>
      </w:r>
    </w:p>
    <w:p w14:paraId="4A45586F" w14:textId="4008488D" w:rsidR="00EF74EE" w:rsidRPr="00246259" w:rsidRDefault="004F11C1" w:rsidP="00194F45">
      <w:pPr>
        <w:spacing w:line="360" w:lineRule="auto"/>
        <w:ind w:right="-142" w:firstLine="709"/>
        <w:jc w:val="both"/>
        <w:rPr>
          <w:sz w:val="28"/>
        </w:rPr>
      </w:pPr>
      <w:r w:rsidRPr="00246259">
        <w:rPr>
          <w:sz w:val="28"/>
        </w:rPr>
        <w:t xml:space="preserve">В </w:t>
      </w:r>
      <w:r w:rsidR="000573F4" w:rsidRPr="00246259">
        <w:rPr>
          <w:sz w:val="28"/>
        </w:rPr>
        <w:t>13</w:t>
      </w:r>
      <w:r w:rsidR="00944142" w:rsidRPr="00246259">
        <w:rPr>
          <w:sz w:val="28"/>
        </w:rPr>
        <w:t xml:space="preserve"> субъект</w:t>
      </w:r>
      <w:r w:rsidR="00793555" w:rsidRPr="00246259">
        <w:rPr>
          <w:sz w:val="28"/>
        </w:rPr>
        <w:t xml:space="preserve">ах Российской Федерации </w:t>
      </w:r>
      <w:r w:rsidR="00944142" w:rsidRPr="00246259">
        <w:rPr>
          <w:sz w:val="28"/>
        </w:rPr>
        <w:t xml:space="preserve"> обеспечено увеличение доли </w:t>
      </w:r>
      <w:r w:rsidR="00230127" w:rsidRPr="00246259">
        <w:rPr>
          <w:sz w:val="28"/>
        </w:rPr>
        <w:t>участников СК по мероприятию, направленному на поиск работы, у которых по результатам СК среднедушевой доход семьи превысил величину ПМ, по СК, завершенным в 2023 году по отношению к СК, завершенным в 2022 году.</w:t>
      </w:r>
      <w:r w:rsidR="00FE7C41" w:rsidRPr="00246259">
        <w:rPr>
          <w:sz w:val="28"/>
        </w:rPr>
        <w:t xml:space="preserve"> (</w:t>
      </w:r>
      <w:r w:rsidR="00574575" w:rsidRPr="00246259">
        <w:rPr>
          <w:sz w:val="28"/>
        </w:rPr>
        <w:t>т</w:t>
      </w:r>
      <w:r w:rsidR="00FE7C41" w:rsidRPr="00246259">
        <w:rPr>
          <w:sz w:val="28"/>
        </w:rPr>
        <w:t>аблица </w:t>
      </w:r>
      <w:r w:rsidR="007445B5" w:rsidRPr="00246259">
        <w:rPr>
          <w:sz w:val="28"/>
        </w:rPr>
        <w:t>5 приложения № 1</w:t>
      </w:r>
      <w:r w:rsidR="00F814BB" w:rsidRPr="00246259">
        <w:rPr>
          <w:sz w:val="28"/>
        </w:rPr>
        <w:t>)</w:t>
      </w:r>
      <w:r w:rsidR="00EF74EE" w:rsidRPr="00246259">
        <w:rPr>
          <w:sz w:val="28"/>
        </w:rPr>
        <w:t>.</w:t>
      </w:r>
    </w:p>
    <w:p w14:paraId="6A6F9AB6" w14:textId="77777777" w:rsidR="00660F13" w:rsidRPr="00246259" w:rsidRDefault="00660F13" w:rsidP="00194F45">
      <w:pPr>
        <w:pStyle w:val="1"/>
        <w:keepNext w:val="0"/>
        <w:widowControl w:val="0"/>
        <w:tabs>
          <w:tab w:val="left" w:pos="2268"/>
        </w:tabs>
        <w:spacing w:before="0" w:after="0" w:line="360" w:lineRule="auto"/>
        <w:ind w:firstLine="709"/>
        <w:jc w:val="both"/>
        <w:rPr>
          <w:sz w:val="8"/>
          <w:szCs w:val="28"/>
        </w:rPr>
      </w:pPr>
      <w:r w:rsidRPr="00246259">
        <w:rPr>
          <w:rFonts w:ascii="Times New Roman" w:hAnsi="Times New Roman" w:cs="Times New Roman"/>
          <w:sz w:val="28"/>
          <w:szCs w:val="28"/>
        </w:rPr>
        <w:t>8.1.3. Оценить результаты реализации ГСП на основании СК по мероприятию, направленному на осуществление индивидуальной предпринимательской деятельности.</w:t>
      </w:r>
    </w:p>
    <w:p w14:paraId="512B8E32" w14:textId="7AC8641D" w:rsidR="00D14D6D" w:rsidRPr="00246259" w:rsidRDefault="00D14D6D" w:rsidP="00246259">
      <w:pPr>
        <w:spacing w:line="360" w:lineRule="auto"/>
        <w:ind w:right="-284" w:firstLine="709"/>
        <w:jc w:val="both"/>
        <w:rPr>
          <w:bCs/>
          <w:sz w:val="28"/>
        </w:rPr>
      </w:pPr>
      <w:r w:rsidRPr="00246259">
        <w:rPr>
          <w:bCs/>
          <w:sz w:val="28"/>
        </w:rPr>
        <w:t>Критерий 5</w:t>
      </w:r>
    </w:p>
    <w:p w14:paraId="0EFAF43A" w14:textId="087FEE95" w:rsidR="00D14D6D" w:rsidRPr="00246259" w:rsidRDefault="00D14D6D" w:rsidP="00246259">
      <w:pPr>
        <w:spacing w:line="360" w:lineRule="auto"/>
        <w:ind w:firstLine="709"/>
        <w:jc w:val="both"/>
        <w:rPr>
          <w:sz w:val="28"/>
        </w:rPr>
      </w:pPr>
      <w:r w:rsidRPr="00246259">
        <w:rPr>
          <w:sz w:val="28"/>
        </w:rPr>
        <w:t xml:space="preserve">Во </w:t>
      </w:r>
      <w:r w:rsidR="00C44046" w:rsidRPr="00246259">
        <w:rPr>
          <w:sz w:val="28"/>
        </w:rPr>
        <w:t xml:space="preserve">всех </w:t>
      </w:r>
      <w:r w:rsidRPr="00246259">
        <w:rPr>
          <w:sz w:val="28"/>
        </w:rPr>
        <w:t>субъектах Российской Федерации обеспечено увеличение доли получателей ГСП на основании СК по мероприятию, направленному на осуществление индивидуальной предпринимательской деятельности</w:t>
      </w:r>
      <w:r w:rsidR="009B1D50" w:rsidRPr="00246259">
        <w:rPr>
          <w:sz w:val="28"/>
        </w:rPr>
        <w:t xml:space="preserve"> (далее – ИПД)</w:t>
      </w:r>
      <w:r w:rsidRPr="00246259">
        <w:rPr>
          <w:sz w:val="28"/>
        </w:rPr>
        <w:t>, у которых среднедушевой доход семьи превысил региональный размер прожиточного минимума.</w:t>
      </w:r>
    </w:p>
    <w:p w14:paraId="14C5E14B" w14:textId="77777777" w:rsidR="007445B5" w:rsidRPr="007445B5" w:rsidRDefault="007445B5" w:rsidP="00246259">
      <w:pPr>
        <w:spacing w:line="360" w:lineRule="auto"/>
        <w:ind w:firstLine="709"/>
        <w:jc w:val="both"/>
        <w:rPr>
          <w:b/>
          <w:bCs/>
          <w:sz w:val="14"/>
          <w:szCs w:val="28"/>
        </w:rPr>
      </w:pPr>
    </w:p>
    <w:p w14:paraId="346FB6E0" w14:textId="66B6FAF1" w:rsidR="003162B8" w:rsidRPr="00246259" w:rsidRDefault="00C5390E" w:rsidP="00246259">
      <w:pPr>
        <w:spacing w:line="360" w:lineRule="auto"/>
        <w:ind w:firstLine="709"/>
        <w:jc w:val="both"/>
        <w:rPr>
          <w:i/>
          <w:sz w:val="28"/>
        </w:rPr>
      </w:pPr>
      <w:r w:rsidRPr="00246259">
        <w:rPr>
          <w:bCs/>
          <w:sz w:val="28"/>
          <w:szCs w:val="28"/>
        </w:rPr>
        <w:t>Критерий 5 выполнен</w:t>
      </w:r>
      <w:r w:rsidRPr="00246259">
        <w:rPr>
          <w:i/>
          <w:sz w:val="28"/>
        </w:rPr>
        <w:t xml:space="preserve">. </w:t>
      </w:r>
    </w:p>
    <w:p w14:paraId="55EB58FB" w14:textId="37DDE03C" w:rsidR="00B83144" w:rsidRPr="00246259" w:rsidRDefault="00B83144" w:rsidP="00246259">
      <w:pPr>
        <w:spacing w:line="360" w:lineRule="auto"/>
        <w:ind w:firstLine="709"/>
        <w:jc w:val="both"/>
        <w:rPr>
          <w:sz w:val="28"/>
        </w:rPr>
      </w:pPr>
      <w:r w:rsidRPr="00246259">
        <w:rPr>
          <w:sz w:val="28"/>
        </w:rPr>
        <w:t xml:space="preserve">В </w:t>
      </w:r>
      <w:r w:rsidR="00A57E3B" w:rsidRPr="00246259">
        <w:rPr>
          <w:sz w:val="28"/>
        </w:rPr>
        <w:t>44</w:t>
      </w:r>
      <w:r w:rsidRPr="00246259">
        <w:rPr>
          <w:sz w:val="28"/>
        </w:rPr>
        <w:t xml:space="preserve"> субъектах Российской Федерации обеспечено увеличение доли участников СК по мероприятию, направленному </w:t>
      </w:r>
      <w:r w:rsidR="009B1D50" w:rsidRPr="00246259">
        <w:rPr>
          <w:sz w:val="28"/>
        </w:rPr>
        <w:t>на осуществление ИПД</w:t>
      </w:r>
      <w:r w:rsidRPr="00246259">
        <w:rPr>
          <w:sz w:val="28"/>
        </w:rPr>
        <w:t>, у которых по результатам СК среднедушевой доход семьи превысил величину ПМ, по СК, завершенным в 2023 году по отношению к СК, завершенным в 2021 году</w:t>
      </w:r>
      <w:r w:rsidRPr="00246259">
        <w:rPr>
          <w:rStyle w:val="a5"/>
          <w:sz w:val="28"/>
          <w:szCs w:val="28"/>
        </w:rPr>
        <w:footnoteReference w:id="6"/>
      </w:r>
      <w:r w:rsidRPr="00246259">
        <w:rPr>
          <w:sz w:val="28"/>
        </w:rPr>
        <w:t>.</w:t>
      </w:r>
    </w:p>
    <w:p w14:paraId="40C173D1" w14:textId="7B5EF7B3" w:rsidR="00B83144" w:rsidRPr="00246259" w:rsidRDefault="00B83144" w:rsidP="00246259">
      <w:pPr>
        <w:spacing w:line="360" w:lineRule="auto"/>
        <w:ind w:firstLine="709"/>
        <w:jc w:val="both"/>
        <w:rPr>
          <w:sz w:val="28"/>
        </w:rPr>
      </w:pPr>
      <w:r w:rsidRPr="00246259">
        <w:rPr>
          <w:sz w:val="28"/>
        </w:rPr>
        <w:t xml:space="preserve">В </w:t>
      </w:r>
      <w:r w:rsidR="00A57E3B" w:rsidRPr="00246259">
        <w:rPr>
          <w:sz w:val="28"/>
        </w:rPr>
        <w:t>30</w:t>
      </w:r>
      <w:r w:rsidRPr="00246259">
        <w:rPr>
          <w:sz w:val="28"/>
        </w:rPr>
        <w:t xml:space="preserve"> субъектах Российской Федерации  обеспечено увеличение доли участников СК по мероприятию, направленному на </w:t>
      </w:r>
      <w:r w:rsidR="009B1D50" w:rsidRPr="00246259">
        <w:rPr>
          <w:sz w:val="28"/>
        </w:rPr>
        <w:t>осуществление ИПД</w:t>
      </w:r>
      <w:r w:rsidRPr="00246259">
        <w:rPr>
          <w:sz w:val="28"/>
        </w:rPr>
        <w:t>, у которых по результатам СК среднедушевой доход семьи превысил величину ПМ, по СК, завершенным в 2023 году по отношению к СК, завершенным в 2022 году. (</w:t>
      </w:r>
      <w:r w:rsidR="00574575" w:rsidRPr="00246259">
        <w:rPr>
          <w:sz w:val="28"/>
        </w:rPr>
        <w:t>т</w:t>
      </w:r>
      <w:r w:rsidRPr="00246259">
        <w:rPr>
          <w:sz w:val="28"/>
        </w:rPr>
        <w:t>аблица </w:t>
      </w:r>
      <w:r w:rsidR="007445B5" w:rsidRPr="00246259">
        <w:rPr>
          <w:sz w:val="28"/>
        </w:rPr>
        <w:t>6 приложения № 1 к отчету</w:t>
      </w:r>
      <w:r w:rsidRPr="00246259">
        <w:rPr>
          <w:sz w:val="28"/>
        </w:rPr>
        <w:t>).</w:t>
      </w:r>
    </w:p>
    <w:p w14:paraId="33237D96" w14:textId="40B5A0CC" w:rsidR="00D14D6D" w:rsidRPr="00246259" w:rsidRDefault="00D14D6D" w:rsidP="00246259">
      <w:pPr>
        <w:spacing w:line="360" w:lineRule="auto"/>
        <w:ind w:right="-284" w:firstLine="709"/>
        <w:jc w:val="both"/>
        <w:rPr>
          <w:bCs/>
          <w:sz w:val="28"/>
        </w:rPr>
      </w:pPr>
      <w:r w:rsidRPr="00246259">
        <w:rPr>
          <w:bCs/>
          <w:sz w:val="28"/>
        </w:rPr>
        <w:t>Критерий 6</w:t>
      </w:r>
    </w:p>
    <w:p w14:paraId="7395AA72" w14:textId="77777777" w:rsidR="00D14D6D" w:rsidRPr="00246259" w:rsidRDefault="00D14D6D" w:rsidP="00246259">
      <w:pPr>
        <w:spacing w:line="360" w:lineRule="auto"/>
        <w:ind w:firstLine="709"/>
        <w:jc w:val="both"/>
        <w:rPr>
          <w:sz w:val="28"/>
        </w:rPr>
      </w:pPr>
      <w:r w:rsidRPr="00246259">
        <w:rPr>
          <w:sz w:val="28"/>
        </w:rPr>
        <w:t>В субъектах Российской Федерации обеспечен прирост к предыдущему году доли получателей ГСП на основании СК по мероприятию, направленному на осуществление индивидуальной предпринимательской деятельности, у которых среднедушевой доход превысил региональный размер прожиточного минимума без учета социальных выплат на детей.</w:t>
      </w:r>
    </w:p>
    <w:p w14:paraId="2FA1A688" w14:textId="2BB1A315" w:rsidR="000079F7" w:rsidRPr="00246259" w:rsidRDefault="005E4FAF" w:rsidP="00246259">
      <w:pPr>
        <w:spacing w:line="360" w:lineRule="auto"/>
        <w:ind w:firstLine="709"/>
        <w:jc w:val="both"/>
        <w:rPr>
          <w:bCs/>
          <w:sz w:val="28"/>
          <w:szCs w:val="28"/>
        </w:rPr>
      </w:pPr>
      <w:r w:rsidRPr="00246259">
        <w:rPr>
          <w:bCs/>
          <w:sz w:val="28"/>
          <w:szCs w:val="28"/>
        </w:rPr>
        <w:t>Критерий 6 выполнен.</w:t>
      </w:r>
    </w:p>
    <w:p w14:paraId="2B2209E2" w14:textId="796D0123" w:rsidR="000573F4" w:rsidRDefault="000573F4" w:rsidP="00246259">
      <w:pPr>
        <w:spacing w:line="360" w:lineRule="auto"/>
        <w:ind w:firstLine="709"/>
        <w:jc w:val="both"/>
        <w:rPr>
          <w:iCs/>
          <w:sz w:val="28"/>
        </w:rPr>
      </w:pPr>
      <w:r>
        <w:rPr>
          <w:iCs/>
          <w:sz w:val="28"/>
        </w:rPr>
        <w:t xml:space="preserve">Оценка выполнения критерия осуществлялась </w:t>
      </w:r>
      <w:r w:rsidR="00F710E1">
        <w:rPr>
          <w:iCs/>
          <w:sz w:val="28"/>
        </w:rPr>
        <w:t>на примере двух субъектов Российской Федерации, в которые осуществлялся выезд в ходе ЭАМ.</w:t>
      </w:r>
    </w:p>
    <w:p w14:paraId="3C0B22EA" w14:textId="5CBD84CB" w:rsidR="000079F7" w:rsidRDefault="000079F7" w:rsidP="00246259">
      <w:pPr>
        <w:spacing w:line="360" w:lineRule="auto"/>
        <w:ind w:firstLine="709"/>
        <w:jc w:val="both"/>
        <w:rPr>
          <w:iCs/>
          <w:sz w:val="28"/>
        </w:rPr>
      </w:pPr>
      <w:r w:rsidRPr="00884CA2">
        <w:rPr>
          <w:iCs/>
          <w:sz w:val="28"/>
        </w:rPr>
        <w:t xml:space="preserve">В Республике Бурятия </w:t>
      </w:r>
      <w:r w:rsidR="005E4FAF" w:rsidRPr="00884CA2">
        <w:rPr>
          <w:iCs/>
          <w:sz w:val="28"/>
        </w:rPr>
        <w:t xml:space="preserve">и Рязанской области </w:t>
      </w:r>
      <w:r w:rsidRPr="00884CA2">
        <w:rPr>
          <w:iCs/>
          <w:sz w:val="28"/>
        </w:rPr>
        <w:t>обеспечен прирост к предыдущему году доли получателей ГСП на основании СК по мероприятию, направленному на осуществление индивидуальной предпринимательской деятельности, у которых среднедушевой доход превысил региональный размер прожиточного минимума без учета социальных выплат на детей</w:t>
      </w:r>
      <w:r w:rsidR="001C18B6" w:rsidRPr="00884CA2">
        <w:rPr>
          <w:iCs/>
          <w:sz w:val="28"/>
        </w:rPr>
        <w:t xml:space="preserve"> (</w:t>
      </w:r>
      <w:r w:rsidR="00574575">
        <w:rPr>
          <w:iCs/>
          <w:sz w:val="28"/>
        </w:rPr>
        <w:t>т</w:t>
      </w:r>
      <w:r w:rsidR="001C18B6" w:rsidRPr="00884CA2">
        <w:rPr>
          <w:iCs/>
          <w:sz w:val="28"/>
        </w:rPr>
        <w:t xml:space="preserve">аблица </w:t>
      </w:r>
      <w:r w:rsidR="0067269D">
        <w:rPr>
          <w:iCs/>
          <w:sz w:val="28"/>
        </w:rPr>
        <w:t>1</w:t>
      </w:r>
      <w:r w:rsidR="001C18B6" w:rsidRPr="00884CA2">
        <w:rPr>
          <w:iCs/>
          <w:sz w:val="28"/>
        </w:rPr>
        <w:t>)</w:t>
      </w:r>
      <w:r w:rsidRPr="00884CA2">
        <w:rPr>
          <w:iCs/>
          <w:sz w:val="28"/>
        </w:rPr>
        <w:t>.</w:t>
      </w:r>
    </w:p>
    <w:p w14:paraId="0425AFFC" w14:textId="77777777" w:rsidR="00194F45" w:rsidRDefault="00194F45" w:rsidP="00246259">
      <w:pPr>
        <w:spacing w:line="360" w:lineRule="auto"/>
        <w:ind w:firstLine="709"/>
        <w:jc w:val="both"/>
        <w:rPr>
          <w:iCs/>
          <w:sz w:val="28"/>
        </w:rPr>
      </w:pPr>
    </w:p>
    <w:p w14:paraId="34DCF63E" w14:textId="77777777" w:rsidR="00194F45" w:rsidRDefault="00194F45" w:rsidP="00246259">
      <w:pPr>
        <w:spacing w:line="360" w:lineRule="auto"/>
        <w:ind w:firstLine="709"/>
        <w:jc w:val="both"/>
        <w:rPr>
          <w:iCs/>
          <w:sz w:val="28"/>
        </w:rPr>
      </w:pPr>
    </w:p>
    <w:p w14:paraId="1BDF7BFF" w14:textId="77777777" w:rsidR="00194F45" w:rsidRPr="00884CA2" w:rsidRDefault="00194F45" w:rsidP="00246259">
      <w:pPr>
        <w:spacing w:line="360" w:lineRule="auto"/>
        <w:ind w:firstLine="709"/>
        <w:jc w:val="both"/>
        <w:rPr>
          <w:iCs/>
          <w:sz w:val="28"/>
        </w:rPr>
      </w:pPr>
    </w:p>
    <w:p w14:paraId="6F3ED13D" w14:textId="77777777" w:rsidR="001C18B6" w:rsidRPr="001C18B6" w:rsidRDefault="001C18B6" w:rsidP="001C18B6">
      <w:pPr>
        <w:jc w:val="right"/>
        <w:rPr>
          <w:sz w:val="12"/>
          <w:szCs w:val="28"/>
        </w:rPr>
      </w:pPr>
    </w:p>
    <w:p w14:paraId="6E8DA494" w14:textId="2B7828C6" w:rsidR="0067269D" w:rsidRDefault="0067269D" w:rsidP="0067269D">
      <w:pPr>
        <w:ind w:firstLine="709"/>
        <w:jc w:val="right"/>
        <w:rPr>
          <w:sz w:val="28"/>
          <w:szCs w:val="28"/>
        </w:rPr>
      </w:pPr>
      <w:r>
        <w:rPr>
          <w:sz w:val="28"/>
          <w:szCs w:val="28"/>
        </w:rPr>
        <w:t xml:space="preserve">Таблица 1 </w:t>
      </w:r>
    </w:p>
    <w:p w14:paraId="5C71BB90" w14:textId="18A20F0E" w:rsidR="005E4FAF" w:rsidRDefault="001C18B6" w:rsidP="001C18B6">
      <w:pPr>
        <w:ind w:firstLine="709"/>
        <w:jc w:val="center"/>
        <w:rPr>
          <w:sz w:val="28"/>
          <w:szCs w:val="28"/>
        </w:rPr>
      </w:pPr>
      <w:r>
        <w:rPr>
          <w:sz w:val="28"/>
          <w:szCs w:val="28"/>
        </w:rPr>
        <w:t>Сведения о выполнении критерия (в</w:t>
      </w:r>
      <w:r w:rsidR="005E4FAF" w:rsidRPr="008F5D96">
        <w:rPr>
          <w:sz w:val="28"/>
          <w:szCs w:val="28"/>
        </w:rPr>
        <w:t>ыборк</w:t>
      </w:r>
      <w:r>
        <w:rPr>
          <w:sz w:val="28"/>
          <w:szCs w:val="28"/>
        </w:rPr>
        <w:t>а</w:t>
      </w:r>
      <w:r w:rsidR="005E4FAF" w:rsidRPr="008F5D96">
        <w:rPr>
          <w:sz w:val="28"/>
          <w:szCs w:val="28"/>
        </w:rPr>
        <w:t xml:space="preserve"> </w:t>
      </w:r>
      <w:r w:rsidR="005E4FAF">
        <w:rPr>
          <w:sz w:val="28"/>
          <w:szCs w:val="28"/>
        </w:rPr>
        <w:t xml:space="preserve">личных дел граждан, заключивших СК на ИПД </w:t>
      </w:r>
      <w:r w:rsidR="005E4FAF" w:rsidRPr="008F5D96">
        <w:rPr>
          <w:sz w:val="28"/>
          <w:szCs w:val="28"/>
        </w:rPr>
        <w:t>в Республике Бурятия</w:t>
      </w:r>
      <w:r>
        <w:rPr>
          <w:sz w:val="28"/>
          <w:szCs w:val="28"/>
        </w:rPr>
        <w:t xml:space="preserve"> и Рязанской области)</w:t>
      </w:r>
      <w:r w:rsidR="00246259">
        <w:rPr>
          <w:sz w:val="28"/>
          <w:szCs w:val="28"/>
        </w:rPr>
        <w:br/>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617"/>
        <w:gridCol w:w="3111"/>
        <w:gridCol w:w="3827"/>
      </w:tblGrid>
      <w:tr w:rsidR="000079F7" w:rsidRPr="005E4FAF" w14:paraId="6562F65A" w14:textId="77777777" w:rsidTr="0067269D">
        <w:trPr>
          <w:trHeight w:val="1012"/>
          <w:jc w:val="center"/>
        </w:trPr>
        <w:tc>
          <w:tcPr>
            <w:tcW w:w="1079" w:type="dxa"/>
            <w:shd w:val="clear" w:color="auto" w:fill="auto"/>
            <w:noWrap/>
            <w:hideMark/>
          </w:tcPr>
          <w:p w14:paraId="71E4A93F" w14:textId="3819038F" w:rsidR="000079F7" w:rsidRPr="005E4FAF" w:rsidRDefault="005E4FAF" w:rsidP="00FE7C41">
            <w:pPr>
              <w:jc w:val="center"/>
              <w:rPr>
                <w:sz w:val="20"/>
                <w:szCs w:val="20"/>
              </w:rPr>
            </w:pPr>
            <w:r>
              <w:rPr>
                <w:sz w:val="20"/>
                <w:szCs w:val="20"/>
              </w:rPr>
              <w:t>Год</w:t>
            </w:r>
          </w:p>
        </w:tc>
        <w:tc>
          <w:tcPr>
            <w:tcW w:w="1617" w:type="dxa"/>
            <w:shd w:val="clear" w:color="auto" w:fill="auto"/>
            <w:hideMark/>
          </w:tcPr>
          <w:p w14:paraId="6C3DD9FC" w14:textId="77777777" w:rsidR="000079F7" w:rsidRPr="005E4FAF" w:rsidRDefault="000079F7" w:rsidP="00FE7C41">
            <w:pPr>
              <w:jc w:val="center"/>
              <w:rPr>
                <w:sz w:val="20"/>
                <w:szCs w:val="20"/>
              </w:rPr>
            </w:pPr>
            <w:r w:rsidRPr="005E4FAF">
              <w:rPr>
                <w:sz w:val="20"/>
                <w:szCs w:val="20"/>
              </w:rPr>
              <w:t xml:space="preserve">Количество семей с детьми по выборке </w:t>
            </w:r>
          </w:p>
        </w:tc>
        <w:tc>
          <w:tcPr>
            <w:tcW w:w="3111" w:type="dxa"/>
            <w:shd w:val="clear" w:color="auto" w:fill="auto"/>
            <w:hideMark/>
          </w:tcPr>
          <w:p w14:paraId="1BE07B61" w14:textId="77777777" w:rsidR="000079F7" w:rsidRPr="005E4FAF" w:rsidRDefault="000079F7" w:rsidP="00FE7C41">
            <w:pPr>
              <w:jc w:val="center"/>
              <w:rPr>
                <w:sz w:val="20"/>
                <w:szCs w:val="20"/>
              </w:rPr>
            </w:pPr>
            <w:r w:rsidRPr="005E4FAF">
              <w:rPr>
                <w:sz w:val="20"/>
                <w:szCs w:val="20"/>
              </w:rPr>
              <w:t>Количество семей с детьми, у которых среднедушевой доход семьи превысил региональный размер ПМ и произошел рост доходов без учета пособий</w:t>
            </w:r>
          </w:p>
        </w:tc>
        <w:tc>
          <w:tcPr>
            <w:tcW w:w="3827" w:type="dxa"/>
            <w:shd w:val="clear" w:color="auto" w:fill="auto"/>
            <w:hideMark/>
          </w:tcPr>
          <w:p w14:paraId="0DEA0232" w14:textId="77777777" w:rsidR="000079F7" w:rsidRPr="005E4FAF" w:rsidRDefault="000079F7" w:rsidP="00FE7C41">
            <w:pPr>
              <w:jc w:val="center"/>
              <w:rPr>
                <w:sz w:val="20"/>
                <w:szCs w:val="20"/>
              </w:rPr>
            </w:pPr>
            <w:r w:rsidRPr="005E4FAF">
              <w:rPr>
                <w:sz w:val="20"/>
                <w:szCs w:val="20"/>
              </w:rPr>
              <w:t xml:space="preserve">Доля семей с детьми, у которых среднедушевой доход семьи превысил региональный размер ПМ и произошел рост доходов без учета пособий в общей численности семей с детьми </w:t>
            </w:r>
          </w:p>
        </w:tc>
      </w:tr>
      <w:tr w:rsidR="001C18B6" w:rsidRPr="005E4FAF" w14:paraId="37385F9C" w14:textId="77777777" w:rsidTr="008B5C1A">
        <w:trPr>
          <w:trHeight w:val="256"/>
          <w:jc w:val="center"/>
        </w:trPr>
        <w:tc>
          <w:tcPr>
            <w:tcW w:w="9634" w:type="dxa"/>
            <w:gridSpan w:val="4"/>
            <w:shd w:val="clear" w:color="auto" w:fill="auto"/>
            <w:noWrap/>
          </w:tcPr>
          <w:p w14:paraId="4D8660B2" w14:textId="40073387" w:rsidR="001C18B6" w:rsidRPr="005E4FAF" w:rsidRDefault="001C18B6" w:rsidP="00FE7C41">
            <w:pPr>
              <w:jc w:val="center"/>
              <w:rPr>
                <w:sz w:val="20"/>
                <w:szCs w:val="20"/>
              </w:rPr>
            </w:pPr>
            <w:r w:rsidRPr="008F5D96">
              <w:rPr>
                <w:sz w:val="28"/>
                <w:szCs w:val="28"/>
              </w:rPr>
              <w:t>Республике Бурятия</w:t>
            </w:r>
          </w:p>
        </w:tc>
      </w:tr>
      <w:tr w:rsidR="000079F7" w:rsidRPr="00246259" w14:paraId="62F154FB" w14:textId="77777777" w:rsidTr="0067269D">
        <w:trPr>
          <w:trHeight w:val="316"/>
          <w:jc w:val="center"/>
        </w:trPr>
        <w:tc>
          <w:tcPr>
            <w:tcW w:w="1079" w:type="dxa"/>
            <w:shd w:val="clear" w:color="auto" w:fill="auto"/>
            <w:noWrap/>
            <w:hideMark/>
          </w:tcPr>
          <w:p w14:paraId="4EBCA159" w14:textId="77777777" w:rsidR="000079F7" w:rsidRPr="00246259" w:rsidRDefault="000079F7" w:rsidP="00FE7C41">
            <w:pPr>
              <w:jc w:val="center"/>
              <w:rPr>
                <w:color w:val="000000"/>
                <w:sz w:val="20"/>
                <w:szCs w:val="20"/>
              </w:rPr>
            </w:pPr>
            <w:r w:rsidRPr="00246259">
              <w:rPr>
                <w:color w:val="000000"/>
                <w:sz w:val="20"/>
                <w:szCs w:val="20"/>
              </w:rPr>
              <w:t>2021</w:t>
            </w:r>
          </w:p>
        </w:tc>
        <w:tc>
          <w:tcPr>
            <w:tcW w:w="1617" w:type="dxa"/>
            <w:shd w:val="clear" w:color="auto" w:fill="auto"/>
            <w:noWrap/>
            <w:hideMark/>
          </w:tcPr>
          <w:p w14:paraId="3586B5DD" w14:textId="77777777" w:rsidR="000079F7" w:rsidRPr="00246259" w:rsidRDefault="000079F7" w:rsidP="00FE7C41">
            <w:pPr>
              <w:jc w:val="center"/>
              <w:rPr>
                <w:color w:val="000000"/>
                <w:sz w:val="20"/>
                <w:szCs w:val="20"/>
              </w:rPr>
            </w:pPr>
            <w:r w:rsidRPr="00246259">
              <w:rPr>
                <w:color w:val="000000"/>
                <w:sz w:val="20"/>
                <w:szCs w:val="20"/>
              </w:rPr>
              <w:t>29</w:t>
            </w:r>
          </w:p>
        </w:tc>
        <w:tc>
          <w:tcPr>
            <w:tcW w:w="3111" w:type="dxa"/>
            <w:shd w:val="clear" w:color="auto" w:fill="auto"/>
            <w:noWrap/>
            <w:hideMark/>
          </w:tcPr>
          <w:p w14:paraId="0BFBB3A8" w14:textId="77777777" w:rsidR="000079F7" w:rsidRPr="00246259" w:rsidRDefault="000079F7" w:rsidP="00FE7C41">
            <w:pPr>
              <w:jc w:val="center"/>
              <w:rPr>
                <w:color w:val="000000"/>
                <w:sz w:val="20"/>
                <w:szCs w:val="20"/>
              </w:rPr>
            </w:pPr>
            <w:r w:rsidRPr="00246259">
              <w:rPr>
                <w:color w:val="000000"/>
                <w:sz w:val="20"/>
                <w:szCs w:val="20"/>
              </w:rPr>
              <w:t>16</w:t>
            </w:r>
          </w:p>
        </w:tc>
        <w:tc>
          <w:tcPr>
            <w:tcW w:w="3827" w:type="dxa"/>
            <w:shd w:val="clear" w:color="auto" w:fill="auto"/>
            <w:noWrap/>
            <w:hideMark/>
          </w:tcPr>
          <w:p w14:paraId="5227FBBD" w14:textId="77777777" w:rsidR="000079F7" w:rsidRPr="00246259" w:rsidRDefault="000079F7" w:rsidP="00FE7C41">
            <w:pPr>
              <w:jc w:val="center"/>
              <w:rPr>
                <w:color w:val="000000"/>
                <w:sz w:val="20"/>
                <w:szCs w:val="20"/>
              </w:rPr>
            </w:pPr>
            <w:r w:rsidRPr="00246259">
              <w:rPr>
                <w:color w:val="000000"/>
                <w:sz w:val="20"/>
                <w:szCs w:val="20"/>
              </w:rPr>
              <w:t>55,2%</w:t>
            </w:r>
          </w:p>
        </w:tc>
      </w:tr>
      <w:tr w:rsidR="000079F7" w:rsidRPr="00246259" w14:paraId="4C3EF925" w14:textId="77777777" w:rsidTr="0067269D">
        <w:trPr>
          <w:trHeight w:val="316"/>
          <w:jc w:val="center"/>
        </w:trPr>
        <w:tc>
          <w:tcPr>
            <w:tcW w:w="1079" w:type="dxa"/>
            <w:shd w:val="clear" w:color="auto" w:fill="auto"/>
            <w:noWrap/>
            <w:hideMark/>
          </w:tcPr>
          <w:p w14:paraId="5F55FA6C" w14:textId="77777777" w:rsidR="000079F7" w:rsidRPr="00246259" w:rsidRDefault="000079F7" w:rsidP="00FE7C41">
            <w:pPr>
              <w:jc w:val="center"/>
              <w:rPr>
                <w:color w:val="000000"/>
                <w:sz w:val="20"/>
                <w:szCs w:val="20"/>
              </w:rPr>
            </w:pPr>
            <w:r w:rsidRPr="00246259">
              <w:rPr>
                <w:color w:val="000000"/>
                <w:sz w:val="20"/>
                <w:szCs w:val="20"/>
              </w:rPr>
              <w:t>2022</w:t>
            </w:r>
          </w:p>
        </w:tc>
        <w:tc>
          <w:tcPr>
            <w:tcW w:w="1617" w:type="dxa"/>
            <w:shd w:val="clear" w:color="auto" w:fill="auto"/>
            <w:noWrap/>
            <w:hideMark/>
          </w:tcPr>
          <w:p w14:paraId="0074E7E4" w14:textId="77777777" w:rsidR="000079F7" w:rsidRPr="00246259" w:rsidRDefault="000079F7" w:rsidP="00FE7C41">
            <w:pPr>
              <w:jc w:val="center"/>
              <w:rPr>
                <w:color w:val="000000"/>
                <w:sz w:val="20"/>
                <w:szCs w:val="20"/>
              </w:rPr>
            </w:pPr>
            <w:r w:rsidRPr="00246259">
              <w:rPr>
                <w:color w:val="000000"/>
                <w:sz w:val="20"/>
                <w:szCs w:val="20"/>
              </w:rPr>
              <w:t>34</w:t>
            </w:r>
          </w:p>
        </w:tc>
        <w:tc>
          <w:tcPr>
            <w:tcW w:w="3111" w:type="dxa"/>
            <w:shd w:val="clear" w:color="auto" w:fill="auto"/>
            <w:noWrap/>
            <w:hideMark/>
          </w:tcPr>
          <w:p w14:paraId="1FF0C376" w14:textId="77777777" w:rsidR="000079F7" w:rsidRPr="00246259" w:rsidRDefault="000079F7" w:rsidP="00FE7C41">
            <w:pPr>
              <w:jc w:val="center"/>
              <w:rPr>
                <w:color w:val="000000"/>
                <w:sz w:val="20"/>
                <w:szCs w:val="20"/>
              </w:rPr>
            </w:pPr>
            <w:r w:rsidRPr="00246259">
              <w:rPr>
                <w:color w:val="000000"/>
                <w:sz w:val="20"/>
                <w:szCs w:val="20"/>
              </w:rPr>
              <w:t>26</w:t>
            </w:r>
          </w:p>
        </w:tc>
        <w:tc>
          <w:tcPr>
            <w:tcW w:w="3827" w:type="dxa"/>
            <w:shd w:val="clear" w:color="auto" w:fill="auto"/>
            <w:noWrap/>
            <w:hideMark/>
          </w:tcPr>
          <w:p w14:paraId="72875118" w14:textId="77777777" w:rsidR="000079F7" w:rsidRPr="00246259" w:rsidRDefault="000079F7" w:rsidP="00FE7C41">
            <w:pPr>
              <w:jc w:val="center"/>
              <w:rPr>
                <w:color w:val="000000"/>
                <w:sz w:val="20"/>
                <w:szCs w:val="20"/>
              </w:rPr>
            </w:pPr>
            <w:r w:rsidRPr="00246259">
              <w:rPr>
                <w:color w:val="000000"/>
                <w:sz w:val="20"/>
                <w:szCs w:val="20"/>
              </w:rPr>
              <w:t>76,5%</w:t>
            </w:r>
          </w:p>
        </w:tc>
      </w:tr>
      <w:tr w:rsidR="001C18B6" w:rsidRPr="00246259" w14:paraId="68E13370" w14:textId="77777777" w:rsidTr="008B5C1A">
        <w:trPr>
          <w:trHeight w:val="316"/>
          <w:jc w:val="center"/>
        </w:trPr>
        <w:tc>
          <w:tcPr>
            <w:tcW w:w="9634" w:type="dxa"/>
            <w:gridSpan w:val="4"/>
            <w:shd w:val="clear" w:color="auto" w:fill="auto"/>
            <w:noWrap/>
          </w:tcPr>
          <w:p w14:paraId="7ED267B3" w14:textId="6A5F25DC" w:rsidR="001C18B6" w:rsidRPr="00246259" w:rsidRDefault="001C18B6" w:rsidP="001C18B6">
            <w:pPr>
              <w:jc w:val="center"/>
              <w:rPr>
                <w:color w:val="000000"/>
                <w:sz w:val="20"/>
                <w:szCs w:val="20"/>
              </w:rPr>
            </w:pPr>
            <w:r w:rsidRPr="00246259">
              <w:rPr>
                <w:sz w:val="28"/>
                <w:szCs w:val="28"/>
              </w:rPr>
              <w:t>Рязанская область</w:t>
            </w:r>
          </w:p>
        </w:tc>
      </w:tr>
      <w:tr w:rsidR="001C18B6" w:rsidRPr="00246259" w14:paraId="7BCFEC65" w14:textId="77777777" w:rsidTr="0067269D">
        <w:trPr>
          <w:trHeight w:val="316"/>
          <w:jc w:val="center"/>
        </w:trPr>
        <w:tc>
          <w:tcPr>
            <w:tcW w:w="1079" w:type="dxa"/>
            <w:shd w:val="clear" w:color="auto" w:fill="auto"/>
            <w:noWrap/>
            <w:vAlign w:val="bottom"/>
          </w:tcPr>
          <w:p w14:paraId="1D69049A" w14:textId="42605FD0" w:rsidR="001C18B6" w:rsidRPr="00246259" w:rsidRDefault="001C18B6" w:rsidP="001C18B6">
            <w:pPr>
              <w:jc w:val="center"/>
              <w:rPr>
                <w:color w:val="000000"/>
                <w:sz w:val="20"/>
                <w:szCs w:val="20"/>
              </w:rPr>
            </w:pPr>
            <w:r w:rsidRPr="00246259">
              <w:rPr>
                <w:sz w:val="20"/>
                <w:szCs w:val="20"/>
              </w:rPr>
              <w:t>2021</w:t>
            </w:r>
          </w:p>
        </w:tc>
        <w:tc>
          <w:tcPr>
            <w:tcW w:w="1617" w:type="dxa"/>
            <w:shd w:val="clear" w:color="auto" w:fill="auto"/>
            <w:noWrap/>
            <w:vAlign w:val="bottom"/>
          </w:tcPr>
          <w:p w14:paraId="60E23859" w14:textId="06488F39" w:rsidR="001C18B6" w:rsidRPr="00246259" w:rsidRDefault="001C18B6" w:rsidP="001C18B6">
            <w:pPr>
              <w:jc w:val="center"/>
              <w:rPr>
                <w:color w:val="000000"/>
                <w:sz w:val="20"/>
                <w:szCs w:val="20"/>
              </w:rPr>
            </w:pPr>
            <w:r w:rsidRPr="00246259">
              <w:rPr>
                <w:sz w:val="20"/>
                <w:szCs w:val="20"/>
              </w:rPr>
              <w:t>3</w:t>
            </w:r>
          </w:p>
        </w:tc>
        <w:tc>
          <w:tcPr>
            <w:tcW w:w="3111" w:type="dxa"/>
            <w:shd w:val="clear" w:color="auto" w:fill="auto"/>
            <w:noWrap/>
            <w:vAlign w:val="bottom"/>
          </w:tcPr>
          <w:p w14:paraId="61989535" w14:textId="28AB3D53" w:rsidR="001C18B6" w:rsidRPr="00246259" w:rsidRDefault="001C18B6" w:rsidP="001C18B6">
            <w:pPr>
              <w:jc w:val="center"/>
              <w:rPr>
                <w:color w:val="000000"/>
                <w:sz w:val="20"/>
                <w:szCs w:val="20"/>
              </w:rPr>
            </w:pPr>
            <w:r w:rsidRPr="00246259">
              <w:rPr>
                <w:sz w:val="20"/>
                <w:szCs w:val="20"/>
              </w:rPr>
              <w:t>18</w:t>
            </w:r>
          </w:p>
        </w:tc>
        <w:tc>
          <w:tcPr>
            <w:tcW w:w="3827" w:type="dxa"/>
            <w:shd w:val="clear" w:color="auto" w:fill="auto"/>
            <w:noWrap/>
            <w:vAlign w:val="bottom"/>
          </w:tcPr>
          <w:p w14:paraId="35A0FB28" w14:textId="4C5C54CB" w:rsidR="001C18B6" w:rsidRPr="00246259" w:rsidRDefault="001C18B6" w:rsidP="001C18B6">
            <w:pPr>
              <w:jc w:val="center"/>
              <w:rPr>
                <w:color w:val="000000"/>
                <w:sz w:val="20"/>
                <w:szCs w:val="20"/>
              </w:rPr>
            </w:pPr>
            <w:r w:rsidRPr="00246259">
              <w:rPr>
                <w:sz w:val="20"/>
                <w:szCs w:val="20"/>
              </w:rPr>
              <w:t>16,7 %</w:t>
            </w:r>
          </w:p>
        </w:tc>
      </w:tr>
      <w:tr w:rsidR="001C18B6" w:rsidRPr="00246259" w14:paraId="1C9ACDE3" w14:textId="77777777" w:rsidTr="0067269D">
        <w:trPr>
          <w:trHeight w:val="316"/>
          <w:jc w:val="center"/>
        </w:trPr>
        <w:tc>
          <w:tcPr>
            <w:tcW w:w="1079" w:type="dxa"/>
            <w:shd w:val="clear" w:color="auto" w:fill="auto"/>
            <w:noWrap/>
            <w:vAlign w:val="bottom"/>
          </w:tcPr>
          <w:p w14:paraId="20AF1A08" w14:textId="0D2DE011" w:rsidR="001C18B6" w:rsidRPr="00246259" w:rsidRDefault="001C18B6" w:rsidP="001C18B6">
            <w:pPr>
              <w:jc w:val="center"/>
              <w:rPr>
                <w:color w:val="000000"/>
                <w:sz w:val="20"/>
                <w:szCs w:val="20"/>
              </w:rPr>
            </w:pPr>
            <w:r w:rsidRPr="00246259">
              <w:rPr>
                <w:sz w:val="20"/>
                <w:szCs w:val="20"/>
              </w:rPr>
              <w:t>2022</w:t>
            </w:r>
          </w:p>
        </w:tc>
        <w:tc>
          <w:tcPr>
            <w:tcW w:w="1617" w:type="dxa"/>
            <w:shd w:val="clear" w:color="auto" w:fill="auto"/>
            <w:noWrap/>
            <w:vAlign w:val="bottom"/>
          </w:tcPr>
          <w:p w14:paraId="7886559B" w14:textId="33F9AA5E" w:rsidR="001C18B6" w:rsidRPr="00246259" w:rsidRDefault="001C18B6" w:rsidP="001C18B6">
            <w:pPr>
              <w:jc w:val="center"/>
              <w:rPr>
                <w:color w:val="000000"/>
                <w:sz w:val="20"/>
                <w:szCs w:val="20"/>
              </w:rPr>
            </w:pPr>
            <w:r w:rsidRPr="00246259">
              <w:rPr>
                <w:sz w:val="20"/>
                <w:szCs w:val="20"/>
              </w:rPr>
              <w:t>7</w:t>
            </w:r>
          </w:p>
        </w:tc>
        <w:tc>
          <w:tcPr>
            <w:tcW w:w="3111" w:type="dxa"/>
            <w:shd w:val="clear" w:color="auto" w:fill="auto"/>
            <w:noWrap/>
            <w:vAlign w:val="bottom"/>
          </w:tcPr>
          <w:p w14:paraId="548F1E0F" w14:textId="0C09A8DA" w:rsidR="001C18B6" w:rsidRPr="00246259" w:rsidRDefault="001C18B6" w:rsidP="001C18B6">
            <w:pPr>
              <w:jc w:val="center"/>
              <w:rPr>
                <w:color w:val="000000"/>
                <w:sz w:val="20"/>
                <w:szCs w:val="20"/>
              </w:rPr>
            </w:pPr>
            <w:r w:rsidRPr="00246259">
              <w:rPr>
                <w:sz w:val="20"/>
                <w:szCs w:val="20"/>
              </w:rPr>
              <w:t>26</w:t>
            </w:r>
          </w:p>
        </w:tc>
        <w:tc>
          <w:tcPr>
            <w:tcW w:w="3827" w:type="dxa"/>
            <w:shd w:val="clear" w:color="auto" w:fill="auto"/>
            <w:noWrap/>
            <w:vAlign w:val="bottom"/>
          </w:tcPr>
          <w:p w14:paraId="1180FDF1" w14:textId="699F585C" w:rsidR="001C18B6" w:rsidRPr="00246259" w:rsidRDefault="001C18B6" w:rsidP="001C18B6">
            <w:pPr>
              <w:jc w:val="center"/>
              <w:rPr>
                <w:color w:val="000000"/>
                <w:sz w:val="20"/>
                <w:szCs w:val="20"/>
              </w:rPr>
            </w:pPr>
            <w:r w:rsidRPr="00246259">
              <w:rPr>
                <w:sz w:val="20"/>
                <w:szCs w:val="20"/>
              </w:rPr>
              <w:t>26,9 %</w:t>
            </w:r>
          </w:p>
        </w:tc>
      </w:tr>
    </w:tbl>
    <w:p w14:paraId="26E8E692" w14:textId="77777777" w:rsidR="000079F7" w:rsidRPr="00246259" w:rsidRDefault="000079F7" w:rsidP="000079F7">
      <w:pPr>
        <w:rPr>
          <w:sz w:val="8"/>
          <w:lang w:val="en-US"/>
        </w:rPr>
      </w:pPr>
    </w:p>
    <w:p w14:paraId="0148B952" w14:textId="0156178A" w:rsidR="00D14D6D" w:rsidRPr="00246259" w:rsidRDefault="00D14D6D" w:rsidP="00194F45">
      <w:pPr>
        <w:spacing w:line="312" w:lineRule="auto"/>
        <w:ind w:right="-284" w:firstLine="709"/>
        <w:jc w:val="both"/>
        <w:rPr>
          <w:bCs/>
          <w:sz w:val="28"/>
        </w:rPr>
      </w:pPr>
      <w:r w:rsidRPr="00246259">
        <w:rPr>
          <w:bCs/>
          <w:sz w:val="28"/>
        </w:rPr>
        <w:t>Критерий 7</w:t>
      </w:r>
    </w:p>
    <w:p w14:paraId="5DFA22E7" w14:textId="3C7EEB75" w:rsidR="00D14D6D" w:rsidRPr="00246259" w:rsidRDefault="005E4FAF" w:rsidP="00194F45">
      <w:pPr>
        <w:spacing w:line="312" w:lineRule="auto"/>
        <w:ind w:firstLine="709"/>
        <w:jc w:val="both"/>
        <w:rPr>
          <w:sz w:val="28"/>
        </w:rPr>
      </w:pPr>
      <w:r w:rsidRPr="00246259">
        <w:rPr>
          <w:sz w:val="28"/>
        </w:rPr>
        <w:t>В</w:t>
      </w:r>
      <w:r w:rsidR="001F2122" w:rsidRPr="00246259">
        <w:rPr>
          <w:sz w:val="28"/>
        </w:rPr>
        <w:t>о всех</w:t>
      </w:r>
      <w:r w:rsidR="00D14D6D" w:rsidRPr="00246259">
        <w:rPr>
          <w:sz w:val="28"/>
        </w:rPr>
        <w:t xml:space="preserve"> субъектах Российской Федерации обеспечено увеличение доли получателей ГСП на основании СК по мероприятию, направленному на ведение личного подсобного хозяйства</w:t>
      </w:r>
      <w:r w:rsidR="009B1D50" w:rsidRPr="00246259">
        <w:rPr>
          <w:sz w:val="28"/>
        </w:rPr>
        <w:t xml:space="preserve"> (далее – ЛПХ)</w:t>
      </w:r>
      <w:r w:rsidR="00D14D6D" w:rsidRPr="00246259">
        <w:rPr>
          <w:sz w:val="28"/>
        </w:rPr>
        <w:t>, у которых среднедушевой доход семьи превысил региональный размер прожиточного минимума.</w:t>
      </w:r>
    </w:p>
    <w:p w14:paraId="38E9D6A1" w14:textId="17DE6C2A" w:rsidR="000079F7" w:rsidRPr="00246259" w:rsidRDefault="00132007" w:rsidP="00194F45">
      <w:pPr>
        <w:spacing w:line="312" w:lineRule="auto"/>
        <w:ind w:firstLine="709"/>
        <w:jc w:val="both"/>
        <w:rPr>
          <w:bCs/>
          <w:sz w:val="28"/>
        </w:rPr>
      </w:pPr>
      <w:r w:rsidRPr="00246259">
        <w:rPr>
          <w:bCs/>
          <w:sz w:val="28"/>
          <w:szCs w:val="28"/>
        </w:rPr>
        <w:t>Критерий 7 выполнен</w:t>
      </w:r>
      <w:r w:rsidRPr="00246259">
        <w:rPr>
          <w:bCs/>
          <w:sz w:val="28"/>
        </w:rPr>
        <w:t xml:space="preserve">. </w:t>
      </w:r>
    </w:p>
    <w:p w14:paraId="01C09F97" w14:textId="0B1A30B5" w:rsidR="00B83144" w:rsidRPr="00246259" w:rsidRDefault="00B83144" w:rsidP="00194F45">
      <w:pPr>
        <w:spacing w:line="312" w:lineRule="auto"/>
        <w:ind w:right="-142" w:firstLine="709"/>
        <w:jc w:val="both"/>
        <w:rPr>
          <w:sz w:val="28"/>
        </w:rPr>
      </w:pPr>
      <w:r w:rsidRPr="00246259">
        <w:rPr>
          <w:sz w:val="28"/>
        </w:rPr>
        <w:t xml:space="preserve">В </w:t>
      </w:r>
      <w:r w:rsidR="00F9536F" w:rsidRPr="00246259">
        <w:rPr>
          <w:sz w:val="28"/>
        </w:rPr>
        <w:t>2</w:t>
      </w:r>
      <w:r w:rsidR="00F5716B" w:rsidRPr="00246259">
        <w:rPr>
          <w:sz w:val="28"/>
        </w:rPr>
        <w:t>9</w:t>
      </w:r>
      <w:r w:rsidRPr="00246259">
        <w:rPr>
          <w:sz w:val="28"/>
        </w:rPr>
        <w:t xml:space="preserve"> субъектах Российской Федерации обеспечено увеличение доли участников СК по мероприятию, направленному </w:t>
      </w:r>
      <w:r w:rsidR="009B1D50" w:rsidRPr="00246259">
        <w:rPr>
          <w:sz w:val="28"/>
        </w:rPr>
        <w:t>на ведение ЛПХ</w:t>
      </w:r>
      <w:r w:rsidRPr="00246259">
        <w:rPr>
          <w:sz w:val="28"/>
        </w:rPr>
        <w:t>, у которых по результатам СК среднедушевой доход семьи превысил величину ПМ, по СК, завершенным в 2023 году по отношению к СК, завершенным в 2021 году</w:t>
      </w:r>
      <w:r w:rsidRPr="00246259">
        <w:rPr>
          <w:rStyle w:val="a5"/>
          <w:sz w:val="28"/>
          <w:szCs w:val="28"/>
        </w:rPr>
        <w:footnoteReference w:id="7"/>
      </w:r>
      <w:r w:rsidRPr="00246259">
        <w:rPr>
          <w:sz w:val="28"/>
        </w:rPr>
        <w:t>.</w:t>
      </w:r>
    </w:p>
    <w:p w14:paraId="111B3647" w14:textId="595D3935" w:rsidR="00574575" w:rsidRPr="00246259" w:rsidRDefault="00B83144" w:rsidP="00194F45">
      <w:pPr>
        <w:spacing w:line="312" w:lineRule="auto"/>
        <w:ind w:right="-142" w:firstLine="709"/>
        <w:jc w:val="both"/>
        <w:rPr>
          <w:sz w:val="28"/>
        </w:rPr>
      </w:pPr>
      <w:r w:rsidRPr="00246259">
        <w:rPr>
          <w:sz w:val="28"/>
        </w:rPr>
        <w:t xml:space="preserve">В </w:t>
      </w:r>
      <w:r w:rsidR="00F13DEB" w:rsidRPr="00246259">
        <w:rPr>
          <w:sz w:val="28"/>
        </w:rPr>
        <w:t>3</w:t>
      </w:r>
      <w:r w:rsidR="00F9536F" w:rsidRPr="00246259">
        <w:rPr>
          <w:sz w:val="28"/>
        </w:rPr>
        <w:t>5</w:t>
      </w:r>
      <w:r w:rsidRPr="00246259">
        <w:rPr>
          <w:sz w:val="28"/>
        </w:rPr>
        <w:t xml:space="preserve"> субъектах Российской Федерации обеспечено увеличение доли участников СК по мероприятию, направленному на </w:t>
      </w:r>
      <w:r w:rsidR="009B1D50" w:rsidRPr="00246259">
        <w:rPr>
          <w:sz w:val="28"/>
        </w:rPr>
        <w:t>ведение ЛПХ</w:t>
      </w:r>
      <w:r w:rsidRPr="00246259">
        <w:rPr>
          <w:sz w:val="28"/>
        </w:rPr>
        <w:t xml:space="preserve">, у которых по результатам СК среднедушевой доход семьи превысил величину ПМ, по СК, завершенным в 2023 году по отношению к СК, завершенным в 2022 году </w:t>
      </w:r>
      <w:r w:rsidR="00574575" w:rsidRPr="00246259">
        <w:rPr>
          <w:sz w:val="28"/>
        </w:rPr>
        <w:t>(таблица 7 приложения № 1 к отчету).</w:t>
      </w:r>
    </w:p>
    <w:p w14:paraId="43F0F928" w14:textId="37F019D1" w:rsidR="00013C5F" w:rsidRPr="00246259" w:rsidRDefault="000C559E" w:rsidP="00194F45">
      <w:pPr>
        <w:spacing w:line="312" w:lineRule="auto"/>
        <w:ind w:right="-142" w:firstLine="709"/>
        <w:jc w:val="both"/>
        <w:rPr>
          <w:bCs/>
          <w:sz w:val="28"/>
          <w:szCs w:val="28"/>
        </w:rPr>
      </w:pPr>
      <w:r w:rsidRPr="00246259">
        <w:rPr>
          <w:b/>
          <w:bCs/>
          <w:sz w:val="28"/>
          <w:szCs w:val="28"/>
        </w:rPr>
        <w:t>Вывод:</w:t>
      </w:r>
      <w:r w:rsidRPr="00246259">
        <w:rPr>
          <w:bCs/>
          <w:sz w:val="28"/>
          <w:szCs w:val="28"/>
        </w:rPr>
        <w:t xml:space="preserve"> а</w:t>
      </w:r>
      <w:r w:rsidR="00013C5F" w:rsidRPr="00246259">
        <w:rPr>
          <w:bCs/>
          <w:sz w:val="28"/>
          <w:szCs w:val="28"/>
        </w:rPr>
        <w:t>нализ эффективности СК</w:t>
      </w:r>
      <w:r w:rsidRPr="00246259">
        <w:rPr>
          <w:bCs/>
          <w:sz w:val="28"/>
          <w:szCs w:val="28"/>
        </w:rPr>
        <w:t>,</w:t>
      </w:r>
      <w:r w:rsidR="00013C5F" w:rsidRPr="00246259">
        <w:rPr>
          <w:bCs/>
          <w:sz w:val="28"/>
          <w:szCs w:val="28"/>
        </w:rPr>
        <w:t xml:space="preserve"> согласно установленным критериям</w:t>
      </w:r>
      <w:r w:rsidRPr="00246259">
        <w:rPr>
          <w:bCs/>
          <w:sz w:val="28"/>
          <w:szCs w:val="28"/>
        </w:rPr>
        <w:t>,</w:t>
      </w:r>
      <w:r w:rsidR="00013C5F" w:rsidRPr="00246259">
        <w:rPr>
          <w:bCs/>
          <w:sz w:val="28"/>
          <w:szCs w:val="28"/>
        </w:rPr>
        <w:t xml:space="preserve"> показал, что результатив</w:t>
      </w:r>
      <w:bookmarkStart w:id="0" w:name="_GoBack"/>
      <w:bookmarkEnd w:id="0"/>
      <w:r w:rsidR="00013C5F" w:rsidRPr="00246259">
        <w:rPr>
          <w:bCs/>
          <w:sz w:val="28"/>
          <w:szCs w:val="28"/>
        </w:rPr>
        <w:t>ность СК имеет устойчивую тенденцию роста: в субъектах Российской Федерации увеличивается доля граждан, охваченных СК, у которых среднедушевой доход после реализации СК превышает ПМ</w:t>
      </w:r>
      <w:r w:rsidRPr="00246259">
        <w:rPr>
          <w:bCs/>
          <w:sz w:val="28"/>
          <w:szCs w:val="28"/>
        </w:rPr>
        <w:t>. Таким образом, эффективность реализации СК</w:t>
      </w:r>
      <w:r w:rsidR="00D91BBC" w:rsidRPr="00246259">
        <w:rPr>
          <w:bCs/>
          <w:sz w:val="28"/>
          <w:szCs w:val="28"/>
        </w:rPr>
        <w:t xml:space="preserve"> </w:t>
      </w:r>
      <w:r w:rsidR="005E1DF3" w:rsidRPr="00246259">
        <w:rPr>
          <w:bCs/>
          <w:sz w:val="28"/>
          <w:szCs w:val="28"/>
        </w:rPr>
        <w:t>ежегодно</w:t>
      </w:r>
      <w:r w:rsidRPr="00246259">
        <w:rPr>
          <w:bCs/>
          <w:sz w:val="28"/>
          <w:szCs w:val="28"/>
        </w:rPr>
        <w:t xml:space="preserve"> повышается.</w:t>
      </w:r>
    </w:p>
    <w:sectPr w:rsidR="00013C5F" w:rsidRPr="00246259" w:rsidSect="00FE7C41">
      <w:headerReference w:type="default" r:id="rId11"/>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DC566" w14:textId="77777777" w:rsidR="001C2C85" w:rsidRDefault="001C2C85" w:rsidP="006E10A8">
      <w:r>
        <w:separator/>
      </w:r>
    </w:p>
  </w:endnote>
  <w:endnote w:type="continuationSeparator" w:id="0">
    <w:p w14:paraId="72FCA85D" w14:textId="77777777" w:rsidR="001C2C85" w:rsidRDefault="001C2C85" w:rsidP="006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3BAC" w14:textId="77777777" w:rsidR="001C2C85" w:rsidRDefault="001C2C85" w:rsidP="006E10A8">
      <w:r>
        <w:separator/>
      </w:r>
    </w:p>
  </w:footnote>
  <w:footnote w:type="continuationSeparator" w:id="0">
    <w:p w14:paraId="3E22048C" w14:textId="77777777" w:rsidR="001C2C85" w:rsidRDefault="001C2C85" w:rsidP="006E10A8">
      <w:r>
        <w:continuationSeparator/>
      </w:r>
    </w:p>
  </w:footnote>
  <w:footnote w:id="1">
    <w:p w14:paraId="1DD93F39" w14:textId="77777777" w:rsidR="00B21EE2" w:rsidRDefault="00B21EE2" w:rsidP="000F3C99">
      <w:pPr>
        <w:pStyle w:val="a3"/>
        <w:jc w:val="both"/>
      </w:pPr>
      <w:r>
        <w:rPr>
          <w:rStyle w:val="a5"/>
        </w:rPr>
        <w:footnoteRef/>
      </w:r>
      <w:r>
        <w:t xml:space="preserve"> Критерии эффективности установлены в программе проведения ЭАМ.</w:t>
      </w:r>
    </w:p>
  </w:footnote>
  <w:footnote w:id="2">
    <w:p w14:paraId="325B3F01" w14:textId="77777777" w:rsidR="00B21EE2" w:rsidRDefault="00B21EE2" w:rsidP="000F3C99">
      <w:pPr>
        <w:pStyle w:val="a3"/>
        <w:jc w:val="both"/>
      </w:pPr>
      <w:r>
        <w:rPr>
          <w:rStyle w:val="a5"/>
        </w:rPr>
        <w:footnoteRef/>
      </w:r>
      <w:r>
        <w:t xml:space="preserve"> Здесь и далее на основании оценок результатов реализации СК после их завершения в законодательно установленный срок</w:t>
      </w:r>
    </w:p>
  </w:footnote>
  <w:footnote w:id="3">
    <w:p w14:paraId="035B5A5F" w14:textId="77777777" w:rsidR="00B21EE2" w:rsidRPr="0020755B" w:rsidRDefault="00B21EE2" w:rsidP="001E41B5">
      <w:pPr>
        <w:pStyle w:val="a3"/>
        <w:ind w:firstLine="709"/>
        <w:jc w:val="both"/>
      </w:pPr>
      <w:r w:rsidRPr="003E085A">
        <w:rPr>
          <w:rStyle w:val="a5"/>
        </w:rPr>
        <w:footnoteRef/>
      </w:r>
      <w:r w:rsidRPr="003E085A">
        <w:t xml:space="preserve"> </w:t>
      </w:r>
      <w:r>
        <w:t>Доля</w:t>
      </w:r>
      <w:r w:rsidRPr="0020755B">
        <w:t xml:space="preserve"> вышедших из бедности получателей ГСП на основании СК по Российской Федерации </w:t>
      </w:r>
      <w:r>
        <w:t xml:space="preserve">(28%). </w:t>
      </w:r>
    </w:p>
  </w:footnote>
  <w:footnote w:id="4">
    <w:p w14:paraId="3203AE6D" w14:textId="628A11E9" w:rsidR="00B21EE2" w:rsidRPr="0020755B" w:rsidRDefault="00B21EE2" w:rsidP="00D8685F">
      <w:pPr>
        <w:pStyle w:val="a3"/>
        <w:ind w:firstLine="709"/>
        <w:jc w:val="both"/>
      </w:pPr>
      <w:r w:rsidRPr="003E085A">
        <w:rPr>
          <w:rStyle w:val="a5"/>
        </w:rPr>
        <w:footnoteRef/>
      </w:r>
      <w:r w:rsidRPr="003E085A">
        <w:t xml:space="preserve"> </w:t>
      </w:r>
      <w:r>
        <w:t xml:space="preserve">Основная доля СК, завершенных и оцененных в 2023 году, заключена в 2022 голу. Большинство СК, заключенных в 2023 году, будут оценены в 2024 году. </w:t>
      </w:r>
    </w:p>
  </w:footnote>
  <w:footnote w:id="5">
    <w:p w14:paraId="641C3655" w14:textId="1F7978DE" w:rsidR="00B21EE2" w:rsidRPr="007C2BA8" w:rsidRDefault="00B21EE2" w:rsidP="000573F4">
      <w:pPr>
        <w:shd w:val="clear" w:color="auto" w:fill="FFFFFF" w:themeFill="background1"/>
        <w:autoSpaceDE w:val="0"/>
        <w:autoSpaceDN w:val="0"/>
        <w:adjustRightInd w:val="0"/>
        <w:ind w:firstLine="709"/>
        <w:contextualSpacing/>
        <w:jc w:val="both"/>
      </w:pPr>
      <w:r w:rsidRPr="005D766F">
        <w:rPr>
          <w:rStyle w:val="a5"/>
        </w:rPr>
        <w:footnoteRef/>
      </w:r>
      <w:r w:rsidRPr="00263944">
        <w:rPr>
          <w:sz w:val="20"/>
          <w:szCs w:val="20"/>
        </w:rPr>
        <w:t xml:space="preserve"> В </w:t>
      </w:r>
      <w:r>
        <w:rPr>
          <w:sz w:val="20"/>
          <w:szCs w:val="20"/>
        </w:rPr>
        <w:t>ряде регионов не проводилась оценка СК за 2021 год.</w:t>
      </w:r>
    </w:p>
  </w:footnote>
  <w:footnote w:id="6">
    <w:p w14:paraId="58850293" w14:textId="77777777" w:rsidR="00B21EE2" w:rsidRPr="007C2BA8" w:rsidRDefault="00B21EE2" w:rsidP="00B83144">
      <w:pPr>
        <w:shd w:val="clear" w:color="auto" w:fill="FFFFFF" w:themeFill="background1"/>
        <w:autoSpaceDE w:val="0"/>
        <w:autoSpaceDN w:val="0"/>
        <w:adjustRightInd w:val="0"/>
        <w:ind w:firstLine="709"/>
        <w:contextualSpacing/>
        <w:jc w:val="both"/>
      </w:pPr>
      <w:r w:rsidRPr="005D766F">
        <w:rPr>
          <w:rStyle w:val="a5"/>
        </w:rPr>
        <w:footnoteRef/>
      </w:r>
      <w:r w:rsidRPr="00263944">
        <w:rPr>
          <w:sz w:val="20"/>
          <w:szCs w:val="20"/>
        </w:rPr>
        <w:t xml:space="preserve"> В </w:t>
      </w:r>
      <w:r>
        <w:rPr>
          <w:sz w:val="20"/>
          <w:szCs w:val="20"/>
        </w:rPr>
        <w:t>ряде регионов не проводилась оценка СК за 2021 год.</w:t>
      </w:r>
    </w:p>
  </w:footnote>
  <w:footnote w:id="7">
    <w:p w14:paraId="6DE13436" w14:textId="77777777" w:rsidR="00B21EE2" w:rsidRPr="007C2BA8" w:rsidRDefault="00B21EE2" w:rsidP="00B83144">
      <w:pPr>
        <w:shd w:val="clear" w:color="auto" w:fill="FFFFFF" w:themeFill="background1"/>
        <w:autoSpaceDE w:val="0"/>
        <w:autoSpaceDN w:val="0"/>
        <w:adjustRightInd w:val="0"/>
        <w:ind w:firstLine="709"/>
        <w:contextualSpacing/>
        <w:jc w:val="both"/>
      </w:pPr>
      <w:r w:rsidRPr="005D766F">
        <w:rPr>
          <w:rStyle w:val="a5"/>
        </w:rPr>
        <w:footnoteRef/>
      </w:r>
      <w:r w:rsidRPr="00263944">
        <w:rPr>
          <w:sz w:val="20"/>
          <w:szCs w:val="20"/>
        </w:rPr>
        <w:t xml:space="preserve"> В </w:t>
      </w:r>
      <w:r>
        <w:rPr>
          <w:sz w:val="20"/>
          <w:szCs w:val="20"/>
        </w:rPr>
        <w:t>ряде регионов не проводилась оценка СК за 2021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256780"/>
      <w:docPartObj>
        <w:docPartGallery w:val="Page Numbers (Top of Page)"/>
        <w:docPartUnique/>
      </w:docPartObj>
    </w:sdtPr>
    <w:sdtEndPr/>
    <w:sdtContent>
      <w:p w14:paraId="05C26569" w14:textId="2991F55F" w:rsidR="00B21EE2" w:rsidRDefault="00B21EE2">
        <w:pPr>
          <w:pStyle w:val="a7"/>
          <w:jc w:val="center"/>
        </w:pPr>
        <w:r>
          <w:fldChar w:fldCharType="begin"/>
        </w:r>
        <w:r>
          <w:instrText>PAGE   \* MERGEFORMAT</w:instrText>
        </w:r>
        <w:r>
          <w:fldChar w:fldCharType="separate"/>
        </w:r>
        <w:r w:rsidR="00DB5F89">
          <w:rPr>
            <w:noProof/>
          </w:rPr>
          <w:t>7</w:t>
        </w:r>
        <w:r>
          <w:fldChar w:fldCharType="end"/>
        </w:r>
      </w:p>
    </w:sdtContent>
  </w:sdt>
  <w:p w14:paraId="0DB923C5" w14:textId="77777777" w:rsidR="00B21EE2" w:rsidRDefault="00B21E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16BDA"/>
    <w:multiLevelType w:val="hybridMultilevel"/>
    <w:tmpl w:val="ABF68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A8"/>
    <w:rsid w:val="00003CF9"/>
    <w:rsid w:val="000079F7"/>
    <w:rsid w:val="00013C5F"/>
    <w:rsid w:val="00017B44"/>
    <w:rsid w:val="00031F3A"/>
    <w:rsid w:val="000529F6"/>
    <w:rsid w:val="000573F4"/>
    <w:rsid w:val="000759F8"/>
    <w:rsid w:val="00076A0E"/>
    <w:rsid w:val="0009625C"/>
    <w:rsid w:val="000A250B"/>
    <w:rsid w:val="000B08C5"/>
    <w:rsid w:val="000B0D9F"/>
    <w:rsid w:val="000C1E3E"/>
    <w:rsid w:val="000C559E"/>
    <w:rsid w:val="000E0FDB"/>
    <w:rsid w:val="000F3C99"/>
    <w:rsid w:val="000F5C67"/>
    <w:rsid w:val="001037C4"/>
    <w:rsid w:val="00132007"/>
    <w:rsid w:val="00142CA2"/>
    <w:rsid w:val="00151084"/>
    <w:rsid w:val="00151A2F"/>
    <w:rsid w:val="00176155"/>
    <w:rsid w:val="00194F45"/>
    <w:rsid w:val="001C18B6"/>
    <w:rsid w:val="001C2C85"/>
    <w:rsid w:val="001E41B5"/>
    <w:rsid w:val="001E7BD0"/>
    <w:rsid w:val="001F2122"/>
    <w:rsid w:val="001F3EAD"/>
    <w:rsid w:val="00211EE1"/>
    <w:rsid w:val="00222D6B"/>
    <w:rsid w:val="00230127"/>
    <w:rsid w:val="00243928"/>
    <w:rsid w:val="00246259"/>
    <w:rsid w:val="00246C2B"/>
    <w:rsid w:val="002527E4"/>
    <w:rsid w:val="002A1227"/>
    <w:rsid w:val="002B5F34"/>
    <w:rsid w:val="002C1E80"/>
    <w:rsid w:val="002C2CCE"/>
    <w:rsid w:val="002D20AA"/>
    <w:rsid w:val="002D344C"/>
    <w:rsid w:val="00312722"/>
    <w:rsid w:val="003162B8"/>
    <w:rsid w:val="00337B2E"/>
    <w:rsid w:val="00352915"/>
    <w:rsid w:val="00360632"/>
    <w:rsid w:val="00362768"/>
    <w:rsid w:val="0039248D"/>
    <w:rsid w:val="003D3FFC"/>
    <w:rsid w:val="003D6DA3"/>
    <w:rsid w:val="004001A7"/>
    <w:rsid w:val="00417457"/>
    <w:rsid w:val="00417777"/>
    <w:rsid w:val="0042003F"/>
    <w:rsid w:val="004272FC"/>
    <w:rsid w:val="004300AB"/>
    <w:rsid w:val="00435FC7"/>
    <w:rsid w:val="00455B5C"/>
    <w:rsid w:val="00466E4E"/>
    <w:rsid w:val="0046778D"/>
    <w:rsid w:val="004A0B7D"/>
    <w:rsid w:val="004C410B"/>
    <w:rsid w:val="004C7BD5"/>
    <w:rsid w:val="004D41B6"/>
    <w:rsid w:val="004F11C1"/>
    <w:rsid w:val="00515EBB"/>
    <w:rsid w:val="00516A60"/>
    <w:rsid w:val="00535BD5"/>
    <w:rsid w:val="00536296"/>
    <w:rsid w:val="00547F5D"/>
    <w:rsid w:val="005553B1"/>
    <w:rsid w:val="00570E45"/>
    <w:rsid w:val="00574575"/>
    <w:rsid w:val="00576F9C"/>
    <w:rsid w:val="005821E4"/>
    <w:rsid w:val="005A0CE4"/>
    <w:rsid w:val="005C17EE"/>
    <w:rsid w:val="005C6CDB"/>
    <w:rsid w:val="005D7711"/>
    <w:rsid w:val="005E1DF3"/>
    <w:rsid w:val="005E4FAF"/>
    <w:rsid w:val="006107BE"/>
    <w:rsid w:val="00611C56"/>
    <w:rsid w:val="00617B94"/>
    <w:rsid w:val="006443BE"/>
    <w:rsid w:val="00657CAF"/>
    <w:rsid w:val="00660F13"/>
    <w:rsid w:val="0066661E"/>
    <w:rsid w:val="0067269D"/>
    <w:rsid w:val="00693505"/>
    <w:rsid w:val="006A31D2"/>
    <w:rsid w:val="006C53E9"/>
    <w:rsid w:val="006D0588"/>
    <w:rsid w:val="006D3C59"/>
    <w:rsid w:val="006E10A8"/>
    <w:rsid w:val="006F379F"/>
    <w:rsid w:val="00700BE1"/>
    <w:rsid w:val="0071097C"/>
    <w:rsid w:val="0071419F"/>
    <w:rsid w:val="00731616"/>
    <w:rsid w:val="007445B5"/>
    <w:rsid w:val="00790E15"/>
    <w:rsid w:val="00793555"/>
    <w:rsid w:val="007C33BA"/>
    <w:rsid w:val="007D3DD6"/>
    <w:rsid w:val="007E425C"/>
    <w:rsid w:val="008250CF"/>
    <w:rsid w:val="00830C52"/>
    <w:rsid w:val="00855B8A"/>
    <w:rsid w:val="00882505"/>
    <w:rsid w:val="00883CBA"/>
    <w:rsid w:val="00884CA2"/>
    <w:rsid w:val="008B5C1A"/>
    <w:rsid w:val="008E0971"/>
    <w:rsid w:val="00901DCF"/>
    <w:rsid w:val="00925A7D"/>
    <w:rsid w:val="00944142"/>
    <w:rsid w:val="00944A49"/>
    <w:rsid w:val="009567E9"/>
    <w:rsid w:val="009638A8"/>
    <w:rsid w:val="0097311B"/>
    <w:rsid w:val="00975FC1"/>
    <w:rsid w:val="009869FE"/>
    <w:rsid w:val="00992671"/>
    <w:rsid w:val="009B1D50"/>
    <w:rsid w:val="009C57D1"/>
    <w:rsid w:val="009E5766"/>
    <w:rsid w:val="00A00552"/>
    <w:rsid w:val="00A10F7B"/>
    <w:rsid w:val="00A32475"/>
    <w:rsid w:val="00A4218B"/>
    <w:rsid w:val="00A43DC9"/>
    <w:rsid w:val="00A57E3B"/>
    <w:rsid w:val="00A84E53"/>
    <w:rsid w:val="00A90840"/>
    <w:rsid w:val="00AA09A6"/>
    <w:rsid w:val="00AA5E01"/>
    <w:rsid w:val="00AC1C66"/>
    <w:rsid w:val="00AC7C06"/>
    <w:rsid w:val="00AE1538"/>
    <w:rsid w:val="00B21E61"/>
    <w:rsid w:val="00B21EE2"/>
    <w:rsid w:val="00B312DB"/>
    <w:rsid w:val="00B767E4"/>
    <w:rsid w:val="00B77C9E"/>
    <w:rsid w:val="00B77DD3"/>
    <w:rsid w:val="00B83144"/>
    <w:rsid w:val="00B94B1C"/>
    <w:rsid w:val="00BA515F"/>
    <w:rsid w:val="00BD5778"/>
    <w:rsid w:val="00BF1FE5"/>
    <w:rsid w:val="00BF3378"/>
    <w:rsid w:val="00C036F6"/>
    <w:rsid w:val="00C4051D"/>
    <w:rsid w:val="00C44046"/>
    <w:rsid w:val="00C5390E"/>
    <w:rsid w:val="00CB0A16"/>
    <w:rsid w:val="00CF5663"/>
    <w:rsid w:val="00D14D6D"/>
    <w:rsid w:val="00D8685F"/>
    <w:rsid w:val="00D91BBC"/>
    <w:rsid w:val="00DA66A6"/>
    <w:rsid w:val="00DB5F89"/>
    <w:rsid w:val="00DC1186"/>
    <w:rsid w:val="00DF4759"/>
    <w:rsid w:val="00DF72D1"/>
    <w:rsid w:val="00E252FB"/>
    <w:rsid w:val="00E263AD"/>
    <w:rsid w:val="00E629C7"/>
    <w:rsid w:val="00E662C3"/>
    <w:rsid w:val="00E66738"/>
    <w:rsid w:val="00E74F2E"/>
    <w:rsid w:val="00EB54C4"/>
    <w:rsid w:val="00EB6841"/>
    <w:rsid w:val="00EC0536"/>
    <w:rsid w:val="00EE5B6C"/>
    <w:rsid w:val="00EF1F5A"/>
    <w:rsid w:val="00EF74EE"/>
    <w:rsid w:val="00F032DD"/>
    <w:rsid w:val="00F13DEB"/>
    <w:rsid w:val="00F57010"/>
    <w:rsid w:val="00F5716B"/>
    <w:rsid w:val="00F577D4"/>
    <w:rsid w:val="00F710E1"/>
    <w:rsid w:val="00F814BB"/>
    <w:rsid w:val="00F9141D"/>
    <w:rsid w:val="00F9536F"/>
    <w:rsid w:val="00FC76A6"/>
    <w:rsid w:val="00FE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821E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 Знак,Podrozdział Знак,Текст сноски Знак1 Знак Знак,Текст сноски Знак Знак Знак Знак,Table_Footnote_last Знак,Текст сноски Знак Знак Знак1,Footnote Text Char Знак Знак Знак,Footnote Text Char Знак Знак1,Table_Footnote_last"/>
    <w:basedOn w:val="a"/>
    <w:link w:val="a4"/>
    <w:uiPriority w:val="99"/>
    <w:unhideWhenUsed/>
    <w:qFormat/>
    <w:rsid w:val="006E10A8"/>
    <w:rPr>
      <w:sz w:val="20"/>
      <w:szCs w:val="20"/>
    </w:rPr>
  </w:style>
  <w:style w:type="character" w:customStyle="1" w:styleId="a4">
    <w:name w:val="Текст сноски Знак"/>
    <w:aliases w:val="Oaeno niinee Ciae Знак Знак,Podrozdział Знак Знак,Текст сноски Знак1 Знак Знак Знак,Текст сноски Знак Знак Знак Знак Знак,Table_Footnote_last Знак Знак,Текст сноски Знак Знак Знак1 Знак,Footnote Text Char Знак Знак Знак Знак"/>
    <w:basedOn w:val="a0"/>
    <w:link w:val="a3"/>
    <w:uiPriority w:val="99"/>
    <w:qFormat/>
    <w:rsid w:val="006E10A8"/>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SUPERS,ftref,16 Point,Superscript 6 Point,текст сноски,Referencia nota al pie,Ссылка на сноску 45,Appel note de bas de page,fr,Used by Word for Help footnote symbols,Ciae niinee 1,FZ,сноска,Ref,R"/>
    <w:basedOn w:val="a0"/>
    <w:link w:val="11"/>
    <w:uiPriority w:val="99"/>
    <w:unhideWhenUsed/>
    <w:qFormat/>
    <w:rsid w:val="006E10A8"/>
    <w:rPr>
      <w:vertAlign w:val="superscript"/>
    </w:rPr>
  </w:style>
  <w:style w:type="table" w:styleId="a6">
    <w:name w:val="Table Grid"/>
    <w:aliases w:val="Сетка таблицы GR"/>
    <w:basedOn w:val="a1"/>
    <w:uiPriority w:val="59"/>
    <w:rsid w:val="000F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F3C99"/>
    <w:pPr>
      <w:tabs>
        <w:tab w:val="center" w:pos="4677"/>
        <w:tab w:val="right" w:pos="9355"/>
      </w:tabs>
    </w:pPr>
  </w:style>
  <w:style w:type="character" w:customStyle="1" w:styleId="a8">
    <w:name w:val="Верхний колонтитул Знак"/>
    <w:basedOn w:val="a0"/>
    <w:link w:val="a7"/>
    <w:uiPriority w:val="99"/>
    <w:rsid w:val="000F3C9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F3C99"/>
    <w:pPr>
      <w:tabs>
        <w:tab w:val="center" w:pos="4677"/>
        <w:tab w:val="right" w:pos="9355"/>
      </w:tabs>
    </w:pPr>
  </w:style>
  <w:style w:type="character" w:customStyle="1" w:styleId="aa">
    <w:name w:val="Нижний колонтитул Знак"/>
    <w:basedOn w:val="a0"/>
    <w:link w:val="a9"/>
    <w:uiPriority w:val="99"/>
    <w:rsid w:val="000F3C99"/>
    <w:rPr>
      <w:rFonts w:ascii="Times New Roman" w:eastAsia="Times New Roman" w:hAnsi="Times New Roman" w:cs="Times New Roman"/>
      <w:sz w:val="24"/>
      <w:szCs w:val="24"/>
      <w:lang w:eastAsia="ru-RU"/>
    </w:rPr>
  </w:style>
  <w:style w:type="paragraph" w:customStyle="1" w:styleId="11">
    <w:name w:val="Знак сноски1"/>
    <w:link w:val="a5"/>
    <w:uiPriority w:val="99"/>
    <w:rsid w:val="005C17EE"/>
    <w:pPr>
      <w:spacing w:after="0" w:line="360" w:lineRule="auto"/>
    </w:pPr>
    <w:rPr>
      <w:vertAlign w:val="superscript"/>
    </w:rPr>
  </w:style>
  <w:style w:type="paragraph" w:customStyle="1" w:styleId="Style1">
    <w:name w:val="Style1"/>
    <w:basedOn w:val="a"/>
    <w:uiPriority w:val="99"/>
    <w:rsid w:val="000079F7"/>
    <w:pPr>
      <w:widowControl w:val="0"/>
      <w:autoSpaceDE w:val="0"/>
      <w:autoSpaceDN w:val="0"/>
      <w:adjustRightInd w:val="0"/>
      <w:spacing w:line="499" w:lineRule="exact"/>
    </w:pPr>
  </w:style>
  <w:style w:type="character" w:customStyle="1" w:styleId="FontStyle12">
    <w:name w:val="Font Style12"/>
    <w:uiPriority w:val="99"/>
    <w:rsid w:val="000079F7"/>
    <w:rPr>
      <w:rFonts w:ascii="Times New Roman" w:hAnsi="Times New Roman" w:cs="Times New Roman" w:hint="default"/>
      <w:sz w:val="26"/>
      <w:szCs w:val="26"/>
    </w:rPr>
  </w:style>
  <w:style w:type="character" w:customStyle="1" w:styleId="10">
    <w:name w:val="Заголовок 1 Знак"/>
    <w:basedOn w:val="a0"/>
    <w:link w:val="1"/>
    <w:uiPriority w:val="99"/>
    <w:rsid w:val="005821E4"/>
    <w:rPr>
      <w:rFonts w:ascii="Arial" w:eastAsia="Times New Roman" w:hAnsi="Arial" w:cs="Arial"/>
      <w:b/>
      <w:bCs/>
      <w:kern w:val="32"/>
      <w:sz w:val="32"/>
      <w:szCs w:val="32"/>
      <w:lang w:eastAsia="ru-RU"/>
    </w:rPr>
  </w:style>
  <w:style w:type="paragraph" w:styleId="ab">
    <w:name w:val="Body Text Indent"/>
    <w:aliases w:val="Знак Знак,Знак3 Знак, Знак Знак, Знак3 Знак"/>
    <w:basedOn w:val="a"/>
    <w:link w:val="ac"/>
    <w:rsid w:val="00F9536F"/>
    <w:pPr>
      <w:ind w:firstLine="720"/>
      <w:jc w:val="both"/>
    </w:pPr>
    <w:rPr>
      <w:sz w:val="28"/>
      <w:szCs w:val="20"/>
    </w:rPr>
  </w:style>
  <w:style w:type="character" w:customStyle="1" w:styleId="ac">
    <w:name w:val="Основной текст с отступом Знак"/>
    <w:aliases w:val="Знак Знак Знак,Знак3 Знак Знак, Знак Знак Знак, Знак3 Знак Знак"/>
    <w:basedOn w:val="a0"/>
    <w:link w:val="ab"/>
    <w:rsid w:val="00F9536F"/>
    <w:rPr>
      <w:rFonts w:ascii="Times New Roman" w:eastAsia="Times New Roman" w:hAnsi="Times New Roman" w:cs="Times New Roman"/>
      <w:sz w:val="28"/>
      <w:szCs w:val="20"/>
      <w:lang w:eastAsia="ru-RU"/>
    </w:rPr>
  </w:style>
  <w:style w:type="character" w:customStyle="1" w:styleId="12">
    <w:name w:val="Текст сноски Знак1"/>
    <w:basedOn w:val="a0"/>
    <w:uiPriority w:val="99"/>
    <w:semiHidden/>
    <w:rsid w:val="00F9536F"/>
    <w:rPr>
      <w:sz w:val="20"/>
      <w:szCs w:val="20"/>
    </w:rPr>
  </w:style>
  <w:style w:type="character" w:styleId="ad">
    <w:name w:val="annotation reference"/>
    <w:basedOn w:val="a0"/>
    <w:uiPriority w:val="99"/>
    <w:semiHidden/>
    <w:unhideWhenUsed/>
    <w:rsid w:val="00F9536F"/>
    <w:rPr>
      <w:sz w:val="16"/>
      <w:szCs w:val="16"/>
    </w:rPr>
  </w:style>
  <w:style w:type="paragraph" w:styleId="ae">
    <w:name w:val="annotation text"/>
    <w:basedOn w:val="a"/>
    <w:link w:val="af"/>
    <w:uiPriority w:val="99"/>
    <w:semiHidden/>
    <w:unhideWhenUsed/>
    <w:rsid w:val="00F9536F"/>
    <w:rPr>
      <w:sz w:val="20"/>
      <w:szCs w:val="20"/>
    </w:rPr>
  </w:style>
  <w:style w:type="character" w:customStyle="1" w:styleId="af">
    <w:name w:val="Текст примечания Знак"/>
    <w:basedOn w:val="a0"/>
    <w:link w:val="ae"/>
    <w:uiPriority w:val="99"/>
    <w:semiHidden/>
    <w:rsid w:val="00F9536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9536F"/>
    <w:rPr>
      <w:b/>
      <w:bCs/>
    </w:rPr>
  </w:style>
  <w:style w:type="character" w:customStyle="1" w:styleId="af1">
    <w:name w:val="Тема примечания Знак"/>
    <w:basedOn w:val="af"/>
    <w:link w:val="af0"/>
    <w:uiPriority w:val="99"/>
    <w:semiHidden/>
    <w:rsid w:val="00F9536F"/>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F9536F"/>
    <w:rPr>
      <w:rFonts w:ascii="Segoe UI" w:hAnsi="Segoe UI" w:cs="Segoe UI"/>
      <w:sz w:val="18"/>
      <w:szCs w:val="18"/>
    </w:rPr>
  </w:style>
  <w:style w:type="character" w:customStyle="1" w:styleId="af3">
    <w:name w:val="Текст выноски Знак"/>
    <w:basedOn w:val="a0"/>
    <w:link w:val="af2"/>
    <w:uiPriority w:val="99"/>
    <w:semiHidden/>
    <w:rsid w:val="00F9536F"/>
    <w:rPr>
      <w:rFonts w:ascii="Segoe UI" w:eastAsia="Times New Roman" w:hAnsi="Segoe UI" w:cs="Segoe UI"/>
      <w:sz w:val="18"/>
      <w:szCs w:val="18"/>
      <w:lang w:eastAsia="ru-RU"/>
    </w:rPr>
  </w:style>
  <w:style w:type="paragraph" w:styleId="af4">
    <w:name w:val="List Paragraph"/>
    <w:basedOn w:val="a"/>
    <w:uiPriority w:val="34"/>
    <w:qFormat/>
    <w:rsid w:val="00F9536F"/>
    <w:pPr>
      <w:spacing w:after="200" w:line="276" w:lineRule="auto"/>
      <w:ind w:left="720"/>
      <w:contextualSpacing/>
    </w:pPr>
    <w:rPr>
      <w:rFonts w:asciiTheme="minorHAnsi" w:eastAsiaTheme="minorHAnsi" w:hAnsiTheme="minorHAnsi" w:cstheme="minorBidi"/>
      <w:sz w:val="22"/>
      <w:szCs w:val="22"/>
      <w:lang w:eastAsia="en-US"/>
    </w:rPr>
  </w:style>
  <w:style w:type="character" w:styleId="af5">
    <w:name w:val="Hyperlink"/>
    <w:basedOn w:val="a0"/>
    <w:uiPriority w:val="99"/>
    <w:semiHidden/>
    <w:unhideWhenUsed/>
    <w:rsid w:val="00F9536F"/>
    <w:rPr>
      <w:color w:val="0000FF"/>
      <w:u w:val="single"/>
    </w:rPr>
  </w:style>
  <w:style w:type="character" w:styleId="af6">
    <w:name w:val="FollowedHyperlink"/>
    <w:basedOn w:val="a0"/>
    <w:uiPriority w:val="99"/>
    <w:semiHidden/>
    <w:unhideWhenUsed/>
    <w:rsid w:val="00F9536F"/>
    <w:rPr>
      <w:color w:val="800080"/>
      <w:u w:val="single"/>
    </w:rPr>
  </w:style>
  <w:style w:type="paragraph" w:customStyle="1" w:styleId="msonormal0">
    <w:name w:val="msonormal"/>
    <w:basedOn w:val="a"/>
    <w:rsid w:val="00F9536F"/>
    <w:pPr>
      <w:spacing w:before="100" w:beforeAutospacing="1" w:after="100" w:afterAutospacing="1"/>
    </w:pPr>
  </w:style>
  <w:style w:type="paragraph" w:customStyle="1" w:styleId="xl66">
    <w:name w:val="xl66"/>
    <w:basedOn w:val="a"/>
    <w:rsid w:val="00F9536F"/>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textAlignment w:val="center"/>
    </w:pPr>
  </w:style>
  <w:style w:type="paragraph" w:customStyle="1" w:styleId="xl67">
    <w:name w:val="xl67"/>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69">
    <w:name w:val="xl69"/>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rsid w:val="00F9536F"/>
    <w:pPr>
      <w:pBdr>
        <w:left w:val="single" w:sz="4" w:space="7" w:color="000000"/>
        <w:bottom w:val="single" w:sz="4" w:space="0" w:color="000000"/>
        <w:right w:val="single" w:sz="4" w:space="0" w:color="000000"/>
      </w:pBdr>
      <w:spacing w:before="100" w:beforeAutospacing="1" w:after="100" w:afterAutospacing="1"/>
      <w:ind w:firstLineChars="100" w:firstLine="100"/>
      <w:textAlignment w:val="center"/>
    </w:pPr>
  </w:style>
  <w:style w:type="paragraph" w:customStyle="1" w:styleId="xl71">
    <w:name w:val="xl71"/>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a"/>
    <w:rsid w:val="00F9536F"/>
    <w:pPr>
      <w:pBdr>
        <w:left w:val="single" w:sz="4" w:space="0" w:color="000000"/>
        <w:bottom w:val="single" w:sz="4" w:space="0" w:color="000000"/>
        <w:right w:val="single" w:sz="4" w:space="0" w:color="000000"/>
      </w:pBdr>
      <w:spacing w:before="100" w:beforeAutospacing="1" w:after="100" w:afterAutospacing="1"/>
    </w:pPr>
  </w:style>
  <w:style w:type="paragraph" w:customStyle="1" w:styleId="xl73">
    <w:name w:val="xl73"/>
    <w:basedOn w:val="a"/>
    <w:rsid w:val="00F9536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74">
    <w:name w:val="xl7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5">
    <w:name w:val="xl75"/>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hAnsi="Calibri"/>
      <w:b/>
      <w:bCs/>
    </w:rPr>
  </w:style>
  <w:style w:type="paragraph" w:customStyle="1" w:styleId="xl76">
    <w:name w:val="xl76"/>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77">
    <w:name w:val="xl77"/>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78">
    <w:name w:val="xl78"/>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79">
    <w:name w:val="xl79"/>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0">
    <w:name w:val="xl80"/>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81">
    <w:name w:val="xl81"/>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pPr>
    <w:rPr>
      <w:rFonts w:ascii="Calibri" w:hAnsi="Calibri"/>
      <w:b/>
      <w:bCs/>
    </w:rPr>
  </w:style>
  <w:style w:type="paragraph" w:customStyle="1" w:styleId="xl82">
    <w:name w:val="xl82"/>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textAlignment w:val="center"/>
    </w:pPr>
    <w:rPr>
      <w:rFonts w:ascii="Calibri" w:hAnsi="Calibri"/>
      <w:b/>
      <w:bCs/>
    </w:rPr>
  </w:style>
  <w:style w:type="paragraph" w:customStyle="1" w:styleId="xl83">
    <w:name w:val="xl83"/>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pPr>
    <w:rPr>
      <w:rFonts w:ascii="Calibri" w:hAnsi="Calibri"/>
      <w:b/>
      <w:bCs/>
    </w:rPr>
  </w:style>
  <w:style w:type="paragraph" w:customStyle="1" w:styleId="xl84">
    <w:name w:val="xl8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5">
    <w:name w:val="xl85"/>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6">
    <w:name w:val="xl86"/>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7">
    <w:name w:val="xl87"/>
    <w:basedOn w:val="a"/>
    <w:rsid w:val="00F9536F"/>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8">
    <w:name w:val="xl88"/>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9">
    <w:name w:val="xl89"/>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90">
    <w:name w:val="xl90"/>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91">
    <w:name w:val="xl91"/>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92">
    <w:name w:val="xl92"/>
    <w:basedOn w:val="a"/>
    <w:rsid w:val="00F953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a"/>
    <w:rsid w:val="00F953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4">
    <w:name w:val="xl9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5">
    <w:name w:val="xl95"/>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rFonts w:ascii="Calibri" w:hAnsi="Calibri"/>
      <w:b/>
      <w:bCs/>
    </w:rPr>
  </w:style>
  <w:style w:type="paragraph" w:customStyle="1" w:styleId="xl96">
    <w:name w:val="xl96"/>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center"/>
    </w:pPr>
    <w:rPr>
      <w:rFonts w:ascii="Calibri" w:hAnsi="Calibri"/>
      <w:b/>
      <w:bCs/>
    </w:rPr>
  </w:style>
  <w:style w:type="paragraph" w:customStyle="1" w:styleId="xl97">
    <w:name w:val="xl97"/>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Calibri" w:hAnsi="Calibri"/>
      <w:b/>
      <w:bCs/>
    </w:rPr>
  </w:style>
  <w:style w:type="paragraph" w:customStyle="1" w:styleId="xl98">
    <w:name w:val="xl98"/>
    <w:basedOn w:val="a"/>
    <w:rsid w:val="00F95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b/>
      <w:bCs/>
    </w:rPr>
  </w:style>
  <w:style w:type="paragraph" w:customStyle="1" w:styleId="xl99">
    <w:name w:val="xl99"/>
    <w:basedOn w:val="a"/>
    <w:rsid w:val="00F9536F"/>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textAlignment w:val="center"/>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821E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 Знак,Podrozdział Знак,Текст сноски Знак1 Знак Знак,Текст сноски Знак Знак Знак Знак,Table_Footnote_last Знак,Текст сноски Знак Знак Знак1,Footnote Text Char Знак Знак Знак,Footnote Text Char Знак Знак1,Table_Footnote_last"/>
    <w:basedOn w:val="a"/>
    <w:link w:val="a4"/>
    <w:uiPriority w:val="99"/>
    <w:unhideWhenUsed/>
    <w:qFormat/>
    <w:rsid w:val="006E10A8"/>
    <w:rPr>
      <w:sz w:val="20"/>
      <w:szCs w:val="20"/>
    </w:rPr>
  </w:style>
  <w:style w:type="character" w:customStyle="1" w:styleId="a4">
    <w:name w:val="Текст сноски Знак"/>
    <w:aliases w:val="Oaeno niinee Ciae Знак Знак,Podrozdział Знак Знак,Текст сноски Знак1 Знак Знак Знак,Текст сноски Знак Знак Знак Знак Знак,Table_Footnote_last Знак Знак,Текст сноски Знак Знак Знак1 Знак,Footnote Text Char Знак Знак Знак Знак"/>
    <w:basedOn w:val="a0"/>
    <w:link w:val="a3"/>
    <w:uiPriority w:val="99"/>
    <w:qFormat/>
    <w:rsid w:val="006E10A8"/>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SUPERS,ftref,16 Point,Superscript 6 Point,текст сноски,Referencia nota al pie,Ссылка на сноску 45,Appel note de bas de page,fr,Used by Word for Help footnote symbols,Ciae niinee 1,FZ,сноска,Ref,R"/>
    <w:basedOn w:val="a0"/>
    <w:link w:val="11"/>
    <w:uiPriority w:val="99"/>
    <w:unhideWhenUsed/>
    <w:qFormat/>
    <w:rsid w:val="006E10A8"/>
    <w:rPr>
      <w:vertAlign w:val="superscript"/>
    </w:rPr>
  </w:style>
  <w:style w:type="table" w:styleId="a6">
    <w:name w:val="Table Grid"/>
    <w:aliases w:val="Сетка таблицы GR"/>
    <w:basedOn w:val="a1"/>
    <w:uiPriority w:val="59"/>
    <w:rsid w:val="000F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F3C99"/>
    <w:pPr>
      <w:tabs>
        <w:tab w:val="center" w:pos="4677"/>
        <w:tab w:val="right" w:pos="9355"/>
      </w:tabs>
    </w:pPr>
  </w:style>
  <w:style w:type="character" w:customStyle="1" w:styleId="a8">
    <w:name w:val="Верхний колонтитул Знак"/>
    <w:basedOn w:val="a0"/>
    <w:link w:val="a7"/>
    <w:uiPriority w:val="99"/>
    <w:rsid w:val="000F3C9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F3C99"/>
    <w:pPr>
      <w:tabs>
        <w:tab w:val="center" w:pos="4677"/>
        <w:tab w:val="right" w:pos="9355"/>
      </w:tabs>
    </w:pPr>
  </w:style>
  <w:style w:type="character" w:customStyle="1" w:styleId="aa">
    <w:name w:val="Нижний колонтитул Знак"/>
    <w:basedOn w:val="a0"/>
    <w:link w:val="a9"/>
    <w:uiPriority w:val="99"/>
    <w:rsid w:val="000F3C99"/>
    <w:rPr>
      <w:rFonts w:ascii="Times New Roman" w:eastAsia="Times New Roman" w:hAnsi="Times New Roman" w:cs="Times New Roman"/>
      <w:sz w:val="24"/>
      <w:szCs w:val="24"/>
      <w:lang w:eastAsia="ru-RU"/>
    </w:rPr>
  </w:style>
  <w:style w:type="paragraph" w:customStyle="1" w:styleId="11">
    <w:name w:val="Знак сноски1"/>
    <w:link w:val="a5"/>
    <w:uiPriority w:val="99"/>
    <w:rsid w:val="005C17EE"/>
    <w:pPr>
      <w:spacing w:after="0" w:line="360" w:lineRule="auto"/>
    </w:pPr>
    <w:rPr>
      <w:vertAlign w:val="superscript"/>
    </w:rPr>
  </w:style>
  <w:style w:type="paragraph" w:customStyle="1" w:styleId="Style1">
    <w:name w:val="Style1"/>
    <w:basedOn w:val="a"/>
    <w:uiPriority w:val="99"/>
    <w:rsid w:val="000079F7"/>
    <w:pPr>
      <w:widowControl w:val="0"/>
      <w:autoSpaceDE w:val="0"/>
      <w:autoSpaceDN w:val="0"/>
      <w:adjustRightInd w:val="0"/>
      <w:spacing w:line="499" w:lineRule="exact"/>
    </w:pPr>
  </w:style>
  <w:style w:type="character" w:customStyle="1" w:styleId="FontStyle12">
    <w:name w:val="Font Style12"/>
    <w:uiPriority w:val="99"/>
    <w:rsid w:val="000079F7"/>
    <w:rPr>
      <w:rFonts w:ascii="Times New Roman" w:hAnsi="Times New Roman" w:cs="Times New Roman" w:hint="default"/>
      <w:sz w:val="26"/>
      <w:szCs w:val="26"/>
    </w:rPr>
  </w:style>
  <w:style w:type="character" w:customStyle="1" w:styleId="10">
    <w:name w:val="Заголовок 1 Знак"/>
    <w:basedOn w:val="a0"/>
    <w:link w:val="1"/>
    <w:uiPriority w:val="99"/>
    <w:rsid w:val="005821E4"/>
    <w:rPr>
      <w:rFonts w:ascii="Arial" w:eastAsia="Times New Roman" w:hAnsi="Arial" w:cs="Arial"/>
      <w:b/>
      <w:bCs/>
      <w:kern w:val="32"/>
      <w:sz w:val="32"/>
      <w:szCs w:val="32"/>
      <w:lang w:eastAsia="ru-RU"/>
    </w:rPr>
  </w:style>
  <w:style w:type="paragraph" w:styleId="ab">
    <w:name w:val="Body Text Indent"/>
    <w:aliases w:val="Знак Знак,Знак3 Знак, Знак Знак, Знак3 Знак"/>
    <w:basedOn w:val="a"/>
    <w:link w:val="ac"/>
    <w:rsid w:val="00F9536F"/>
    <w:pPr>
      <w:ind w:firstLine="720"/>
      <w:jc w:val="both"/>
    </w:pPr>
    <w:rPr>
      <w:sz w:val="28"/>
      <w:szCs w:val="20"/>
    </w:rPr>
  </w:style>
  <w:style w:type="character" w:customStyle="1" w:styleId="ac">
    <w:name w:val="Основной текст с отступом Знак"/>
    <w:aliases w:val="Знак Знак Знак,Знак3 Знак Знак, Знак Знак Знак, Знак3 Знак Знак"/>
    <w:basedOn w:val="a0"/>
    <w:link w:val="ab"/>
    <w:rsid w:val="00F9536F"/>
    <w:rPr>
      <w:rFonts w:ascii="Times New Roman" w:eastAsia="Times New Roman" w:hAnsi="Times New Roman" w:cs="Times New Roman"/>
      <w:sz w:val="28"/>
      <w:szCs w:val="20"/>
      <w:lang w:eastAsia="ru-RU"/>
    </w:rPr>
  </w:style>
  <w:style w:type="character" w:customStyle="1" w:styleId="12">
    <w:name w:val="Текст сноски Знак1"/>
    <w:basedOn w:val="a0"/>
    <w:uiPriority w:val="99"/>
    <w:semiHidden/>
    <w:rsid w:val="00F9536F"/>
    <w:rPr>
      <w:sz w:val="20"/>
      <w:szCs w:val="20"/>
    </w:rPr>
  </w:style>
  <w:style w:type="character" w:styleId="ad">
    <w:name w:val="annotation reference"/>
    <w:basedOn w:val="a0"/>
    <w:uiPriority w:val="99"/>
    <w:semiHidden/>
    <w:unhideWhenUsed/>
    <w:rsid w:val="00F9536F"/>
    <w:rPr>
      <w:sz w:val="16"/>
      <w:szCs w:val="16"/>
    </w:rPr>
  </w:style>
  <w:style w:type="paragraph" w:styleId="ae">
    <w:name w:val="annotation text"/>
    <w:basedOn w:val="a"/>
    <w:link w:val="af"/>
    <w:uiPriority w:val="99"/>
    <w:semiHidden/>
    <w:unhideWhenUsed/>
    <w:rsid w:val="00F9536F"/>
    <w:rPr>
      <w:sz w:val="20"/>
      <w:szCs w:val="20"/>
    </w:rPr>
  </w:style>
  <w:style w:type="character" w:customStyle="1" w:styleId="af">
    <w:name w:val="Текст примечания Знак"/>
    <w:basedOn w:val="a0"/>
    <w:link w:val="ae"/>
    <w:uiPriority w:val="99"/>
    <w:semiHidden/>
    <w:rsid w:val="00F9536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9536F"/>
    <w:rPr>
      <w:b/>
      <w:bCs/>
    </w:rPr>
  </w:style>
  <w:style w:type="character" w:customStyle="1" w:styleId="af1">
    <w:name w:val="Тема примечания Знак"/>
    <w:basedOn w:val="af"/>
    <w:link w:val="af0"/>
    <w:uiPriority w:val="99"/>
    <w:semiHidden/>
    <w:rsid w:val="00F9536F"/>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F9536F"/>
    <w:rPr>
      <w:rFonts w:ascii="Segoe UI" w:hAnsi="Segoe UI" w:cs="Segoe UI"/>
      <w:sz w:val="18"/>
      <w:szCs w:val="18"/>
    </w:rPr>
  </w:style>
  <w:style w:type="character" w:customStyle="1" w:styleId="af3">
    <w:name w:val="Текст выноски Знак"/>
    <w:basedOn w:val="a0"/>
    <w:link w:val="af2"/>
    <w:uiPriority w:val="99"/>
    <w:semiHidden/>
    <w:rsid w:val="00F9536F"/>
    <w:rPr>
      <w:rFonts w:ascii="Segoe UI" w:eastAsia="Times New Roman" w:hAnsi="Segoe UI" w:cs="Segoe UI"/>
      <w:sz w:val="18"/>
      <w:szCs w:val="18"/>
      <w:lang w:eastAsia="ru-RU"/>
    </w:rPr>
  </w:style>
  <w:style w:type="paragraph" w:styleId="af4">
    <w:name w:val="List Paragraph"/>
    <w:basedOn w:val="a"/>
    <w:uiPriority w:val="34"/>
    <w:qFormat/>
    <w:rsid w:val="00F9536F"/>
    <w:pPr>
      <w:spacing w:after="200" w:line="276" w:lineRule="auto"/>
      <w:ind w:left="720"/>
      <w:contextualSpacing/>
    </w:pPr>
    <w:rPr>
      <w:rFonts w:asciiTheme="minorHAnsi" w:eastAsiaTheme="minorHAnsi" w:hAnsiTheme="minorHAnsi" w:cstheme="minorBidi"/>
      <w:sz w:val="22"/>
      <w:szCs w:val="22"/>
      <w:lang w:eastAsia="en-US"/>
    </w:rPr>
  </w:style>
  <w:style w:type="character" w:styleId="af5">
    <w:name w:val="Hyperlink"/>
    <w:basedOn w:val="a0"/>
    <w:uiPriority w:val="99"/>
    <w:semiHidden/>
    <w:unhideWhenUsed/>
    <w:rsid w:val="00F9536F"/>
    <w:rPr>
      <w:color w:val="0000FF"/>
      <w:u w:val="single"/>
    </w:rPr>
  </w:style>
  <w:style w:type="character" w:styleId="af6">
    <w:name w:val="FollowedHyperlink"/>
    <w:basedOn w:val="a0"/>
    <w:uiPriority w:val="99"/>
    <w:semiHidden/>
    <w:unhideWhenUsed/>
    <w:rsid w:val="00F9536F"/>
    <w:rPr>
      <w:color w:val="800080"/>
      <w:u w:val="single"/>
    </w:rPr>
  </w:style>
  <w:style w:type="paragraph" w:customStyle="1" w:styleId="msonormal0">
    <w:name w:val="msonormal"/>
    <w:basedOn w:val="a"/>
    <w:rsid w:val="00F9536F"/>
    <w:pPr>
      <w:spacing w:before="100" w:beforeAutospacing="1" w:after="100" w:afterAutospacing="1"/>
    </w:pPr>
  </w:style>
  <w:style w:type="paragraph" w:customStyle="1" w:styleId="xl66">
    <w:name w:val="xl66"/>
    <w:basedOn w:val="a"/>
    <w:rsid w:val="00F9536F"/>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textAlignment w:val="center"/>
    </w:pPr>
  </w:style>
  <w:style w:type="paragraph" w:customStyle="1" w:styleId="xl67">
    <w:name w:val="xl67"/>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69">
    <w:name w:val="xl69"/>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rsid w:val="00F9536F"/>
    <w:pPr>
      <w:pBdr>
        <w:left w:val="single" w:sz="4" w:space="7" w:color="000000"/>
        <w:bottom w:val="single" w:sz="4" w:space="0" w:color="000000"/>
        <w:right w:val="single" w:sz="4" w:space="0" w:color="000000"/>
      </w:pBdr>
      <w:spacing w:before="100" w:beforeAutospacing="1" w:after="100" w:afterAutospacing="1"/>
      <w:ind w:firstLineChars="100" w:firstLine="100"/>
      <w:textAlignment w:val="center"/>
    </w:pPr>
  </w:style>
  <w:style w:type="paragraph" w:customStyle="1" w:styleId="xl71">
    <w:name w:val="xl71"/>
    <w:basedOn w:val="a"/>
    <w:rsid w:val="00F9536F"/>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a"/>
    <w:rsid w:val="00F9536F"/>
    <w:pPr>
      <w:pBdr>
        <w:left w:val="single" w:sz="4" w:space="0" w:color="000000"/>
        <w:bottom w:val="single" w:sz="4" w:space="0" w:color="000000"/>
        <w:right w:val="single" w:sz="4" w:space="0" w:color="000000"/>
      </w:pBdr>
      <w:spacing w:before="100" w:beforeAutospacing="1" w:after="100" w:afterAutospacing="1"/>
    </w:pPr>
  </w:style>
  <w:style w:type="paragraph" w:customStyle="1" w:styleId="xl73">
    <w:name w:val="xl73"/>
    <w:basedOn w:val="a"/>
    <w:rsid w:val="00F9536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74">
    <w:name w:val="xl7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5">
    <w:name w:val="xl75"/>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hAnsi="Calibri"/>
      <w:b/>
      <w:bCs/>
    </w:rPr>
  </w:style>
  <w:style w:type="paragraph" w:customStyle="1" w:styleId="xl76">
    <w:name w:val="xl76"/>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77">
    <w:name w:val="xl77"/>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78">
    <w:name w:val="xl78"/>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79">
    <w:name w:val="xl79"/>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0">
    <w:name w:val="xl80"/>
    <w:basedOn w:val="a"/>
    <w:rsid w:val="00F9536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81">
    <w:name w:val="xl81"/>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pPr>
    <w:rPr>
      <w:rFonts w:ascii="Calibri" w:hAnsi="Calibri"/>
      <w:b/>
      <w:bCs/>
    </w:rPr>
  </w:style>
  <w:style w:type="paragraph" w:customStyle="1" w:styleId="xl82">
    <w:name w:val="xl82"/>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textAlignment w:val="center"/>
    </w:pPr>
    <w:rPr>
      <w:rFonts w:ascii="Calibri" w:hAnsi="Calibri"/>
      <w:b/>
      <w:bCs/>
    </w:rPr>
  </w:style>
  <w:style w:type="paragraph" w:customStyle="1" w:styleId="xl83">
    <w:name w:val="xl83"/>
    <w:basedOn w:val="a"/>
    <w:rsid w:val="00F9536F"/>
    <w:pPr>
      <w:pBdr>
        <w:top w:val="single" w:sz="4" w:space="0" w:color="000000"/>
        <w:left w:val="single" w:sz="4" w:space="0" w:color="000000"/>
        <w:right w:val="single" w:sz="4" w:space="0" w:color="000000"/>
      </w:pBdr>
      <w:shd w:val="clear" w:color="000000" w:fill="EEECE1"/>
      <w:spacing w:before="100" w:beforeAutospacing="1" w:after="100" w:afterAutospacing="1"/>
    </w:pPr>
    <w:rPr>
      <w:rFonts w:ascii="Calibri" w:hAnsi="Calibri"/>
      <w:b/>
      <w:bCs/>
    </w:rPr>
  </w:style>
  <w:style w:type="paragraph" w:customStyle="1" w:styleId="xl84">
    <w:name w:val="xl8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5">
    <w:name w:val="xl85"/>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6">
    <w:name w:val="xl86"/>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7">
    <w:name w:val="xl87"/>
    <w:basedOn w:val="a"/>
    <w:rsid w:val="00F9536F"/>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8">
    <w:name w:val="xl88"/>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89">
    <w:name w:val="xl89"/>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rPr>
  </w:style>
  <w:style w:type="paragraph" w:customStyle="1" w:styleId="xl90">
    <w:name w:val="xl90"/>
    <w:basedOn w:val="a"/>
    <w:rsid w:val="00F9536F"/>
    <w:pPr>
      <w:pBdr>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91">
    <w:name w:val="xl91"/>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92">
    <w:name w:val="xl92"/>
    <w:basedOn w:val="a"/>
    <w:rsid w:val="00F953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a"/>
    <w:rsid w:val="00F953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rPr>
  </w:style>
  <w:style w:type="paragraph" w:customStyle="1" w:styleId="xl94">
    <w:name w:val="xl94"/>
    <w:basedOn w:val="a"/>
    <w:rsid w:val="00F953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5">
    <w:name w:val="xl95"/>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rFonts w:ascii="Calibri" w:hAnsi="Calibri"/>
      <w:b/>
      <w:bCs/>
    </w:rPr>
  </w:style>
  <w:style w:type="paragraph" w:customStyle="1" w:styleId="xl96">
    <w:name w:val="xl96"/>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textAlignment w:val="center"/>
    </w:pPr>
    <w:rPr>
      <w:rFonts w:ascii="Calibri" w:hAnsi="Calibri"/>
      <w:b/>
      <w:bCs/>
    </w:rPr>
  </w:style>
  <w:style w:type="paragraph" w:customStyle="1" w:styleId="xl97">
    <w:name w:val="xl97"/>
    <w:basedOn w:val="a"/>
    <w:rsid w:val="00F953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Calibri" w:hAnsi="Calibri"/>
      <w:b/>
      <w:bCs/>
    </w:rPr>
  </w:style>
  <w:style w:type="paragraph" w:customStyle="1" w:styleId="xl98">
    <w:name w:val="xl98"/>
    <w:basedOn w:val="a"/>
    <w:rsid w:val="00F953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b/>
      <w:bCs/>
    </w:rPr>
  </w:style>
  <w:style w:type="paragraph" w:customStyle="1" w:styleId="xl99">
    <w:name w:val="xl99"/>
    <w:basedOn w:val="a"/>
    <w:rsid w:val="00F9536F"/>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textAlignment w:val="center"/>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642">
      <w:bodyDiv w:val="1"/>
      <w:marLeft w:val="0"/>
      <w:marRight w:val="0"/>
      <w:marTop w:val="0"/>
      <w:marBottom w:val="0"/>
      <w:divBdr>
        <w:top w:val="none" w:sz="0" w:space="0" w:color="auto"/>
        <w:left w:val="none" w:sz="0" w:space="0" w:color="auto"/>
        <w:bottom w:val="none" w:sz="0" w:space="0" w:color="auto"/>
        <w:right w:val="none" w:sz="0" w:space="0" w:color="auto"/>
      </w:divBdr>
    </w:div>
    <w:div w:id="379016813">
      <w:bodyDiv w:val="1"/>
      <w:marLeft w:val="0"/>
      <w:marRight w:val="0"/>
      <w:marTop w:val="0"/>
      <w:marBottom w:val="0"/>
      <w:divBdr>
        <w:top w:val="none" w:sz="0" w:space="0" w:color="auto"/>
        <w:left w:val="none" w:sz="0" w:space="0" w:color="auto"/>
        <w:bottom w:val="none" w:sz="0" w:space="0" w:color="auto"/>
        <w:right w:val="none" w:sz="0" w:space="0" w:color="auto"/>
      </w:divBdr>
    </w:div>
    <w:div w:id="21094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1050;&#1086;&#1087;&#1080;&#1103;%20&#1054;&#1093;&#1074;&#1072;&#1090;%20&#1080;%20&#1074;&#1099;&#1093;&#1086;&#1076;%20&#1085;&#1072;%20&#1055;&#1052;%202022_&#1089;&#1074;&#1086;&#1076;.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F:\&#1057;&#1050;%20&#1057;&#1050;%20&#1057;&#1050;\2023++++++\&#1057;&#1042;&#1054;&#1044;%2001.11.2023%20&#1089;%20&#1088;&#1072;&#1089;&#1095;&#1077;&#1090;&#1086;&#10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регионы!$B$1</c:f>
              <c:strCache>
                <c:ptCount val="1"/>
                <c:pt idx="0">
                  <c:v>Доля численности малоимущих граждан, охваченных СК в 2022 году (6% средняя по РФ)</c:v>
                </c:pt>
              </c:strCache>
            </c:strRef>
          </c:tx>
          <c:spPr>
            <a:solidFill>
              <a:schemeClr val="accent1"/>
            </a:solidFill>
            <a:ln>
              <a:noFill/>
            </a:ln>
            <a:effectLst/>
          </c:spPr>
          <c:invertIfNegative val="0"/>
          <c:dLbls>
            <c:dLbl>
              <c:idx val="0"/>
              <c:layout>
                <c:manualLayout>
                  <c:x val="-1.2452007886271672E-2"/>
                  <c:y val="3.62122047244094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3089053917030734E-2"/>
                      <c:h val="9.5473633977570985E-2"/>
                    </c:manualLayout>
                  </c15:layout>
                </c:ext>
                <c:ext xmlns:c16="http://schemas.microsoft.com/office/drawing/2014/chart" uri="{C3380CC4-5D6E-409C-BE32-E72D297353CC}">
                  <c16:uniqueId val="{00000007-78C6-4F99-89B5-DEC51CBFA759}"/>
                </c:ext>
              </c:extLst>
            </c:dLbl>
            <c:dLbl>
              <c:idx val="1"/>
              <c:layout>
                <c:manualLayout>
                  <c:x val="-4.1506692954238868E-3"/>
                  <c:y val="6.666666666666667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8C6-4F99-89B5-DEC51CBFA759}"/>
                </c:ext>
              </c:extLst>
            </c:dLbl>
            <c:dLbl>
              <c:idx val="2"/>
              <c:layout>
                <c:manualLayout>
                  <c:x val="-8.3013385908477736E-3"/>
                  <c:y val="1.19698162729658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8C6-4F99-89B5-DEC51CBFA759}"/>
                </c:ext>
              </c:extLst>
            </c:dLbl>
            <c:dLbl>
              <c:idx val="3"/>
              <c:layout>
                <c:manualLayout>
                  <c:x val="-6.2260039431358306E-3"/>
                  <c:y val="1.09091863517060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8C6-4F99-89B5-DEC51CBFA759}"/>
                </c:ext>
              </c:extLst>
            </c:dLbl>
            <c:dLbl>
              <c:idx val="4"/>
              <c:layout>
                <c:manualLayout>
                  <c:x val="-1.2452007886271814E-2"/>
                  <c:y val="1.40908136482939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4034368849063522E-2"/>
                      <c:h val="6.5170603674540681E-2"/>
                    </c:manualLayout>
                  </c15:layout>
                </c:ext>
                <c:ext xmlns:c16="http://schemas.microsoft.com/office/drawing/2014/chart" uri="{C3380CC4-5D6E-409C-BE32-E72D297353CC}">
                  <c16:uniqueId val="{00000004-78C6-4F99-89B5-DEC51CBFA759}"/>
                </c:ext>
              </c:extLst>
            </c:dLbl>
            <c:dLbl>
              <c:idx val="5"/>
              <c:layout>
                <c:manualLayout>
                  <c:x val="-1.2452007886271661E-2"/>
                  <c:y val="9.545406824146980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8C6-4F99-89B5-DEC51CBFA759}"/>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регионы!$A$2:$A$7</c:f>
              <c:strCache>
                <c:ptCount val="6"/>
                <c:pt idx="0">
                  <c:v>Республика Алтай</c:v>
                </c:pt>
                <c:pt idx="1">
                  <c:v>Республика Ингушетия</c:v>
                </c:pt>
                <c:pt idx="2">
                  <c:v>Республика Тыва</c:v>
                </c:pt>
                <c:pt idx="3">
                  <c:v>Белгородская область</c:v>
                </c:pt>
                <c:pt idx="4">
                  <c:v>Липецкая область</c:v>
                </c:pt>
                <c:pt idx="5">
                  <c:v>Новгородская область</c:v>
                </c:pt>
              </c:strCache>
            </c:strRef>
          </c:cat>
          <c:val>
            <c:numRef>
              <c:f>регионы!$B$2:$B$7</c:f>
              <c:numCache>
                <c:formatCode>0.0%</c:formatCode>
                <c:ptCount val="6"/>
                <c:pt idx="0">
                  <c:v>0.18690265486725663</c:v>
                </c:pt>
                <c:pt idx="1">
                  <c:v>0.13209011264080101</c:v>
                </c:pt>
                <c:pt idx="2">
                  <c:v>0.14983298538622131</c:v>
                </c:pt>
                <c:pt idx="3">
                  <c:v>0.15356531049250535</c:v>
                </c:pt>
                <c:pt idx="4">
                  <c:v>0.22243142144638403</c:v>
                </c:pt>
                <c:pt idx="5">
                  <c:v>0.12713467048710603</c:v>
                </c:pt>
              </c:numCache>
            </c:numRef>
          </c:val>
          <c:extLst xmlns:c16r2="http://schemas.microsoft.com/office/drawing/2015/06/chart">
            <c:ext xmlns:c16="http://schemas.microsoft.com/office/drawing/2014/chart" uri="{C3380CC4-5D6E-409C-BE32-E72D297353CC}">
              <c16:uniqueId val="{00000000-78C6-4F99-89B5-DEC51CBFA759}"/>
            </c:ext>
          </c:extLst>
        </c:ser>
        <c:ser>
          <c:idx val="1"/>
          <c:order val="1"/>
          <c:tx>
            <c:strRef>
              <c:f>регионы!$C$1</c:f>
              <c:strCache>
                <c:ptCount val="1"/>
                <c:pt idx="0">
                  <c:v>Доля численности граждан охваченных СК, у которых по его результатам оценки СК в 2022 году среднедушевой доход семьи превысил ПМ</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регионы!$A$2:$A$7</c:f>
              <c:strCache>
                <c:ptCount val="6"/>
                <c:pt idx="0">
                  <c:v>Республика Алтай</c:v>
                </c:pt>
                <c:pt idx="1">
                  <c:v>Республика Ингушетия</c:v>
                </c:pt>
                <c:pt idx="2">
                  <c:v>Республика Тыва</c:v>
                </c:pt>
                <c:pt idx="3">
                  <c:v>Белгородская область</c:v>
                </c:pt>
                <c:pt idx="4">
                  <c:v>Липецкая область</c:v>
                </c:pt>
                <c:pt idx="5">
                  <c:v>Новгородская область</c:v>
                </c:pt>
              </c:strCache>
            </c:strRef>
          </c:cat>
          <c:val>
            <c:numRef>
              <c:f>регионы!$C$2:$C$7</c:f>
              <c:numCache>
                <c:formatCode>0.0%</c:formatCode>
                <c:ptCount val="6"/>
                <c:pt idx="0">
                  <c:v>0.38159111933395007</c:v>
                </c:pt>
                <c:pt idx="1">
                  <c:v>0.42199108469539376</c:v>
                </c:pt>
                <c:pt idx="2">
                  <c:v>0.51872463009034964</c:v>
                </c:pt>
                <c:pt idx="3">
                  <c:v>0.32995284542342224</c:v>
                </c:pt>
                <c:pt idx="4">
                  <c:v>0.34182489137551336</c:v>
                </c:pt>
                <c:pt idx="5">
                  <c:v>0.35582255083179298</c:v>
                </c:pt>
              </c:numCache>
            </c:numRef>
          </c:val>
          <c:extLst xmlns:c16r2="http://schemas.microsoft.com/office/drawing/2015/06/chart">
            <c:ext xmlns:c16="http://schemas.microsoft.com/office/drawing/2014/chart" uri="{C3380CC4-5D6E-409C-BE32-E72D297353CC}">
              <c16:uniqueId val="{00000001-78C6-4F99-89B5-DEC51CBFA759}"/>
            </c:ext>
          </c:extLst>
        </c:ser>
        <c:dLbls>
          <c:showLegendKey val="0"/>
          <c:showVal val="1"/>
          <c:showCatName val="0"/>
          <c:showSerName val="0"/>
          <c:showPercent val="0"/>
          <c:showBubbleSize val="0"/>
        </c:dLbls>
        <c:gapWidth val="219"/>
        <c:axId val="234724352"/>
        <c:axId val="201765952"/>
      </c:barChart>
      <c:lineChart>
        <c:grouping val="standard"/>
        <c:varyColors val="0"/>
        <c:ser>
          <c:idx val="2"/>
          <c:order val="2"/>
          <c:tx>
            <c:strRef>
              <c:f>регионы!$D$1</c:f>
              <c:strCache>
                <c:ptCount val="1"/>
                <c:pt idx="0">
                  <c:v>Средняя численность малоимущих граждан, охваченных СК в 2022 году - 6% средняя по РФ</c:v>
                </c:pt>
              </c:strCache>
            </c:strRef>
          </c:tx>
          <c:spPr>
            <a:ln w="28575" cap="rnd">
              <a:solidFill>
                <a:schemeClr val="accent3"/>
              </a:solidFill>
              <a:prstDash val="dash"/>
              <a:round/>
            </a:ln>
            <a:effectLst/>
          </c:spPr>
          <c:marker>
            <c:symbol val="circle"/>
            <c:size val="5"/>
            <c:spPr>
              <a:solidFill>
                <a:schemeClr val="accent3"/>
              </a:solidFill>
              <a:ln w="9525">
                <a:solidFill>
                  <a:schemeClr val="accent3"/>
                </a:solidFill>
                <a:prstDash val="dash"/>
              </a:ln>
              <a:effectLst/>
            </c:spPr>
          </c:marker>
          <c:dLbls>
            <c:delete val="1"/>
          </c:dLbls>
          <c:cat>
            <c:strRef>
              <c:f>регионы!$A$2:$A$7</c:f>
              <c:strCache>
                <c:ptCount val="6"/>
                <c:pt idx="0">
                  <c:v>Республика Алтай</c:v>
                </c:pt>
                <c:pt idx="1">
                  <c:v>Республика Ингушетия</c:v>
                </c:pt>
                <c:pt idx="2">
                  <c:v>Республика Тыва</c:v>
                </c:pt>
                <c:pt idx="3">
                  <c:v>Белгородская область</c:v>
                </c:pt>
                <c:pt idx="4">
                  <c:v>Липецкая область</c:v>
                </c:pt>
                <c:pt idx="5">
                  <c:v>Новгородская область</c:v>
                </c:pt>
              </c:strCache>
            </c:strRef>
          </c:cat>
          <c:val>
            <c:numRef>
              <c:f>регионы!$D$2:$D$7</c:f>
              <c:numCache>
                <c:formatCode>General</c:formatCode>
                <c:ptCount val="6"/>
                <c:pt idx="0">
                  <c:v>0.06</c:v>
                </c:pt>
                <c:pt idx="1">
                  <c:v>0.06</c:v>
                </c:pt>
                <c:pt idx="2">
                  <c:v>0.06</c:v>
                </c:pt>
                <c:pt idx="3">
                  <c:v>0.06</c:v>
                </c:pt>
                <c:pt idx="4">
                  <c:v>0.06</c:v>
                </c:pt>
                <c:pt idx="5">
                  <c:v>0.06</c:v>
                </c:pt>
              </c:numCache>
            </c:numRef>
          </c:val>
          <c:smooth val="0"/>
          <c:extLst xmlns:c16r2="http://schemas.microsoft.com/office/drawing/2015/06/chart">
            <c:ext xmlns:c16="http://schemas.microsoft.com/office/drawing/2014/chart" uri="{C3380CC4-5D6E-409C-BE32-E72D297353CC}">
              <c16:uniqueId val="{00000002-78C6-4F99-89B5-DEC51CBFA759}"/>
            </c:ext>
          </c:extLst>
        </c:ser>
        <c:ser>
          <c:idx val="3"/>
          <c:order val="3"/>
          <c:tx>
            <c:strRef>
              <c:f>регионы!$E$1</c:f>
              <c:strCache>
                <c:ptCount val="1"/>
                <c:pt idx="0">
                  <c:v>Средний уровень выхода из ПМ по РФ  - 28,7%</c:v>
                </c:pt>
              </c:strCache>
            </c:strRef>
          </c:tx>
          <c:spPr>
            <a:ln w="28575" cap="rnd">
              <a:solidFill>
                <a:schemeClr val="accent4"/>
              </a:solidFill>
              <a:prstDash val="dash"/>
              <a:round/>
            </a:ln>
            <a:effectLst/>
          </c:spPr>
          <c:marker>
            <c:symbol val="circle"/>
            <c:size val="5"/>
            <c:spPr>
              <a:solidFill>
                <a:schemeClr val="accent4"/>
              </a:solidFill>
              <a:ln w="9525">
                <a:solidFill>
                  <a:schemeClr val="accent4"/>
                </a:solidFill>
                <a:prstDash val="dash"/>
              </a:ln>
              <a:effectLst/>
            </c:spPr>
          </c:marker>
          <c:dLbls>
            <c:delete val="1"/>
          </c:dLbls>
          <c:cat>
            <c:strRef>
              <c:f>регионы!$A$2:$A$7</c:f>
              <c:strCache>
                <c:ptCount val="6"/>
                <c:pt idx="0">
                  <c:v>Республика Алтай</c:v>
                </c:pt>
                <c:pt idx="1">
                  <c:v>Республика Ингушетия</c:v>
                </c:pt>
                <c:pt idx="2">
                  <c:v>Республика Тыва</c:v>
                </c:pt>
                <c:pt idx="3">
                  <c:v>Белгородская область</c:v>
                </c:pt>
                <c:pt idx="4">
                  <c:v>Липецкая область</c:v>
                </c:pt>
                <c:pt idx="5">
                  <c:v>Новгородская область</c:v>
                </c:pt>
              </c:strCache>
            </c:strRef>
          </c:cat>
          <c:val>
            <c:numRef>
              <c:f>регионы!$E$2:$E$7</c:f>
              <c:numCache>
                <c:formatCode>General</c:formatCode>
                <c:ptCount val="6"/>
                <c:pt idx="0">
                  <c:v>0.28699999999999998</c:v>
                </c:pt>
                <c:pt idx="1">
                  <c:v>0.28699999999999998</c:v>
                </c:pt>
                <c:pt idx="2">
                  <c:v>0.28699999999999998</c:v>
                </c:pt>
                <c:pt idx="3">
                  <c:v>0.28699999999999998</c:v>
                </c:pt>
                <c:pt idx="4">
                  <c:v>0.28699999999999998</c:v>
                </c:pt>
                <c:pt idx="5">
                  <c:v>0.28699999999999998</c:v>
                </c:pt>
              </c:numCache>
            </c:numRef>
          </c:val>
          <c:smooth val="0"/>
          <c:extLst xmlns:c16r2="http://schemas.microsoft.com/office/drawing/2015/06/chart">
            <c:ext xmlns:c16="http://schemas.microsoft.com/office/drawing/2014/chart" uri="{C3380CC4-5D6E-409C-BE32-E72D297353CC}">
              <c16:uniqueId val="{00000003-78C6-4F99-89B5-DEC51CBFA759}"/>
            </c:ext>
          </c:extLst>
        </c:ser>
        <c:dLbls>
          <c:showLegendKey val="0"/>
          <c:showVal val="1"/>
          <c:showCatName val="0"/>
          <c:showSerName val="0"/>
          <c:showPercent val="0"/>
          <c:showBubbleSize val="0"/>
        </c:dLbls>
        <c:marker val="1"/>
        <c:smooth val="0"/>
        <c:axId val="234724352"/>
        <c:axId val="201765952"/>
      </c:lineChart>
      <c:catAx>
        <c:axId val="23472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1765952"/>
        <c:crosses val="autoZero"/>
        <c:auto val="1"/>
        <c:lblAlgn val="ctr"/>
        <c:lblOffset val="100"/>
        <c:noMultiLvlLbl val="0"/>
      </c:catAx>
      <c:valAx>
        <c:axId val="20176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34724352"/>
        <c:crosses val="autoZero"/>
        <c:crossBetween val="between"/>
      </c:valAx>
      <c:spPr>
        <a:noFill/>
        <a:ln>
          <a:noFill/>
        </a:ln>
        <a:effectLst/>
      </c:spPr>
    </c:plotArea>
    <c:legend>
      <c:legendPos val="b"/>
      <c:layout>
        <c:manualLayout>
          <c:xMode val="edge"/>
          <c:yMode val="edge"/>
          <c:x val="3.1025435922408611E-3"/>
          <c:y val="0.65588190365093257"/>
          <c:w val="0.9896440801079176"/>
          <c:h val="0.3229540751850463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a:t>
            </a:r>
          </a:p>
        </c:rich>
      </c:tx>
      <c:layout>
        <c:manualLayout>
          <c:xMode val="edge"/>
          <c:yMode val="edge"/>
          <c:x val="7.220695488959105E-3"/>
          <c:y val="1.3990905911157748E-2"/>
        </c:manualLayout>
      </c:layout>
      <c:overlay val="0"/>
      <c:spPr>
        <a:noFill/>
        <a:ln>
          <a:noFill/>
        </a:ln>
        <a:effectLst/>
      </c:spPr>
    </c:title>
    <c:autoTitleDeleted val="0"/>
    <c:plotArea>
      <c:layout>
        <c:manualLayout>
          <c:layoutTarget val="inner"/>
          <c:xMode val="edge"/>
          <c:yMode val="edge"/>
          <c:x val="4.991158040039223E-2"/>
          <c:y val="2.4835262790990024E-2"/>
          <c:w val="0.92657158368298564"/>
          <c:h val="0.28272127812760706"/>
        </c:manualLayout>
      </c:layout>
      <c:barChart>
        <c:barDir val="col"/>
        <c:grouping val="clustered"/>
        <c:varyColors val="0"/>
        <c:ser>
          <c:idx val="0"/>
          <c:order val="0"/>
          <c:tx>
            <c:strRef>
              <c:f>критерий!$B$2</c:f>
              <c:strCache>
                <c:ptCount val="1"/>
                <c:pt idx="0">
                  <c:v>Доля граждан, охваченных ГСП на основании СК, в субъектах Российской Федерации в 2022 году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критерий!$A$3:$A$44</c:f>
              <c:strCache>
                <c:ptCount val="17"/>
                <c:pt idx="0">
                  <c:v>Ставропольский край</c:v>
                </c:pt>
                <c:pt idx="1">
                  <c:v>Волгоградская область</c:v>
                </c:pt>
                <c:pt idx="2">
                  <c:v>Красноярский край</c:v>
                </c:pt>
                <c:pt idx="3">
                  <c:v>Новосибирская область</c:v>
                </c:pt>
                <c:pt idx="4">
                  <c:v>Астраханская область</c:v>
                </c:pt>
                <c:pt idx="5">
                  <c:v>Ульяновская область</c:v>
                </c:pt>
                <c:pt idx="6">
                  <c:v>Калужская область</c:v>
                </c:pt>
                <c:pt idx="7">
                  <c:v>Республика Мордовия</c:v>
                </c:pt>
                <c:pt idx="8">
                  <c:v>Чеченская Республика</c:v>
                </c:pt>
                <c:pt idx="9">
                  <c:v>Оренбургская область</c:v>
                </c:pt>
                <c:pt idx="10">
                  <c:v>Ханты-Мансийский АО-Югра</c:v>
                </c:pt>
                <c:pt idx="11">
                  <c:v>Сахалинская область</c:v>
                </c:pt>
                <c:pt idx="12">
                  <c:v>Республика Северная Осетия - Алания</c:v>
                </c:pt>
                <c:pt idx="13">
                  <c:v>Краснодарский край</c:v>
                </c:pt>
                <c:pt idx="14">
                  <c:v>Чувашская Республика</c:v>
                </c:pt>
                <c:pt idx="15">
                  <c:v>Кемеровская область</c:v>
                </c:pt>
                <c:pt idx="16">
                  <c:v>Томская область</c:v>
                </c:pt>
              </c:strCache>
            </c:strRef>
          </c:cat>
          <c:val>
            <c:numRef>
              <c:f>критерий!$B$3:$B$44</c:f>
              <c:numCache>
                <c:formatCode>0.0</c:formatCode>
                <c:ptCount val="17"/>
                <c:pt idx="0">
                  <c:v>7.0541039040885334</c:v>
                </c:pt>
                <c:pt idx="1">
                  <c:v>6.5446428571428577</c:v>
                </c:pt>
                <c:pt idx="2">
                  <c:v>6.246369796708616</c:v>
                </c:pt>
                <c:pt idx="3">
                  <c:v>8.0677912157861229</c:v>
                </c:pt>
                <c:pt idx="4">
                  <c:v>7.2298682284040998</c:v>
                </c:pt>
                <c:pt idx="5">
                  <c:v>7.3445814406229717</c:v>
                </c:pt>
                <c:pt idx="6">
                  <c:v>9.4956843403205919</c:v>
                </c:pt>
                <c:pt idx="7">
                  <c:v>8.5908304498269903</c:v>
                </c:pt>
                <c:pt idx="8">
                  <c:v>9.1503733876442634</c:v>
                </c:pt>
                <c:pt idx="9">
                  <c:v>6.4291947639825473</c:v>
                </c:pt>
                <c:pt idx="10">
                  <c:v>9.5297906602254425</c:v>
                </c:pt>
                <c:pt idx="11">
                  <c:v>6.4719764011799406</c:v>
                </c:pt>
                <c:pt idx="12">
                  <c:v>6.1888268156424582</c:v>
                </c:pt>
                <c:pt idx="13">
                  <c:v>6.7499511623363944</c:v>
                </c:pt>
                <c:pt idx="14">
                  <c:v>7.0276367738296663</c:v>
                </c:pt>
                <c:pt idx="15">
                  <c:v>6.8656113169417319</c:v>
                </c:pt>
                <c:pt idx="16">
                  <c:v>7.9042004421518053</c:v>
                </c:pt>
              </c:numCache>
            </c:numRef>
          </c:val>
          <c:extLst xmlns:c16r2="http://schemas.microsoft.com/office/drawing/2015/06/chart">
            <c:ext xmlns:c16="http://schemas.microsoft.com/office/drawing/2014/chart" uri="{C3380CC4-5D6E-409C-BE32-E72D297353CC}">
              <c16:uniqueId val="{00000000-36FF-484E-87D2-B0DEC714B861}"/>
            </c:ext>
          </c:extLst>
        </c:ser>
        <c:ser>
          <c:idx val="1"/>
          <c:order val="1"/>
          <c:tx>
            <c:strRef>
              <c:f>критерий!$C$2</c:f>
              <c:strCache>
                <c:ptCount val="1"/>
                <c:pt idx="0">
                  <c:v>Доля граждан, вышедших из бедности, в субъектах Российской Федерации по СК, заключенным в 2021-2022 годах и оцененным в 2022 году</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критерий!$A$3:$A$44</c:f>
              <c:strCache>
                <c:ptCount val="17"/>
                <c:pt idx="0">
                  <c:v>Ставропольский край</c:v>
                </c:pt>
                <c:pt idx="1">
                  <c:v>Волгоградская область</c:v>
                </c:pt>
                <c:pt idx="2">
                  <c:v>Красноярский край</c:v>
                </c:pt>
                <c:pt idx="3">
                  <c:v>Новосибирская область</c:v>
                </c:pt>
                <c:pt idx="4">
                  <c:v>Астраханская область</c:v>
                </c:pt>
                <c:pt idx="5">
                  <c:v>Ульяновская область</c:v>
                </c:pt>
                <c:pt idx="6">
                  <c:v>Калужская область</c:v>
                </c:pt>
                <c:pt idx="7">
                  <c:v>Республика Мордовия</c:v>
                </c:pt>
                <c:pt idx="8">
                  <c:v>Чеченская Республика</c:v>
                </c:pt>
                <c:pt idx="9">
                  <c:v>Оренбургская область</c:v>
                </c:pt>
                <c:pt idx="10">
                  <c:v>Ханты-Мансийский АО-Югра</c:v>
                </c:pt>
                <c:pt idx="11">
                  <c:v>Сахалинская область</c:v>
                </c:pt>
                <c:pt idx="12">
                  <c:v>Республика Северная Осетия - Алания</c:v>
                </c:pt>
                <c:pt idx="13">
                  <c:v>Краснодарский край</c:v>
                </c:pt>
                <c:pt idx="14">
                  <c:v>Чувашская Республика</c:v>
                </c:pt>
                <c:pt idx="15">
                  <c:v>Кемеровская область</c:v>
                </c:pt>
                <c:pt idx="16">
                  <c:v>Томская область</c:v>
                </c:pt>
              </c:strCache>
            </c:strRef>
          </c:cat>
          <c:val>
            <c:numRef>
              <c:f>критерий!$C$3:$C$44</c:f>
              <c:numCache>
                <c:formatCode>#,##0</c:formatCode>
                <c:ptCount val="17"/>
                <c:pt idx="0">
                  <c:v>27.228788821361917</c:v>
                </c:pt>
                <c:pt idx="1">
                  <c:v>27.087169235625229</c:v>
                </c:pt>
                <c:pt idx="2">
                  <c:v>26.300047002521044</c:v>
                </c:pt>
                <c:pt idx="3">
                  <c:v>26.174004527050723</c:v>
                </c:pt>
                <c:pt idx="4">
                  <c:v>25.357863151163361</c:v>
                </c:pt>
                <c:pt idx="5">
                  <c:v>23.850170717011448</c:v>
                </c:pt>
                <c:pt idx="6">
                  <c:v>23.395196506550217</c:v>
                </c:pt>
                <c:pt idx="7">
                  <c:v>23.323782234957019</c:v>
                </c:pt>
                <c:pt idx="8">
                  <c:v>22.731686521564075</c:v>
                </c:pt>
                <c:pt idx="9">
                  <c:v>22.419783363989371</c:v>
                </c:pt>
                <c:pt idx="10">
                  <c:v>21.661764705882351</c:v>
                </c:pt>
                <c:pt idx="11">
                  <c:v>20.691090757701915</c:v>
                </c:pt>
                <c:pt idx="12">
                  <c:v>20.307268071695884</c:v>
                </c:pt>
                <c:pt idx="13">
                  <c:v>20.159035526484544</c:v>
                </c:pt>
                <c:pt idx="14">
                  <c:v>19.855072463768117</c:v>
                </c:pt>
                <c:pt idx="15">
                  <c:v>19.829732151747486</c:v>
                </c:pt>
                <c:pt idx="16">
                  <c:v>19.09525495750708</c:v>
                </c:pt>
              </c:numCache>
            </c:numRef>
          </c:val>
          <c:extLst xmlns:c16r2="http://schemas.microsoft.com/office/drawing/2015/06/chart">
            <c:ext xmlns:c16="http://schemas.microsoft.com/office/drawing/2014/chart" uri="{C3380CC4-5D6E-409C-BE32-E72D297353CC}">
              <c16:uniqueId val="{00000001-36FF-484E-87D2-B0DEC714B861}"/>
            </c:ext>
          </c:extLst>
        </c:ser>
        <c:ser>
          <c:idx val="2"/>
          <c:order val="2"/>
          <c:tx>
            <c:strRef>
              <c:f>критерий!$D$2</c:f>
              <c:strCache>
                <c:ptCount val="1"/>
                <c:pt idx="0">
                  <c:v>Доля граждан, вышедших из бедности, в субъектах Российской Федерации по СК, заключенным в 2022 году и оцененным в 2023 году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критерий!$A$3:$A$44</c:f>
              <c:strCache>
                <c:ptCount val="17"/>
                <c:pt idx="0">
                  <c:v>Ставропольский край</c:v>
                </c:pt>
                <c:pt idx="1">
                  <c:v>Волгоградская область</c:v>
                </c:pt>
                <c:pt idx="2">
                  <c:v>Красноярский край</c:v>
                </c:pt>
                <c:pt idx="3">
                  <c:v>Новосибирская область</c:v>
                </c:pt>
                <c:pt idx="4">
                  <c:v>Астраханская область</c:v>
                </c:pt>
                <c:pt idx="5">
                  <c:v>Ульяновская область</c:v>
                </c:pt>
                <c:pt idx="6">
                  <c:v>Калужская область</c:v>
                </c:pt>
                <c:pt idx="7">
                  <c:v>Республика Мордовия</c:v>
                </c:pt>
                <c:pt idx="8">
                  <c:v>Чеченская Республика</c:v>
                </c:pt>
                <c:pt idx="9">
                  <c:v>Оренбургская область</c:v>
                </c:pt>
                <c:pt idx="10">
                  <c:v>Ханты-Мансийский АО-Югра</c:v>
                </c:pt>
                <c:pt idx="11">
                  <c:v>Сахалинская область</c:v>
                </c:pt>
                <c:pt idx="12">
                  <c:v>Республика Северная Осетия - Алания</c:v>
                </c:pt>
                <c:pt idx="13">
                  <c:v>Краснодарский край</c:v>
                </c:pt>
                <c:pt idx="14">
                  <c:v>Чувашская Республика</c:v>
                </c:pt>
                <c:pt idx="15">
                  <c:v>Кемеровская область</c:v>
                </c:pt>
                <c:pt idx="16">
                  <c:v>Томская область</c:v>
                </c:pt>
              </c:strCache>
            </c:strRef>
          </c:cat>
          <c:val>
            <c:numRef>
              <c:f>критерий!$D$3:$D$44</c:f>
              <c:numCache>
                <c:formatCode>General</c:formatCode>
                <c:ptCount val="17"/>
                <c:pt idx="0">
                  <c:v>37</c:v>
                </c:pt>
                <c:pt idx="1">
                  <c:v>40</c:v>
                </c:pt>
                <c:pt idx="2">
                  <c:v>39</c:v>
                </c:pt>
                <c:pt idx="3">
                  <c:v>34</c:v>
                </c:pt>
                <c:pt idx="4">
                  <c:v>44</c:v>
                </c:pt>
                <c:pt idx="5">
                  <c:v>53</c:v>
                </c:pt>
                <c:pt idx="6">
                  <c:v>40</c:v>
                </c:pt>
                <c:pt idx="7">
                  <c:v>39</c:v>
                </c:pt>
                <c:pt idx="8">
                  <c:v>45</c:v>
                </c:pt>
                <c:pt idx="9">
                  <c:v>29</c:v>
                </c:pt>
                <c:pt idx="10">
                  <c:v>37</c:v>
                </c:pt>
                <c:pt idx="11">
                  <c:v>63</c:v>
                </c:pt>
                <c:pt idx="12">
                  <c:v>37</c:v>
                </c:pt>
                <c:pt idx="13">
                  <c:v>42</c:v>
                </c:pt>
                <c:pt idx="14">
                  <c:v>35</c:v>
                </c:pt>
                <c:pt idx="15">
                  <c:v>36</c:v>
                </c:pt>
                <c:pt idx="16">
                  <c:v>29</c:v>
                </c:pt>
              </c:numCache>
            </c:numRef>
          </c:val>
          <c:extLst xmlns:c16r2="http://schemas.microsoft.com/office/drawing/2015/06/chart">
            <c:ext xmlns:c16="http://schemas.microsoft.com/office/drawing/2014/chart" uri="{C3380CC4-5D6E-409C-BE32-E72D297353CC}">
              <c16:uniqueId val="{00000002-36FF-484E-87D2-B0DEC714B861}"/>
            </c:ext>
          </c:extLst>
        </c:ser>
        <c:dLbls>
          <c:showLegendKey val="0"/>
          <c:showVal val="1"/>
          <c:showCatName val="0"/>
          <c:showSerName val="0"/>
          <c:showPercent val="0"/>
          <c:showBubbleSize val="0"/>
        </c:dLbls>
        <c:gapWidth val="219"/>
        <c:overlap val="-27"/>
        <c:axId val="197039104"/>
        <c:axId val="201766528"/>
      </c:barChart>
      <c:lineChart>
        <c:grouping val="standard"/>
        <c:varyColors val="0"/>
        <c:ser>
          <c:idx val="3"/>
          <c:order val="3"/>
          <c:tx>
            <c:strRef>
              <c:f>критерий!$E$2</c:f>
              <c:strCache>
                <c:ptCount val="1"/>
                <c:pt idx="0">
                  <c:v>Доля граждан, вышедших из бедности, в среднем по Российской Федерации по СК, оцененным в 2022 году 
(28,7 %)</c:v>
                </c:pt>
              </c:strCache>
            </c:strRef>
          </c:tx>
          <c:spPr>
            <a:ln w="28575" cap="rnd">
              <a:solidFill>
                <a:schemeClr val="accent4"/>
              </a:solidFill>
              <a:round/>
            </a:ln>
            <a:effectLst/>
          </c:spPr>
          <c:marker>
            <c:symbol val="none"/>
          </c:marker>
          <c:dLbls>
            <c:delete val="1"/>
          </c:dLbls>
          <c:cat>
            <c:strRef>
              <c:f>критерий!$A$3:$A$44</c:f>
              <c:strCache>
                <c:ptCount val="17"/>
                <c:pt idx="0">
                  <c:v>Ставропольский край</c:v>
                </c:pt>
                <c:pt idx="1">
                  <c:v>Волгоградская область</c:v>
                </c:pt>
                <c:pt idx="2">
                  <c:v>Красноярский край</c:v>
                </c:pt>
                <c:pt idx="3">
                  <c:v>Новосибирская область</c:v>
                </c:pt>
                <c:pt idx="4">
                  <c:v>Астраханская область</c:v>
                </c:pt>
                <c:pt idx="5">
                  <c:v>Ульяновская область</c:v>
                </c:pt>
                <c:pt idx="6">
                  <c:v>Калужская область</c:v>
                </c:pt>
                <c:pt idx="7">
                  <c:v>Республика Мордовия</c:v>
                </c:pt>
                <c:pt idx="8">
                  <c:v>Чеченская Республика</c:v>
                </c:pt>
                <c:pt idx="9">
                  <c:v>Оренбургская область</c:v>
                </c:pt>
                <c:pt idx="10">
                  <c:v>Ханты-Мансийский АО-Югра</c:v>
                </c:pt>
                <c:pt idx="11">
                  <c:v>Сахалинская область</c:v>
                </c:pt>
                <c:pt idx="12">
                  <c:v>Республика Северная Осетия - Алания</c:v>
                </c:pt>
                <c:pt idx="13">
                  <c:v>Краснодарский край</c:v>
                </c:pt>
                <c:pt idx="14">
                  <c:v>Чувашская Республика</c:v>
                </c:pt>
                <c:pt idx="15">
                  <c:v>Кемеровская область</c:v>
                </c:pt>
                <c:pt idx="16">
                  <c:v>Томская область</c:v>
                </c:pt>
              </c:strCache>
            </c:strRef>
          </c:cat>
          <c:val>
            <c:numRef>
              <c:f>критерий!$E$3:$E$44</c:f>
              <c:numCache>
                <c:formatCode>General</c:formatCode>
                <c:ptCount val="17"/>
                <c:pt idx="0">
                  <c:v>28.7</c:v>
                </c:pt>
                <c:pt idx="1">
                  <c:v>28.7</c:v>
                </c:pt>
                <c:pt idx="2">
                  <c:v>28.7</c:v>
                </c:pt>
                <c:pt idx="3">
                  <c:v>28.7</c:v>
                </c:pt>
                <c:pt idx="4">
                  <c:v>28.7</c:v>
                </c:pt>
                <c:pt idx="5">
                  <c:v>28.7</c:v>
                </c:pt>
                <c:pt idx="6">
                  <c:v>28.7</c:v>
                </c:pt>
                <c:pt idx="7">
                  <c:v>28.7</c:v>
                </c:pt>
                <c:pt idx="8">
                  <c:v>28.7</c:v>
                </c:pt>
                <c:pt idx="9">
                  <c:v>28.7</c:v>
                </c:pt>
                <c:pt idx="10">
                  <c:v>28.7</c:v>
                </c:pt>
                <c:pt idx="11">
                  <c:v>28.7</c:v>
                </c:pt>
                <c:pt idx="12">
                  <c:v>28.7</c:v>
                </c:pt>
                <c:pt idx="13">
                  <c:v>28.7</c:v>
                </c:pt>
                <c:pt idx="14">
                  <c:v>28.7</c:v>
                </c:pt>
                <c:pt idx="15">
                  <c:v>28.7</c:v>
                </c:pt>
                <c:pt idx="16">
                  <c:v>28.7</c:v>
                </c:pt>
              </c:numCache>
            </c:numRef>
          </c:val>
          <c:smooth val="0"/>
          <c:extLst xmlns:c16r2="http://schemas.microsoft.com/office/drawing/2015/06/chart">
            <c:ext xmlns:c16="http://schemas.microsoft.com/office/drawing/2014/chart" uri="{C3380CC4-5D6E-409C-BE32-E72D297353CC}">
              <c16:uniqueId val="{00000003-36FF-484E-87D2-B0DEC714B861}"/>
            </c:ext>
          </c:extLst>
        </c:ser>
        <c:ser>
          <c:idx val="4"/>
          <c:order val="4"/>
          <c:tx>
            <c:strRef>
              <c:f>критерий!$F$2</c:f>
              <c:strCache>
                <c:ptCount val="1"/>
                <c:pt idx="0">
                  <c:v>Доля граждан, охваченных ГСП на основании СК, в среднем по Российской Федерации в 2022 году (6 %)</c:v>
                </c:pt>
              </c:strCache>
            </c:strRef>
          </c:tx>
          <c:spPr>
            <a:ln w="28575" cap="rnd">
              <a:solidFill>
                <a:schemeClr val="accent5"/>
              </a:solidFill>
              <a:round/>
            </a:ln>
            <a:effectLst/>
          </c:spPr>
          <c:marker>
            <c:symbol val="none"/>
          </c:marker>
          <c:dLbls>
            <c:delete val="1"/>
          </c:dLbls>
          <c:cat>
            <c:strRef>
              <c:f>критерий!$A$3:$A$44</c:f>
              <c:strCache>
                <c:ptCount val="17"/>
                <c:pt idx="0">
                  <c:v>Ставропольский край</c:v>
                </c:pt>
                <c:pt idx="1">
                  <c:v>Волгоградская область</c:v>
                </c:pt>
                <c:pt idx="2">
                  <c:v>Красноярский край</c:v>
                </c:pt>
                <c:pt idx="3">
                  <c:v>Новосибирская область</c:v>
                </c:pt>
                <c:pt idx="4">
                  <c:v>Астраханская область</c:v>
                </c:pt>
                <c:pt idx="5">
                  <c:v>Ульяновская область</c:v>
                </c:pt>
                <c:pt idx="6">
                  <c:v>Калужская область</c:v>
                </c:pt>
                <c:pt idx="7">
                  <c:v>Республика Мордовия</c:v>
                </c:pt>
                <c:pt idx="8">
                  <c:v>Чеченская Республика</c:v>
                </c:pt>
                <c:pt idx="9">
                  <c:v>Оренбургская область</c:v>
                </c:pt>
                <c:pt idx="10">
                  <c:v>Ханты-Мансийский АО-Югра</c:v>
                </c:pt>
                <c:pt idx="11">
                  <c:v>Сахалинская область</c:v>
                </c:pt>
                <c:pt idx="12">
                  <c:v>Республика Северная Осетия - Алания</c:v>
                </c:pt>
                <c:pt idx="13">
                  <c:v>Краснодарский край</c:v>
                </c:pt>
                <c:pt idx="14">
                  <c:v>Чувашская Республика</c:v>
                </c:pt>
                <c:pt idx="15">
                  <c:v>Кемеровская область</c:v>
                </c:pt>
                <c:pt idx="16">
                  <c:v>Томская область</c:v>
                </c:pt>
              </c:strCache>
            </c:strRef>
          </c:cat>
          <c:val>
            <c:numRef>
              <c:f>критерий!$F$3:$F$44</c:f>
              <c:numCache>
                <c:formatCode>0.0</c:formatCode>
                <c:ptCount val="17"/>
                <c:pt idx="0">
                  <c:v>6</c:v>
                </c:pt>
                <c:pt idx="1">
                  <c:v>6</c:v>
                </c:pt>
                <c:pt idx="2">
                  <c:v>6</c:v>
                </c:pt>
                <c:pt idx="3">
                  <c:v>6</c:v>
                </c:pt>
                <c:pt idx="4">
                  <c:v>6</c:v>
                </c:pt>
                <c:pt idx="5">
                  <c:v>6</c:v>
                </c:pt>
                <c:pt idx="6">
                  <c:v>6</c:v>
                </c:pt>
                <c:pt idx="7">
                  <c:v>6</c:v>
                </c:pt>
                <c:pt idx="8">
                  <c:v>6</c:v>
                </c:pt>
                <c:pt idx="9">
                  <c:v>6</c:v>
                </c:pt>
                <c:pt idx="10">
                  <c:v>6</c:v>
                </c:pt>
                <c:pt idx="11">
                  <c:v>6</c:v>
                </c:pt>
                <c:pt idx="12">
                  <c:v>6</c:v>
                </c:pt>
                <c:pt idx="13">
                  <c:v>6</c:v>
                </c:pt>
                <c:pt idx="14">
                  <c:v>6</c:v>
                </c:pt>
                <c:pt idx="15">
                  <c:v>6</c:v>
                </c:pt>
                <c:pt idx="16">
                  <c:v>6</c:v>
                </c:pt>
              </c:numCache>
            </c:numRef>
          </c:val>
          <c:smooth val="0"/>
          <c:extLst xmlns:c16r2="http://schemas.microsoft.com/office/drawing/2015/06/chart">
            <c:ext xmlns:c16="http://schemas.microsoft.com/office/drawing/2014/chart" uri="{C3380CC4-5D6E-409C-BE32-E72D297353CC}">
              <c16:uniqueId val="{00000004-36FF-484E-87D2-B0DEC714B861}"/>
            </c:ext>
          </c:extLst>
        </c:ser>
        <c:dLbls>
          <c:showLegendKey val="0"/>
          <c:showVal val="1"/>
          <c:showCatName val="0"/>
          <c:showSerName val="0"/>
          <c:showPercent val="0"/>
          <c:showBubbleSize val="0"/>
        </c:dLbls>
        <c:marker val="1"/>
        <c:smooth val="0"/>
        <c:axId val="197039104"/>
        <c:axId val="201766528"/>
      </c:lineChart>
      <c:catAx>
        <c:axId val="1970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1766528"/>
        <c:crosses val="autoZero"/>
        <c:auto val="1"/>
        <c:lblAlgn val="ctr"/>
        <c:lblOffset val="100"/>
        <c:noMultiLvlLbl val="0"/>
      </c:catAx>
      <c:valAx>
        <c:axId val="20176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039104"/>
        <c:crosses val="autoZero"/>
        <c:crossBetween val="between"/>
      </c:valAx>
      <c:spPr>
        <a:noFill/>
        <a:ln>
          <a:noFill/>
        </a:ln>
        <a:effectLst/>
      </c:spPr>
    </c:plotArea>
    <c:legend>
      <c:legendPos val="b"/>
      <c:legendEntry>
        <c:idx val="3"/>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1.2505839228674697E-3"/>
          <c:y val="0.64791470006742624"/>
          <c:w val="0.99498073721377267"/>
          <c:h val="0.3520853354328544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A616-9DDE-447D-8871-3777F0CE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Спивак Дарья Андреевна</dc:creator>
  <cp:lastModifiedBy>Кутукова Юлия Максимовна</cp:lastModifiedBy>
  <cp:revision>2</cp:revision>
  <dcterms:created xsi:type="dcterms:W3CDTF">2024-02-02T13:25:00Z</dcterms:created>
  <dcterms:modified xsi:type="dcterms:W3CDTF">2024-02-02T13:25:00Z</dcterms:modified>
</cp:coreProperties>
</file>