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77" w:rsidRDefault="00CA6D77" w:rsidP="00453AA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</w:t>
      </w:r>
      <w:r w:rsidR="000F0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14</w:t>
      </w:r>
    </w:p>
    <w:p w:rsidR="00453AAF" w:rsidRDefault="00453AAF" w:rsidP="00453A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25E0" w:rsidRPr="00F225E0" w:rsidRDefault="00F225E0" w:rsidP="00F225E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информации, представленной субъектами Российской Федерации, региональные программы, направленные на поддержку молодежи (молодых семей, молодых специалистов), реализуются в 46 субъектах Российской Федерации.</w:t>
      </w:r>
    </w:p>
    <w:p w:rsidR="00F225E0" w:rsidRPr="00F225E0" w:rsidRDefault="00F225E0" w:rsidP="00F225E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Общий объем средств за 2018 – 2020 годы, направленных на реализацию мероприятий региональных программ поддержки молодежи, составил 55 322,4 млн. рублей, в том числе за счет средств бюджетов субъектов Российской Федерации – 33 211,4 млн. рублей, за счет средств муниципальных бюджетов – 634,6 млн. рублей, за счет внебюджетных средств (средства граждан) – 21 476,4 млн. рублей.</w:t>
      </w:r>
    </w:p>
    <w:p w:rsidR="00F225E0" w:rsidRPr="00F225E0" w:rsidRDefault="00F225E0" w:rsidP="00F225E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 наиболее разнообразные практики и системы поддержки молодежи и молодых семей, реализуемые в рамках государственных программ субъектов Российской Федерации, применяются в 10 регионах (</w:t>
      </w:r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Республикой Мордовия, Калининградской, Курской, Ленинградской, Липецкой, Магаданской, Нижег</w:t>
      </w:r>
      <w:bookmarkStart w:id="0" w:name="_GoBack"/>
      <w:bookmarkEnd w:id="0"/>
      <w:r w:rsidRPr="00F22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ородской, Оренбургской, Псковской, Тюменской областями.</w:t>
      </w:r>
    </w:p>
    <w:p w:rsidR="00CA6D77" w:rsidRPr="00CA6D77" w:rsidRDefault="00CA6D77" w:rsidP="00F225E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25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субъектов Российской Федерации, реализующих за счет собственных средств региональные программы по обеспечению жильем молодежи.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2"/>
        <w:gridCol w:w="2414"/>
        <w:gridCol w:w="2408"/>
        <w:gridCol w:w="2347"/>
      </w:tblGrid>
      <w:tr w:rsidR="00CA6D77" w:rsidRPr="00CA6D77" w:rsidTr="00CA6D77">
        <w:tc>
          <w:tcPr>
            <w:tcW w:w="1255" w:type="pct"/>
          </w:tcPr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 Карелия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 Коми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 Бурятия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Удмуртская Республика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 Мордовия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 Калмыкия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Чувашская Республика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Ивановская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Белгородская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Чукотский АО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Ямало-Ненецкий АО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Ханты-Мансийский АО</w:t>
            </w:r>
          </w:p>
        </w:tc>
        <w:tc>
          <w:tcPr>
            <w:tcW w:w="1261" w:type="pct"/>
          </w:tcPr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Ненецкий АО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Камчатский край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Пермский край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Краснодарский край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Красноярский край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Хабаровский край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Ставропольский край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Тульская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Амурская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Калининградская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Свердловская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1258" w:type="pct"/>
          </w:tcPr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Пензенская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Магаданская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Томская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Рязанская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Самарская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Нижегородская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Новгородская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Ленинградская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 Санкт-Петербург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6" w:type="pct"/>
          </w:tcPr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Тюменская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Смоленская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Оренбургская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Ярославская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Брянская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Вологодская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Липецкая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Орловская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Тверская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Псковская область</w:t>
            </w:r>
          </w:p>
          <w:p w:rsidR="00CA6D77" w:rsidRPr="00CA6D77" w:rsidRDefault="00CA6D77" w:rsidP="00CA6D7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D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Севастополь</w:t>
            </w:r>
          </w:p>
        </w:tc>
      </w:tr>
    </w:tbl>
    <w:p w:rsidR="00CA6D77" w:rsidRPr="00CA6D77" w:rsidRDefault="00CA6D77" w:rsidP="00CA6D77">
      <w:pPr>
        <w:spacing w:after="0" w:line="334" w:lineRule="auto"/>
        <w:ind w:left="284"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53AAF" w:rsidRDefault="00453AAF" w:rsidP="00F225E0">
      <w:pPr>
        <w:spacing w:after="0" w:line="360" w:lineRule="auto"/>
        <w:ind w:firstLine="709"/>
        <w:contextualSpacing/>
        <w:jc w:val="both"/>
      </w:pPr>
      <w:r w:rsidRPr="00CA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решение жилищных вопросов молодежи в указанных регионах за период 2018 – 2020 годы направлено 6 161 789,4 тыс. рублей, в том числе в </w:t>
      </w:r>
      <w:r w:rsidRPr="00CA6D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2018 году – 1 828 679,8 тыс. рублей, в 2019 году – 2 699 613,5 тыс. рублей и в 2020 году – 1 633 496,2 тыс. рублей.</w:t>
      </w:r>
    </w:p>
    <w:p w:rsidR="00CA6D77" w:rsidRPr="00CA6D77" w:rsidRDefault="00CA6D77" w:rsidP="00F225E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6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Наиболее разнообразные практики и системы поддержки молодежи и молодых семей, реализуемые в рамках государственных программ субъектов Российской Федерации, применяются в 10 регионах, перечень которых представлен в таблице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ниже.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248"/>
        <w:gridCol w:w="6359"/>
        <w:gridCol w:w="1545"/>
      </w:tblGrid>
      <w:tr w:rsidR="00CA6D77" w:rsidRPr="00453AAF" w:rsidTr="00F225E0">
        <w:trPr>
          <w:trHeight w:val="255"/>
          <w:tblHeader/>
        </w:trPr>
        <w:tc>
          <w:tcPr>
            <w:tcW w:w="871" w:type="pct"/>
            <w:gridSpan w:val="2"/>
          </w:tcPr>
          <w:p w:rsidR="00CA6D77" w:rsidRPr="00453AAF" w:rsidRDefault="00CA6D77" w:rsidP="00CA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Субъект Российской Федерации</w:t>
            </w: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мероприятия государственной программы</w:t>
            </w:r>
          </w:p>
        </w:tc>
        <w:tc>
          <w:tcPr>
            <w:tcW w:w="807" w:type="pct"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ГП за 2018-2020 годы</w:t>
            </w:r>
          </w:p>
        </w:tc>
      </w:tr>
      <w:tr w:rsidR="00CA6D77" w:rsidRPr="00453AAF" w:rsidTr="00453AAF">
        <w:trPr>
          <w:trHeight w:val="255"/>
        </w:trPr>
        <w:tc>
          <w:tcPr>
            <w:tcW w:w="219" w:type="pct"/>
            <w:vMerge w:val="restart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Тюменская область</w:t>
            </w:r>
          </w:p>
        </w:tc>
        <w:tc>
          <w:tcPr>
            <w:tcW w:w="3321" w:type="pct"/>
            <w:shd w:val="clear" w:color="auto" w:fill="auto"/>
            <w:noWrap/>
            <w:vAlign w:val="center"/>
            <w:hideMark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социальных выплат и займов гражданам на строительство (приобретение) жилья;</w:t>
            </w:r>
          </w:p>
        </w:tc>
        <w:tc>
          <w:tcPr>
            <w:tcW w:w="807" w:type="pct"/>
            <w:vMerge w:val="restart"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548 058,6</w:t>
            </w: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  <w:hideMark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shd w:val="clear" w:color="auto" w:fill="auto"/>
            <w:noWrap/>
            <w:vAlign w:val="center"/>
            <w:hideMark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социальных пособий, денежных компенсаций, доплат, единовременной материальной помощи и других мер социальной поддержки отдельным категориям граждан.</w:t>
            </w:r>
          </w:p>
        </w:tc>
        <w:tc>
          <w:tcPr>
            <w:tcW w:w="807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 w:val="restart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Оренбургской области</w:t>
            </w: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нуждающимся в улучшении жилищных условий молодым семьям на оплату части первоначального взноса при получении ипотечного жилищного кредита;</w:t>
            </w:r>
          </w:p>
        </w:tc>
        <w:tc>
          <w:tcPr>
            <w:tcW w:w="807" w:type="pct"/>
            <w:vMerge w:val="restart"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385 367,4</w:t>
            </w: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нуждающимся в улучшении жилищных условий молодым семьям на погашение части стоимости жилья в случае рождения (усыновления) ребенка.</w:t>
            </w:r>
          </w:p>
        </w:tc>
        <w:tc>
          <w:tcPr>
            <w:tcW w:w="807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 w:val="restart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Псковская область</w:t>
            </w: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жилищных условий граждан, проживающих на сельских территориях;</w:t>
            </w:r>
          </w:p>
        </w:tc>
        <w:tc>
          <w:tcPr>
            <w:tcW w:w="807" w:type="pct"/>
            <w:vMerge w:val="restart"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25 709,3</w:t>
            </w: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жилищных условий молодых семей и молодых специалистов</w:t>
            </w:r>
          </w:p>
        </w:tc>
        <w:tc>
          <w:tcPr>
            <w:tcW w:w="807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 w:val="restart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жилищных условий граждан с использованием средств ипотечного кредита (займа) в части предоставления социальных выплат молодым педагогам (одна из категорий получателей)</w:t>
            </w:r>
          </w:p>
        </w:tc>
        <w:tc>
          <w:tcPr>
            <w:tcW w:w="807" w:type="pct"/>
            <w:vMerge w:val="restart"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1 997 847,9</w:t>
            </w: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жилищных условий молодых граждан (молодых семей) подпрограммы «Содействие в обеспечении жильем граждан Ленинградской области»;</w:t>
            </w:r>
          </w:p>
        </w:tc>
        <w:tc>
          <w:tcPr>
            <w:tcW w:w="807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улучшению жилищных условий граждан, проживающих в сельской местности, в том числе молодых семей и молодых специалистов.</w:t>
            </w:r>
          </w:p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*свидетельства о предоставлении социальной выплаты действуют в течение 1 года с даты получения (за пределами календарного года).</w:t>
            </w:r>
          </w:p>
        </w:tc>
        <w:tc>
          <w:tcPr>
            <w:tcW w:w="807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 w:val="restart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жильем отдельных категорий граждан (Развитие системы ипотечного жилищного кредитования в Курской области);</w:t>
            </w:r>
          </w:p>
        </w:tc>
        <w:tc>
          <w:tcPr>
            <w:tcW w:w="807" w:type="pct"/>
            <w:vMerge w:val="restart"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93 573,8</w:t>
            </w: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отдельных категорий медицинских работников, в том числе молодых специалистов;</w:t>
            </w:r>
          </w:p>
        </w:tc>
        <w:tc>
          <w:tcPr>
            <w:tcW w:w="807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поддержка работников образовательных организаций общего образования, в том числе молодых специалистов.</w:t>
            </w:r>
          </w:p>
        </w:tc>
        <w:tc>
          <w:tcPr>
            <w:tcW w:w="807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 w:val="restart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жилищных условий специалистов, в том числе молодых;</w:t>
            </w:r>
          </w:p>
        </w:tc>
        <w:tc>
          <w:tcPr>
            <w:tcW w:w="807" w:type="pct"/>
            <w:vMerge w:val="restart"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959 516,7</w:t>
            </w: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07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 поддержка молодых семей в Нижегородской области.</w:t>
            </w:r>
          </w:p>
        </w:tc>
        <w:tc>
          <w:tcPr>
            <w:tcW w:w="807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 w:val="restart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Мордовия</w:t>
            </w: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 на возмещение (компенсацию) части процентной ставки по ипотечным кредитам (ипотечным займам), полученным гражданами на приобретение или строительство жилья в российских кредитных организациях (у юридических лиц), а также полученных в целях рефинансирования ипотечных жилищных кредитов (ипотечных займов);</w:t>
            </w:r>
          </w:p>
        </w:tc>
        <w:tc>
          <w:tcPr>
            <w:tcW w:w="807" w:type="pct"/>
            <w:vMerge w:val="restart"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1 518 811,6</w:t>
            </w: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Социальные выплаты гражданам на частичное и (или) полное погашение ипотечного жилищного кредита (ипотечного займа) либо ипотечного кредита (ипотечного займа), полученного в целях его рефинансирования, в случае рождения (усыновления) ребенка и </w:t>
            </w: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последующих детей, а также на имеющихся детей;</w:t>
            </w:r>
          </w:p>
        </w:tc>
        <w:tc>
          <w:tcPr>
            <w:tcW w:w="807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социальные выплаты семьям - участницам подпрограммы "Обеспечение жильем молодых семей" при рождении (усыновлении) одного ребенка;</w:t>
            </w:r>
          </w:p>
        </w:tc>
        <w:tc>
          <w:tcPr>
            <w:tcW w:w="807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на строительство, реконструкцию, приобретение жилья, оказание содействия в индивидуальном жилищном строительстве в Республике Мордовия</w:t>
            </w:r>
          </w:p>
        </w:tc>
        <w:tc>
          <w:tcPr>
            <w:tcW w:w="807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 w:val="restart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 стимулирования в сфере ипотечного жилищного кредитования, в том числе для молодежи на улучшение жилищных условий;</w:t>
            </w:r>
          </w:p>
        </w:tc>
        <w:tc>
          <w:tcPr>
            <w:tcW w:w="807" w:type="pct"/>
            <w:vMerge w:val="restart"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232 652,8</w:t>
            </w: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первоначального взноса молодым врачам-учителям;</w:t>
            </w:r>
          </w:p>
        </w:tc>
        <w:tc>
          <w:tcPr>
            <w:tcW w:w="807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процентной ставки по ипотечным кредитам для семей, родивших детей в 2018-2019 годах "Семейная ипотека".</w:t>
            </w:r>
          </w:p>
        </w:tc>
        <w:tc>
          <w:tcPr>
            <w:tcW w:w="807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 w:val="restart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социальных выплат молодых учителям» основного мероприятия «Поддержка молодых граждан в сфере образования и науки»;</w:t>
            </w:r>
          </w:p>
        </w:tc>
        <w:tc>
          <w:tcPr>
            <w:tcW w:w="807" w:type="pct"/>
            <w:vMerge w:val="restart"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78 443,5</w:t>
            </w: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социальных выплат молодым семьям в виде предоставления субсидий городским округам Магаданской области» Подпрограммы «Оказание государственной поддержки в обеспечении жильем молодых семей - участников подпрограммы «Обеспечение жильем молодых семей», возраст которых превышает 35 лет";</w:t>
            </w:r>
          </w:p>
        </w:tc>
        <w:tc>
          <w:tcPr>
            <w:tcW w:w="807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социальных выплат молодым ученым» Подпрограммы «Оказание поддержки в обеспечении жильем молодых ученых»;</w:t>
            </w:r>
          </w:p>
        </w:tc>
        <w:tc>
          <w:tcPr>
            <w:tcW w:w="807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молодым учителям социальной выплаты" Подпрограммы "Ипотечное кредитование молодых учителей общеобразовательных учреждений Магаданской области".</w:t>
            </w:r>
          </w:p>
        </w:tc>
        <w:tc>
          <w:tcPr>
            <w:tcW w:w="807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 w:val="restart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на погашение целевого займа (кредита) на приобретение или строительство жилья при рождении (усыновлении) ребенка;</w:t>
            </w:r>
          </w:p>
        </w:tc>
        <w:tc>
          <w:tcPr>
            <w:tcW w:w="807" w:type="pct"/>
            <w:vMerge w:val="restart"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321 807,9</w:t>
            </w: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на погашение целевого займа (кредита) на приобретение или строительство жилья при рождении (усыновлении) ребенка;</w:t>
            </w:r>
          </w:p>
        </w:tc>
        <w:tc>
          <w:tcPr>
            <w:tcW w:w="807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на погашение целевого займа (кредита) на приобретение или строительство жилья при рождении (усыновлении) ребенка;</w:t>
            </w:r>
          </w:p>
        </w:tc>
        <w:tc>
          <w:tcPr>
            <w:tcW w:w="807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D77" w:rsidRPr="00453AAF" w:rsidTr="00453AAF">
        <w:trPr>
          <w:trHeight w:val="270"/>
        </w:trPr>
        <w:tc>
          <w:tcPr>
            <w:tcW w:w="219" w:type="pct"/>
            <w:vMerge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shd w:val="clear" w:color="auto" w:fill="auto"/>
            <w:noWrap/>
            <w:vAlign w:val="center"/>
          </w:tcPr>
          <w:p w:rsidR="00CA6D77" w:rsidRPr="00453AAF" w:rsidRDefault="00CA6D77" w:rsidP="00CA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социальных выплат на приобретение (строительство) жилья молодым семьям.</w:t>
            </w:r>
          </w:p>
        </w:tc>
        <w:tc>
          <w:tcPr>
            <w:tcW w:w="807" w:type="pct"/>
            <w:vMerge/>
            <w:vAlign w:val="center"/>
          </w:tcPr>
          <w:p w:rsidR="00CA6D77" w:rsidRPr="00453AAF" w:rsidRDefault="00CA6D77" w:rsidP="00CA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A6D77" w:rsidRPr="00CA6D77" w:rsidRDefault="00CA6D77" w:rsidP="00CA6D77">
      <w:pPr>
        <w:spacing w:after="0" w:line="33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sectPr w:rsidR="00CA6D77" w:rsidRPr="00CA6D77" w:rsidSect="00CB527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555" w:rsidRDefault="008E2555" w:rsidP="00CB5275">
      <w:pPr>
        <w:spacing w:after="0" w:line="240" w:lineRule="auto"/>
      </w:pPr>
      <w:r>
        <w:separator/>
      </w:r>
    </w:p>
  </w:endnote>
  <w:endnote w:type="continuationSeparator" w:id="0">
    <w:p w:rsidR="008E2555" w:rsidRDefault="008E2555" w:rsidP="00CB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555" w:rsidRDefault="008E2555" w:rsidP="00CB5275">
      <w:pPr>
        <w:spacing w:after="0" w:line="240" w:lineRule="auto"/>
      </w:pPr>
      <w:r>
        <w:separator/>
      </w:r>
    </w:p>
  </w:footnote>
  <w:footnote w:type="continuationSeparator" w:id="0">
    <w:p w:rsidR="008E2555" w:rsidRDefault="008E2555" w:rsidP="00CB5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894837"/>
      <w:docPartObj>
        <w:docPartGallery w:val="Page Numbers (Top of Page)"/>
        <w:docPartUnique/>
      </w:docPartObj>
    </w:sdtPr>
    <w:sdtEndPr/>
    <w:sdtContent>
      <w:p w:rsidR="00CB5275" w:rsidRDefault="00CB52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5E0">
          <w:rPr>
            <w:noProof/>
          </w:rPr>
          <w:t>2</w:t>
        </w:r>
        <w:r>
          <w:fldChar w:fldCharType="end"/>
        </w:r>
      </w:p>
    </w:sdtContent>
  </w:sdt>
  <w:p w:rsidR="00CB5275" w:rsidRDefault="00CB52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54"/>
    <w:rsid w:val="0007629B"/>
    <w:rsid w:val="000F0FA7"/>
    <w:rsid w:val="002E0F54"/>
    <w:rsid w:val="00453AAF"/>
    <w:rsid w:val="005B2431"/>
    <w:rsid w:val="008E2555"/>
    <w:rsid w:val="00CA6D77"/>
    <w:rsid w:val="00CB5275"/>
    <w:rsid w:val="00E7663B"/>
    <w:rsid w:val="00EA0094"/>
    <w:rsid w:val="00F2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5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275"/>
  </w:style>
  <w:style w:type="paragraph" w:styleId="a6">
    <w:name w:val="footer"/>
    <w:basedOn w:val="a"/>
    <w:link w:val="a7"/>
    <w:uiPriority w:val="99"/>
    <w:unhideWhenUsed/>
    <w:rsid w:val="00CB5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275"/>
  </w:style>
  <w:style w:type="paragraph" w:styleId="a8">
    <w:name w:val="Balloon Text"/>
    <w:basedOn w:val="a"/>
    <w:link w:val="a9"/>
    <w:uiPriority w:val="99"/>
    <w:semiHidden/>
    <w:unhideWhenUsed/>
    <w:rsid w:val="0045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3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5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275"/>
  </w:style>
  <w:style w:type="paragraph" w:styleId="a6">
    <w:name w:val="footer"/>
    <w:basedOn w:val="a"/>
    <w:link w:val="a7"/>
    <w:uiPriority w:val="99"/>
    <w:unhideWhenUsed/>
    <w:rsid w:val="00CB5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275"/>
  </w:style>
  <w:style w:type="paragraph" w:styleId="a8">
    <w:name w:val="Balloon Text"/>
    <w:basedOn w:val="a"/>
    <w:link w:val="a9"/>
    <w:uiPriority w:val="99"/>
    <w:semiHidden/>
    <w:unhideWhenUsed/>
    <w:rsid w:val="0045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3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</dc:creator>
  <cp:lastModifiedBy>Краснова И.В.</cp:lastModifiedBy>
  <cp:revision>5</cp:revision>
  <cp:lastPrinted>2021-08-13T15:01:00Z</cp:lastPrinted>
  <dcterms:created xsi:type="dcterms:W3CDTF">2021-08-16T09:51:00Z</dcterms:created>
  <dcterms:modified xsi:type="dcterms:W3CDTF">2021-08-23T09:36:00Z</dcterms:modified>
</cp:coreProperties>
</file>