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2B" w:rsidRPr="00C84129" w:rsidRDefault="00C84129" w:rsidP="00C84129">
      <w:pPr>
        <w:spacing w:after="0"/>
        <w:jc w:val="right"/>
        <w:rPr>
          <w:rFonts w:ascii="Times New Roman" w:hAnsi="Times New Roman" w:cs="Times New Roman"/>
        </w:rPr>
      </w:pPr>
      <w:r w:rsidRPr="00C84129">
        <w:rPr>
          <w:rFonts w:ascii="Times New Roman" w:hAnsi="Times New Roman" w:cs="Times New Roman"/>
        </w:rPr>
        <w:t xml:space="preserve">Приложение № </w:t>
      </w:r>
      <w:r w:rsidR="00CF689F">
        <w:rPr>
          <w:rFonts w:ascii="Times New Roman" w:hAnsi="Times New Roman" w:cs="Times New Roman"/>
        </w:rPr>
        <w:t>1</w:t>
      </w:r>
      <w:r w:rsidR="005D566F">
        <w:rPr>
          <w:rFonts w:ascii="Times New Roman" w:hAnsi="Times New Roman" w:cs="Times New Roman"/>
        </w:rPr>
        <w:t>8</w:t>
      </w:r>
      <w:bookmarkStart w:id="0" w:name="_GoBack"/>
      <w:bookmarkEnd w:id="0"/>
    </w:p>
    <w:p w:rsidR="00B95906" w:rsidRDefault="00C84129" w:rsidP="00C8412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C84129">
        <w:rPr>
          <w:rFonts w:ascii="Times New Roman" w:hAnsi="Times New Roman" w:cs="Times New Roman"/>
          <w:color w:val="auto"/>
        </w:rPr>
        <w:t xml:space="preserve">Анализ зарубежного опыта </w:t>
      </w:r>
      <w:r>
        <w:rPr>
          <w:rFonts w:ascii="Times New Roman" w:hAnsi="Times New Roman" w:cs="Times New Roman"/>
          <w:color w:val="auto"/>
        </w:rPr>
        <w:t>обеспечения качества и доступности медицинской помощи</w:t>
      </w:r>
    </w:p>
    <w:p w:rsidR="00C84129" w:rsidRPr="00C84129" w:rsidRDefault="00C84129" w:rsidP="00C84129"/>
    <w:tbl>
      <w:tblPr>
        <w:tblStyle w:val="af0"/>
        <w:tblW w:w="154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50"/>
        <w:gridCol w:w="1344"/>
        <w:gridCol w:w="681"/>
        <w:gridCol w:w="821"/>
        <w:gridCol w:w="752"/>
        <w:gridCol w:w="1635"/>
        <w:gridCol w:w="2206"/>
        <w:gridCol w:w="1791"/>
        <w:gridCol w:w="1978"/>
        <w:gridCol w:w="2860"/>
      </w:tblGrid>
      <w:tr w:rsidR="00C84129" w:rsidRPr="00C84129" w:rsidTr="00C240FA">
        <w:trPr>
          <w:tblHeader/>
        </w:trPr>
        <w:tc>
          <w:tcPr>
            <w:tcW w:w="1350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Государство</w:t>
            </w:r>
          </w:p>
        </w:tc>
        <w:tc>
          <w:tcPr>
            <w:tcW w:w="1344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Доля участия государства</w:t>
            </w:r>
          </w:p>
          <w:p w:rsidR="006E0522" w:rsidRPr="00C84129" w:rsidRDefault="0088291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в оказании </w:t>
            </w:r>
            <w:proofErr w:type="spellStart"/>
            <w:r w:rsidRPr="00C84129">
              <w:rPr>
                <w:rFonts w:ascii="Times New Roman" w:hAnsi="Times New Roman"/>
                <w:color w:val="auto"/>
                <w:sz w:val="16"/>
              </w:rPr>
              <w:t>медуслуг</w:t>
            </w:r>
            <w:proofErr w:type="spellEnd"/>
          </w:p>
        </w:tc>
        <w:tc>
          <w:tcPr>
            <w:tcW w:w="681" w:type="dxa"/>
          </w:tcPr>
          <w:p w:rsidR="006E0522" w:rsidRPr="00C84129" w:rsidRDefault="005A177B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М</w:t>
            </w:r>
            <w:r w:rsidR="006E0522" w:rsidRPr="00C84129">
              <w:rPr>
                <w:rFonts w:ascii="Times New Roman" w:hAnsi="Times New Roman"/>
                <w:color w:val="auto"/>
                <w:sz w:val="16"/>
              </w:rPr>
              <w:t>есто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в ГИЗ</w:t>
            </w:r>
            <w:r w:rsidR="006E0522" w:rsidRPr="00C84129">
              <w:rPr>
                <w:rStyle w:val="a9"/>
                <w:rFonts w:ascii="Times New Roman" w:hAnsi="Times New Roman"/>
                <w:color w:val="auto"/>
                <w:sz w:val="16"/>
              </w:rPr>
              <w:footnoteReference w:id="1"/>
            </w:r>
          </w:p>
        </w:tc>
        <w:tc>
          <w:tcPr>
            <w:tcW w:w="821" w:type="dxa"/>
          </w:tcPr>
          <w:p w:rsidR="006E0522" w:rsidRPr="00C84129" w:rsidRDefault="006E0522" w:rsidP="005A177B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  <w:szCs w:val="16"/>
              </w:rPr>
              <w:t>ФПЖ</w:t>
            </w:r>
            <w:r w:rsidRPr="00C84129">
              <w:rPr>
                <w:rStyle w:val="a9"/>
                <w:rFonts w:ascii="Times New Roman" w:hAnsi="Times New Roman"/>
                <w:iCs/>
                <w:color w:val="auto"/>
                <w:sz w:val="16"/>
                <w:szCs w:val="16"/>
              </w:rPr>
              <w:footnoteReference w:id="2"/>
            </w:r>
            <w:r w:rsidRPr="00C8412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(ж/м, лет)</w:t>
            </w:r>
          </w:p>
        </w:tc>
        <w:tc>
          <w:tcPr>
            <w:tcW w:w="752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iCs/>
                <w:color w:val="auto"/>
                <w:sz w:val="16"/>
                <w:szCs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  <w:szCs w:val="16"/>
              </w:rPr>
              <w:t>КС</w:t>
            </w:r>
            <w:r w:rsidRPr="00C84129">
              <w:rPr>
                <w:rStyle w:val="a9"/>
                <w:rFonts w:ascii="Times New Roman" w:hAnsi="Times New Roman"/>
                <w:iCs/>
                <w:color w:val="auto"/>
                <w:sz w:val="16"/>
                <w:szCs w:val="16"/>
              </w:rPr>
              <w:footnoteReference w:id="3"/>
            </w:r>
            <w:r w:rsidRPr="00C84129">
              <w:rPr>
                <w:rFonts w:ascii="Times New Roman" w:hAnsi="Times New Roman"/>
                <w:iCs/>
                <w:color w:val="auto"/>
                <w:sz w:val="16"/>
                <w:szCs w:val="16"/>
              </w:rPr>
              <w:t xml:space="preserve"> на 1 тыс. человек</w:t>
            </w:r>
          </w:p>
        </w:tc>
        <w:tc>
          <w:tcPr>
            <w:tcW w:w="1635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Ключевые аспекты качества медицинской помощи»</w:t>
            </w:r>
          </w:p>
        </w:tc>
        <w:tc>
          <w:tcPr>
            <w:tcW w:w="2206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Элементы качества МП</w:t>
            </w:r>
          </w:p>
        </w:tc>
        <w:tc>
          <w:tcPr>
            <w:tcW w:w="1791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Ключевые аспекты доступности медицинской помощи»</w:t>
            </w:r>
          </w:p>
        </w:tc>
        <w:tc>
          <w:tcPr>
            <w:tcW w:w="1978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Элементы доступности МП</w:t>
            </w:r>
          </w:p>
        </w:tc>
        <w:tc>
          <w:tcPr>
            <w:tcW w:w="2860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Аспекты контроля / оценки качества (эффективности) медицинской помощи </w:t>
            </w:r>
          </w:p>
        </w:tc>
      </w:tr>
      <w:tr w:rsidR="00C84129" w:rsidRPr="00C84129" w:rsidTr="00C240FA">
        <w:tc>
          <w:tcPr>
            <w:tcW w:w="1350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  <w:szCs w:val="16"/>
              </w:rPr>
              <w:t>Великобритания (Англия)</w:t>
            </w:r>
          </w:p>
        </w:tc>
        <w:tc>
          <w:tcPr>
            <w:tcW w:w="1344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  <w:szCs w:val="16"/>
              </w:rPr>
              <w:t>преобладает</w:t>
            </w:r>
          </w:p>
        </w:tc>
        <w:tc>
          <w:tcPr>
            <w:tcW w:w="681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821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  <w:szCs w:val="16"/>
              </w:rPr>
              <w:t>82,9/79</w:t>
            </w:r>
          </w:p>
          <w:p w:rsidR="0016078D" w:rsidRPr="00C84129" w:rsidRDefault="0016078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  <w:szCs w:val="16"/>
              </w:rPr>
              <w:t>(2020)</w:t>
            </w:r>
          </w:p>
        </w:tc>
        <w:tc>
          <w:tcPr>
            <w:tcW w:w="752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  <w:szCs w:val="16"/>
              </w:rPr>
              <w:t>9,8</w:t>
            </w:r>
          </w:p>
          <w:p w:rsidR="0016078D" w:rsidRPr="00C84129" w:rsidRDefault="0016078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  <w:szCs w:val="16"/>
              </w:rPr>
              <w:t>(2021)</w:t>
            </w:r>
          </w:p>
        </w:tc>
        <w:tc>
          <w:tcPr>
            <w:tcW w:w="1635" w:type="dxa"/>
          </w:tcPr>
          <w:p w:rsidR="00440C7A" w:rsidRPr="00C84129" w:rsidRDefault="00440C7A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  <w:t>Качественная медпомощь включает три составляющих</w:t>
            </w:r>
            <w:r w:rsidRPr="00C84129">
              <w:rPr>
                <w:rStyle w:val="a9"/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  <w:footnoteReference w:id="4"/>
            </w:r>
            <w:r w:rsidRPr="00C84129"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  <w:t>: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  <w:t xml:space="preserve"> </w:t>
            </w:r>
          </w:p>
          <w:p w:rsidR="00440C7A" w:rsidRPr="00C84129" w:rsidRDefault="00440C7A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</w:pP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  <w:t xml:space="preserve">обеспечение </w:t>
            </w:r>
            <w:r w:rsidRPr="00C84129">
              <w:rPr>
                <w:rFonts w:ascii="Times New Roman" w:eastAsia="Times New Roman" w:hAnsi="Times New Roman"/>
                <w:b/>
                <w:bCs w:val="0"/>
                <w:color w:val="auto"/>
                <w:sz w:val="16"/>
                <w:szCs w:val="16"/>
                <w:lang w:eastAsia="ru-RU"/>
              </w:rPr>
              <w:t>безопасности</w:t>
            </w:r>
            <w:r w:rsidRPr="00C84129"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  <w:t xml:space="preserve"> пациентов</w:t>
            </w:r>
            <w:r w:rsidRPr="00C84129">
              <w:rPr>
                <w:rStyle w:val="a9"/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  <w:footnoteReference w:id="5"/>
            </w:r>
            <w:r w:rsidRPr="00C84129"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  <w:t>;</w:t>
            </w: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</w:pP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  <w:t xml:space="preserve"> оказание медицинской помощи в соответствии</w:t>
            </w:r>
            <w:r w:rsidRPr="00C84129">
              <w:rPr>
                <w:rFonts w:ascii="Times New Roman" w:eastAsia="Times New Roman" w:hAnsi="Times New Roman"/>
                <w:b/>
                <w:bCs w:val="0"/>
                <w:color w:val="auto"/>
                <w:sz w:val="16"/>
                <w:szCs w:val="16"/>
                <w:lang w:eastAsia="ru-RU"/>
              </w:rPr>
              <w:t xml:space="preserve"> с запросами и нуждами</w:t>
            </w:r>
            <w:r w:rsidRPr="00C84129"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  <w:t xml:space="preserve"> пациентов, с уважением к их достоинству и с чувством сострадания к ним; </w:t>
            </w: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 w:val="0"/>
                <w:color w:val="auto"/>
                <w:sz w:val="16"/>
                <w:szCs w:val="16"/>
                <w:lang w:eastAsia="ru-RU"/>
              </w:rPr>
            </w:pP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129">
              <w:rPr>
                <w:rFonts w:ascii="Times New Roman" w:eastAsia="Times New Roman" w:hAnsi="Times New Roman"/>
                <w:b/>
                <w:bCs w:val="0"/>
                <w:color w:val="auto"/>
                <w:sz w:val="16"/>
                <w:szCs w:val="16"/>
                <w:lang w:eastAsia="ru-RU"/>
              </w:rPr>
              <w:t>эффективность</w:t>
            </w:r>
            <w:r w:rsidRPr="00C84129">
              <w:rPr>
                <w:rFonts w:ascii="Times New Roman" w:eastAsia="Times New Roman" w:hAnsi="Times New Roman"/>
                <w:bCs w:val="0"/>
                <w:color w:val="auto"/>
                <w:sz w:val="16"/>
                <w:szCs w:val="16"/>
                <w:lang w:eastAsia="ru-RU"/>
              </w:rPr>
              <w:t xml:space="preserve"> предоставленной помощи</w:t>
            </w:r>
          </w:p>
        </w:tc>
        <w:tc>
          <w:tcPr>
            <w:tcW w:w="2206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оказание  медицинских услуг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lang w:eastAsia="ru-RU"/>
              </w:rPr>
              <w:t>квалифицированным и опытным персоналом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 в соответствии с профессиональными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lang w:eastAsia="ru-RU"/>
              </w:rPr>
              <w:t>стандартами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 в зарегистрированной организации</w:t>
            </w:r>
            <w:r w:rsidRPr="00C84129">
              <w:rPr>
                <w:rStyle w:val="a9"/>
                <w:rFonts w:ascii="Times New Roman" w:eastAsia="Times New Roman" w:hAnsi="Times New Roman"/>
                <w:color w:val="auto"/>
                <w:sz w:val="16"/>
                <w:lang w:eastAsia="ru-RU"/>
              </w:rPr>
              <w:footnoteReference w:id="6"/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, которая соответствует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lang w:eastAsia="ru-RU"/>
              </w:rPr>
              <w:t>требованиям безопасности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 и разумным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lang w:eastAsia="ru-RU"/>
              </w:rPr>
              <w:t>стандартам качества</w:t>
            </w:r>
            <w:r w:rsidRPr="00C84129">
              <w:rPr>
                <w:rStyle w:val="a9"/>
                <w:rFonts w:ascii="Times New Roman" w:eastAsia="Times New Roman" w:hAnsi="Times New Roman"/>
                <w:color w:val="auto"/>
                <w:sz w:val="16"/>
                <w:lang w:eastAsia="ru-RU"/>
              </w:rPr>
              <w:footnoteReference w:id="7"/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; </w:t>
            </w: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</w:pP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оказание  помощи в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lang w:eastAsia="ru-RU"/>
              </w:rPr>
              <w:t>чистой, безопасной, защищенной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 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br/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lang w:eastAsia="ru-RU"/>
              </w:rPr>
              <w:t>и подходящей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 для оказания медицинских услуг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lang w:eastAsia="ru-RU"/>
              </w:rPr>
              <w:t>среде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>;</w:t>
            </w: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</w:pP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получение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lang w:eastAsia="ru-RU"/>
              </w:rPr>
              <w:t>подходящей пищи и воды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 для обеспечения достойного состояния здоровья;</w:t>
            </w: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</w:pP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lang w:eastAsia="ru-RU"/>
              </w:rPr>
              <w:t>контроль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 со стороны Службы в отношении 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lastRenderedPageBreak/>
              <w:t>каче</w:t>
            </w:r>
            <w:r w:rsidR="000B7CBB"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ства медицинского обслуживания 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  постоянное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lang w:eastAsia="ru-RU"/>
              </w:rPr>
              <w:t>повышение эффективности, безопасности и качества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 услуг</w:t>
            </w:r>
          </w:p>
        </w:tc>
        <w:tc>
          <w:tcPr>
            <w:tcW w:w="1791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lastRenderedPageBreak/>
              <w:t xml:space="preserve">Основным критерием доступности является </w:t>
            </w:r>
            <w:r w:rsidRPr="00C84129">
              <w:rPr>
                <w:rFonts w:ascii="Times New Roman" w:hAnsi="Times New Roman"/>
                <w:b/>
                <w:bCs w:val="0"/>
                <w:iCs/>
                <w:color w:val="auto"/>
                <w:sz w:val="16"/>
              </w:rPr>
              <w:t>максимальный срок ожидания</w:t>
            </w:r>
            <w:r w:rsidRPr="00C84129">
              <w:rPr>
                <w:rFonts w:ascii="Times New Roman" w:hAnsi="Times New Roman"/>
                <w:bCs w:val="0"/>
                <w:iCs/>
                <w:color w:val="auto"/>
                <w:sz w:val="16"/>
              </w:rPr>
              <w:t xml:space="preserve"> медицинской помощи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. Соответствующие стандарты определены, в первую очередь, для </w:t>
            </w:r>
            <w:r w:rsidRPr="00C84129">
              <w:rPr>
                <w:rFonts w:ascii="Times New Roman" w:hAnsi="Times New Roman"/>
                <w:b/>
                <w:iCs/>
                <w:color w:val="auto"/>
                <w:sz w:val="16"/>
              </w:rPr>
              <w:t>плановой и экстренной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 помощи</w:t>
            </w: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iCs/>
                <w:color w:val="auto"/>
                <w:sz w:val="16"/>
              </w:rPr>
            </w:pP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Отдельно оговаривается бесплатный характер медпомощи</w:t>
            </w:r>
            <w:r w:rsidRPr="00C84129">
              <w:rPr>
                <w:rStyle w:val="a9"/>
                <w:rFonts w:ascii="Times New Roman" w:hAnsi="Times New Roman"/>
                <w:color w:val="auto"/>
                <w:sz w:val="16"/>
              </w:rPr>
              <w:footnoteReference w:id="8"/>
            </w: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978" w:type="dxa"/>
          </w:tcPr>
          <w:p w:rsidR="00D16679" w:rsidRPr="00C84129" w:rsidRDefault="001E2FD3" w:rsidP="00D16679">
            <w:pPr>
              <w:pStyle w:val="a3"/>
              <w:spacing w:before="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Лицам с низким уровнем дохода, которые не получают пособия, могут быть предоставлены льготы </w:t>
            </w:r>
          </w:p>
          <w:p w:rsidR="00D16679" w:rsidRPr="00C84129" w:rsidRDefault="00D16679" w:rsidP="00D16679">
            <w:pPr>
              <w:pStyle w:val="a3"/>
              <w:spacing w:before="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</w:pPr>
          </w:p>
          <w:p w:rsidR="00D16679" w:rsidRPr="00C84129" w:rsidRDefault="00D16679" w:rsidP="00D16679">
            <w:pPr>
              <w:pStyle w:val="a3"/>
              <w:spacing w:before="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Сроки ожидания медицинской </w:t>
            </w:r>
            <w:r w:rsidR="005A177B" w:rsidRPr="00C84129"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  <w:t xml:space="preserve">помощи </w:t>
            </w:r>
          </w:p>
          <w:p w:rsidR="00D16679" w:rsidRPr="00C84129" w:rsidRDefault="00D16679" w:rsidP="001E2FD3">
            <w:pPr>
              <w:pStyle w:val="a3"/>
              <w:spacing w:before="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</w:pPr>
          </w:p>
          <w:p w:rsidR="006E0522" w:rsidRPr="00C84129" w:rsidRDefault="00104798" w:rsidP="001E2FD3">
            <w:pPr>
              <w:pStyle w:val="a3"/>
              <w:spacing w:before="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lang w:eastAsia="ru-RU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Требования по </w:t>
            </w:r>
            <w:r w:rsidRPr="00C84129">
              <w:rPr>
                <w:rFonts w:ascii="Times New Roman" w:hAnsi="Times New Roman"/>
                <w:b/>
                <w:iCs/>
                <w:color w:val="auto"/>
                <w:sz w:val="16"/>
              </w:rPr>
              <w:t>срокам оказания ряда приоритетных медицинских услуг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, в частности диагностики и лечения </w:t>
            </w:r>
            <w:r w:rsidRPr="00C84129">
              <w:rPr>
                <w:rFonts w:ascii="Times New Roman" w:hAnsi="Times New Roman"/>
                <w:i/>
                <w:iCs/>
                <w:color w:val="auto"/>
                <w:sz w:val="16"/>
              </w:rPr>
              <w:t>психических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 заболеваний и различных видов </w:t>
            </w:r>
            <w:r w:rsidRPr="00C84129">
              <w:rPr>
                <w:rFonts w:ascii="Times New Roman" w:hAnsi="Times New Roman"/>
                <w:i/>
                <w:iCs/>
                <w:color w:val="auto"/>
                <w:sz w:val="16"/>
              </w:rPr>
              <w:t>онкологических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 заболеваний</w:t>
            </w:r>
          </w:p>
        </w:tc>
        <w:tc>
          <w:tcPr>
            <w:tcW w:w="2860" w:type="dxa"/>
          </w:tcPr>
          <w:p w:rsidR="006E0522" w:rsidRPr="00C84129" w:rsidRDefault="006E0522" w:rsidP="0016078D">
            <w:pPr>
              <w:pStyle w:val="a3"/>
              <w:spacing w:before="140" w:line="240" w:lineRule="auto"/>
              <w:ind w:left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129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Целевые показатели не устанавливаются</w:t>
            </w:r>
            <w:r w:rsidRPr="00C84129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. Индикаторы сгруппированы по пяти категориям: </w:t>
            </w:r>
          </w:p>
          <w:p w:rsidR="006E0522" w:rsidRPr="00C84129" w:rsidRDefault="006E0522" w:rsidP="0016078D">
            <w:pPr>
              <w:pStyle w:val="a3"/>
              <w:spacing w:before="14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  <w:t xml:space="preserve">предупреждение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szCs w:val="16"/>
                <w:lang w:eastAsia="ru-RU"/>
              </w:rPr>
              <w:t>преждевременной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  <w:t xml:space="preserve"> смерти;</w:t>
            </w:r>
          </w:p>
          <w:p w:rsidR="006E0522" w:rsidRPr="00C84129" w:rsidRDefault="006E0522" w:rsidP="0016078D">
            <w:pPr>
              <w:pStyle w:val="a3"/>
              <w:spacing w:before="14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  <w:t xml:space="preserve">улучшение качества жизни лиц с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szCs w:val="16"/>
                <w:lang w:eastAsia="ru-RU"/>
              </w:rPr>
              <w:t>хроническими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  <w:t xml:space="preserve"> заболеваниями;</w:t>
            </w:r>
          </w:p>
          <w:p w:rsidR="006E0522" w:rsidRPr="00C84129" w:rsidRDefault="006E0522" w:rsidP="0016078D">
            <w:pPr>
              <w:pStyle w:val="a3"/>
              <w:spacing w:before="14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szCs w:val="16"/>
                <w:lang w:eastAsia="ru-RU"/>
              </w:rPr>
              <w:t>содействие восстановлению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  <w:t xml:space="preserve"> после заболеваний и травм;</w:t>
            </w:r>
          </w:p>
          <w:p w:rsidR="006E0522" w:rsidRPr="00C84129" w:rsidRDefault="006E0522" w:rsidP="0016078D">
            <w:pPr>
              <w:pStyle w:val="a3"/>
              <w:spacing w:before="14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  <w:t xml:space="preserve">оказание медицинской помощи в соответствии с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szCs w:val="16"/>
                <w:lang w:eastAsia="ru-RU"/>
              </w:rPr>
              <w:t>запросами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  <w:t xml:space="preserve"> и нуждами пациентов;</w:t>
            </w:r>
          </w:p>
          <w:p w:rsidR="006E0522" w:rsidRPr="00C84129" w:rsidRDefault="006E0522" w:rsidP="0016078D">
            <w:pPr>
              <w:pStyle w:val="a3"/>
              <w:spacing w:before="14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</w:pPr>
            <w:r w:rsidRPr="00C84129"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  <w:t xml:space="preserve">соблюдение требований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szCs w:val="16"/>
                <w:lang w:eastAsia="ru-RU"/>
              </w:rPr>
              <w:t>безопасности и предупреждение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  <w:t xml:space="preserve"> нанесения </w:t>
            </w:r>
            <w:r w:rsidRPr="00C84129">
              <w:rPr>
                <w:rFonts w:ascii="Times New Roman" w:eastAsia="Times New Roman" w:hAnsi="Times New Roman"/>
                <w:b/>
                <w:color w:val="auto"/>
                <w:sz w:val="16"/>
                <w:szCs w:val="16"/>
                <w:lang w:eastAsia="ru-RU"/>
              </w:rPr>
              <w:t>предотвратимого</w:t>
            </w:r>
            <w:r w:rsidRPr="00C84129"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  <w:t xml:space="preserve"> ущерба.</w:t>
            </w:r>
          </w:p>
          <w:p w:rsidR="006E0522" w:rsidRPr="00C84129" w:rsidRDefault="006E0522" w:rsidP="0016078D">
            <w:pPr>
              <w:pStyle w:val="a3"/>
              <w:spacing w:before="140" w:line="240" w:lineRule="auto"/>
              <w:ind w:left="0"/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Медицинские учреждения обязаны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ежегодно публиковать в открытом доступе отчеты о качестве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оказываемых услуг, в которых должна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lastRenderedPageBreak/>
              <w:t xml:space="preserve">содержаться информация по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15 индикаторам</w:t>
            </w:r>
            <w:r w:rsidRPr="00C84129">
              <w:rPr>
                <w:rStyle w:val="a9"/>
                <w:rFonts w:ascii="Times New Roman" w:hAnsi="Times New Roman"/>
                <w:color w:val="auto"/>
                <w:sz w:val="16"/>
              </w:rPr>
              <w:footnoteReference w:id="9"/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</w:p>
        </w:tc>
      </w:tr>
      <w:tr w:rsidR="00C84129" w:rsidRPr="00C84129" w:rsidTr="00C240FA">
        <w:tc>
          <w:tcPr>
            <w:tcW w:w="1350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lastRenderedPageBreak/>
              <w:t>Израиль</w:t>
            </w:r>
          </w:p>
        </w:tc>
        <w:tc>
          <w:tcPr>
            <w:tcW w:w="1344" w:type="dxa"/>
          </w:tcPr>
          <w:p w:rsidR="006E0522" w:rsidRPr="00C84129" w:rsidRDefault="0016078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В равной доле с больничными кассами, частным и общественным секторами</w:t>
            </w:r>
          </w:p>
        </w:tc>
        <w:tc>
          <w:tcPr>
            <w:tcW w:w="681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10</w:t>
            </w:r>
          </w:p>
        </w:tc>
        <w:tc>
          <w:tcPr>
            <w:tcW w:w="821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84,4/80,8</w:t>
            </w:r>
          </w:p>
          <w:p w:rsidR="0016078D" w:rsidRPr="00C84129" w:rsidRDefault="0016078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(2020)</w:t>
            </w:r>
          </w:p>
        </w:tc>
        <w:tc>
          <w:tcPr>
            <w:tcW w:w="752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5,3</w:t>
            </w:r>
            <w:r w:rsidR="0016078D" w:rsidRPr="00C84129">
              <w:rPr>
                <w:rFonts w:ascii="Times New Roman" w:hAnsi="Times New Roman"/>
                <w:color w:val="auto"/>
                <w:sz w:val="16"/>
              </w:rPr>
              <w:t xml:space="preserve"> (2022)</w:t>
            </w:r>
          </w:p>
        </w:tc>
        <w:tc>
          <w:tcPr>
            <w:tcW w:w="1635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Показатели качества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– критерии, которые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количественно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выражают определенный аспект здоровья, такой как заболеваемость, профилактика, качество лечения и результаты лечения в определенном регионе и в определенный момент времени. Показатели являются объективными переменными, они могут быть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количественно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lastRenderedPageBreak/>
              <w:t xml:space="preserve">определены и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 xml:space="preserve">повторно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>измерены.</w:t>
            </w:r>
          </w:p>
        </w:tc>
        <w:tc>
          <w:tcPr>
            <w:tcW w:w="2206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lastRenderedPageBreak/>
              <w:t>Показатели эффективности алгоритма реализации процесса (</w:t>
            </w:r>
            <w:r w:rsidRPr="00C84129">
              <w:rPr>
                <w:rFonts w:ascii="Times New Roman" w:hAnsi="Times New Roman"/>
                <w:i/>
                <w:color w:val="auto"/>
                <w:sz w:val="16"/>
              </w:rPr>
              <w:t>правильная очередность и выполнение необходимых действий в целях увеличения шансов на получение желаемых медицинских результатов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>).</w:t>
            </w: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Показатели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результативности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лечения (мониторинг результатов оказанной медпомощи).</w:t>
            </w: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Инфраструктурные и структурные показатели (формы административной организации и качества </w:t>
            </w:r>
            <w:proofErr w:type="spellStart"/>
            <w:r w:rsidRPr="00C84129">
              <w:rPr>
                <w:rFonts w:ascii="Times New Roman" w:hAnsi="Times New Roman"/>
                <w:color w:val="auto"/>
                <w:sz w:val="16"/>
              </w:rPr>
              <w:t>медуслуг</w:t>
            </w:r>
            <w:proofErr w:type="spellEnd"/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, уровень компетенции лечащего персонала, качество </w:t>
            </w:r>
            <w:proofErr w:type="spellStart"/>
            <w:r w:rsidRPr="00C84129">
              <w:rPr>
                <w:rFonts w:ascii="Times New Roman" w:hAnsi="Times New Roman"/>
                <w:color w:val="auto"/>
                <w:sz w:val="16"/>
              </w:rPr>
              <w:lastRenderedPageBreak/>
              <w:t>медпроцедур</w:t>
            </w:r>
            <w:proofErr w:type="spellEnd"/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и соблюдение </w:t>
            </w:r>
            <w:r w:rsidR="004E3A62" w:rsidRPr="00C84129">
              <w:rPr>
                <w:rFonts w:ascii="Times New Roman" w:hAnsi="Times New Roman"/>
                <w:color w:val="auto"/>
                <w:sz w:val="16"/>
              </w:rPr>
              <w:t xml:space="preserve">принятых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>правил</w:t>
            </w:r>
            <w:r w:rsidR="004E3A62" w:rsidRPr="00C84129">
              <w:rPr>
                <w:rFonts w:ascii="Times New Roman" w:hAnsi="Times New Roman"/>
                <w:color w:val="auto"/>
                <w:sz w:val="16"/>
              </w:rPr>
              <w:t>).</w:t>
            </w:r>
          </w:p>
        </w:tc>
        <w:tc>
          <w:tcPr>
            <w:tcW w:w="1791" w:type="dxa"/>
          </w:tcPr>
          <w:p w:rsidR="004E3A62" w:rsidRPr="00C84129" w:rsidRDefault="004E3A6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lastRenderedPageBreak/>
              <w:t>Фактор географической близости медицинских учреждений к пациентам становится менее значимым в эпоху телемедицины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. </w:t>
            </w:r>
          </w:p>
          <w:p w:rsidR="004E3A62" w:rsidRPr="00C84129" w:rsidRDefault="004E3A6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  <w:p w:rsidR="006E0522" w:rsidRPr="00C84129" w:rsidRDefault="004E3A6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Доступность медицинской помощи, в том числе время ожидания, остается основным слабым местом системы здравоохранения</w:t>
            </w:r>
          </w:p>
        </w:tc>
        <w:tc>
          <w:tcPr>
            <w:tcW w:w="1978" w:type="dxa"/>
          </w:tcPr>
          <w:p w:rsidR="006E0522" w:rsidRPr="00C84129" w:rsidRDefault="0016078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2860" w:type="dxa"/>
          </w:tcPr>
          <w:p w:rsidR="0016078D" w:rsidRPr="00C84129" w:rsidRDefault="00551A9D" w:rsidP="001607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В задачи </w:t>
            </w:r>
            <w:r w:rsidR="0016078D"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контроля качества </w:t>
            </w:r>
            <w:proofErr w:type="spellStart"/>
            <w:r w:rsidR="0016078D" w:rsidRPr="00C84129">
              <w:rPr>
                <w:rFonts w:ascii="Times New Roman" w:hAnsi="Times New Roman"/>
                <w:bCs w:val="0"/>
                <w:color w:val="auto"/>
                <w:sz w:val="16"/>
              </w:rPr>
              <w:t>медуслуг</w:t>
            </w:r>
            <w:proofErr w:type="spellEnd"/>
            <w:r w:rsidR="0016078D"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входит: </w:t>
            </w:r>
          </w:p>
          <w:p w:rsidR="0016078D" w:rsidRPr="00C84129" w:rsidRDefault="0016078D" w:rsidP="001607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руководство реализацией государственных мер повышения качества </w:t>
            </w:r>
            <w:proofErr w:type="spellStart"/>
            <w:r w:rsidR="00551A9D" w:rsidRPr="00C84129">
              <w:rPr>
                <w:rFonts w:ascii="Times New Roman" w:hAnsi="Times New Roman"/>
                <w:bCs w:val="0"/>
                <w:color w:val="auto"/>
                <w:sz w:val="16"/>
              </w:rPr>
              <w:t>мед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услуг</w:t>
            </w:r>
            <w:proofErr w:type="spellEnd"/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в больницах;</w:t>
            </w:r>
          </w:p>
          <w:p w:rsidR="0016078D" w:rsidRPr="00C84129" w:rsidRDefault="0016078D" w:rsidP="001607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аудит качества услуг медучреждений;</w:t>
            </w:r>
          </w:p>
          <w:p w:rsidR="0016078D" w:rsidRPr="00C84129" w:rsidRDefault="0016078D" w:rsidP="001607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повышение качества обслуживания пациентов; </w:t>
            </w:r>
          </w:p>
          <w:p w:rsidR="0016078D" w:rsidRPr="00C84129" w:rsidRDefault="0016078D" w:rsidP="001607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расследование и анализ информации о смертности и особых происшествиях;</w:t>
            </w:r>
          </w:p>
          <w:p w:rsidR="0016078D" w:rsidRPr="00C84129" w:rsidRDefault="0016078D" w:rsidP="001607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расследование случаев медицинской халатности;</w:t>
            </w:r>
          </w:p>
          <w:p w:rsidR="0016078D" w:rsidRPr="00C84129" w:rsidRDefault="0016078D" w:rsidP="001607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ответы на вопросы и жалобы населения;</w:t>
            </w:r>
          </w:p>
          <w:p w:rsidR="006E0522" w:rsidRPr="00C84129" w:rsidRDefault="0016078D" w:rsidP="001607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совершенствование деятельности и повышение уровня обслуживания региональных подразделений Минздрав</w:t>
            </w:r>
            <w:r w:rsidR="00CA331C" w:rsidRPr="00C84129">
              <w:rPr>
                <w:rFonts w:ascii="Times New Roman" w:hAnsi="Times New Roman"/>
                <w:bCs w:val="0"/>
                <w:color w:val="auto"/>
                <w:sz w:val="16"/>
              </w:rPr>
              <w:t>а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Израиля.</w:t>
            </w:r>
          </w:p>
          <w:p w:rsidR="0016078D" w:rsidRPr="00C84129" w:rsidRDefault="0016078D" w:rsidP="00CA331C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Возможность измерять качество с помощью согласованного набора показателей является важным 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lastRenderedPageBreak/>
              <w:t>инструментом повышения качества на национальном уровне. Минздрав осуществляет контроль качества услуг на основе мониторинга клинических и других показателей качества во всех областях медицины, включая получение обратной связи от пациентов по качеству медицинского обслуживания.</w:t>
            </w:r>
          </w:p>
        </w:tc>
      </w:tr>
      <w:tr w:rsidR="00C84129" w:rsidRPr="00C84129" w:rsidTr="00C240FA">
        <w:tc>
          <w:tcPr>
            <w:tcW w:w="1350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lastRenderedPageBreak/>
              <w:t>КНР</w:t>
            </w:r>
          </w:p>
        </w:tc>
        <w:tc>
          <w:tcPr>
            <w:tcW w:w="1344" w:type="dxa"/>
          </w:tcPr>
          <w:p w:rsidR="006E0522" w:rsidRPr="00C84129" w:rsidRDefault="00551A9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  <w:szCs w:val="16"/>
              </w:rPr>
              <w:t>преобладает</w:t>
            </w:r>
          </w:p>
        </w:tc>
        <w:tc>
          <w:tcPr>
            <w:tcW w:w="681" w:type="dxa"/>
          </w:tcPr>
          <w:p w:rsidR="006E0522" w:rsidRPr="00C84129" w:rsidRDefault="0016078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50</w:t>
            </w:r>
          </w:p>
        </w:tc>
        <w:tc>
          <w:tcPr>
            <w:tcW w:w="821" w:type="dxa"/>
          </w:tcPr>
          <w:p w:rsidR="006E0522" w:rsidRPr="00C84129" w:rsidRDefault="0016078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72,8</w:t>
            </w:r>
          </w:p>
          <w:p w:rsidR="0016078D" w:rsidRPr="00C84129" w:rsidRDefault="0016078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(2021)</w:t>
            </w:r>
          </w:p>
        </w:tc>
        <w:tc>
          <w:tcPr>
            <w:tcW w:w="752" w:type="dxa"/>
          </w:tcPr>
          <w:p w:rsidR="006E0522" w:rsidRPr="00C84129" w:rsidRDefault="0016078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7 (2020)</w:t>
            </w:r>
          </w:p>
        </w:tc>
        <w:tc>
          <w:tcPr>
            <w:tcW w:w="1635" w:type="dxa"/>
          </w:tcPr>
          <w:p w:rsidR="006E0522" w:rsidRPr="00C84129" w:rsidRDefault="00D76B5F" w:rsidP="00D76B5F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при оценке удовлетворенности амбулаторных пациентов в больницах учитываются опыт взаимодействия врача с пациентом, готовность и желание персонала помочь пациенту, ощущение личной безопасности пациента, а также общее состояние здания больницы.</w:t>
            </w:r>
          </w:p>
          <w:p w:rsidR="00D76B5F" w:rsidRPr="00C84129" w:rsidRDefault="00D76B5F" w:rsidP="00D76B5F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</w:p>
          <w:p w:rsidR="00D76B5F" w:rsidRPr="00C84129" w:rsidRDefault="00D76B5F" w:rsidP="00D76B5F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eastAsia="DengXian" w:hAnsi="Times New Roman"/>
                <w:bCs w:val="0"/>
                <w:color w:val="auto"/>
                <w:sz w:val="16"/>
                <w:szCs w:val="16"/>
                <w:lang w:eastAsia="zh-CN"/>
              </w:rPr>
              <w:t>О</w:t>
            </w:r>
            <w:r w:rsidRPr="00C84129">
              <w:rPr>
                <w:rFonts w:ascii="Times New Roman" w:eastAsia="DengXian" w:hAnsi="Times New Roman"/>
                <w:color w:val="auto"/>
                <w:sz w:val="16"/>
                <w:szCs w:val="16"/>
                <w:lang w:eastAsia="zh-CN"/>
              </w:rPr>
              <w:t>цениваются процедура поступления и выписки из стационара, предоставление информации по назначенному лечению, качество питания, взаимодействие медперсонала с родственниками и посетителями пациента</w:t>
            </w:r>
          </w:p>
        </w:tc>
        <w:tc>
          <w:tcPr>
            <w:tcW w:w="2206" w:type="dxa"/>
          </w:tcPr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Показатели оценки качества медицинской помощи: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стоимость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лекарственных средств;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удовлетворенность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пациентов оказанной им медицинской помощью;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количество пациентов, отказывающихся от медицинских услуг;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уровень доверия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пациента к врачу;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количество смертей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в больнице, в том числе в отделении хирургии 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br/>
              <w:t>и реанимации, а также их соотношение с общим числом пациентов;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время ожидания медицинской помощи;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число </w:t>
            </w: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свободных койко-мест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, в том числе в отделении интенсивной терапии и реанимации;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время пребывания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в стационаре;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общая </w:t>
            </w: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площадь здания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больницы;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число сотрудников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больницы (врачей, медсестер, специалистов по работе с медтехникой);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число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амбулаторных приемов, госпитализаций, медосмотров;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средняя стоимость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амбулаторного и стационарного приема (включая стоимость лекарств);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доходы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больницы (в том числе от продажи лекарств);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количество </w:t>
            </w: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научных статей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, опубликованных в изданиях с международным стандартным сериальным номером;</w:t>
            </w:r>
          </w:p>
          <w:p w:rsidR="000D30AD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объем </w:t>
            </w: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бюджетных средств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, полученных на проведение научных исследований;</w:t>
            </w:r>
          </w:p>
          <w:p w:rsidR="006E0522" w:rsidRPr="00C84129" w:rsidRDefault="000D30AD" w:rsidP="000D30A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количество </w:t>
            </w: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завершенных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</w:t>
            </w:r>
            <w:r w:rsidRPr="00C84129">
              <w:rPr>
                <w:rFonts w:ascii="Times New Roman" w:hAnsi="Times New Roman"/>
                <w:b/>
                <w:bCs w:val="0"/>
                <w:color w:val="auto"/>
                <w:sz w:val="16"/>
              </w:rPr>
              <w:t>научно-исследовательских</w:t>
            </w: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 xml:space="preserve"> проектов.</w:t>
            </w:r>
          </w:p>
        </w:tc>
        <w:tc>
          <w:tcPr>
            <w:tcW w:w="1791" w:type="dxa"/>
          </w:tcPr>
          <w:p w:rsidR="006E0522" w:rsidRPr="00C84129" w:rsidRDefault="00D76B5F" w:rsidP="00D76B5F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bCs w:val="0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Cs w:val="0"/>
                <w:color w:val="auto"/>
                <w:sz w:val="16"/>
              </w:rPr>
              <w:t>Наличие проблемы длительного ожидания медицинской помощи</w:t>
            </w:r>
          </w:p>
        </w:tc>
        <w:tc>
          <w:tcPr>
            <w:tcW w:w="1978" w:type="dxa"/>
          </w:tcPr>
          <w:p w:rsidR="006E0522" w:rsidRPr="00C84129" w:rsidRDefault="00137CC5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2860" w:type="dxa"/>
          </w:tcPr>
          <w:p w:rsidR="00137CC5" w:rsidRPr="00C84129" w:rsidRDefault="00137CC5" w:rsidP="00137CC5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аудиторские проверки в сфере здравоохранения проводятся на всех административных уровнях вплоть до сел и деревень. В основном проверки направлены на выявление фактов завышения цен на лекарственные средства и нарушений в использовании бюджетных средств, выделенных для строительства медицинских учреждений, выполнение общих правил использования лекарственных средств, ведение документации в медучреждениях, эффективность использования медоборудования, а также средств фонда </w:t>
            </w:r>
            <w:proofErr w:type="spellStart"/>
            <w:r w:rsidRPr="00C84129">
              <w:rPr>
                <w:rFonts w:ascii="Times New Roman" w:hAnsi="Times New Roman"/>
                <w:color w:val="auto"/>
                <w:sz w:val="16"/>
              </w:rPr>
              <w:t>медстрахования</w:t>
            </w:r>
            <w:proofErr w:type="spellEnd"/>
            <w:r w:rsidRPr="00C84129">
              <w:rPr>
                <w:rFonts w:ascii="Times New Roman" w:hAnsi="Times New Roman"/>
                <w:color w:val="auto"/>
                <w:sz w:val="16"/>
              </w:rPr>
              <w:t>.</w:t>
            </w: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</w:tr>
      <w:tr w:rsidR="00C84129" w:rsidRPr="00C84129" w:rsidTr="00C240FA">
        <w:trPr>
          <w:trHeight w:val="2851"/>
        </w:trPr>
        <w:tc>
          <w:tcPr>
            <w:tcW w:w="1350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США</w:t>
            </w:r>
          </w:p>
        </w:tc>
        <w:tc>
          <w:tcPr>
            <w:tcW w:w="1344" w:type="dxa"/>
          </w:tcPr>
          <w:p w:rsidR="006E0522" w:rsidRPr="00C84129" w:rsidRDefault="00D76B5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proofErr w:type="spellStart"/>
            <w:proofErr w:type="gramStart"/>
            <w:r w:rsidRPr="00C84129">
              <w:rPr>
                <w:rFonts w:ascii="Times New Roman" w:hAnsi="Times New Roman"/>
                <w:color w:val="auto"/>
                <w:sz w:val="16"/>
              </w:rPr>
              <w:t>Незначитель-ная</w:t>
            </w:r>
            <w:proofErr w:type="spellEnd"/>
            <w:proofErr w:type="gramEnd"/>
            <w:r w:rsidR="001C672A" w:rsidRPr="00C84129">
              <w:rPr>
                <w:rFonts w:ascii="Times New Roman" w:hAnsi="Times New Roman"/>
                <w:color w:val="auto"/>
                <w:sz w:val="16"/>
              </w:rPr>
              <w:t>.</w:t>
            </w:r>
          </w:p>
          <w:p w:rsidR="00D76B5F" w:rsidRPr="00C84129" w:rsidRDefault="00D76B5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ОМС отсутствует</w:t>
            </w:r>
          </w:p>
        </w:tc>
        <w:tc>
          <w:tcPr>
            <w:tcW w:w="681" w:type="dxa"/>
          </w:tcPr>
          <w:p w:rsidR="006E0522" w:rsidRPr="00C84129" w:rsidRDefault="00D76B5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34</w:t>
            </w:r>
          </w:p>
        </w:tc>
        <w:tc>
          <w:tcPr>
            <w:tcW w:w="821" w:type="dxa"/>
          </w:tcPr>
          <w:p w:rsidR="006E0522" w:rsidRPr="00C84129" w:rsidRDefault="00D76B5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76,1 (2021)</w:t>
            </w:r>
          </w:p>
        </w:tc>
        <w:tc>
          <w:tcPr>
            <w:tcW w:w="752" w:type="dxa"/>
          </w:tcPr>
          <w:p w:rsidR="006E0522" w:rsidRPr="00C84129" w:rsidRDefault="00D76B5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10,4</w:t>
            </w:r>
          </w:p>
        </w:tc>
        <w:tc>
          <w:tcPr>
            <w:tcW w:w="1635" w:type="dxa"/>
          </w:tcPr>
          <w:p w:rsidR="005C594F" w:rsidRPr="00C84129" w:rsidRDefault="005C594F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Закон о повышении качества здравоохранения 1986 года не определяет понятие качества медицинского обслуживания.</w:t>
            </w:r>
          </w:p>
          <w:p w:rsidR="005C594F" w:rsidRPr="00C84129" w:rsidRDefault="005C594F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</w:p>
          <w:p w:rsidR="006E0522" w:rsidRPr="00C84129" w:rsidRDefault="00637D56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Применение информационных технологий в области здравоохранения способствует улучшению качества медицинских услуг.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2206" w:type="dxa"/>
          </w:tcPr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Ключевые направления развития Инициативы по обеспечению качества больниц включают: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регулирование и обеспечение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соблюдения стандартов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качества; 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публикацию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информации о качестве оказания медицинских услуг в больницах на онлайн-платформах; 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проверку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 xml:space="preserve">достоверности присуждения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медучреждениям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наград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за эффективную работу по обеспечению качества предоставляемых услуг;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развитие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сотрудничества с экспертными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организациями и общественными группами для расширения базы знаний.</w:t>
            </w:r>
          </w:p>
          <w:p w:rsidR="006E0522" w:rsidRPr="00C84129" w:rsidRDefault="006E0522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791" w:type="dxa"/>
          </w:tcPr>
          <w:p w:rsidR="006E0522" w:rsidRPr="00C84129" w:rsidRDefault="005C594F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Закон о повышении качества здравоохранения 1986 года обязал больницы предоставлять скорую медпомощь всем пациентам независимо от наличия страхового полиса</w:t>
            </w:r>
          </w:p>
        </w:tc>
        <w:tc>
          <w:tcPr>
            <w:tcW w:w="1978" w:type="dxa"/>
          </w:tcPr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В 2020 году вступила в силу Инициатива «Здоровые люди 2030», ее целевые показатели доступности и качества медицинских услуг: 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сократить долю пациентов, которые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ожидали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неотложную помощь в приемном покое дольше, чем рекомендовано; 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сократить долю лиц, которые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не могут получить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отпускаемые по рецепту лекарства; 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сократить долю лиц, которые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не могут получить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медицинскую помощь, когда они в ней нуждаются;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увеличить долю лиц, у которых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есть доступ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к первичной медицинской помощи;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повысить способность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специалистов первичной медико-санитарной помощи и врачей, специализирующихся на поведенческом здоровье, оказывать более качественную медпомощь нуждающимся в ней пациентам.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увеличить долю лиц, которым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 xml:space="preserve">предоставляется доступ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к электронной медицинской карте; 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увеличить долю лиц, которые могут просматривать, загружать и отправлять </w:t>
            </w:r>
            <w:proofErr w:type="spellStart"/>
            <w:r w:rsidRPr="00C84129">
              <w:rPr>
                <w:rFonts w:ascii="Times New Roman" w:hAnsi="Times New Roman"/>
                <w:color w:val="auto"/>
                <w:sz w:val="16"/>
              </w:rPr>
              <w:t>мединформацию</w:t>
            </w:r>
            <w:proofErr w:type="spellEnd"/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в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электронном виде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>;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увеличить долю лиц, которые считают, что содержание их электронной медицинской карты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изложено доступно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и не вызывает сложностей в понимании;</w:t>
            </w:r>
          </w:p>
          <w:p w:rsidR="006E0522" w:rsidRPr="00C84129" w:rsidRDefault="001C672A" w:rsidP="00800E8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расширять использование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телемедицины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для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улучшения доступа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br/>
              <w:t xml:space="preserve">к </w:t>
            </w:r>
            <w:proofErr w:type="spellStart"/>
            <w:r w:rsidRPr="00C84129">
              <w:rPr>
                <w:rFonts w:ascii="Times New Roman" w:hAnsi="Times New Roman"/>
                <w:color w:val="auto"/>
                <w:sz w:val="16"/>
              </w:rPr>
              <w:t>медуслугам</w:t>
            </w:r>
            <w:proofErr w:type="spellEnd"/>
            <w:r w:rsidRPr="00C84129">
              <w:rPr>
                <w:rFonts w:ascii="Times New Roman" w:hAnsi="Times New Roman"/>
                <w:color w:val="auto"/>
                <w:sz w:val="16"/>
              </w:rPr>
              <w:t>.</w:t>
            </w:r>
          </w:p>
        </w:tc>
        <w:tc>
          <w:tcPr>
            <w:tcW w:w="2860" w:type="dxa"/>
          </w:tcPr>
          <w:p w:rsidR="001C672A" w:rsidRPr="00C84129" w:rsidRDefault="005C594F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В США действует система публичной отчетности медицинских учреждений в рамках Инициативы по обеспечению качества больниц.</w:t>
            </w:r>
            <w:r w:rsidR="001C672A" w:rsidRPr="00C84129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</w:p>
          <w:p w:rsidR="001C672A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</w:p>
          <w:p w:rsidR="006E0522" w:rsidRPr="00C84129" w:rsidRDefault="001C672A" w:rsidP="001C672A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Разработку системы оценки качества также осуществляет Агентство по исследованиям и качеству здравоохранения при Министерстве здравоохранения и социальных служб США</w:t>
            </w:r>
          </w:p>
        </w:tc>
      </w:tr>
      <w:tr w:rsidR="00C84129" w:rsidRPr="00C84129" w:rsidTr="00C240FA">
        <w:tc>
          <w:tcPr>
            <w:tcW w:w="1350" w:type="dxa"/>
          </w:tcPr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ФРГ</w:t>
            </w:r>
          </w:p>
        </w:tc>
        <w:tc>
          <w:tcPr>
            <w:tcW w:w="1344" w:type="dxa"/>
          </w:tcPr>
          <w:p w:rsidR="006E0522" w:rsidRPr="00C84129" w:rsidRDefault="005D6CE3" w:rsidP="006D2D2E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В равной доле с частным и общественным секторами</w:t>
            </w:r>
          </w:p>
        </w:tc>
        <w:tc>
          <w:tcPr>
            <w:tcW w:w="681" w:type="dxa"/>
          </w:tcPr>
          <w:p w:rsidR="006E0522" w:rsidRPr="00C84129" w:rsidRDefault="00637D56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24</w:t>
            </w:r>
          </w:p>
        </w:tc>
        <w:tc>
          <w:tcPr>
            <w:tcW w:w="821" w:type="dxa"/>
          </w:tcPr>
          <w:p w:rsidR="006E0522" w:rsidRPr="00C84129" w:rsidRDefault="00637D56" w:rsidP="00637D56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83,4/78,5 (2021)</w:t>
            </w:r>
          </w:p>
        </w:tc>
        <w:tc>
          <w:tcPr>
            <w:tcW w:w="752" w:type="dxa"/>
          </w:tcPr>
          <w:p w:rsidR="006E0522" w:rsidRPr="00C84129" w:rsidRDefault="00637D56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12,3 (2021)</w:t>
            </w:r>
          </w:p>
        </w:tc>
        <w:tc>
          <w:tcPr>
            <w:tcW w:w="1635" w:type="dxa"/>
          </w:tcPr>
          <w:p w:rsidR="006E0522" w:rsidRPr="00C84129" w:rsidRDefault="0006047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2206" w:type="dxa"/>
          </w:tcPr>
          <w:p w:rsidR="006E0522" w:rsidRPr="00C84129" w:rsidRDefault="0006047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1791" w:type="dxa"/>
          </w:tcPr>
          <w:p w:rsidR="006D2D2E" w:rsidRPr="00C84129" w:rsidRDefault="006D2D2E" w:rsidP="006D2D2E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Административные процедуры 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br/>
              <w:t xml:space="preserve">в некоторых регионах препятствуют эффективному предоставлению медпомощи, особенно амбулаторной. Также неравномерно распределен перечень </w:t>
            </w:r>
            <w:proofErr w:type="spellStart"/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медуслуг</w:t>
            </w:r>
            <w:proofErr w:type="spellEnd"/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: в сельских районах спектр предоставляемой помощи гораздо уже, чем в городских районах с более развитой инфраструктурой</w:t>
            </w:r>
          </w:p>
          <w:p w:rsidR="006E0522" w:rsidRPr="00C84129" w:rsidRDefault="006E052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978" w:type="dxa"/>
          </w:tcPr>
          <w:p w:rsidR="006E0522" w:rsidRPr="00C84129" w:rsidRDefault="00181FE1" w:rsidP="00181FE1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Все лица, имеющие ОМС, могут получить электронную медкарту. С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  <w:lang w:val="en-US"/>
              </w:rPr>
              <w:t> 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помощью </w:t>
            </w:r>
            <w:r w:rsidRPr="00C84129">
              <w:rPr>
                <w:rFonts w:ascii="Times New Roman" w:hAnsi="Times New Roman"/>
                <w:b/>
                <w:iCs/>
                <w:color w:val="auto"/>
                <w:sz w:val="16"/>
              </w:rPr>
              <w:t>мобильного приложения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 пациенты могут загрузить в электронную медкарту необходимые документы, при этом лечащие врачи могут оказывать застрахованным пациентам содействие в заполнении карт</w:t>
            </w:r>
          </w:p>
        </w:tc>
        <w:tc>
          <w:tcPr>
            <w:tcW w:w="2860" w:type="dxa"/>
          </w:tcPr>
          <w:p w:rsidR="00181FE1" w:rsidRPr="00C84129" w:rsidRDefault="00181FE1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в ФРГ отсутствуют механизмы систематической и комплексной оценки работы медучреждений или регулярной оценки эффективности в различных секторах здравоохранения.</w:t>
            </w:r>
          </w:p>
          <w:p w:rsidR="00181FE1" w:rsidRPr="00C84129" w:rsidRDefault="00181FE1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</w:p>
          <w:p w:rsidR="00181FE1" w:rsidRPr="00C84129" w:rsidRDefault="00181FE1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Общая федеральная комиссия по контролю качества вправе применять для контроля качества финансовые механизмы.</w:t>
            </w:r>
          </w:p>
          <w:p w:rsidR="00181FE1" w:rsidRPr="00C84129" w:rsidRDefault="00181FE1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</w:p>
          <w:p w:rsidR="00181FE1" w:rsidRPr="00C84129" w:rsidRDefault="00181FE1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Больницы обязаны иметь внутренние программы управления качеством и заключать с медицинскими страховыми  кассами контракты относительно внешних мер по контролю качества.</w:t>
            </w:r>
          </w:p>
          <w:p w:rsidR="00181FE1" w:rsidRPr="00C84129" w:rsidRDefault="00181FE1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</w:p>
          <w:p w:rsidR="00181FE1" w:rsidRPr="00C84129" w:rsidRDefault="00181FE1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Федеральный объединенный комитет по обеспечению качества осуществляет внешний контроль за качеством стационарного лечения на основе количественных индикаторов качества.</w:t>
            </w:r>
          </w:p>
          <w:p w:rsidR="003A1F04" w:rsidRPr="00C84129" w:rsidRDefault="003A1F04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</w:p>
          <w:p w:rsidR="00181FE1" w:rsidRPr="00C84129" w:rsidRDefault="003A1F04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Н</w:t>
            </w:r>
            <w:r w:rsidR="00181FE1"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езависимая организация – Федеральное Бюро по обеспечению качества помогает медучреждениям определять показатели качества </w:t>
            </w:r>
            <w:proofErr w:type="spellStart"/>
            <w:r w:rsidR="00181FE1" w:rsidRPr="00C84129">
              <w:rPr>
                <w:rFonts w:ascii="Times New Roman" w:hAnsi="Times New Roman"/>
                <w:iCs/>
                <w:color w:val="auto"/>
                <w:sz w:val="16"/>
              </w:rPr>
              <w:t>медуслуг</w:t>
            </w:r>
            <w:proofErr w:type="spellEnd"/>
            <w:r w:rsidR="00181FE1"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 для регулярного мониторинга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, а </w:t>
            </w:r>
            <w:r w:rsidR="00181FE1" w:rsidRPr="00C84129">
              <w:rPr>
                <w:rFonts w:ascii="Times New Roman" w:hAnsi="Times New Roman"/>
                <w:iCs/>
                <w:color w:val="auto"/>
                <w:sz w:val="16"/>
              </w:rPr>
              <w:t>также агрегирует совокупные показатели качества работы медучреждений по стране и проводит их сравнительных анализ.</w:t>
            </w:r>
          </w:p>
          <w:p w:rsidR="003A1F04" w:rsidRPr="00C84129" w:rsidRDefault="003A1F04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</w:p>
          <w:p w:rsidR="00181FE1" w:rsidRPr="00C84129" w:rsidRDefault="00181FE1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Оценку эффективности медучреждений публикует Ассоциация научных медицинских обществ</w:t>
            </w:r>
            <w:r w:rsidR="003A1F04"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, 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которая отвечает за разработку </w:t>
            </w:r>
            <w:r w:rsidR="00FF7437"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руководящих документов для медучреждений 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на национальном уровне.</w:t>
            </w:r>
          </w:p>
          <w:p w:rsidR="006E0522" w:rsidRPr="00C84129" w:rsidRDefault="006E0522" w:rsidP="00181FE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</w:p>
        </w:tc>
      </w:tr>
      <w:tr w:rsidR="00C84129" w:rsidRPr="00C84129" w:rsidTr="00C240FA">
        <w:tc>
          <w:tcPr>
            <w:tcW w:w="1350" w:type="dxa"/>
          </w:tcPr>
          <w:p w:rsidR="006E0522" w:rsidRPr="00C84129" w:rsidRDefault="003327C0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Республика Корея</w:t>
            </w:r>
          </w:p>
        </w:tc>
        <w:tc>
          <w:tcPr>
            <w:tcW w:w="1344" w:type="dxa"/>
          </w:tcPr>
          <w:p w:rsidR="00EE1694" w:rsidRPr="00C84129" w:rsidRDefault="00EE1694" w:rsidP="00EE1694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proofErr w:type="spellStart"/>
            <w:proofErr w:type="gramStart"/>
            <w:r w:rsidRPr="00C84129">
              <w:rPr>
                <w:rFonts w:ascii="Times New Roman" w:hAnsi="Times New Roman"/>
                <w:color w:val="auto"/>
                <w:sz w:val="16"/>
              </w:rPr>
              <w:t>Незначитель-ная</w:t>
            </w:r>
            <w:proofErr w:type="spellEnd"/>
            <w:proofErr w:type="gramEnd"/>
            <w:r w:rsidRPr="00C84129">
              <w:rPr>
                <w:rFonts w:ascii="Times New Roman" w:hAnsi="Times New Roman"/>
                <w:color w:val="auto"/>
                <w:sz w:val="16"/>
              </w:rPr>
              <w:t>.</w:t>
            </w:r>
          </w:p>
          <w:p w:rsidR="006E0522" w:rsidRPr="00C84129" w:rsidRDefault="006E0522" w:rsidP="00EE1694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681" w:type="dxa"/>
          </w:tcPr>
          <w:p w:rsidR="006E0522" w:rsidRPr="00C84129" w:rsidRDefault="003327C0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17</w:t>
            </w:r>
          </w:p>
        </w:tc>
        <w:tc>
          <w:tcPr>
            <w:tcW w:w="821" w:type="dxa"/>
          </w:tcPr>
          <w:p w:rsidR="006E0522" w:rsidRDefault="009C2BFA" w:rsidP="009C2BFA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80/86</w:t>
            </w:r>
          </w:p>
          <w:p w:rsidR="009C2BFA" w:rsidRPr="00C84129" w:rsidRDefault="009C2BFA" w:rsidP="009C2BFA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(2021)</w:t>
            </w:r>
          </w:p>
        </w:tc>
        <w:tc>
          <w:tcPr>
            <w:tcW w:w="752" w:type="dxa"/>
          </w:tcPr>
          <w:p w:rsidR="006E0522" w:rsidRPr="00C84129" w:rsidRDefault="003327C0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6,2 (2021)</w:t>
            </w:r>
          </w:p>
        </w:tc>
        <w:tc>
          <w:tcPr>
            <w:tcW w:w="1635" w:type="dxa"/>
          </w:tcPr>
          <w:p w:rsidR="006E0522" w:rsidRPr="00C84129" w:rsidRDefault="00B21356" w:rsidP="00B21356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Сборник критериев качества оказания медпомощи (Расширенная версия содержит около 1,4 тыс. различных критериев качества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footnoteReference w:id="10"/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, сокращенная – 319) состоит из </w:t>
            </w:r>
            <w:r w:rsidR="007C1CD1">
              <w:rPr>
                <w:rFonts w:ascii="Times New Roman" w:hAnsi="Times New Roman"/>
                <w:iCs/>
                <w:color w:val="auto"/>
                <w:sz w:val="16"/>
              </w:rPr>
              <w:t>8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 разделов: Онкологические заболевания.  Острые заболевания (ишемическая болезнь сердца, пневмония, инсульт). Хронические заболевания. Инфекционные заболевания. Психические заболевания. Медицинские препараты.  Качество оказания услуг в медицинских учреждениях. Взаимодействие медперсонала с пациентами.</w:t>
            </w:r>
          </w:p>
          <w:p w:rsidR="00E61A29" w:rsidRPr="00C84129" w:rsidRDefault="00E61A29" w:rsidP="00B21356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</w:p>
          <w:p w:rsidR="00E61A29" w:rsidRPr="00C84129" w:rsidRDefault="00E61A29" w:rsidP="00E61A29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При анализе каждого критерия во внимание принимаются:</w:t>
            </w:r>
          </w:p>
          <w:p w:rsidR="00E61A29" w:rsidRPr="00C84129" w:rsidRDefault="00E61A29" w:rsidP="00E61A29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-продолжительность периода оценки;</w:t>
            </w:r>
          </w:p>
          <w:p w:rsidR="00E61A29" w:rsidRPr="00C84129" w:rsidRDefault="00E61A29" w:rsidP="00E61A29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 периодичность проведения проверки;</w:t>
            </w:r>
          </w:p>
          <w:p w:rsidR="00E61A29" w:rsidRPr="00C84129" w:rsidRDefault="00E61A29" w:rsidP="00E61A29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 тип медучреждений, к которым применим тот или иной критерий;</w:t>
            </w:r>
          </w:p>
          <w:p w:rsidR="00E61A29" w:rsidRPr="00C84129" w:rsidRDefault="00E61A29" w:rsidP="00E61A29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 категории пациентов, к которым применим тот или иной критерий (например, новорожденные, пожилые, с хроническими заболеваниями);</w:t>
            </w:r>
          </w:p>
          <w:p w:rsidR="00E61A29" w:rsidRPr="00C84129" w:rsidRDefault="00E61A29" w:rsidP="00E61A29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 вид медпомощи (например, паллиативная помощь, лечение хронических заболеваний);</w:t>
            </w:r>
          </w:p>
          <w:p w:rsidR="00242705" w:rsidRPr="00C84129" w:rsidRDefault="00E61A29" w:rsidP="00E61A29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 тип организации оказания медпомощи (амбулаторно, стационарно, реанимация).</w:t>
            </w:r>
          </w:p>
        </w:tc>
        <w:tc>
          <w:tcPr>
            <w:tcW w:w="2206" w:type="dxa"/>
          </w:tcPr>
          <w:p w:rsidR="007F7BEB" w:rsidRPr="00C84129" w:rsidRDefault="007F7BEB" w:rsidP="007F7BE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Среди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 xml:space="preserve">критериев качества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>оказания услуг:</w:t>
            </w:r>
          </w:p>
          <w:p w:rsidR="007F7BEB" w:rsidRPr="00C84129" w:rsidRDefault="007F7BEB" w:rsidP="007F7BE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степень точности и корректности данных в медицинских картах пациентов;</w:t>
            </w:r>
          </w:p>
          <w:p w:rsidR="007F7BEB" w:rsidRPr="00C84129" w:rsidRDefault="007F7BEB" w:rsidP="007F7BE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дол</w:t>
            </w:r>
            <w:r w:rsidR="00C240FA">
              <w:rPr>
                <w:rFonts w:ascii="Times New Roman" w:hAnsi="Times New Roman"/>
                <w:color w:val="auto"/>
                <w:sz w:val="16"/>
              </w:rPr>
              <w:t>я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пациентов, принимающих антибиотики;</w:t>
            </w:r>
          </w:p>
          <w:p w:rsidR="007F7BEB" w:rsidRPr="00C84129" w:rsidRDefault="00C240FA" w:rsidP="007F7BE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доля</w:t>
            </w:r>
            <w:r w:rsidR="007F7BEB" w:rsidRPr="00C84129">
              <w:rPr>
                <w:rFonts w:ascii="Times New Roman" w:hAnsi="Times New Roman"/>
                <w:color w:val="auto"/>
                <w:sz w:val="16"/>
              </w:rPr>
              <w:t xml:space="preserve"> специалистов по гемодиализу от общего числа врачей-нефрологов, работающих в кабинетах гемодиализа;</w:t>
            </w:r>
          </w:p>
          <w:p w:rsidR="007F7BEB" w:rsidRPr="00C84129" w:rsidRDefault="007F7BEB" w:rsidP="007F7BE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количество гемодиализов, проводимых одним врачом в день;</w:t>
            </w:r>
          </w:p>
          <w:p w:rsidR="007F7BEB" w:rsidRPr="00C84129" w:rsidRDefault="007F7BEB" w:rsidP="007F7BE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число пациентов, поступивших в стационар в течение 30 дней после предыдущей выписки (в сравнении с другими медицинскими учреждениями);</w:t>
            </w:r>
          </w:p>
          <w:p w:rsidR="007F7BEB" w:rsidRPr="00C84129" w:rsidRDefault="007F7BEB" w:rsidP="007F7BE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среднее количество пациентов на одного врача в медучреждениях, специализирующихся на долгосрочном стационарном лечении;</w:t>
            </w:r>
          </w:p>
          <w:p w:rsidR="007F7BEB" w:rsidRPr="00C84129" w:rsidRDefault="007F7BEB" w:rsidP="007F7BE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среднее количество пациентов на одну медицинскую сестру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br/>
              <w:t>в медучреждениях, специализирующихся на долгосрочном стационарном лечении;</w:t>
            </w:r>
          </w:p>
          <w:p w:rsidR="007F7BEB" w:rsidRPr="00C84129" w:rsidRDefault="007F7BEB" w:rsidP="007F7BE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доля пациентов, умерших после завершения лечения в отделении реанимации и интенсивной терапии;</w:t>
            </w:r>
          </w:p>
          <w:p w:rsidR="007F7BEB" w:rsidRPr="00C84129" w:rsidRDefault="007F7BEB" w:rsidP="007F7BE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доля пациентов, вновь поступивших в отделение реанимации и интенсивной терапии спустя 48 часов после завершения лечения;</w:t>
            </w:r>
          </w:p>
          <w:p w:rsidR="006E0522" w:rsidRPr="00C84129" w:rsidRDefault="007F7BEB" w:rsidP="007F7BEB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среднее количество коек на врача и медсестру в отделении реанимации и интенсивной терапии.</w:t>
            </w:r>
          </w:p>
          <w:p w:rsidR="00BB380D" w:rsidRPr="00C84129" w:rsidRDefault="00242705" w:rsidP="00BB380D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В Сборнике не определены конкретные показатели, которые должны быть достигнуты по тому или иному критерию. Как правило, указывается требование «чем выше, тем лучше» или «чем ниже, тем лучше».</w:t>
            </w:r>
          </w:p>
          <w:p w:rsidR="00BB380D" w:rsidRPr="00C84129" w:rsidRDefault="00C240FA" w:rsidP="009C59BA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К</w:t>
            </w:r>
            <w:r w:rsidR="00BB380D" w:rsidRPr="00C84129">
              <w:rPr>
                <w:rFonts w:ascii="Times New Roman" w:hAnsi="Times New Roman"/>
                <w:color w:val="auto"/>
                <w:sz w:val="16"/>
              </w:rPr>
              <w:t>орректность данных в медицинских картах пациентов (Республи</w:t>
            </w:r>
            <w:r w:rsidR="009C59BA" w:rsidRPr="00C84129">
              <w:rPr>
                <w:rFonts w:ascii="Times New Roman" w:hAnsi="Times New Roman"/>
                <w:color w:val="auto"/>
                <w:sz w:val="16"/>
              </w:rPr>
              <w:t>ка Корея)</w:t>
            </w:r>
          </w:p>
        </w:tc>
        <w:tc>
          <w:tcPr>
            <w:tcW w:w="1791" w:type="dxa"/>
          </w:tcPr>
          <w:p w:rsidR="006E0522" w:rsidRPr="00C84129" w:rsidRDefault="0088291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1978" w:type="dxa"/>
          </w:tcPr>
          <w:p w:rsidR="006E0522" w:rsidRPr="00C84129" w:rsidRDefault="0088291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2860" w:type="dxa"/>
          </w:tcPr>
          <w:p w:rsidR="0088291F" w:rsidRPr="00C84129" w:rsidRDefault="00B21356" w:rsidP="0088291F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Контроль качества медицинских услуг в Республике Корея осуществляет Служба экспертизы и оценки качества медицинского страхования. </w:t>
            </w:r>
          </w:p>
          <w:p w:rsidR="0088291F" w:rsidRPr="00C84129" w:rsidRDefault="0088291F" w:rsidP="0088291F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</w:p>
          <w:p w:rsidR="0088291F" w:rsidRPr="00C84129" w:rsidRDefault="0088291F" w:rsidP="0088291F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В 2015 году Управление по аудиту и инспекциям Республики Корея опубликовало итоги проверки управления качеством </w:t>
            </w:r>
            <w:proofErr w:type="spellStart"/>
            <w:r w:rsidRPr="00C84129">
              <w:rPr>
                <w:rFonts w:ascii="Times New Roman" w:hAnsi="Times New Roman"/>
                <w:color w:val="auto"/>
                <w:sz w:val="16"/>
              </w:rPr>
              <w:t>медуслуг</w:t>
            </w:r>
            <w:proofErr w:type="spellEnd"/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, в ходе которой изучались меры по созданию системы информирования пациентов о стандартах оказания медпомощи, предотвращении несчастных случаев и соответствии </w:t>
            </w:r>
            <w:proofErr w:type="spellStart"/>
            <w:r w:rsidRPr="00C84129">
              <w:rPr>
                <w:rFonts w:ascii="Times New Roman" w:hAnsi="Times New Roman"/>
                <w:color w:val="auto"/>
                <w:sz w:val="16"/>
              </w:rPr>
              <w:t>медуслуг</w:t>
            </w:r>
            <w:proofErr w:type="spellEnd"/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стандартам качества.</w:t>
            </w:r>
          </w:p>
          <w:p w:rsidR="0088291F" w:rsidRPr="00C84129" w:rsidRDefault="0088291F" w:rsidP="00B21356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</w:p>
        </w:tc>
      </w:tr>
      <w:tr w:rsidR="00C84129" w:rsidRPr="00C84129" w:rsidTr="00C240FA">
        <w:tc>
          <w:tcPr>
            <w:tcW w:w="1350" w:type="dxa"/>
          </w:tcPr>
          <w:p w:rsidR="006E0522" w:rsidRPr="00C84129" w:rsidRDefault="00A3260C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Сингапур</w:t>
            </w:r>
          </w:p>
        </w:tc>
        <w:tc>
          <w:tcPr>
            <w:tcW w:w="1344" w:type="dxa"/>
          </w:tcPr>
          <w:p w:rsidR="006E0522" w:rsidRPr="00C84129" w:rsidRDefault="00A3260C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В равной доле с частным</w:t>
            </w:r>
          </w:p>
        </w:tc>
        <w:tc>
          <w:tcPr>
            <w:tcW w:w="681" w:type="dxa"/>
          </w:tcPr>
          <w:p w:rsidR="006E0522" w:rsidRPr="00C84129" w:rsidRDefault="00401B0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8</w:t>
            </w:r>
          </w:p>
        </w:tc>
        <w:tc>
          <w:tcPr>
            <w:tcW w:w="821" w:type="dxa"/>
          </w:tcPr>
          <w:p w:rsidR="006E0522" w:rsidRPr="00C84129" w:rsidRDefault="00401B0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84</w:t>
            </w:r>
          </w:p>
          <w:p w:rsidR="00C8359E" w:rsidRPr="00C84129" w:rsidRDefault="00C8359E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(2020)</w:t>
            </w:r>
          </w:p>
        </w:tc>
        <w:tc>
          <w:tcPr>
            <w:tcW w:w="752" w:type="dxa"/>
          </w:tcPr>
          <w:p w:rsidR="006E0522" w:rsidRPr="00C84129" w:rsidRDefault="00401B02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5</w:t>
            </w:r>
          </w:p>
          <w:p w:rsidR="0061610F" w:rsidRPr="00C84129" w:rsidRDefault="0061610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(2020)</w:t>
            </w:r>
          </w:p>
        </w:tc>
        <w:tc>
          <w:tcPr>
            <w:tcW w:w="1635" w:type="dxa"/>
          </w:tcPr>
          <w:p w:rsidR="006E0522" w:rsidRPr="00C84129" w:rsidRDefault="005774F7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2206" w:type="dxa"/>
          </w:tcPr>
          <w:p w:rsidR="006E0522" w:rsidRPr="00C84129" w:rsidRDefault="005774F7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1791" w:type="dxa"/>
          </w:tcPr>
          <w:p w:rsidR="006E0522" w:rsidRPr="00C84129" w:rsidRDefault="005774F7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1978" w:type="dxa"/>
          </w:tcPr>
          <w:p w:rsidR="006E0522" w:rsidRPr="00C84129" w:rsidRDefault="005774F7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2860" w:type="dxa"/>
          </w:tcPr>
          <w:p w:rsidR="006E0522" w:rsidRPr="00C84129" w:rsidRDefault="00B20C8D" w:rsidP="007C1CD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Министерство здравоохранения несет 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  <w:szCs w:val="16"/>
              </w:rPr>
              <w:t>ответственность за предоставление информации в области здравоохранения, </w:t>
            </w:r>
            <w:hyperlink r:id="rId8" w:history="1">
              <w:r w:rsidRPr="00C84129">
                <w:rPr>
                  <w:rFonts w:ascii="Times New Roman" w:hAnsi="Times New Roman"/>
                  <w:iCs/>
                  <w:color w:val="auto"/>
                  <w:sz w:val="16"/>
                  <w:szCs w:val="16"/>
                </w:rPr>
                <w:t>обеспечивает</w:t>
              </w:r>
            </w:hyperlink>
            <w:r w:rsidRPr="00C84129">
              <w:rPr>
                <w:rFonts w:ascii="Times New Roman" w:hAnsi="Times New Roman"/>
                <w:iCs/>
                <w:color w:val="auto"/>
                <w:sz w:val="16"/>
                <w:szCs w:val="16"/>
              </w:rPr>
              <w:t xml:space="preserve"> доступность медицинских услуг для всех жителей страны и контролирует их качество. Кроме того, министерство </w:t>
            </w:r>
            <w:hyperlink r:id="rId9" w:history="1">
              <w:r w:rsidRPr="00C84129">
                <w:rPr>
                  <w:rFonts w:ascii="Times New Roman" w:hAnsi="Times New Roman"/>
                  <w:iCs/>
                  <w:color w:val="auto"/>
                  <w:sz w:val="16"/>
                  <w:szCs w:val="16"/>
                </w:rPr>
                <w:t>осуществляет</w:t>
              </w:r>
            </w:hyperlink>
            <w:r w:rsidRPr="00C84129">
              <w:rPr>
                <w:rFonts w:ascii="Times New Roman" w:hAnsi="Times New Roman"/>
                <w:iCs/>
                <w:color w:val="auto"/>
                <w:sz w:val="16"/>
                <w:szCs w:val="16"/>
              </w:rPr>
              <w:t xml:space="preserve"> постоянный контроль деятельности государственных медицинских центров и частных клиник, </w:t>
            </w:r>
            <w:hyperlink r:id="rId10" w:history="1">
              <w:r w:rsidRPr="00C84129">
                <w:rPr>
                  <w:rFonts w:ascii="Times New Roman" w:hAnsi="Times New Roman"/>
                  <w:iCs/>
                  <w:color w:val="auto"/>
                  <w:sz w:val="16"/>
                  <w:szCs w:val="16"/>
                </w:rPr>
                <w:t>ведется</w:t>
              </w:r>
            </w:hyperlink>
            <w:r w:rsidRPr="00C84129">
              <w:rPr>
                <w:rFonts w:ascii="Times New Roman" w:hAnsi="Times New Roman"/>
                <w:iCs/>
                <w:color w:val="auto"/>
                <w:sz w:val="16"/>
                <w:szCs w:val="16"/>
              </w:rPr>
              <w:t xml:space="preserve"> работа по поддержке использования инновационных технологий в процессе лечения. </w:t>
            </w:r>
          </w:p>
        </w:tc>
      </w:tr>
      <w:tr w:rsidR="00C84129" w:rsidRPr="00C84129" w:rsidTr="00C240FA">
        <w:tc>
          <w:tcPr>
            <w:tcW w:w="1350" w:type="dxa"/>
          </w:tcPr>
          <w:p w:rsidR="00E51700" w:rsidRPr="00C84129" w:rsidRDefault="00E51700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Турция</w:t>
            </w:r>
          </w:p>
        </w:tc>
        <w:tc>
          <w:tcPr>
            <w:tcW w:w="1344" w:type="dxa"/>
          </w:tcPr>
          <w:p w:rsidR="00E51700" w:rsidRPr="00C84129" w:rsidRDefault="006E109A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Преобладает</w:t>
            </w:r>
          </w:p>
        </w:tc>
        <w:tc>
          <w:tcPr>
            <w:tcW w:w="681" w:type="dxa"/>
          </w:tcPr>
          <w:p w:rsidR="00E51700" w:rsidRPr="00C84129" w:rsidRDefault="00C8359E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49</w:t>
            </w:r>
          </w:p>
        </w:tc>
        <w:tc>
          <w:tcPr>
            <w:tcW w:w="821" w:type="dxa"/>
          </w:tcPr>
          <w:p w:rsidR="00E51700" w:rsidRPr="00C84129" w:rsidRDefault="00C8359E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76 (2020)</w:t>
            </w:r>
          </w:p>
        </w:tc>
        <w:tc>
          <w:tcPr>
            <w:tcW w:w="752" w:type="dxa"/>
          </w:tcPr>
          <w:p w:rsidR="00E51700" w:rsidRPr="00C84129" w:rsidRDefault="00C8359E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6</w:t>
            </w:r>
          </w:p>
          <w:p w:rsidR="0061610F" w:rsidRPr="00C84129" w:rsidRDefault="0061610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(2020)</w:t>
            </w:r>
          </w:p>
        </w:tc>
        <w:tc>
          <w:tcPr>
            <w:tcW w:w="1635" w:type="dxa"/>
          </w:tcPr>
          <w:p w:rsidR="00E51700" w:rsidRPr="00C84129" w:rsidRDefault="00BD1BE3" w:rsidP="00BD1BE3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не установлено измеримых ключевых показателей эффективности совершенствования системы оказания медицинской помощи населению.</w:t>
            </w:r>
          </w:p>
        </w:tc>
        <w:tc>
          <w:tcPr>
            <w:tcW w:w="2206" w:type="dxa"/>
          </w:tcPr>
          <w:p w:rsidR="00BB380D" w:rsidRPr="00C84129" w:rsidRDefault="00BB380D" w:rsidP="00BB380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удовлетворенность </w:t>
            </w:r>
            <w:proofErr w:type="spellStart"/>
            <w:r w:rsidRPr="00C84129">
              <w:rPr>
                <w:rFonts w:ascii="Times New Roman" w:hAnsi="Times New Roman"/>
                <w:color w:val="auto"/>
                <w:sz w:val="16"/>
              </w:rPr>
              <w:t>медуслугами</w:t>
            </w:r>
            <w:proofErr w:type="spellEnd"/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со стороны граждан (Турция);</w:t>
            </w:r>
          </w:p>
          <w:p w:rsidR="00E51700" w:rsidRPr="00C84129" w:rsidRDefault="00E51700" w:rsidP="00BB380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791" w:type="dxa"/>
          </w:tcPr>
          <w:p w:rsidR="00E51700" w:rsidRPr="00C84129" w:rsidRDefault="00DC23F7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1978" w:type="dxa"/>
          </w:tcPr>
          <w:p w:rsidR="00E51700" w:rsidRPr="00C84129" w:rsidRDefault="00DC23F7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2860" w:type="dxa"/>
          </w:tcPr>
          <w:p w:rsidR="00E51700" w:rsidRPr="00C84129" w:rsidRDefault="00BD1BE3" w:rsidP="00DC23F7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Счетный суд </w:t>
            </w:r>
            <w:r w:rsidR="00DC23F7"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Турции 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ежегодно</w:t>
            </w:r>
            <w:r w:rsidR="00DC23F7"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 проводит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 аудит деятельности Минздрав</w:t>
            </w:r>
            <w:r w:rsidR="00DC23F7" w:rsidRPr="00C84129">
              <w:rPr>
                <w:rFonts w:ascii="Times New Roman" w:hAnsi="Times New Roman"/>
                <w:iCs/>
                <w:color w:val="auto"/>
                <w:sz w:val="16"/>
              </w:rPr>
              <w:t>а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 Турции, по итогам которого публикуются отчеты. Предметом аудита являются финансовые документы ведомства, его счета, проводимые операции, системы управления </w:t>
            </w: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br/>
              <w:t>и внутреннего контроля.</w:t>
            </w:r>
          </w:p>
        </w:tc>
      </w:tr>
      <w:tr w:rsidR="00C84129" w:rsidRPr="00C84129" w:rsidTr="00C240FA">
        <w:tc>
          <w:tcPr>
            <w:tcW w:w="1350" w:type="dxa"/>
          </w:tcPr>
          <w:p w:rsidR="00715CF7" w:rsidRPr="00C84129" w:rsidRDefault="00715CF7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Франция</w:t>
            </w:r>
          </w:p>
        </w:tc>
        <w:tc>
          <w:tcPr>
            <w:tcW w:w="1344" w:type="dxa"/>
          </w:tcPr>
          <w:p w:rsidR="00715CF7" w:rsidRPr="00C84129" w:rsidRDefault="00580345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Преобладает </w:t>
            </w:r>
          </w:p>
        </w:tc>
        <w:tc>
          <w:tcPr>
            <w:tcW w:w="681" w:type="dxa"/>
          </w:tcPr>
          <w:p w:rsidR="00715CF7" w:rsidRPr="00C84129" w:rsidRDefault="0061610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12</w:t>
            </w:r>
          </w:p>
        </w:tc>
        <w:tc>
          <w:tcPr>
            <w:tcW w:w="821" w:type="dxa"/>
          </w:tcPr>
          <w:p w:rsidR="00715CF7" w:rsidRPr="00C84129" w:rsidRDefault="0061610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83 (2022)</w:t>
            </w:r>
          </w:p>
        </w:tc>
        <w:tc>
          <w:tcPr>
            <w:tcW w:w="752" w:type="dxa"/>
          </w:tcPr>
          <w:p w:rsidR="00715CF7" w:rsidRPr="00C84129" w:rsidRDefault="0061610F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10 (2020)</w:t>
            </w:r>
          </w:p>
        </w:tc>
        <w:tc>
          <w:tcPr>
            <w:tcW w:w="1635" w:type="dxa"/>
          </w:tcPr>
          <w:p w:rsidR="005D30E8" w:rsidRPr="00C84129" w:rsidRDefault="005D30E8" w:rsidP="007C1CD1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отмечается значительное снижение качества оказываемой медицинской помощи в связи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br/>
              <w:t>с нехваткой врачей и медицинских работников, низкоэффективной работой больниц и невысоким уровнем заработной платы медицинских специалистов.</w:t>
            </w:r>
          </w:p>
          <w:p w:rsidR="00715CF7" w:rsidRPr="00C84129" w:rsidRDefault="00715CF7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2206" w:type="dxa"/>
          </w:tcPr>
          <w:p w:rsidR="00715CF7" w:rsidRPr="00C84129" w:rsidRDefault="00536099" w:rsidP="00536099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-</w:t>
            </w:r>
          </w:p>
        </w:tc>
        <w:tc>
          <w:tcPr>
            <w:tcW w:w="1791" w:type="dxa"/>
          </w:tcPr>
          <w:p w:rsidR="00BE2B4D" w:rsidRPr="00C84129" w:rsidRDefault="00BE2B4D" w:rsidP="00BE2B4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На 2015 год для страны характерен средний уровень доступности медицинской помощи за счет повсеместного распространения системы медицинского </w:t>
            </w:r>
            <w:proofErr w:type="gramStart"/>
            <w:r w:rsidRPr="00C84129">
              <w:rPr>
                <w:rFonts w:ascii="Times New Roman" w:hAnsi="Times New Roman"/>
                <w:color w:val="auto"/>
                <w:sz w:val="16"/>
              </w:rPr>
              <w:t>страхования..</w:t>
            </w:r>
            <w:proofErr w:type="gramEnd"/>
          </w:p>
          <w:p w:rsidR="00BE2B4D" w:rsidRPr="00C84129" w:rsidRDefault="00BE2B4D" w:rsidP="00BE2B4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ВОЗ полагает, что использование медицинских услуг во Франции происходит неравномерно, несмотря на всеобщий охват населения медицинским страхованием и относительно небольшие индивидуальные расходы граждан на </w:t>
            </w:r>
            <w:proofErr w:type="spellStart"/>
            <w:r w:rsidRPr="00C84129">
              <w:rPr>
                <w:rFonts w:ascii="Times New Roman" w:hAnsi="Times New Roman"/>
                <w:color w:val="auto"/>
                <w:sz w:val="16"/>
              </w:rPr>
              <w:t>медуслуги</w:t>
            </w:r>
            <w:proofErr w:type="spellEnd"/>
            <w:r w:rsidRPr="00C84129">
              <w:rPr>
                <w:rFonts w:ascii="Times New Roman" w:hAnsi="Times New Roman"/>
                <w:color w:val="auto"/>
                <w:sz w:val="16"/>
              </w:rPr>
              <w:t>. Около 26% опрошенных экспертами ВОЗ граждан заявили, что отказывались от прохождения медобследований по финансовым причинам.</w:t>
            </w:r>
          </w:p>
          <w:p w:rsidR="00BE2B4D" w:rsidRPr="00C84129" w:rsidRDefault="00BE2B4D" w:rsidP="00BE2B4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978" w:type="dxa"/>
          </w:tcPr>
          <w:p w:rsidR="00536099" w:rsidRPr="00C84129" w:rsidRDefault="00536099" w:rsidP="00536099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территориальная доступность учреждений здравоохранения (Франция);</w:t>
            </w:r>
          </w:p>
          <w:p w:rsidR="00536099" w:rsidRPr="00C84129" w:rsidRDefault="00536099" w:rsidP="00536099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тарифы на медицинские услуги (Франция).</w:t>
            </w:r>
          </w:p>
          <w:p w:rsidR="00536099" w:rsidRPr="00C84129" w:rsidRDefault="00536099" w:rsidP="00536099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  <w:p w:rsidR="00715CF7" w:rsidRPr="00C84129" w:rsidRDefault="00BE2B4D" w:rsidP="00536099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доступ к медпомощи затруднен во многих регионах страны. Данная негативная тенденция усугубляется такими факторами, как старение населения, развитие хронических патологий, требующих дорогостоящего лечения, а также повышение стоимости производства медицинского оборудования.</w:t>
            </w:r>
          </w:p>
          <w:p w:rsidR="005D30E8" w:rsidRPr="00C84129" w:rsidRDefault="005D30E8" w:rsidP="00536099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  <w:p w:rsidR="005D30E8" w:rsidRPr="00C84129" w:rsidRDefault="005D30E8" w:rsidP="00536099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используется «показатель потенциальной локальной доступности», разработанный Министерством здравоохранения и социальной защиты Франции. Показатель рассчитывается отдельно для каждого муниципалитета (органа самоуправления) и в разрезе по направлениям медицинского обслуживания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footnoteReference w:id="11"/>
            </w:r>
            <w:r w:rsidRPr="00C84129">
              <w:rPr>
                <w:rFonts w:ascii="Times New Roman" w:hAnsi="Times New Roman"/>
                <w:color w:val="auto"/>
                <w:sz w:val="16"/>
              </w:rPr>
              <w:t>. Согласно данному критерию, самые низкие показатели доступности медпомощи характерны для муниципалитетов в сельской местности, а также районов с невысокой численностью населения.</w:t>
            </w:r>
          </w:p>
        </w:tc>
        <w:tc>
          <w:tcPr>
            <w:tcW w:w="2860" w:type="dxa"/>
          </w:tcPr>
          <w:p w:rsidR="00715CF7" w:rsidRPr="00C84129" w:rsidRDefault="00BE2B4D" w:rsidP="00B20C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В ноябре 2017 года Счетный суд Французской Республики (далее – ВОА Франции) опубликовал отчет «Будущее медицинского страхования», в котором представил результаты проведенных проверок.</w:t>
            </w:r>
          </w:p>
          <w:p w:rsidR="005D30E8" w:rsidRPr="00C84129" w:rsidRDefault="005D30E8" w:rsidP="00B20C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</w:p>
          <w:p w:rsidR="005D30E8" w:rsidRPr="00C84129" w:rsidRDefault="005D30E8" w:rsidP="00B20C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ВОА подчеркнул необходимость повышения эффективности государственных расходов на предоставление медицинской помощи. В частности, уточнение сфер действия программ государственного (обязательного) и дополнительного медицинского страхования может усовершенствовать управление рисками, снизить затраты и исключить случаи перерасхода бюджетных средств. Аудиторы обратили внимание на эффективность использования цифровых инструментов при оказании помощи: телемедицина, электронные услуги для граждан и компьютерные базы данных пациентов помогут значительно повысить доступность и удобство медицинских услуг для населения.</w:t>
            </w:r>
          </w:p>
        </w:tc>
      </w:tr>
      <w:tr w:rsidR="00C84129" w:rsidRPr="00C84129" w:rsidTr="00C240FA">
        <w:tc>
          <w:tcPr>
            <w:tcW w:w="1350" w:type="dxa"/>
          </w:tcPr>
          <w:p w:rsidR="00CC6E54" w:rsidRPr="00C84129" w:rsidRDefault="00CC6E54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Япония</w:t>
            </w:r>
          </w:p>
        </w:tc>
        <w:tc>
          <w:tcPr>
            <w:tcW w:w="1344" w:type="dxa"/>
          </w:tcPr>
          <w:p w:rsidR="00CC6E54" w:rsidRPr="00C84129" w:rsidRDefault="00580345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Преобладает роль </w:t>
            </w:r>
            <w:proofErr w:type="spellStart"/>
            <w:proofErr w:type="gramStart"/>
            <w:r w:rsidRPr="00C84129">
              <w:rPr>
                <w:rFonts w:ascii="Times New Roman" w:hAnsi="Times New Roman"/>
                <w:color w:val="auto"/>
                <w:sz w:val="16"/>
              </w:rPr>
              <w:t>муниципально</w:t>
            </w:r>
            <w:r w:rsidR="007C1CD1">
              <w:rPr>
                <w:rFonts w:ascii="Times New Roman" w:hAnsi="Times New Roman"/>
                <w:color w:val="auto"/>
                <w:sz w:val="16"/>
              </w:rPr>
              <w:t>-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>го</w:t>
            </w:r>
            <w:proofErr w:type="spellEnd"/>
            <w:proofErr w:type="gramEnd"/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сектора (префектур)</w:t>
            </w:r>
          </w:p>
        </w:tc>
        <w:tc>
          <w:tcPr>
            <w:tcW w:w="681" w:type="dxa"/>
          </w:tcPr>
          <w:p w:rsidR="00CC6E54" w:rsidRPr="00C84129" w:rsidRDefault="000F0A0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4</w:t>
            </w:r>
          </w:p>
        </w:tc>
        <w:tc>
          <w:tcPr>
            <w:tcW w:w="821" w:type="dxa"/>
          </w:tcPr>
          <w:p w:rsidR="00CC6E54" w:rsidRPr="00C84129" w:rsidRDefault="00F64560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87,1/81,1</w:t>
            </w:r>
            <w:r w:rsidR="007C1CD1">
              <w:rPr>
                <w:rFonts w:ascii="Times New Roman" w:hAnsi="Times New Roman"/>
                <w:color w:val="auto"/>
                <w:sz w:val="16"/>
              </w:rPr>
              <w:t xml:space="preserve"> (2018)</w:t>
            </w:r>
          </w:p>
        </w:tc>
        <w:tc>
          <w:tcPr>
            <w:tcW w:w="752" w:type="dxa"/>
          </w:tcPr>
          <w:p w:rsidR="00CC6E54" w:rsidRPr="00C84129" w:rsidRDefault="000F0A0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11,1 (2020)</w:t>
            </w:r>
          </w:p>
        </w:tc>
        <w:tc>
          <w:tcPr>
            <w:tcW w:w="1635" w:type="dxa"/>
          </w:tcPr>
          <w:p w:rsidR="00CC6E54" w:rsidRPr="00C84129" w:rsidRDefault="000F0A0D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Аккредитацию медучреждений проводит Совет по качеству предоставления медицинской помощи</w:t>
            </w:r>
            <w:r w:rsidRPr="00C84129">
              <w:rPr>
                <w:rFonts w:ascii="Times New Roman" w:hAnsi="Times New Roman"/>
                <w:color w:val="auto"/>
                <w:sz w:val="16"/>
                <w:vertAlign w:val="superscript"/>
              </w:rPr>
              <w:footnoteReference w:id="12"/>
            </w:r>
            <w:r w:rsidRPr="00C84129">
              <w:rPr>
                <w:rFonts w:ascii="Times New Roman" w:hAnsi="Times New Roman"/>
                <w:color w:val="auto"/>
                <w:sz w:val="16"/>
              </w:rPr>
              <w:t>. Для каждого типа медучреждений предусмотрены индивидуальные критерии оценки.</w:t>
            </w:r>
          </w:p>
        </w:tc>
        <w:tc>
          <w:tcPr>
            <w:tcW w:w="2206" w:type="dxa"/>
          </w:tcPr>
          <w:p w:rsidR="00283665" w:rsidRPr="00C84129" w:rsidRDefault="000F0A0D" w:rsidP="00283665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Общие </w:t>
            </w:r>
            <w:r w:rsidR="00283665" w:rsidRPr="00C84129">
              <w:rPr>
                <w:rFonts w:ascii="Times New Roman" w:hAnsi="Times New Roman"/>
                <w:color w:val="auto"/>
                <w:sz w:val="16"/>
              </w:rPr>
              <w:t xml:space="preserve">для всех учреждений </w:t>
            </w:r>
            <w:r w:rsidR="00283665" w:rsidRPr="00C84129">
              <w:rPr>
                <w:rFonts w:ascii="Times New Roman" w:hAnsi="Times New Roman"/>
                <w:b/>
                <w:color w:val="auto"/>
                <w:sz w:val="16"/>
              </w:rPr>
              <w:t>критери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и</w:t>
            </w:r>
            <w:r w:rsidR="00283665" w:rsidRPr="00C84129">
              <w:rPr>
                <w:rFonts w:ascii="Times New Roman" w:hAnsi="Times New Roman"/>
                <w:color w:val="auto"/>
                <w:sz w:val="16"/>
              </w:rPr>
              <w:t xml:space="preserve">: 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перед получением согласия пациента на проведение </w:t>
            </w:r>
            <w:proofErr w:type="spellStart"/>
            <w:r w:rsidRPr="00C84129">
              <w:rPr>
                <w:rFonts w:ascii="Times New Roman" w:hAnsi="Times New Roman"/>
                <w:color w:val="auto"/>
                <w:sz w:val="16"/>
              </w:rPr>
              <w:t>медпроцедур</w:t>
            </w:r>
            <w:proofErr w:type="spellEnd"/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ему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подробно и понятным языком объясняется план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предстоящего лечения;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гарантирована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защита персональных данных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пациента;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в медучреждении обеспечивается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полная безопасность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пациента;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в медучреждении предпринимаются меры по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 xml:space="preserve">предотвращению распространения инфекционных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>заболеваний;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в здании медучреждения установлено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специальное оборудование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для пожилых людей и лиц с ограниченными возможностями здоровья;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медицинские карточки пациентов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заполняются в соответствии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с внутренними требованиями учреждения;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предприняты меры по использованию антибиотиков и других медикаментов по назначению;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врачи и медсестры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ответственно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подходят к выполнению своих обязанностей;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медицинские процедуры проводятся в соответствии со всеми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 xml:space="preserve"> установленными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требованиями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>;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медучреждение осуществляет наем сотрудников на должности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br/>
              <w:t xml:space="preserve">в </w:t>
            </w:r>
            <w:r w:rsidRPr="00C84129">
              <w:rPr>
                <w:rFonts w:ascii="Times New Roman" w:hAnsi="Times New Roman"/>
                <w:b/>
                <w:color w:val="auto"/>
                <w:sz w:val="16"/>
              </w:rPr>
              <w:t>соответствии с их компетенцией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t>;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 xml:space="preserve">управление финансовой деятельностью осуществляется в соответствии </w:t>
            </w:r>
            <w:r w:rsidRPr="00C84129">
              <w:rPr>
                <w:rFonts w:ascii="Times New Roman" w:hAnsi="Times New Roman"/>
                <w:color w:val="auto"/>
                <w:sz w:val="16"/>
              </w:rPr>
              <w:br/>
              <w:t>с требованиями законодательства;</w:t>
            </w:r>
          </w:p>
          <w:p w:rsidR="00283665" w:rsidRPr="00C84129" w:rsidRDefault="00283665" w:rsidP="00283665">
            <w:pPr>
              <w:pStyle w:val="a3"/>
              <w:spacing w:before="0" w:line="240" w:lineRule="auto"/>
              <w:ind w:left="21"/>
              <w:rPr>
                <w:rFonts w:ascii="Times New Roman" w:hAnsi="Times New Roman"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color w:val="auto"/>
                <w:sz w:val="16"/>
              </w:rPr>
              <w:t>привлечение внешних специалистов и подрядчиков осуществляется эффективно.</w:t>
            </w:r>
          </w:p>
          <w:p w:rsidR="00CC6E54" w:rsidRPr="00C84129" w:rsidRDefault="00CC6E54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791" w:type="dxa"/>
          </w:tcPr>
          <w:p w:rsidR="00CC6E54" w:rsidRPr="00C84129" w:rsidRDefault="00CC6E54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978" w:type="dxa"/>
          </w:tcPr>
          <w:p w:rsidR="00CC6E54" w:rsidRPr="00C84129" w:rsidRDefault="00CC6E54" w:rsidP="0016078D">
            <w:pPr>
              <w:pStyle w:val="a3"/>
              <w:spacing w:before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2860" w:type="dxa"/>
          </w:tcPr>
          <w:p w:rsidR="00EF4CC1" w:rsidRPr="00C84129" w:rsidRDefault="00EF4CC1" w:rsidP="007C1CD1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>Согласно Закону о медицинской помощи 1948 года, органы власти каждой из 47 префектур страны каждые пять лет должны разрабатывать план оказания медицинской помощи населению. Также местные власти ответственны за проведение проверок в медучреждениях. Проверка должна проводиться минимум один раз в пять лет. Как правило, в ходе проверок оценивается общее состояние больниц и степень реализации целей, указанных в плане оказания медпомощи населению. Главным образом проверки проводятся для того, чтобы учесть все выявленные недостатки при следующем обновлении плана. Детализированные критерии оценки и результатов проверок в открытых источниках недоступны.</w:t>
            </w:r>
          </w:p>
          <w:p w:rsidR="00323E12" w:rsidRPr="00C84129" w:rsidRDefault="00323E12" w:rsidP="00323E12">
            <w:pPr>
              <w:pStyle w:val="a3"/>
              <w:spacing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  <w:r w:rsidRPr="00C84129">
              <w:rPr>
                <w:rFonts w:ascii="Times New Roman" w:hAnsi="Times New Roman"/>
                <w:iCs/>
                <w:color w:val="auto"/>
                <w:sz w:val="16"/>
              </w:rPr>
              <w:t xml:space="preserve">Министерство здравоохранения, труда и благосостояния Японии регулярно проводит исследования условий и качества предоставления медицинской помощи в стране. </w:t>
            </w:r>
          </w:p>
          <w:p w:rsidR="00323E12" w:rsidRPr="00C84129" w:rsidRDefault="00323E12" w:rsidP="00B20C8D">
            <w:pPr>
              <w:pStyle w:val="a3"/>
              <w:spacing w:before="0" w:line="240" w:lineRule="auto"/>
              <w:ind w:left="0"/>
              <w:rPr>
                <w:rFonts w:ascii="Times New Roman" w:hAnsi="Times New Roman"/>
                <w:iCs/>
                <w:color w:val="auto"/>
                <w:sz w:val="16"/>
              </w:rPr>
            </w:pPr>
          </w:p>
        </w:tc>
      </w:tr>
    </w:tbl>
    <w:p w:rsidR="00CE79FF" w:rsidRPr="00C84129" w:rsidRDefault="00CE79FF" w:rsidP="00C84129">
      <w:pPr>
        <w:rPr>
          <w:rFonts w:ascii="Times New Roman" w:hAnsi="Times New Roman" w:cs="Times New Roman"/>
          <w:sz w:val="16"/>
          <w:szCs w:val="16"/>
        </w:rPr>
      </w:pPr>
    </w:p>
    <w:sectPr w:rsidR="00CE79FF" w:rsidRPr="00C84129" w:rsidSect="00C84129">
      <w:headerReference w:type="default" r:id="rId11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425" w:rsidRDefault="003F0425" w:rsidP="00B95906">
      <w:pPr>
        <w:spacing w:after="0" w:line="240" w:lineRule="auto"/>
      </w:pPr>
      <w:r>
        <w:separator/>
      </w:r>
    </w:p>
  </w:endnote>
  <w:endnote w:type="continuationSeparator" w:id="0">
    <w:p w:rsidR="003F0425" w:rsidRDefault="003F0425" w:rsidP="00B9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T Jenevers Light">
    <w:altName w:val="Century"/>
    <w:charset w:val="00"/>
    <w:family w:val="auto"/>
    <w:pitch w:val="variable"/>
    <w:sig w:usb0="00000001" w:usb1="50000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 Jenevers Medium">
    <w:altName w:val="MS PGothic"/>
    <w:charset w:val="00"/>
    <w:family w:val="auto"/>
    <w:pitch w:val="variable"/>
    <w:sig w:usb0="00000001" w:usb1="50000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MS PGothic"/>
    <w:charset w:val="00"/>
    <w:family w:val="auto"/>
    <w:pitch w:val="variable"/>
    <w:sig w:usb0="00000001" w:usb1="5000004B" w:usb2="00000000" w:usb3="00000000" w:csb0="00000097" w:csb1="00000000"/>
  </w:font>
  <w:font w:name="PT_Russia Text">
    <w:altName w:val="Microsoft YaHei"/>
    <w:charset w:val="00"/>
    <w:family w:val="auto"/>
    <w:pitch w:val="variable"/>
    <w:sig w:usb0="00000001" w:usb1="1000006B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425" w:rsidRDefault="003F0425" w:rsidP="00B95906">
      <w:pPr>
        <w:spacing w:after="0" w:line="240" w:lineRule="auto"/>
      </w:pPr>
      <w:r>
        <w:separator/>
      </w:r>
    </w:p>
  </w:footnote>
  <w:footnote w:type="continuationSeparator" w:id="0">
    <w:p w:rsidR="003F0425" w:rsidRDefault="003F0425" w:rsidP="00B95906">
      <w:pPr>
        <w:spacing w:after="0" w:line="240" w:lineRule="auto"/>
      </w:pPr>
      <w:r>
        <w:continuationSeparator/>
      </w:r>
    </w:p>
  </w:footnote>
  <w:footnote w:id="1">
    <w:p w:rsidR="00EF64E9" w:rsidRPr="001E2FD3" w:rsidRDefault="00EF64E9" w:rsidP="00F82F29">
      <w:pPr>
        <w:pStyle w:val="a7"/>
        <w:rPr>
          <w:rFonts w:ascii="Times New Roman" w:hAnsi="Times New Roman" w:cs="Times New Roman"/>
          <w:sz w:val="16"/>
          <w:szCs w:val="16"/>
        </w:rPr>
      </w:pPr>
      <w:r w:rsidRPr="001E2FD3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1E2FD3">
        <w:rPr>
          <w:rFonts w:ascii="Times New Roman" w:hAnsi="Times New Roman" w:cs="Times New Roman"/>
          <w:sz w:val="16"/>
          <w:szCs w:val="16"/>
        </w:rPr>
        <w:t xml:space="preserve"> В </w:t>
      </w:r>
      <w:r w:rsidRPr="001E2FD3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Глобальном индексе здоровья </w:t>
      </w:r>
      <w:r w:rsidRPr="001E2FD3">
        <w:rPr>
          <w:rFonts w:ascii="Times New Roman" w:hAnsi="Times New Roman" w:cs="Times New Roman"/>
          <w:iCs/>
          <w:color w:val="000000"/>
          <w:sz w:val="16"/>
          <w:szCs w:val="16"/>
          <w:lang w:val="en-US"/>
        </w:rPr>
        <w:t>Bloomberg</w:t>
      </w:r>
      <w:r w:rsidRPr="001E2FD3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 на 2022 год среди самых здоровых стран мира из 169</w:t>
      </w:r>
    </w:p>
  </w:footnote>
  <w:footnote w:id="2">
    <w:p w:rsidR="00EF64E9" w:rsidRPr="001E2FD3" w:rsidRDefault="00EF64E9" w:rsidP="00F82F29">
      <w:pPr>
        <w:pStyle w:val="a7"/>
        <w:rPr>
          <w:rFonts w:ascii="Times New Roman" w:hAnsi="Times New Roman" w:cs="Times New Roman"/>
          <w:sz w:val="16"/>
          <w:szCs w:val="16"/>
        </w:rPr>
      </w:pPr>
      <w:r w:rsidRPr="001E2FD3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1E2FD3">
        <w:rPr>
          <w:rFonts w:ascii="Times New Roman" w:hAnsi="Times New Roman" w:cs="Times New Roman"/>
          <w:sz w:val="16"/>
          <w:szCs w:val="16"/>
        </w:rPr>
        <w:t xml:space="preserve"> </w:t>
      </w:r>
      <w:r w:rsidRPr="001E2FD3">
        <w:rPr>
          <w:rFonts w:ascii="Times New Roman" w:hAnsi="Times New Roman" w:cs="Times New Roman"/>
          <w:iCs/>
          <w:color w:val="000000"/>
          <w:sz w:val="16"/>
          <w:szCs w:val="16"/>
        </w:rPr>
        <w:t>Фактическая средняя продолжительность жизни по данным ВОЗ на определенный год (указан в скобках)</w:t>
      </w:r>
    </w:p>
  </w:footnote>
  <w:footnote w:id="3">
    <w:p w:rsidR="00EF64E9" w:rsidRPr="001E2FD3" w:rsidRDefault="00EF64E9" w:rsidP="00F82F29">
      <w:pPr>
        <w:pStyle w:val="a7"/>
        <w:rPr>
          <w:rFonts w:ascii="Times New Roman" w:hAnsi="Times New Roman" w:cs="Times New Roman"/>
          <w:sz w:val="16"/>
          <w:szCs w:val="16"/>
        </w:rPr>
      </w:pPr>
      <w:r w:rsidRPr="001E2FD3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1E2FD3">
        <w:rPr>
          <w:rFonts w:ascii="Times New Roman" w:hAnsi="Times New Roman" w:cs="Times New Roman"/>
          <w:sz w:val="16"/>
          <w:szCs w:val="16"/>
        </w:rPr>
        <w:t xml:space="preserve"> </w:t>
      </w:r>
      <w:r w:rsidRPr="001E2FD3">
        <w:rPr>
          <w:rFonts w:ascii="Times New Roman" w:hAnsi="Times New Roman" w:cs="Times New Roman"/>
          <w:iCs/>
          <w:color w:val="000000"/>
          <w:sz w:val="16"/>
          <w:szCs w:val="16"/>
        </w:rPr>
        <w:t>Коэффициент смертности на определенный год (указан в скобках)</w:t>
      </w:r>
    </w:p>
  </w:footnote>
  <w:footnote w:id="4">
    <w:p w:rsidR="00EF64E9" w:rsidRPr="00440C7A" w:rsidRDefault="00EF64E9">
      <w:pPr>
        <w:pStyle w:val="a7"/>
        <w:rPr>
          <w:rFonts w:ascii="Times New Roman" w:hAnsi="Times New Roman" w:cs="Times New Roman"/>
          <w:sz w:val="16"/>
        </w:rPr>
      </w:pPr>
      <w:r w:rsidRPr="00440C7A">
        <w:rPr>
          <w:rStyle w:val="a9"/>
          <w:rFonts w:ascii="Times New Roman" w:hAnsi="Times New Roman" w:cs="Times New Roman"/>
          <w:sz w:val="16"/>
        </w:rPr>
        <w:footnoteRef/>
      </w:r>
      <w:r w:rsidRPr="00440C7A">
        <w:rPr>
          <w:rFonts w:ascii="Times New Roman" w:hAnsi="Times New Roman" w:cs="Times New Roman"/>
          <w:sz w:val="16"/>
        </w:rPr>
        <w:t xml:space="preserve"> Понятие качества медицинской помощи закреплено в Законе о здравоохранении и социальном обеспечении 2012 года</w:t>
      </w:r>
    </w:p>
  </w:footnote>
  <w:footnote w:id="5">
    <w:p w:rsidR="00EF64E9" w:rsidRPr="001E2FD3" w:rsidRDefault="00EF64E9" w:rsidP="000C216D">
      <w:pPr>
        <w:pStyle w:val="a7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1E2FD3">
        <w:rPr>
          <w:rStyle w:val="a9"/>
          <w:rFonts w:ascii="Times New Roman" w:hAnsi="Times New Roman" w:cs="Times New Roman"/>
          <w:color w:val="auto"/>
          <w:sz w:val="16"/>
          <w:szCs w:val="16"/>
        </w:rPr>
        <w:footnoteRef/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1E2FD3">
        <w:rPr>
          <w:rFonts w:ascii="Times New Roman" w:hAnsi="Times New Roman" w:cs="Times New Roman"/>
          <w:b/>
          <w:color w:val="auto"/>
          <w:sz w:val="16"/>
          <w:szCs w:val="16"/>
        </w:rPr>
        <w:t>Безопасность пациентов</w:t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 xml:space="preserve"> обеспечивается решением следующих задач: </w:t>
      </w:r>
      <w:r w:rsidRPr="001E2FD3">
        <w:rPr>
          <w:rFonts w:ascii="Times New Roman" w:hAnsi="Times New Roman" w:cs="Times New Roman"/>
          <w:b/>
          <w:color w:val="auto"/>
          <w:sz w:val="16"/>
          <w:szCs w:val="16"/>
        </w:rPr>
        <w:t>предотвращение и снижение уровня риска, числа ошибок и масштабов вреда, причиняемого пациентам</w:t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 xml:space="preserve"> в процессе оказания медицинской помощи. Основной задачей дисциплины является </w:t>
      </w:r>
      <w:r w:rsidRPr="001E2FD3">
        <w:rPr>
          <w:rFonts w:ascii="Times New Roman" w:hAnsi="Times New Roman" w:cs="Times New Roman"/>
          <w:b/>
          <w:color w:val="auto"/>
          <w:sz w:val="16"/>
          <w:szCs w:val="16"/>
        </w:rPr>
        <w:t>непрерывное совершенствование медицинской практики</w:t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>, основанное на извлечении уроков из прошлых ошибок.</w:t>
      </w:r>
    </w:p>
  </w:footnote>
  <w:footnote w:id="6">
    <w:p w:rsidR="00EF64E9" w:rsidRPr="001E2FD3" w:rsidRDefault="00EF64E9" w:rsidP="000C216D">
      <w:pPr>
        <w:pStyle w:val="a7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1E2FD3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footnoteRef/>
      </w:r>
      <w:r w:rsidRPr="001E2FD3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 xml:space="preserve"> </w:t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>Медицинские организации в Великобритании подлежат регистрации в Комиссии по качеству помощи – вневедомственном органе в системе Министерства здравоохранения и социального обеспечения.</w:t>
      </w:r>
    </w:p>
  </w:footnote>
  <w:footnote w:id="7">
    <w:p w:rsidR="00EF64E9" w:rsidRPr="001E2FD3" w:rsidRDefault="00EF64E9" w:rsidP="000C216D">
      <w:pPr>
        <w:pStyle w:val="a7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1E2FD3">
        <w:rPr>
          <w:rStyle w:val="a9"/>
          <w:rFonts w:ascii="Times New Roman" w:hAnsi="Times New Roman" w:cs="Times New Roman"/>
          <w:color w:val="auto"/>
          <w:sz w:val="16"/>
          <w:szCs w:val="16"/>
        </w:rPr>
        <w:footnoteRef/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 xml:space="preserve"> В регулировании медицинской помощи используется общий для системы английского права принцип разумности, который традиционно толкуется как проявление разумной осторожности, которую обычный разумный человек проявил бы при аналогичных обстоятельствах.</w:t>
      </w:r>
    </w:p>
  </w:footnote>
  <w:footnote w:id="8">
    <w:p w:rsidR="00EF64E9" w:rsidRPr="001E2FD3" w:rsidRDefault="00EF64E9" w:rsidP="00572F2E">
      <w:pPr>
        <w:pStyle w:val="a7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1E2FD3">
        <w:rPr>
          <w:rStyle w:val="a9"/>
          <w:rFonts w:ascii="Times New Roman" w:hAnsi="Times New Roman" w:cs="Times New Roman"/>
          <w:color w:val="auto"/>
          <w:sz w:val="16"/>
          <w:szCs w:val="16"/>
        </w:rPr>
        <w:footnoteRef/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 xml:space="preserve"> В законодательстве могут быть предусмотрены исключения из данного правила. Они устанавливаются, в частности, в отношении ряда </w:t>
      </w:r>
      <w:r w:rsidRPr="001E2FD3">
        <w:rPr>
          <w:rFonts w:ascii="Times New Roman" w:hAnsi="Times New Roman" w:cs="Times New Roman"/>
          <w:b/>
          <w:color w:val="auto"/>
          <w:sz w:val="16"/>
          <w:szCs w:val="16"/>
        </w:rPr>
        <w:t>стоматологических и офтальмологических</w:t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 xml:space="preserve"> услуг, предоставления </w:t>
      </w:r>
      <w:r w:rsidRPr="001E2FD3">
        <w:rPr>
          <w:rFonts w:ascii="Times New Roman" w:hAnsi="Times New Roman" w:cs="Times New Roman"/>
          <w:b/>
          <w:color w:val="auto"/>
          <w:sz w:val="16"/>
          <w:szCs w:val="16"/>
        </w:rPr>
        <w:t>рецептурных препаратов</w:t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 xml:space="preserve">, а также оказания медицинской помощи лицам, </w:t>
      </w:r>
      <w:r w:rsidRPr="001E2FD3">
        <w:rPr>
          <w:rFonts w:ascii="Times New Roman" w:hAnsi="Times New Roman" w:cs="Times New Roman"/>
          <w:b/>
          <w:color w:val="auto"/>
          <w:sz w:val="16"/>
          <w:szCs w:val="16"/>
        </w:rPr>
        <w:t>не имеющим постоянного места</w:t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1E2FD3">
        <w:rPr>
          <w:rFonts w:ascii="Times New Roman" w:hAnsi="Times New Roman" w:cs="Times New Roman"/>
          <w:b/>
          <w:color w:val="auto"/>
          <w:sz w:val="16"/>
          <w:szCs w:val="16"/>
        </w:rPr>
        <w:t>жительства</w:t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 xml:space="preserve"> в Великобритании.</w:t>
      </w:r>
    </w:p>
  </w:footnote>
  <w:footnote w:id="9">
    <w:p w:rsidR="00EF64E9" w:rsidRPr="001E2FD3" w:rsidRDefault="00EF64E9" w:rsidP="006C4C54">
      <w:pPr>
        <w:pStyle w:val="a7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1E2FD3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footnoteRef/>
      </w:r>
      <w:r w:rsidRPr="001E2FD3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 xml:space="preserve"> </w:t>
      </w:r>
      <w:r w:rsidRPr="001E2FD3">
        <w:rPr>
          <w:rFonts w:ascii="Times New Roman" w:hAnsi="Times New Roman" w:cs="Times New Roman"/>
          <w:color w:val="auto"/>
          <w:sz w:val="16"/>
          <w:szCs w:val="16"/>
        </w:rPr>
        <w:t xml:space="preserve">Данные индикаторы включают: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сводный показатель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смертности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на уровне больницы;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число пациентов, за которыми осуществлялось наблюдение в течение семи дней </w:t>
      </w:r>
      <w:r w:rsidRPr="000B7CBB">
        <w:rPr>
          <w:rFonts w:ascii="Times New Roman" w:hAnsi="Times New Roman" w:cs="Times New Roman"/>
          <w:b/>
          <w:color w:val="auto"/>
          <w:sz w:val="16"/>
          <w:szCs w:val="18"/>
        </w:rPr>
        <w:t>после выписки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из </w:t>
      </w:r>
      <w:r w:rsidRPr="000B7CBB">
        <w:rPr>
          <w:rFonts w:ascii="Times New Roman" w:hAnsi="Times New Roman" w:cs="Times New Roman"/>
          <w:color w:val="auto"/>
          <w:sz w:val="16"/>
          <w:szCs w:val="18"/>
        </w:rPr>
        <w:t>психиатрического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стационара;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показатели соблюдения среднего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времени реагирования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на вызовы скорой помощи;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количество пациентов с подозрением на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инфаркт миокарда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, уход за которыми осуществляется по клиническим стандартам;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количество пациентов с подозрением на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инсульт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, осмотренных врачом лично в соответствии с клиническим стандартом;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количество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госпитализаций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в отделения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неотложной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помощи при содействии групп по домашнему разрешению кризисных ситуаций;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количество пациентов,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вновь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госпитализированных в течение 30 дней после выписки;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показатели динамики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качества жизни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по результатам медицинского вмешательства, которые определяются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самими пациентами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показатели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реагирования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на личные просьбы пациентов;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количество медицинских работников, которые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порекомендовали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бы данное медучреждение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своей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семье или друзьям;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количество пациентов, которые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порекомендовали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бы данное медучреждение своей семье или друзьям;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отзывы пациентов о работе центров оказания психиатрической помощи по месту жительства;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пациенты, при госпитализации которых оценивались риски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венозной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тромбоэмболии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auto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показатели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инфицирования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 псевдомембранозным колитом, бактерией C. </w:t>
      </w:r>
      <w:proofErr w:type="spellStart"/>
      <w:r w:rsidRPr="001E2FD3">
        <w:rPr>
          <w:rFonts w:ascii="Times New Roman" w:hAnsi="Times New Roman" w:cs="Times New Roman"/>
          <w:color w:val="auto"/>
          <w:sz w:val="16"/>
          <w:szCs w:val="18"/>
        </w:rPr>
        <w:t>difficile</w:t>
      </w:r>
      <w:proofErr w:type="spellEnd"/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; </w:t>
      </w:r>
    </w:p>
    <w:p w:rsidR="00EF64E9" w:rsidRPr="001E2FD3" w:rsidRDefault="00EF64E9" w:rsidP="00DC23F7">
      <w:pPr>
        <w:pStyle w:val="a7"/>
        <w:jc w:val="both"/>
        <w:rPr>
          <w:rFonts w:ascii="Times New Roman" w:hAnsi="Times New Roman" w:cs="Times New Roman"/>
          <w:color w:val="808080" w:themeColor="background1" w:themeShade="80"/>
          <w:sz w:val="16"/>
          <w:szCs w:val="18"/>
        </w:rPr>
      </w:pPr>
      <w:r w:rsidRPr="001E2FD3">
        <w:rPr>
          <w:rFonts w:ascii="Times New Roman" w:hAnsi="Times New Roman" w:cs="Times New Roman"/>
          <w:color w:val="auto"/>
          <w:sz w:val="16"/>
          <w:szCs w:val="18"/>
        </w:rPr>
        <w:t xml:space="preserve">количество </w:t>
      </w:r>
      <w:r w:rsidRPr="001E2FD3">
        <w:rPr>
          <w:rFonts w:ascii="Times New Roman" w:hAnsi="Times New Roman" w:cs="Times New Roman"/>
          <w:b/>
          <w:color w:val="auto"/>
          <w:sz w:val="16"/>
          <w:szCs w:val="18"/>
        </w:rPr>
        <w:t>инцидентов</w:t>
      </w:r>
      <w:r w:rsidRPr="001E2FD3">
        <w:rPr>
          <w:rFonts w:ascii="Times New Roman" w:hAnsi="Times New Roman" w:cs="Times New Roman"/>
          <w:color w:val="auto"/>
          <w:sz w:val="16"/>
          <w:szCs w:val="18"/>
        </w:rPr>
        <w:t>, связанных с безопасностью пациентов, и процент инцидентов, при которых имели место серьезные травмы или смерти пациентов.</w:t>
      </w:r>
    </w:p>
  </w:footnote>
  <w:footnote w:id="10">
    <w:p w:rsidR="00EF64E9" w:rsidRPr="00C84129" w:rsidRDefault="00EF64E9" w:rsidP="00B21356">
      <w:pPr>
        <w:pStyle w:val="C"/>
        <w:rPr>
          <w:rFonts w:ascii="Times New Roman" w:hAnsi="Times New Roman" w:cs="Times New Roman"/>
          <w:color w:val="auto"/>
        </w:rPr>
      </w:pPr>
      <w:r w:rsidRPr="00C84129">
        <w:rPr>
          <w:rStyle w:val="a9"/>
          <w:rFonts w:ascii="Times New Roman" w:hAnsi="Times New Roman" w:cs="Times New Roman"/>
          <w:color w:val="auto"/>
        </w:rPr>
        <w:footnoteRef/>
      </w:r>
      <w:r w:rsidRPr="00C84129">
        <w:rPr>
          <w:rFonts w:ascii="Times New Roman" w:hAnsi="Times New Roman" w:cs="Times New Roman"/>
          <w:color w:val="auto"/>
        </w:rPr>
        <w:t xml:space="preserve"> Полная версия Сборника недоступна в открытых источниках.</w:t>
      </w:r>
    </w:p>
  </w:footnote>
  <w:footnote w:id="11">
    <w:p w:rsidR="00EF64E9" w:rsidRPr="00C84129" w:rsidRDefault="00EF64E9" w:rsidP="005D30E8">
      <w:pPr>
        <w:pStyle w:val="C"/>
        <w:jc w:val="both"/>
        <w:rPr>
          <w:rFonts w:ascii="Times New Roman" w:hAnsi="Times New Roman" w:cs="Times New Roman"/>
          <w:color w:val="auto"/>
        </w:rPr>
      </w:pPr>
      <w:r w:rsidRPr="00C84129">
        <w:rPr>
          <w:rFonts w:ascii="Times New Roman" w:hAnsi="Times New Roman" w:cs="Times New Roman"/>
          <w:color w:val="auto"/>
          <w:vertAlign w:val="superscript"/>
        </w:rPr>
        <w:footnoteRef/>
      </w:r>
      <w:r w:rsidRPr="00C84129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Pr="00C84129">
        <w:rPr>
          <w:rFonts w:ascii="Times New Roman" w:hAnsi="Times New Roman" w:cs="Times New Roman"/>
          <w:color w:val="auto"/>
        </w:rPr>
        <w:t>Показатель отражает спрос и предложение на доступность медпомощи, количество занятых медицинских специалистов и возрастную структуру населения.</w:t>
      </w:r>
    </w:p>
  </w:footnote>
  <w:footnote w:id="12">
    <w:p w:rsidR="00EF64E9" w:rsidRDefault="00EF64E9" w:rsidP="000F0A0D">
      <w:pPr>
        <w:pStyle w:val="C"/>
        <w:jc w:val="both"/>
      </w:pPr>
      <w:r w:rsidRPr="00C84129">
        <w:rPr>
          <w:rStyle w:val="a9"/>
          <w:rFonts w:ascii="Times New Roman" w:hAnsi="Times New Roman" w:cs="Times New Roman"/>
          <w:color w:val="auto"/>
        </w:rPr>
        <w:footnoteRef/>
      </w:r>
      <w:r w:rsidRPr="00C84129">
        <w:rPr>
          <w:rFonts w:ascii="Times New Roman" w:hAnsi="Times New Roman" w:cs="Times New Roman"/>
          <w:color w:val="auto"/>
        </w:rPr>
        <w:t xml:space="preserve"> Совет по качеству предоставления медицинской помощи является некоммерческой организацией.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5238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4129" w:rsidRPr="00C84129" w:rsidRDefault="00C84129">
        <w:pPr>
          <w:pStyle w:val="af3"/>
          <w:jc w:val="center"/>
          <w:rPr>
            <w:rFonts w:ascii="Times New Roman" w:hAnsi="Times New Roman" w:cs="Times New Roman"/>
          </w:rPr>
        </w:pPr>
        <w:r w:rsidRPr="00C84129">
          <w:rPr>
            <w:rFonts w:ascii="Times New Roman" w:hAnsi="Times New Roman" w:cs="Times New Roman"/>
          </w:rPr>
          <w:fldChar w:fldCharType="begin"/>
        </w:r>
        <w:r w:rsidRPr="00C84129">
          <w:rPr>
            <w:rFonts w:ascii="Times New Roman" w:hAnsi="Times New Roman" w:cs="Times New Roman"/>
          </w:rPr>
          <w:instrText>PAGE   \* MERGEFORMAT</w:instrText>
        </w:r>
        <w:r w:rsidRPr="00C84129">
          <w:rPr>
            <w:rFonts w:ascii="Times New Roman" w:hAnsi="Times New Roman" w:cs="Times New Roman"/>
          </w:rPr>
          <w:fldChar w:fldCharType="separate"/>
        </w:r>
        <w:r w:rsidR="009C2BFA">
          <w:rPr>
            <w:rFonts w:ascii="Times New Roman" w:hAnsi="Times New Roman" w:cs="Times New Roman"/>
            <w:noProof/>
          </w:rPr>
          <w:t>6</w:t>
        </w:r>
        <w:r w:rsidRPr="00C84129">
          <w:rPr>
            <w:rFonts w:ascii="Times New Roman" w:hAnsi="Times New Roman" w:cs="Times New Roman"/>
          </w:rPr>
          <w:fldChar w:fldCharType="end"/>
        </w:r>
      </w:p>
    </w:sdtContent>
  </w:sdt>
  <w:p w:rsidR="00C84129" w:rsidRDefault="00C8412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25E"/>
    <w:multiLevelType w:val="hybridMultilevel"/>
    <w:tmpl w:val="C426610C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 w15:restartNumberingAfterBreak="0">
    <w:nsid w:val="0865477E"/>
    <w:multiLevelType w:val="hybridMultilevel"/>
    <w:tmpl w:val="D9842790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 w15:restartNumberingAfterBreak="0">
    <w:nsid w:val="0E4A55BE"/>
    <w:multiLevelType w:val="hybridMultilevel"/>
    <w:tmpl w:val="5C2A3C56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 w15:restartNumberingAfterBreak="0">
    <w:nsid w:val="2160086A"/>
    <w:multiLevelType w:val="hybridMultilevel"/>
    <w:tmpl w:val="0DB0926E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 w15:restartNumberingAfterBreak="0">
    <w:nsid w:val="2D042978"/>
    <w:multiLevelType w:val="hybridMultilevel"/>
    <w:tmpl w:val="228EFD34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331D2AB5"/>
    <w:multiLevelType w:val="hybridMultilevel"/>
    <w:tmpl w:val="4EB25868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34A85413"/>
    <w:multiLevelType w:val="hybridMultilevel"/>
    <w:tmpl w:val="6704961A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357A4F08"/>
    <w:multiLevelType w:val="hybridMultilevel"/>
    <w:tmpl w:val="AD7020AC"/>
    <w:lvl w:ilvl="0" w:tplc="E4D8F200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8" w15:restartNumberingAfterBreak="0">
    <w:nsid w:val="56F40D78"/>
    <w:multiLevelType w:val="hybridMultilevel"/>
    <w:tmpl w:val="1B2CA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42D60"/>
    <w:multiLevelType w:val="hybridMultilevel"/>
    <w:tmpl w:val="DD525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14A68"/>
    <w:multiLevelType w:val="hybridMultilevel"/>
    <w:tmpl w:val="D940E710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72603070"/>
    <w:multiLevelType w:val="hybridMultilevel"/>
    <w:tmpl w:val="FA9029CC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2" w15:restartNumberingAfterBreak="0">
    <w:nsid w:val="79A73C79"/>
    <w:multiLevelType w:val="hybridMultilevel"/>
    <w:tmpl w:val="1E3C3146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3" w15:restartNumberingAfterBreak="0">
    <w:nsid w:val="7B0B34D4"/>
    <w:multiLevelType w:val="hybridMultilevel"/>
    <w:tmpl w:val="B58C5C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13"/>
  </w:num>
  <w:num w:numId="12">
    <w:abstractNumId w:val="3"/>
  </w:num>
  <w:num w:numId="13">
    <w:abstractNumId w:val="5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30A"/>
    <w:rsid w:val="00015BED"/>
    <w:rsid w:val="0003197C"/>
    <w:rsid w:val="00031AEB"/>
    <w:rsid w:val="0004033A"/>
    <w:rsid w:val="000466F4"/>
    <w:rsid w:val="00057438"/>
    <w:rsid w:val="00060472"/>
    <w:rsid w:val="00067B93"/>
    <w:rsid w:val="000721DA"/>
    <w:rsid w:val="000B7CBB"/>
    <w:rsid w:val="000C216D"/>
    <w:rsid w:val="000D30AD"/>
    <w:rsid w:val="000F0A0D"/>
    <w:rsid w:val="00104798"/>
    <w:rsid w:val="00105C0F"/>
    <w:rsid w:val="00137CC5"/>
    <w:rsid w:val="0016078D"/>
    <w:rsid w:val="00181FE1"/>
    <w:rsid w:val="001C672A"/>
    <w:rsid w:val="001E2FD3"/>
    <w:rsid w:val="00201B5C"/>
    <w:rsid w:val="00205F29"/>
    <w:rsid w:val="00236DC0"/>
    <w:rsid w:val="00242705"/>
    <w:rsid w:val="00276E42"/>
    <w:rsid w:val="00283665"/>
    <w:rsid w:val="002A6496"/>
    <w:rsid w:val="00301774"/>
    <w:rsid w:val="0031330A"/>
    <w:rsid w:val="00317557"/>
    <w:rsid w:val="00323E12"/>
    <w:rsid w:val="003327C0"/>
    <w:rsid w:val="003A1F04"/>
    <w:rsid w:val="003E2081"/>
    <w:rsid w:val="003F0425"/>
    <w:rsid w:val="00401B02"/>
    <w:rsid w:val="00440C7A"/>
    <w:rsid w:val="004413C5"/>
    <w:rsid w:val="00466793"/>
    <w:rsid w:val="0048453F"/>
    <w:rsid w:val="004A7E29"/>
    <w:rsid w:val="004C53C8"/>
    <w:rsid w:val="004E3A62"/>
    <w:rsid w:val="004E4CFC"/>
    <w:rsid w:val="004F45A1"/>
    <w:rsid w:val="00516FFE"/>
    <w:rsid w:val="00536099"/>
    <w:rsid w:val="005420D5"/>
    <w:rsid w:val="00551A9D"/>
    <w:rsid w:val="00572F2E"/>
    <w:rsid w:val="00575A92"/>
    <w:rsid w:val="005774F7"/>
    <w:rsid w:val="00580345"/>
    <w:rsid w:val="005A177B"/>
    <w:rsid w:val="005B24A9"/>
    <w:rsid w:val="005C594F"/>
    <w:rsid w:val="005D30E8"/>
    <w:rsid w:val="005D566F"/>
    <w:rsid w:val="005D6CE3"/>
    <w:rsid w:val="0061610F"/>
    <w:rsid w:val="006224ED"/>
    <w:rsid w:val="00625B99"/>
    <w:rsid w:val="00637D56"/>
    <w:rsid w:val="006C220B"/>
    <w:rsid w:val="006C4C54"/>
    <w:rsid w:val="006D2D2E"/>
    <w:rsid w:val="006E0522"/>
    <w:rsid w:val="006E109A"/>
    <w:rsid w:val="006E5198"/>
    <w:rsid w:val="00715CF7"/>
    <w:rsid w:val="007566CE"/>
    <w:rsid w:val="00796430"/>
    <w:rsid w:val="007A55A8"/>
    <w:rsid w:val="007C1CD1"/>
    <w:rsid w:val="007F7BEB"/>
    <w:rsid w:val="00800E8B"/>
    <w:rsid w:val="008456DC"/>
    <w:rsid w:val="008564EF"/>
    <w:rsid w:val="0088291F"/>
    <w:rsid w:val="00890214"/>
    <w:rsid w:val="008906AE"/>
    <w:rsid w:val="008D143F"/>
    <w:rsid w:val="008E0D1A"/>
    <w:rsid w:val="008F10C2"/>
    <w:rsid w:val="00956B02"/>
    <w:rsid w:val="00974D5F"/>
    <w:rsid w:val="00987D9E"/>
    <w:rsid w:val="00993549"/>
    <w:rsid w:val="009A313C"/>
    <w:rsid w:val="009C2BFA"/>
    <w:rsid w:val="009C59BA"/>
    <w:rsid w:val="009D5963"/>
    <w:rsid w:val="009D7B95"/>
    <w:rsid w:val="009E46E9"/>
    <w:rsid w:val="009F1D2B"/>
    <w:rsid w:val="00A3260C"/>
    <w:rsid w:val="00A47711"/>
    <w:rsid w:val="00A6516C"/>
    <w:rsid w:val="00B20C8D"/>
    <w:rsid w:val="00B21356"/>
    <w:rsid w:val="00B450EA"/>
    <w:rsid w:val="00B95906"/>
    <w:rsid w:val="00BB380D"/>
    <w:rsid w:val="00BD1BE3"/>
    <w:rsid w:val="00BE2B4D"/>
    <w:rsid w:val="00C11B6F"/>
    <w:rsid w:val="00C240FA"/>
    <w:rsid w:val="00C56EC6"/>
    <w:rsid w:val="00C70345"/>
    <w:rsid w:val="00C80158"/>
    <w:rsid w:val="00C8359E"/>
    <w:rsid w:val="00C84129"/>
    <w:rsid w:val="00CA331C"/>
    <w:rsid w:val="00CC6E54"/>
    <w:rsid w:val="00CE79FF"/>
    <w:rsid w:val="00CF689F"/>
    <w:rsid w:val="00CF7C84"/>
    <w:rsid w:val="00D16679"/>
    <w:rsid w:val="00D66DCD"/>
    <w:rsid w:val="00D76B5F"/>
    <w:rsid w:val="00DC23F7"/>
    <w:rsid w:val="00E1426B"/>
    <w:rsid w:val="00E51700"/>
    <w:rsid w:val="00E604ED"/>
    <w:rsid w:val="00E61A29"/>
    <w:rsid w:val="00E71C2E"/>
    <w:rsid w:val="00ED7467"/>
    <w:rsid w:val="00EE1694"/>
    <w:rsid w:val="00EF3F5A"/>
    <w:rsid w:val="00EF4CC1"/>
    <w:rsid w:val="00EF64E9"/>
    <w:rsid w:val="00F00F13"/>
    <w:rsid w:val="00F05A1C"/>
    <w:rsid w:val="00F3268B"/>
    <w:rsid w:val="00F464D1"/>
    <w:rsid w:val="00F64560"/>
    <w:rsid w:val="00F82F29"/>
    <w:rsid w:val="00FD24CA"/>
    <w:rsid w:val="00FF16D0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B768"/>
  <w15:docId w15:val="{2746F31B-8413-4040-B930-09130A66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7C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егкий"/>
    <w:basedOn w:val="a"/>
    <w:link w:val="a4"/>
    <w:qFormat/>
    <w:rsid w:val="00B95906"/>
    <w:pPr>
      <w:widowControl w:val="0"/>
      <w:autoSpaceDE w:val="0"/>
      <w:autoSpaceDN w:val="0"/>
      <w:adjustRightInd w:val="0"/>
      <w:spacing w:before="240" w:after="0" w:line="360" w:lineRule="auto"/>
      <w:ind w:left="794"/>
    </w:pPr>
    <w:rPr>
      <w:rFonts w:ascii="TT Jenevers Light" w:eastAsia="SimSun" w:hAnsi="TT Jenevers Light" w:cs="Times New Roman"/>
      <w:bCs/>
      <w:color w:val="000000"/>
    </w:rPr>
  </w:style>
  <w:style w:type="paragraph" w:customStyle="1" w:styleId="a5">
    <w:name w:val="Легкое выделение"/>
    <w:basedOn w:val="a"/>
    <w:link w:val="a6"/>
    <w:qFormat/>
    <w:rsid w:val="00B95906"/>
    <w:pPr>
      <w:widowControl w:val="0"/>
      <w:autoSpaceDE w:val="0"/>
      <w:autoSpaceDN w:val="0"/>
      <w:adjustRightInd w:val="0"/>
      <w:spacing w:before="240" w:after="0" w:line="360" w:lineRule="auto"/>
      <w:ind w:left="794"/>
    </w:pPr>
    <w:rPr>
      <w:rFonts w:ascii="TT Jenevers Medium" w:eastAsia="SimSun" w:hAnsi="TT Jenevers Medium" w:cs="Times New Roman"/>
      <w:color w:val="030829"/>
    </w:rPr>
  </w:style>
  <w:style w:type="character" w:customStyle="1" w:styleId="a4">
    <w:name w:val="Легкий Знак"/>
    <w:link w:val="a3"/>
    <w:rsid w:val="00B95906"/>
    <w:rPr>
      <w:rFonts w:ascii="TT Jenevers Light" w:eastAsia="SimSun" w:hAnsi="TT Jenevers Light" w:cs="Times New Roman"/>
      <w:bCs/>
      <w:color w:val="000000"/>
    </w:rPr>
  </w:style>
  <w:style w:type="character" w:customStyle="1" w:styleId="a6">
    <w:name w:val="Легкое выделение Знак"/>
    <w:basedOn w:val="a0"/>
    <w:link w:val="a5"/>
    <w:rsid w:val="00B95906"/>
    <w:rPr>
      <w:rFonts w:ascii="TT Jenevers Medium" w:eastAsia="SimSun" w:hAnsi="TT Jenevers Medium" w:cs="Times New Roman"/>
      <w:color w:val="030829"/>
    </w:rPr>
  </w:style>
  <w:style w:type="paragraph" w:styleId="a7">
    <w:name w:val="footnote text"/>
    <w:basedOn w:val="a"/>
    <w:link w:val="a8"/>
    <w:uiPriority w:val="99"/>
    <w:unhideWhenUsed/>
    <w:rsid w:val="00B95906"/>
    <w:pPr>
      <w:spacing w:after="0" w:line="240" w:lineRule="auto"/>
    </w:pPr>
    <w:rPr>
      <w:rFonts w:ascii="TT Jenevers Light" w:eastAsia="SimSun" w:hAnsi="TT Jenevers Light"/>
      <w:color w:val="04092A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95906"/>
    <w:rPr>
      <w:rFonts w:ascii="TT Jenevers Light" w:eastAsia="SimSun" w:hAnsi="TT Jenevers Light"/>
      <w:color w:val="04092A"/>
      <w:sz w:val="20"/>
      <w:szCs w:val="20"/>
    </w:rPr>
  </w:style>
  <w:style w:type="character" w:styleId="a9">
    <w:name w:val="footnote reference"/>
    <w:basedOn w:val="a0"/>
    <w:uiPriority w:val="99"/>
    <w:unhideWhenUsed/>
    <w:rsid w:val="00B95906"/>
    <w:rPr>
      <w:vertAlign w:val="superscript"/>
    </w:rPr>
  </w:style>
  <w:style w:type="character" w:styleId="aa">
    <w:name w:val="Hyperlink"/>
    <w:basedOn w:val="a0"/>
    <w:uiPriority w:val="99"/>
    <w:unhideWhenUsed/>
    <w:qFormat/>
    <w:rsid w:val="00B95906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95906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95906"/>
    <w:pPr>
      <w:spacing w:after="0" w:line="240" w:lineRule="auto"/>
    </w:pPr>
    <w:rPr>
      <w:rFonts w:ascii="Tahoma" w:eastAsia="SimSun" w:hAnsi="Tahoma" w:cs="Tahoma"/>
      <w:color w:val="04092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906"/>
    <w:rPr>
      <w:rFonts w:ascii="Tahoma" w:eastAsia="SimSun" w:hAnsi="Tahoma" w:cs="Tahoma"/>
      <w:color w:val="04092A"/>
      <w:sz w:val="16"/>
      <w:szCs w:val="16"/>
    </w:rPr>
  </w:style>
  <w:style w:type="paragraph" w:styleId="ae">
    <w:name w:val="List Paragraph"/>
    <w:basedOn w:val="a"/>
    <w:link w:val="af"/>
    <w:uiPriority w:val="1"/>
    <w:qFormat/>
    <w:rsid w:val="00F82F29"/>
    <w:pPr>
      <w:ind w:left="720"/>
      <w:contextualSpacing/>
    </w:pPr>
  </w:style>
  <w:style w:type="table" w:styleId="af0">
    <w:name w:val="Table Grid"/>
    <w:basedOn w:val="a1"/>
    <w:uiPriority w:val="39"/>
    <w:rsid w:val="00F8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basedOn w:val="a0"/>
    <w:link w:val="ae"/>
    <w:uiPriority w:val="1"/>
    <w:locked/>
    <w:rsid w:val="00D76B5F"/>
  </w:style>
  <w:style w:type="character" w:customStyle="1" w:styleId="10">
    <w:name w:val="Заголовок 1 Знак"/>
    <w:basedOn w:val="a0"/>
    <w:link w:val="1"/>
    <w:uiPriority w:val="9"/>
    <w:rsid w:val="00137C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f1">
    <w:name w:val="текст"/>
    <w:basedOn w:val="a"/>
    <w:link w:val="af2"/>
    <w:qFormat/>
    <w:rsid w:val="00CE79FF"/>
    <w:pPr>
      <w:widowControl w:val="0"/>
      <w:autoSpaceDE w:val="0"/>
      <w:autoSpaceDN w:val="0"/>
      <w:adjustRightInd w:val="0"/>
      <w:spacing w:before="240" w:after="0" w:line="360" w:lineRule="auto"/>
      <w:ind w:left="794"/>
    </w:pPr>
    <w:rPr>
      <w:rFonts w:ascii="TT Jenevers" w:eastAsia="SimSun" w:hAnsi="TT Jenevers" w:cs="Times New Roman"/>
      <w:color w:val="000000"/>
    </w:rPr>
  </w:style>
  <w:style w:type="character" w:customStyle="1" w:styleId="af2">
    <w:name w:val="текст Знак"/>
    <w:basedOn w:val="a0"/>
    <w:link w:val="af1"/>
    <w:rsid w:val="00CE79FF"/>
    <w:rPr>
      <w:rFonts w:ascii="TT Jenevers" w:eastAsia="SimSun" w:hAnsi="TT Jenevers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F00F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">
    <w:name w:val="Cноска"/>
    <w:basedOn w:val="a"/>
    <w:uiPriority w:val="99"/>
    <w:rsid w:val="00236DC0"/>
    <w:pPr>
      <w:keepLines/>
      <w:tabs>
        <w:tab w:val="left" w:pos="0"/>
      </w:tabs>
      <w:suppressAutoHyphens/>
      <w:autoSpaceDE w:val="0"/>
      <w:autoSpaceDN w:val="0"/>
      <w:adjustRightInd w:val="0"/>
      <w:spacing w:before="180" w:after="0" w:line="240" w:lineRule="atLeast"/>
      <w:contextualSpacing/>
      <w:textAlignment w:val="center"/>
    </w:pPr>
    <w:rPr>
      <w:rFonts w:ascii="PT_Russia Text" w:eastAsia="SimSun" w:hAnsi="PT_Russia Text" w:cs="PT_Russia Text"/>
      <w:color w:val="8691A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C8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84129"/>
  </w:style>
  <w:style w:type="paragraph" w:styleId="af5">
    <w:name w:val="footer"/>
    <w:basedOn w:val="a"/>
    <w:link w:val="af6"/>
    <w:uiPriority w:val="99"/>
    <w:unhideWhenUsed/>
    <w:rsid w:val="00C8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8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sg/about-mo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ationalwealth.info/medical-tourism/costs-of-medical-services-singapore-for-expa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ationalwealth.info/medical-tourism/costs-of-medical-services-singapore-for-expa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F235-A78D-41B5-ADD7-8E1CF820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11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Ходячих Сергей Евгеньевич</dc:creator>
  <cp:keywords/>
  <dc:description/>
  <cp:lastModifiedBy>Бородин Вячеслав Григорьевич</cp:lastModifiedBy>
  <cp:revision>98</cp:revision>
  <cp:lastPrinted>2023-06-22T08:28:00Z</cp:lastPrinted>
  <dcterms:created xsi:type="dcterms:W3CDTF">2023-06-13T12:27:00Z</dcterms:created>
  <dcterms:modified xsi:type="dcterms:W3CDTF">2024-04-04T08:32:00Z</dcterms:modified>
</cp:coreProperties>
</file>