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9E" w:rsidRPr="0085369E" w:rsidRDefault="0085369E" w:rsidP="0085369E">
      <w:pPr>
        <w:spacing w:line="240" w:lineRule="auto"/>
        <w:ind w:firstLine="0"/>
        <w:jc w:val="right"/>
        <w:rPr>
          <w:rFonts w:eastAsia="Calibri"/>
          <w:sz w:val="24"/>
          <w:lang w:eastAsia="en-US"/>
        </w:rPr>
      </w:pPr>
      <w:bookmarkStart w:id="0" w:name="_GoBack"/>
      <w:bookmarkEnd w:id="0"/>
      <w:r w:rsidRPr="0085369E">
        <w:rPr>
          <w:rFonts w:eastAsia="Calibri"/>
          <w:sz w:val="24"/>
          <w:lang w:eastAsia="en-US"/>
        </w:rPr>
        <w:t xml:space="preserve">Приложение № </w:t>
      </w:r>
      <w:r w:rsidR="00640371">
        <w:rPr>
          <w:rFonts w:eastAsia="Calibri"/>
          <w:sz w:val="24"/>
          <w:lang w:eastAsia="en-US"/>
        </w:rPr>
        <w:t>4</w:t>
      </w:r>
    </w:p>
    <w:p w:rsidR="0085369E" w:rsidRPr="0085369E" w:rsidRDefault="0085369E" w:rsidP="0085369E">
      <w:pPr>
        <w:spacing w:line="240" w:lineRule="auto"/>
        <w:ind w:firstLine="0"/>
        <w:rPr>
          <w:rFonts w:eastAsia="Calibri"/>
          <w:sz w:val="24"/>
          <w:lang w:eastAsia="en-US"/>
        </w:rPr>
      </w:pPr>
    </w:p>
    <w:p w:rsidR="0085369E" w:rsidRPr="0085369E" w:rsidRDefault="0085369E" w:rsidP="0085369E">
      <w:pPr>
        <w:spacing w:line="240" w:lineRule="auto"/>
        <w:ind w:firstLine="0"/>
        <w:rPr>
          <w:rFonts w:eastAsia="Calibri"/>
          <w:sz w:val="24"/>
          <w:lang w:eastAsia="en-US"/>
        </w:rPr>
      </w:pPr>
    </w:p>
    <w:p w:rsidR="000A7CB8" w:rsidRPr="0085369E" w:rsidRDefault="00640371" w:rsidP="0085369E">
      <w:pPr>
        <w:spacing w:line="240" w:lineRule="auto"/>
        <w:ind w:firstLine="0"/>
        <w:jc w:val="center"/>
        <w:rPr>
          <w:rFonts w:eastAsia="Calibri"/>
          <w:sz w:val="24"/>
          <w:lang w:eastAsia="en-US"/>
        </w:rPr>
      </w:pPr>
      <w:r w:rsidRPr="00640371">
        <w:rPr>
          <w:rFonts w:eastAsia="Calibri"/>
          <w:sz w:val="24"/>
          <w:lang w:eastAsia="en-US"/>
        </w:rPr>
        <w:t>Информация о сравнении установленных Госкомпании целевых индикаторов и показателей на период 2015 – 2020 годов в зависимости от редакции Программы деятельности</w:t>
      </w:r>
    </w:p>
    <w:p w:rsidR="0085369E" w:rsidRPr="0085369E" w:rsidRDefault="0085369E" w:rsidP="0085369E">
      <w:pPr>
        <w:spacing w:line="240" w:lineRule="auto"/>
        <w:ind w:firstLine="0"/>
        <w:jc w:val="center"/>
        <w:rPr>
          <w:rFonts w:eastAsia="Calibri"/>
          <w:sz w:val="24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4861"/>
        <w:gridCol w:w="567"/>
        <w:gridCol w:w="851"/>
        <w:gridCol w:w="850"/>
        <w:gridCol w:w="851"/>
        <w:gridCol w:w="850"/>
        <w:gridCol w:w="851"/>
      </w:tblGrid>
      <w:tr w:rsidR="00640371" w:rsidRPr="00640371" w:rsidTr="00D3583C">
        <w:trPr>
          <w:trHeight w:val="134"/>
        </w:trPr>
        <w:tc>
          <w:tcPr>
            <w:tcW w:w="5240" w:type="dxa"/>
            <w:gridSpan w:val="2"/>
            <w:vMerge w:val="restart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Наименование индикатора и показателя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Ед. изм.</w:t>
            </w:r>
          </w:p>
        </w:tc>
        <w:tc>
          <w:tcPr>
            <w:tcW w:w="4253" w:type="dxa"/>
            <w:gridSpan w:val="5"/>
            <w:shd w:val="clear" w:color="auto" w:fill="auto"/>
            <w:vAlign w:val="bottom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Изменения общих (средних) значений индикаторов и показателей Программы Госкомпании на период 2015 – 2020 годов</w:t>
            </w:r>
          </w:p>
        </w:tc>
      </w:tr>
      <w:tr w:rsidR="00640371" w:rsidRPr="00640371" w:rsidTr="00D3583C">
        <w:trPr>
          <w:trHeight w:val="283"/>
        </w:trPr>
        <w:tc>
          <w:tcPr>
            <w:tcW w:w="5240" w:type="dxa"/>
            <w:gridSpan w:val="2"/>
            <w:vMerge/>
            <w:shd w:val="clear" w:color="auto" w:fill="auto"/>
            <w:vAlign w:val="center"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right="-112"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ред. от 21.01.2020 минус ред. от 23.05.2014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right="-112"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ред. от 21.01.2020 минус ред. от 29.06.2019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right="-112"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ред. от 29.06.2019 минус ред. от 13.10.2017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right="-112"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ред. от 13.10.2017 минус ред. от 24.10.2015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right="-112"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ред. от 24.10.2015 минус ред. от 23.05.2014</w:t>
            </w:r>
          </w:p>
        </w:tc>
      </w:tr>
      <w:tr w:rsidR="00640371" w:rsidRPr="00640371" w:rsidTr="00D3583C">
        <w:trPr>
          <w:trHeight w:val="315"/>
        </w:trPr>
        <w:tc>
          <w:tcPr>
            <w:tcW w:w="5240" w:type="dxa"/>
            <w:gridSpan w:val="2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</w:tr>
      <w:tr w:rsidR="00640371" w:rsidRPr="00640371" w:rsidTr="00D3583C">
        <w:trPr>
          <w:trHeight w:val="60"/>
        </w:trPr>
        <w:tc>
          <w:tcPr>
            <w:tcW w:w="10060" w:type="dxa"/>
            <w:gridSpan w:val="8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I. Целевые индикаторы</w:t>
            </w:r>
          </w:p>
        </w:tc>
      </w:tr>
      <w:tr w:rsidR="00640371" w:rsidRPr="00640371" w:rsidTr="00D3583C">
        <w:trPr>
          <w:trHeight w:val="473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Протяженность автомобильных дорог общего пользования федерального значения, переданных в доверительное управление Госкомпании, соответствующих нормативным требованиям к транспортно-эксплуатационным показателям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км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-174,6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-73,0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-88,6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-13</w:t>
            </w:r>
          </w:p>
        </w:tc>
      </w:tr>
      <w:tr w:rsidR="00640371" w:rsidRPr="00640371" w:rsidTr="00D3583C">
        <w:trPr>
          <w:trHeight w:val="286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2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Доля протяженности автомобильных дорог общего пользования федерального значения, переданных в доверительное управление Госкомпании, соответствующих нормативным требованиям к транспортно-эксплуатационным показателям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2,15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-0,9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2,5</w:t>
            </w:r>
          </w:p>
        </w:tc>
      </w:tr>
      <w:tr w:rsidR="00640371" w:rsidRPr="00640371" w:rsidTr="00D3583C">
        <w:trPr>
          <w:trHeight w:val="756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3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Повышение технических характеристик категорий автомобильных дорог Госкомпании в целях обеспечения средней скорости движения транспортных средств по указанным автомобильным дорогам. Протяженность автомобильных дорог федерального значения I технической категории, находящихся в доверительном управлении Госкомпании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км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-232,1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-96,8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-28,6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-106,7</w:t>
            </w:r>
          </w:p>
        </w:tc>
      </w:tr>
      <w:tr w:rsidR="00640371" w:rsidRPr="00640371" w:rsidTr="00D3583C">
        <w:trPr>
          <w:trHeight w:val="98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4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Доля протяженности автомобильных дорог I технической категории в общей протяженности автомобильных дорог федерального значения, находящихся в доверительном управлении Госкомпании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-0,55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-0,5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-0,6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5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sz w:val="15"/>
                <w:szCs w:val="13"/>
              </w:rPr>
            </w:pPr>
            <w:r w:rsidRPr="00640371">
              <w:rPr>
                <w:sz w:val="15"/>
                <w:szCs w:val="13"/>
              </w:rPr>
              <w:t>Протяженность автомобильных дорог общего пользования федерального значения, переданных в доверительное управление Госкомпании, обслуживающих движение в режиме перегрузки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км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18,45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-66,6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8,2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6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sz w:val="15"/>
                <w:szCs w:val="13"/>
              </w:rPr>
            </w:pPr>
            <w:r w:rsidRPr="00640371">
              <w:rPr>
                <w:sz w:val="15"/>
                <w:szCs w:val="13"/>
              </w:rPr>
              <w:t>Доля протяженности автомобильных дорог общего пользования федерального значения, переданных в доверительное управление Госкомпании, обслуживающих движение в режиме перегрузки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-0,2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-1,75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0,6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7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Протяженность автомобильных дорог федерального значения, находящихся в доверительном управлении Госкомпании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км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-300,4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-109,9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-65,15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-125,4</w:t>
            </w:r>
          </w:p>
        </w:tc>
      </w:tr>
      <w:tr w:rsidR="00640371" w:rsidRPr="00640371" w:rsidTr="00D3583C">
        <w:trPr>
          <w:trHeight w:val="162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8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Прирост протяженности автомобильных дорог федерального значения, переданных в доверительное управление Госкомпании, на которых будут устранены ограничения пропускной способности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км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-413,1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-133,1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-123,8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-156,2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9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Безопасность движения по автомобильным дорогам Госкомпании. Удельный вес дорожно-транспортных происшествий с сопутствующими неудовлетворительными дорожными условиями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-3,9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-0,6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-3,3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</w:tr>
      <w:tr w:rsidR="00640371" w:rsidRPr="00640371" w:rsidTr="00D3583C">
        <w:trPr>
          <w:trHeight w:val="317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10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sz w:val="15"/>
                <w:szCs w:val="13"/>
              </w:rPr>
            </w:pPr>
            <w:r w:rsidRPr="00640371">
              <w:rPr>
                <w:sz w:val="15"/>
                <w:szCs w:val="13"/>
              </w:rPr>
              <w:t xml:space="preserve">Обеспечение качества обслуживания пользователей автомобильными дорогами Госкомпании, включая обеспечение объектами дорожного сервиса в границах полос отвода и придорожных </w:t>
            </w:r>
            <w:proofErr w:type="gramStart"/>
            <w:r w:rsidRPr="00640371">
              <w:rPr>
                <w:sz w:val="15"/>
                <w:szCs w:val="13"/>
              </w:rPr>
              <w:t>полос</w:t>
            </w:r>
            <w:proofErr w:type="gramEnd"/>
            <w:r w:rsidRPr="00640371">
              <w:rPr>
                <w:sz w:val="15"/>
                <w:szCs w:val="13"/>
              </w:rPr>
              <w:t xml:space="preserve"> автомобильных дорог за счет создания многофункциональных зон дорожного сервиса. Количество многофункциональных зон дорожного сервиса на автомобильных дорогах Госкомпании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шт.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-4,5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-4,5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</w:tr>
      <w:tr w:rsidR="00640371" w:rsidRPr="00640371" w:rsidTr="00D3583C">
        <w:trPr>
          <w:trHeight w:val="371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11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Прирост протяженности автомобильных дорог федерального значения, переданных в доверительное управление Госкомпании, обеспечивающих пропуск транспортных средств с нагрузкой на наиболее загруженную ось 11,5 тонны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км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-501,2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-62,8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-312,9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-125,5</w:t>
            </w:r>
          </w:p>
        </w:tc>
      </w:tr>
      <w:tr w:rsidR="00640371" w:rsidRPr="00640371" w:rsidTr="00D3583C">
        <w:trPr>
          <w:trHeight w:val="70"/>
        </w:trPr>
        <w:tc>
          <w:tcPr>
            <w:tcW w:w="5807" w:type="dxa"/>
            <w:gridSpan w:val="3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II. Целевые показатели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</w:tr>
      <w:tr w:rsidR="00640371" w:rsidRPr="00640371" w:rsidTr="00D3583C">
        <w:trPr>
          <w:trHeight w:val="46"/>
        </w:trPr>
        <w:tc>
          <w:tcPr>
            <w:tcW w:w="379" w:type="dxa"/>
            <w:vMerge w:val="restart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12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Строительство и реконструкция автомобильных дорог Госкомпании – 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км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-560,6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-182,6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-185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строительство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км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-324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-175,1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-71,5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-77,4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реконструкция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км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-236,9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-18,1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-111,1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-107,7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из них по объектам, реализуемым в рамках концессионных и инвестиционных соглашений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км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-667,1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-156,2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-258,9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-252</w:t>
            </w:r>
          </w:p>
        </w:tc>
      </w:tr>
      <w:tr w:rsidR="00640371" w:rsidRPr="00640371" w:rsidTr="00D3583C">
        <w:trPr>
          <w:trHeight w:val="88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13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Объемы капитального ремонта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км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-27,3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-78,7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-0,2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51,6</w:t>
            </w:r>
          </w:p>
        </w:tc>
      </w:tr>
      <w:tr w:rsidR="00640371" w:rsidRPr="00640371" w:rsidTr="00D3583C">
        <w:trPr>
          <w:trHeight w:val="312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14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 xml:space="preserve">Ввод в эксплуатацию автомобильных дорог федерального значения, </w:t>
            </w:r>
            <w:proofErr w:type="gramStart"/>
            <w:r w:rsidRPr="00640371">
              <w:rPr>
                <w:color w:val="000000"/>
                <w:sz w:val="15"/>
                <w:szCs w:val="13"/>
              </w:rPr>
              <w:t>мероприятия</w:t>
            </w:r>
            <w:proofErr w:type="gramEnd"/>
            <w:r w:rsidRPr="00640371">
              <w:rPr>
                <w:color w:val="000000"/>
                <w:sz w:val="15"/>
                <w:szCs w:val="13"/>
              </w:rPr>
              <w:t xml:space="preserve"> по строительству которых осуществлялись с привлечением средств Инвестиционного фонда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км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 w:val="restart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15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Размер средств, связанных с доверительным управлением Госкомпании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млн.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-205560,5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-51082,4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-69492,7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-84985,4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субсидии из федерального бюджета на осуществление деятельности по доверительному управлению автомобильными дорогами Госкомпании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млн.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60062,9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10930,5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49719,6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-587,2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 xml:space="preserve">субсидии из федерального бюджета на осуществление деятельности по организации строительства и </w:t>
            </w:r>
            <w:proofErr w:type="gramStart"/>
            <w:r w:rsidRPr="00640371">
              <w:rPr>
                <w:color w:val="000000"/>
                <w:sz w:val="15"/>
                <w:szCs w:val="13"/>
              </w:rPr>
              <w:t>реконструкции</w:t>
            </w:r>
            <w:proofErr w:type="gramEnd"/>
            <w:r w:rsidRPr="00640371">
              <w:rPr>
                <w:color w:val="000000"/>
                <w:sz w:val="15"/>
                <w:szCs w:val="13"/>
              </w:rPr>
              <w:t xml:space="preserve"> автомобильных дорог Госкомпании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млн.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-167345,8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-19821,3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-75626,7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-71897,8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доходы от осуществления деятельности по доверительному управлению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млн.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-98277,6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-42191,5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-43585,6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-12500,5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из них: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</w:tr>
      <w:tr w:rsidR="00640371" w:rsidRPr="00640371" w:rsidTr="00D3583C">
        <w:trPr>
          <w:trHeight w:val="187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доходы от сбора платы за проезд транспортных средств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млн.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-100075,7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-42682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-45175,2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-12218,5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 xml:space="preserve">плата за возмещение вреда, причиняемого транспортными средствами, </w:t>
            </w:r>
            <w:r w:rsidRPr="00640371">
              <w:rPr>
                <w:color w:val="000000"/>
                <w:sz w:val="15"/>
                <w:szCs w:val="13"/>
              </w:rPr>
              <w:lastRenderedPageBreak/>
              <w:t>осуществляющими перевозки тяжеловесных и (или) крупногабаритных грузов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lastRenderedPageBreak/>
              <w:t xml:space="preserve">млн. </w:t>
            </w:r>
            <w:r w:rsidRPr="00640371">
              <w:rPr>
                <w:color w:val="000000"/>
                <w:sz w:val="15"/>
                <w:szCs w:val="13"/>
              </w:rPr>
              <w:lastRenderedPageBreak/>
              <w:t>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lastRenderedPageBreak/>
              <w:t>-238,9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3,2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39,9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-282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 w:val="restart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lastRenderedPageBreak/>
              <w:t>16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Размер средств, связанных с собственной деятельностью Госкомпании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млн.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5660,8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1996,3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3838,1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-173,6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размер имущественного взноса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млн.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-972,7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-799,1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-173,6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из них: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имущественный взнос Российской Федерации на содержание Госкомпании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млн.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-839,8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-781,8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-58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имущественный взнос Российской Федерации на компенсацию расходов, связанных с уплатой арендной платы за земельные участки Госкомпании и финансированием кадастровых работ в отношении автомобильных дорог и земельных участков Госкомпании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млн.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-132,9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-17,3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-115,6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доходы от собственной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млн. руб.</w:t>
            </w:r>
          </w:p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6633,4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1996,2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4637,2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</w:tr>
      <w:tr w:rsidR="00640371" w:rsidRPr="00640371" w:rsidTr="00D3583C">
        <w:trPr>
          <w:trHeight w:val="300"/>
        </w:trPr>
        <w:tc>
          <w:tcPr>
            <w:tcW w:w="379" w:type="dxa"/>
            <w:vMerge w:val="restart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17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Внебюджетные средства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млн.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-124328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-63052,4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-38402,9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-22872,7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15"/>
                <w:szCs w:val="13"/>
              </w:rPr>
            </w:pP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прямые заимствования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млн.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-40261,6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-37793,6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-2695,5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227,5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собственные и заемные средства инвесторов (концессионеров)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млн.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-84066,3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-25258,8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-35707,4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-23100,1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собственные и заемные средства концессионеров по объектам, финансируемым с привлечением средств Инвестиционного фонда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млн.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</w:tr>
      <w:tr w:rsidR="00640371" w:rsidRPr="00640371" w:rsidTr="00D3583C">
        <w:trPr>
          <w:trHeight w:val="45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18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Средства Инвестиционного фонда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млн.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</w:tr>
      <w:tr w:rsidR="00640371" w:rsidRPr="00640371" w:rsidTr="00D3583C">
        <w:trPr>
          <w:trHeight w:val="228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19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 xml:space="preserve">Отношение объема привлеченного финансирования к общему объему финансирования строительства и </w:t>
            </w:r>
            <w:proofErr w:type="gramStart"/>
            <w:r w:rsidRPr="00640371">
              <w:rPr>
                <w:color w:val="000000"/>
                <w:sz w:val="15"/>
                <w:szCs w:val="13"/>
              </w:rPr>
              <w:t>реконструкции</w:t>
            </w:r>
            <w:proofErr w:type="gramEnd"/>
            <w:r w:rsidRPr="00640371">
              <w:rPr>
                <w:color w:val="000000"/>
                <w:sz w:val="15"/>
                <w:szCs w:val="13"/>
              </w:rPr>
              <w:t xml:space="preserve"> автомобильных дорог федерального значения, включая проекты, финансируемые за счет средств Инвестиционного фонда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2,3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-0,15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-2,5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4,9</w:t>
            </w:r>
          </w:p>
        </w:tc>
      </w:tr>
      <w:tr w:rsidR="00640371" w:rsidRPr="00640371" w:rsidTr="00D3583C">
        <w:trPr>
          <w:trHeight w:val="52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20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 xml:space="preserve">Отношение объема финансирования деятельности </w:t>
            </w:r>
            <w:proofErr w:type="gramStart"/>
            <w:r w:rsidRPr="00640371">
              <w:rPr>
                <w:color w:val="000000"/>
                <w:sz w:val="15"/>
                <w:szCs w:val="13"/>
              </w:rPr>
              <w:t>по доверительному управлению за счет доходов от доверительного управления Госкомпании к общему объему финансирования деятельности по доверительному управлению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14,2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-7,6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21,8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-0,02</w:t>
            </w:r>
          </w:p>
        </w:tc>
      </w:tr>
      <w:tr w:rsidR="00640371" w:rsidRPr="00640371" w:rsidTr="00D3583C">
        <w:trPr>
          <w:trHeight w:val="47"/>
        </w:trPr>
        <w:tc>
          <w:tcPr>
            <w:tcW w:w="379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21</w:t>
            </w:r>
          </w:p>
        </w:tc>
        <w:tc>
          <w:tcPr>
            <w:tcW w:w="4861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left="-67" w:right="-75" w:firstLine="0"/>
              <w:jc w:val="left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Отношение объема финансирования за счет собственных доходов к общему объему финансирования собственной (иных видов) деятельности Госкомпании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31,5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10,2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21,2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40371" w:rsidRPr="00640371" w:rsidRDefault="00640371" w:rsidP="0064037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5"/>
                <w:szCs w:val="13"/>
              </w:rPr>
            </w:pPr>
            <w:r w:rsidRPr="00640371">
              <w:rPr>
                <w:color w:val="000000"/>
                <w:sz w:val="15"/>
                <w:szCs w:val="13"/>
              </w:rPr>
              <w:t>0,15</w:t>
            </w:r>
          </w:p>
        </w:tc>
      </w:tr>
    </w:tbl>
    <w:p w:rsidR="0085369E" w:rsidRDefault="0085369E" w:rsidP="0085369E">
      <w:pPr>
        <w:spacing w:line="240" w:lineRule="auto"/>
        <w:ind w:firstLine="0"/>
        <w:jc w:val="center"/>
      </w:pPr>
    </w:p>
    <w:sectPr w:rsidR="0085369E" w:rsidSect="009541D5">
      <w:headerReference w:type="default" r:id="rId7"/>
      <w:pgSz w:w="11906" w:h="16838"/>
      <w:pgMar w:top="851" w:right="850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D29" w:rsidRDefault="00553D29" w:rsidP="009541D5">
      <w:pPr>
        <w:spacing w:line="240" w:lineRule="auto"/>
      </w:pPr>
      <w:r>
        <w:separator/>
      </w:r>
    </w:p>
  </w:endnote>
  <w:endnote w:type="continuationSeparator" w:id="0">
    <w:p w:rsidR="00553D29" w:rsidRDefault="00553D29" w:rsidP="00954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D29" w:rsidRDefault="00553D29" w:rsidP="009541D5">
      <w:pPr>
        <w:spacing w:line="240" w:lineRule="auto"/>
      </w:pPr>
      <w:r>
        <w:separator/>
      </w:r>
    </w:p>
  </w:footnote>
  <w:footnote w:type="continuationSeparator" w:id="0">
    <w:p w:rsidR="00553D29" w:rsidRDefault="00553D29" w:rsidP="009541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621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541D5" w:rsidRPr="008E36D4" w:rsidRDefault="009541D5" w:rsidP="008E36D4">
        <w:pPr>
          <w:pStyle w:val="a5"/>
          <w:ind w:firstLine="0"/>
          <w:jc w:val="center"/>
          <w:rPr>
            <w:sz w:val="20"/>
          </w:rPr>
        </w:pPr>
        <w:r w:rsidRPr="008E36D4">
          <w:rPr>
            <w:sz w:val="20"/>
          </w:rPr>
          <w:fldChar w:fldCharType="begin"/>
        </w:r>
        <w:r w:rsidRPr="008E36D4">
          <w:rPr>
            <w:sz w:val="20"/>
          </w:rPr>
          <w:instrText>PAGE   \* MERGEFORMAT</w:instrText>
        </w:r>
        <w:r w:rsidRPr="008E36D4">
          <w:rPr>
            <w:sz w:val="20"/>
          </w:rPr>
          <w:fldChar w:fldCharType="separate"/>
        </w:r>
        <w:r w:rsidR="008E36D4">
          <w:rPr>
            <w:noProof/>
            <w:sz w:val="20"/>
          </w:rPr>
          <w:t>2</w:t>
        </w:r>
        <w:r w:rsidRPr="008E36D4">
          <w:rPr>
            <w:sz w:val="20"/>
          </w:rPr>
          <w:fldChar w:fldCharType="end"/>
        </w:r>
      </w:p>
    </w:sdtContent>
  </w:sdt>
  <w:p w:rsidR="009541D5" w:rsidRDefault="009541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9E"/>
    <w:rsid w:val="000A7CB8"/>
    <w:rsid w:val="002A50D1"/>
    <w:rsid w:val="0035580F"/>
    <w:rsid w:val="004870C3"/>
    <w:rsid w:val="00553D29"/>
    <w:rsid w:val="00640371"/>
    <w:rsid w:val="006A1D6C"/>
    <w:rsid w:val="0085369E"/>
    <w:rsid w:val="008E36D4"/>
    <w:rsid w:val="009541D5"/>
    <w:rsid w:val="00AB6E4D"/>
    <w:rsid w:val="00B36588"/>
    <w:rsid w:val="00C82B80"/>
    <w:rsid w:val="00CF4222"/>
    <w:rsid w:val="00E2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0F"/>
    <w:pPr>
      <w:overflowPunct w:val="0"/>
      <w:autoSpaceDE w:val="0"/>
      <w:autoSpaceDN w:val="0"/>
      <w:adjustRightInd w:val="0"/>
      <w:textAlignment w:val="baseline"/>
    </w:pPr>
    <w:rPr>
      <w:color w:val="auto"/>
      <w:szCs w:val="28"/>
      <w:lang w:eastAsia="ru-RU"/>
    </w:rPr>
  </w:style>
  <w:style w:type="paragraph" w:styleId="1">
    <w:name w:val="heading 1"/>
    <w:next w:val="a"/>
    <w:link w:val="10"/>
    <w:uiPriority w:val="99"/>
    <w:rsid w:val="002A50D1"/>
    <w:pPr>
      <w:spacing w:line="264" w:lineRule="auto"/>
      <w:ind w:firstLine="0"/>
      <w:jc w:val="left"/>
      <w:outlineLvl w:val="0"/>
    </w:pPr>
    <w:rPr>
      <w:rFonts w:eastAsia="MS Mincho"/>
      <w:b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Знак,single space,ft"/>
    <w:basedOn w:val="a"/>
    <w:link w:val="a4"/>
    <w:uiPriority w:val="99"/>
    <w:unhideWhenUsed/>
    <w:rsid w:val="006A1D6C"/>
    <w:rPr>
      <w:lang w:val="x-none" w:eastAsia="x-none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ft Знак"/>
    <w:link w:val="a3"/>
    <w:uiPriority w:val="99"/>
    <w:rsid w:val="006A1D6C"/>
    <w:rPr>
      <w:rFonts w:eastAsia="Times New Roman"/>
      <w:lang w:val="x-none" w:eastAsia="x-none"/>
    </w:rPr>
  </w:style>
  <w:style w:type="character" w:customStyle="1" w:styleId="10">
    <w:name w:val="Заголовок 1 Знак"/>
    <w:link w:val="1"/>
    <w:uiPriority w:val="99"/>
    <w:rsid w:val="002A50D1"/>
    <w:rPr>
      <w:rFonts w:eastAsia="MS Mincho"/>
      <w:b/>
      <w:szCs w:val="27"/>
    </w:rPr>
  </w:style>
  <w:style w:type="paragraph" w:styleId="a5">
    <w:name w:val="header"/>
    <w:basedOn w:val="a"/>
    <w:link w:val="a6"/>
    <w:uiPriority w:val="99"/>
    <w:unhideWhenUsed/>
    <w:rsid w:val="009541D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41D5"/>
    <w:rPr>
      <w:color w:val="auto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9541D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41D5"/>
    <w:rPr>
      <w:color w:val="auto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0F"/>
    <w:pPr>
      <w:overflowPunct w:val="0"/>
      <w:autoSpaceDE w:val="0"/>
      <w:autoSpaceDN w:val="0"/>
      <w:adjustRightInd w:val="0"/>
      <w:textAlignment w:val="baseline"/>
    </w:pPr>
    <w:rPr>
      <w:color w:val="auto"/>
      <w:szCs w:val="28"/>
      <w:lang w:eastAsia="ru-RU"/>
    </w:rPr>
  </w:style>
  <w:style w:type="paragraph" w:styleId="1">
    <w:name w:val="heading 1"/>
    <w:next w:val="a"/>
    <w:link w:val="10"/>
    <w:uiPriority w:val="99"/>
    <w:rsid w:val="002A50D1"/>
    <w:pPr>
      <w:spacing w:line="264" w:lineRule="auto"/>
      <w:ind w:firstLine="0"/>
      <w:jc w:val="left"/>
      <w:outlineLvl w:val="0"/>
    </w:pPr>
    <w:rPr>
      <w:rFonts w:eastAsia="MS Mincho"/>
      <w:b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Знак,single space,ft"/>
    <w:basedOn w:val="a"/>
    <w:link w:val="a4"/>
    <w:uiPriority w:val="99"/>
    <w:unhideWhenUsed/>
    <w:rsid w:val="006A1D6C"/>
    <w:rPr>
      <w:lang w:val="x-none" w:eastAsia="x-none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ft Знак"/>
    <w:link w:val="a3"/>
    <w:uiPriority w:val="99"/>
    <w:rsid w:val="006A1D6C"/>
    <w:rPr>
      <w:rFonts w:eastAsia="Times New Roman"/>
      <w:lang w:val="x-none" w:eastAsia="x-none"/>
    </w:rPr>
  </w:style>
  <w:style w:type="character" w:customStyle="1" w:styleId="10">
    <w:name w:val="Заголовок 1 Знак"/>
    <w:link w:val="1"/>
    <w:uiPriority w:val="99"/>
    <w:rsid w:val="002A50D1"/>
    <w:rPr>
      <w:rFonts w:eastAsia="MS Mincho"/>
      <w:b/>
      <w:szCs w:val="27"/>
    </w:rPr>
  </w:style>
  <w:style w:type="paragraph" w:styleId="a5">
    <w:name w:val="header"/>
    <w:basedOn w:val="a"/>
    <w:link w:val="a6"/>
    <w:uiPriority w:val="99"/>
    <w:unhideWhenUsed/>
    <w:rsid w:val="009541D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41D5"/>
    <w:rPr>
      <w:color w:val="auto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9541D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41D5"/>
    <w:rPr>
      <w:color w:val="auto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Кыльчик В.В.</dc:creator>
  <cp:lastModifiedBy>Кыльчик В.В.</cp:lastModifiedBy>
  <cp:revision>4</cp:revision>
  <dcterms:created xsi:type="dcterms:W3CDTF">2021-11-26T11:52:00Z</dcterms:created>
  <dcterms:modified xsi:type="dcterms:W3CDTF">2021-11-26T11:56:00Z</dcterms:modified>
</cp:coreProperties>
</file>