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332" w:rsidRPr="00871332" w:rsidRDefault="00871332" w:rsidP="00070E34">
      <w:pPr>
        <w:ind w:left="6096"/>
        <w:jc w:val="right"/>
        <w:rPr>
          <w:bCs/>
          <w:sz w:val="28"/>
          <w:szCs w:val="28"/>
        </w:rPr>
      </w:pPr>
      <w:r w:rsidRPr="00871332">
        <w:rPr>
          <w:bCs/>
          <w:sz w:val="28"/>
          <w:szCs w:val="28"/>
        </w:rPr>
        <w:t>Приложение № </w:t>
      </w:r>
      <w:r w:rsidR="005243E0">
        <w:rPr>
          <w:bCs/>
          <w:sz w:val="28"/>
          <w:szCs w:val="28"/>
        </w:rPr>
        <w:t>2</w:t>
      </w:r>
      <w:r w:rsidR="00FD70AD">
        <w:rPr>
          <w:bCs/>
          <w:sz w:val="28"/>
          <w:szCs w:val="28"/>
        </w:rPr>
        <w:t>4</w:t>
      </w:r>
      <w:bookmarkStart w:id="0" w:name="_GoBack"/>
      <w:bookmarkEnd w:id="0"/>
    </w:p>
    <w:p w:rsidR="00716C23" w:rsidRDefault="00716C23" w:rsidP="005F3415">
      <w:pPr>
        <w:spacing w:line="360" w:lineRule="auto"/>
        <w:jc w:val="center"/>
        <w:rPr>
          <w:bCs/>
          <w:sz w:val="28"/>
          <w:szCs w:val="28"/>
        </w:rPr>
      </w:pPr>
    </w:p>
    <w:p w:rsidR="005F3415" w:rsidRDefault="00F371B6" w:rsidP="005243E0">
      <w:pPr>
        <w:jc w:val="center"/>
        <w:rPr>
          <w:bCs/>
          <w:sz w:val="28"/>
          <w:szCs w:val="28"/>
        </w:rPr>
      </w:pPr>
      <w:r>
        <w:rPr>
          <w:bCs/>
          <w:sz w:val="28"/>
          <w:szCs w:val="28"/>
        </w:rPr>
        <w:t>Информация о</w:t>
      </w:r>
      <w:r w:rsidR="003C47A5">
        <w:rPr>
          <w:bCs/>
          <w:sz w:val="28"/>
          <w:szCs w:val="28"/>
        </w:rPr>
        <w:t xml:space="preserve"> достижени</w:t>
      </w:r>
      <w:r>
        <w:rPr>
          <w:bCs/>
          <w:sz w:val="28"/>
          <w:szCs w:val="28"/>
        </w:rPr>
        <w:t>и</w:t>
      </w:r>
      <w:r w:rsidR="003C47A5">
        <w:rPr>
          <w:bCs/>
          <w:sz w:val="28"/>
          <w:szCs w:val="28"/>
        </w:rPr>
        <w:t xml:space="preserve"> </w:t>
      </w:r>
      <w:r>
        <w:rPr>
          <w:bCs/>
          <w:sz w:val="28"/>
          <w:szCs w:val="28"/>
        </w:rPr>
        <w:t xml:space="preserve">целевых значений </w:t>
      </w:r>
      <w:r>
        <w:rPr>
          <w:bCs/>
          <w:sz w:val="28"/>
          <w:szCs w:val="28"/>
        </w:rPr>
        <w:br/>
      </w:r>
      <w:r w:rsidR="003C47A5">
        <w:rPr>
          <w:bCs/>
          <w:sz w:val="28"/>
          <w:szCs w:val="28"/>
        </w:rPr>
        <w:t>межведомственных ключевых показателей</w:t>
      </w:r>
      <w:r w:rsidR="00290F7F">
        <w:rPr>
          <w:bCs/>
          <w:sz w:val="28"/>
          <w:szCs w:val="28"/>
        </w:rPr>
        <w:t xml:space="preserve"> видов контроля</w:t>
      </w:r>
    </w:p>
    <w:p w:rsidR="00290F7F" w:rsidRDefault="00290F7F" w:rsidP="005F3415">
      <w:pPr>
        <w:spacing w:line="360" w:lineRule="auto"/>
        <w:jc w:val="center"/>
        <w:rPr>
          <w:bCs/>
          <w:sz w:val="28"/>
          <w:szCs w:val="28"/>
        </w:rPr>
      </w:pPr>
    </w:p>
    <w:p w:rsidR="003C47A5" w:rsidRDefault="00293040" w:rsidP="003C47A5">
      <w:pPr>
        <w:widowControl w:val="0"/>
        <w:overflowPunct w:val="0"/>
        <w:autoSpaceDE w:val="0"/>
        <w:autoSpaceDN w:val="0"/>
        <w:adjustRightInd w:val="0"/>
        <w:spacing w:line="360" w:lineRule="auto"/>
        <w:ind w:firstLine="708"/>
        <w:jc w:val="both"/>
        <w:textAlignment w:val="baseline"/>
        <w:rPr>
          <w:sz w:val="28"/>
          <w:szCs w:val="28"/>
        </w:rPr>
      </w:pPr>
      <w:r w:rsidRPr="00830F73">
        <w:rPr>
          <w:sz w:val="28"/>
          <w:szCs w:val="28"/>
        </w:rPr>
        <w:t>У</w:t>
      </w:r>
      <w:r w:rsidR="003C47A5" w:rsidRPr="00830F73">
        <w:rPr>
          <w:sz w:val="28"/>
          <w:szCs w:val="28"/>
        </w:rPr>
        <w:t>тверждено 10 межведомственных ключевых показателей</w:t>
      </w:r>
      <w:r w:rsidR="003C47A5" w:rsidRPr="00830F73">
        <w:rPr>
          <w:sz w:val="28"/>
          <w:szCs w:val="28"/>
          <w:vertAlign w:val="superscript"/>
        </w:rPr>
        <w:footnoteReference w:id="1"/>
      </w:r>
      <w:r w:rsidR="003C47A5" w:rsidRPr="00830F73">
        <w:rPr>
          <w:sz w:val="28"/>
          <w:szCs w:val="28"/>
        </w:rPr>
        <w:t xml:space="preserve"> пяти</w:t>
      </w:r>
      <w:r w:rsidR="003C47A5" w:rsidRPr="003C47A5">
        <w:rPr>
          <w:sz w:val="28"/>
          <w:szCs w:val="28"/>
        </w:rPr>
        <w:t xml:space="preserve"> видов контроля, </w:t>
      </w:r>
      <w:r w:rsidR="00290F7F">
        <w:rPr>
          <w:sz w:val="28"/>
          <w:szCs w:val="28"/>
        </w:rPr>
        <w:t xml:space="preserve">сведения о </w:t>
      </w:r>
      <w:r w:rsidR="003C47A5" w:rsidRPr="003C47A5">
        <w:rPr>
          <w:sz w:val="28"/>
          <w:szCs w:val="28"/>
        </w:rPr>
        <w:t>которы</w:t>
      </w:r>
      <w:r w:rsidR="00290F7F">
        <w:rPr>
          <w:sz w:val="28"/>
          <w:szCs w:val="28"/>
        </w:rPr>
        <w:t>х</w:t>
      </w:r>
      <w:r w:rsidR="003C47A5" w:rsidRPr="003C47A5">
        <w:rPr>
          <w:sz w:val="28"/>
          <w:szCs w:val="28"/>
        </w:rPr>
        <w:t xml:space="preserve"> представлены в </w:t>
      </w:r>
      <w:r w:rsidR="00290F7F">
        <w:rPr>
          <w:sz w:val="28"/>
          <w:szCs w:val="28"/>
        </w:rPr>
        <w:t>т</w:t>
      </w:r>
      <w:r w:rsidR="003C47A5" w:rsidRPr="003C47A5">
        <w:rPr>
          <w:sz w:val="28"/>
          <w:szCs w:val="28"/>
        </w:rPr>
        <w:t>аблице 1.</w:t>
      </w:r>
    </w:p>
    <w:p w:rsidR="003C47A5" w:rsidRPr="00830F73" w:rsidRDefault="003C47A5" w:rsidP="00290F7F">
      <w:pPr>
        <w:widowControl w:val="0"/>
        <w:overflowPunct w:val="0"/>
        <w:autoSpaceDE w:val="0"/>
        <w:autoSpaceDN w:val="0"/>
        <w:adjustRightInd w:val="0"/>
        <w:spacing w:line="360" w:lineRule="auto"/>
        <w:ind w:right="-1"/>
        <w:jc w:val="center"/>
        <w:textAlignment w:val="baseline"/>
        <w:rPr>
          <w:i/>
          <w:sz w:val="28"/>
          <w:szCs w:val="28"/>
        </w:rPr>
      </w:pPr>
      <w:r w:rsidRPr="00830F73">
        <w:rPr>
          <w:i/>
          <w:sz w:val="28"/>
          <w:szCs w:val="28"/>
        </w:rPr>
        <w:t>Таблица № 1</w:t>
      </w:r>
      <w:r w:rsidR="00290F7F" w:rsidRPr="00830F73">
        <w:rPr>
          <w:i/>
          <w:sz w:val="28"/>
          <w:szCs w:val="28"/>
        </w:rPr>
        <w:t>.</w:t>
      </w:r>
      <w:r w:rsidR="00290F7F">
        <w:rPr>
          <w:i/>
          <w:sz w:val="28"/>
          <w:szCs w:val="28"/>
        </w:rPr>
        <w:t xml:space="preserve"> </w:t>
      </w:r>
      <w:r w:rsidRPr="00830F73">
        <w:rPr>
          <w:i/>
          <w:sz w:val="28"/>
          <w:szCs w:val="28"/>
        </w:rPr>
        <w:t>Межведомственные ключевые показатели видов контроля</w:t>
      </w:r>
    </w:p>
    <w:tbl>
      <w:tblPr>
        <w:tblStyle w:val="a8"/>
        <w:tblW w:w="9639" w:type="dxa"/>
        <w:tblInd w:w="108" w:type="dxa"/>
        <w:tblLayout w:type="fixed"/>
        <w:tblLook w:val="04A0" w:firstRow="1" w:lastRow="0" w:firstColumn="1" w:lastColumn="0" w:noHBand="0" w:noVBand="1"/>
      </w:tblPr>
      <w:tblGrid>
        <w:gridCol w:w="508"/>
        <w:gridCol w:w="3002"/>
        <w:gridCol w:w="2027"/>
        <w:gridCol w:w="4102"/>
      </w:tblGrid>
      <w:tr w:rsidR="00EC1BBA" w:rsidRPr="00654CA0" w:rsidTr="00830F73">
        <w:trPr>
          <w:tblHeader/>
        </w:trPr>
        <w:tc>
          <w:tcPr>
            <w:tcW w:w="508" w:type="dxa"/>
          </w:tcPr>
          <w:p w:rsidR="00EC1BBA" w:rsidRPr="008D6872" w:rsidRDefault="00EC1BBA" w:rsidP="004E4BFD">
            <w:pPr>
              <w:jc w:val="center"/>
              <w:rPr>
                <w:sz w:val="20"/>
                <w:szCs w:val="20"/>
              </w:rPr>
            </w:pPr>
            <w:r w:rsidRPr="008D6872">
              <w:rPr>
                <w:sz w:val="20"/>
                <w:szCs w:val="20"/>
              </w:rPr>
              <w:t>№ п/п</w:t>
            </w:r>
          </w:p>
        </w:tc>
        <w:tc>
          <w:tcPr>
            <w:tcW w:w="3002" w:type="dxa"/>
          </w:tcPr>
          <w:p w:rsidR="00EC1BBA" w:rsidRPr="00654CA0" w:rsidRDefault="00EC1BBA" w:rsidP="00290F7F">
            <w:pPr>
              <w:jc w:val="center"/>
              <w:rPr>
                <w:sz w:val="20"/>
                <w:szCs w:val="20"/>
              </w:rPr>
            </w:pPr>
            <w:r w:rsidRPr="00654CA0">
              <w:rPr>
                <w:sz w:val="20"/>
                <w:szCs w:val="20"/>
              </w:rPr>
              <w:t xml:space="preserve">Вид </w:t>
            </w:r>
            <w:r w:rsidR="00290F7F" w:rsidRPr="00290F7F">
              <w:rPr>
                <w:sz w:val="20"/>
                <w:szCs w:val="20"/>
              </w:rPr>
              <w:t xml:space="preserve">государственного </w:t>
            </w:r>
            <w:r w:rsidR="00290F7F">
              <w:rPr>
                <w:sz w:val="20"/>
                <w:szCs w:val="20"/>
              </w:rPr>
              <w:br/>
            </w:r>
            <w:r w:rsidR="00290F7F" w:rsidRPr="00290F7F">
              <w:rPr>
                <w:sz w:val="20"/>
                <w:szCs w:val="20"/>
              </w:rPr>
              <w:t>контроля (надзора)</w:t>
            </w:r>
            <w:r w:rsidR="00290F7F" w:rsidRPr="00290F7F" w:rsidDel="00290F7F">
              <w:rPr>
                <w:sz w:val="20"/>
                <w:szCs w:val="20"/>
              </w:rPr>
              <w:t xml:space="preserve"> </w:t>
            </w:r>
          </w:p>
        </w:tc>
        <w:tc>
          <w:tcPr>
            <w:tcW w:w="2027" w:type="dxa"/>
          </w:tcPr>
          <w:p w:rsidR="00EC1BBA" w:rsidRPr="00654CA0" w:rsidRDefault="00290F7F" w:rsidP="00272C56">
            <w:pPr>
              <w:jc w:val="center"/>
              <w:rPr>
                <w:sz w:val="20"/>
                <w:szCs w:val="20"/>
              </w:rPr>
            </w:pPr>
            <w:r>
              <w:rPr>
                <w:sz w:val="20"/>
                <w:szCs w:val="20"/>
              </w:rPr>
              <w:t>К</w:t>
            </w:r>
            <w:r w:rsidRPr="00290F7F">
              <w:rPr>
                <w:sz w:val="20"/>
                <w:szCs w:val="20"/>
              </w:rPr>
              <w:t>онтрольны</w:t>
            </w:r>
            <w:r w:rsidR="00272C56">
              <w:rPr>
                <w:sz w:val="20"/>
                <w:szCs w:val="20"/>
              </w:rPr>
              <w:t>й</w:t>
            </w:r>
            <w:r w:rsidRPr="00290F7F">
              <w:rPr>
                <w:sz w:val="20"/>
                <w:szCs w:val="20"/>
              </w:rPr>
              <w:t xml:space="preserve"> (надзорны</w:t>
            </w:r>
            <w:r w:rsidR="00272C56">
              <w:rPr>
                <w:sz w:val="20"/>
                <w:szCs w:val="20"/>
              </w:rPr>
              <w:t>й</w:t>
            </w:r>
            <w:r w:rsidRPr="00290F7F">
              <w:rPr>
                <w:sz w:val="20"/>
                <w:szCs w:val="20"/>
              </w:rPr>
              <w:t>) орган</w:t>
            </w:r>
          </w:p>
        </w:tc>
        <w:tc>
          <w:tcPr>
            <w:tcW w:w="4102" w:type="dxa"/>
          </w:tcPr>
          <w:p w:rsidR="00EC1BBA" w:rsidRPr="00654CA0" w:rsidRDefault="00EC1BBA" w:rsidP="00290F7F">
            <w:pPr>
              <w:jc w:val="center"/>
              <w:rPr>
                <w:sz w:val="20"/>
                <w:szCs w:val="20"/>
              </w:rPr>
            </w:pPr>
            <w:r w:rsidRPr="00654CA0">
              <w:rPr>
                <w:sz w:val="20"/>
                <w:szCs w:val="20"/>
              </w:rPr>
              <w:t>Ключевой показатель вида контроля</w:t>
            </w:r>
          </w:p>
        </w:tc>
      </w:tr>
      <w:tr w:rsidR="005243E0" w:rsidRPr="00654CA0" w:rsidTr="00830F73">
        <w:trPr>
          <w:tblHeader/>
        </w:trPr>
        <w:tc>
          <w:tcPr>
            <w:tcW w:w="508" w:type="dxa"/>
          </w:tcPr>
          <w:p w:rsidR="005243E0" w:rsidRPr="008D6872" w:rsidRDefault="005243E0" w:rsidP="005243E0">
            <w:pPr>
              <w:jc w:val="both"/>
              <w:rPr>
                <w:sz w:val="20"/>
                <w:szCs w:val="20"/>
              </w:rPr>
            </w:pPr>
            <w:r>
              <w:rPr>
                <w:sz w:val="20"/>
                <w:szCs w:val="20"/>
              </w:rPr>
              <w:t>1</w:t>
            </w:r>
          </w:p>
        </w:tc>
        <w:tc>
          <w:tcPr>
            <w:tcW w:w="3002" w:type="dxa"/>
          </w:tcPr>
          <w:p w:rsidR="005243E0" w:rsidRPr="00654CA0" w:rsidRDefault="005243E0" w:rsidP="005243E0">
            <w:pPr>
              <w:jc w:val="center"/>
              <w:rPr>
                <w:sz w:val="20"/>
                <w:szCs w:val="20"/>
              </w:rPr>
            </w:pPr>
            <w:r>
              <w:rPr>
                <w:sz w:val="20"/>
                <w:szCs w:val="20"/>
              </w:rPr>
              <w:t>2</w:t>
            </w:r>
          </w:p>
        </w:tc>
        <w:tc>
          <w:tcPr>
            <w:tcW w:w="2027" w:type="dxa"/>
          </w:tcPr>
          <w:p w:rsidR="005243E0" w:rsidRDefault="005243E0" w:rsidP="00272C56">
            <w:pPr>
              <w:jc w:val="center"/>
              <w:rPr>
                <w:sz w:val="20"/>
                <w:szCs w:val="20"/>
              </w:rPr>
            </w:pPr>
            <w:r>
              <w:rPr>
                <w:sz w:val="20"/>
                <w:szCs w:val="20"/>
              </w:rPr>
              <w:t>3</w:t>
            </w:r>
          </w:p>
        </w:tc>
        <w:tc>
          <w:tcPr>
            <w:tcW w:w="4102" w:type="dxa"/>
          </w:tcPr>
          <w:p w:rsidR="005243E0" w:rsidRPr="00654CA0" w:rsidRDefault="005243E0" w:rsidP="00290F7F">
            <w:pPr>
              <w:jc w:val="center"/>
              <w:rPr>
                <w:sz w:val="20"/>
                <w:szCs w:val="20"/>
              </w:rPr>
            </w:pPr>
            <w:r>
              <w:rPr>
                <w:sz w:val="20"/>
                <w:szCs w:val="20"/>
              </w:rPr>
              <w:t>4</w:t>
            </w:r>
          </w:p>
        </w:tc>
      </w:tr>
      <w:tr w:rsidR="00EC1BBA" w:rsidRPr="00654CA0" w:rsidTr="005243E0">
        <w:trPr>
          <w:trHeight w:val="2569"/>
        </w:trPr>
        <w:tc>
          <w:tcPr>
            <w:tcW w:w="508" w:type="dxa"/>
          </w:tcPr>
          <w:p w:rsidR="00EC1BBA" w:rsidRPr="008D6872" w:rsidRDefault="00EC1BBA" w:rsidP="00DF4D15">
            <w:pPr>
              <w:jc w:val="both"/>
              <w:rPr>
                <w:sz w:val="20"/>
                <w:szCs w:val="20"/>
              </w:rPr>
            </w:pPr>
            <w:r w:rsidRPr="008D6872">
              <w:rPr>
                <w:sz w:val="20"/>
                <w:szCs w:val="20"/>
              </w:rPr>
              <w:t>1</w:t>
            </w:r>
          </w:p>
        </w:tc>
        <w:tc>
          <w:tcPr>
            <w:tcW w:w="3002" w:type="dxa"/>
          </w:tcPr>
          <w:p w:rsidR="00EC1BBA" w:rsidRPr="00654CA0" w:rsidRDefault="00EC1BBA" w:rsidP="00DF4D15">
            <w:pPr>
              <w:jc w:val="both"/>
              <w:rPr>
                <w:sz w:val="20"/>
                <w:szCs w:val="20"/>
              </w:rPr>
            </w:pPr>
            <w:r w:rsidRPr="00654CA0">
              <w:rPr>
                <w:sz w:val="20"/>
                <w:szCs w:val="20"/>
              </w:rPr>
              <w:t>Федеральный государственный земельный контроль (надзор)</w:t>
            </w:r>
          </w:p>
        </w:tc>
        <w:tc>
          <w:tcPr>
            <w:tcW w:w="2027" w:type="dxa"/>
          </w:tcPr>
          <w:p w:rsidR="00EC1BBA" w:rsidRPr="00654CA0" w:rsidRDefault="00EC1BBA" w:rsidP="00DF4D15">
            <w:pPr>
              <w:jc w:val="both"/>
              <w:rPr>
                <w:sz w:val="20"/>
                <w:szCs w:val="20"/>
              </w:rPr>
            </w:pPr>
            <w:r w:rsidRPr="00654CA0">
              <w:rPr>
                <w:sz w:val="20"/>
                <w:szCs w:val="20"/>
              </w:rPr>
              <w:t>Россельхознадзор</w:t>
            </w:r>
          </w:p>
          <w:p w:rsidR="00EC1BBA" w:rsidRPr="00654CA0" w:rsidRDefault="00EC1BBA" w:rsidP="00DF4D15">
            <w:pPr>
              <w:jc w:val="both"/>
              <w:rPr>
                <w:sz w:val="20"/>
                <w:szCs w:val="20"/>
              </w:rPr>
            </w:pPr>
            <w:r w:rsidRPr="00654CA0">
              <w:rPr>
                <w:sz w:val="20"/>
                <w:szCs w:val="20"/>
              </w:rPr>
              <w:t>Росреестр</w:t>
            </w:r>
          </w:p>
          <w:p w:rsidR="00EC1BBA" w:rsidRPr="00654CA0" w:rsidRDefault="00EC1BBA" w:rsidP="00DF4D15">
            <w:pPr>
              <w:jc w:val="both"/>
              <w:rPr>
                <w:sz w:val="20"/>
                <w:szCs w:val="20"/>
              </w:rPr>
            </w:pPr>
            <w:r w:rsidRPr="00654CA0">
              <w:rPr>
                <w:sz w:val="20"/>
                <w:szCs w:val="20"/>
              </w:rPr>
              <w:t>Росприроднадзор</w:t>
            </w:r>
          </w:p>
        </w:tc>
        <w:tc>
          <w:tcPr>
            <w:tcW w:w="4102" w:type="dxa"/>
          </w:tcPr>
          <w:p w:rsidR="00EC1BBA" w:rsidRPr="00654CA0" w:rsidRDefault="00EC1BBA" w:rsidP="00DF4D15">
            <w:pPr>
              <w:jc w:val="both"/>
              <w:rPr>
                <w:sz w:val="20"/>
                <w:szCs w:val="20"/>
              </w:rPr>
            </w:pPr>
            <w:r w:rsidRPr="00654CA0">
              <w:rPr>
                <w:sz w:val="20"/>
                <w:szCs w:val="20"/>
              </w:rPr>
              <w:t>разность соотношения количества земельных участков, в отношении которых в отчетном периоде принято решение об их отнесении к более низкой категории риска, к общему числу земельных участков, отнесенных к категориям риска (за исключением земельных участков, отнесенных к категории низкого риска), и аналогичного соотношения количества земельных участков, в отношении которых такие решения приняты за предыдущий отчетный период</w:t>
            </w:r>
          </w:p>
        </w:tc>
      </w:tr>
      <w:tr w:rsidR="00EC1BBA" w:rsidRPr="00654CA0" w:rsidTr="00830F73">
        <w:trPr>
          <w:trHeight w:val="2407"/>
        </w:trPr>
        <w:tc>
          <w:tcPr>
            <w:tcW w:w="508" w:type="dxa"/>
          </w:tcPr>
          <w:p w:rsidR="00EC1BBA" w:rsidRPr="008D6872" w:rsidRDefault="00EC1BBA" w:rsidP="00DF4D15">
            <w:pPr>
              <w:jc w:val="both"/>
              <w:rPr>
                <w:sz w:val="20"/>
                <w:szCs w:val="20"/>
              </w:rPr>
            </w:pPr>
            <w:r w:rsidRPr="008D6872">
              <w:rPr>
                <w:sz w:val="20"/>
                <w:szCs w:val="20"/>
              </w:rPr>
              <w:t>2</w:t>
            </w:r>
          </w:p>
        </w:tc>
        <w:tc>
          <w:tcPr>
            <w:tcW w:w="3002" w:type="dxa"/>
          </w:tcPr>
          <w:p w:rsidR="00EC1BBA" w:rsidRPr="00654CA0" w:rsidRDefault="00EC1BBA" w:rsidP="00DF4D15">
            <w:pPr>
              <w:jc w:val="both"/>
              <w:rPr>
                <w:sz w:val="20"/>
                <w:szCs w:val="20"/>
              </w:rPr>
            </w:pPr>
            <w:r w:rsidRPr="00654CA0">
              <w:rPr>
                <w:sz w:val="20"/>
                <w:szCs w:val="20"/>
              </w:rPr>
              <w:t>Федеральный государственный контроль (надзор) в сфере обращения лекарственных средств</w:t>
            </w:r>
          </w:p>
        </w:tc>
        <w:tc>
          <w:tcPr>
            <w:tcW w:w="2027" w:type="dxa"/>
          </w:tcPr>
          <w:p w:rsidR="00EC1BBA" w:rsidRPr="00654CA0" w:rsidRDefault="00EC1BBA" w:rsidP="00DF4D15">
            <w:pPr>
              <w:jc w:val="both"/>
              <w:rPr>
                <w:sz w:val="20"/>
                <w:szCs w:val="20"/>
              </w:rPr>
            </w:pPr>
            <w:r w:rsidRPr="00654CA0">
              <w:rPr>
                <w:sz w:val="20"/>
                <w:szCs w:val="20"/>
              </w:rPr>
              <w:t>Россельхознадзор</w:t>
            </w:r>
          </w:p>
          <w:p w:rsidR="00EC1BBA" w:rsidRPr="00654CA0" w:rsidRDefault="00EC1BBA" w:rsidP="00DF4D15">
            <w:pPr>
              <w:jc w:val="both"/>
              <w:rPr>
                <w:sz w:val="20"/>
                <w:szCs w:val="20"/>
              </w:rPr>
            </w:pPr>
            <w:r w:rsidRPr="00654CA0">
              <w:rPr>
                <w:sz w:val="20"/>
                <w:szCs w:val="20"/>
              </w:rPr>
              <w:t>Росздравнадзор</w:t>
            </w:r>
          </w:p>
        </w:tc>
        <w:tc>
          <w:tcPr>
            <w:tcW w:w="4102" w:type="dxa"/>
          </w:tcPr>
          <w:p w:rsidR="00EC1BBA" w:rsidRPr="00654CA0" w:rsidRDefault="00EC1BBA" w:rsidP="00290F7F">
            <w:pPr>
              <w:jc w:val="both"/>
              <w:rPr>
                <w:sz w:val="20"/>
                <w:szCs w:val="20"/>
              </w:rPr>
            </w:pPr>
            <w:r w:rsidRPr="00654CA0">
              <w:rPr>
                <w:sz w:val="20"/>
                <w:szCs w:val="20"/>
              </w:rPr>
              <w:t>отношение количества серий лекарственных средств, не соответствующих требованиям Федерального закона «Об обращении лекарственных средств» и выведенных из гражданского оборота в отчетном году, к количеству серий лекарственных средств, сведения о которых представлены в соответствии с частью 2 статьи</w:t>
            </w:r>
            <w:r w:rsidR="00290F7F">
              <w:rPr>
                <w:sz w:val="20"/>
                <w:szCs w:val="20"/>
              </w:rPr>
              <w:t> </w:t>
            </w:r>
            <w:r w:rsidRPr="00654CA0">
              <w:rPr>
                <w:sz w:val="20"/>
                <w:szCs w:val="20"/>
              </w:rPr>
              <w:t>9.1 Федерального закона «Об обращении лекарственных средств» за отчетный год</w:t>
            </w:r>
          </w:p>
        </w:tc>
      </w:tr>
      <w:tr w:rsidR="00EC1BBA" w:rsidRPr="00654CA0" w:rsidTr="00830F73">
        <w:trPr>
          <w:trHeight w:val="1716"/>
        </w:trPr>
        <w:tc>
          <w:tcPr>
            <w:tcW w:w="508" w:type="dxa"/>
          </w:tcPr>
          <w:p w:rsidR="00EC1BBA" w:rsidRPr="008D6872" w:rsidRDefault="00EC1BBA" w:rsidP="00DF4D15">
            <w:pPr>
              <w:jc w:val="both"/>
              <w:rPr>
                <w:sz w:val="20"/>
                <w:szCs w:val="20"/>
              </w:rPr>
            </w:pPr>
            <w:r w:rsidRPr="008D6872">
              <w:rPr>
                <w:sz w:val="20"/>
                <w:szCs w:val="20"/>
              </w:rPr>
              <w:t>3</w:t>
            </w:r>
          </w:p>
        </w:tc>
        <w:tc>
          <w:tcPr>
            <w:tcW w:w="3002" w:type="dxa"/>
          </w:tcPr>
          <w:p w:rsidR="00EC1BBA" w:rsidRPr="00654CA0" w:rsidRDefault="00EC1BBA" w:rsidP="00DF4D15">
            <w:pPr>
              <w:jc w:val="both"/>
              <w:rPr>
                <w:sz w:val="20"/>
                <w:szCs w:val="20"/>
              </w:rPr>
            </w:pPr>
            <w:r w:rsidRPr="00654CA0">
              <w:rPr>
                <w:sz w:val="20"/>
                <w:szCs w:val="20"/>
              </w:rPr>
              <w:t>Федеральный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
        </w:tc>
        <w:tc>
          <w:tcPr>
            <w:tcW w:w="2027" w:type="dxa"/>
          </w:tcPr>
          <w:p w:rsidR="00EC1BBA" w:rsidRPr="00654CA0" w:rsidRDefault="00EC1BBA" w:rsidP="00DF4D15">
            <w:pPr>
              <w:jc w:val="both"/>
              <w:rPr>
                <w:sz w:val="20"/>
                <w:szCs w:val="20"/>
              </w:rPr>
            </w:pPr>
            <w:r w:rsidRPr="00654CA0">
              <w:rPr>
                <w:sz w:val="20"/>
                <w:szCs w:val="20"/>
              </w:rPr>
              <w:t>Роскомнадзор</w:t>
            </w:r>
          </w:p>
          <w:p w:rsidR="00EC1BBA" w:rsidRPr="00654CA0" w:rsidRDefault="00EC1BBA" w:rsidP="00DF4D15">
            <w:pPr>
              <w:jc w:val="both"/>
              <w:rPr>
                <w:sz w:val="20"/>
                <w:szCs w:val="20"/>
              </w:rPr>
            </w:pPr>
            <w:r w:rsidRPr="00654CA0">
              <w:rPr>
                <w:sz w:val="20"/>
                <w:szCs w:val="20"/>
              </w:rPr>
              <w:t>Рособрнадзор</w:t>
            </w:r>
          </w:p>
        </w:tc>
        <w:tc>
          <w:tcPr>
            <w:tcW w:w="4102" w:type="dxa"/>
          </w:tcPr>
          <w:p w:rsidR="00EC1BBA" w:rsidRPr="00654CA0" w:rsidRDefault="00EC1BBA" w:rsidP="00DF4D15">
            <w:pPr>
              <w:jc w:val="both"/>
              <w:rPr>
                <w:sz w:val="20"/>
                <w:szCs w:val="20"/>
              </w:rPr>
            </w:pPr>
            <w:r w:rsidRPr="00654CA0">
              <w:rPr>
                <w:sz w:val="20"/>
                <w:szCs w:val="20"/>
              </w:rPr>
              <w:t>отношение количества объектов контроля, отнесенных к категории значительного риска, к общему количеству объектов контроля</w:t>
            </w:r>
          </w:p>
        </w:tc>
      </w:tr>
      <w:tr w:rsidR="00EC1BBA" w:rsidRPr="00654CA0" w:rsidTr="00830F73">
        <w:tc>
          <w:tcPr>
            <w:tcW w:w="508" w:type="dxa"/>
            <w:vMerge w:val="restart"/>
          </w:tcPr>
          <w:p w:rsidR="00EC1BBA" w:rsidRPr="008D6872" w:rsidRDefault="00EC1BBA" w:rsidP="00DF4D15">
            <w:pPr>
              <w:jc w:val="both"/>
              <w:rPr>
                <w:sz w:val="20"/>
                <w:szCs w:val="20"/>
              </w:rPr>
            </w:pPr>
            <w:r w:rsidRPr="008D6872">
              <w:rPr>
                <w:sz w:val="20"/>
                <w:szCs w:val="20"/>
              </w:rPr>
              <w:t>4</w:t>
            </w:r>
          </w:p>
        </w:tc>
        <w:tc>
          <w:tcPr>
            <w:tcW w:w="3002" w:type="dxa"/>
            <w:vMerge w:val="restart"/>
          </w:tcPr>
          <w:p w:rsidR="00EC1BBA" w:rsidRPr="00654CA0" w:rsidRDefault="00EC1BBA" w:rsidP="00DF4D15">
            <w:pPr>
              <w:jc w:val="both"/>
              <w:rPr>
                <w:sz w:val="20"/>
                <w:szCs w:val="20"/>
              </w:rPr>
            </w:pPr>
            <w:r w:rsidRPr="00654CA0">
              <w:rPr>
                <w:sz w:val="20"/>
                <w:szCs w:val="20"/>
              </w:rPr>
              <w:t>Федеральный государственный контроль (надзор) в области торгового мореплавания и внутреннего водного транспорта</w:t>
            </w:r>
          </w:p>
        </w:tc>
        <w:tc>
          <w:tcPr>
            <w:tcW w:w="2027" w:type="dxa"/>
            <w:vMerge w:val="restart"/>
          </w:tcPr>
          <w:p w:rsidR="00EC1BBA" w:rsidRPr="00654CA0" w:rsidRDefault="00EC1BBA" w:rsidP="00DF4D15">
            <w:pPr>
              <w:jc w:val="both"/>
              <w:rPr>
                <w:sz w:val="20"/>
                <w:szCs w:val="20"/>
              </w:rPr>
            </w:pPr>
            <w:r w:rsidRPr="00654CA0">
              <w:rPr>
                <w:sz w:val="20"/>
                <w:szCs w:val="20"/>
              </w:rPr>
              <w:t>Ространснадзор</w:t>
            </w:r>
          </w:p>
          <w:p w:rsidR="00EC1BBA" w:rsidRPr="00654CA0" w:rsidRDefault="00EC1BBA" w:rsidP="00DF4D15">
            <w:pPr>
              <w:jc w:val="both"/>
              <w:rPr>
                <w:sz w:val="20"/>
                <w:szCs w:val="20"/>
              </w:rPr>
            </w:pPr>
            <w:r w:rsidRPr="00654CA0">
              <w:rPr>
                <w:sz w:val="20"/>
                <w:szCs w:val="20"/>
              </w:rPr>
              <w:t>Росрыболовство</w:t>
            </w:r>
          </w:p>
        </w:tc>
        <w:tc>
          <w:tcPr>
            <w:tcW w:w="4102" w:type="dxa"/>
          </w:tcPr>
          <w:p w:rsidR="00EC1BBA" w:rsidRPr="00654CA0" w:rsidRDefault="00EC1BBA" w:rsidP="00DF4D15">
            <w:pPr>
              <w:jc w:val="both"/>
              <w:rPr>
                <w:sz w:val="20"/>
                <w:szCs w:val="20"/>
              </w:rPr>
            </w:pPr>
            <w:r w:rsidRPr="00654CA0">
              <w:rPr>
                <w:sz w:val="20"/>
                <w:szCs w:val="20"/>
              </w:rPr>
              <w:t>количество пассажиров, погибших в результате аварий на морском транспорте на 1 млн. перевезенных пассажиров на морском транспорте</w:t>
            </w:r>
          </w:p>
        </w:tc>
      </w:tr>
      <w:tr w:rsidR="00EC1BBA" w:rsidRPr="00654CA0" w:rsidTr="00830F73">
        <w:tc>
          <w:tcPr>
            <w:tcW w:w="508" w:type="dxa"/>
            <w:vMerge/>
          </w:tcPr>
          <w:p w:rsidR="00EC1BBA" w:rsidRPr="008D6872" w:rsidRDefault="00EC1BBA" w:rsidP="00DF4D15">
            <w:pPr>
              <w:jc w:val="both"/>
              <w:rPr>
                <w:sz w:val="20"/>
                <w:szCs w:val="20"/>
              </w:rPr>
            </w:pPr>
          </w:p>
        </w:tc>
        <w:tc>
          <w:tcPr>
            <w:tcW w:w="3002" w:type="dxa"/>
            <w:vMerge/>
          </w:tcPr>
          <w:p w:rsidR="00EC1BBA" w:rsidRPr="00654CA0" w:rsidRDefault="00EC1BBA" w:rsidP="00DF4D15">
            <w:pPr>
              <w:jc w:val="both"/>
              <w:rPr>
                <w:sz w:val="20"/>
                <w:szCs w:val="20"/>
              </w:rPr>
            </w:pPr>
          </w:p>
        </w:tc>
        <w:tc>
          <w:tcPr>
            <w:tcW w:w="2027" w:type="dxa"/>
            <w:vMerge/>
          </w:tcPr>
          <w:p w:rsidR="00EC1BBA" w:rsidRPr="00654CA0" w:rsidRDefault="00EC1BBA" w:rsidP="00DF4D15">
            <w:pPr>
              <w:jc w:val="both"/>
              <w:rPr>
                <w:sz w:val="20"/>
                <w:szCs w:val="20"/>
              </w:rPr>
            </w:pPr>
          </w:p>
        </w:tc>
        <w:tc>
          <w:tcPr>
            <w:tcW w:w="4102" w:type="dxa"/>
          </w:tcPr>
          <w:p w:rsidR="00EC1BBA" w:rsidRPr="00654CA0" w:rsidRDefault="00EC1BBA" w:rsidP="00DF4D15">
            <w:pPr>
              <w:jc w:val="both"/>
              <w:rPr>
                <w:sz w:val="20"/>
                <w:szCs w:val="20"/>
              </w:rPr>
            </w:pPr>
            <w:r w:rsidRPr="00654CA0">
              <w:rPr>
                <w:sz w:val="20"/>
                <w:szCs w:val="20"/>
              </w:rPr>
              <w:t>количество пассажиров, погибших в результате аварий на внутреннем водном транспорте на 1 млн. перевезенных пассажиров внутренним водным транспортом</w:t>
            </w:r>
          </w:p>
        </w:tc>
      </w:tr>
      <w:tr w:rsidR="00EC1BBA" w:rsidRPr="00654CA0" w:rsidTr="00830F73">
        <w:tc>
          <w:tcPr>
            <w:tcW w:w="508" w:type="dxa"/>
            <w:vMerge/>
          </w:tcPr>
          <w:p w:rsidR="00EC1BBA" w:rsidRPr="008D6872" w:rsidRDefault="00EC1BBA" w:rsidP="00DF4D15">
            <w:pPr>
              <w:jc w:val="both"/>
              <w:rPr>
                <w:sz w:val="20"/>
                <w:szCs w:val="20"/>
              </w:rPr>
            </w:pPr>
          </w:p>
        </w:tc>
        <w:tc>
          <w:tcPr>
            <w:tcW w:w="3002" w:type="dxa"/>
            <w:vMerge/>
          </w:tcPr>
          <w:p w:rsidR="00EC1BBA" w:rsidRPr="00654CA0" w:rsidRDefault="00EC1BBA" w:rsidP="00DF4D15">
            <w:pPr>
              <w:jc w:val="both"/>
              <w:rPr>
                <w:sz w:val="20"/>
                <w:szCs w:val="20"/>
              </w:rPr>
            </w:pPr>
          </w:p>
        </w:tc>
        <w:tc>
          <w:tcPr>
            <w:tcW w:w="2027" w:type="dxa"/>
            <w:vMerge/>
          </w:tcPr>
          <w:p w:rsidR="00EC1BBA" w:rsidRPr="00654CA0" w:rsidRDefault="00EC1BBA" w:rsidP="00DF4D15">
            <w:pPr>
              <w:jc w:val="both"/>
              <w:rPr>
                <w:sz w:val="20"/>
                <w:szCs w:val="20"/>
              </w:rPr>
            </w:pPr>
          </w:p>
        </w:tc>
        <w:tc>
          <w:tcPr>
            <w:tcW w:w="4102" w:type="dxa"/>
          </w:tcPr>
          <w:p w:rsidR="00EC1BBA" w:rsidRPr="00654CA0" w:rsidRDefault="00EC1BBA" w:rsidP="00DF4D15">
            <w:pPr>
              <w:jc w:val="both"/>
              <w:rPr>
                <w:sz w:val="20"/>
                <w:szCs w:val="20"/>
              </w:rPr>
            </w:pPr>
            <w:r w:rsidRPr="00654CA0">
              <w:rPr>
                <w:sz w:val="20"/>
                <w:szCs w:val="20"/>
              </w:rPr>
              <w:t>количество пассажиров, получивших вред здоровью в результате аварий и (или) инцидентов на морском транспорте на 1 млн. перевезенных пассажиров на морском транспорте</w:t>
            </w:r>
          </w:p>
        </w:tc>
      </w:tr>
      <w:tr w:rsidR="00EC1BBA" w:rsidRPr="00654CA0" w:rsidTr="00830F73">
        <w:tc>
          <w:tcPr>
            <w:tcW w:w="508" w:type="dxa"/>
            <w:vMerge/>
          </w:tcPr>
          <w:p w:rsidR="00EC1BBA" w:rsidRPr="008D6872" w:rsidRDefault="00EC1BBA" w:rsidP="00DF4D15">
            <w:pPr>
              <w:jc w:val="both"/>
              <w:rPr>
                <w:sz w:val="20"/>
                <w:szCs w:val="20"/>
              </w:rPr>
            </w:pPr>
          </w:p>
        </w:tc>
        <w:tc>
          <w:tcPr>
            <w:tcW w:w="3002" w:type="dxa"/>
            <w:vMerge/>
          </w:tcPr>
          <w:p w:rsidR="00EC1BBA" w:rsidRPr="00654CA0" w:rsidRDefault="00EC1BBA" w:rsidP="00DF4D15">
            <w:pPr>
              <w:jc w:val="both"/>
              <w:rPr>
                <w:sz w:val="20"/>
                <w:szCs w:val="20"/>
              </w:rPr>
            </w:pPr>
          </w:p>
        </w:tc>
        <w:tc>
          <w:tcPr>
            <w:tcW w:w="2027" w:type="dxa"/>
            <w:vMerge/>
          </w:tcPr>
          <w:p w:rsidR="00EC1BBA" w:rsidRPr="00654CA0" w:rsidRDefault="00EC1BBA" w:rsidP="00DF4D15">
            <w:pPr>
              <w:jc w:val="both"/>
              <w:rPr>
                <w:sz w:val="20"/>
                <w:szCs w:val="20"/>
              </w:rPr>
            </w:pPr>
          </w:p>
        </w:tc>
        <w:tc>
          <w:tcPr>
            <w:tcW w:w="4102" w:type="dxa"/>
          </w:tcPr>
          <w:p w:rsidR="00EC1BBA" w:rsidRPr="00654CA0" w:rsidRDefault="00EC1BBA" w:rsidP="00DF4D15">
            <w:pPr>
              <w:jc w:val="both"/>
              <w:rPr>
                <w:sz w:val="20"/>
                <w:szCs w:val="20"/>
              </w:rPr>
            </w:pPr>
            <w:r w:rsidRPr="00654CA0">
              <w:rPr>
                <w:sz w:val="20"/>
                <w:szCs w:val="20"/>
              </w:rPr>
              <w:t>количество пассажиров, получивших вред здоровью в результате аварий и (или) инцидентов на внутреннем водном транспорте на 1 млн. перевезенных пассажиров внутренним водным транспортом</w:t>
            </w:r>
          </w:p>
        </w:tc>
      </w:tr>
      <w:tr w:rsidR="00EC1BBA" w:rsidRPr="00654CA0" w:rsidTr="00830F73">
        <w:tc>
          <w:tcPr>
            <w:tcW w:w="508" w:type="dxa"/>
            <w:vMerge w:val="restart"/>
          </w:tcPr>
          <w:p w:rsidR="00EC1BBA" w:rsidRPr="008D6872" w:rsidRDefault="00EC1BBA" w:rsidP="00DF4D15">
            <w:pPr>
              <w:jc w:val="both"/>
              <w:rPr>
                <w:sz w:val="20"/>
                <w:szCs w:val="20"/>
              </w:rPr>
            </w:pPr>
            <w:r w:rsidRPr="008D6872">
              <w:rPr>
                <w:sz w:val="20"/>
                <w:szCs w:val="20"/>
              </w:rPr>
              <w:lastRenderedPageBreak/>
              <w:t>5</w:t>
            </w:r>
          </w:p>
        </w:tc>
        <w:tc>
          <w:tcPr>
            <w:tcW w:w="3002" w:type="dxa"/>
            <w:vMerge w:val="restart"/>
          </w:tcPr>
          <w:p w:rsidR="00EC1BBA" w:rsidRPr="00654CA0" w:rsidRDefault="00EC1BBA" w:rsidP="00DF4D15">
            <w:pPr>
              <w:jc w:val="both"/>
              <w:rPr>
                <w:sz w:val="20"/>
                <w:szCs w:val="20"/>
              </w:rPr>
            </w:pPr>
            <w:r w:rsidRPr="00654CA0">
              <w:rPr>
                <w:sz w:val="20"/>
                <w:szCs w:val="20"/>
              </w:rPr>
              <w:t>Федеральный государственный санитарно­эпидемиологический контроль (надзор)</w:t>
            </w:r>
          </w:p>
        </w:tc>
        <w:tc>
          <w:tcPr>
            <w:tcW w:w="2027" w:type="dxa"/>
            <w:vMerge w:val="restart"/>
          </w:tcPr>
          <w:p w:rsidR="00EC1BBA" w:rsidRPr="00654CA0" w:rsidRDefault="00EC1BBA" w:rsidP="00DF4D15">
            <w:pPr>
              <w:jc w:val="both"/>
              <w:rPr>
                <w:sz w:val="20"/>
                <w:szCs w:val="20"/>
              </w:rPr>
            </w:pPr>
            <w:r w:rsidRPr="00654CA0">
              <w:rPr>
                <w:sz w:val="20"/>
                <w:szCs w:val="20"/>
              </w:rPr>
              <w:t>ФМБА России</w:t>
            </w:r>
          </w:p>
          <w:p w:rsidR="00EC1BBA" w:rsidRPr="00654CA0" w:rsidRDefault="00EC1BBA" w:rsidP="00DF4D15">
            <w:pPr>
              <w:jc w:val="both"/>
              <w:rPr>
                <w:sz w:val="20"/>
                <w:szCs w:val="20"/>
              </w:rPr>
            </w:pPr>
            <w:r w:rsidRPr="00654CA0">
              <w:rPr>
                <w:sz w:val="20"/>
                <w:szCs w:val="20"/>
              </w:rPr>
              <w:t>Роспотребнадзор</w:t>
            </w:r>
          </w:p>
        </w:tc>
        <w:tc>
          <w:tcPr>
            <w:tcW w:w="4102" w:type="dxa"/>
          </w:tcPr>
          <w:p w:rsidR="00EC1BBA" w:rsidRPr="00654CA0" w:rsidRDefault="00EC1BBA" w:rsidP="00DF4D15">
            <w:pPr>
              <w:jc w:val="both"/>
              <w:rPr>
                <w:sz w:val="20"/>
                <w:szCs w:val="20"/>
              </w:rPr>
            </w:pPr>
            <w:r w:rsidRPr="00654CA0">
              <w:rPr>
                <w:sz w:val="20"/>
                <w:szCs w:val="20"/>
              </w:rPr>
              <w:t>количество людей, заболевших инфекционными болезнями, за исключением хронических гепатитов, укусов, ослюнения животными, туберкулеза, сифилиса, гонококковой инфекции, ВИЧ-инфекции, острой респираторной вирусной инфекции, гриппа, пневмоний, на 100 тыс. населения</w:t>
            </w:r>
          </w:p>
        </w:tc>
      </w:tr>
      <w:tr w:rsidR="00EC1BBA" w:rsidRPr="00654CA0" w:rsidTr="00830F73">
        <w:tc>
          <w:tcPr>
            <w:tcW w:w="508" w:type="dxa"/>
            <w:vMerge/>
          </w:tcPr>
          <w:p w:rsidR="00EC1BBA" w:rsidRPr="00654CA0" w:rsidRDefault="00EC1BBA" w:rsidP="00DF4D15">
            <w:pPr>
              <w:jc w:val="both"/>
              <w:rPr>
                <w:sz w:val="28"/>
                <w:szCs w:val="28"/>
              </w:rPr>
            </w:pPr>
          </w:p>
        </w:tc>
        <w:tc>
          <w:tcPr>
            <w:tcW w:w="3002" w:type="dxa"/>
            <w:vMerge/>
          </w:tcPr>
          <w:p w:rsidR="00EC1BBA" w:rsidRPr="00654CA0" w:rsidRDefault="00EC1BBA" w:rsidP="00DF4D15">
            <w:pPr>
              <w:jc w:val="both"/>
              <w:rPr>
                <w:sz w:val="20"/>
                <w:szCs w:val="20"/>
              </w:rPr>
            </w:pPr>
          </w:p>
        </w:tc>
        <w:tc>
          <w:tcPr>
            <w:tcW w:w="2027" w:type="dxa"/>
            <w:vMerge/>
          </w:tcPr>
          <w:p w:rsidR="00EC1BBA" w:rsidRPr="00654CA0" w:rsidRDefault="00EC1BBA" w:rsidP="00DF4D15">
            <w:pPr>
              <w:jc w:val="both"/>
              <w:rPr>
                <w:sz w:val="20"/>
                <w:szCs w:val="20"/>
              </w:rPr>
            </w:pPr>
          </w:p>
        </w:tc>
        <w:tc>
          <w:tcPr>
            <w:tcW w:w="4102" w:type="dxa"/>
          </w:tcPr>
          <w:p w:rsidR="00EC1BBA" w:rsidRPr="00654CA0" w:rsidRDefault="00EC1BBA" w:rsidP="00DF4D15">
            <w:pPr>
              <w:jc w:val="both"/>
              <w:rPr>
                <w:sz w:val="20"/>
                <w:szCs w:val="20"/>
              </w:rPr>
            </w:pPr>
            <w:r w:rsidRPr="00654CA0">
              <w:rPr>
                <w:sz w:val="20"/>
                <w:szCs w:val="20"/>
              </w:rPr>
              <w:t>количество людей, заболевших паразитарными болезнями, на 100 тыс. населения</w:t>
            </w:r>
          </w:p>
        </w:tc>
      </w:tr>
      <w:tr w:rsidR="00EC1BBA" w:rsidRPr="00654CA0" w:rsidTr="00830F73">
        <w:tc>
          <w:tcPr>
            <w:tcW w:w="508" w:type="dxa"/>
            <w:vMerge/>
          </w:tcPr>
          <w:p w:rsidR="00EC1BBA" w:rsidRPr="00654CA0" w:rsidRDefault="00EC1BBA" w:rsidP="00DF4D15">
            <w:pPr>
              <w:jc w:val="both"/>
              <w:rPr>
                <w:sz w:val="28"/>
                <w:szCs w:val="28"/>
              </w:rPr>
            </w:pPr>
          </w:p>
        </w:tc>
        <w:tc>
          <w:tcPr>
            <w:tcW w:w="3002" w:type="dxa"/>
            <w:vMerge/>
          </w:tcPr>
          <w:p w:rsidR="00EC1BBA" w:rsidRPr="00654CA0" w:rsidRDefault="00EC1BBA" w:rsidP="00DF4D15">
            <w:pPr>
              <w:jc w:val="both"/>
              <w:rPr>
                <w:sz w:val="20"/>
                <w:szCs w:val="20"/>
              </w:rPr>
            </w:pPr>
          </w:p>
        </w:tc>
        <w:tc>
          <w:tcPr>
            <w:tcW w:w="2027" w:type="dxa"/>
            <w:vMerge/>
          </w:tcPr>
          <w:p w:rsidR="00EC1BBA" w:rsidRPr="00654CA0" w:rsidRDefault="00EC1BBA" w:rsidP="00DF4D15">
            <w:pPr>
              <w:jc w:val="both"/>
              <w:rPr>
                <w:sz w:val="20"/>
                <w:szCs w:val="20"/>
              </w:rPr>
            </w:pPr>
          </w:p>
        </w:tc>
        <w:tc>
          <w:tcPr>
            <w:tcW w:w="4102" w:type="dxa"/>
          </w:tcPr>
          <w:p w:rsidR="00EC1BBA" w:rsidRPr="00654CA0" w:rsidRDefault="00EC1BBA" w:rsidP="00DF4D15">
            <w:pPr>
              <w:jc w:val="both"/>
              <w:rPr>
                <w:sz w:val="20"/>
                <w:szCs w:val="20"/>
              </w:rPr>
            </w:pPr>
            <w:r w:rsidRPr="00654CA0">
              <w:rPr>
                <w:sz w:val="20"/>
                <w:szCs w:val="20"/>
              </w:rPr>
              <w:t>количество людей, пострадавших при пищевых отравлениях, за исключением бытовых пищевых отравлений, на 100 тыс. населения</w:t>
            </w:r>
          </w:p>
        </w:tc>
      </w:tr>
    </w:tbl>
    <w:p w:rsidR="003C47A5" w:rsidRPr="003C47A5" w:rsidRDefault="003C47A5" w:rsidP="003C47A5">
      <w:pPr>
        <w:widowControl w:val="0"/>
        <w:overflowPunct w:val="0"/>
        <w:autoSpaceDE w:val="0"/>
        <w:autoSpaceDN w:val="0"/>
        <w:adjustRightInd w:val="0"/>
        <w:spacing w:before="240" w:line="360" w:lineRule="auto"/>
        <w:ind w:firstLine="708"/>
        <w:jc w:val="both"/>
        <w:textAlignment w:val="baseline"/>
        <w:rPr>
          <w:sz w:val="28"/>
          <w:szCs w:val="28"/>
        </w:rPr>
      </w:pPr>
      <w:r w:rsidRPr="003C47A5">
        <w:rPr>
          <w:sz w:val="28"/>
          <w:szCs w:val="28"/>
        </w:rPr>
        <w:t>Анализ достижения межведомственных ключевых показателей, представленных в докладах контрольных (надзорных) органов о видах контроля, а также с учетом информации о достижении указанных показателей, представленной контрольными (надзорными) органами по запросу Счетной палаты, показал следующее.</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Постановлением Правительства Российской Федерации от 30 июня 2021 г. № 1081 «О федеральном государственном земельном контроле (надзоре)» утвержден ключевой показатель федерального государственного земельного контроля (надзора), который осуществляется Росреестром</w:t>
      </w:r>
      <w:r w:rsidRPr="003C47A5">
        <w:rPr>
          <w:sz w:val="28"/>
          <w:szCs w:val="28"/>
          <w:vertAlign w:val="superscript"/>
        </w:rPr>
        <w:footnoteReference w:id="2"/>
      </w:r>
      <w:r w:rsidRPr="003C47A5">
        <w:rPr>
          <w:sz w:val="28"/>
          <w:szCs w:val="28"/>
        </w:rPr>
        <w:t>, Россельхознадзором</w:t>
      </w:r>
      <w:r w:rsidRPr="003C47A5">
        <w:rPr>
          <w:sz w:val="28"/>
          <w:szCs w:val="28"/>
          <w:vertAlign w:val="superscript"/>
        </w:rPr>
        <w:footnoteReference w:id="3"/>
      </w:r>
      <w:r w:rsidRPr="003C47A5">
        <w:rPr>
          <w:sz w:val="28"/>
          <w:szCs w:val="28"/>
        </w:rPr>
        <w:t>, Росприроднадзором</w:t>
      </w:r>
      <w:r w:rsidRPr="003C47A5">
        <w:rPr>
          <w:sz w:val="28"/>
          <w:szCs w:val="28"/>
          <w:vertAlign w:val="superscript"/>
        </w:rPr>
        <w:footnoteReference w:id="4"/>
      </w:r>
      <w:r w:rsidRPr="003C47A5">
        <w:rPr>
          <w:sz w:val="28"/>
          <w:szCs w:val="28"/>
        </w:rPr>
        <w:t>. Фактические значения ключевого показателя рассчитаны Росреестром</w:t>
      </w:r>
      <w:r w:rsidRPr="003C47A5">
        <w:rPr>
          <w:sz w:val="28"/>
          <w:szCs w:val="28"/>
          <w:vertAlign w:val="superscript"/>
        </w:rPr>
        <w:footnoteReference w:id="5"/>
      </w:r>
      <w:r w:rsidRPr="003C47A5">
        <w:rPr>
          <w:sz w:val="28"/>
          <w:szCs w:val="28"/>
        </w:rPr>
        <w:t xml:space="preserve"> (в 2022 году – 1,8353, в 2023 году</w:t>
      </w:r>
      <w:r w:rsidR="004E4BFD">
        <w:rPr>
          <w:sz w:val="28"/>
          <w:szCs w:val="28"/>
        </w:rPr>
        <w:t> </w:t>
      </w:r>
      <w:r w:rsidRPr="003C47A5">
        <w:rPr>
          <w:sz w:val="28"/>
          <w:szCs w:val="28"/>
        </w:rPr>
        <w:t xml:space="preserve">– 1,1313) и Росприроднадзором (в 2022 году учитываются значения за 2021 и 2022 годы, а в 2021 году решения о понижении риска не принимались в связи с отсутствием </w:t>
      </w:r>
      <w:r w:rsidRPr="003C47A5">
        <w:rPr>
          <w:sz w:val="28"/>
          <w:szCs w:val="28"/>
        </w:rPr>
        <w:lastRenderedPageBreak/>
        <w:t>плановых контрольных (надзорных) мероприятий</w:t>
      </w:r>
      <w:r w:rsidRPr="003C47A5">
        <w:rPr>
          <w:sz w:val="28"/>
          <w:szCs w:val="28"/>
          <w:vertAlign w:val="superscript"/>
        </w:rPr>
        <w:footnoteReference w:id="6"/>
      </w:r>
      <w:r w:rsidRPr="003C47A5">
        <w:rPr>
          <w:sz w:val="28"/>
          <w:szCs w:val="28"/>
        </w:rPr>
        <w:t>, в 2023</w:t>
      </w:r>
      <w:r w:rsidRPr="003C47A5">
        <w:rPr>
          <w:sz w:val="28"/>
          <w:szCs w:val="28"/>
          <w:vertAlign w:val="superscript"/>
        </w:rPr>
        <w:footnoteReference w:id="7"/>
      </w:r>
      <w:r w:rsidRPr="003C47A5">
        <w:rPr>
          <w:sz w:val="28"/>
          <w:szCs w:val="28"/>
        </w:rPr>
        <w:t xml:space="preserve"> году</w:t>
      </w:r>
      <w:r w:rsidR="004E4BFD">
        <w:rPr>
          <w:sz w:val="28"/>
          <w:szCs w:val="28"/>
        </w:rPr>
        <w:t> </w:t>
      </w:r>
      <w:r w:rsidRPr="003C47A5">
        <w:rPr>
          <w:sz w:val="28"/>
          <w:szCs w:val="28"/>
        </w:rPr>
        <w:t>– 34 %). Россельхознадзором ключевой показатель в докладах о государственном земельном контроле (надзоре) за 2022</w:t>
      </w:r>
      <w:r w:rsidRPr="003C47A5">
        <w:rPr>
          <w:sz w:val="28"/>
          <w:szCs w:val="28"/>
          <w:vertAlign w:val="superscript"/>
        </w:rPr>
        <w:footnoteReference w:id="8"/>
      </w:r>
      <w:r w:rsidRPr="003C47A5">
        <w:rPr>
          <w:sz w:val="28"/>
          <w:szCs w:val="28"/>
        </w:rPr>
        <w:t xml:space="preserve"> и 2023</w:t>
      </w:r>
      <w:r w:rsidRPr="003C47A5">
        <w:rPr>
          <w:sz w:val="28"/>
          <w:szCs w:val="28"/>
          <w:vertAlign w:val="superscript"/>
        </w:rPr>
        <w:footnoteReference w:id="9"/>
      </w:r>
      <w:r w:rsidRPr="003C47A5">
        <w:rPr>
          <w:sz w:val="28"/>
          <w:szCs w:val="28"/>
        </w:rPr>
        <w:t> годы оценен как достигнутый в отсутствие сведений о фактических значениях ключевого показателя (в 2023 году решения о понижении риска практически не принимались в связи с отсутствием плановых контрольных (надзорных) мероприятий).</w:t>
      </w:r>
    </w:p>
    <w:p w:rsidR="003C47A5" w:rsidRPr="003C47A5" w:rsidRDefault="003C47A5" w:rsidP="003C47A5">
      <w:pPr>
        <w:widowControl w:val="0"/>
        <w:overflowPunct w:val="0"/>
        <w:autoSpaceDE w:val="0"/>
        <w:autoSpaceDN w:val="0"/>
        <w:adjustRightInd w:val="0"/>
        <w:spacing w:line="360" w:lineRule="auto"/>
        <w:ind w:firstLine="709"/>
        <w:jc w:val="both"/>
        <w:textAlignment w:val="baseline"/>
        <w:rPr>
          <w:sz w:val="28"/>
          <w:szCs w:val="28"/>
        </w:rPr>
      </w:pPr>
      <w:r w:rsidRPr="003C47A5">
        <w:rPr>
          <w:sz w:val="28"/>
          <w:szCs w:val="28"/>
        </w:rPr>
        <w:t>Постановлением Правительства Российской Федерации от 29 июня 2021 г. № 1049 «О федеральном государственном контроле (надзоре) в сфере обращения лекарственных средств» утвержден ключевой показатель федерального государственного контроля (надзора) в сфере обращения лекарственных средств, который осуществляется Росздравнадзором (в части лекарственных средств для медицинского применения) и Россельхознадзором (в части лекарственных средств для ветеринарного применения). Указанный ключевой показатель оценен как достигнутый в 2022 и 2023 годах при установленных целевых значениях (в 2022 году – 0,2 и менее, в 2023 году</w:t>
      </w:r>
      <w:r w:rsidR="004E4BFD">
        <w:rPr>
          <w:sz w:val="28"/>
          <w:szCs w:val="28"/>
        </w:rPr>
        <w:t> </w:t>
      </w:r>
      <w:r w:rsidRPr="003C47A5">
        <w:rPr>
          <w:sz w:val="28"/>
          <w:szCs w:val="28"/>
        </w:rPr>
        <w:t>– 0,17 и менее): Росздравнадзором</w:t>
      </w:r>
      <w:r w:rsidRPr="003C47A5">
        <w:rPr>
          <w:sz w:val="28"/>
          <w:szCs w:val="28"/>
          <w:vertAlign w:val="superscript"/>
        </w:rPr>
        <w:footnoteReference w:id="10"/>
      </w:r>
      <w:r w:rsidRPr="003C47A5">
        <w:rPr>
          <w:sz w:val="28"/>
          <w:szCs w:val="28"/>
        </w:rPr>
        <w:t xml:space="preserve"> (в 2022 году – 0,0012, в 2023 году – 0,0008) и Россельхознадзором</w:t>
      </w:r>
      <w:r w:rsidRPr="003C47A5">
        <w:rPr>
          <w:sz w:val="28"/>
          <w:szCs w:val="28"/>
          <w:vertAlign w:val="superscript"/>
        </w:rPr>
        <w:footnoteReference w:id="11"/>
      </w:r>
      <w:r w:rsidRPr="003C47A5">
        <w:rPr>
          <w:sz w:val="28"/>
          <w:szCs w:val="28"/>
        </w:rPr>
        <w:t xml:space="preserve"> (в 2022 году – 0,0029, в 2023 году – 0,0018).</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Постановлением Правительства Российской Федерации от 25 июня 2021 г. № 1019 «Об утверждении Положения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утвержден ключевой показатель федерального государственного контроля (надзора) за соблюдением законодательства Российской Федерации о защите детей от информации, причиняющей вред их здоровью и (или) развитию «отношение количества объектов контроля, отнесенных к категории значительного риска, к общему количеству объектов контроля», </w:t>
      </w:r>
      <w:r w:rsidRPr="003C47A5">
        <w:rPr>
          <w:sz w:val="28"/>
          <w:szCs w:val="28"/>
        </w:rPr>
        <w:lastRenderedPageBreak/>
        <w:t>осуществляемого Роскомнадзором и Рособрнадзором. В соответствии с представленной Роскомнадзором</w:t>
      </w:r>
      <w:r w:rsidRPr="003C47A5">
        <w:rPr>
          <w:sz w:val="28"/>
          <w:szCs w:val="28"/>
          <w:vertAlign w:val="superscript"/>
        </w:rPr>
        <w:footnoteReference w:id="12"/>
      </w:r>
      <w:r w:rsidRPr="003C47A5">
        <w:rPr>
          <w:sz w:val="28"/>
          <w:szCs w:val="28"/>
        </w:rPr>
        <w:t xml:space="preserve"> информацией указанный ключевой показатель не может быть рассчитан, так как данный вид контроля (надзора) осуществляется без взаимодействия с проверяемыми (контролируемыми) лицами в форме систематического наблюдения в отношении СМИ и вещателей, и категоризация объектов контроля не осуществляется. Рособрнадзором</w:t>
      </w:r>
      <w:r w:rsidRPr="003C47A5">
        <w:rPr>
          <w:sz w:val="28"/>
          <w:szCs w:val="28"/>
          <w:vertAlign w:val="superscript"/>
        </w:rPr>
        <w:footnoteReference w:id="13"/>
      </w:r>
      <w:r w:rsidRPr="003C47A5">
        <w:rPr>
          <w:sz w:val="28"/>
          <w:szCs w:val="28"/>
        </w:rPr>
        <w:t xml:space="preserve"> сообщается об отсутствии объектов контроля, отнесенных к категории значительного риска на конец 2022 и 2023 годов, в связи с чем ключевой показатель оценивается как достигнутый. </w:t>
      </w:r>
    </w:p>
    <w:p w:rsidR="009B3AEE" w:rsidRDefault="003C47A5" w:rsidP="009B3AEE">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Постановлением Правительства Российской Федерации от 29 июня 2021 г. № 1047 «Об утверждении Положения о федеральном государственном контроле (надзоре) в области торгового мореплавания и внутреннего водного транспорта» утверждены ключевые показателя федерального государственного контроля (надзора) в области торгового мореплавания и внутреннего водного транспорта, который осуществляется Ространснадзором и Росрыболовством (в отношении обеспечения безопасности плавания судов рыбопромыслового флота в районах промысла при осуществлении рыболовства). Вместе с тем, проведение расчета и оценки достижения указанных ключевых показателей осуществляется только Ространснадзором, по информации</w:t>
      </w:r>
      <w:r w:rsidRPr="003C47A5">
        <w:rPr>
          <w:sz w:val="28"/>
          <w:szCs w:val="28"/>
          <w:vertAlign w:val="superscript"/>
        </w:rPr>
        <w:footnoteReference w:id="14"/>
      </w:r>
      <w:r w:rsidRPr="003C47A5">
        <w:rPr>
          <w:sz w:val="28"/>
          <w:szCs w:val="28"/>
        </w:rPr>
        <w:t xml:space="preserve"> которого все ключевые показатели </w:t>
      </w:r>
      <w:r w:rsidR="009B3AEE">
        <w:rPr>
          <w:sz w:val="28"/>
          <w:szCs w:val="28"/>
        </w:rPr>
        <w:t xml:space="preserve">указанного </w:t>
      </w:r>
      <w:r w:rsidRPr="003C47A5">
        <w:rPr>
          <w:sz w:val="28"/>
          <w:szCs w:val="28"/>
        </w:rPr>
        <w:t>контроля (надзора) в 2022 и 2023 годах были достигнуты. По информации Росрыболовства</w:t>
      </w:r>
      <w:r w:rsidRPr="003C47A5">
        <w:rPr>
          <w:sz w:val="28"/>
          <w:szCs w:val="28"/>
          <w:vertAlign w:val="superscript"/>
        </w:rPr>
        <w:footnoteReference w:id="15"/>
      </w:r>
      <w:r w:rsidRPr="003C47A5">
        <w:rPr>
          <w:sz w:val="28"/>
          <w:szCs w:val="28"/>
        </w:rPr>
        <w:t>, при осуществлении федерального государственного контроля (надзора) в области торгового мореплавания и внутреннего водного транспорта Росрыболовством ключевые показатели не применяются.</w:t>
      </w:r>
    </w:p>
    <w:p w:rsidR="003C47A5" w:rsidRPr="003C47A5" w:rsidRDefault="003C47A5" w:rsidP="009B3AEE">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Постановлением Правительства Российской Федерации от 30 июня 2021 г. № 1100 «О федеральном государственном санитарно-эпидемиологическом </w:t>
      </w:r>
      <w:r w:rsidRPr="003C47A5">
        <w:rPr>
          <w:sz w:val="28"/>
          <w:szCs w:val="28"/>
        </w:rPr>
        <w:lastRenderedPageBreak/>
        <w:t xml:space="preserve">контроле (надзоре)» (далее </w:t>
      </w:r>
      <w:r w:rsidR="009B3AEE">
        <w:rPr>
          <w:sz w:val="28"/>
          <w:szCs w:val="28"/>
        </w:rPr>
        <w:t xml:space="preserve">соответственно </w:t>
      </w:r>
      <w:r w:rsidRPr="003C47A5">
        <w:rPr>
          <w:sz w:val="28"/>
          <w:szCs w:val="28"/>
        </w:rPr>
        <w:t>– Положение о санитарно-эпидемиологическом контроле</w:t>
      </w:r>
      <w:r w:rsidR="009B3AEE">
        <w:rPr>
          <w:sz w:val="28"/>
          <w:szCs w:val="28"/>
        </w:rPr>
        <w:t>, санитарно-эпидемиологический контроль (надзор</w:t>
      </w:r>
      <w:r w:rsidRPr="003C47A5">
        <w:rPr>
          <w:sz w:val="28"/>
          <w:szCs w:val="28"/>
        </w:rPr>
        <w:t>) утверждены ключевые показатели федерального государственного санитарно-эпидемиологического контроля (надзора), который осуществляется Роспотребнадзором и ФМБА России</w:t>
      </w:r>
      <w:r w:rsidRPr="003C47A5">
        <w:rPr>
          <w:sz w:val="28"/>
          <w:szCs w:val="28"/>
          <w:vertAlign w:val="superscript"/>
        </w:rPr>
        <w:footnoteReference w:id="16"/>
      </w:r>
      <w:r w:rsidRPr="003C47A5">
        <w:rPr>
          <w:sz w:val="28"/>
          <w:szCs w:val="28"/>
        </w:rPr>
        <w:t>.</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Вместе с тем, Положение о санитарно-эпидемиологическом контроле </w:t>
      </w:r>
      <w:r w:rsidRPr="003C47A5">
        <w:rPr>
          <w:b/>
          <w:sz w:val="28"/>
          <w:szCs w:val="28"/>
        </w:rPr>
        <w:t xml:space="preserve">не содержит целевые значения для утвержденных ключевых показателей, что не соответствует части 3 статьи 30 </w:t>
      </w:r>
      <w:r w:rsidR="009B3AEE">
        <w:rPr>
          <w:b/>
          <w:sz w:val="28"/>
          <w:szCs w:val="28"/>
        </w:rPr>
        <w:t>Федерального з</w:t>
      </w:r>
      <w:r w:rsidRPr="003C47A5">
        <w:rPr>
          <w:b/>
          <w:sz w:val="28"/>
          <w:szCs w:val="28"/>
        </w:rPr>
        <w:t xml:space="preserve">акона </w:t>
      </w:r>
      <w:r w:rsidR="009B3AEE" w:rsidRPr="009B3AEE">
        <w:rPr>
          <w:b/>
          <w:sz w:val="28"/>
          <w:szCs w:val="28"/>
        </w:rPr>
        <w:t>от 31</w:t>
      </w:r>
      <w:r w:rsidR="009B3AEE">
        <w:rPr>
          <w:b/>
          <w:sz w:val="28"/>
          <w:szCs w:val="28"/>
        </w:rPr>
        <w:t xml:space="preserve"> июля </w:t>
      </w:r>
      <w:r w:rsidR="009B3AEE" w:rsidRPr="009B3AEE">
        <w:rPr>
          <w:b/>
          <w:sz w:val="28"/>
          <w:szCs w:val="28"/>
        </w:rPr>
        <w:t>2020</w:t>
      </w:r>
      <w:r w:rsidR="009B3AEE">
        <w:rPr>
          <w:b/>
          <w:sz w:val="28"/>
          <w:szCs w:val="28"/>
        </w:rPr>
        <w:t xml:space="preserve"> г. </w:t>
      </w:r>
      <w:r w:rsidRPr="003C47A5">
        <w:rPr>
          <w:b/>
          <w:sz w:val="28"/>
          <w:szCs w:val="28"/>
        </w:rPr>
        <w:t>№ 248-ФЗ</w:t>
      </w:r>
      <w:r w:rsidR="009B3AEE">
        <w:rPr>
          <w:b/>
          <w:sz w:val="28"/>
          <w:szCs w:val="28"/>
        </w:rPr>
        <w:t xml:space="preserve"> «</w:t>
      </w:r>
      <w:r w:rsidR="009B3AEE" w:rsidRPr="009B3AEE">
        <w:rPr>
          <w:b/>
          <w:sz w:val="28"/>
          <w:szCs w:val="28"/>
        </w:rPr>
        <w:t>О государственном контроле (надзоре) и муниципальном контроле в Российской Федерации</w:t>
      </w:r>
      <w:r w:rsidR="009B3AEE">
        <w:rPr>
          <w:b/>
          <w:sz w:val="28"/>
          <w:szCs w:val="28"/>
        </w:rPr>
        <w:t xml:space="preserve">» </w:t>
      </w:r>
      <w:r w:rsidR="009B3AEE" w:rsidRPr="009B3AEE">
        <w:rPr>
          <w:sz w:val="28"/>
          <w:szCs w:val="28"/>
        </w:rPr>
        <w:t>(далее- Закон № </w:t>
      </w:r>
      <w:r w:rsidR="009B3AEE" w:rsidRPr="003C47A5">
        <w:rPr>
          <w:sz w:val="28"/>
          <w:szCs w:val="28"/>
        </w:rPr>
        <w:t>248-ФЗ</w:t>
      </w:r>
      <w:r w:rsidR="009B3AEE">
        <w:rPr>
          <w:sz w:val="28"/>
          <w:szCs w:val="28"/>
        </w:rPr>
        <w:t>)</w:t>
      </w:r>
      <w:r w:rsidRPr="003C47A5">
        <w:rPr>
          <w:sz w:val="28"/>
          <w:szCs w:val="28"/>
        </w:rPr>
        <w:t>, в связи с чем оценить их достижение невозможно, а также не определена требуемая интенсивность снижения уровня минимизации вреда, причиненного жизни и здоровью граждан, и (или) уровня устранения риска его причинения.</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По запросу Счетной палаты Роспотребнадзором</w:t>
      </w:r>
      <w:r w:rsidRPr="003C47A5">
        <w:rPr>
          <w:sz w:val="28"/>
          <w:szCs w:val="28"/>
          <w:vertAlign w:val="superscript"/>
        </w:rPr>
        <w:footnoteReference w:id="17"/>
      </w:r>
      <w:r w:rsidRPr="003C47A5">
        <w:rPr>
          <w:sz w:val="28"/>
          <w:szCs w:val="28"/>
        </w:rPr>
        <w:t xml:space="preserve"> и ФМБА России</w:t>
      </w:r>
      <w:r w:rsidRPr="003C47A5">
        <w:rPr>
          <w:sz w:val="28"/>
          <w:szCs w:val="28"/>
          <w:vertAlign w:val="superscript"/>
        </w:rPr>
        <w:footnoteReference w:id="18"/>
      </w:r>
      <w:r w:rsidRPr="003C47A5">
        <w:rPr>
          <w:sz w:val="28"/>
          <w:szCs w:val="28"/>
        </w:rPr>
        <w:t xml:space="preserve"> представлены следующие значения ключевых показателей санитарно-эпидемиологического контроля (надзора):</w:t>
      </w:r>
    </w:p>
    <w:p w:rsidR="009B3AEE" w:rsidRDefault="003C47A5" w:rsidP="009B3AEE">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количество людей, заболевших инфекционными болезнями, за исключением хронических гепатитов, укусов, ослюнения животными, туберкулеза, сифилиса, гонококковой инфекции, ВИЧ-инфекции, острой респираторной вирусной инфекции, гриппа, пневмоний, на 100 тыс. населения (Роспотребнадзор: в 2022 году факт – 1 307,25, оценка достижения – «да»; в 2023</w:t>
      </w:r>
      <w:r w:rsidR="00F719BD">
        <w:rPr>
          <w:sz w:val="28"/>
          <w:szCs w:val="28"/>
        </w:rPr>
        <w:t> </w:t>
      </w:r>
      <w:r w:rsidRPr="003C47A5">
        <w:rPr>
          <w:sz w:val="28"/>
          <w:szCs w:val="28"/>
        </w:rPr>
        <w:t>году факт – 1 245,79, оценка достижения – «да»; ФМБА России: в 2022 году факт – 1 010,0, оценка достижения – «да»; в 2023 году факт – 1 160, оценка достижения – «да»);</w:t>
      </w:r>
    </w:p>
    <w:p w:rsidR="003C47A5" w:rsidRPr="003C47A5" w:rsidRDefault="003C47A5" w:rsidP="009B3AEE">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количество людей, заболевших паразитарными болезнями, на 100 тыс. населения (Роспотребнадзор: в 2022 году факт – 128,76, оценка достижения</w:t>
      </w:r>
      <w:r w:rsidR="004E4BFD">
        <w:rPr>
          <w:sz w:val="28"/>
          <w:szCs w:val="28"/>
        </w:rPr>
        <w:t> </w:t>
      </w:r>
      <w:r w:rsidRPr="003C47A5">
        <w:rPr>
          <w:sz w:val="28"/>
          <w:szCs w:val="28"/>
        </w:rPr>
        <w:t xml:space="preserve">– </w:t>
      </w:r>
      <w:r w:rsidRPr="003C47A5">
        <w:rPr>
          <w:sz w:val="28"/>
          <w:szCs w:val="28"/>
        </w:rPr>
        <w:lastRenderedPageBreak/>
        <w:t xml:space="preserve">«да»; в 2023 году факт – 141,65, оценка достижения – «да»; ФМБА России: </w:t>
      </w:r>
      <w:r w:rsidRPr="003C47A5">
        <w:rPr>
          <w:sz w:val="28"/>
          <w:szCs w:val="28"/>
        </w:rPr>
        <w:br/>
        <w:t>в 2022 году факт – 140,0, оценка достижения – «да»; в 2023 году факт – 136,2, оценка достижения – «да»);</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количество людей, пострадавших при пищевых отравлениях, за исключением бытовых пищевых отравлений, на 100 тыс. населения (Роспотребнадзор: в 2022 году факт – 1,27, оценка достижения – «да»; в 2023 году факт – 1,3, оценка достижения – «да»; ФМБА России: в 2022 году факт –0, оценка достижения – «да»; в 2023 году факт – 2, оценка достижения – «да»).</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Следует отметить, что </w:t>
      </w:r>
      <w:r w:rsidRPr="003C47A5">
        <w:rPr>
          <w:b/>
          <w:sz w:val="28"/>
          <w:szCs w:val="28"/>
        </w:rPr>
        <w:t xml:space="preserve">для расчета ключевых показателей санитарно-эпидемиологического контроля (надзора) Роспотребнадзором и ФМБА России используются разные источники статистических данных. </w:t>
      </w:r>
      <w:r w:rsidRPr="003C47A5">
        <w:rPr>
          <w:sz w:val="28"/>
          <w:szCs w:val="28"/>
        </w:rPr>
        <w:t>Так:</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Роспотребнадзор</w:t>
      </w:r>
      <w:r w:rsidRPr="003C47A5">
        <w:rPr>
          <w:sz w:val="28"/>
          <w:szCs w:val="28"/>
          <w:vertAlign w:val="superscript"/>
        </w:rPr>
        <w:footnoteReference w:id="19"/>
      </w:r>
      <w:r w:rsidRPr="003C47A5">
        <w:rPr>
          <w:sz w:val="28"/>
          <w:szCs w:val="28"/>
        </w:rPr>
        <w:t xml:space="preserve"> - </w:t>
      </w:r>
      <w:r w:rsidR="009B3AEE">
        <w:rPr>
          <w:sz w:val="28"/>
          <w:szCs w:val="28"/>
        </w:rPr>
        <w:t>ф</w:t>
      </w:r>
      <w:r w:rsidRPr="003C47A5">
        <w:rPr>
          <w:sz w:val="28"/>
          <w:szCs w:val="28"/>
        </w:rPr>
        <w:t>орма № 058 «Экстренное извещение об инфекционном заболевании, пищевом, остром, профессиональном отравлении, необычной реакции на прививку»</w:t>
      </w:r>
      <w:r w:rsidRPr="003C47A5">
        <w:rPr>
          <w:sz w:val="28"/>
          <w:szCs w:val="28"/>
          <w:vertAlign w:val="superscript"/>
        </w:rPr>
        <w:footnoteReference w:id="20"/>
      </w:r>
      <w:r w:rsidRPr="003C47A5">
        <w:rPr>
          <w:sz w:val="28"/>
          <w:szCs w:val="28"/>
        </w:rPr>
        <w:t>, формы федерального статистического наблюдения № 1 и № 2 «Сведения об инфекционных и паразитарных заболеваниях»</w:t>
      </w:r>
      <w:r w:rsidRPr="003C47A5">
        <w:rPr>
          <w:sz w:val="28"/>
          <w:szCs w:val="28"/>
          <w:vertAlign w:val="superscript"/>
        </w:rPr>
        <w:footnoteReference w:id="21"/>
      </w:r>
      <w:r w:rsidRPr="003C47A5">
        <w:rPr>
          <w:sz w:val="28"/>
          <w:szCs w:val="28"/>
        </w:rPr>
        <w:t xml:space="preserve"> (далее – Форма № 2);</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ФМБА России - Форма № 2 и форма № 18 «Сведения о санитарном состоянии субъекта Российской Федерации»</w:t>
      </w:r>
      <w:r w:rsidRPr="003C47A5">
        <w:rPr>
          <w:sz w:val="28"/>
          <w:szCs w:val="28"/>
          <w:vertAlign w:val="superscript"/>
        </w:rPr>
        <w:footnoteReference w:id="22"/>
      </w:r>
      <w:r w:rsidRPr="003C47A5">
        <w:rPr>
          <w:sz w:val="28"/>
          <w:szCs w:val="28"/>
        </w:rPr>
        <w:t>.</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В соответствии с подпунктом 2 части 1 статьи 20 Закона № 248-ФЗ контрольный (надзорный) орган при организации и осуществлении государственного контроля (надзора) взаимодействует с иными органами государственной власти по вопросам создания и организации работы </w:t>
      </w:r>
      <w:r w:rsidRPr="003C47A5">
        <w:rPr>
          <w:sz w:val="28"/>
          <w:szCs w:val="28"/>
        </w:rPr>
        <w:lastRenderedPageBreak/>
        <w:t>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Счетной палатой запрошена информация о создании и организации работы межведомственных комиссий (рабочих групп), в том числе по определению и достижению целевых значений межведомственных ключевых показателей санитарно-экологического контроля (надзора) у Роспотребнадзора и федерального государственного земельного контроля (надзора) у Росприроднадзора. В соответствии с указанным запросом Роспотребнадзор и Росприроднадзор сообщили об отсутствии такой информации. </w:t>
      </w:r>
      <w:r w:rsidRPr="003C47A5">
        <w:rPr>
          <w:i/>
          <w:sz w:val="28"/>
          <w:szCs w:val="28"/>
        </w:rPr>
        <w:t>Следует отметить, что Роспотребнадзором указано на отсутствие в соответствии с действующим законодательством Российской Федерации межведомственных ключевых показателей по федеральному государственному санитарно-эпидемиологическому контролю (надзору).</w:t>
      </w:r>
    </w:p>
    <w:p w:rsidR="003C47A5" w:rsidRPr="003C47A5" w:rsidRDefault="003C47A5" w:rsidP="004E4BFD">
      <w:pPr>
        <w:widowControl w:val="0"/>
        <w:overflowPunct w:val="0"/>
        <w:autoSpaceDE w:val="0"/>
        <w:autoSpaceDN w:val="0"/>
        <w:adjustRightInd w:val="0"/>
        <w:spacing w:line="360" w:lineRule="auto"/>
        <w:ind w:firstLine="709"/>
        <w:jc w:val="both"/>
        <w:textAlignment w:val="baseline"/>
        <w:rPr>
          <w:sz w:val="28"/>
          <w:szCs w:val="28"/>
        </w:rPr>
      </w:pPr>
      <w:r w:rsidRPr="003C47A5">
        <w:rPr>
          <w:sz w:val="28"/>
          <w:szCs w:val="28"/>
        </w:rPr>
        <w:t>Анализ сводных докладов о государственном контроле (надзоре), муниципальном контроле в Российской Федерации за 2022 и 2023 годы, подготовленный Минэкономразвития России, в части оценки достижения межведомственных ключевых показателей федеральных государственных видов контроля (надзора) показал следующее.</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В сводном докладе о государственном контроле (надзоре), муниципальном контроле в Российской Федерации за 2022 год (далее – Сводный доклад за 2022</w:t>
      </w:r>
      <w:r w:rsidR="00F719BD">
        <w:rPr>
          <w:sz w:val="28"/>
          <w:szCs w:val="28"/>
        </w:rPr>
        <w:t> </w:t>
      </w:r>
      <w:r w:rsidRPr="003C47A5">
        <w:rPr>
          <w:sz w:val="28"/>
          <w:szCs w:val="28"/>
        </w:rPr>
        <w:t>год) представлена информация о достижении ключевых показатели федерального государственного санитарно-эпидемиологического надзора:</w:t>
      </w:r>
    </w:p>
    <w:p w:rsidR="003C47A5" w:rsidRPr="003C47A5" w:rsidRDefault="003C47A5" w:rsidP="004E4BFD">
      <w:pPr>
        <w:keepLines/>
        <w:widowControl w:val="0"/>
        <w:tabs>
          <w:tab w:val="left" w:pos="1134"/>
        </w:tabs>
        <w:overflowPunct w:val="0"/>
        <w:autoSpaceDE w:val="0"/>
        <w:autoSpaceDN w:val="0"/>
        <w:adjustRightInd w:val="0"/>
        <w:spacing w:line="360" w:lineRule="auto"/>
        <w:ind w:firstLine="709"/>
        <w:contextualSpacing/>
        <w:jc w:val="both"/>
        <w:textAlignment w:val="baseline"/>
        <w:rPr>
          <w:sz w:val="28"/>
          <w:szCs w:val="28"/>
        </w:rPr>
      </w:pPr>
      <w:r w:rsidRPr="003C47A5">
        <w:rPr>
          <w:sz w:val="28"/>
          <w:szCs w:val="28"/>
        </w:rPr>
        <w:t>целевое значение ключевого показателя, основанного на количестве людей, заболевших инфекционными болезнями на 100 тыс. населения, достигнуто – фактическое значение составило 1307,25 при плановом значении 1352,39 и менее;</w:t>
      </w:r>
    </w:p>
    <w:p w:rsidR="003C47A5" w:rsidRPr="003C47A5" w:rsidRDefault="003C47A5" w:rsidP="004E4BFD">
      <w:pPr>
        <w:widowControl w:val="0"/>
        <w:tabs>
          <w:tab w:val="left" w:pos="1134"/>
        </w:tabs>
        <w:overflowPunct w:val="0"/>
        <w:autoSpaceDE w:val="0"/>
        <w:autoSpaceDN w:val="0"/>
        <w:adjustRightInd w:val="0"/>
        <w:spacing w:line="360" w:lineRule="auto"/>
        <w:ind w:firstLine="709"/>
        <w:contextualSpacing/>
        <w:jc w:val="both"/>
        <w:textAlignment w:val="baseline"/>
        <w:rPr>
          <w:sz w:val="28"/>
          <w:szCs w:val="28"/>
        </w:rPr>
      </w:pPr>
      <w:r w:rsidRPr="003C47A5">
        <w:rPr>
          <w:sz w:val="28"/>
          <w:szCs w:val="28"/>
        </w:rPr>
        <w:t>целевое значение ключевого показателя, основанного на количестве людей, заболевших паразитарными болезнями на 100 тыс. населения, достигнуто – фактическое значение составило 128,76 при плановом значении 210,03 и менее;</w:t>
      </w:r>
    </w:p>
    <w:p w:rsidR="003C47A5" w:rsidRPr="003C47A5" w:rsidRDefault="003C47A5" w:rsidP="003C47A5">
      <w:pPr>
        <w:widowControl w:val="0"/>
        <w:tabs>
          <w:tab w:val="left" w:pos="1134"/>
        </w:tabs>
        <w:overflowPunct w:val="0"/>
        <w:autoSpaceDE w:val="0"/>
        <w:autoSpaceDN w:val="0"/>
        <w:adjustRightInd w:val="0"/>
        <w:spacing w:line="360" w:lineRule="auto"/>
        <w:ind w:firstLine="708"/>
        <w:contextualSpacing/>
        <w:jc w:val="both"/>
        <w:textAlignment w:val="baseline"/>
        <w:rPr>
          <w:sz w:val="28"/>
          <w:szCs w:val="28"/>
        </w:rPr>
      </w:pPr>
      <w:r w:rsidRPr="003C47A5">
        <w:rPr>
          <w:sz w:val="28"/>
          <w:szCs w:val="28"/>
        </w:rPr>
        <w:lastRenderedPageBreak/>
        <w:t xml:space="preserve">целевое значение ключевого показателя, основанного на количестве людей, пострадавших при пищевых отравлениях на 100 тыс. населения, достигнуто – фактическое значение составило 1,27 при плановом </w:t>
      </w:r>
      <w:r w:rsidR="00F719BD">
        <w:rPr>
          <w:sz w:val="28"/>
          <w:szCs w:val="28"/>
        </w:rPr>
        <w:br/>
      </w:r>
      <w:r w:rsidRPr="003C47A5">
        <w:rPr>
          <w:sz w:val="28"/>
          <w:szCs w:val="28"/>
        </w:rPr>
        <w:t>значении 1,89 и менее.</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b/>
          <w:sz w:val="28"/>
          <w:szCs w:val="28"/>
        </w:rPr>
      </w:pPr>
      <w:r w:rsidRPr="003C47A5">
        <w:rPr>
          <w:sz w:val="28"/>
          <w:szCs w:val="28"/>
        </w:rPr>
        <w:t>Таким образом, можно сделать вывод о том, что</w:t>
      </w:r>
      <w:r w:rsidRPr="003C47A5">
        <w:rPr>
          <w:b/>
          <w:sz w:val="28"/>
          <w:szCs w:val="28"/>
        </w:rPr>
        <w:t xml:space="preserve"> при оценке достижения ключевых показателей санитарно-эпидемиологического контроля, </w:t>
      </w:r>
      <w:r w:rsidRPr="003C47A5">
        <w:rPr>
          <w:sz w:val="28"/>
          <w:szCs w:val="28"/>
        </w:rPr>
        <w:t xml:space="preserve">которые по сути являются </w:t>
      </w:r>
      <w:r w:rsidRPr="003C47A5">
        <w:rPr>
          <w:b/>
          <w:sz w:val="28"/>
          <w:szCs w:val="28"/>
        </w:rPr>
        <w:t>межведомственными ключевыми показателями</w:t>
      </w:r>
      <w:r w:rsidRPr="003C47A5">
        <w:rPr>
          <w:sz w:val="28"/>
          <w:szCs w:val="28"/>
        </w:rPr>
        <w:t>, так как на их достижение влияет деятельность нескольких контрольных (надзорных) органов,</w:t>
      </w:r>
      <w:r w:rsidRPr="003C47A5">
        <w:rPr>
          <w:b/>
          <w:sz w:val="28"/>
          <w:szCs w:val="28"/>
        </w:rPr>
        <w:t xml:space="preserve"> Минэкономразвития России учитывалась информация о достижении указанных ключевых показателей только Роспотребнадзора. </w:t>
      </w:r>
      <w:r w:rsidRPr="003C47A5">
        <w:rPr>
          <w:sz w:val="28"/>
          <w:szCs w:val="28"/>
        </w:rPr>
        <w:t xml:space="preserve">Кроме того, </w:t>
      </w:r>
      <w:r w:rsidRPr="003C47A5">
        <w:rPr>
          <w:b/>
          <w:sz w:val="28"/>
          <w:szCs w:val="28"/>
        </w:rPr>
        <w:t>достижение ключевых показателей санитарно-эпидемиологического контроля (надзора) оценивалось по целевым значениям, которые Положением о санитарно-эпидемиологическом контроле не установлены.</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Также в Сводном докладе за 2022 год представлена информация о межведомственном ключевом показателе федерального государственного земельного контроля (надзора): целевое значение ключевого показателя, основанного на снижении категории риска объектов контроля, достигнуто – фактическое значение ключевого показателя составило 2,1 при плановом значении 0 % и более. При этом в докладах о федеральном государственном земельном контроле (надзоре) Россельхознадзора, Росприроднадзора и Росреестра отсутствуют сведения о достижении целевого значения ключевого показателя федерального государственного земельного контроля (надзора), по причине отсутствия решений о понижении риска в связи с отсутствием плановых контрольных (надзорных) мероприятий. По информации Росреестра, представленной по запросу Счетной палаты, фактическое значение указанного ключевого показателя в 2022 году равно 1,8, что также не соответствует значению в Сводном докладе за 2022 год.</w:t>
      </w:r>
    </w:p>
    <w:p w:rsidR="003C47A5" w:rsidRPr="003C47A5" w:rsidRDefault="003C47A5" w:rsidP="003C47A5">
      <w:pPr>
        <w:widowControl w:val="0"/>
        <w:overflowPunct w:val="0"/>
        <w:autoSpaceDE w:val="0"/>
        <w:autoSpaceDN w:val="0"/>
        <w:adjustRightInd w:val="0"/>
        <w:spacing w:line="360" w:lineRule="auto"/>
        <w:ind w:firstLine="708"/>
        <w:jc w:val="both"/>
        <w:textAlignment w:val="baseline"/>
        <w:rPr>
          <w:sz w:val="28"/>
          <w:szCs w:val="28"/>
        </w:rPr>
      </w:pPr>
      <w:r w:rsidRPr="003C47A5">
        <w:rPr>
          <w:sz w:val="28"/>
          <w:szCs w:val="28"/>
        </w:rPr>
        <w:t xml:space="preserve">В сводном докладе о государственном контроле (надзоре), муниципальном контроле в Российской Федерации за 2023 год (далее – Сводный доклад за </w:t>
      </w:r>
      <w:r w:rsidRPr="003C47A5">
        <w:rPr>
          <w:sz w:val="28"/>
          <w:szCs w:val="28"/>
        </w:rPr>
        <w:lastRenderedPageBreak/>
        <w:t>2023</w:t>
      </w:r>
      <w:r w:rsidR="00F719BD">
        <w:rPr>
          <w:sz w:val="28"/>
          <w:szCs w:val="28"/>
        </w:rPr>
        <w:t> </w:t>
      </w:r>
      <w:r w:rsidRPr="003C47A5">
        <w:rPr>
          <w:sz w:val="28"/>
          <w:szCs w:val="28"/>
        </w:rPr>
        <w:t>год) представлена информация о достижении следующих межведомственных ключевых показателях.</w:t>
      </w:r>
    </w:p>
    <w:p w:rsidR="003C47A5" w:rsidRPr="003C47A5" w:rsidRDefault="003C47A5" w:rsidP="00123E00">
      <w:pPr>
        <w:widowControl w:val="0"/>
        <w:numPr>
          <w:ilvl w:val="0"/>
          <w:numId w:val="1"/>
        </w:numPr>
        <w:tabs>
          <w:tab w:val="left" w:pos="1134"/>
        </w:tabs>
        <w:overflowPunct w:val="0"/>
        <w:autoSpaceDE w:val="0"/>
        <w:autoSpaceDN w:val="0"/>
        <w:adjustRightInd w:val="0"/>
        <w:spacing w:line="360" w:lineRule="auto"/>
        <w:ind w:left="0" w:firstLine="708"/>
        <w:contextualSpacing/>
        <w:jc w:val="both"/>
        <w:textAlignment w:val="baseline"/>
        <w:rPr>
          <w:sz w:val="28"/>
          <w:szCs w:val="28"/>
        </w:rPr>
      </w:pPr>
      <w:r w:rsidRPr="003C47A5">
        <w:rPr>
          <w:sz w:val="28"/>
          <w:szCs w:val="28"/>
        </w:rPr>
        <w:t>Ключевой показатель федерального государственного контроля (надзора) в сфере обращения лекарственных средств:</w:t>
      </w:r>
    </w:p>
    <w:p w:rsidR="003C47A5" w:rsidRPr="003C47A5" w:rsidRDefault="009B3AEE" w:rsidP="003C47A5">
      <w:pPr>
        <w:widowControl w:val="0"/>
        <w:tabs>
          <w:tab w:val="left" w:pos="1134"/>
        </w:tabs>
        <w:overflowPunct w:val="0"/>
        <w:autoSpaceDE w:val="0"/>
        <w:autoSpaceDN w:val="0"/>
        <w:adjustRightInd w:val="0"/>
        <w:spacing w:line="360" w:lineRule="auto"/>
        <w:ind w:firstLine="708"/>
        <w:contextualSpacing/>
        <w:jc w:val="both"/>
        <w:textAlignment w:val="baseline"/>
        <w:rPr>
          <w:sz w:val="28"/>
          <w:szCs w:val="28"/>
        </w:rPr>
      </w:pPr>
      <w:r>
        <w:rPr>
          <w:sz w:val="28"/>
          <w:szCs w:val="28"/>
        </w:rPr>
        <w:t>ц</w:t>
      </w:r>
      <w:r w:rsidR="003C47A5" w:rsidRPr="003C47A5">
        <w:rPr>
          <w:sz w:val="28"/>
          <w:szCs w:val="28"/>
        </w:rPr>
        <w:t>елевое значение ключевого показателя на 2023 год – 0,17 и менее, фактическое целевое значение ключевого показателя в 2023 году составило 0,09%. Изъято из обращения 283 серии лекарственных средств, качество которых не отвечает установленным требованиям. При этом общее количество серий, введенных в гражданский оборот в Российской Федерации в 2023 году</w:t>
      </w:r>
      <w:r>
        <w:rPr>
          <w:sz w:val="28"/>
          <w:szCs w:val="28"/>
        </w:rPr>
        <w:t>,</w:t>
      </w:r>
      <w:r w:rsidR="003C47A5" w:rsidRPr="003C47A5">
        <w:rPr>
          <w:sz w:val="28"/>
          <w:szCs w:val="28"/>
        </w:rPr>
        <w:t xml:space="preserve"> – 320</w:t>
      </w:r>
      <w:r w:rsidR="00F719BD">
        <w:rPr>
          <w:sz w:val="28"/>
          <w:szCs w:val="28"/>
        </w:rPr>
        <w:t> </w:t>
      </w:r>
      <w:r w:rsidR="003C47A5" w:rsidRPr="003C47A5">
        <w:rPr>
          <w:sz w:val="28"/>
          <w:szCs w:val="28"/>
        </w:rPr>
        <w:t>495</w:t>
      </w:r>
      <w:r w:rsidR="00F719BD">
        <w:rPr>
          <w:sz w:val="28"/>
          <w:szCs w:val="28"/>
        </w:rPr>
        <w:t> </w:t>
      </w:r>
      <w:r w:rsidR="003C47A5" w:rsidRPr="003C47A5">
        <w:rPr>
          <w:sz w:val="28"/>
          <w:szCs w:val="28"/>
        </w:rPr>
        <w:t>серий.</w:t>
      </w:r>
    </w:p>
    <w:p w:rsidR="003C47A5" w:rsidRPr="003C47A5" w:rsidRDefault="003C47A5" w:rsidP="003C47A5">
      <w:pPr>
        <w:widowControl w:val="0"/>
        <w:tabs>
          <w:tab w:val="left" w:pos="1134"/>
        </w:tabs>
        <w:overflowPunct w:val="0"/>
        <w:autoSpaceDE w:val="0"/>
        <w:autoSpaceDN w:val="0"/>
        <w:adjustRightInd w:val="0"/>
        <w:spacing w:line="360" w:lineRule="auto"/>
        <w:ind w:firstLine="708"/>
        <w:contextualSpacing/>
        <w:jc w:val="both"/>
        <w:textAlignment w:val="baseline"/>
        <w:rPr>
          <w:sz w:val="28"/>
          <w:szCs w:val="28"/>
        </w:rPr>
      </w:pPr>
      <w:r w:rsidRPr="003C47A5">
        <w:rPr>
          <w:b/>
          <w:sz w:val="28"/>
          <w:szCs w:val="28"/>
        </w:rPr>
        <w:t xml:space="preserve">При оценке достижения ключевого показателя федерального государственного контроля (надзора) в сфере обращения лекарственных средств Минэкономразвития России учитывал информацию, представленную только Росздравнадзором. </w:t>
      </w:r>
      <w:r w:rsidRPr="003C47A5">
        <w:rPr>
          <w:sz w:val="28"/>
          <w:szCs w:val="28"/>
        </w:rPr>
        <w:t xml:space="preserve">Вместе с тем указанный показатель по сути является межведомственным, так как на его достижение влияет деятельность нескольких контрольных (надзорных) органов. В соответствии с информацией, представленной по запросу Счетной палаты, фактическое значение указанного ключевого показателя, достигнутое Россельхознадзором в 2023 году, составило 0,0018, что не соответствует его целевому значению. </w:t>
      </w:r>
    </w:p>
    <w:p w:rsidR="003C47A5" w:rsidRPr="003C47A5" w:rsidRDefault="003C47A5" w:rsidP="00123E00">
      <w:pPr>
        <w:widowControl w:val="0"/>
        <w:numPr>
          <w:ilvl w:val="0"/>
          <w:numId w:val="1"/>
        </w:numPr>
        <w:tabs>
          <w:tab w:val="left" w:pos="1134"/>
        </w:tabs>
        <w:overflowPunct w:val="0"/>
        <w:autoSpaceDE w:val="0"/>
        <w:autoSpaceDN w:val="0"/>
        <w:adjustRightInd w:val="0"/>
        <w:spacing w:line="360" w:lineRule="auto"/>
        <w:ind w:left="0" w:firstLine="708"/>
        <w:contextualSpacing/>
        <w:jc w:val="both"/>
        <w:textAlignment w:val="baseline"/>
        <w:rPr>
          <w:sz w:val="28"/>
          <w:szCs w:val="28"/>
        </w:rPr>
      </w:pPr>
      <w:r w:rsidRPr="003C47A5">
        <w:rPr>
          <w:sz w:val="28"/>
          <w:szCs w:val="28"/>
        </w:rPr>
        <w:t>Ключевые показатели санитарно-эпидемиологического контроля (надзора):</w:t>
      </w:r>
    </w:p>
    <w:p w:rsidR="003C47A5" w:rsidRPr="003C47A5" w:rsidRDefault="009B3AEE" w:rsidP="003C47A5">
      <w:pPr>
        <w:widowControl w:val="0"/>
        <w:overflowPunct w:val="0"/>
        <w:autoSpaceDE w:val="0"/>
        <w:autoSpaceDN w:val="0"/>
        <w:adjustRightInd w:val="0"/>
        <w:spacing w:line="360" w:lineRule="auto"/>
        <w:ind w:firstLine="708"/>
        <w:contextualSpacing/>
        <w:jc w:val="both"/>
        <w:textAlignment w:val="baseline"/>
        <w:rPr>
          <w:sz w:val="28"/>
          <w:szCs w:val="28"/>
        </w:rPr>
      </w:pPr>
      <w:r>
        <w:rPr>
          <w:sz w:val="28"/>
          <w:szCs w:val="28"/>
        </w:rPr>
        <w:t>ц</w:t>
      </w:r>
      <w:r w:rsidR="003C47A5" w:rsidRPr="003C47A5">
        <w:rPr>
          <w:sz w:val="28"/>
          <w:szCs w:val="28"/>
        </w:rPr>
        <w:t xml:space="preserve">елевые значения ключевых показателей достигнуты частично ввиду того, что Роспотребнадзором информация об их достижении не представлена. Согласно информации ФМБА России, фактические значения ключевых показателей федерального государственного санитарно-эпидемиологического контроля (надзора): количество людей, заболевших инфекционными болезнями, за исключением хронических гепатитов, укусов, ослюнения животными, туберкулеза, сифилиса, гонококковой инфекции, ВИЧ-инфекции, острой респираторной вирусной инфекции, гриппа, пневмоний, </w:t>
      </w:r>
      <w:r w:rsidR="00F719BD">
        <w:rPr>
          <w:sz w:val="28"/>
          <w:szCs w:val="28"/>
        </w:rPr>
        <w:br/>
      </w:r>
      <w:r w:rsidR="003C47A5" w:rsidRPr="003C47A5">
        <w:rPr>
          <w:sz w:val="28"/>
          <w:szCs w:val="28"/>
        </w:rPr>
        <w:lastRenderedPageBreak/>
        <w:t>на 100 тыс. населения – 1 160,0 человек; количество людей, заболевших паразитарными болезнями, на 100 тыс. населения – 136,2 человек; количество людей, пострадавших при пищевых отравлениях, за исключением бытовых пищевых отравлений, на 100 тыс. населения – 2 человека.</w:t>
      </w:r>
    </w:p>
    <w:p w:rsidR="003C47A5" w:rsidRPr="003C47A5" w:rsidRDefault="003C47A5" w:rsidP="00123E00">
      <w:pPr>
        <w:widowControl w:val="0"/>
        <w:numPr>
          <w:ilvl w:val="0"/>
          <w:numId w:val="1"/>
        </w:numPr>
        <w:tabs>
          <w:tab w:val="left" w:pos="1134"/>
        </w:tabs>
        <w:overflowPunct w:val="0"/>
        <w:autoSpaceDE w:val="0"/>
        <w:autoSpaceDN w:val="0"/>
        <w:adjustRightInd w:val="0"/>
        <w:spacing w:line="360" w:lineRule="auto"/>
        <w:ind w:left="0" w:firstLine="708"/>
        <w:contextualSpacing/>
        <w:jc w:val="both"/>
        <w:textAlignment w:val="baseline"/>
        <w:rPr>
          <w:sz w:val="28"/>
          <w:szCs w:val="28"/>
        </w:rPr>
      </w:pPr>
      <w:r w:rsidRPr="003C47A5">
        <w:rPr>
          <w:sz w:val="28"/>
          <w:szCs w:val="28"/>
        </w:rPr>
        <w:t>Ключевой показатель федерального государственного земельного контроля (надзора):</w:t>
      </w:r>
    </w:p>
    <w:p w:rsidR="003C47A5" w:rsidRPr="003C47A5" w:rsidRDefault="009B3AEE" w:rsidP="003C47A5">
      <w:pPr>
        <w:widowControl w:val="0"/>
        <w:overflowPunct w:val="0"/>
        <w:autoSpaceDE w:val="0"/>
        <w:autoSpaceDN w:val="0"/>
        <w:adjustRightInd w:val="0"/>
        <w:spacing w:line="360" w:lineRule="auto"/>
        <w:ind w:firstLine="708"/>
        <w:jc w:val="both"/>
        <w:textAlignment w:val="baseline"/>
        <w:rPr>
          <w:sz w:val="28"/>
          <w:szCs w:val="28"/>
        </w:rPr>
      </w:pPr>
      <w:r>
        <w:rPr>
          <w:sz w:val="28"/>
          <w:szCs w:val="28"/>
        </w:rPr>
        <w:t>п</w:t>
      </w:r>
      <w:r w:rsidR="003C47A5" w:rsidRPr="003C47A5">
        <w:rPr>
          <w:sz w:val="28"/>
          <w:szCs w:val="28"/>
        </w:rPr>
        <w:t>риведена информация по контрольным (надзорным) органам: Росреестр (фактическое значение – 1,13), Россельхознадзор (фактическое значение – отсутствует), Росприроднадзор (фактическое значение – 34 %). Поскольку целевыми значениями ключевого показателя являются положительные значения, то показатель оценивается как достигнутый.</w:t>
      </w:r>
    </w:p>
    <w:p w:rsidR="005F3415" w:rsidRPr="006F616B" w:rsidRDefault="005F3415" w:rsidP="005F3415">
      <w:pPr>
        <w:spacing w:line="360" w:lineRule="auto"/>
        <w:jc w:val="both"/>
        <w:rPr>
          <w:bCs/>
          <w:sz w:val="28"/>
          <w:szCs w:val="28"/>
        </w:rPr>
      </w:pPr>
    </w:p>
    <w:sectPr w:rsidR="005F3415" w:rsidRPr="006F616B" w:rsidSect="00871332">
      <w:headerReference w:type="default" r:id="rId8"/>
      <w:pgSz w:w="11906" w:h="16838"/>
      <w:pgMar w:top="993" w:right="850"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046" w:rsidRDefault="00115046" w:rsidP="006F616B">
      <w:r>
        <w:separator/>
      </w:r>
    </w:p>
  </w:endnote>
  <w:endnote w:type="continuationSeparator" w:id="0">
    <w:p w:rsidR="00115046" w:rsidRDefault="00115046" w:rsidP="006F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046" w:rsidRDefault="00115046" w:rsidP="006F616B">
      <w:r>
        <w:separator/>
      </w:r>
    </w:p>
  </w:footnote>
  <w:footnote w:type="continuationSeparator" w:id="0">
    <w:p w:rsidR="00115046" w:rsidRDefault="00115046" w:rsidP="006F616B">
      <w:r>
        <w:continuationSeparator/>
      </w:r>
    </w:p>
  </w:footnote>
  <w:footnote w:id="1">
    <w:p w:rsidR="003C47A5" w:rsidRDefault="003C47A5" w:rsidP="00123E00">
      <w:pPr>
        <w:pStyle w:val="aa"/>
        <w:ind w:firstLine="284"/>
        <w:jc w:val="both"/>
      </w:pPr>
      <w:r>
        <w:rPr>
          <w:rStyle w:val="a9"/>
        </w:rPr>
        <w:footnoteRef/>
      </w:r>
      <w:r>
        <w:t xml:space="preserve"> </w:t>
      </w:r>
      <w:r w:rsidR="00123E00">
        <w:t>Межведомственные к</w:t>
      </w:r>
      <w:r w:rsidRPr="00573150">
        <w:t>лючевы</w:t>
      </w:r>
      <w:r>
        <w:t>е</w:t>
      </w:r>
      <w:r w:rsidRPr="00573150">
        <w:t xml:space="preserve"> показател</w:t>
      </w:r>
      <w:r>
        <w:t xml:space="preserve">и утверждены положениями о видах </w:t>
      </w:r>
      <w:r w:rsidRPr="00573150">
        <w:t>государственного контроля (надзора)</w:t>
      </w:r>
      <w:r>
        <w:t xml:space="preserve">, осуществляемого </w:t>
      </w:r>
      <w:r w:rsidRPr="00573150">
        <w:t>нескольки</w:t>
      </w:r>
      <w:r>
        <w:t>ми</w:t>
      </w:r>
      <w:r w:rsidRPr="00573150">
        <w:t xml:space="preserve"> контрольны</w:t>
      </w:r>
      <w:r>
        <w:t>ми</w:t>
      </w:r>
      <w:r w:rsidRPr="00573150">
        <w:t xml:space="preserve"> (надзорны</w:t>
      </w:r>
      <w:r>
        <w:t>ми</w:t>
      </w:r>
      <w:r w:rsidRPr="00573150">
        <w:t>) орган</w:t>
      </w:r>
      <w:r>
        <w:t>ами.</w:t>
      </w:r>
    </w:p>
  </w:footnote>
  <w:footnote w:id="2">
    <w:p w:rsidR="003C47A5" w:rsidRPr="006C21AF" w:rsidRDefault="003C47A5" w:rsidP="00123E00">
      <w:pPr>
        <w:pStyle w:val="aa"/>
        <w:ind w:firstLine="284"/>
        <w:jc w:val="both"/>
      </w:pPr>
      <w:r w:rsidRPr="006C21AF">
        <w:rPr>
          <w:rStyle w:val="a9"/>
        </w:rPr>
        <w:footnoteRef/>
      </w:r>
      <w:r w:rsidRPr="006C21AF">
        <w:t xml:space="preserve"> </w:t>
      </w:r>
      <w:r w:rsidR="00123E00">
        <w:t>В</w:t>
      </w:r>
      <w:r>
        <w:t xml:space="preserve"> </w:t>
      </w:r>
      <w:r w:rsidRPr="006C21AF">
        <w:t>отношении всех категорий земель</w:t>
      </w:r>
      <w:r w:rsidR="00123E00">
        <w:t>.</w:t>
      </w:r>
    </w:p>
  </w:footnote>
  <w:footnote w:id="3">
    <w:p w:rsidR="003C47A5" w:rsidRPr="006C21AF" w:rsidRDefault="003C47A5" w:rsidP="00123E00">
      <w:pPr>
        <w:pStyle w:val="aa"/>
        <w:ind w:firstLine="284"/>
        <w:jc w:val="both"/>
      </w:pPr>
      <w:r w:rsidRPr="006C21AF">
        <w:rPr>
          <w:rStyle w:val="a9"/>
        </w:rPr>
        <w:footnoteRef/>
      </w:r>
      <w:r w:rsidRPr="006C21AF">
        <w:t xml:space="preserve"> </w:t>
      </w:r>
      <w:r w:rsidR="00123E00">
        <w:t>В</w:t>
      </w:r>
      <w:r w:rsidRPr="006C21AF">
        <w:t xml:space="preserve"> отношении земель сельскохозяйственного назначения, оборот которых регулируется Федеральным законом «Об обороте земель сельскохозяйственного назначения», виноградопригодных земель</w:t>
      </w:r>
      <w:r w:rsidR="00123E00">
        <w:t>.</w:t>
      </w:r>
    </w:p>
  </w:footnote>
  <w:footnote w:id="4">
    <w:p w:rsidR="003C47A5" w:rsidRPr="006C21AF" w:rsidRDefault="003C47A5" w:rsidP="00123E00">
      <w:pPr>
        <w:pStyle w:val="aa"/>
        <w:ind w:firstLine="284"/>
        <w:jc w:val="both"/>
      </w:pPr>
      <w:r w:rsidRPr="006C21AF">
        <w:rPr>
          <w:rStyle w:val="a9"/>
        </w:rPr>
        <w:footnoteRef/>
      </w:r>
      <w:r w:rsidRPr="006C21AF">
        <w:t xml:space="preserve"> </w:t>
      </w:r>
      <w:r w:rsidR="00123E00">
        <w:t>В</w:t>
      </w:r>
      <w:r w:rsidRPr="006C21AF">
        <w:t xml:space="preserve"> отношении земель всех категорий, за исключением земель сельскохозяйственного назначения, оборот которых регулируется Федеральным законом «Об обороте земель сельскохозяйственного назначения», виноградопригодных земель и земельных участков, предоставленных подведомственным Федеральной службе безопасности Российской Федерации организациям, на которых расположены объекты, используемые такими организациями</w:t>
      </w:r>
      <w:r w:rsidR="00123E00">
        <w:t>.</w:t>
      </w:r>
    </w:p>
  </w:footnote>
  <w:footnote w:id="5">
    <w:p w:rsidR="003C47A5" w:rsidRPr="00AA61CA" w:rsidRDefault="003C47A5" w:rsidP="00123E00">
      <w:pPr>
        <w:pStyle w:val="aa"/>
        <w:ind w:firstLine="284"/>
        <w:jc w:val="both"/>
      </w:pPr>
      <w:r w:rsidRPr="00AA61CA">
        <w:rPr>
          <w:rStyle w:val="a9"/>
        </w:rPr>
        <w:footnoteRef/>
      </w:r>
      <w:r w:rsidRPr="00AA61CA">
        <w:t xml:space="preserve"> Письмо Росреестра от 16 февраля 2024 г. № А-1348 (Таблица № 8)</w:t>
      </w:r>
      <w:r>
        <w:t>.</w:t>
      </w:r>
    </w:p>
  </w:footnote>
  <w:footnote w:id="6">
    <w:p w:rsidR="003C47A5" w:rsidRPr="00AA61CA" w:rsidRDefault="003C47A5" w:rsidP="00123E00">
      <w:pPr>
        <w:pStyle w:val="aa"/>
        <w:ind w:firstLine="284"/>
        <w:jc w:val="both"/>
      </w:pPr>
      <w:r w:rsidRPr="00AA61CA">
        <w:rPr>
          <w:rStyle w:val="a9"/>
        </w:rPr>
        <w:footnoteRef/>
      </w:r>
      <w:r w:rsidRPr="00AA61CA">
        <w:t xml:space="preserve"> Доклад о федеральном государственном земельном контроле (надзоре) за 2022 год</w:t>
      </w:r>
      <w:r>
        <w:t xml:space="preserve">. </w:t>
      </w:r>
    </w:p>
  </w:footnote>
  <w:footnote w:id="7">
    <w:p w:rsidR="003C47A5" w:rsidRPr="00C4214C" w:rsidRDefault="003C47A5" w:rsidP="00123E00">
      <w:pPr>
        <w:pStyle w:val="aa"/>
        <w:ind w:firstLine="284"/>
        <w:jc w:val="both"/>
      </w:pPr>
      <w:r w:rsidRPr="00C4214C">
        <w:rPr>
          <w:rStyle w:val="a9"/>
        </w:rPr>
        <w:footnoteRef/>
      </w:r>
      <w:r w:rsidRPr="00C4214C">
        <w:t xml:space="preserve"> Доклад о федеральном государственном земельном контроле (надзоре)</w:t>
      </w:r>
      <w:r w:rsidR="004E4BFD">
        <w:t xml:space="preserve"> </w:t>
      </w:r>
      <w:r w:rsidR="004E4BFD" w:rsidRPr="00BB6CFF">
        <w:t>за 2023 год</w:t>
      </w:r>
      <w:r>
        <w:t xml:space="preserve">. </w:t>
      </w:r>
    </w:p>
  </w:footnote>
  <w:footnote w:id="8">
    <w:p w:rsidR="003C47A5" w:rsidRPr="00BB6CFF" w:rsidRDefault="003C47A5" w:rsidP="00123E00">
      <w:pPr>
        <w:pStyle w:val="aa"/>
        <w:ind w:firstLine="284"/>
        <w:jc w:val="both"/>
      </w:pPr>
      <w:r w:rsidRPr="00BB6CFF">
        <w:rPr>
          <w:rStyle w:val="a9"/>
        </w:rPr>
        <w:footnoteRef/>
      </w:r>
      <w:r w:rsidRPr="00BB6CFF">
        <w:t xml:space="preserve"> Доклад о федеральном государственном земельном контроле (надзоре) за 2022 год</w:t>
      </w:r>
      <w:r>
        <w:t>.</w:t>
      </w:r>
    </w:p>
  </w:footnote>
  <w:footnote w:id="9">
    <w:p w:rsidR="003C47A5" w:rsidRPr="00C4214C" w:rsidRDefault="003C47A5" w:rsidP="00123E00">
      <w:pPr>
        <w:pStyle w:val="aa"/>
        <w:ind w:firstLine="284"/>
        <w:jc w:val="both"/>
      </w:pPr>
      <w:r w:rsidRPr="00BB6CFF">
        <w:rPr>
          <w:rStyle w:val="a9"/>
        </w:rPr>
        <w:footnoteRef/>
      </w:r>
      <w:r w:rsidRPr="00BB6CFF">
        <w:t xml:space="preserve"> Доклад о федеральном государственном земельном контроле (надзоре) за 2023 год</w:t>
      </w:r>
      <w:r>
        <w:t xml:space="preserve">. </w:t>
      </w:r>
    </w:p>
  </w:footnote>
  <w:footnote w:id="10">
    <w:p w:rsidR="003C47A5" w:rsidRPr="006D3383" w:rsidRDefault="003C47A5" w:rsidP="00123E00">
      <w:pPr>
        <w:pStyle w:val="aa"/>
        <w:ind w:firstLine="284"/>
        <w:jc w:val="both"/>
      </w:pPr>
      <w:r w:rsidRPr="006D3383">
        <w:rPr>
          <w:rStyle w:val="a9"/>
        </w:rPr>
        <w:footnoteRef/>
      </w:r>
      <w:r w:rsidRPr="006D3383">
        <w:t xml:space="preserve"> Письмо Росздравнадзора от 13 февраля 2024 г. № А-1211 (Таблица № 8)</w:t>
      </w:r>
      <w:r>
        <w:t>.</w:t>
      </w:r>
    </w:p>
  </w:footnote>
  <w:footnote w:id="11">
    <w:p w:rsidR="003C47A5" w:rsidRPr="00327F08" w:rsidRDefault="003C47A5" w:rsidP="00123E00">
      <w:pPr>
        <w:pStyle w:val="aa"/>
        <w:ind w:firstLine="284"/>
        <w:jc w:val="both"/>
      </w:pPr>
      <w:r w:rsidRPr="00327F08">
        <w:rPr>
          <w:rStyle w:val="a9"/>
        </w:rPr>
        <w:footnoteRef/>
      </w:r>
      <w:r w:rsidRPr="00327F08">
        <w:t xml:space="preserve"> Письмо Россельхознадзора от 13 февраля 2024 г. № А-1221 (Таблица № 8)</w:t>
      </w:r>
      <w:r>
        <w:t>.</w:t>
      </w:r>
    </w:p>
  </w:footnote>
  <w:footnote w:id="12">
    <w:p w:rsidR="003C47A5" w:rsidRPr="003019A0" w:rsidRDefault="003C47A5" w:rsidP="00123E00">
      <w:pPr>
        <w:pStyle w:val="aa"/>
        <w:ind w:firstLine="284"/>
        <w:jc w:val="both"/>
      </w:pPr>
      <w:r w:rsidRPr="003019A0">
        <w:rPr>
          <w:rStyle w:val="a9"/>
        </w:rPr>
        <w:footnoteRef/>
      </w:r>
      <w:r w:rsidRPr="003019A0">
        <w:t xml:space="preserve"> Письмо Роскомнадзора от 27 февраля 2024 г. № А-1634 (Таблица № 8)</w:t>
      </w:r>
      <w:r>
        <w:t>.</w:t>
      </w:r>
    </w:p>
  </w:footnote>
  <w:footnote w:id="13">
    <w:p w:rsidR="003C47A5" w:rsidRPr="000B7DF7" w:rsidRDefault="003C47A5" w:rsidP="00123E00">
      <w:pPr>
        <w:pStyle w:val="aa"/>
        <w:ind w:firstLine="284"/>
        <w:jc w:val="both"/>
      </w:pPr>
      <w:r w:rsidRPr="000B7DF7">
        <w:rPr>
          <w:rStyle w:val="a9"/>
        </w:rPr>
        <w:footnoteRef/>
      </w:r>
      <w:r w:rsidRPr="000B7DF7">
        <w:t xml:space="preserve"> Доклады о федеральном государственном контроле (надзоре) за соблюдением законодательства Российской Федерации о защите детей от информации, причиняющей вред их здоровью и (или) развитию за 2022 и 2023</w:t>
      </w:r>
      <w:r>
        <w:t> </w:t>
      </w:r>
      <w:r w:rsidRPr="000B7DF7">
        <w:t>годы</w:t>
      </w:r>
      <w:r>
        <w:t xml:space="preserve">. </w:t>
      </w:r>
    </w:p>
  </w:footnote>
  <w:footnote w:id="14">
    <w:p w:rsidR="003C47A5" w:rsidRPr="00796A70" w:rsidRDefault="003C47A5" w:rsidP="00123E00">
      <w:pPr>
        <w:pStyle w:val="aa"/>
        <w:ind w:firstLine="284"/>
        <w:jc w:val="both"/>
      </w:pPr>
      <w:r w:rsidRPr="00796A70">
        <w:rPr>
          <w:rStyle w:val="a9"/>
        </w:rPr>
        <w:footnoteRef/>
      </w:r>
      <w:r w:rsidRPr="00796A70">
        <w:t xml:space="preserve"> Доклады о федеральном государственном контроле (надзоре) в области торгового мореплавания и внутреннего водного транспорта Ространснадзора за 2022 и 2023 годы</w:t>
      </w:r>
      <w:r>
        <w:t>.</w:t>
      </w:r>
    </w:p>
  </w:footnote>
  <w:footnote w:id="15">
    <w:p w:rsidR="003C47A5" w:rsidRPr="00CB1E7C" w:rsidRDefault="003C47A5" w:rsidP="00123E00">
      <w:pPr>
        <w:pStyle w:val="aa"/>
        <w:ind w:firstLine="284"/>
        <w:jc w:val="both"/>
      </w:pPr>
      <w:r w:rsidRPr="00CB1E7C">
        <w:rPr>
          <w:rStyle w:val="a9"/>
        </w:rPr>
        <w:footnoteRef/>
      </w:r>
      <w:r w:rsidRPr="00CB1E7C">
        <w:t xml:space="preserve"> Доклад о федеральном государственном контроле (надзоре) в области торгового мореплавания и внутреннего водного транспорта Росрыболовства за 2023 год</w:t>
      </w:r>
      <w:r>
        <w:t>.</w:t>
      </w:r>
    </w:p>
  </w:footnote>
  <w:footnote w:id="16">
    <w:p w:rsidR="003C47A5" w:rsidRPr="00C76D47" w:rsidRDefault="003C47A5" w:rsidP="00123E00">
      <w:pPr>
        <w:pStyle w:val="aa"/>
        <w:ind w:firstLine="284"/>
        <w:jc w:val="both"/>
      </w:pPr>
      <w:r w:rsidRPr="00C76D47">
        <w:rPr>
          <w:rStyle w:val="a9"/>
        </w:rPr>
        <w:footnoteRef/>
      </w:r>
      <w:r w:rsidRPr="00C76D47">
        <w:t xml:space="preserve"> </w:t>
      </w:r>
      <w:r w:rsidR="004E4BFD">
        <w:t>В</w:t>
      </w:r>
      <w:r w:rsidRPr="00C76D47">
        <w:t xml:space="preserve"> </w:t>
      </w:r>
      <w:r>
        <w:t>о</w:t>
      </w:r>
      <w:r w:rsidRPr="00C76D47">
        <w:t>рганизациях отдельных отраслей промышленности с особо опасными условиями труда и на отдельных территориях Российской Федерации по перечню, утверждаемому Правительством Российской Федерации, а также подведомственными им федеральными государственными учреждениями в предусмотренных Федеральным законом от 24 июля 2023 г. № 382-ФЗ «О санитарно-эпидемиологическом благополучии населения» случаях</w:t>
      </w:r>
      <w:r w:rsidR="004E4BFD">
        <w:t>.</w:t>
      </w:r>
    </w:p>
  </w:footnote>
  <w:footnote w:id="17">
    <w:p w:rsidR="003C47A5" w:rsidRPr="003E0BAC" w:rsidRDefault="003C47A5" w:rsidP="00123E00">
      <w:pPr>
        <w:pStyle w:val="aa"/>
        <w:ind w:firstLine="284"/>
        <w:jc w:val="both"/>
      </w:pPr>
      <w:r w:rsidRPr="003E0BAC">
        <w:rPr>
          <w:rStyle w:val="a9"/>
        </w:rPr>
        <w:footnoteRef/>
      </w:r>
      <w:r w:rsidRPr="003E0BAC">
        <w:t xml:space="preserve"> Письмо Роспотребнадзора от 15 февраля 2024 г. № А-1259 (Приложение № 11)</w:t>
      </w:r>
      <w:r>
        <w:t>.</w:t>
      </w:r>
    </w:p>
  </w:footnote>
  <w:footnote w:id="18">
    <w:p w:rsidR="003C47A5" w:rsidRPr="009065E3" w:rsidRDefault="003C47A5" w:rsidP="00123E00">
      <w:pPr>
        <w:pStyle w:val="aa"/>
        <w:ind w:firstLine="284"/>
        <w:jc w:val="both"/>
      </w:pPr>
      <w:r w:rsidRPr="009065E3">
        <w:rPr>
          <w:rStyle w:val="a9"/>
        </w:rPr>
        <w:footnoteRef/>
      </w:r>
      <w:r w:rsidRPr="009065E3">
        <w:t xml:space="preserve"> Письмо ФМБА России от 16 февраля 2024 г. № А-1325 (Таблица № 8)</w:t>
      </w:r>
      <w:r>
        <w:t>.</w:t>
      </w:r>
    </w:p>
  </w:footnote>
  <w:footnote w:id="19">
    <w:p w:rsidR="003C47A5" w:rsidRPr="007437F6" w:rsidRDefault="003C47A5" w:rsidP="00123E00">
      <w:pPr>
        <w:pStyle w:val="aa"/>
        <w:ind w:firstLine="284"/>
        <w:jc w:val="both"/>
      </w:pPr>
      <w:r w:rsidRPr="007437F6">
        <w:rPr>
          <w:rStyle w:val="a9"/>
        </w:rPr>
        <w:footnoteRef/>
      </w:r>
      <w:r w:rsidRPr="007437F6">
        <w:t xml:space="preserve"> Письмо Роспотребнадзора от 11 июля 2024 г. № А-5567.</w:t>
      </w:r>
    </w:p>
  </w:footnote>
  <w:footnote w:id="20">
    <w:p w:rsidR="003C47A5" w:rsidRPr="007437F6" w:rsidRDefault="003C47A5" w:rsidP="00123E00">
      <w:pPr>
        <w:pStyle w:val="aa"/>
        <w:ind w:firstLine="284"/>
        <w:jc w:val="both"/>
      </w:pPr>
      <w:r w:rsidRPr="007437F6">
        <w:rPr>
          <w:rStyle w:val="a9"/>
        </w:rPr>
        <w:footnoteRef/>
      </w:r>
      <w:r w:rsidRPr="007437F6">
        <w:t xml:space="preserve"> </w:t>
      </w:r>
      <w:r w:rsidR="004E4BFD">
        <w:t>У</w:t>
      </w:r>
      <w:r w:rsidRPr="007437F6">
        <w:t>твержденная приказом Минздрава СССР от 4 октября 1980 г. № 1030 «Об утверждении форм первичной медицинской документации учреждений здравоохранения»</w:t>
      </w:r>
      <w:r w:rsidR="004E4BFD">
        <w:t>.</w:t>
      </w:r>
    </w:p>
  </w:footnote>
  <w:footnote w:id="21">
    <w:p w:rsidR="003C47A5" w:rsidRPr="007437F6" w:rsidRDefault="003C47A5" w:rsidP="00123E00">
      <w:pPr>
        <w:pStyle w:val="aa"/>
        <w:ind w:firstLine="284"/>
        <w:jc w:val="both"/>
      </w:pPr>
      <w:r w:rsidRPr="007437F6">
        <w:rPr>
          <w:rStyle w:val="a9"/>
        </w:rPr>
        <w:footnoteRef/>
      </w:r>
      <w:r w:rsidRPr="007437F6">
        <w:t xml:space="preserve"> </w:t>
      </w:r>
      <w:r w:rsidR="004E4BFD">
        <w:t>У</w:t>
      </w:r>
      <w:r w:rsidRPr="007437F6">
        <w:t>твержденные приказом Росстата от 29 декабря 2023 г. № 710 «Об утверждении форм федерального статистического наблюдения с указаниями по их заполнению для организации Федеральной</w:t>
      </w:r>
      <w:r>
        <w:rPr>
          <w:sz w:val="28"/>
          <w:szCs w:val="28"/>
        </w:rPr>
        <w:t xml:space="preserve"> </w:t>
      </w:r>
      <w:r w:rsidRPr="007437F6">
        <w:t>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w:t>
      </w:r>
      <w:r>
        <w:t xml:space="preserve"> </w:t>
      </w:r>
      <w:r w:rsidRPr="007437F6">
        <w:t>(ранее действовал приказ Росстата от 30 декабря 2020 г. № 867 «Об утверждении форм федерального статистического наблюдения с указаниями по их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w:t>
      </w:r>
      <w:r w:rsidR="004E4BFD">
        <w:t>.</w:t>
      </w:r>
    </w:p>
  </w:footnote>
  <w:footnote w:id="22">
    <w:p w:rsidR="003C47A5" w:rsidRPr="007437F6" w:rsidRDefault="003C47A5" w:rsidP="00123E00">
      <w:pPr>
        <w:pStyle w:val="aa"/>
        <w:ind w:firstLine="284"/>
        <w:jc w:val="both"/>
      </w:pPr>
      <w:r w:rsidRPr="007437F6">
        <w:rPr>
          <w:rStyle w:val="a9"/>
        </w:rPr>
        <w:footnoteRef/>
      </w:r>
      <w:r w:rsidRPr="007437F6">
        <w:t xml:space="preserve"> </w:t>
      </w:r>
      <w:r w:rsidR="004E4BFD">
        <w:t>У</w:t>
      </w:r>
      <w:r w:rsidRPr="007437F6">
        <w:t>твержденная приказом Росстата от 27 сентября 2022 г. № 654 «Об утверждении формы федерального статистического наблюдения с указаниями по ее заполнению для организации Федеральной службой по надзору в сфере защиты прав потребителей и благополучия человека федерального статистического наблюдения за санитарным состоянием субъекта Российской Федерации»</w:t>
      </w:r>
      <w:r w:rsidR="004E4BFD">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502757"/>
      <w:docPartObj>
        <w:docPartGallery w:val="Page Numbers (Top of Page)"/>
        <w:docPartUnique/>
      </w:docPartObj>
    </w:sdtPr>
    <w:sdtEndPr>
      <w:rPr>
        <w:sz w:val="28"/>
        <w:szCs w:val="28"/>
      </w:rPr>
    </w:sdtEndPr>
    <w:sdtContent>
      <w:p w:rsidR="006F616B" w:rsidRPr="00F719BD" w:rsidRDefault="006F616B">
        <w:pPr>
          <w:pStyle w:val="a3"/>
          <w:jc w:val="center"/>
          <w:rPr>
            <w:sz w:val="28"/>
            <w:szCs w:val="28"/>
          </w:rPr>
        </w:pPr>
        <w:r w:rsidRPr="00F719BD">
          <w:rPr>
            <w:sz w:val="28"/>
            <w:szCs w:val="28"/>
          </w:rPr>
          <w:fldChar w:fldCharType="begin"/>
        </w:r>
        <w:r w:rsidRPr="00F719BD">
          <w:rPr>
            <w:sz w:val="28"/>
            <w:szCs w:val="28"/>
          </w:rPr>
          <w:instrText>PAGE   \* MERGEFORMAT</w:instrText>
        </w:r>
        <w:r w:rsidRPr="00F719BD">
          <w:rPr>
            <w:sz w:val="28"/>
            <w:szCs w:val="28"/>
          </w:rPr>
          <w:fldChar w:fldCharType="separate"/>
        </w:r>
        <w:r w:rsidR="00FD70AD">
          <w:rPr>
            <w:noProof/>
            <w:sz w:val="28"/>
            <w:szCs w:val="28"/>
          </w:rPr>
          <w:t>10</w:t>
        </w:r>
        <w:r w:rsidRPr="00F719BD">
          <w:rPr>
            <w:sz w:val="28"/>
            <w:szCs w:val="28"/>
          </w:rPr>
          <w:fldChar w:fldCharType="end"/>
        </w:r>
      </w:p>
    </w:sdtContent>
  </w:sdt>
  <w:p w:rsidR="006F616B" w:rsidRDefault="006F616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E41A9A"/>
    <w:multiLevelType w:val="hybridMultilevel"/>
    <w:tmpl w:val="7A84B0C6"/>
    <w:lvl w:ilvl="0" w:tplc="162636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07"/>
    <w:rsid w:val="00036BFC"/>
    <w:rsid w:val="00057C13"/>
    <w:rsid w:val="00070E34"/>
    <w:rsid w:val="00091D40"/>
    <w:rsid w:val="000D4E68"/>
    <w:rsid w:val="00115046"/>
    <w:rsid w:val="00123E00"/>
    <w:rsid w:val="00130E93"/>
    <w:rsid w:val="00272C56"/>
    <w:rsid w:val="00290F7F"/>
    <w:rsid w:val="00293040"/>
    <w:rsid w:val="002B6688"/>
    <w:rsid w:val="003457E8"/>
    <w:rsid w:val="00353577"/>
    <w:rsid w:val="003C47A5"/>
    <w:rsid w:val="0045639C"/>
    <w:rsid w:val="004E4BFD"/>
    <w:rsid w:val="005243E0"/>
    <w:rsid w:val="005663FC"/>
    <w:rsid w:val="005F3415"/>
    <w:rsid w:val="00641807"/>
    <w:rsid w:val="006F616B"/>
    <w:rsid w:val="00716C23"/>
    <w:rsid w:val="00830F73"/>
    <w:rsid w:val="00871332"/>
    <w:rsid w:val="009B3AEE"/>
    <w:rsid w:val="00B3558F"/>
    <w:rsid w:val="00BF57C0"/>
    <w:rsid w:val="00C068F2"/>
    <w:rsid w:val="00C37BAE"/>
    <w:rsid w:val="00D22B07"/>
    <w:rsid w:val="00D72961"/>
    <w:rsid w:val="00E119F2"/>
    <w:rsid w:val="00E4085B"/>
    <w:rsid w:val="00EC1BBA"/>
    <w:rsid w:val="00F371B6"/>
    <w:rsid w:val="00F719BD"/>
    <w:rsid w:val="00FC3378"/>
    <w:rsid w:val="00FD2B5B"/>
    <w:rsid w:val="00FD7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31F4"/>
  <w15:docId w15:val="{5C0F54C7-4FFB-4B82-B61A-17227D7C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16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16B"/>
    <w:pPr>
      <w:tabs>
        <w:tab w:val="center" w:pos="4677"/>
        <w:tab w:val="right" w:pos="9355"/>
      </w:tabs>
    </w:pPr>
  </w:style>
  <w:style w:type="character" w:customStyle="1" w:styleId="a4">
    <w:name w:val="Верхний колонтитул Знак"/>
    <w:basedOn w:val="a0"/>
    <w:link w:val="a3"/>
    <w:uiPriority w:val="99"/>
    <w:rsid w:val="006F616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F616B"/>
    <w:pPr>
      <w:tabs>
        <w:tab w:val="center" w:pos="4677"/>
        <w:tab w:val="right" w:pos="9355"/>
      </w:tabs>
    </w:pPr>
  </w:style>
  <w:style w:type="character" w:customStyle="1" w:styleId="a6">
    <w:name w:val="Нижний колонтитул Знак"/>
    <w:basedOn w:val="a0"/>
    <w:link w:val="a5"/>
    <w:uiPriority w:val="99"/>
    <w:rsid w:val="006F616B"/>
    <w:rPr>
      <w:rFonts w:ascii="Times New Roman" w:eastAsia="Times New Roman" w:hAnsi="Times New Roman" w:cs="Times New Roman"/>
      <w:sz w:val="24"/>
      <w:szCs w:val="24"/>
      <w:lang w:eastAsia="ru-RU"/>
    </w:rPr>
  </w:style>
  <w:style w:type="paragraph" w:styleId="a7">
    <w:name w:val="List Paragraph"/>
    <w:basedOn w:val="a"/>
    <w:uiPriority w:val="34"/>
    <w:qFormat/>
    <w:rsid w:val="00BF57C0"/>
    <w:pPr>
      <w:ind w:left="720"/>
      <w:contextualSpacing/>
    </w:pPr>
  </w:style>
  <w:style w:type="table" w:styleId="a8">
    <w:name w:val="Table Grid"/>
    <w:basedOn w:val="a1"/>
    <w:uiPriority w:val="39"/>
    <w:rsid w:val="00353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otnote reference"/>
    <w:aliases w:val="FZ,16 Point,Superscript 6 Point,Сноска Сергея,fr,Appel note de bas de page,Текст сноски Знак Знак1,Знак Знак,список Знак,Текст сновски,Ciae niinee I,Знак сноски Н,Знак сноски-FN,Знак сноски 1,Referencia nota al pie,Ciae niinee-FN"/>
    <w:basedOn w:val="a0"/>
    <w:uiPriority w:val="99"/>
    <w:unhideWhenUsed/>
    <w:qFormat/>
    <w:rsid w:val="005F3415"/>
    <w:rPr>
      <w:vertAlign w:val="superscript"/>
    </w:rPr>
  </w:style>
  <w:style w:type="paragraph" w:styleId="aa">
    <w:name w:val="footnote text"/>
    <w:aliases w:val="footnote text Знак,single space,footnote text Знак1 Знак,footnote text Знак1 Знак Знак Знак Знак Знак,footnote text Знак1 Знак Знак Знак Знак Знак Знак З,footnote text Знак1 Знак  Знак Знак Знак Знак Знак Знак Знак Знак,Текст сноски4,Знак1"/>
    <w:basedOn w:val="a"/>
    <w:link w:val="1"/>
    <w:uiPriority w:val="99"/>
    <w:unhideWhenUsed/>
    <w:qFormat/>
    <w:rsid w:val="005F3415"/>
    <w:rPr>
      <w:sz w:val="20"/>
      <w:szCs w:val="20"/>
    </w:rPr>
  </w:style>
  <w:style w:type="character" w:customStyle="1" w:styleId="ab">
    <w:name w:val="Текст сноски Знак"/>
    <w:basedOn w:val="a0"/>
    <w:uiPriority w:val="99"/>
    <w:semiHidden/>
    <w:rsid w:val="005F3415"/>
    <w:rPr>
      <w:rFonts w:ascii="Times New Roman" w:eastAsia="Times New Roman" w:hAnsi="Times New Roman" w:cs="Times New Roman"/>
      <w:sz w:val="20"/>
      <w:szCs w:val="20"/>
      <w:lang w:eastAsia="ru-RU"/>
    </w:rPr>
  </w:style>
  <w:style w:type="character" w:customStyle="1" w:styleId="1">
    <w:name w:val="Текст сноски Знак1"/>
    <w:aliases w:val="footnote text Знак Знак,single space Знак,footnote text Знак1 Знак Знак,footnote text Знак1 Знак Знак Знак Знак Знак Знак,footnote text Знак1 Знак Знак Знак Знак Знак Знак З Знак,Текст сноски4 Знак,Знак1 Знак"/>
    <w:basedOn w:val="a0"/>
    <w:link w:val="aa"/>
    <w:uiPriority w:val="99"/>
    <w:rsid w:val="005F3415"/>
    <w:rPr>
      <w:rFonts w:ascii="Times New Roman" w:eastAsia="Times New Roman" w:hAnsi="Times New Roman" w:cs="Times New Roman"/>
      <w:sz w:val="20"/>
      <w:szCs w:val="20"/>
      <w:lang w:eastAsia="ru-RU"/>
    </w:rPr>
  </w:style>
  <w:style w:type="paragraph" w:styleId="ac">
    <w:name w:val="annotation text"/>
    <w:basedOn w:val="a"/>
    <w:link w:val="ad"/>
    <w:uiPriority w:val="99"/>
    <w:semiHidden/>
    <w:unhideWhenUsed/>
    <w:rsid w:val="003C47A5"/>
    <w:rPr>
      <w:sz w:val="20"/>
      <w:szCs w:val="20"/>
    </w:rPr>
  </w:style>
  <w:style w:type="character" w:customStyle="1" w:styleId="ad">
    <w:name w:val="Текст примечания Знак"/>
    <w:basedOn w:val="a0"/>
    <w:link w:val="ac"/>
    <w:uiPriority w:val="99"/>
    <w:semiHidden/>
    <w:rsid w:val="003C47A5"/>
    <w:rPr>
      <w:rFonts w:ascii="Times New Roman" w:eastAsia="Times New Roman" w:hAnsi="Times New Roman" w:cs="Times New Roman"/>
      <w:sz w:val="20"/>
      <w:szCs w:val="20"/>
      <w:lang w:eastAsia="ru-RU"/>
    </w:rPr>
  </w:style>
  <w:style w:type="table" w:customStyle="1" w:styleId="10">
    <w:name w:val="Сетка таблицы1"/>
    <w:basedOn w:val="a1"/>
    <w:next w:val="a8"/>
    <w:uiPriority w:val="39"/>
    <w:rsid w:val="003C47A5"/>
    <w:pPr>
      <w:overflowPunct w:val="0"/>
      <w:autoSpaceDE w:val="0"/>
      <w:autoSpaceDN w:val="0"/>
      <w:adjustRightInd w:val="0"/>
      <w:spacing w:after="0" w:line="360" w:lineRule="auto"/>
      <w:ind w:left="284" w:right="-284"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3C47A5"/>
    <w:rPr>
      <w:sz w:val="16"/>
      <w:szCs w:val="16"/>
    </w:rPr>
  </w:style>
  <w:style w:type="character" w:customStyle="1" w:styleId="11">
    <w:name w:val="Гиперссылка1"/>
    <w:basedOn w:val="a0"/>
    <w:uiPriority w:val="99"/>
    <w:unhideWhenUsed/>
    <w:rsid w:val="003C47A5"/>
    <w:rPr>
      <w:color w:val="0000FF"/>
      <w:u w:val="single"/>
    </w:rPr>
  </w:style>
  <w:style w:type="character" w:styleId="af">
    <w:name w:val="Hyperlink"/>
    <w:basedOn w:val="a0"/>
    <w:uiPriority w:val="99"/>
    <w:semiHidden/>
    <w:unhideWhenUsed/>
    <w:rsid w:val="003C47A5"/>
    <w:rPr>
      <w:color w:val="0563C1" w:themeColor="hyperlink"/>
      <w:u w:val="single"/>
    </w:rPr>
  </w:style>
  <w:style w:type="paragraph" w:styleId="af0">
    <w:name w:val="Balloon Text"/>
    <w:basedOn w:val="a"/>
    <w:link w:val="af1"/>
    <w:uiPriority w:val="99"/>
    <w:semiHidden/>
    <w:unhideWhenUsed/>
    <w:rsid w:val="003C47A5"/>
    <w:rPr>
      <w:rFonts w:ascii="Tahoma" w:hAnsi="Tahoma" w:cs="Tahoma"/>
      <w:sz w:val="16"/>
      <w:szCs w:val="16"/>
    </w:rPr>
  </w:style>
  <w:style w:type="character" w:customStyle="1" w:styleId="af1">
    <w:name w:val="Текст выноски Знак"/>
    <w:basedOn w:val="a0"/>
    <w:link w:val="af0"/>
    <w:uiPriority w:val="99"/>
    <w:semiHidden/>
    <w:rsid w:val="003C47A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802F0-04FB-4AA9-A1B7-A89D13C1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2514</Words>
  <Characters>14336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Полушкин Артём Сергеевич</dc:creator>
  <cp:lastModifiedBy>Ведерникова Наталья Викторовна</cp:lastModifiedBy>
  <cp:revision>5</cp:revision>
  <dcterms:created xsi:type="dcterms:W3CDTF">2024-09-10T10:31:00Z</dcterms:created>
  <dcterms:modified xsi:type="dcterms:W3CDTF">2024-10-08T11:10:00Z</dcterms:modified>
</cp:coreProperties>
</file>