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B9" w:rsidRPr="00DA1D96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left="5103" w:right="0" w:firstLine="0"/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1995"/>
        <w:gridCol w:w="4415"/>
      </w:tblGrid>
      <w:tr w:rsidR="00F01DB9" w:rsidRPr="00DA1D96" w:rsidTr="00A26505">
        <w:trPr>
          <w:jc w:val="center"/>
        </w:trPr>
        <w:tc>
          <w:tcPr>
            <w:tcW w:w="3284" w:type="dxa"/>
          </w:tcPr>
          <w:p w:rsidR="00F01DB9" w:rsidRPr="00DA1D96" w:rsidRDefault="00F01DB9" w:rsidP="00F01D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F01DB9" w:rsidRPr="00DA1D96" w:rsidRDefault="00F01DB9" w:rsidP="00F01D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E27573" w:rsidRPr="00DA1D96" w:rsidRDefault="00F01DB9" w:rsidP="00B44C6F">
            <w:pPr>
              <w:ind w:firstLine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  <w:p w:rsidR="00F01DB9" w:rsidRPr="00DA1D96" w:rsidRDefault="00F01DB9" w:rsidP="00C74DE7">
            <w:pPr>
              <w:jc w:val="both"/>
              <w:rPr>
                <w:sz w:val="24"/>
                <w:szCs w:val="24"/>
              </w:rPr>
            </w:pP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к подразделу 3 «Анализ основных параметров бюджетной системы Российской Федерации, консолидированного бюджета Российской Федерации, федерального бюджета на 202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 и на плановый период 202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202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годов, основные характеристики и структурные особенности проекта федерального закона «О федеральном бюджете на 20</w:t>
            </w:r>
            <w:r w:rsidR="00B84E02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 и на плановый период 202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202</w:t>
            </w:r>
            <w:r w:rsidR="00C74DE7"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DA1D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годов» Заключения </w:t>
            </w:r>
            <w:r w:rsidR="0034463D" w:rsidRPr="0034463D">
              <w:rPr>
                <w:rFonts w:ascii="Times New Roman" w:hAnsi="Times New Roman" w:cs="Times New Roman"/>
                <w:iCs/>
                <w:sz w:val="24"/>
                <w:szCs w:val="24"/>
              </w:rPr>
              <w:t>Счетной палаты</w:t>
            </w:r>
          </w:p>
        </w:tc>
      </w:tr>
    </w:tbl>
    <w:p w:rsidR="00F01DB9" w:rsidRPr="00DA1D96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right="0"/>
        <w:jc w:val="center"/>
        <w:rPr>
          <w:b/>
        </w:rPr>
      </w:pPr>
    </w:p>
    <w:p w:rsidR="00F01DB9" w:rsidRPr="00DA1D96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right="0" w:firstLine="0"/>
        <w:jc w:val="center"/>
        <w:rPr>
          <w:b/>
        </w:rPr>
      </w:pPr>
      <w:r w:rsidRPr="00DA1D96">
        <w:rPr>
          <w:b/>
        </w:rPr>
        <w:t>Анализ</w:t>
      </w:r>
    </w:p>
    <w:p w:rsidR="00F01DB9" w:rsidRPr="00DA1D96" w:rsidRDefault="00F01DB9" w:rsidP="00F01DB9">
      <w:pPr>
        <w:pStyle w:val="rvps698610"/>
        <w:widowControl w:val="0"/>
        <w:tabs>
          <w:tab w:val="left" w:pos="9639"/>
        </w:tabs>
        <w:spacing w:after="0" w:line="240" w:lineRule="auto"/>
        <w:ind w:right="0" w:firstLine="0"/>
        <w:jc w:val="center"/>
        <w:rPr>
          <w:b/>
        </w:rPr>
      </w:pPr>
      <w:r w:rsidRPr="00DA1D96">
        <w:rPr>
          <w:b/>
        </w:rPr>
        <w:t>Основных направлений бюджетной, налоговой и таможенно-тарифной политики Российской Федерации на 202</w:t>
      </w:r>
      <w:r w:rsidR="00C74DE7" w:rsidRPr="00DA1D96">
        <w:rPr>
          <w:b/>
        </w:rPr>
        <w:t>1</w:t>
      </w:r>
      <w:r w:rsidRPr="00DA1D96">
        <w:rPr>
          <w:b/>
        </w:rPr>
        <w:t xml:space="preserve"> год и на плановый период 202</w:t>
      </w:r>
      <w:r w:rsidR="00C74DE7" w:rsidRPr="00DA1D96">
        <w:rPr>
          <w:b/>
        </w:rPr>
        <w:t>2</w:t>
      </w:r>
      <w:r w:rsidRPr="00DA1D96">
        <w:rPr>
          <w:b/>
        </w:rPr>
        <w:t xml:space="preserve"> и 202</w:t>
      </w:r>
      <w:r w:rsidR="00C74DE7" w:rsidRPr="00DA1D96">
        <w:rPr>
          <w:b/>
        </w:rPr>
        <w:t>3</w:t>
      </w:r>
      <w:r w:rsidRPr="00DA1D96">
        <w:rPr>
          <w:b/>
        </w:rPr>
        <w:t xml:space="preserve"> годов</w:t>
      </w:r>
    </w:p>
    <w:p w:rsidR="00F01DB9" w:rsidRPr="00DA1D96" w:rsidRDefault="00F01DB9" w:rsidP="00F01DB9">
      <w:pPr>
        <w:pStyle w:val="rvps698610"/>
        <w:widowControl w:val="0"/>
        <w:tabs>
          <w:tab w:val="left" w:pos="9639"/>
        </w:tabs>
        <w:spacing w:after="0"/>
        <w:ind w:right="0" w:firstLine="0"/>
        <w:jc w:val="center"/>
        <w:rPr>
          <w:b/>
        </w:rPr>
      </w:pPr>
    </w:p>
    <w:p w:rsidR="00F01DB9" w:rsidRDefault="00F01DB9" w:rsidP="00624FAB">
      <w:pPr>
        <w:pStyle w:val="rvps698610"/>
        <w:widowControl w:val="0"/>
        <w:tabs>
          <w:tab w:val="left" w:pos="9639"/>
        </w:tabs>
        <w:spacing w:after="0"/>
        <w:ind w:right="0"/>
      </w:pPr>
      <w:r w:rsidRPr="00624FAB">
        <w:t>В части Основных направлений бюджетной, налоговой и таможенно-тарифной политики Российской Федерации на 202</w:t>
      </w:r>
      <w:r w:rsidR="00E50840" w:rsidRPr="00624FAB">
        <w:t>1</w:t>
      </w:r>
      <w:r w:rsidRPr="00624FAB">
        <w:t xml:space="preserve"> год и на плановый период 202</w:t>
      </w:r>
      <w:r w:rsidR="00E50840" w:rsidRPr="00624FAB">
        <w:t>2</w:t>
      </w:r>
      <w:r w:rsidRPr="00624FAB">
        <w:t xml:space="preserve"> и 202</w:t>
      </w:r>
      <w:r w:rsidR="00E50840" w:rsidRPr="00624FAB">
        <w:t>3</w:t>
      </w:r>
      <w:r w:rsidRPr="00624FAB">
        <w:t xml:space="preserve"> годов </w:t>
      </w:r>
      <w:r w:rsidRPr="00624FAB">
        <w:br/>
        <w:t>(далее – Основные направления) отмечается следующее.</w:t>
      </w:r>
    </w:p>
    <w:p w:rsidR="00080A56" w:rsidRPr="00624FAB" w:rsidRDefault="00080A56" w:rsidP="00624FAB">
      <w:pPr>
        <w:pStyle w:val="rvps698610"/>
        <w:widowControl w:val="0"/>
        <w:tabs>
          <w:tab w:val="left" w:pos="9639"/>
        </w:tabs>
        <w:spacing w:after="0"/>
        <w:ind w:right="0"/>
      </w:pPr>
      <w:r>
        <w:t>Как программный документ Основные направления рассматриваются практически одновременно с законопроектами, реализующими системные меры, предлагаемые Основными направлениями.</w:t>
      </w:r>
    </w:p>
    <w:p w:rsidR="00DA1D96" w:rsidRPr="00624FAB" w:rsidRDefault="00443469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rPr>
          <w:b/>
          <w:bCs/>
        </w:rPr>
        <w:t>1</w:t>
      </w:r>
      <w:r w:rsidR="00DA1D96" w:rsidRPr="00624FAB">
        <w:t xml:space="preserve">. В Основных направлениях </w:t>
      </w:r>
      <w:r w:rsidR="00032A3F" w:rsidRPr="00624FAB">
        <w:t xml:space="preserve">перечислены </w:t>
      </w:r>
      <w:r w:rsidR="00DA1D96" w:rsidRPr="00624FAB">
        <w:t>меры налоговой политики по видам налогов и актуальные вопросы налогообложения на перспективу, по которым полагаем целесообразным отметить следующее.</w:t>
      </w:r>
    </w:p>
    <w:p w:rsidR="00DA1D96" w:rsidRPr="00624FAB" w:rsidRDefault="00443469" w:rsidP="00624FAB">
      <w:pPr>
        <w:autoSpaceDE w:val="0"/>
        <w:autoSpaceDN w:val="0"/>
        <w:adjustRightInd w:val="0"/>
        <w:ind w:firstLine="720"/>
        <w:rPr>
          <w:rFonts w:cs="Arial"/>
          <w:b/>
          <w:sz w:val="24"/>
          <w:szCs w:val="24"/>
        </w:rPr>
      </w:pPr>
      <w:r w:rsidRPr="00624FAB">
        <w:rPr>
          <w:rFonts w:cs="Arial"/>
          <w:b/>
          <w:sz w:val="24"/>
          <w:szCs w:val="24"/>
        </w:rPr>
        <w:t>1</w:t>
      </w:r>
      <w:r w:rsidR="00702B35" w:rsidRPr="00624FAB">
        <w:rPr>
          <w:rFonts w:cs="Arial"/>
          <w:b/>
          <w:sz w:val="24"/>
          <w:szCs w:val="24"/>
        </w:rPr>
        <w:t>.</w:t>
      </w:r>
      <w:r w:rsidR="000C35BA" w:rsidRPr="00624FAB">
        <w:rPr>
          <w:rFonts w:cs="Arial"/>
          <w:b/>
          <w:sz w:val="24"/>
          <w:szCs w:val="24"/>
        </w:rPr>
        <w:t>1</w:t>
      </w:r>
      <w:r w:rsidR="00DA1D96" w:rsidRPr="00624FAB">
        <w:rPr>
          <w:rFonts w:cs="Arial"/>
          <w:b/>
          <w:sz w:val="24"/>
          <w:szCs w:val="24"/>
        </w:rPr>
        <w:t xml:space="preserve">. </w:t>
      </w:r>
      <w:r w:rsidR="00DA1D96" w:rsidRPr="00624FAB">
        <w:rPr>
          <w:rFonts w:cs="Arial"/>
          <w:bCs/>
          <w:sz w:val="24"/>
          <w:szCs w:val="24"/>
        </w:rPr>
        <w:t>В части акцизов на табачные изделия</w:t>
      </w:r>
      <w:r w:rsidR="00702B35" w:rsidRPr="00624FAB">
        <w:rPr>
          <w:rFonts w:cs="Arial"/>
          <w:b/>
          <w:sz w:val="24"/>
          <w:szCs w:val="24"/>
        </w:rPr>
        <w:t xml:space="preserve"> 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 xml:space="preserve">С целью дополнительной мобилизации в прогнозном периоде доходов федерального бюджета </w:t>
      </w:r>
      <w:r w:rsidR="00702B35" w:rsidRPr="00624FAB">
        <w:rPr>
          <w:sz w:val="24"/>
          <w:szCs w:val="24"/>
        </w:rPr>
        <w:t>Основными направлениями</w:t>
      </w:r>
      <w:r w:rsidRPr="00624FAB">
        <w:rPr>
          <w:sz w:val="24"/>
          <w:szCs w:val="24"/>
        </w:rPr>
        <w:t xml:space="preserve"> </w:t>
      </w:r>
      <w:r w:rsidR="000C35BA" w:rsidRPr="00624FAB">
        <w:rPr>
          <w:rFonts w:cs="Arial"/>
          <w:sz w:val="24"/>
          <w:szCs w:val="24"/>
        </w:rPr>
        <w:t xml:space="preserve">в 2021 году </w:t>
      </w:r>
      <w:r w:rsidRPr="00624FAB">
        <w:rPr>
          <w:rFonts w:cs="Arial"/>
          <w:sz w:val="24"/>
          <w:szCs w:val="24"/>
        </w:rPr>
        <w:t xml:space="preserve">предусмотрена ускоренная индексации (на 20 %) ставок акцизов на сигареты и папиросы, как основной (специфической), так и минимальной. В 2022 - 2023 годах предусмотрена индексация соответствующих ставок на 4 % ежегодно. Также </w:t>
      </w:r>
      <w:r w:rsidR="00141A16">
        <w:rPr>
          <w:rFonts w:cs="Arial"/>
          <w:sz w:val="24"/>
          <w:szCs w:val="24"/>
        </w:rPr>
        <w:t xml:space="preserve">увеличится адвалорная ставка </w:t>
      </w:r>
      <w:r w:rsidR="00DE653A" w:rsidRPr="00624FAB">
        <w:rPr>
          <w:rFonts w:cs="Arial"/>
          <w:sz w:val="24"/>
          <w:szCs w:val="24"/>
        </w:rPr>
        <w:t xml:space="preserve">до 16 </w:t>
      </w:r>
      <w:r w:rsidR="00DE653A">
        <w:rPr>
          <w:rFonts w:cs="Arial"/>
          <w:sz w:val="24"/>
          <w:szCs w:val="24"/>
        </w:rPr>
        <w:t>%</w:t>
      </w:r>
      <w:r w:rsidR="00141A16">
        <w:rPr>
          <w:rFonts w:cs="Arial"/>
          <w:sz w:val="24"/>
          <w:szCs w:val="24"/>
        </w:rPr>
        <w:t>.</w:t>
      </w:r>
    </w:p>
    <w:p w:rsidR="00DA1D96" w:rsidRPr="00624FAB" w:rsidRDefault="00702B35" w:rsidP="00624FAB">
      <w:pPr>
        <w:autoSpaceDE w:val="0"/>
        <w:autoSpaceDN w:val="0"/>
        <w:adjustRightInd w:val="0"/>
        <w:rPr>
          <w:sz w:val="24"/>
          <w:szCs w:val="24"/>
        </w:rPr>
      </w:pPr>
      <w:r w:rsidRPr="00624FAB">
        <w:rPr>
          <w:sz w:val="24"/>
          <w:szCs w:val="24"/>
        </w:rPr>
        <w:t>По мнению Счетной палаты</w:t>
      </w:r>
      <w:r w:rsidR="00DA1D96" w:rsidRPr="00624FAB">
        <w:rPr>
          <w:sz w:val="24"/>
          <w:szCs w:val="24"/>
        </w:rPr>
        <w:t>, потенциал роста ставки акциза на табачные изделия близок к исчерпанию. Следует отметить, что</w:t>
      </w:r>
      <w:r w:rsidR="000C35BA" w:rsidRPr="00624FAB">
        <w:rPr>
          <w:sz w:val="24"/>
          <w:szCs w:val="24"/>
        </w:rPr>
        <w:t xml:space="preserve"> </w:t>
      </w:r>
      <w:r w:rsidR="00DA1D96" w:rsidRPr="00624FAB">
        <w:rPr>
          <w:sz w:val="24"/>
          <w:szCs w:val="24"/>
        </w:rPr>
        <w:t xml:space="preserve">примерно с 2016 года темп рост налоговой ставки по акцизам на табак превышает темп роста поступлений по акцизам на табачную продукцию, а следовательно, существенное увеличение ставки </w:t>
      </w:r>
      <w:r w:rsidR="00141A16">
        <w:rPr>
          <w:sz w:val="24"/>
          <w:szCs w:val="24"/>
        </w:rPr>
        <w:t>может не привести</w:t>
      </w:r>
      <w:r w:rsidR="00DA1D96" w:rsidRPr="00624FAB">
        <w:rPr>
          <w:sz w:val="24"/>
          <w:szCs w:val="24"/>
        </w:rPr>
        <w:t xml:space="preserve"> к желаемому приросту поступлений.</w:t>
      </w:r>
    </w:p>
    <w:p w:rsidR="00DA1D96" w:rsidRPr="00624FAB" w:rsidRDefault="00B03A05" w:rsidP="00624FAB">
      <w:pPr>
        <w:autoSpaceDE w:val="0"/>
        <w:autoSpaceDN w:val="0"/>
        <w:adjustRightInd w:val="0"/>
        <w:rPr>
          <w:sz w:val="24"/>
          <w:szCs w:val="24"/>
        </w:rPr>
      </w:pPr>
      <w:r w:rsidRPr="00624FAB">
        <w:rPr>
          <w:sz w:val="24"/>
          <w:szCs w:val="24"/>
        </w:rPr>
        <w:lastRenderedPageBreak/>
        <w:t>Полагаем</w:t>
      </w:r>
      <w:r w:rsidR="00DA1D96" w:rsidRPr="00624FAB">
        <w:rPr>
          <w:sz w:val="24"/>
          <w:szCs w:val="24"/>
        </w:rPr>
        <w:t>, что по итогам 2020 года возможен некоторый рост поступлений от акцизов на табак</w:t>
      </w:r>
      <w:r w:rsidRPr="00624FAB">
        <w:rPr>
          <w:sz w:val="24"/>
          <w:szCs w:val="24"/>
        </w:rPr>
        <w:t xml:space="preserve"> </w:t>
      </w:r>
      <w:r w:rsidR="00DA1D96" w:rsidRPr="00624FAB">
        <w:rPr>
          <w:sz w:val="24"/>
          <w:szCs w:val="24"/>
        </w:rPr>
        <w:t>в целом</w:t>
      </w:r>
      <w:r w:rsidRPr="00624FAB">
        <w:rPr>
          <w:sz w:val="24"/>
          <w:szCs w:val="24"/>
        </w:rPr>
        <w:t xml:space="preserve"> </w:t>
      </w:r>
      <w:r w:rsidR="00DA1D96" w:rsidRPr="00624FAB">
        <w:rPr>
          <w:sz w:val="24"/>
          <w:szCs w:val="24"/>
        </w:rPr>
        <w:t>за счет, например, введения с 1 января 2020 года акциза на все электронные сигареты (не только одноразовые), а также введения акциза на устройства для нагревания табака и на электронные системы доставки никотина, однако указанный рост будет обеспечен не ростом налоговой ставки, а расширением налоговой базы.</w:t>
      </w:r>
    </w:p>
    <w:p w:rsidR="00DA1D96" w:rsidRPr="00624FAB" w:rsidRDefault="00DA1D96" w:rsidP="00624FAB">
      <w:pPr>
        <w:autoSpaceDE w:val="0"/>
        <w:autoSpaceDN w:val="0"/>
        <w:adjustRightInd w:val="0"/>
        <w:rPr>
          <w:sz w:val="24"/>
          <w:szCs w:val="24"/>
        </w:rPr>
      </w:pPr>
      <w:r w:rsidRPr="00624FAB">
        <w:rPr>
          <w:sz w:val="24"/>
          <w:szCs w:val="24"/>
        </w:rPr>
        <w:t>Кроме того, рост ставок акцизов приведет к росту объема контрафактной продукции, ввозимой в основном из стран ЕАЭС, где ставка акциза на табачные изделия ниже</w:t>
      </w:r>
      <w:bookmarkStart w:id="0" w:name="_GoBack"/>
      <w:bookmarkEnd w:id="0"/>
      <w:r w:rsidRPr="00624FAB">
        <w:rPr>
          <w:sz w:val="24"/>
          <w:szCs w:val="24"/>
        </w:rPr>
        <w:t>. По расчетам экспертов</w:t>
      </w:r>
      <w:r w:rsidR="0053590E">
        <w:rPr>
          <w:sz w:val="24"/>
          <w:szCs w:val="24"/>
        </w:rPr>
        <w:t>,</w:t>
      </w:r>
      <w:r w:rsidRPr="00624FAB">
        <w:rPr>
          <w:sz w:val="24"/>
          <w:szCs w:val="24"/>
        </w:rPr>
        <w:t xml:space="preserve"> в 2019 году объем нелегального табачного рынка в России увеличился на 2,6 процентн</w:t>
      </w:r>
      <w:r w:rsidR="005F793D">
        <w:rPr>
          <w:sz w:val="24"/>
          <w:szCs w:val="24"/>
        </w:rPr>
        <w:t>ого</w:t>
      </w:r>
      <w:r w:rsidRPr="00624FAB">
        <w:rPr>
          <w:sz w:val="24"/>
          <w:szCs w:val="24"/>
        </w:rPr>
        <w:t xml:space="preserve"> пункта </w:t>
      </w:r>
      <w:r w:rsidR="005F793D">
        <w:rPr>
          <w:sz w:val="24"/>
          <w:szCs w:val="24"/>
        </w:rPr>
        <w:t xml:space="preserve">- </w:t>
      </w:r>
      <w:r w:rsidRPr="00624FAB">
        <w:rPr>
          <w:sz w:val="24"/>
          <w:szCs w:val="24"/>
        </w:rPr>
        <w:t>до 10,3 %, против 7,7 % годом ранее.</w:t>
      </w:r>
    </w:p>
    <w:p w:rsidR="00DA1D96" w:rsidRPr="00624FAB" w:rsidRDefault="00443469" w:rsidP="00624FAB">
      <w:pPr>
        <w:autoSpaceDE w:val="0"/>
        <w:autoSpaceDN w:val="0"/>
        <w:adjustRightInd w:val="0"/>
        <w:ind w:firstLine="720"/>
        <w:rPr>
          <w:rFonts w:cs="Arial"/>
          <w:bCs/>
          <w:sz w:val="24"/>
          <w:szCs w:val="24"/>
        </w:rPr>
      </w:pPr>
      <w:r w:rsidRPr="00624FAB">
        <w:rPr>
          <w:rFonts w:cs="Arial"/>
          <w:b/>
          <w:sz w:val="24"/>
          <w:szCs w:val="24"/>
        </w:rPr>
        <w:t>1</w:t>
      </w:r>
      <w:r w:rsidR="00B03A05" w:rsidRPr="00624FAB">
        <w:rPr>
          <w:rFonts w:cs="Arial"/>
          <w:b/>
          <w:sz w:val="24"/>
          <w:szCs w:val="24"/>
        </w:rPr>
        <w:t>.</w:t>
      </w:r>
      <w:r w:rsidR="00F84DE5" w:rsidRPr="00624FAB">
        <w:rPr>
          <w:rFonts w:cs="Arial"/>
          <w:b/>
          <w:sz w:val="24"/>
          <w:szCs w:val="24"/>
        </w:rPr>
        <w:t>2</w:t>
      </w:r>
      <w:r w:rsidR="00DA1D96" w:rsidRPr="00624FAB">
        <w:rPr>
          <w:rFonts w:cs="Arial"/>
          <w:b/>
          <w:sz w:val="24"/>
          <w:szCs w:val="24"/>
        </w:rPr>
        <w:t xml:space="preserve">. </w:t>
      </w:r>
      <w:r w:rsidR="00B03A05" w:rsidRPr="00624FAB">
        <w:rPr>
          <w:rFonts w:cs="Arial"/>
          <w:bCs/>
          <w:sz w:val="24"/>
          <w:szCs w:val="24"/>
        </w:rPr>
        <w:t>В части е</w:t>
      </w:r>
      <w:r w:rsidR="00DA1D96" w:rsidRPr="00624FAB">
        <w:rPr>
          <w:rFonts w:cs="Arial"/>
          <w:bCs/>
          <w:sz w:val="24"/>
          <w:szCs w:val="24"/>
        </w:rPr>
        <w:t>дин</w:t>
      </w:r>
      <w:r w:rsidR="00B03A05" w:rsidRPr="00624FAB">
        <w:rPr>
          <w:rFonts w:cs="Arial"/>
          <w:bCs/>
          <w:sz w:val="24"/>
          <w:szCs w:val="24"/>
        </w:rPr>
        <w:t>ого</w:t>
      </w:r>
      <w:r w:rsidR="00DA1D96" w:rsidRPr="00624FAB">
        <w:rPr>
          <w:rFonts w:cs="Arial"/>
          <w:bCs/>
          <w:sz w:val="24"/>
          <w:szCs w:val="24"/>
        </w:rPr>
        <w:t xml:space="preserve"> налог</w:t>
      </w:r>
      <w:r w:rsidR="00B03A05" w:rsidRPr="00624FAB">
        <w:rPr>
          <w:rFonts w:cs="Arial"/>
          <w:bCs/>
          <w:sz w:val="24"/>
          <w:szCs w:val="24"/>
        </w:rPr>
        <w:t>а</w:t>
      </w:r>
      <w:r w:rsidR="00DA1D96" w:rsidRPr="00624FAB">
        <w:rPr>
          <w:rFonts w:cs="Arial"/>
          <w:bCs/>
          <w:sz w:val="24"/>
          <w:szCs w:val="24"/>
        </w:rPr>
        <w:t xml:space="preserve"> на вмененный доход</w:t>
      </w:r>
    </w:p>
    <w:p w:rsidR="00DA1D96" w:rsidRPr="00624FAB" w:rsidRDefault="00B03A05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В</w:t>
      </w:r>
      <w:r w:rsidR="00DA1D96" w:rsidRPr="00624FAB">
        <w:rPr>
          <w:rFonts w:cs="Arial"/>
          <w:sz w:val="24"/>
          <w:szCs w:val="24"/>
        </w:rPr>
        <w:t xml:space="preserve"> положениях</w:t>
      </w:r>
      <w:r w:rsidRPr="00624FAB">
        <w:rPr>
          <w:rFonts w:cs="Arial"/>
          <w:sz w:val="24"/>
          <w:szCs w:val="24"/>
        </w:rPr>
        <w:t xml:space="preserve"> Основных направлений,</w:t>
      </w:r>
      <w:r w:rsidR="00DA1D96" w:rsidRPr="00624FAB">
        <w:rPr>
          <w:rFonts w:cs="Arial"/>
          <w:sz w:val="24"/>
          <w:szCs w:val="24"/>
        </w:rPr>
        <w:t xml:space="preserve"> посвященных поддержке малого бизнеса и совершенствованию специальных налоговых режимов</w:t>
      </w:r>
      <w:r w:rsidRPr="00624FAB">
        <w:rPr>
          <w:rFonts w:cs="Arial"/>
          <w:sz w:val="24"/>
          <w:szCs w:val="24"/>
        </w:rPr>
        <w:t>,</w:t>
      </w:r>
      <w:r w:rsidR="00DA1D96" w:rsidRPr="00624FAB">
        <w:rPr>
          <w:rFonts w:cs="Arial"/>
          <w:sz w:val="24"/>
          <w:szCs w:val="24"/>
        </w:rPr>
        <w:t xml:space="preserve"> не уделено внимания последствиям отмены с 1 января 2021 года такого специального налогового режима</w:t>
      </w:r>
      <w:r w:rsidR="0053590E">
        <w:rPr>
          <w:rFonts w:cs="Arial"/>
          <w:sz w:val="24"/>
          <w:szCs w:val="24"/>
        </w:rPr>
        <w:t>,</w:t>
      </w:r>
      <w:r w:rsidR="00DA1D96" w:rsidRPr="00624FAB">
        <w:rPr>
          <w:rFonts w:cs="Arial"/>
          <w:sz w:val="24"/>
          <w:szCs w:val="24"/>
        </w:rPr>
        <w:t xml:space="preserve"> как единый налог на вмененный доход</w:t>
      </w:r>
      <w:r w:rsidRPr="00624FAB">
        <w:rPr>
          <w:rFonts w:cs="Arial"/>
          <w:sz w:val="24"/>
          <w:szCs w:val="24"/>
        </w:rPr>
        <w:t xml:space="preserve"> ( далее – ЕНВД)</w:t>
      </w:r>
      <w:r w:rsidR="00DA1D96" w:rsidRPr="00624FAB">
        <w:rPr>
          <w:rFonts w:cs="Arial"/>
          <w:sz w:val="24"/>
          <w:szCs w:val="24"/>
        </w:rPr>
        <w:t>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Вместе с тем в 2019 году на указанном режиме находилось около 1,9 млн. плательщиков, в том числе 223 тыс</w:t>
      </w:r>
      <w:r w:rsidR="005F793D">
        <w:rPr>
          <w:rFonts w:cs="Arial"/>
          <w:sz w:val="24"/>
          <w:szCs w:val="24"/>
        </w:rPr>
        <w:t>.</w:t>
      </w:r>
      <w:r w:rsidRPr="00624FAB">
        <w:rPr>
          <w:rFonts w:cs="Arial"/>
          <w:sz w:val="24"/>
          <w:szCs w:val="24"/>
        </w:rPr>
        <w:t xml:space="preserve"> организаций и 1,7 млн. индивидуальных предпринимателей.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 xml:space="preserve">Фактически после 1 января 2021 года организации должны перейти на общий режим налогообложения </w:t>
      </w:r>
      <w:r w:rsidR="00B03A05" w:rsidRPr="00624FAB">
        <w:rPr>
          <w:rFonts w:cs="Arial"/>
          <w:sz w:val="24"/>
          <w:szCs w:val="24"/>
        </w:rPr>
        <w:t>или</w:t>
      </w:r>
      <w:r w:rsidRPr="00624FAB">
        <w:rPr>
          <w:rFonts w:cs="Arial"/>
          <w:sz w:val="24"/>
          <w:szCs w:val="24"/>
        </w:rPr>
        <w:t xml:space="preserve"> на упрощенную систему налогообложения, а индивидуальные предприниматели</w:t>
      </w:r>
      <w:r w:rsidR="00B03A05" w:rsidRPr="00624FAB">
        <w:rPr>
          <w:rFonts w:cs="Arial"/>
          <w:sz w:val="24"/>
          <w:szCs w:val="24"/>
        </w:rPr>
        <w:t xml:space="preserve">, </w:t>
      </w:r>
      <w:r w:rsidRPr="00624FAB">
        <w:rPr>
          <w:rFonts w:cs="Arial"/>
          <w:sz w:val="24"/>
          <w:szCs w:val="24"/>
        </w:rPr>
        <w:t>скорее всего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будут выб</w:t>
      </w:r>
      <w:r w:rsidR="00B03A05" w:rsidRPr="00624FAB">
        <w:rPr>
          <w:rFonts w:cs="Arial"/>
          <w:sz w:val="24"/>
          <w:szCs w:val="24"/>
        </w:rPr>
        <w:t>и</w:t>
      </w:r>
      <w:r w:rsidRPr="00624FAB">
        <w:rPr>
          <w:rFonts w:cs="Arial"/>
          <w:sz w:val="24"/>
          <w:szCs w:val="24"/>
        </w:rPr>
        <w:t>рать между упрощенной системой налогообложения или патентной системой.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Независимо от того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какой специальный налоговый режим они выберут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с точки зрения налоговой системы у налогоплательщиков сохраняются следующие риски:</w:t>
      </w:r>
    </w:p>
    <w:p w:rsidR="00DA1D96" w:rsidRPr="00624FAB" w:rsidRDefault="00DA1D96" w:rsidP="00624FAB">
      <w:pPr>
        <w:ind w:firstLine="708"/>
        <w:rPr>
          <w:sz w:val="24"/>
          <w:szCs w:val="24"/>
        </w:rPr>
      </w:pPr>
      <w:r w:rsidRPr="00624FAB">
        <w:rPr>
          <w:sz w:val="24"/>
          <w:szCs w:val="24"/>
        </w:rPr>
        <w:t>1) сокращение субъектов МСП в результате отмены ЕНВД (за счет прекращения своей деятельности или ухода в тень);</w:t>
      </w:r>
    </w:p>
    <w:p w:rsidR="00DA1D96" w:rsidRPr="00624FAB" w:rsidRDefault="00DA1D96" w:rsidP="00624FAB">
      <w:pPr>
        <w:ind w:firstLine="708"/>
        <w:rPr>
          <w:sz w:val="24"/>
          <w:szCs w:val="24"/>
        </w:rPr>
      </w:pPr>
      <w:r w:rsidRPr="00624FAB">
        <w:rPr>
          <w:sz w:val="24"/>
          <w:szCs w:val="24"/>
        </w:rPr>
        <w:t xml:space="preserve">2) снижение доходов местных бюджетов в результате отмены ЕНВД (ЕНВД зачисляется в местные бюджеты, а доходы от упрощенной системы налогообложения </w:t>
      </w:r>
      <w:r w:rsidR="005F793D">
        <w:rPr>
          <w:sz w:val="24"/>
          <w:szCs w:val="24"/>
        </w:rPr>
        <w:t xml:space="preserve">- </w:t>
      </w:r>
      <w:r w:rsidRPr="00624FAB">
        <w:rPr>
          <w:sz w:val="24"/>
          <w:szCs w:val="24"/>
        </w:rPr>
        <w:t>в бюджет субъекта Российской Федерации);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3) возможное повышение фискальной нагрузки на субъектов МСП</w:t>
      </w:r>
      <w:r w:rsidR="005F793D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ранее применявших ЕВНД</w:t>
      </w:r>
      <w:r w:rsidR="005F793D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и усложнение учета и отчетности для них, за исключением тех индивидуальных предпринимателей, которые выберут патентную систему налогообложения.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В этой связи полагаем целесообразным предусмотреть не только информационно-консультационные, но и законодательные  меры, направленные на облегчение перехода бывших плательщиков ЕНВД на другие режимы, например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продление сроков сдачи </w:t>
      </w:r>
      <w:r w:rsidRPr="00624FAB">
        <w:rPr>
          <w:rFonts w:cs="Arial"/>
          <w:sz w:val="24"/>
          <w:szCs w:val="24"/>
        </w:rPr>
        <w:lastRenderedPageBreak/>
        <w:t>отчетности, расширение видов деятельности и условий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при которых возможно применение патентной системы налогообложения</w:t>
      </w:r>
      <w:r w:rsidR="00B03A05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и другие.</w:t>
      </w:r>
    </w:p>
    <w:p w:rsidR="00DA1D96" w:rsidRPr="00624FAB" w:rsidRDefault="00443469" w:rsidP="00624FAB">
      <w:pPr>
        <w:autoSpaceDE w:val="0"/>
        <w:autoSpaceDN w:val="0"/>
        <w:adjustRightInd w:val="0"/>
        <w:ind w:firstLine="720"/>
        <w:rPr>
          <w:rFonts w:cs="Arial"/>
          <w:bCs/>
          <w:sz w:val="24"/>
          <w:szCs w:val="24"/>
        </w:rPr>
      </w:pPr>
      <w:r w:rsidRPr="00624FAB">
        <w:rPr>
          <w:rFonts w:cs="Arial"/>
          <w:b/>
          <w:sz w:val="24"/>
          <w:szCs w:val="24"/>
        </w:rPr>
        <w:t>1</w:t>
      </w:r>
      <w:r w:rsidR="00F47BFD" w:rsidRPr="00624FAB">
        <w:rPr>
          <w:rFonts w:cs="Arial"/>
          <w:b/>
          <w:sz w:val="24"/>
          <w:szCs w:val="24"/>
        </w:rPr>
        <w:t>.</w:t>
      </w:r>
      <w:r w:rsidR="00080A56">
        <w:rPr>
          <w:rFonts w:cs="Arial"/>
          <w:b/>
          <w:sz w:val="24"/>
          <w:szCs w:val="24"/>
        </w:rPr>
        <w:t>3</w:t>
      </w:r>
      <w:r w:rsidR="00DA1D96" w:rsidRPr="00624FAB">
        <w:rPr>
          <w:rFonts w:cs="Arial"/>
          <w:b/>
          <w:sz w:val="24"/>
          <w:szCs w:val="24"/>
        </w:rPr>
        <w:t xml:space="preserve">. </w:t>
      </w:r>
      <w:r w:rsidR="00F47BFD" w:rsidRPr="00624FAB">
        <w:rPr>
          <w:rFonts w:cs="Arial"/>
          <w:bCs/>
          <w:sz w:val="24"/>
          <w:szCs w:val="24"/>
        </w:rPr>
        <w:t>В части н</w:t>
      </w:r>
      <w:r w:rsidR="00DA1D96" w:rsidRPr="00624FAB">
        <w:rPr>
          <w:rFonts w:cs="Arial"/>
          <w:bCs/>
          <w:sz w:val="24"/>
          <w:szCs w:val="24"/>
        </w:rPr>
        <w:t>еналоговы</w:t>
      </w:r>
      <w:r w:rsidR="00F47BFD" w:rsidRPr="00624FAB">
        <w:rPr>
          <w:rFonts w:cs="Arial"/>
          <w:bCs/>
          <w:sz w:val="24"/>
          <w:szCs w:val="24"/>
        </w:rPr>
        <w:t>х</w:t>
      </w:r>
      <w:r w:rsidR="00DA1D96" w:rsidRPr="00624FAB">
        <w:rPr>
          <w:rFonts w:cs="Arial"/>
          <w:bCs/>
          <w:sz w:val="24"/>
          <w:szCs w:val="24"/>
        </w:rPr>
        <w:t xml:space="preserve"> </w:t>
      </w:r>
      <w:r w:rsidR="00F47BFD" w:rsidRPr="00624FAB">
        <w:rPr>
          <w:rFonts w:cs="Arial"/>
          <w:bCs/>
          <w:sz w:val="24"/>
          <w:szCs w:val="24"/>
        </w:rPr>
        <w:t>платежей</w:t>
      </w:r>
    </w:p>
    <w:p w:rsidR="00DA1D96" w:rsidRPr="00624FAB" w:rsidRDefault="00F47BFD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В Основных направлениях</w:t>
      </w:r>
      <w:r w:rsidR="00DA1D96" w:rsidRPr="00624FAB">
        <w:rPr>
          <w:rFonts w:cs="Arial"/>
          <w:sz w:val="24"/>
          <w:szCs w:val="24"/>
        </w:rPr>
        <w:t xml:space="preserve"> </w:t>
      </w:r>
      <w:r w:rsidRPr="00624FAB">
        <w:rPr>
          <w:rFonts w:cs="Arial"/>
          <w:sz w:val="24"/>
          <w:szCs w:val="24"/>
        </w:rPr>
        <w:t xml:space="preserve">отсутствуют </w:t>
      </w:r>
      <w:r w:rsidR="00DA1D96" w:rsidRPr="00624FAB">
        <w:rPr>
          <w:rFonts w:cs="Arial"/>
          <w:sz w:val="24"/>
          <w:szCs w:val="24"/>
        </w:rPr>
        <w:t>положения о проводимой работе по инвентаризации и упорядочиванию системы неналоговых платежей</w:t>
      </w:r>
      <w:r w:rsidR="00080A56">
        <w:rPr>
          <w:rFonts w:cs="Arial"/>
          <w:sz w:val="24"/>
          <w:szCs w:val="24"/>
        </w:rPr>
        <w:t>, которые ранее были обозначены в Основных направлениях 2018 и 2019 года</w:t>
      </w:r>
      <w:r w:rsidR="00DA1D96" w:rsidRPr="00624FAB">
        <w:rPr>
          <w:rFonts w:cs="Arial"/>
          <w:sz w:val="24"/>
          <w:szCs w:val="24"/>
        </w:rPr>
        <w:t>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Полагаем, что отказ от внесения некоторых неналоговых платежей в Налоговый кодекс Российской Федерации не должен восприниматься как отказ от работы над проблемой неналоговых платежей в целом.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По нашему мнению</w:t>
      </w:r>
      <w:r w:rsidR="00AB050D" w:rsidRPr="00624FAB">
        <w:rPr>
          <w:rFonts w:cs="Arial"/>
          <w:sz w:val="24"/>
          <w:szCs w:val="24"/>
        </w:rPr>
        <w:t>,</w:t>
      </w:r>
      <w:r w:rsidRPr="00624FAB">
        <w:rPr>
          <w:rFonts w:cs="Arial"/>
          <w:sz w:val="24"/>
          <w:szCs w:val="24"/>
        </w:rPr>
        <w:t xml:space="preserve"> работа с неналоговыми платежами должна строиться по следующим основным направлениям: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необходимо дополнительно уточнить реестр платежей с целью его максимального наполнения;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закрепить ведение реестра как информационной системы, предусмотрев процедуру появления новых платежей в реестре, с учетом целесообразности модификации платежей, установления требований о порядке исчисления, размерах, сроках и (или) об условиях их уплаты;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системно определиться с необходимостью</w:t>
      </w:r>
      <w:r w:rsidR="00AB050D" w:rsidRPr="00624FAB">
        <w:rPr>
          <w:rFonts w:cs="Arial"/>
          <w:sz w:val="24"/>
          <w:szCs w:val="24"/>
        </w:rPr>
        <w:t xml:space="preserve"> </w:t>
      </w:r>
      <w:r w:rsidR="00F47BFD" w:rsidRPr="00624FAB">
        <w:rPr>
          <w:rFonts w:cs="Arial"/>
          <w:sz w:val="24"/>
          <w:szCs w:val="24"/>
        </w:rPr>
        <w:t>(</w:t>
      </w:r>
      <w:r w:rsidRPr="00624FAB">
        <w:rPr>
          <w:rFonts w:cs="Arial"/>
          <w:sz w:val="24"/>
          <w:szCs w:val="24"/>
        </w:rPr>
        <w:t>отсутстви</w:t>
      </w:r>
      <w:r w:rsidR="00F47BFD" w:rsidRPr="00624FAB">
        <w:rPr>
          <w:rFonts w:cs="Arial"/>
          <w:sz w:val="24"/>
          <w:szCs w:val="24"/>
        </w:rPr>
        <w:t>ем</w:t>
      </w:r>
      <w:r w:rsidRPr="00624FAB">
        <w:rPr>
          <w:rFonts w:cs="Arial"/>
          <w:sz w:val="24"/>
          <w:szCs w:val="24"/>
        </w:rPr>
        <w:t xml:space="preserve"> необходимости</w:t>
      </w:r>
      <w:r w:rsidR="00F47BFD" w:rsidRPr="00624FAB">
        <w:rPr>
          <w:rFonts w:cs="Arial"/>
          <w:sz w:val="24"/>
          <w:szCs w:val="24"/>
        </w:rPr>
        <w:t>)</w:t>
      </w:r>
      <w:r w:rsidRPr="00624FAB">
        <w:rPr>
          <w:rFonts w:cs="Arial"/>
          <w:sz w:val="24"/>
          <w:szCs w:val="24"/>
        </w:rPr>
        <w:t xml:space="preserve"> внесения каких</w:t>
      </w:r>
      <w:r w:rsidR="00F47BFD" w:rsidRPr="00624FAB">
        <w:rPr>
          <w:rFonts w:cs="Arial"/>
          <w:sz w:val="24"/>
          <w:szCs w:val="24"/>
        </w:rPr>
        <w:t>-</w:t>
      </w:r>
      <w:r w:rsidRPr="00624FAB">
        <w:rPr>
          <w:rFonts w:cs="Arial"/>
          <w:sz w:val="24"/>
          <w:szCs w:val="24"/>
        </w:rPr>
        <w:t>либо платежей в Налоговый кодекс Российской Федерации;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 xml:space="preserve">в части платежей за </w:t>
      </w:r>
      <w:proofErr w:type="spellStart"/>
      <w:r w:rsidRPr="00624FAB">
        <w:rPr>
          <w:rFonts w:cs="Arial"/>
          <w:sz w:val="24"/>
          <w:szCs w:val="24"/>
        </w:rPr>
        <w:t>госуслуги</w:t>
      </w:r>
      <w:proofErr w:type="spellEnd"/>
      <w:r w:rsidRPr="00624FAB">
        <w:rPr>
          <w:rFonts w:cs="Arial"/>
          <w:sz w:val="24"/>
          <w:szCs w:val="24"/>
        </w:rPr>
        <w:t xml:space="preserve"> и за услуги, необходимые для их предоставления, рассмотреть возможность проведения инвентаризации, с точки зрения обоснованности их установления и обоснованности применяемых ставок;</w:t>
      </w:r>
    </w:p>
    <w:p w:rsidR="00DA1D96" w:rsidRPr="00624FAB" w:rsidRDefault="00DA1D96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выработать общие подходы и методологические основы работы с неналоговыми платежами субъектов Российской Федерации.</w:t>
      </w:r>
    </w:p>
    <w:p w:rsidR="00443469" w:rsidRPr="00624FAB" w:rsidRDefault="00443469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rPr>
          <w:b/>
        </w:rPr>
        <w:t>2.</w:t>
      </w:r>
      <w:r w:rsidRPr="00624FAB">
        <w:t xml:space="preserve"> Согласно Основным направлениям на решение задачи содействия достижению национальных целей развития страны направлены структурные изменения бюджетной политики, в том числе в части изменения структуры и повышения результативности расходов. При этом стратегическая </w:t>
      </w:r>
      <w:proofErr w:type="spellStart"/>
      <w:r w:rsidRPr="00624FAB">
        <w:t>приоритезация</w:t>
      </w:r>
      <w:proofErr w:type="spellEnd"/>
      <w:r w:rsidRPr="00624FAB">
        <w:t xml:space="preserve"> расходов, как и в предыдущем бюджетном цикле, обеспечивается за счет значительного роста финансирования мероприятий национальных проектов и мер по реализации Послания Президента</w:t>
      </w:r>
      <w:r w:rsidR="005F793D">
        <w:t xml:space="preserve"> Российской Федерации</w:t>
      </w:r>
      <w:r w:rsidRPr="00624FAB">
        <w:t xml:space="preserve"> Федеральному Собранию</w:t>
      </w:r>
      <w:r w:rsidR="005F793D">
        <w:t xml:space="preserve"> Российской Федерации</w:t>
      </w:r>
      <w:r w:rsidRPr="00624FAB">
        <w:t xml:space="preserve"> (рост на 38,7 % в 2023 году к уровню 2020 года).</w:t>
      </w:r>
    </w:p>
    <w:p w:rsidR="00443469" w:rsidRPr="00624FAB" w:rsidRDefault="00443469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t xml:space="preserve">Отмечаем, что указанные расходы в 2021 – 2023 годах в среднем составляют не более 14 % общего объема расходов федерального бюджета. Анализ расходов федерального бюджета по разделам классификации расходов свидетельствует о том, что </w:t>
      </w:r>
      <w:r w:rsidRPr="00624FAB">
        <w:lastRenderedPageBreak/>
        <w:t>существенных изменений функциональной структуры расходов федерального бюджета в среднесрочной перспективе не произошло.</w:t>
      </w:r>
    </w:p>
    <w:p w:rsidR="00372C8E" w:rsidRPr="00624FAB" w:rsidRDefault="00443469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rPr>
          <w:b/>
        </w:rPr>
        <w:t>3</w:t>
      </w:r>
      <w:r w:rsidR="00F01DB9" w:rsidRPr="00624FAB">
        <w:rPr>
          <w:b/>
        </w:rPr>
        <w:t>.</w:t>
      </w:r>
      <w:r w:rsidR="00F01DB9" w:rsidRPr="00624FAB">
        <w:t xml:space="preserve"> В разделе Основных направлений, посвященном повышению операционной эффективности</w:t>
      </w:r>
      <w:r w:rsidR="00E21F81" w:rsidRPr="00624FAB">
        <w:t xml:space="preserve"> использования бюджетных средств</w:t>
      </w:r>
      <w:r w:rsidR="00F01DB9" w:rsidRPr="00624FAB">
        <w:t xml:space="preserve">, </w:t>
      </w:r>
      <w:r w:rsidR="00F47BFD" w:rsidRPr="00624FAB">
        <w:t xml:space="preserve">как и в основных направлениях в предыдущие бюджетные циклы, </w:t>
      </w:r>
      <w:r w:rsidR="00F01DB9" w:rsidRPr="00624FAB">
        <w:t xml:space="preserve">в очередной раз </w:t>
      </w:r>
      <w:r w:rsidR="00F47BFD" w:rsidRPr="00624FAB">
        <w:t xml:space="preserve">отмечается </w:t>
      </w:r>
      <w:r w:rsidR="00F01DB9" w:rsidRPr="00624FAB">
        <w:t xml:space="preserve">необходимость развития </w:t>
      </w:r>
      <w:r w:rsidR="00E21F81" w:rsidRPr="00624FAB">
        <w:t>института государственных программ и проектных принципов управления. Однако единственн</w:t>
      </w:r>
      <w:r w:rsidR="00372C8E" w:rsidRPr="00624FAB">
        <w:t>ой</w:t>
      </w:r>
      <w:r w:rsidR="00E21F81" w:rsidRPr="00624FAB">
        <w:t xml:space="preserve"> мер</w:t>
      </w:r>
      <w:r w:rsidR="00372C8E" w:rsidRPr="00624FAB">
        <w:t>ой</w:t>
      </w:r>
      <w:r w:rsidR="00E21F81" w:rsidRPr="00624FAB">
        <w:t xml:space="preserve"> для достижения указанн</w:t>
      </w:r>
      <w:r w:rsidR="00372C8E" w:rsidRPr="00624FAB">
        <w:t>ых</w:t>
      </w:r>
      <w:r w:rsidR="00E21F81" w:rsidRPr="00624FAB">
        <w:t xml:space="preserve"> цел</w:t>
      </w:r>
      <w:r w:rsidR="00372C8E" w:rsidRPr="00624FAB">
        <w:t>ей</w:t>
      </w:r>
      <w:r w:rsidR="00E21F81" w:rsidRPr="00624FAB">
        <w:t xml:space="preserve"> определены</w:t>
      </w:r>
      <w:r w:rsidR="00372C8E" w:rsidRPr="00624FAB">
        <w:t xml:space="preserve"> синхронизация подходов к разработке и управлению госпрограммами и национальными (федеральными) проектами, а также для расширения полноты мониторинга национальных проектов - разработка их рабочих планов, детализирующих результаты до конечных объектов с установлением по ним ответственных исполнителей, и детализация информации о закупках государственных учреждений.</w:t>
      </w:r>
    </w:p>
    <w:p w:rsidR="00372C8E" w:rsidRPr="00624FAB" w:rsidRDefault="00372C8E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t xml:space="preserve">При этом так и остаются нерешенными вопросы, связанные с отсутствием зависимости между объемами финансирования и индикаторами госпрограмм, ухудшением количественных значений ряда показателей, изменением состава показателей, их исключением в связи с </w:t>
      </w:r>
      <w:proofErr w:type="spellStart"/>
      <w:r w:rsidRPr="00624FAB">
        <w:t>недостижением</w:t>
      </w:r>
      <w:proofErr w:type="spellEnd"/>
      <w:r w:rsidRPr="00624FAB">
        <w:t>, отсутствием сопоставимости показателей за весь период реализации госпрограмм, наличием низкой доли показателей статистического наблюдения, что не способствует повышению эффективности функционирования института госпрограмм.</w:t>
      </w:r>
    </w:p>
    <w:p w:rsidR="000C35BA" w:rsidRPr="00624FAB" w:rsidRDefault="000C35BA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rPr>
          <w:b/>
          <w:bCs/>
        </w:rPr>
        <w:t>4.</w:t>
      </w:r>
      <w:r w:rsidRPr="00624FAB">
        <w:t xml:space="preserve"> В отношении оценки эффективности налоговых расходов как одного из инструментов повышения операционной эффективности использования бюджетных средств отмечаем следующее.</w:t>
      </w:r>
    </w:p>
    <w:p w:rsidR="000C35BA" w:rsidRPr="00624FAB" w:rsidRDefault="000C35BA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 xml:space="preserve">В Основных направлениях значительное внимание уделено формированию общих методологических подходов к оценке эффективности налоговых расходов всех уровней бюджетной системы Российской Федерации. </w:t>
      </w:r>
    </w:p>
    <w:p w:rsidR="000C35BA" w:rsidRPr="00624FAB" w:rsidRDefault="000C35BA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>Подведены итоги работы в сфере оценки эффективности налоговых расходов в 2019 году и обозначены задачи на 2021 - 2023 годы, такие как охват оценкой эффективности всех налоговых льгот Российской Федерации, полноценное отражение налоговых расходов в государственных и муниципальных программах, внедрение механизма оценки налоговых расходов на муниципальном уровне и ряд других.</w:t>
      </w:r>
    </w:p>
    <w:p w:rsidR="000C35BA" w:rsidRPr="00624FAB" w:rsidRDefault="000C35BA" w:rsidP="00624FAB">
      <w:pPr>
        <w:autoSpaceDE w:val="0"/>
        <w:autoSpaceDN w:val="0"/>
        <w:adjustRightInd w:val="0"/>
        <w:ind w:firstLine="720"/>
        <w:rPr>
          <w:rFonts w:cs="Arial"/>
          <w:sz w:val="24"/>
          <w:szCs w:val="24"/>
        </w:rPr>
      </w:pPr>
      <w:r w:rsidRPr="00624FAB">
        <w:rPr>
          <w:rFonts w:cs="Arial"/>
          <w:sz w:val="24"/>
          <w:szCs w:val="24"/>
        </w:rPr>
        <w:t xml:space="preserve">Вместе с тем следует отметить, что, несмотря на проделанную работу, перечень налоговых расходов фактически остается справочным материалом к Основным направлениям, поскольку в </w:t>
      </w:r>
      <w:r w:rsidR="006A7C71" w:rsidRPr="00624FAB">
        <w:rPr>
          <w:rFonts w:cs="Arial"/>
          <w:sz w:val="24"/>
          <w:szCs w:val="24"/>
        </w:rPr>
        <w:t>нем</w:t>
      </w:r>
      <w:r w:rsidRPr="00624FAB">
        <w:rPr>
          <w:rFonts w:cs="Arial"/>
          <w:sz w:val="24"/>
          <w:szCs w:val="24"/>
        </w:rPr>
        <w:t xml:space="preserve"> отсутствуют сведения об итогах работы кураторов налоговых расходов по оценке эффективности и востребованности налоговых льгот, отмене неэффективных и уточнени</w:t>
      </w:r>
      <w:r w:rsidR="005F793D">
        <w:rPr>
          <w:rFonts w:cs="Arial"/>
          <w:sz w:val="24"/>
          <w:szCs w:val="24"/>
        </w:rPr>
        <w:t>ю</w:t>
      </w:r>
      <w:r w:rsidRPr="00624FAB">
        <w:rPr>
          <w:rFonts w:cs="Arial"/>
          <w:sz w:val="24"/>
          <w:szCs w:val="24"/>
        </w:rPr>
        <w:t xml:space="preserve"> существующих льгот.</w:t>
      </w:r>
    </w:p>
    <w:p w:rsidR="000C35BA" w:rsidRPr="00624FAB" w:rsidRDefault="000C35BA" w:rsidP="00624FAB">
      <w:pPr>
        <w:ind w:firstLine="708"/>
        <w:rPr>
          <w:sz w:val="24"/>
          <w:szCs w:val="24"/>
        </w:rPr>
      </w:pPr>
      <w:r w:rsidRPr="00624FAB">
        <w:rPr>
          <w:sz w:val="24"/>
          <w:szCs w:val="24"/>
        </w:rPr>
        <w:lastRenderedPageBreak/>
        <w:t>С точки зрения использования результатов оценки налоговых расходов в бюджетном процессе предлагаем рассмотреть возможность установления общего предела принимаемых налоговых расходов (в абсолютном выражении) на текущий и плановый период</w:t>
      </w:r>
      <w:r w:rsidR="005F793D">
        <w:rPr>
          <w:sz w:val="24"/>
          <w:szCs w:val="24"/>
        </w:rPr>
        <w:t>ы</w:t>
      </w:r>
      <w:r w:rsidRPr="00624FAB">
        <w:rPr>
          <w:sz w:val="24"/>
          <w:szCs w:val="24"/>
        </w:rPr>
        <w:t>, что должно потенциально ограничить возможность бесконтрольного и незапланированного увеличения  налоговых льгот.</w:t>
      </w:r>
    </w:p>
    <w:p w:rsidR="000C35BA" w:rsidRPr="00624FAB" w:rsidRDefault="000C35BA" w:rsidP="00624FAB">
      <w:pPr>
        <w:ind w:firstLine="708"/>
        <w:rPr>
          <w:sz w:val="24"/>
          <w:szCs w:val="24"/>
        </w:rPr>
      </w:pPr>
      <w:r w:rsidRPr="00624FAB">
        <w:rPr>
          <w:sz w:val="24"/>
          <w:szCs w:val="24"/>
        </w:rPr>
        <w:t>С точки зрения совершенствования самого механизма внедрения концепции налоговых расходов в бюджетн</w:t>
      </w:r>
      <w:r w:rsidR="005F793D">
        <w:rPr>
          <w:sz w:val="24"/>
          <w:szCs w:val="24"/>
        </w:rPr>
        <w:t>ый процесс Российской Федерации</w:t>
      </w:r>
      <w:r w:rsidRPr="00624FAB">
        <w:rPr>
          <w:sz w:val="24"/>
          <w:szCs w:val="24"/>
        </w:rPr>
        <w:t xml:space="preserve"> полагаем, что на среднесрочную перспективу наиболее актуальной задачей будет являться совершенствование методик оценки, разработанных кураторами налоговых расходов, на основе единых методологических подходов, разработанных и утвержденных Министерством  финансов Российской Федерации, возможно по отраслевому признаку.</w:t>
      </w:r>
    </w:p>
    <w:p w:rsidR="004B3836" w:rsidRPr="00624FAB" w:rsidRDefault="004B3836" w:rsidP="00624FAB">
      <w:pPr>
        <w:widowControl w:val="0"/>
        <w:rPr>
          <w:iCs/>
          <w:sz w:val="24"/>
          <w:szCs w:val="24"/>
        </w:rPr>
      </w:pPr>
      <w:r w:rsidRPr="00624FAB">
        <w:rPr>
          <w:b/>
          <w:bCs/>
          <w:iCs/>
          <w:sz w:val="24"/>
          <w:szCs w:val="24"/>
        </w:rPr>
        <w:t>5.</w:t>
      </w:r>
      <w:r w:rsidRPr="00624FAB">
        <w:rPr>
          <w:iCs/>
          <w:sz w:val="24"/>
          <w:szCs w:val="24"/>
        </w:rPr>
        <w:t xml:space="preserve"> Согласно Основным направлениям одним</w:t>
      </w:r>
      <w:r w:rsidRPr="00624FAB">
        <w:rPr>
          <w:sz w:val="24"/>
          <w:szCs w:val="24"/>
        </w:rPr>
        <w:t xml:space="preserve"> </w:t>
      </w:r>
      <w:r w:rsidRPr="00624FAB">
        <w:rPr>
          <w:iCs/>
          <w:sz w:val="24"/>
          <w:szCs w:val="24"/>
        </w:rPr>
        <w:t xml:space="preserve">из инструментов, направленных на повышение операционной эффективности использования бюджетных средств, является </w:t>
      </w:r>
      <w:r w:rsidRPr="00624FAB">
        <w:rPr>
          <w:b/>
          <w:bCs/>
          <w:iCs/>
          <w:sz w:val="24"/>
          <w:szCs w:val="24"/>
        </w:rPr>
        <w:t xml:space="preserve">внедрение </w:t>
      </w:r>
      <w:r w:rsidRPr="00624FAB">
        <w:rPr>
          <w:iCs/>
          <w:sz w:val="24"/>
          <w:szCs w:val="24"/>
        </w:rPr>
        <w:t xml:space="preserve">в систему управления государственными финансами </w:t>
      </w:r>
      <w:r w:rsidRPr="00624FAB">
        <w:rPr>
          <w:b/>
          <w:bCs/>
          <w:iCs/>
          <w:sz w:val="24"/>
          <w:szCs w:val="24"/>
        </w:rPr>
        <w:t>обзоров бюджетных расходов</w:t>
      </w:r>
      <w:r w:rsidR="00304224" w:rsidRPr="00624FAB">
        <w:rPr>
          <w:b/>
          <w:bCs/>
          <w:iCs/>
          <w:sz w:val="24"/>
          <w:szCs w:val="24"/>
        </w:rPr>
        <w:t xml:space="preserve">, </w:t>
      </w:r>
      <w:r w:rsidR="00304224" w:rsidRPr="00624FAB">
        <w:rPr>
          <w:iCs/>
          <w:sz w:val="24"/>
          <w:szCs w:val="24"/>
        </w:rPr>
        <w:t>которое начато в 2019 году.</w:t>
      </w:r>
    </w:p>
    <w:p w:rsidR="001E4E0C" w:rsidRPr="00624FAB" w:rsidRDefault="00636B08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 xml:space="preserve">В соответствии с </w:t>
      </w:r>
      <w:r w:rsidR="001E4E0C" w:rsidRPr="00624FAB">
        <w:rPr>
          <w:iCs/>
          <w:sz w:val="24"/>
          <w:szCs w:val="24"/>
        </w:rPr>
        <w:t xml:space="preserve">Концепцией повышения эффективности бюджетных расходов в 2019 - 2024 годах, утвержденной распоряжением Правительства Российской Федерации от 31 января 2019 г. № 117-р, одним из принципов проведения обзоров является </w:t>
      </w:r>
      <w:r w:rsidR="001E4E0C" w:rsidRPr="00624FAB">
        <w:rPr>
          <w:b/>
          <w:bCs/>
          <w:iCs/>
          <w:sz w:val="24"/>
          <w:szCs w:val="24"/>
        </w:rPr>
        <w:t>включение решений,</w:t>
      </w:r>
      <w:r w:rsidR="001E4E0C" w:rsidRPr="00624FAB">
        <w:rPr>
          <w:iCs/>
          <w:sz w:val="24"/>
          <w:szCs w:val="24"/>
        </w:rPr>
        <w:t xml:space="preserve"> принятых по результатам проведения обзоров бюджетных расходов, </w:t>
      </w:r>
      <w:r w:rsidR="001E4E0C" w:rsidRPr="00624FAB">
        <w:rPr>
          <w:b/>
          <w:bCs/>
          <w:iCs/>
          <w:sz w:val="24"/>
          <w:szCs w:val="24"/>
        </w:rPr>
        <w:t>в методику расчета базовых бюджетных ассигнований</w:t>
      </w:r>
      <w:r w:rsidR="001E4E0C" w:rsidRPr="00624FAB">
        <w:rPr>
          <w:iCs/>
          <w:sz w:val="24"/>
          <w:szCs w:val="24"/>
        </w:rPr>
        <w:t xml:space="preserve"> федерального бюджета по государственным программам и непрограммным направлениям деятельности на очередной финансовый год и плановый период.</w:t>
      </w:r>
    </w:p>
    <w:p w:rsidR="00AB7CF8" w:rsidRPr="00624FAB" w:rsidRDefault="00AB7CF8" w:rsidP="00624FAB">
      <w:pPr>
        <w:widowControl w:val="0"/>
        <w:rPr>
          <w:b/>
          <w:bCs/>
          <w:iCs/>
          <w:sz w:val="24"/>
          <w:szCs w:val="24"/>
        </w:rPr>
      </w:pPr>
      <w:r w:rsidRPr="00624FAB">
        <w:rPr>
          <w:iCs/>
          <w:sz w:val="24"/>
          <w:szCs w:val="24"/>
        </w:rPr>
        <w:t xml:space="preserve">Следует отметить, что в постановлении Правительства Российской Федерации </w:t>
      </w:r>
      <w:r w:rsidRPr="00624FAB">
        <w:rPr>
          <w:iCs/>
          <w:sz w:val="24"/>
          <w:szCs w:val="24"/>
        </w:rPr>
        <w:br/>
        <w:t xml:space="preserve">от 24 марта 2018 г. № 326 «Об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Федерации» </w:t>
      </w:r>
      <w:r w:rsidRPr="00624FAB">
        <w:rPr>
          <w:b/>
          <w:bCs/>
          <w:iCs/>
          <w:sz w:val="24"/>
          <w:szCs w:val="24"/>
        </w:rPr>
        <w:t>соответствующие нормы отсутствуют.</w:t>
      </w:r>
    </w:p>
    <w:p w:rsidR="00730A59" w:rsidRPr="00624FAB" w:rsidRDefault="00730A59" w:rsidP="00624FAB">
      <w:pPr>
        <w:widowControl w:val="0"/>
        <w:rPr>
          <w:iCs/>
          <w:sz w:val="24"/>
          <w:szCs w:val="24"/>
        </w:rPr>
      </w:pPr>
      <w:r w:rsidRPr="00624FAB">
        <w:rPr>
          <w:b/>
          <w:bCs/>
          <w:iCs/>
          <w:sz w:val="24"/>
          <w:szCs w:val="24"/>
        </w:rPr>
        <w:t>Методики</w:t>
      </w:r>
      <w:r w:rsidRPr="00624FAB">
        <w:rPr>
          <w:iCs/>
          <w:sz w:val="24"/>
          <w:szCs w:val="24"/>
        </w:rPr>
        <w:t xml:space="preserve">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</w:t>
      </w:r>
      <w:r w:rsidR="00304224" w:rsidRPr="00624FAB">
        <w:rPr>
          <w:iCs/>
          <w:sz w:val="24"/>
          <w:szCs w:val="24"/>
        </w:rPr>
        <w:t>2020 – 2022 годы и на 2021 - 2023 годы</w:t>
      </w:r>
      <w:r w:rsidRPr="00624FAB">
        <w:rPr>
          <w:iCs/>
          <w:sz w:val="24"/>
          <w:szCs w:val="24"/>
        </w:rPr>
        <w:t xml:space="preserve">, а также </w:t>
      </w:r>
      <w:r w:rsidR="00304224" w:rsidRPr="00624FAB">
        <w:rPr>
          <w:iCs/>
          <w:sz w:val="24"/>
          <w:szCs w:val="24"/>
        </w:rPr>
        <w:t xml:space="preserve">соответствующие </w:t>
      </w:r>
      <w:r w:rsidRPr="00624FAB">
        <w:rPr>
          <w:iCs/>
          <w:sz w:val="24"/>
          <w:szCs w:val="24"/>
        </w:rPr>
        <w:t xml:space="preserve">методические указания по распределению предельных базовых бюджетных ассигнований по кодам классификации расходов бюджетов </w:t>
      </w:r>
      <w:r w:rsidRPr="00624FAB">
        <w:rPr>
          <w:b/>
          <w:bCs/>
          <w:iCs/>
          <w:sz w:val="24"/>
          <w:szCs w:val="24"/>
        </w:rPr>
        <w:t>указаний</w:t>
      </w:r>
      <w:r w:rsidRPr="00624FAB">
        <w:rPr>
          <w:iCs/>
          <w:sz w:val="24"/>
          <w:szCs w:val="24"/>
        </w:rPr>
        <w:t xml:space="preserve"> на учет результатов проводимых обзоров </w:t>
      </w:r>
      <w:r w:rsidRPr="00624FAB">
        <w:rPr>
          <w:b/>
          <w:bCs/>
          <w:iCs/>
          <w:sz w:val="24"/>
          <w:szCs w:val="24"/>
        </w:rPr>
        <w:t>не предусматривают.</w:t>
      </w:r>
    </w:p>
    <w:p w:rsidR="00304224" w:rsidRPr="00624FAB" w:rsidRDefault="00304224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 xml:space="preserve">Регламентом проведения обзоров бюджетных расходов, утвержденным </w:t>
      </w:r>
      <w:r w:rsidR="00EE53DE">
        <w:rPr>
          <w:iCs/>
          <w:sz w:val="24"/>
          <w:szCs w:val="24"/>
        </w:rPr>
        <w:t xml:space="preserve">Первым </w:t>
      </w:r>
      <w:r w:rsidR="00EE53DE">
        <w:rPr>
          <w:iCs/>
          <w:sz w:val="24"/>
          <w:szCs w:val="24"/>
        </w:rPr>
        <w:lastRenderedPageBreak/>
        <w:t xml:space="preserve">заместителем Председателя Правительства Российской Федерации – председателем Правительственной комиссии по вопросам оптимизации и повышения эффективности бюджетных расходов </w:t>
      </w:r>
      <w:r w:rsidR="00FF1D15" w:rsidRPr="00624FAB">
        <w:rPr>
          <w:iCs/>
          <w:sz w:val="24"/>
          <w:szCs w:val="24"/>
        </w:rPr>
        <w:t>5 февраля 2019 г. № 1025п-П13, определены порядок и сроки их подготовки (с октября текущего финансового года по апрель очередного финансового года). В том числе установлено, что Правительственная комиссия по вопросам оптимизации и повышения эффективности бюджетных расходов</w:t>
      </w:r>
      <w:r w:rsidR="00947197" w:rsidRPr="00624FAB">
        <w:rPr>
          <w:iCs/>
          <w:sz w:val="24"/>
          <w:szCs w:val="24"/>
        </w:rPr>
        <w:t xml:space="preserve"> (далее – Правительственная комиссия)</w:t>
      </w:r>
      <w:r w:rsidR="00FF1D15" w:rsidRPr="00624FAB">
        <w:rPr>
          <w:iCs/>
          <w:sz w:val="24"/>
          <w:szCs w:val="24"/>
        </w:rPr>
        <w:t xml:space="preserve"> рассматривает обзоры и принимает соответствующие решения в срок до 30 апреля очередного финансового года.</w:t>
      </w:r>
    </w:p>
    <w:p w:rsidR="005A5421" w:rsidRPr="00624FAB" w:rsidRDefault="00304224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В</w:t>
      </w:r>
      <w:r w:rsidR="004339AD" w:rsidRPr="00624FAB">
        <w:rPr>
          <w:iCs/>
          <w:sz w:val="24"/>
          <w:szCs w:val="24"/>
        </w:rPr>
        <w:t xml:space="preserve"> 2019 году</w:t>
      </w:r>
      <w:r w:rsidRPr="00624FAB">
        <w:rPr>
          <w:iCs/>
          <w:sz w:val="24"/>
          <w:szCs w:val="24"/>
        </w:rPr>
        <w:t xml:space="preserve"> проведены обзоры</w:t>
      </w:r>
      <w:r w:rsidR="004339AD" w:rsidRPr="00624FAB">
        <w:rPr>
          <w:sz w:val="24"/>
          <w:szCs w:val="24"/>
        </w:rPr>
        <w:t xml:space="preserve"> </w:t>
      </w:r>
      <w:r w:rsidR="004339AD" w:rsidRPr="00624FAB">
        <w:rPr>
          <w:iCs/>
          <w:sz w:val="24"/>
          <w:szCs w:val="24"/>
        </w:rPr>
        <w:t>расходов на материально-техническое обеспечение федеральных государственных органов и органов управления государственными внебюджетными фондами Российской Федерации, на выполнение научно-исследовательских, опытно-конструкторских и технологических работ гражданского назначения, на реализацию пяти государственных программ по развитию промышленности гражданского назначения</w:t>
      </w:r>
      <w:r w:rsidR="006B5C1F" w:rsidRPr="00624FAB">
        <w:rPr>
          <w:iCs/>
          <w:sz w:val="24"/>
          <w:szCs w:val="24"/>
        </w:rPr>
        <w:t xml:space="preserve"> и</w:t>
      </w:r>
      <w:r w:rsidR="004339AD" w:rsidRPr="00624FAB">
        <w:rPr>
          <w:iCs/>
          <w:sz w:val="24"/>
          <w:szCs w:val="24"/>
        </w:rPr>
        <w:t xml:space="preserve"> трех государственных программ в сфере природопользования и охраны окружающей среды</w:t>
      </w:r>
      <w:r w:rsidR="006B5C1F" w:rsidRPr="00624FAB">
        <w:rPr>
          <w:iCs/>
          <w:sz w:val="24"/>
          <w:szCs w:val="24"/>
        </w:rPr>
        <w:t>,</w:t>
      </w:r>
      <w:r w:rsidR="004339AD" w:rsidRPr="00624FAB">
        <w:rPr>
          <w:iCs/>
          <w:sz w:val="24"/>
          <w:szCs w:val="24"/>
        </w:rPr>
        <w:t xml:space="preserve"> расходов федерального бюджета, главным распорядителем по которым является Федеральная служба судебных приставов.</w:t>
      </w:r>
    </w:p>
    <w:p w:rsidR="002C1F7A" w:rsidRPr="00624FAB" w:rsidRDefault="00F93EB7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 xml:space="preserve">Наличие отмеченных в обзорах проблем </w:t>
      </w:r>
      <w:r w:rsidR="0010272C" w:rsidRPr="00624FAB">
        <w:rPr>
          <w:iCs/>
          <w:sz w:val="24"/>
          <w:szCs w:val="24"/>
        </w:rPr>
        <w:t>подтверждено</w:t>
      </w:r>
      <w:r w:rsidRPr="00624FAB">
        <w:rPr>
          <w:iCs/>
          <w:sz w:val="24"/>
          <w:szCs w:val="24"/>
        </w:rPr>
        <w:t xml:space="preserve"> результатами контрольных мероприятий Счетной палаты.</w:t>
      </w:r>
      <w:r w:rsidRPr="00624FAB">
        <w:rPr>
          <w:sz w:val="24"/>
          <w:szCs w:val="24"/>
        </w:rPr>
        <w:t xml:space="preserve"> </w:t>
      </w:r>
      <w:r w:rsidRPr="00624FAB">
        <w:rPr>
          <w:iCs/>
          <w:sz w:val="24"/>
          <w:szCs w:val="24"/>
        </w:rPr>
        <w:t>Предложения по оптимизации расходов, содержащиеся в обзорах бюджетных расходов, в целом соответству</w:t>
      </w:r>
      <w:r w:rsidR="0010272C" w:rsidRPr="00624FAB">
        <w:rPr>
          <w:iCs/>
          <w:sz w:val="24"/>
          <w:szCs w:val="24"/>
        </w:rPr>
        <w:t>ющие</w:t>
      </w:r>
      <w:r w:rsidRPr="00624FAB">
        <w:rPr>
          <w:iCs/>
          <w:sz w:val="24"/>
          <w:szCs w:val="24"/>
        </w:rPr>
        <w:t xml:space="preserve"> результатам проверок, проводимых Счетной палатой, были поддержаны.</w:t>
      </w:r>
    </w:p>
    <w:p w:rsidR="00F93EB7" w:rsidRPr="00624FAB" w:rsidRDefault="005F793D" w:rsidP="00624FAB">
      <w:pPr>
        <w:widowControl w:val="0"/>
        <w:rPr>
          <w:iCs/>
          <w:sz w:val="24"/>
          <w:szCs w:val="24"/>
        </w:rPr>
      </w:pPr>
      <w:r>
        <w:rPr>
          <w:iCs/>
          <w:sz w:val="24"/>
          <w:szCs w:val="24"/>
        </w:rPr>
        <w:t>Однако</w:t>
      </w:r>
      <w:r w:rsidR="00F93EB7" w:rsidRPr="00624FAB">
        <w:rPr>
          <w:iCs/>
          <w:sz w:val="24"/>
          <w:szCs w:val="24"/>
        </w:rPr>
        <w:t xml:space="preserve"> </w:t>
      </w:r>
      <w:r w:rsidR="00304224" w:rsidRPr="00624FAB">
        <w:rPr>
          <w:iCs/>
          <w:sz w:val="24"/>
          <w:szCs w:val="24"/>
        </w:rPr>
        <w:t xml:space="preserve">эти </w:t>
      </w:r>
      <w:r w:rsidR="0010272C" w:rsidRPr="00624FAB">
        <w:rPr>
          <w:iCs/>
          <w:sz w:val="24"/>
          <w:szCs w:val="24"/>
        </w:rPr>
        <w:t xml:space="preserve">предложения, </w:t>
      </w:r>
      <w:r w:rsidR="00304224" w:rsidRPr="00624FAB">
        <w:rPr>
          <w:iCs/>
          <w:sz w:val="24"/>
          <w:szCs w:val="24"/>
        </w:rPr>
        <w:t>рассмотренные</w:t>
      </w:r>
      <w:r w:rsidR="0010272C" w:rsidRPr="00624FAB">
        <w:rPr>
          <w:iCs/>
          <w:sz w:val="24"/>
          <w:szCs w:val="24"/>
        </w:rPr>
        <w:t xml:space="preserve"> на заседании Правительственной комиссии 8 ноября 2019 года, </w:t>
      </w:r>
      <w:r w:rsidR="00F93EB7" w:rsidRPr="00624FAB">
        <w:rPr>
          <w:iCs/>
          <w:sz w:val="24"/>
          <w:szCs w:val="24"/>
        </w:rPr>
        <w:t>при формировании проекта федерального бюджета на 2020 год и на плановый период 2021 и 2020 годов</w:t>
      </w:r>
      <w:r w:rsidR="0010272C" w:rsidRPr="00624FAB">
        <w:rPr>
          <w:iCs/>
          <w:sz w:val="24"/>
          <w:szCs w:val="24"/>
        </w:rPr>
        <w:t xml:space="preserve"> </w:t>
      </w:r>
      <w:r w:rsidR="00F93EB7" w:rsidRPr="00624FAB">
        <w:rPr>
          <w:iCs/>
          <w:sz w:val="24"/>
          <w:szCs w:val="24"/>
        </w:rPr>
        <w:t>в основном не были учтены, за исключением перераспределения бюджетных ассигнований на реализацию отдельных мероприятий ряда госпрограмм.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Правительственной комиссией (протокол от 3 сентября 2019 г. № 3) одобрен следующий перечень сфер (направлений) проведения обзоров бюджетных расходов в 2020 году: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в сфере здравоохранения (порядка 900,1 млрд. рублей бюджетных ассигнований и налоговых расходов порядка 484,5 млрд. рублей);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в сфере энергетики (порядка 8,3 млрд. рублей бюджетных ассигнований и налоговых расходов порядка 3 118,9 млрд. рублей);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в сфере сельского хозяйства и рыболовства (порядка 324,3 млрд. рублей и налоговых расходов порядка 77,6 млрд. рублей);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 xml:space="preserve">на предоставление субсидий на иные цели бюджетным (автономным) учреждениям </w:t>
      </w:r>
      <w:r w:rsidRPr="00624FAB">
        <w:rPr>
          <w:iCs/>
          <w:sz w:val="24"/>
          <w:szCs w:val="24"/>
        </w:rPr>
        <w:lastRenderedPageBreak/>
        <w:t>(порядка 263,1 млрд. рублей);</w:t>
      </w:r>
    </w:p>
    <w:p w:rsidR="00833BBE" w:rsidRPr="00624FAB" w:rsidRDefault="00833BBE" w:rsidP="00624FAB">
      <w:pPr>
        <w:widowControl w:val="0"/>
        <w:rPr>
          <w:iCs/>
          <w:sz w:val="24"/>
          <w:szCs w:val="24"/>
        </w:rPr>
      </w:pPr>
      <w:r w:rsidRPr="00624FAB">
        <w:rPr>
          <w:iCs/>
          <w:sz w:val="24"/>
          <w:szCs w:val="24"/>
        </w:rPr>
        <w:t>на поддержку государственных корпораций (компаний), публично-правовых компаний (порядка 275,8 млрд. рублей);</w:t>
      </w:r>
    </w:p>
    <w:p w:rsidR="00AF00F6" w:rsidRPr="00624FAB" w:rsidRDefault="00833BBE" w:rsidP="00624FAB">
      <w:pPr>
        <w:widowControl w:val="0"/>
        <w:rPr>
          <w:bCs/>
          <w:iCs/>
          <w:sz w:val="24"/>
          <w:szCs w:val="24"/>
        </w:rPr>
      </w:pPr>
      <w:r w:rsidRPr="00624FAB">
        <w:rPr>
          <w:iCs/>
          <w:sz w:val="24"/>
          <w:szCs w:val="24"/>
        </w:rPr>
        <w:t>на создание и функционирование информационных систем, внедрение цифровых технологий (порядка 132,1 млрд. рублей).</w:t>
      </w:r>
      <w:r w:rsidR="00AF00F6" w:rsidRPr="00624FAB">
        <w:rPr>
          <w:bCs/>
          <w:iCs/>
          <w:sz w:val="24"/>
          <w:szCs w:val="24"/>
        </w:rPr>
        <w:t xml:space="preserve"> </w:t>
      </w:r>
    </w:p>
    <w:p w:rsidR="00833BBE" w:rsidRPr="00624FAB" w:rsidRDefault="00AF00F6" w:rsidP="00624FAB">
      <w:pPr>
        <w:widowControl w:val="0"/>
        <w:rPr>
          <w:iCs/>
          <w:sz w:val="24"/>
          <w:szCs w:val="24"/>
        </w:rPr>
      </w:pPr>
      <w:r w:rsidRPr="00624FAB">
        <w:rPr>
          <w:bCs/>
          <w:iCs/>
          <w:sz w:val="24"/>
          <w:szCs w:val="24"/>
        </w:rPr>
        <w:t xml:space="preserve">В целом планируемый </w:t>
      </w:r>
      <w:r w:rsidRPr="00624FAB">
        <w:rPr>
          <w:b/>
          <w:bCs/>
          <w:iCs/>
          <w:sz w:val="24"/>
          <w:szCs w:val="24"/>
        </w:rPr>
        <w:t>объем бюджетных ассигнований</w:t>
      </w:r>
      <w:r w:rsidRPr="00624FAB">
        <w:rPr>
          <w:bCs/>
          <w:iCs/>
          <w:sz w:val="24"/>
          <w:szCs w:val="24"/>
        </w:rPr>
        <w:t xml:space="preserve">, который должен быть </w:t>
      </w:r>
      <w:r w:rsidRPr="00624FAB">
        <w:rPr>
          <w:b/>
          <w:bCs/>
          <w:iCs/>
          <w:sz w:val="24"/>
          <w:szCs w:val="24"/>
        </w:rPr>
        <w:t>охвачен обзорами</w:t>
      </w:r>
      <w:r w:rsidR="0010272C" w:rsidRPr="00624FAB">
        <w:rPr>
          <w:b/>
          <w:bCs/>
          <w:iCs/>
          <w:sz w:val="24"/>
          <w:szCs w:val="24"/>
        </w:rPr>
        <w:t xml:space="preserve">, </w:t>
      </w:r>
      <w:r w:rsidRPr="00624FAB">
        <w:rPr>
          <w:bCs/>
          <w:iCs/>
          <w:sz w:val="24"/>
          <w:szCs w:val="24"/>
        </w:rPr>
        <w:t xml:space="preserve">в части 2021 года составляет порядка </w:t>
      </w:r>
      <w:r w:rsidRPr="00624FAB">
        <w:rPr>
          <w:b/>
          <w:bCs/>
          <w:iCs/>
          <w:sz w:val="24"/>
          <w:szCs w:val="24"/>
        </w:rPr>
        <w:t>1 903,7 млрд. рублей</w:t>
      </w:r>
      <w:r w:rsidRPr="00624FAB">
        <w:rPr>
          <w:bCs/>
          <w:iCs/>
          <w:sz w:val="24"/>
          <w:szCs w:val="24"/>
        </w:rPr>
        <w:t xml:space="preserve">, </w:t>
      </w:r>
      <w:r w:rsidRPr="00624FAB">
        <w:rPr>
          <w:b/>
          <w:bCs/>
          <w:iCs/>
          <w:sz w:val="24"/>
          <w:szCs w:val="24"/>
        </w:rPr>
        <w:t>налоговых расходов - порядка 3 525,7 млрд. рублей</w:t>
      </w:r>
      <w:r w:rsidR="0083707B" w:rsidRPr="00624FAB">
        <w:rPr>
          <w:b/>
          <w:bCs/>
          <w:iCs/>
          <w:sz w:val="24"/>
          <w:szCs w:val="24"/>
        </w:rPr>
        <w:t>.</w:t>
      </w:r>
    </w:p>
    <w:p w:rsidR="00947197" w:rsidRPr="00624FAB" w:rsidRDefault="00FF1D15" w:rsidP="00624FAB">
      <w:pPr>
        <w:widowControl w:val="0"/>
        <w:rPr>
          <w:b/>
          <w:iCs/>
          <w:sz w:val="24"/>
          <w:szCs w:val="24"/>
        </w:rPr>
      </w:pPr>
      <w:r w:rsidRPr="00624FAB">
        <w:rPr>
          <w:bCs/>
          <w:iCs/>
          <w:sz w:val="24"/>
          <w:szCs w:val="24"/>
        </w:rPr>
        <w:t>С</w:t>
      </w:r>
      <w:r w:rsidR="004B3836" w:rsidRPr="00624FAB">
        <w:rPr>
          <w:bCs/>
          <w:iCs/>
          <w:sz w:val="24"/>
          <w:szCs w:val="24"/>
        </w:rPr>
        <w:t xml:space="preserve">огласно ответу Минфина России </w:t>
      </w:r>
      <w:r w:rsidR="00947197" w:rsidRPr="00624FAB">
        <w:rPr>
          <w:bCs/>
          <w:iCs/>
          <w:sz w:val="24"/>
          <w:szCs w:val="24"/>
        </w:rPr>
        <w:t xml:space="preserve">(письмо от 8 сентября 2020 г. № 26-01-07/78749) </w:t>
      </w:r>
      <w:r w:rsidRPr="00624FAB">
        <w:rPr>
          <w:bCs/>
          <w:iCs/>
          <w:sz w:val="24"/>
          <w:szCs w:val="24"/>
        </w:rPr>
        <w:t>на запрос Счетной палаты</w:t>
      </w:r>
      <w:r w:rsidR="005F793D">
        <w:rPr>
          <w:bCs/>
          <w:iCs/>
          <w:sz w:val="24"/>
          <w:szCs w:val="24"/>
        </w:rPr>
        <w:t xml:space="preserve"> </w:t>
      </w:r>
      <w:r w:rsidR="000346B2" w:rsidRPr="00624FAB">
        <w:rPr>
          <w:bCs/>
          <w:iCs/>
          <w:sz w:val="24"/>
          <w:szCs w:val="24"/>
        </w:rPr>
        <w:t xml:space="preserve">подготовка обзоров бюджетных расходов </w:t>
      </w:r>
      <w:r w:rsidR="000346B2" w:rsidRPr="00624FAB">
        <w:rPr>
          <w:b/>
          <w:iCs/>
          <w:sz w:val="24"/>
          <w:szCs w:val="24"/>
        </w:rPr>
        <w:t>не завершена</w:t>
      </w:r>
      <w:r w:rsidR="000346B2" w:rsidRPr="00624FAB">
        <w:rPr>
          <w:bCs/>
          <w:iCs/>
          <w:sz w:val="24"/>
          <w:szCs w:val="24"/>
        </w:rPr>
        <w:t xml:space="preserve"> </w:t>
      </w:r>
      <w:r w:rsidR="004B3836" w:rsidRPr="00624FAB">
        <w:rPr>
          <w:bCs/>
          <w:iCs/>
          <w:sz w:val="24"/>
          <w:szCs w:val="24"/>
        </w:rPr>
        <w:t xml:space="preserve">в связи с проводимой в январе - августе 2020 года </w:t>
      </w:r>
      <w:r w:rsidR="004B3836" w:rsidRPr="00624FAB">
        <w:rPr>
          <w:b/>
          <w:iCs/>
          <w:sz w:val="24"/>
          <w:szCs w:val="24"/>
        </w:rPr>
        <w:t>реорганизацией Правительственной комиссии</w:t>
      </w:r>
      <w:r w:rsidR="004B3836" w:rsidRPr="00624FAB">
        <w:rPr>
          <w:bCs/>
          <w:iCs/>
          <w:sz w:val="24"/>
          <w:szCs w:val="24"/>
        </w:rPr>
        <w:t xml:space="preserve"> </w:t>
      </w:r>
      <w:bookmarkStart w:id="1" w:name="_Hlk52137964"/>
      <w:r w:rsidR="004B3836" w:rsidRPr="00624FAB">
        <w:rPr>
          <w:bCs/>
          <w:iCs/>
          <w:sz w:val="24"/>
          <w:szCs w:val="24"/>
        </w:rPr>
        <w:t>по вопросам оптимизации и повышения эффективности бюджетных расходов</w:t>
      </w:r>
      <w:bookmarkEnd w:id="1"/>
      <w:r w:rsidR="004B3836" w:rsidRPr="00624FAB">
        <w:rPr>
          <w:bCs/>
          <w:iCs/>
          <w:sz w:val="24"/>
          <w:szCs w:val="24"/>
        </w:rPr>
        <w:t xml:space="preserve"> и уточнением ее состава (утвержден распоряжением Правительства Российской Федерации от 12 августа 2020 г. № 2076-р), а также последующей необходимостью дополнительной актуализации содержания обзоров бюджетных расходов ввиду изменения структуры расходов федерального бюджета по соответствующим направлениям, обусловленного ситуацией с распространением </w:t>
      </w:r>
      <w:proofErr w:type="spellStart"/>
      <w:r w:rsidR="004B3836" w:rsidRPr="00624FAB">
        <w:rPr>
          <w:bCs/>
          <w:iCs/>
          <w:sz w:val="24"/>
          <w:szCs w:val="24"/>
        </w:rPr>
        <w:t>коронавирусной</w:t>
      </w:r>
      <w:proofErr w:type="spellEnd"/>
      <w:r w:rsidR="004B3836" w:rsidRPr="00624FAB">
        <w:rPr>
          <w:bCs/>
          <w:iCs/>
          <w:sz w:val="24"/>
          <w:szCs w:val="24"/>
        </w:rPr>
        <w:t xml:space="preserve"> инфекци</w:t>
      </w:r>
      <w:r w:rsidR="005F793D">
        <w:rPr>
          <w:bCs/>
          <w:iCs/>
          <w:sz w:val="24"/>
          <w:szCs w:val="24"/>
        </w:rPr>
        <w:t>и</w:t>
      </w:r>
      <w:r w:rsidR="000346B2" w:rsidRPr="00624FAB">
        <w:rPr>
          <w:bCs/>
          <w:iCs/>
          <w:sz w:val="24"/>
          <w:szCs w:val="24"/>
        </w:rPr>
        <w:t>.</w:t>
      </w:r>
      <w:r w:rsidR="004B3836" w:rsidRPr="00624FAB">
        <w:rPr>
          <w:b/>
          <w:iCs/>
          <w:sz w:val="24"/>
          <w:szCs w:val="24"/>
        </w:rPr>
        <w:t xml:space="preserve"> </w:t>
      </w:r>
    </w:p>
    <w:p w:rsidR="004B3836" w:rsidRPr="00624FAB" w:rsidRDefault="004B3836" w:rsidP="00624FAB">
      <w:pPr>
        <w:widowControl w:val="0"/>
        <w:rPr>
          <w:bCs/>
          <w:iCs/>
          <w:sz w:val="24"/>
          <w:szCs w:val="24"/>
        </w:rPr>
      </w:pPr>
      <w:r w:rsidRPr="00624FAB">
        <w:rPr>
          <w:bCs/>
          <w:iCs/>
          <w:sz w:val="24"/>
          <w:szCs w:val="24"/>
        </w:rPr>
        <w:t xml:space="preserve">Таким образом, </w:t>
      </w:r>
      <w:r w:rsidR="00FF1D15" w:rsidRPr="00624FAB">
        <w:rPr>
          <w:bCs/>
          <w:iCs/>
          <w:sz w:val="24"/>
          <w:szCs w:val="24"/>
        </w:rPr>
        <w:t>при формировании проекта федерального бюджета на 2021 – 2023 годы результаты обзоров бюджетных расходов</w:t>
      </w:r>
      <w:r w:rsidR="000346B2" w:rsidRPr="00624FAB">
        <w:rPr>
          <w:bCs/>
          <w:iCs/>
          <w:sz w:val="24"/>
          <w:szCs w:val="24"/>
        </w:rPr>
        <w:t>,</w:t>
      </w:r>
      <w:r w:rsidR="00FF1D15" w:rsidRPr="00624FAB">
        <w:rPr>
          <w:bCs/>
          <w:iCs/>
          <w:sz w:val="24"/>
          <w:szCs w:val="24"/>
        </w:rPr>
        <w:t xml:space="preserve"> как и в предыдущем бюджетном цикле, не учтены.</w:t>
      </w:r>
    </w:p>
    <w:p w:rsidR="00FF1D15" w:rsidRPr="00624FAB" w:rsidRDefault="00FF1D15" w:rsidP="00624FAB">
      <w:pPr>
        <w:widowControl w:val="0"/>
        <w:rPr>
          <w:bCs/>
          <w:iCs/>
          <w:sz w:val="24"/>
          <w:szCs w:val="24"/>
        </w:rPr>
      </w:pPr>
      <w:r w:rsidRPr="00624FAB">
        <w:rPr>
          <w:bCs/>
          <w:iCs/>
          <w:sz w:val="24"/>
          <w:szCs w:val="24"/>
        </w:rPr>
        <w:t xml:space="preserve">В целом отмечаем, что обзоры бюджетных расходов, учитывая </w:t>
      </w:r>
      <w:r w:rsidR="00F968CE" w:rsidRPr="00624FAB">
        <w:rPr>
          <w:bCs/>
          <w:iCs/>
          <w:sz w:val="24"/>
          <w:szCs w:val="24"/>
        </w:rPr>
        <w:t>достаточно высокое качество анализа и содержащихся в них рекомендаций (на примере обзоров бюджетных расходов, проведенных в 2019 году), могут стать действенным инструментом повышения операционной эффективности</w:t>
      </w:r>
      <w:r w:rsidR="00947197" w:rsidRPr="00624FAB">
        <w:rPr>
          <w:bCs/>
          <w:iCs/>
          <w:sz w:val="24"/>
          <w:szCs w:val="24"/>
        </w:rPr>
        <w:t xml:space="preserve"> использования бюджетных средств в случае своевременности их подготовки и учета рекомендаций и предложений по результатам обзоров при формировании проектов федерального бюджета на очередной финансовый год и плановый период.</w:t>
      </w:r>
    </w:p>
    <w:p w:rsidR="00F01DB9" w:rsidRPr="00624FAB" w:rsidRDefault="00F01DB9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rPr>
          <w:b/>
        </w:rPr>
        <w:t>6.</w:t>
      </w:r>
      <w:r w:rsidRPr="00624FAB">
        <w:t xml:space="preserve"> В Основных направлениях, как и в предыдущие годы, не затрагиваются вопросы, связанные с включением в федеральную адресную инвестиционную программу (далее – ФАИП) объектов, не готовых к началу строительства (реконструкции) в соответствии с требованиями законодательства Российской Федерации.</w:t>
      </w:r>
    </w:p>
    <w:p w:rsidR="007D3600" w:rsidRPr="00624FAB" w:rsidRDefault="007D3600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t xml:space="preserve">Полагаем, </w:t>
      </w:r>
      <w:r w:rsidR="005F793D">
        <w:t xml:space="preserve">что </w:t>
      </w:r>
      <w:r w:rsidRPr="00624FAB">
        <w:t xml:space="preserve">эта тема требует серьезного внимания и мониторинга со стороны Правительства Российской Федерации в предстоящем периоде, учитывая то, что принятые в течение последних лет меры по сокращению объемов и количества объектов незавершенного строительства ощутимого эффекта не дали. </w:t>
      </w:r>
    </w:p>
    <w:p w:rsidR="007D3600" w:rsidRPr="00624FAB" w:rsidRDefault="007D3600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lastRenderedPageBreak/>
        <w:t>Так, по итогам 2019 года уровень кассового исполнения расходов на реализацию ФАИП является самым низким за 20 лет (77,2 % объема лимитов бюджетных обязательств). Объем неисполнения указанных расходов составил 192,6 млрд. рублей, что на 58,1 млрд. рублей, или на 43,2 %, больше, чем в 2018 году (134,5 млрд. рублей).</w:t>
      </w:r>
    </w:p>
    <w:p w:rsidR="007D3600" w:rsidRPr="00624FAB" w:rsidRDefault="007D3600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t>Также остаются низкими темпы строительства и ввода в эксплуатацию объектов ФАИП. В 2019 году не введено в эксплуатацию 188 объектов, или 74,9 % общего количества объектов, подлежавших вводу (в 2018 году – 181 объект, или 45,5 %).</w:t>
      </w:r>
    </w:p>
    <w:p w:rsidR="00F01DB9" w:rsidRPr="00624FAB" w:rsidRDefault="007D3600" w:rsidP="00624FAB">
      <w:pPr>
        <w:pStyle w:val="rvps698610"/>
        <w:widowControl w:val="0"/>
        <w:tabs>
          <w:tab w:val="left" w:pos="9637"/>
        </w:tabs>
        <w:spacing w:after="0"/>
        <w:ind w:right="0"/>
      </w:pPr>
      <w:r w:rsidRPr="00624FAB">
        <w:t>В связи с этим</w:t>
      </w:r>
      <w:r w:rsidR="00F01DB9" w:rsidRPr="00624FAB">
        <w:t xml:space="preserve"> в </w:t>
      </w:r>
      <w:r w:rsidR="00BB13FA" w:rsidRPr="00624FAB">
        <w:t>О</w:t>
      </w:r>
      <w:r w:rsidR="00F01DB9" w:rsidRPr="00624FAB">
        <w:t>сновных направлени</w:t>
      </w:r>
      <w:r w:rsidRPr="00624FAB">
        <w:t>ях</w:t>
      </w:r>
      <w:r w:rsidR="00F01DB9" w:rsidRPr="00624FAB">
        <w:t xml:space="preserve"> должно найти отражение положение о направлении бюджетных инвестиций в очередном финансовом году в первую очередь на строительство (реконструкцию) объектов с высоким уровнем технической готовности</w:t>
      </w:r>
      <w:r w:rsidR="005F793D">
        <w:t xml:space="preserve"> и</w:t>
      </w:r>
      <w:r w:rsidR="00F01DB9" w:rsidRPr="00624FAB">
        <w:t xml:space="preserve"> объектов, имеющих утвержденную проектно-сметную документацию и другие документы, необходимые для организации строительства</w:t>
      </w:r>
      <w:r w:rsidRPr="00624FAB">
        <w:t xml:space="preserve">, а также </w:t>
      </w:r>
      <w:r w:rsidR="00F01DB9" w:rsidRPr="00624FAB">
        <w:t xml:space="preserve">должны быть определены действенные меры по </w:t>
      </w:r>
      <w:bookmarkStart w:id="2" w:name="_Hlk52717332"/>
      <w:r w:rsidR="00F01DB9" w:rsidRPr="00624FAB">
        <w:t>сокращению объемов незавершенного строительства и вовлечению приостановленных и «брошенных» объектов в хозяйственный оборот</w:t>
      </w:r>
      <w:bookmarkEnd w:id="2"/>
      <w:r w:rsidR="00F01DB9" w:rsidRPr="00624FAB">
        <w:t>.</w:t>
      </w:r>
    </w:p>
    <w:p w:rsidR="001B70E9" w:rsidRPr="00624FAB" w:rsidRDefault="001B70E9" w:rsidP="00624FAB">
      <w:pPr>
        <w:rPr>
          <w:sz w:val="24"/>
          <w:szCs w:val="24"/>
        </w:rPr>
      </w:pPr>
    </w:p>
    <w:sectPr w:rsidR="001B70E9" w:rsidRPr="00624FAB" w:rsidSect="00AC15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70" w:rsidRDefault="009F6A70" w:rsidP="00AC155B">
      <w:pPr>
        <w:spacing w:line="240" w:lineRule="auto"/>
      </w:pPr>
      <w:r>
        <w:separator/>
      </w:r>
    </w:p>
  </w:endnote>
  <w:endnote w:type="continuationSeparator" w:id="0">
    <w:p w:rsidR="009F6A70" w:rsidRDefault="009F6A70" w:rsidP="00AC1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70" w:rsidRDefault="009F6A70" w:rsidP="00AC155B">
      <w:pPr>
        <w:spacing w:line="240" w:lineRule="auto"/>
      </w:pPr>
      <w:r>
        <w:separator/>
      </w:r>
    </w:p>
  </w:footnote>
  <w:footnote w:type="continuationSeparator" w:id="0">
    <w:p w:rsidR="009F6A70" w:rsidRDefault="009F6A70" w:rsidP="00AC1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158670"/>
      <w:docPartObj>
        <w:docPartGallery w:val="Page Numbers (Top of Page)"/>
        <w:docPartUnique/>
      </w:docPartObj>
    </w:sdtPr>
    <w:sdtEndPr/>
    <w:sdtContent>
      <w:p w:rsidR="00AC155B" w:rsidRDefault="00AC1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72">
          <w:rPr>
            <w:noProof/>
          </w:rPr>
          <w:t>8</w:t>
        </w:r>
        <w:r>
          <w:fldChar w:fldCharType="end"/>
        </w:r>
      </w:p>
    </w:sdtContent>
  </w:sdt>
  <w:p w:rsidR="00AC155B" w:rsidRDefault="00AC15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6B18"/>
    <w:multiLevelType w:val="hybridMultilevel"/>
    <w:tmpl w:val="FF864C88"/>
    <w:lvl w:ilvl="0" w:tplc="651C5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B9"/>
    <w:rsid w:val="0002203D"/>
    <w:rsid w:val="00032A3F"/>
    <w:rsid w:val="000346B2"/>
    <w:rsid w:val="00045306"/>
    <w:rsid w:val="00080A56"/>
    <w:rsid w:val="000C35BA"/>
    <w:rsid w:val="000E0159"/>
    <w:rsid w:val="0010272C"/>
    <w:rsid w:val="00103896"/>
    <w:rsid w:val="001163D8"/>
    <w:rsid w:val="00141A16"/>
    <w:rsid w:val="001B70E9"/>
    <w:rsid w:val="001E4E0C"/>
    <w:rsid w:val="00225F14"/>
    <w:rsid w:val="00260533"/>
    <w:rsid w:val="002C1F7A"/>
    <w:rsid w:val="002F0244"/>
    <w:rsid w:val="00304224"/>
    <w:rsid w:val="0034463D"/>
    <w:rsid w:val="00354F76"/>
    <w:rsid w:val="00372C8E"/>
    <w:rsid w:val="00393A72"/>
    <w:rsid w:val="003B6805"/>
    <w:rsid w:val="003F2C75"/>
    <w:rsid w:val="00433793"/>
    <w:rsid w:val="004339AD"/>
    <w:rsid w:val="00443469"/>
    <w:rsid w:val="00447D92"/>
    <w:rsid w:val="004B3836"/>
    <w:rsid w:val="00515550"/>
    <w:rsid w:val="0053590E"/>
    <w:rsid w:val="005747BF"/>
    <w:rsid w:val="0059277E"/>
    <w:rsid w:val="005A29A4"/>
    <w:rsid w:val="005A2EDF"/>
    <w:rsid w:val="005A5421"/>
    <w:rsid w:val="005F793D"/>
    <w:rsid w:val="00617832"/>
    <w:rsid w:val="00624FAB"/>
    <w:rsid w:val="00636B08"/>
    <w:rsid w:val="006407C4"/>
    <w:rsid w:val="006A7C71"/>
    <w:rsid w:val="006B5C1F"/>
    <w:rsid w:val="00702B35"/>
    <w:rsid w:val="00730A59"/>
    <w:rsid w:val="007B2B63"/>
    <w:rsid w:val="007D3600"/>
    <w:rsid w:val="00804ED4"/>
    <w:rsid w:val="00833BBE"/>
    <w:rsid w:val="0083707B"/>
    <w:rsid w:val="00902BDF"/>
    <w:rsid w:val="009148F9"/>
    <w:rsid w:val="00947197"/>
    <w:rsid w:val="009F6A70"/>
    <w:rsid w:val="00AA7AF9"/>
    <w:rsid w:val="00AB050D"/>
    <w:rsid w:val="00AB5148"/>
    <w:rsid w:val="00AB7CF8"/>
    <w:rsid w:val="00AC155B"/>
    <w:rsid w:val="00AF00F6"/>
    <w:rsid w:val="00B03A05"/>
    <w:rsid w:val="00B31099"/>
    <w:rsid w:val="00B44C6F"/>
    <w:rsid w:val="00B6565D"/>
    <w:rsid w:val="00B84E02"/>
    <w:rsid w:val="00BB13FA"/>
    <w:rsid w:val="00C20A8C"/>
    <w:rsid w:val="00C74DE7"/>
    <w:rsid w:val="00D92DB9"/>
    <w:rsid w:val="00DA1D96"/>
    <w:rsid w:val="00DE57B3"/>
    <w:rsid w:val="00DE653A"/>
    <w:rsid w:val="00DF4D2F"/>
    <w:rsid w:val="00E21F81"/>
    <w:rsid w:val="00E27573"/>
    <w:rsid w:val="00E50840"/>
    <w:rsid w:val="00E97874"/>
    <w:rsid w:val="00EE53DE"/>
    <w:rsid w:val="00F01DB9"/>
    <w:rsid w:val="00F453BE"/>
    <w:rsid w:val="00F47BFD"/>
    <w:rsid w:val="00F84DE5"/>
    <w:rsid w:val="00F93EB7"/>
    <w:rsid w:val="00F968CE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98610">
    <w:name w:val="rvps698610"/>
    <w:basedOn w:val="a"/>
    <w:rsid w:val="00F01DB9"/>
    <w:pPr>
      <w:spacing w:after="150"/>
      <w:ind w:right="300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rsid w:val="00F01DB9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55B"/>
  </w:style>
  <w:style w:type="paragraph" w:styleId="a6">
    <w:name w:val="footer"/>
    <w:basedOn w:val="a"/>
    <w:link w:val="a7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98610">
    <w:name w:val="rvps698610"/>
    <w:basedOn w:val="a"/>
    <w:rsid w:val="00F01DB9"/>
    <w:pPr>
      <w:spacing w:after="150"/>
      <w:ind w:right="300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rsid w:val="00F01DB9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55B"/>
  </w:style>
  <w:style w:type="paragraph" w:styleId="a6">
    <w:name w:val="footer"/>
    <w:basedOn w:val="a"/>
    <w:link w:val="a7"/>
    <w:uiPriority w:val="99"/>
    <w:unhideWhenUsed/>
    <w:rsid w:val="00AC155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Гайворон Г. Б.</dc:creator>
  <cp:lastModifiedBy>Герзель Ю.О.</cp:lastModifiedBy>
  <cp:revision>6</cp:revision>
  <cp:lastPrinted>2019-10-01T08:26:00Z</cp:lastPrinted>
  <dcterms:created xsi:type="dcterms:W3CDTF">2020-10-13T12:30:00Z</dcterms:created>
  <dcterms:modified xsi:type="dcterms:W3CDTF">2020-10-14T11:30:00Z</dcterms:modified>
</cp:coreProperties>
</file>