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453BC" w14:textId="77777777" w:rsidR="00342531" w:rsidRPr="00D90226" w:rsidRDefault="00342531" w:rsidP="00D84B9C">
      <w:pPr>
        <w:pStyle w:val="a3"/>
        <w:spacing w:line="233" w:lineRule="auto"/>
        <w:rPr>
          <w:b/>
          <w:sz w:val="28"/>
          <w:szCs w:val="28"/>
        </w:rPr>
      </w:pPr>
      <w:bookmarkStart w:id="0" w:name="_GoBack"/>
      <w:bookmarkEnd w:id="0"/>
      <w:r w:rsidRPr="00D90226">
        <w:rPr>
          <w:b/>
          <w:sz w:val="28"/>
          <w:szCs w:val="28"/>
        </w:rPr>
        <w:t>Оперативная информация</w:t>
      </w:r>
    </w:p>
    <w:p w14:paraId="46DD116A" w14:textId="77777777" w:rsidR="00342531" w:rsidRPr="00D90226" w:rsidRDefault="00342531" w:rsidP="00D84B9C">
      <w:pPr>
        <w:pStyle w:val="a3"/>
        <w:spacing w:line="233" w:lineRule="auto"/>
        <w:rPr>
          <w:b/>
          <w:sz w:val="28"/>
          <w:szCs w:val="28"/>
        </w:rPr>
      </w:pPr>
      <w:r w:rsidRPr="00D90226">
        <w:rPr>
          <w:b/>
          <w:sz w:val="28"/>
          <w:szCs w:val="28"/>
        </w:rPr>
        <w:t>о ходе исполнения консолидированных бюджетов</w:t>
      </w:r>
    </w:p>
    <w:p w14:paraId="29F1D93D" w14:textId="77777777" w:rsidR="00342531" w:rsidRPr="00D90226" w:rsidRDefault="00342531" w:rsidP="00D84B9C">
      <w:pPr>
        <w:pStyle w:val="a3"/>
        <w:spacing w:line="233" w:lineRule="auto"/>
        <w:rPr>
          <w:b/>
          <w:bCs/>
          <w:sz w:val="28"/>
          <w:szCs w:val="28"/>
        </w:rPr>
      </w:pPr>
      <w:r w:rsidRPr="00D90226">
        <w:rPr>
          <w:b/>
          <w:sz w:val="28"/>
          <w:szCs w:val="28"/>
        </w:rPr>
        <w:t xml:space="preserve">субъектов Российской Федерации за январь – </w:t>
      </w:r>
      <w:r w:rsidR="00D90226" w:rsidRPr="00D90226">
        <w:rPr>
          <w:b/>
          <w:sz w:val="28"/>
          <w:szCs w:val="28"/>
        </w:rPr>
        <w:t>март</w:t>
      </w:r>
      <w:r w:rsidR="001E24D6" w:rsidRPr="00D90226">
        <w:rPr>
          <w:b/>
          <w:sz w:val="28"/>
          <w:szCs w:val="28"/>
        </w:rPr>
        <w:t xml:space="preserve"> 20</w:t>
      </w:r>
      <w:r w:rsidR="00A40F84" w:rsidRPr="00D90226">
        <w:rPr>
          <w:b/>
          <w:sz w:val="28"/>
          <w:szCs w:val="28"/>
        </w:rPr>
        <w:t>2</w:t>
      </w:r>
      <w:r w:rsidR="00D90226" w:rsidRPr="00D90226">
        <w:rPr>
          <w:b/>
          <w:sz w:val="28"/>
          <w:szCs w:val="28"/>
        </w:rPr>
        <w:t>2</w:t>
      </w:r>
      <w:r w:rsidRPr="00D90226">
        <w:rPr>
          <w:b/>
          <w:sz w:val="28"/>
          <w:szCs w:val="28"/>
        </w:rPr>
        <w:t xml:space="preserve"> года</w:t>
      </w:r>
    </w:p>
    <w:p w14:paraId="3E27C8CF" w14:textId="77777777" w:rsidR="00965B4C" w:rsidRPr="00D90226" w:rsidRDefault="00965B4C" w:rsidP="00CD7C71">
      <w:pPr>
        <w:pStyle w:val="a3"/>
        <w:spacing w:line="228" w:lineRule="auto"/>
        <w:ind w:firstLine="709"/>
        <w:jc w:val="both"/>
        <w:rPr>
          <w:bCs/>
          <w:sz w:val="28"/>
          <w:szCs w:val="28"/>
        </w:rPr>
      </w:pPr>
    </w:p>
    <w:p w14:paraId="174F8A43" w14:textId="77777777" w:rsidR="00AA0580" w:rsidRPr="00D90226" w:rsidRDefault="00F351F3" w:rsidP="008766C5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26">
        <w:rPr>
          <w:rFonts w:ascii="Times New Roman" w:eastAsia="Times New Roman" w:hAnsi="Times New Roman" w:cs="Times New Roman"/>
          <w:b/>
          <w:sz w:val="28"/>
          <w:szCs w:val="28"/>
        </w:rPr>
        <w:t>Резюме</w:t>
      </w:r>
    </w:p>
    <w:p w14:paraId="0E4AA6A1" w14:textId="77777777" w:rsidR="00334BE4" w:rsidRDefault="00334BE4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EF33D4" w14:textId="2A08BEF0" w:rsidR="00334BE4" w:rsidRPr="00334BE4" w:rsidRDefault="00334BE4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Итоги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квартала традиционно показывают только предварительный вектор исполнения бюджетов субъектов Российской Федерации. К полученны</w:t>
      </w:r>
      <w:r w:rsidR="00891BDE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результат</w:t>
      </w:r>
      <w:r w:rsidR="00891BDE">
        <w:rPr>
          <w:rFonts w:ascii="Times New Roman" w:hAnsi="Times New Roman"/>
          <w:bCs/>
          <w:sz w:val="28"/>
          <w:szCs w:val="28"/>
        </w:rPr>
        <w:t>ам</w:t>
      </w:r>
      <w:r>
        <w:rPr>
          <w:rFonts w:ascii="Times New Roman" w:hAnsi="Times New Roman"/>
          <w:bCs/>
          <w:sz w:val="28"/>
          <w:szCs w:val="28"/>
        </w:rPr>
        <w:t xml:space="preserve"> необходимо относиться достаточно сдержанно – существенное влияние на масштабы показателей оказывают отдельные (единичные) мероприятия или события в регионах, темпы предоставления межбюджетных трансфертов в начале года. В особенности это касается результатов по расходам субъектов Российской Федерации.</w:t>
      </w:r>
    </w:p>
    <w:p w14:paraId="5FDA6114" w14:textId="1E76BCBB" w:rsidR="00334BE4" w:rsidRDefault="00C31CE5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4C9">
        <w:rPr>
          <w:rFonts w:ascii="Times New Roman" w:hAnsi="Times New Roman"/>
          <w:b/>
          <w:sz w:val="28"/>
          <w:szCs w:val="28"/>
        </w:rPr>
        <w:t>1</w:t>
      </w:r>
      <w:r w:rsidRPr="00295A9B">
        <w:rPr>
          <w:rFonts w:ascii="Times New Roman" w:hAnsi="Times New Roman" w:cs="Times New Roman"/>
          <w:b/>
          <w:sz w:val="28"/>
          <w:szCs w:val="28"/>
        </w:rPr>
        <w:t>.</w:t>
      </w:r>
      <w:r w:rsidRPr="00295A9B">
        <w:rPr>
          <w:rFonts w:ascii="Times New Roman" w:hAnsi="Times New Roman" w:cs="Times New Roman"/>
          <w:sz w:val="28"/>
          <w:szCs w:val="28"/>
        </w:rPr>
        <w:t xml:space="preserve"> </w:t>
      </w:r>
      <w:r w:rsidR="0045733C">
        <w:rPr>
          <w:rFonts w:ascii="Times New Roman" w:hAnsi="Times New Roman" w:cs="Times New Roman"/>
          <w:sz w:val="28"/>
          <w:szCs w:val="28"/>
        </w:rPr>
        <w:t>Ситуация с исполнением консолидированных бюджетов субъектов Российской Федерации повторяет тренды аналогичных периодов прошлых лет. Р</w:t>
      </w:r>
      <w:r w:rsidR="00334BE4">
        <w:rPr>
          <w:rFonts w:ascii="Times New Roman" w:hAnsi="Times New Roman" w:cs="Times New Roman"/>
          <w:sz w:val="28"/>
          <w:szCs w:val="28"/>
        </w:rPr>
        <w:t xml:space="preserve">иски санкционного давления на Российскую Федерацию после событий 24 февраля не оказали существенного влияния на состояния региональных бюджетов в </w:t>
      </w:r>
      <w:r w:rsidR="00334B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4BE4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45733C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334BE4">
        <w:rPr>
          <w:rFonts w:ascii="Times New Roman" w:hAnsi="Times New Roman" w:cs="Times New Roman"/>
          <w:sz w:val="28"/>
          <w:szCs w:val="28"/>
        </w:rPr>
        <w:t>:</w:t>
      </w:r>
    </w:p>
    <w:p w14:paraId="2A1B557B" w14:textId="07D8E78A" w:rsidR="00334BE4" w:rsidRDefault="00334BE4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они должны были сказаться только на показателях марта 2022 года, а общие результаты за квартал учитывают и </w:t>
      </w:r>
      <w:r w:rsidR="00782E0F">
        <w:rPr>
          <w:rFonts w:ascii="Times New Roman" w:hAnsi="Times New Roman" w:cs="Times New Roman"/>
          <w:sz w:val="28"/>
          <w:szCs w:val="28"/>
        </w:rPr>
        <w:t>спокойную ситуацию в январе и феврале;</w:t>
      </w:r>
    </w:p>
    <w:p w14:paraId="27375980" w14:textId="34EA5C38" w:rsidR="00782E0F" w:rsidRDefault="00782E0F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на фоне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ограничений, наблюдался конъюнктурный рост доходов в большинстве регионов страны, связанн</w:t>
      </w:r>
      <w:r w:rsidR="0008615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с динамикой цен на мировых и внутренних рынках;</w:t>
      </w:r>
    </w:p>
    <w:p w14:paraId="6CB6587B" w14:textId="1DE09D86" w:rsidR="00782E0F" w:rsidRDefault="00782E0F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на динамике доходов сказался принцип выплаты налога на прибыль </w:t>
      </w:r>
      <w:r w:rsidR="0008615A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sz w:val="28"/>
          <w:szCs w:val="28"/>
        </w:rPr>
        <w:t>на основе авансовых платежей с учетом результатов предыдущего периода.</w:t>
      </w:r>
    </w:p>
    <w:p w14:paraId="311DD14D" w14:textId="7DD000F0" w:rsidR="00782E0F" w:rsidRPr="00334BE4" w:rsidRDefault="00782E0F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большая часть мер Правительства Российской Федерации и органов исполнительной власти субъектов Российской Федерации, которые могли привести к сокращению поступлений в бюджеты субъектов Российской Федерации (льготы</w:t>
      </w:r>
      <w:r w:rsidR="00910E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отсрочки</w:t>
      </w:r>
      <w:r w:rsidR="00910E9B">
        <w:rPr>
          <w:rFonts w:ascii="Times New Roman" w:hAnsi="Times New Roman" w:cs="Times New Roman"/>
          <w:sz w:val="28"/>
          <w:szCs w:val="28"/>
        </w:rPr>
        <w:t xml:space="preserve"> и рассрочки </w:t>
      </w:r>
      <w:r>
        <w:rPr>
          <w:rFonts w:ascii="Times New Roman" w:hAnsi="Times New Roman" w:cs="Times New Roman"/>
          <w:sz w:val="28"/>
          <w:szCs w:val="28"/>
        </w:rPr>
        <w:t xml:space="preserve"> по налогам и сборам, дополнительные расходы в результате реализации антикризисной политики и др</w:t>
      </w:r>
      <w:r w:rsidR="001F07AC">
        <w:rPr>
          <w:rFonts w:ascii="Times New Roman" w:hAnsi="Times New Roman" w:cs="Times New Roman"/>
          <w:sz w:val="28"/>
          <w:szCs w:val="28"/>
        </w:rPr>
        <w:t>угие</w:t>
      </w:r>
      <w:r>
        <w:rPr>
          <w:rFonts w:ascii="Times New Roman" w:hAnsi="Times New Roman" w:cs="Times New Roman"/>
          <w:sz w:val="28"/>
          <w:szCs w:val="28"/>
        </w:rPr>
        <w:t>), были приняты в марте</w:t>
      </w:r>
      <w:r w:rsidR="001F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F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апреле и </w:t>
      </w:r>
      <w:r w:rsidR="0045733C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сказаться на бюджетной ситуации по итогам первого полугодия.</w:t>
      </w:r>
      <w:proofErr w:type="gramEnd"/>
    </w:p>
    <w:p w14:paraId="24EAFDAE" w14:textId="08347EFA" w:rsidR="00334BE4" w:rsidRDefault="00782E0F" w:rsidP="00F03FE0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результате, н</w:t>
      </w:r>
      <w:r w:rsidRPr="00295A9B">
        <w:rPr>
          <w:rFonts w:ascii="Times New Roman" w:hAnsi="Times New Roman" w:cs="Times New Roman"/>
          <w:sz w:val="28"/>
          <w:szCs w:val="28"/>
        </w:rPr>
        <w:t>а фоне роста доходов (на 27,5 %), том числе налоговых и неналоговых (на 31,2 %), регионы умер</w:t>
      </w:r>
      <w:r w:rsidR="00891BDE">
        <w:rPr>
          <w:rFonts w:ascii="Times New Roman" w:hAnsi="Times New Roman" w:cs="Times New Roman"/>
          <w:sz w:val="28"/>
          <w:szCs w:val="28"/>
        </w:rPr>
        <w:t>енно наращивают расходы (на 7,8 </w:t>
      </w:r>
      <w:r w:rsidRPr="00295A9B">
        <w:rPr>
          <w:rFonts w:ascii="Times New Roman" w:hAnsi="Times New Roman" w:cs="Times New Roman"/>
          <w:sz w:val="28"/>
          <w:szCs w:val="28"/>
        </w:rPr>
        <w:t>%,) и не увеличивают долговую нагру</w:t>
      </w:r>
      <w:r w:rsidR="008B534D">
        <w:rPr>
          <w:rFonts w:ascii="Times New Roman" w:hAnsi="Times New Roman" w:cs="Times New Roman"/>
          <w:sz w:val="28"/>
          <w:szCs w:val="28"/>
        </w:rPr>
        <w:t>зку (рост госдолга всего на 1,1 </w:t>
      </w:r>
      <w:r w:rsidRPr="00295A9B">
        <w:rPr>
          <w:rFonts w:ascii="Times New Roman" w:hAnsi="Times New Roman" w:cs="Times New Roman"/>
          <w:sz w:val="28"/>
          <w:szCs w:val="28"/>
        </w:rPr>
        <w:t>млрд. рублей, или на 0,04 %). Вследствие чего, на 1 апреля 2022 года сложился профицит в объеме 939,5 млрд. рублей.</w:t>
      </w:r>
    </w:p>
    <w:p w14:paraId="70F6AB6A" w14:textId="6096C5FE" w:rsidR="000A30E4" w:rsidRDefault="00782E0F" w:rsidP="000A30E4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0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A9B" w:rsidRPr="00295A9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95A9B" w:rsidRPr="000A30E4">
        <w:rPr>
          <w:rFonts w:ascii="Times New Roman" w:hAnsi="Times New Roman" w:cs="Times New Roman"/>
          <w:sz w:val="28"/>
          <w:szCs w:val="28"/>
        </w:rPr>
        <w:t>I</w:t>
      </w:r>
      <w:r w:rsidR="00295A9B" w:rsidRPr="00295A9B">
        <w:rPr>
          <w:rFonts w:ascii="Times New Roman" w:hAnsi="Times New Roman" w:cs="Times New Roman"/>
          <w:sz w:val="28"/>
          <w:szCs w:val="28"/>
        </w:rPr>
        <w:t xml:space="preserve"> квартала 2022 года </w:t>
      </w:r>
      <w:r w:rsidR="000A30E4" w:rsidRPr="000A30E4">
        <w:rPr>
          <w:rFonts w:ascii="Times New Roman" w:hAnsi="Times New Roman" w:cs="Times New Roman"/>
          <w:sz w:val="28"/>
          <w:szCs w:val="28"/>
        </w:rPr>
        <w:t>можно отметить сравнительно взвешенную бюджетную политику, п</w:t>
      </w:r>
      <w:r w:rsidR="0008615A">
        <w:rPr>
          <w:rFonts w:ascii="Times New Roman" w:hAnsi="Times New Roman" w:cs="Times New Roman"/>
          <w:sz w:val="28"/>
          <w:szCs w:val="28"/>
        </w:rPr>
        <w:t>роводимую большинством регионов</w:t>
      </w:r>
      <w:r w:rsidR="000A30E4" w:rsidRPr="000A30E4">
        <w:rPr>
          <w:rFonts w:ascii="Times New Roman" w:hAnsi="Times New Roman" w:cs="Times New Roman"/>
          <w:sz w:val="28"/>
          <w:szCs w:val="28"/>
        </w:rPr>
        <w:t>.</w:t>
      </w:r>
    </w:p>
    <w:p w14:paraId="00210E0E" w14:textId="7A0F07DA" w:rsidR="000A30E4" w:rsidRDefault="000A30E4" w:rsidP="000A30E4">
      <w:pPr>
        <w:tabs>
          <w:tab w:val="left" w:pos="709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0E4">
        <w:rPr>
          <w:rFonts w:ascii="Times New Roman" w:hAnsi="Times New Roman" w:cs="Times New Roman"/>
          <w:sz w:val="28"/>
          <w:szCs w:val="28"/>
        </w:rPr>
        <w:t xml:space="preserve">В 19 субъектах </w:t>
      </w:r>
      <w:r w:rsidR="00891BD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A30E4">
        <w:rPr>
          <w:rFonts w:ascii="Times New Roman" w:hAnsi="Times New Roman" w:cs="Times New Roman"/>
          <w:sz w:val="28"/>
          <w:szCs w:val="28"/>
        </w:rPr>
        <w:t>темпы роста расходов превысили темпы роста доходов. Среди них выделяются регионы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0E4">
        <w:rPr>
          <w:rFonts w:ascii="Times New Roman" w:hAnsi="Times New Roman" w:cs="Times New Roman"/>
          <w:sz w:val="28"/>
          <w:szCs w:val="28"/>
        </w:rPr>
        <w:t xml:space="preserve"> расположенные вблизи гр</w:t>
      </w:r>
      <w:r w:rsidR="00891BDE">
        <w:rPr>
          <w:rFonts w:ascii="Times New Roman" w:hAnsi="Times New Roman" w:cs="Times New Roman"/>
          <w:sz w:val="28"/>
          <w:szCs w:val="28"/>
        </w:rPr>
        <w:t>а</w:t>
      </w:r>
      <w:r w:rsidRPr="000A30E4">
        <w:rPr>
          <w:rFonts w:ascii="Times New Roman" w:hAnsi="Times New Roman" w:cs="Times New Roman"/>
          <w:sz w:val="28"/>
          <w:szCs w:val="28"/>
        </w:rPr>
        <w:t>ницы с Украиной (Белгородская, Курская, Липецкая области)</w:t>
      </w:r>
      <w:r>
        <w:rPr>
          <w:rFonts w:ascii="Times New Roman" w:hAnsi="Times New Roman" w:cs="Times New Roman"/>
          <w:sz w:val="28"/>
          <w:szCs w:val="28"/>
        </w:rPr>
        <w:t>, а также ряд регионов, кот</w:t>
      </w:r>
      <w:r w:rsidR="00891BDE">
        <w:rPr>
          <w:rFonts w:ascii="Times New Roman" w:hAnsi="Times New Roman" w:cs="Times New Roman"/>
          <w:sz w:val="28"/>
          <w:szCs w:val="28"/>
        </w:rPr>
        <w:t xml:space="preserve">орые </w:t>
      </w:r>
      <w:r>
        <w:rPr>
          <w:rFonts w:ascii="Times New Roman" w:hAnsi="Times New Roman" w:cs="Times New Roman"/>
          <w:sz w:val="28"/>
          <w:szCs w:val="28"/>
        </w:rPr>
        <w:t xml:space="preserve">отмечают плановое </w:t>
      </w:r>
      <w:r w:rsidR="00303C30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доходов и расходов (среди них –</w:t>
      </w:r>
      <w:r w:rsidR="00891BD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Москва, Калининградская область, Республика Мордовия).</w:t>
      </w:r>
    </w:p>
    <w:p w14:paraId="6EBE48CC" w14:textId="77777777" w:rsidR="000A30E4" w:rsidRDefault="000A30E4" w:rsidP="00F03FE0">
      <w:pPr>
        <w:tabs>
          <w:tab w:val="left" w:pos="851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31CE5" w:rsidRPr="00295A9B">
        <w:rPr>
          <w:rFonts w:ascii="Times New Roman" w:hAnsi="Times New Roman" w:cs="Times New Roman"/>
          <w:sz w:val="28"/>
          <w:szCs w:val="28"/>
        </w:rPr>
        <w:t xml:space="preserve">. </w:t>
      </w:r>
      <w:r w:rsidR="006C3CF6" w:rsidRPr="00295A9B">
        <w:rPr>
          <w:rFonts w:ascii="Times New Roman" w:hAnsi="Times New Roman" w:cs="Times New Roman"/>
          <w:sz w:val="28"/>
          <w:szCs w:val="28"/>
        </w:rPr>
        <w:t xml:space="preserve">Рост доходов регионов достаточно конъюнктурный и связан с </w:t>
      </w:r>
      <w:r>
        <w:rPr>
          <w:rFonts w:ascii="Times New Roman" w:hAnsi="Times New Roman" w:cs="Times New Roman"/>
          <w:sz w:val="28"/>
          <w:szCs w:val="28"/>
        </w:rPr>
        <w:t xml:space="preserve">влиянием </w:t>
      </w:r>
      <w:r w:rsidR="006C3CF6" w:rsidRPr="00295A9B">
        <w:rPr>
          <w:rFonts w:ascii="Times New Roman" w:hAnsi="Times New Roman" w:cs="Times New Roman"/>
          <w:sz w:val="28"/>
          <w:szCs w:val="28"/>
        </w:rPr>
        <w:t xml:space="preserve">ценовых факторов. </w:t>
      </w:r>
    </w:p>
    <w:p w14:paraId="3F4A2784" w14:textId="5981BA64" w:rsidR="006C3CF6" w:rsidRDefault="006C3CF6" w:rsidP="00F03FE0">
      <w:pPr>
        <w:tabs>
          <w:tab w:val="left" w:pos="851"/>
        </w:tabs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5A9B">
        <w:rPr>
          <w:rFonts w:ascii="Times New Roman" w:hAnsi="Times New Roman" w:cs="Times New Roman"/>
          <w:sz w:val="28"/>
          <w:szCs w:val="28"/>
        </w:rPr>
        <w:t>Так, в январе – марте 2022 года средняя цена на каменный уголь выросла</w:t>
      </w:r>
      <w:r w:rsidR="00C83F6B">
        <w:rPr>
          <w:rFonts w:ascii="Times New Roman" w:hAnsi="Times New Roman" w:cs="Times New Roman"/>
          <w:sz w:val="28"/>
          <w:szCs w:val="28"/>
        </w:rPr>
        <w:t>,</w:t>
      </w:r>
      <w:r w:rsidRPr="00295A9B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2021 года</w:t>
      </w:r>
      <w:r w:rsidR="00C83F6B">
        <w:rPr>
          <w:rFonts w:ascii="Times New Roman" w:hAnsi="Times New Roman" w:cs="Times New Roman"/>
          <w:sz w:val="28"/>
          <w:szCs w:val="28"/>
        </w:rPr>
        <w:t>,</w:t>
      </w:r>
      <w:r w:rsidRPr="00295A9B">
        <w:rPr>
          <w:rFonts w:ascii="Times New Roman" w:hAnsi="Times New Roman" w:cs="Times New Roman"/>
          <w:sz w:val="28"/>
          <w:szCs w:val="28"/>
        </w:rPr>
        <w:t xml:space="preserve"> в 2,3 раза, угля коксующегося - в 2,7 раза, нефти стабилизированной и конденсата газового – в 1,7 раза, оборот розничной торговли - на 3,9 %. Индекс потребительских цен составил 111,5 %, индекс цен производителей промышленных товаров – 124,4 %.</w:t>
      </w:r>
      <w:proofErr w:type="gramEnd"/>
    </w:p>
    <w:p w14:paraId="1ADAC0BB" w14:textId="136A5763" w:rsid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регионов выросли по всем доходным источникам, наибольший прирост по налогу </w:t>
      </w:r>
      <w:r w:rsidR="006C3CF6">
        <w:rPr>
          <w:rFonts w:ascii="Times New Roman" w:hAnsi="Times New Roman" w:cs="Times New Roman"/>
          <w:sz w:val="28"/>
          <w:szCs w:val="28"/>
        </w:rPr>
        <w:t>на прибыль организаций (на 46,8 </w:t>
      </w:r>
      <w:r w:rsidRPr="00295A9B">
        <w:rPr>
          <w:rFonts w:ascii="Times New Roman" w:hAnsi="Times New Roman" w:cs="Times New Roman"/>
          <w:sz w:val="28"/>
          <w:szCs w:val="28"/>
        </w:rPr>
        <w:t>%), НДФЛ (на 24,2 %), акцизам (на 17,2 %), имущественным налогам (на 14,6 %).</w:t>
      </w:r>
    </w:p>
    <w:p w14:paraId="1DD125AD" w14:textId="3FDEF3B1" w:rsidR="000A30E4" w:rsidRDefault="000A30E4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ФНС России, н</w:t>
      </w:r>
      <w:r w:rsidRPr="00295A9B">
        <w:rPr>
          <w:rFonts w:ascii="Times New Roman" w:hAnsi="Times New Roman" w:cs="Times New Roman"/>
          <w:sz w:val="28"/>
          <w:szCs w:val="28"/>
        </w:rPr>
        <w:t xml:space="preserve">а динамику </w:t>
      </w:r>
      <w:r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295A9B">
        <w:rPr>
          <w:rFonts w:ascii="Times New Roman" w:hAnsi="Times New Roman" w:cs="Times New Roman"/>
          <w:sz w:val="28"/>
          <w:szCs w:val="28"/>
        </w:rPr>
        <w:t xml:space="preserve">налога </w:t>
      </w:r>
      <w:r>
        <w:rPr>
          <w:rFonts w:ascii="Times New Roman" w:hAnsi="Times New Roman" w:cs="Times New Roman"/>
          <w:sz w:val="28"/>
          <w:szCs w:val="28"/>
        </w:rPr>
        <w:t xml:space="preserve">на прибыль в регионах </w:t>
      </w:r>
      <w:r w:rsidRPr="00295A9B">
        <w:rPr>
          <w:rFonts w:ascii="Times New Roman" w:hAnsi="Times New Roman" w:cs="Times New Roman"/>
          <w:sz w:val="28"/>
          <w:szCs w:val="28"/>
        </w:rPr>
        <w:t>повлияло</w:t>
      </w:r>
      <w:r>
        <w:rPr>
          <w:rFonts w:ascii="Times New Roman" w:hAnsi="Times New Roman" w:cs="Times New Roman"/>
          <w:sz w:val="28"/>
          <w:szCs w:val="28"/>
        </w:rPr>
        <w:t>, прежде всего,</w:t>
      </w:r>
      <w:r w:rsidRPr="00295A9B">
        <w:rPr>
          <w:rFonts w:ascii="Times New Roman" w:hAnsi="Times New Roman" w:cs="Times New Roman"/>
          <w:sz w:val="28"/>
          <w:szCs w:val="28"/>
        </w:rPr>
        <w:t xml:space="preserve"> увеличение поступлений по налогу на прибыль от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торговли, добычи угля и сырой нефти. Прирост НДФЛ </w:t>
      </w:r>
      <w:r w:rsidR="009D4E41">
        <w:rPr>
          <w:rFonts w:ascii="Times New Roman" w:hAnsi="Times New Roman" w:cs="Times New Roman"/>
          <w:sz w:val="28"/>
          <w:szCs w:val="28"/>
        </w:rPr>
        <w:t>менее концентрирован и наблюдается в большинстве отраслей.</w:t>
      </w:r>
    </w:p>
    <w:p w14:paraId="3FC7ED78" w14:textId="4C72529A" w:rsidR="009D4E41" w:rsidRDefault="009D4E41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E41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География роста доходов была достаточно широкой – р</w:t>
      </w:r>
      <w:r w:rsidRPr="00295A9B">
        <w:rPr>
          <w:rFonts w:ascii="Times New Roman" w:hAnsi="Times New Roman" w:cs="Times New Roman"/>
          <w:sz w:val="28"/>
          <w:szCs w:val="28"/>
        </w:rPr>
        <w:t xml:space="preserve">ост доходов </w:t>
      </w:r>
      <w:r>
        <w:rPr>
          <w:rFonts w:ascii="Times New Roman" w:hAnsi="Times New Roman" w:cs="Times New Roman"/>
          <w:sz w:val="28"/>
          <w:szCs w:val="28"/>
        </w:rPr>
        <w:t>отмечается</w:t>
      </w:r>
      <w:r w:rsidRPr="00295A9B">
        <w:rPr>
          <w:rFonts w:ascii="Times New Roman" w:hAnsi="Times New Roman" w:cs="Times New Roman"/>
          <w:sz w:val="28"/>
          <w:szCs w:val="28"/>
        </w:rPr>
        <w:t xml:space="preserve"> в 82 регионах</w:t>
      </w:r>
      <w:r w:rsidR="00EC14C3">
        <w:rPr>
          <w:rFonts w:ascii="Times New Roman" w:hAnsi="Times New Roman" w:cs="Times New Roman"/>
          <w:sz w:val="28"/>
          <w:szCs w:val="28"/>
        </w:rPr>
        <w:t>, в ряде регионов</w:t>
      </w:r>
      <w:r>
        <w:rPr>
          <w:rFonts w:ascii="Times New Roman" w:hAnsi="Times New Roman" w:cs="Times New Roman"/>
          <w:sz w:val="28"/>
          <w:szCs w:val="28"/>
        </w:rPr>
        <w:t xml:space="preserve"> очень высокими темпами. Например, </w:t>
      </w:r>
      <w:r w:rsidRPr="00295A9B">
        <w:rPr>
          <w:rFonts w:ascii="Times New Roman" w:hAnsi="Times New Roman" w:cs="Times New Roman"/>
          <w:sz w:val="28"/>
          <w:szCs w:val="28"/>
        </w:rPr>
        <w:t>в Кемеровской области рост в 2,1 раза, в Ямало-Ненецком автономном округе - на 84,1 %, в Тюменской области - на 73,4 %, Ханты-Мансийском автономном округе – на 50,7 %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D7202D" w14:textId="233108C1" w:rsidR="009D4E41" w:rsidRDefault="009D4E41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Снижение доходов произошло только в </w:t>
      </w:r>
      <w:r w:rsidRPr="00295A9B">
        <w:rPr>
          <w:rFonts w:ascii="Times New Roman" w:hAnsi="Times New Roman" w:cs="Times New Roman"/>
          <w:sz w:val="28"/>
          <w:szCs w:val="28"/>
        </w:rPr>
        <w:t>трех регионах: в Калининградской области на 10,5 % (связано с падением безвозмездных поступлений на 45,7 %, в том числе иных межбюджетных трансфертов – в 2,2 раза), Магаданской области на 0,7 % (связано со снижением налога на прибыль организаций на 16,6 %) и Мурманской области на 0,4 % (связано со снижением налога на прибыль организаций на 13,7 %).</w:t>
      </w:r>
      <w:proofErr w:type="gramEnd"/>
    </w:p>
    <w:p w14:paraId="67379F6C" w14:textId="7B253671" w:rsidR="009D4E41" w:rsidRDefault="009D4E41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НДФЛ вырос сравнительно равномерно в большинстве регионов страны. В то время как рост налога на прибыль существенно различался в зависимости от специализации.</w:t>
      </w:r>
    </w:p>
    <w:p w14:paraId="08C462EC" w14:textId="06794593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Поступления налога на прибыль организаций выросли в 73 регионах, при этом выше среднего уровня (146,8 %) </w:t>
      </w:r>
      <w:r w:rsidR="009D4E41">
        <w:rPr>
          <w:rFonts w:ascii="Times New Roman" w:hAnsi="Times New Roman" w:cs="Times New Roman"/>
          <w:sz w:val="28"/>
          <w:szCs w:val="28"/>
        </w:rPr>
        <w:t xml:space="preserve">– </w:t>
      </w:r>
      <w:r w:rsidRPr="00295A9B">
        <w:rPr>
          <w:rFonts w:ascii="Times New Roman" w:hAnsi="Times New Roman" w:cs="Times New Roman"/>
          <w:sz w:val="28"/>
          <w:szCs w:val="28"/>
        </w:rPr>
        <w:t>в 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5A9B">
        <w:rPr>
          <w:rFonts w:ascii="Times New Roman" w:hAnsi="Times New Roman" w:cs="Times New Roman"/>
          <w:sz w:val="28"/>
          <w:szCs w:val="28"/>
        </w:rPr>
        <w:t>регионах. Снизились поступления налога на прибыль организаций в</w:t>
      </w:r>
      <w:r>
        <w:rPr>
          <w:rFonts w:ascii="Times New Roman" w:hAnsi="Times New Roman" w:cs="Times New Roman"/>
          <w:sz w:val="28"/>
          <w:szCs w:val="28"/>
        </w:rPr>
        <w:t> 12 регионах</w:t>
      </w:r>
      <w:r w:rsidRPr="00295A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13BB04" w14:textId="2669D002" w:rsidR="00295A9B" w:rsidRPr="00295A9B" w:rsidRDefault="009D4E41" w:rsidP="009D4E4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E41">
        <w:rPr>
          <w:rFonts w:ascii="Times New Roman" w:hAnsi="Times New Roman" w:cs="Times New Roman"/>
          <w:sz w:val="28"/>
          <w:szCs w:val="28"/>
        </w:rPr>
        <w:t xml:space="preserve">Наиболее быстрый рост в регионах со специализацией </w:t>
      </w:r>
      <w:r w:rsidR="00FB0E2B">
        <w:rPr>
          <w:rFonts w:ascii="Times New Roman" w:hAnsi="Times New Roman" w:cs="Times New Roman"/>
          <w:sz w:val="28"/>
          <w:szCs w:val="28"/>
        </w:rPr>
        <w:t>по</w:t>
      </w:r>
      <w:r w:rsidRPr="009D4E41">
        <w:rPr>
          <w:rFonts w:ascii="Times New Roman" w:hAnsi="Times New Roman" w:cs="Times New Roman"/>
          <w:sz w:val="28"/>
          <w:szCs w:val="28"/>
        </w:rPr>
        <w:t xml:space="preserve"> добыче угля, нефти и химической 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E41">
        <w:rPr>
          <w:rFonts w:ascii="Times New Roman" w:hAnsi="Times New Roman" w:cs="Times New Roman"/>
          <w:sz w:val="28"/>
          <w:szCs w:val="28"/>
        </w:rPr>
        <w:t>Самый медленный рост или спад наблюдался в регионах со специализацией на машиностроении</w:t>
      </w:r>
      <w:r w:rsidR="00FE6924">
        <w:rPr>
          <w:rFonts w:ascii="Times New Roman" w:hAnsi="Times New Roman" w:cs="Times New Roman"/>
          <w:sz w:val="28"/>
          <w:szCs w:val="28"/>
        </w:rPr>
        <w:t>, агропромышленном комплексе</w:t>
      </w:r>
      <w:r w:rsidRPr="009D4E41">
        <w:rPr>
          <w:rFonts w:ascii="Times New Roman" w:hAnsi="Times New Roman" w:cs="Times New Roman"/>
          <w:sz w:val="28"/>
          <w:szCs w:val="28"/>
        </w:rPr>
        <w:t xml:space="preserve"> и цветной металлургии.</w:t>
      </w:r>
    </w:p>
    <w:p w14:paraId="750C7D8C" w14:textId="18894CF5" w:rsidR="00FE6924" w:rsidRPr="00FE6924" w:rsidRDefault="00F03FE0" w:rsidP="007D1A2C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205B9" w:rsidRPr="00295A9B">
        <w:rPr>
          <w:rFonts w:ascii="Times New Roman" w:hAnsi="Times New Roman" w:cs="Times New Roman"/>
          <w:b/>
          <w:sz w:val="28"/>
          <w:szCs w:val="28"/>
        </w:rPr>
        <w:t>.</w:t>
      </w:r>
      <w:r w:rsidR="001205B9" w:rsidRPr="00295A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A9B" w:rsidRPr="00295A9B">
        <w:rPr>
          <w:rFonts w:ascii="Times New Roman" w:hAnsi="Times New Roman" w:cs="Times New Roman"/>
          <w:sz w:val="28"/>
          <w:szCs w:val="28"/>
        </w:rPr>
        <w:t>Объем перечисленных регионам ме</w:t>
      </w:r>
      <w:r w:rsidR="007A7703">
        <w:rPr>
          <w:rFonts w:ascii="Times New Roman" w:hAnsi="Times New Roman" w:cs="Times New Roman"/>
          <w:sz w:val="28"/>
          <w:szCs w:val="28"/>
        </w:rPr>
        <w:t>жбюджетных трансфертов в январе </w:t>
      </w:r>
      <w:r w:rsidR="00295A9B" w:rsidRPr="00295A9B">
        <w:rPr>
          <w:rFonts w:ascii="Times New Roman" w:hAnsi="Times New Roman" w:cs="Times New Roman"/>
          <w:sz w:val="28"/>
          <w:szCs w:val="28"/>
        </w:rPr>
        <w:t>– марте 2022 года вырос на 8,4 %, в том числе дотаций – на 6,6 %, субсидий – на 38,7 %, иных межбюджетных трансфертов – на 8,1 %.</w:t>
      </w:r>
      <w:r w:rsidR="00FE6924">
        <w:rPr>
          <w:rFonts w:ascii="Times New Roman" w:hAnsi="Times New Roman" w:cs="Times New Roman"/>
          <w:sz w:val="28"/>
          <w:szCs w:val="28"/>
        </w:rPr>
        <w:t xml:space="preserve"> </w:t>
      </w:r>
      <w:r w:rsidR="00FE6924" w:rsidRPr="00FE6924">
        <w:rPr>
          <w:rFonts w:ascii="Times New Roman" w:hAnsi="Times New Roman" w:cs="Times New Roman"/>
          <w:sz w:val="28"/>
          <w:szCs w:val="28"/>
        </w:rPr>
        <w:t>Снижение отмечается по субвенциям (</w:t>
      </w:r>
      <w:r w:rsidR="00910E9B">
        <w:rPr>
          <w:rFonts w:ascii="Times New Roman" w:hAnsi="Times New Roman" w:cs="Times New Roman"/>
          <w:sz w:val="28"/>
          <w:szCs w:val="28"/>
        </w:rPr>
        <w:t xml:space="preserve">на </w:t>
      </w:r>
      <w:r w:rsidR="00FE6924" w:rsidRPr="00FE6924">
        <w:rPr>
          <w:rFonts w:ascii="Times New Roman" w:hAnsi="Times New Roman" w:cs="Times New Roman"/>
          <w:sz w:val="28"/>
          <w:szCs w:val="28"/>
        </w:rPr>
        <w:t>22,1%) и связано с изменением законодательства в части передачи в Пенсионный фонд</w:t>
      </w:r>
      <w:r w:rsidR="00303C3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E6924" w:rsidRPr="00FE6924">
        <w:rPr>
          <w:rFonts w:ascii="Times New Roman" w:hAnsi="Times New Roman" w:cs="Times New Roman"/>
          <w:sz w:val="28"/>
          <w:szCs w:val="28"/>
        </w:rPr>
        <w:t xml:space="preserve"> отдельных полномочий в виде субвенций на предоставление гражданам мер социальной поддержки</w:t>
      </w:r>
      <w:r w:rsidR="00FE69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6B3F176" w14:textId="1F4BA683" w:rsidR="00FE6924" w:rsidRDefault="00FE6924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тенденцией остается рост роли целевых межбюджетных трансфертов, требующих</w:t>
      </w:r>
      <w:r w:rsidR="007A77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7703">
        <w:rPr>
          <w:rFonts w:ascii="Times New Roman" w:hAnsi="Times New Roman" w:cs="Times New Roman"/>
          <w:sz w:val="28"/>
          <w:szCs w:val="28"/>
        </w:rPr>
        <w:t>обязательного</w:t>
      </w:r>
      <w:proofErr w:type="gramEnd"/>
      <w:r w:rsidR="007A7703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со стороны регионов. Это может существенно отразиться на возможностях регионов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перераспределению расходов и негативно сказаться на состоянии региональных финансов </w:t>
      </w:r>
      <w:r w:rsidR="00910E9B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AB23B55" w14:textId="123999BA" w:rsidR="00FE6924" w:rsidRDefault="00F03FE0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351F3" w:rsidRPr="00295A9B">
        <w:rPr>
          <w:rFonts w:ascii="Times New Roman" w:hAnsi="Times New Roman" w:cs="Times New Roman"/>
          <w:b/>
          <w:sz w:val="28"/>
          <w:szCs w:val="28"/>
        </w:rPr>
        <w:t>.</w:t>
      </w:r>
      <w:r w:rsidR="00F351F3" w:rsidRPr="00295A9B">
        <w:rPr>
          <w:rFonts w:ascii="Times New Roman" w:hAnsi="Times New Roman" w:cs="Times New Roman"/>
          <w:sz w:val="28"/>
          <w:szCs w:val="28"/>
        </w:rPr>
        <w:t xml:space="preserve"> </w:t>
      </w:r>
      <w:r w:rsidR="00FE6924">
        <w:rPr>
          <w:rFonts w:ascii="Times New Roman" w:hAnsi="Times New Roman" w:cs="Times New Roman"/>
          <w:sz w:val="28"/>
          <w:szCs w:val="28"/>
        </w:rPr>
        <w:t xml:space="preserve">Рост расходов консолидированных бюджетов в </w:t>
      </w:r>
      <w:r w:rsidR="00FE69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E6924">
        <w:rPr>
          <w:rFonts w:ascii="Times New Roman" w:hAnsi="Times New Roman" w:cs="Times New Roman"/>
          <w:sz w:val="28"/>
          <w:szCs w:val="28"/>
        </w:rPr>
        <w:t xml:space="preserve"> квартале 2022 года замедлился и составил только 7,8</w:t>
      </w:r>
      <w:r w:rsidR="0071749F">
        <w:rPr>
          <w:rFonts w:ascii="Times New Roman" w:hAnsi="Times New Roman" w:cs="Times New Roman"/>
          <w:sz w:val="28"/>
          <w:szCs w:val="28"/>
        </w:rPr>
        <w:t xml:space="preserve"> % (годом ранее отмечался рост на </w:t>
      </w:r>
      <w:r w:rsidR="00FE6924">
        <w:rPr>
          <w:rFonts w:ascii="Times New Roman" w:hAnsi="Times New Roman" w:cs="Times New Roman"/>
          <w:sz w:val="28"/>
          <w:szCs w:val="28"/>
        </w:rPr>
        <w:t>16,2%).</w:t>
      </w:r>
    </w:p>
    <w:p w14:paraId="78D8ECBD" w14:textId="5027534C" w:rsidR="00FE6924" w:rsidRDefault="00FE6924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связано сразу с несколькими факторами:</w:t>
      </w:r>
    </w:p>
    <w:p w14:paraId="53001F47" w14:textId="6000D52B" w:rsidR="009E58DB" w:rsidRDefault="00910E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6924">
        <w:rPr>
          <w:rFonts w:ascii="Times New Roman" w:hAnsi="Times New Roman" w:cs="Times New Roman"/>
          <w:sz w:val="28"/>
          <w:szCs w:val="28"/>
        </w:rPr>
        <w:t xml:space="preserve">о-первых, на </w:t>
      </w:r>
      <w:r w:rsidR="00295A9B" w:rsidRPr="00295A9B">
        <w:rPr>
          <w:rFonts w:ascii="Times New Roman" w:hAnsi="Times New Roman" w:cs="Times New Roman"/>
          <w:color w:val="000000" w:themeColor="text1"/>
          <w:sz w:val="28"/>
          <w:szCs w:val="28"/>
        </w:rPr>
        <w:t>общую динамику расходов сильно повлияло снижение в отчетном периоде расходов бюджета г. Москвы (на 12 %), без учета которого рост общего объема расходов составляет 14,2 %</w:t>
      </w:r>
      <w:r w:rsidR="00FE6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(что также несколько ниже уровня </w:t>
      </w:r>
      <w:r w:rsidR="00717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="00FE6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717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FE6924">
        <w:rPr>
          <w:rFonts w:ascii="Times New Roman" w:hAnsi="Times New Roman" w:cs="Times New Roman"/>
          <w:color w:val="000000" w:themeColor="text1"/>
          <w:sz w:val="28"/>
          <w:szCs w:val="28"/>
        </w:rPr>
        <w:t>годов)</w:t>
      </w:r>
      <w:r w:rsidR="00295A9B" w:rsidRPr="00295A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E2B">
        <w:rPr>
          <w:rFonts w:ascii="Times New Roman" w:hAnsi="Times New Roman" w:cs="Times New Roman"/>
          <w:color w:val="000000" w:themeColor="text1"/>
          <w:sz w:val="28"/>
          <w:szCs w:val="28"/>
        </w:rPr>
        <w:t>В г. 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Москве идет снижение расходов </w:t>
      </w:r>
      <w:r w:rsidR="00783192" w:rsidRPr="00783192">
        <w:rPr>
          <w:rFonts w:ascii="Times New Roman" w:hAnsi="Times New Roman" w:cs="Times New Roman"/>
          <w:color w:val="000000" w:themeColor="text1"/>
          <w:sz w:val="28"/>
          <w:szCs w:val="28"/>
        </w:rPr>
        <w:t>по разделам «Национальная экономика», «Жилищно-коммунальное хозяйство и «Образование»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83192" w:rsidRPr="00783192">
        <w:rPr>
          <w:rFonts w:ascii="Times New Roman" w:hAnsi="Times New Roman" w:cs="Times New Roman"/>
          <w:color w:val="000000" w:themeColor="text1"/>
          <w:sz w:val="28"/>
          <w:szCs w:val="28"/>
        </w:rPr>
        <w:t>Так, в целом по субъектам Российской Федерации, расходы на национальную экономику снизились на 6,2 %, а без учета г. Москвы выросли на 16,3 %, расходы на жилищно-коммунальное хозяйство в целом по регионам выросли на 7,9 %, а без учета г. Москвы – на 56,8 %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по данным</w:t>
      </w:r>
      <w:r w:rsidR="00FB0E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предоставленным Правительством </w:t>
      </w:r>
      <w:r w:rsidR="00FB0E2B">
        <w:rPr>
          <w:rFonts w:ascii="Times New Roman" w:hAnsi="Times New Roman" w:cs="Times New Roman"/>
          <w:color w:val="000000" w:themeColor="text1"/>
          <w:sz w:val="28"/>
          <w:szCs w:val="28"/>
        </w:rPr>
        <w:t>г. 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Москвы, снижение расходов является плановым и сопровождается заметным ростом доходов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профицитом столичного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бюджета;</w:t>
      </w:r>
    </w:p>
    <w:p w14:paraId="25DFD07A" w14:textId="4605D85D" w:rsidR="00783192" w:rsidRDefault="00910E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>о-вторых, может проявляться эффект базы – в предыдущие годы в регионах накоплен достаточно высокий уровень расходов, что неизбежно приводит к замедлению темпов роста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4C4525" w14:textId="5E4365A3" w:rsidR="00FE6924" w:rsidRDefault="00910E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>-третьих, может сказываться уже переход к плановому режиму реализации н</w:t>
      </w:r>
      <w:r w:rsidR="00FB0E2B">
        <w:rPr>
          <w:rFonts w:ascii="Times New Roman" w:hAnsi="Times New Roman" w:cs="Times New Roman"/>
          <w:color w:val="000000" w:themeColor="text1"/>
          <w:sz w:val="28"/>
          <w:szCs w:val="28"/>
        </w:rPr>
        <w:t>ациональных проектов в регионах</w:t>
      </w:r>
      <w:r w:rsidR="007831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DDBC88" w14:textId="51EE8B9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последние годы структура расходов существенно не меняется. Дифференциация расходов регионов связана с реализацией отдельных проектов, реализуемых, в том числе в рамках национальных проектов. </w:t>
      </w:r>
    </w:p>
    <w:p w14:paraId="42969375" w14:textId="60602C6D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Доля социальных расходов составляет 60,7 %, при этом максимальные значения преимущественно отмечаются </w:t>
      </w:r>
      <w:r w:rsidR="004F66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регионах с низким уровнем бюджетной обеспеченности, особенно</w:t>
      </w:r>
      <w:r w:rsidR="004F66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территориях Северно</w:t>
      </w:r>
      <w:r w:rsidR="004F66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Кавказ</w:t>
      </w:r>
      <w:r w:rsidR="004F66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 Республике Дагестан – 81,1 %, Республике Ингушетия – 80,1 %, Кабардино-Балкарской Республике – 79,3 %,Чеченской Республике – 78,1 %, Республике Северная Осетия (Алания)  – 76,6 %). </w:t>
      </w:r>
    </w:p>
    <w:p w14:paraId="25A3D87B" w14:textId="6495449C" w:rsidR="00295A9B" w:rsidRDefault="00295A9B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национальную экономику приходится 16,6 %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В </w:t>
      </w: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бюджетах 18 регионов доля указанных расходов 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существенно выше среднероссийской</w:t>
      </w:r>
      <w:r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 г. Севастополе – 44,9 %, Самарской области – 42 %, Калининградской области – 38,2 %, Камчатском крае – 25,9 %, г. Москве – 25,4 %, Ненецком автономном округе – 24,1 %). 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Чаще всего это связано с реализацией инфраструктурных проектов</w:t>
      </w:r>
      <w:r w:rsidR="004F669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</w:t>
      </w:r>
      <w:r w:rsidR="00154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счет бюджетных средств.</w:t>
      </w:r>
    </w:p>
    <w:p w14:paraId="4AAB5C51" w14:textId="2FD32A15" w:rsidR="00A10B57" w:rsidRDefault="00154202" w:rsidP="00A10B5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C3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Однако существенный вклад в реальные возможности бюджетов вносит значительный рост цен, который произошел в первом квартале. </w:t>
      </w:r>
      <w:r w:rsidR="00A10B57"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учетом корректировки на изменение потребительских цен в половине регионов России расходы бюджетов в 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I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квартале</w:t>
      </w:r>
      <w:r w:rsidR="00A10B57"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2022 г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ода</w:t>
      </w:r>
      <w:r w:rsidR="00A10B57"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выросли</w:t>
      </w:r>
      <w:r w:rsid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14:paraId="16030F3C" w14:textId="1557385D" w:rsidR="00154202" w:rsidRPr="00295A9B" w:rsidRDefault="00A10B57" w:rsidP="00A10B57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43 субъектах 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прирост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номинальных 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расходов не превышает региональных ИПЦ.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этом в ряде регионов отмечается та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же с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нижение номинального объема расходов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Калининградской области, Ненецком 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автономном округе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г. Москве, Карачаево-Черкесской Республике и Чувашской Республике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A10B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4CABC6F" w14:textId="5CD62C36" w:rsidR="00A10B57" w:rsidRDefault="00A10B57" w:rsidP="00F03FE0">
      <w:pPr>
        <w:pStyle w:val="Default"/>
        <w:spacing w:line="228" w:lineRule="auto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F351F3" w:rsidRPr="00295A9B">
        <w:rPr>
          <w:b/>
          <w:color w:val="000000" w:themeColor="text1"/>
          <w:sz w:val="28"/>
          <w:szCs w:val="28"/>
        </w:rPr>
        <w:t>.</w:t>
      </w:r>
      <w:r w:rsidR="00F351F3" w:rsidRPr="00295A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начале года консолидированные бюджеты субъектов Российской Федерации традиционно исполняются с профицитом. Влияет на это </w:t>
      </w:r>
      <w:r>
        <w:rPr>
          <w:color w:val="000000" w:themeColor="text1"/>
          <w:sz w:val="28"/>
          <w:szCs w:val="28"/>
        </w:rPr>
        <w:lastRenderedPageBreak/>
        <w:t>консервативное планирование доходной части бюджетов в большинстве регионов.</w:t>
      </w:r>
    </w:p>
    <w:p w14:paraId="7BCA0F77" w14:textId="45005313" w:rsidR="00A10B57" w:rsidRDefault="00295A9B" w:rsidP="00F03FE0">
      <w:pPr>
        <w:pStyle w:val="Default"/>
        <w:spacing w:line="228" w:lineRule="auto"/>
        <w:ind w:right="-1" w:firstLine="709"/>
        <w:jc w:val="both"/>
        <w:rPr>
          <w:sz w:val="28"/>
          <w:szCs w:val="28"/>
        </w:rPr>
      </w:pPr>
      <w:r w:rsidRPr="00295A9B">
        <w:rPr>
          <w:sz w:val="28"/>
          <w:szCs w:val="28"/>
        </w:rPr>
        <w:t>В январе - марте 2022 года исполнение консолидированных бюджетов регионов сложилось с профицитом 939,5 млрд. рублей</w:t>
      </w:r>
      <w:r w:rsidR="00A10B57">
        <w:rPr>
          <w:sz w:val="28"/>
          <w:szCs w:val="28"/>
        </w:rPr>
        <w:t>. Такой уровень профицита стал рекордным за последние годы</w:t>
      </w:r>
      <w:r w:rsidR="0030347E">
        <w:rPr>
          <w:sz w:val="28"/>
          <w:szCs w:val="28"/>
        </w:rPr>
        <w:t xml:space="preserve"> как по объему </w:t>
      </w:r>
      <w:r w:rsidR="0030347E" w:rsidRPr="0030347E">
        <w:rPr>
          <w:sz w:val="28"/>
          <w:szCs w:val="28"/>
        </w:rPr>
        <w:t>(для сравнения по итогам 2021 года был сформирован профицит – 660,8 млрд</w:t>
      </w:r>
      <w:r w:rsidR="007427CF">
        <w:rPr>
          <w:sz w:val="28"/>
          <w:szCs w:val="28"/>
        </w:rPr>
        <w:t>.</w:t>
      </w:r>
      <w:r w:rsidR="0030347E" w:rsidRPr="0030347E">
        <w:rPr>
          <w:sz w:val="28"/>
          <w:szCs w:val="28"/>
        </w:rPr>
        <w:t xml:space="preserve"> руб</w:t>
      </w:r>
      <w:r w:rsidR="007427CF">
        <w:rPr>
          <w:sz w:val="28"/>
          <w:szCs w:val="28"/>
        </w:rPr>
        <w:t>лей</w:t>
      </w:r>
      <w:r w:rsidR="0030347E" w:rsidRPr="0030347E">
        <w:rPr>
          <w:sz w:val="28"/>
          <w:szCs w:val="28"/>
        </w:rPr>
        <w:t>)</w:t>
      </w:r>
      <w:r w:rsidR="0030347E">
        <w:rPr>
          <w:sz w:val="28"/>
          <w:szCs w:val="28"/>
        </w:rPr>
        <w:t>, так и по географии (с профицитом квартал закончили сразу 80 регионов, для сравнения в благополучном 2021 году – только в 72).</w:t>
      </w:r>
    </w:p>
    <w:p w14:paraId="2E4F4B3D" w14:textId="6ADB7CA2" w:rsidR="0030347E" w:rsidRDefault="0030347E" w:rsidP="00F03FE0">
      <w:pPr>
        <w:pStyle w:val="Default"/>
        <w:spacing w:line="228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</w:t>
      </w:r>
      <w:proofErr w:type="gramStart"/>
      <w:r>
        <w:rPr>
          <w:sz w:val="28"/>
          <w:szCs w:val="28"/>
        </w:rPr>
        <w:t>реальный</w:t>
      </w:r>
      <w:proofErr w:type="gramEnd"/>
      <w:r>
        <w:rPr>
          <w:sz w:val="28"/>
          <w:szCs w:val="28"/>
        </w:rPr>
        <w:t xml:space="preserve"> профицит в большинстве регионов не столь значителен по объемам. На </w:t>
      </w:r>
      <w:r w:rsidR="00711CB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Москву и </w:t>
      </w:r>
      <w:r w:rsidR="00711CB9">
        <w:rPr>
          <w:sz w:val="28"/>
          <w:szCs w:val="28"/>
        </w:rPr>
        <w:t xml:space="preserve">г. </w:t>
      </w:r>
      <w:r>
        <w:rPr>
          <w:sz w:val="28"/>
          <w:szCs w:val="28"/>
        </w:rPr>
        <w:t>Санкт-Петербург приходится сразу 37</w:t>
      </w:r>
      <w:r w:rsidR="00711CB9">
        <w:rPr>
          <w:sz w:val="28"/>
          <w:szCs w:val="28"/>
        </w:rPr>
        <w:t> </w:t>
      </w:r>
      <w:r>
        <w:rPr>
          <w:sz w:val="28"/>
          <w:szCs w:val="28"/>
        </w:rPr>
        <w:t xml:space="preserve">% профицита, из которых </w:t>
      </w:r>
      <w:r w:rsidR="00295A9B" w:rsidRPr="00295A9B">
        <w:rPr>
          <w:sz w:val="28"/>
          <w:szCs w:val="28"/>
        </w:rPr>
        <w:t xml:space="preserve">243,3 млрд. рублей, или 25,9 %, - профицит г. Москвы. </w:t>
      </w:r>
      <w:r>
        <w:rPr>
          <w:sz w:val="28"/>
          <w:szCs w:val="28"/>
        </w:rPr>
        <w:t>Из других регионов положительно выделяются территории со специализацией на добыче нефти.</w:t>
      </w:r>
    </w:p>
    <w:p w14:paraId="19B4AC85" w14:textId="3F192F39" w:rsidR="00F351F3" w:rsidRPr="00285CD2" w:rsidRDefault="00295A9B" w:rsidP="00F03FE0">
      <w:pPr>
        <w:pStyle w:val="Default"/>
        <w:spacing w:line="228" w:lineRule="auto"/>
        <w:ind w:right="-1" w:firstLine="709"/>
        <w:jc w:val="both"/>
        <w:rPr>
          <w:color w:val="000000" w:themeColor="text1"/>
          <w:sz w:val="28"/>
          <w:szCs w:val="28"/>
        </w:rPr>
      </w:pPr>
      <w:r w:rsidRPr="00295A9B">
        <w:rPr>
          <w:sz w:val="28"/>
          <w:szCs w:val="28"/>
        </w:rPr>
        <w:t>Дефицит бюджета имели 6 регионов</w:t>
      </w:r>
      <w:r w:rsidR="00285CD2">
        <w:rPr>
          <w:sz w:val="28"/>
          <w:szCs w:val="28"/>
        </w:rPr>
        <w:t xml:space="preserve">, некоторые из </w:t>
      </w:r>
      <w:r w:rsidR="00711CB9">
        <w:rPr>
          <w:sz w:val="28"/>
          <w:szCs w:val="28"/>
        </w:rPr>
        <w:t>них</w:t>
      </w:r>
      <w:r w:rsidR="00285CD2">
        <w:rPr>
          <w:sz w:val="28"/>
          <w:szCs w:val="28"/>
        </w:rPr>
        <w:t xml:space="preserve"> наращивали </w:t>
      </w:r>
      <w:r w:rsidR="00285CD2" w:rsidRPr="007A7703">
        <w:rPr>
          <w:sz w:val="28"/>
          <w:szCs w:val="28"/>
        </w:rPr>
        <w:t xml:space="preserve">расходы в </w:t>
      </w:r>
      <w:r w:rsidR="00285CD2" w:rsidRPr="007A7703">
        <w:rPr>
          <w:sz w:val="28"/>
          <w:szCs w:val="28"/>
          <w:lang w:val="en-US"/>
        </w:rPr>
        <w:t>I</w:t>
      </w:r>
      <w:r w:rsidR="007A7703" w:rsidRPr="007A7703">
        <w:rPr>
          <w:sz w:val="28"/>
          <w:szCs w:val="28"/>
        </w:rPr>
        <w:t xml:space="preserve"> квартале 2022 года</w:t>
      </w:r>
      <w:r w:rsidR="00285CD2" w:rsidRPr="007A7703">
        <w:rPr>
          <w:sz w:val="28"/>
          <w:szCs w:val="28"/>
        </w:rPr>
        <w:t xml:space="preserve"> опережающими темпами (Республика Татарстан, Мурманская, Белгородская области)</w:t>
      </w:r>
      <w:r w:rsidR="00711CB9">
        <w:rPr>
          <w:sz w:val="28"/>
          <w:szCs w:val="28"/>
        </w:rPr>
        <w:t>, в том числе расходы</w:t>
      </w:r>
      <w:r w:rsidR="00285CD2" w:rsidRPr="007A7703">
        <w:rPr>
          <w:sz w:val="28"/>
          <w:szCs w:val="28"/>
        </w:rPr>
        <w:t xml:space="preserve"> </w:t>
      </w:r>
      <w:r w:rsidR="00711CB9">
        <w:rPr>
          <w:sz w:val="28"/>
          <w:szCs w:val="28"/>
        </w:rPr>
        <w:t>на национальную экономику, ЖКХ, образование и здравоохранение.</w:t>
      </w:r>
      <w:r w:rsidR="007A7703">
        <w:rPr>
          <w:sz w:val="28"/>
          <w:szCs w:val="28"/>
        </w:rPr>
        <w:t xml:space="preserve"> </w:t>
      </w:r>
    </w:p>
    <w:p w14:paraId="06471BD6" w14:textId="63992507" w:rsidR="00285CD2" w:rsidRDefault="00285CD2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F351F3" w:rsidRPr="00295A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351F3" w:rsidRPr="00295A9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31CE5" w:rsidRPr="00295A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Долговая ситуация в регионах по итогам первого квартала была стабильной. </w:t>
      </w:r>
      <w:r w:rsidR="00B65DD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Важной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тенденцией было изменение структуры долга в пользу роста доли </w:t>
      </w:r>
      <w:r w:rsidR="004441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дешевых</w:t>
      </w:r>
      <w:r w:rsidR="004441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бюджетных кредитов благодаря мерам Правительства Российской Федерации.</w:t>
      </w:r>
    </w:p>
    <w:p w14:paraId="434B28E2" w14:textId="67301047" w:rsidR="00C31CE5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Объем совокупного госдолга субъектов Российской Федерации и муниципальных образований, входящих в состав субъекта Российской Федерации, снизился на 22,9 млрд. рублей, или на 0,8 % и составил 2 828,1 млрд. рублей.  При этом госдолг субъектов Российской Федерации незначительно вырос (на 1,1 млрд. рублей) и составил 2 475,6 млрд. рублей. </w:t>
      </w:r>
      <w:r w:rsidRPr="00444190">
        <w:rPr>
          <w:rFonts w:ascii="Times New Roman" w:hAnsi="Times New Roman" w:cs="Times New Roman"/>
          <w:sz w:val="28"/>
          <w:szCs w:val="28"/>
        </w:rPr>
        <w:t>Долг муниципальных образований снизился на</w:t>
      </w:r>
      <w:r w:rsidR="00444190" w:rsidRPr="00444190">
        <w:rPr>
          <w:rFonts w:ascii="Times New Roman" w:hAnsi="Times New Roman" w:cs="Times New Roman"/>
          <w:sz w:val="28"/>
          <w:szCs w:val="28"/>
        </w:rPr>
        <w:t xml:space="preserve"> 24,0 млрд. рублей и составил 352,5</w:t>
      </w:r>
      <w:r w:rsidRPr="00444190">
        <w:rPr>
          <w:rFonts w:ascii="Times New Roman" w:hAnsi="Times New Roman" w:cs="Times New Roman"/>
          <w:sz w:val="28"/>
          <w:szCs w:val="28"/>
        </w:rPr>
        <w:t> млрд. рублей.</w:t>
      </w:r>
    </w:p>
    <w:p w14:paraId="2376CED7" w14:textId="052E5C2E" w:rsidR="00285CD2" w:rsidRDefault="00285CD2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результате реструктуризации коммерческих кредитов их доля в структуре долга снизилась до 7,9</w:t>
      </w:r>
      <w:r w:rsidR="00B4056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%, а нагрузка на обслуживание кредитов в целом по году должна существенно сократиться.</w:t>
      </w:r>
      <w:r w:rsidR="00F14B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7B5FA72E" w14:textId="3AE9AF7D" w:rsidR="00285CD2" w:rsidRDefault="00285CD2" w:rsidP="00F03FE0">
      <w:pPr>
        <w:spacing w:after="0" w:line="228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 </w:t>
      </w:r>
      <w:r w:rsidR="007A7703">
        <w:rPr>
          <w:rFonts w:ascii="Times New Roman" w:hAnsi="Times New Roman"/>
          <w:bCs/>
          <w:sz w:val="28"/>
          <w:szCs w:val="28"/>
        </w:rPr>
        <w:t>втором – третьем квартале текущего года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существенное влияние на изменение долговой ситуации в регионах могут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оказать меры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A77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Правительства Российской Федерации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предоставлению краткосрочных бюджетных кредитов на покрытие текущих дефицитов бюджетов. Однако мера принята как краткосрочная</w:t>
      </w:r>
      <w:r w:rsidR="003A4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регионы должны будут погасить взятые кредиты до конца года.</w:t>
      </w:r>
    </w:p>
    <w:p w14:paraId="356C3347" w14:textId="2183BEBD" w:rsidR="00295A9B" w:rsidRPr="00295A9B" w:rsidRDefault="00C31CE5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b/>
          <w:sz w:val="28"/>
          <w:szCs w:val="28"/>
        </w:rPr>
        <w:t>1</w:t>
      </w:r>
      <w:r w:rsidR="00F14BE4">
        <w:rPr>
          <w:rFonts w:ascii="Times New Roman" w:hAnsi="Times New Roman" w:cs="Times New Roman"/>
          <w:b/>
          <w:sz w:val="28"/>
          <w:szCs w:val="28"/>
        </w:rPr>
        <w:t>0</w:t>
      </w:r>
      <w:r w:rsidR="00ED3196" w:rsidRPr="00295A9B">
        <w:rPr>
          <w:rFonts w:ascii="Times New Roman" w:hAnsi="Times New Roman" w:cs="Times New Roman"/>
          <w:b/>
          <w:sz w:val="28"/>
          <w:szCs w:val="28"/>
        </w:rPr>
        <w:t>.</w:t>
      </w:r>
      <w:r w:rsidR="00ED3196" w:rsidRPr="00295A9B">
        <w:rPr>
          <w:rFonts w:ascii="Times New Roman" w:hAnsi="Times New Roman" w:cs="Times New Roman"/>
          <w:sz w:val="28"/>
          <w:szCs w:val="28"/>
        </w:rPr>
        <w:t xml:space="preserve"> </w:t>
      </w:r>
      <w:r w:rsidR="00295A9B" w:rsidRPr="00295A9B">
        <w:rPr>
          <w:rFonts w:ascii="Times New Roman" w:hAnsi="Times New Roman" w:cs="Times New Roman"/>
          <w:sz w:val="28"/>
          <w:szCs w:val="28"/>
        </w:rPr>
        <w:t xml:space="preserve">В настоящее время в результате введения недружественными государствами запретов на поставки продукции (включая энергоносители) из России, ограничения поставок товаров и технологий в Россию, прекращения транспортного сообщения, а также ухода с рынка западных компаний для субъектов Российской Федерации возникает ряд </w:t>
      </w:r>
      <w:r w:rsidR="00295A9B" w:rsidRPr="007A7703">
        <w:rPr>
          <w:rFonts w:ascii="Times New Roman" w:hAnsi="Times New Roman" w:cs="Times New Roman"/>
          <w:sz w:val="28"/>
          <w:szCs w:val="28"/>
        </w:rPr>
        <w:t>рисков</w:t>
      </w:r>
      <w:r w:rsidR="00295A9B" w:rsidRPr="00295A9B">
        <w:rPr>
          <w:rFonts w:ascii="Times New Roman" w:hAnsi="Times New Roman" w:cs="Times New Roman"/>
          <w:sz w:val="28"/>
          <w:szCs w:val="28"/>
        </w:rPr>
        <w:t>, ключевыми из которых являются:</w:t>
      </w:r>
    </w:p>
    <w:p w14:paraId="12F80815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сокращение производства или приостановка деятельности промышленных, в том числе </w:t>
      </w:r>
      <w:r w:rsidRPr="00295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системообразующих, предприятий и организаций субъектов Российской Федерации в результате невозможности замещения в краткосрочной перспективе импортировавшихся </w:t>
      </w:r>
      <w:r w:rsidRPr="00295A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комплектующих,</w:t>
      </w:r>
      <w:r w:rsidRPr="00295A9B">
        <w:rPr>
          <w:rFonts w:ascii="Times New Roman" w:hAnsi="Times New Roman" w:cs="Times New Roman"/>
        </w:rPr>
        <w:t xml:space="preserve"> </w:t>
      </w:r>
      <w:r w:rsidRPr="00295A9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технического обслуживания и ремонта импортного оборудования;</w:t>
      </w:r>
      <w:r w:rsidRPr="00295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AC693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нарушение отлаженных логистических цепочек; </w:t>
      </w:r>
    </w:p>
    <w:p w14:paraId="4580D10A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сокращение инвестиций, необходимых для обеспечения социально-экономического развития регионов; </w:t>
      </w:r>
    </w:p>
    <w:p w14:paraId="79E04C17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>сокращение количества рабочих мест и угроза резкого роста безработицы;</w:t>
      </w:r>
    </w:p>
    <w:p w14:paraId="2CD3F7EE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>снижение поступлений собственных доходов в бюджеты субъектов Российской Федерации;</w:t>
      </w:r>
    </w:p>
    <w:p w14:paraId="5ADB3CC0" w14:textId="77777777" w:rsidR="00295A9B" w:rsidRP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 xml:space="preserve">увеличение расходов, обусловленное ростом цен на товары, работы и услуги, что способствует увеличению цены контрактов, дополнительной потребности в бюджетных средствах, росту количества несостоявшихся торгов и увеличения количества объектов незавершенного строительства; </w:t>
      </w:r>
    </w:p>
    <w:p w14:paraId="27B6830B" w14:textId="77777777" w:rsidR="00295A9B" w:rsidRDefault="00295A9B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A9B">
        <w:rPr>
          <w:rFonts w:ascii="Times New Roman" w:hAnsi="Times New Roman" w:cs="Times New Roman"/>
          <w:sz w:val="28"/>
          <w:szCs w:val="28"/>
        </w:rPr>
        <w:t>дальнейшее наращивание государственного долга регионами.</w:t>
      </w:r>
    </w:p>
    <w:p w14:paraId="1D4E8867" w14:textId="77777777" w:rsidR="002167DA" w:rsidRDefault="00F14BE4" w:rsidP="00F03FE0">
      <w:pPr>
        <w:spacing w:after="0"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первом квартале указанные факторы привели, прежде всего, к росту цен на энергоносители</w:t>
      </w:r>
      <w:r w:rsidR="002167DA">
        <w:rPr>
          <w:rFonts w:ascii="Times New Roman" w:hAnsi="Times New Roman"/>
          <w:bCs/>
          <w:sz w:val="28"/>
          <w:szCs w:val="28"/>
        </w:rPr>
        <w:t>.</w:t>
      </w:r>
    </w:p>
    <w:p w14:paraId="68596C71" w14:textId="041BFD91" w:rsidR="00F14BE4" w:rsidRDefault="001D47C9" w:rsidP="00F03FE0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ожидать, что </w:t>
      </w:r>
      <w:r w:rsidR="00F14BE4">
        <w:rPr>
          <w:rFonts w:ascii="Times New Roman" w:hAnsi="Times New Roman"/>
          <w:bCs/>
          <w:sz w:val="28"/>
          <w:szCs w:val="28"/>
        </w:rPr>
        <w:t xml:space="preserve">общая ситуация </w:t>
      </w:r>
      <w:r>
        <w:rPr>
          <w:rFonts w:ascii="Times New Roman" w:hAnsi="Times New Roman"/>
          <w:bCs/>
          <w:sz w:val="28"/>
          <w:szCs w:val="28"/>
        </w:rPr>
        <w:t xml:space="preserve">со </w:t>
      </w:r>
      <w:r w:rsidR="00586788">
        <w:rPr>
          <w:rFonts w:ascii="Times New Roman" w:hAnsi="Times New Roman"/>
          <w:bCs/>
          <w:sz w:val="28"/>
          <w:szCs w:val="28"/>
        </w:rPr>
        <w:t>второго</w:t>
      </w:r>
      <w:r>
        <w:rPr>
          <w:rFonts w:ascii="Times New Roman" w:hAnsi="Times New Roman"/>
          <w:bCs/>
          <w:sz w:val="28"/>
          <w:szCs w:val="28"/>
        </w:rPr>
        <w:t xml:space="preserve"> - </w:t>
      </w:r>
      <w:r w:rsidR="00586788">
        <w:rPr>
          <w:rFonts w:ascii="Times New Roman" w:hAnsi="Times New Roman"/>
          <w:bCs/>
          <w:sz w:val="28"/>
          <w:szCs w:val="28"/>
        </w:rPr>
        <w:t>третьего</w:t>
      </w:r>
      <w:r>
        <w:rPr>
          <w:rFonts w:ascii="Times New Roman" w:hAnsi="Times New Roman"/>
          <w:bCs/>
          <w:sz w:val="28"/>
          <w:szCs w:val="28"/>
        </w:rPr>
        <w:t xml:space="preserve"> квартала текущего года</w:t>
      </w:r>
      <w:r w:rsidR="00F14BE4">
        <w:rPr>
          <w:rFonts w:ascii="Times New Roman" w:hAnsi="Times New Roman"/>
          <w:bCs/>
          <w:sz w:val="28"/>
          <w:szCs w:val="28"/>
        </w:rPr>
        <w:t xml:space="preserve"> </w:t>
      </w:r>
      <w:r w:rsidR="002167DA">
        <w:rPr>
          <w:rFonts w:ascii="Times New Roman" w:hAnsi="Times New Roman"/>
          <w:bCs/>
          <w:sz w:val="28"/>
          <w:szCs w:val="28"/>
        </w:rPr>
        <w:t>возможно негативно отразится на исполнении бюджетов отдельных регионов</w:t>
      </w:r>
      <w:r>
        <w:rPr>
          <w:rFonts w:ascii="Times New Roman" w:hAnsi="Times New Roman"/>
          <w:bCs/>
          <w:sz w:val="28"/>
          <w:szCs w:val="28"/>
        </w:rPr>
        <w:t>.</w:t>
      </w:r>
      <w:r w:rsidRPr="001D47C9">
        <w:rPr>
          <w:rFonts w:ascii="Times New Roman" w:hAnsi="Times New Roman" w:cs="Times New Roman"/>
          <w:sz w:val="28"/>
          <w:szCs w:val="28"/>
        </w:rPr>
        <w:t xml:space="preserve"> </w:t>
      </w:r>
      <w:r w:rsidR="00F14BE4">
        <w:rPr>
          <w:rFonts w:ascii="Times New Roman" w:hAnsi="Times New Roman" w:cs="Times New Roman"/>
          <w:sz w:val="28"/>
          <w:szCs w:val="28"/>
        </w:rPr>
        <w:t>Вероятным является</w:t>
      </w:r>
      <w:r w:rsidR="00F14BE4" w:rsidRPr="00F14BE4">
        <w:rPr>
          <w:rFonts w:ascii="Times New Roman" w:hAnsi="Times New Roman" w:cs="Times New Roman"/>
          <w:sz w:val="28"/>
          <w:szCs w:val="28"/>
        </w:rPr>
        <w:t xml:space="preserve"> снижение поступлений налога на прибыль</w:t>
      </w:r>
      <w:r w:rsidR="006730E4">
        <w:rPr>
          <w:rFonts w:ascii="Times New Roman" w:hAnsi="Times New Roman" w:cs="Times New Roman"/>
          <w:sz w:val="28"/>
          <w:szCs w:val="28"/>
        </w:rPr>
        <w:t xml:space="preserve"> организаций и</w:t>
      </w:r>
      <w:r w:rsidR="00F14BE4" w:rsidRPr="00F14BE4">
        <w:rPr>
          <w:rFonts w:ascii="Times New Roman" w:hAnsi="Times New Roman" w:cs="Times New Roman"/>
          <w:sz w:val="28"/>
          <w:szCs w:val="28"/>
        </w:rPr>
        <w:t xml:space="preserve"> замедление темпов роста НДФЛ</w:t>
      </w:r>
      <w:r w:rsidR="006730E4">
        <w:rPr>
          <w:rFonts w:ascii="Times New Roman" w:hAnsi="Times New Roman" w:cs="Times New Roman"/>
          <w:sz w:val="28"/>
          <w:szCs w:val="28"/>
        </w:rPr>
        <w:t>. Со второго квартала начали действовать отсрочки по налогам и сборам для бизнеса.</w:t>
      </w:r>
      <w:r w:rsidR="00F14BE4" w:rsidRPr="00F14BE4">
        <w:rPr>
          <w:rFonts w:ascii="Times New Roman" w:hAnsi="Times New Roman" w:cs="Times New Roman"/>
          <w:sz w:val="28"/>
          <w:szCs w:val="28"/>
        </w:rPr>
        <w:t xml:space="preserve"> </w:t>
      </w:r>
      <w:r w:rsidR="00F14BE4">
        <w:rPr>
          <w:rFonts w:ascii="Times New Roman" w:hAnsi="Times New Roman" w:cs="Times New Roman"/>
          <w:sz w:val="28"/>
          <w:szCs w:val="28"/>
        </w:rPr>
        <w:t>Во многих регионах возможен</w:t>
      </w:r>
      <w:r w:rsidR="00F14BE4" w:rsidRPr="00F14BE4">
        <w:rPr>
          <w:rFonts w:ascii="Times New Roman" w:hAnsi="Times New Roman" w:cs="Times New Roman"/>
          <w:sz w:val="28"/>
          <w:szCs w:val="28"/>
        </w:rPr>
        <w:t xml:space="preserve"> рост расходов на меры антикризисной поддержки экономики.</w:t>
      </w:r>
      <w:r w:rsidR="00F14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CD84A" w14:textId="77777777" w:rsidR="00F14BE4" w:rsidRDefault="00F14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8E5D03" w14:textId="77777777" w:rsidR="00F351F3" w:rsidRPr="00D90226" w:rsidRDefault="00F351F3" w:rsidP="00F03FE0">
      <w:pPr>
        <w:spacing w:before="120"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2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Основные итоги исполнения консолидированных бюджетов субъектов Российской Федерации в </w:t>
      </w:r>
      <w:r w:rsidR="00D90226" w:rsidRPr="00D90226">
        <w:rPr>
          <w:rFonts w:ascii="Times New Roman" w:eastAsia="Times New Roman" w:hAnsi="Times New Roman" w:cs="Times New Roman"/>
          <w:b/>
          <w:sz w:val="28"/>
          <w:szCs w:val="28"/>
        </w:rPr>
        <w:t>январе – марте 2022</w:t>
      </w:r>
      <w:r w:rsidRPr="00D9022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D90226" w:rsidRPr="00D90226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72933878" w14:textId="77777777" w:rsidR="00F351F3" w:rsidRPr="008A44B6" w:rsidRDefault="0023257A" w:rsidP="00F03FE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3257A">
        <w:rPr>
          <w:rFonts w:ascii="Times New Roman" w:eastAsia="Times New Roman" w:hAnsi="Times New Roman" w:cs="Times New Roman"/>
          <w:sz w:val="28"/>
          <w:szCs w:val="28"/>
        </w:rPr>
        <w:t xml:space="preserve"> январе – марте 2022 года</w:t>
      </w:r>
      <w:r w:rsidRPr="002325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3257A">
        <w:rPr>
          <w:rFonts w:ascii="Times New Roman" w:eastAsia="Times New Roman" w:hAnsi="Times New Roman" w:cs="Times New Roman"/>
          <w:sz w:val="28"/>
          <w:szCs w:val="28"/>
        </w:rPr>
        <w:t>динамика и</w:t>
      </w:r>
      <w:r w:rsidR="00F351F3" w:rsidRPr="0023257A">
        <w:rPr>
          <w:rFonts w:ascii="Times New Roman" w:eastAsia="Times New Roman" w:hAnsi="Times New Roman" w:cs="Times New Roman"/>
          <w:sz w:val="28"/>
          <w:szCs w:val="28"/>
        </w:rPr>
        <w:t>сполнени</w:t>
      </w:r>
      <w:r w:rsidRPr="0023257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351F3" w:rsidRPr="0023257A">
        <w:rPr>
          <w:rFonts w:ascii="Times New Roman" w:eastAsia="Times New Roman" w:hAnsi="Times New Roman" w:cs="Times New Roman"/>
          <w:sz w:val="28"/>
          <w:szCs w:val="28"/>
        </w:rPr>
        <w:t xml:space="preserve"> консолидированных бюджетов субъектов Российской Федерации</w:t>
      </w:r>
      <w:proofErr w:type="gramEnd"/>
      <w:r w:rsidR="00F351F3" w:rsidRPr="0023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>характериз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уется 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>положительн</w:t>
      </w:r>
      <w:r>
        <w:rPr>
          <w:rFonts w:ascii="Times New Roman" w:eastAsia="Times New Roman" w:hAnsi="Times New Roman" w:cs="Times New Roman"/>
          <w:sz w:val="28"/>
          <w:szCs w:val="28"/>
        </w:rPr>
        <w:t>ыми темпами поступления дохо</w:t>
      </w:r>
      <w:r w:rsidR="000C3BAC">
        <w:rPr>
          <w:rFonts w:ascii="Times New Roman" w:eastAsia="Times New Roman" w:hAnsi="Times New Roman" w:cs="Times New Roman"/>
          <w:sz w:val="28"/>
          <w:szCs w:val="28"/>
        </w:rPr>
        <w:t>дов (127,5 %) и расходов (107,8 </w:t>
      </w:r>
      <w:r>
        <w:rPr>
          <w:rFonts w:ascii="Times New Roman" w:eastAsia="Times New Roman" w:hAnsi="Times New Roman" w:cs="Times New Roman"/>
          <w:sz w:val="28"/>
          <w:szCs w:val="28"/>
        </w:rPr>
        <w:t>%). Н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>а 1 </w:t>
      </w:r>
      <w:r w:rsidR="00D90226" w:rsidRPr="008A44B6">
        <w:rPr>
          <w:rFonts w:ascii="Times New Roman" w:eastAsia="Times New Roman" w:hAnsi="Times New Roman" w:cs="Times New Roman"/>
          <w:sz w:val="28"/>
          <w:szCs w:val="28"/>
        </w:rPr>
        <w:t>апрел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>я 2022 года сложил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 xml:space="preserve"> профицит в объеме 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>938,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F351F3" w:rsidRPr="008A44B6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14:paraId="14EA4184" w14:textId="77777777" w:rsidR="00C55430" w:rsidRDefault="00C55430" w:rsidP="00C55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0C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ED47B" wp14:editId="377A3645">
            <wp:extent cx="5543550" cy="21431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E02A69" w14:textId="77777777" w:rsidR="008A44B6" w:rsidRDefault="00DD4D2A" w:rsidP="00C554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44B6">
        <w:rPr>
          <w:rFonts w:ascii="Times New Roman" w:eastAsia="Times New Roman" w:hAnsi="Times New Roman" w:cs="Times New Roman"/>
          <w:sz w:val="28"/>
          <w:szCs w:val="28"/>
        </w:rPr>
        <w:t xml:space="preserve">С суммарным профицитом в объеме 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>94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>,1</w:t>
      </w:r>
      <w:r w:rsidRPr="008A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Pr="008A44B6">
        <w:rPr>
          <w:rFonts w:ascii="Times New Roman" w:eastAsia="Times New Roman" w:hAnsi="Times New Roman" w:cs="Times New Roman"/>
          <w:sz w:val="28"/>
          <w:szCs w:val="28"/>
        </w:rPr>
        <w:t xml:space="preserve"> рублей исполнены бюджеты 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8A44B6">
        <w:rPr>
          <w:rFonts w:ascii="Times New Roman" w:eastAsia="Times New Roman" w:hAnsi="Times New Roman" w:cs="Times New Roman"/>
          <w:sz w:val="28"/>
          <w:szCs w:val="28"/>
        </w:rPr>
        <w:t> регионов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 xml:space="preserve"> (включая </w:t>
      </w:r>
      <w:r w:rsidR="00201340">
        <w:rPr>
          <w:rFonts w:ascii="Times New Roman" w:eastAsia="Times New Roman" w:hAnsi="Times New Roman" w:cs="Times New Roman"/>
          <w:sz w:val="28"/>
          <w:szCs w:val="28"/>
        </w:rPr>
        <w:t>ф</w:t>
      </w:r>
      <w:r w:rsidR="008F53A3" w:rsidRPr="008F53A3">
        <w:rPr>
          <w:rFonts w:ascii="Times New Roman" w:eastAsia="Times New Roman" w:hAnsi="Times New Roman" w:cs="Times New Roman"/>
          <w:sz w:val="28"/>
          <w:szCs w:val="28"/>
        </w:rPr>
        <w:t>едеральн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8F53A3" w:rsidRPr="008F53A3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8F53A3" w:rsidRPr="008F5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F53A3" w:rsidRPr="008F53A3">
        <w:rPr>
          <w:rFonts w:ascii="Times New Roman" w:eastAsia="Times New Roman" w:hAnsi="Times New Roman" w:cs="Times New Roman"/>
          <w:sz w:val="28"/>
          <w:szCs w:val="28"/>
        </w:rPr>
        <w:t>Сириус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34D69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8F53A3">
        <w:rPr>
          <w:rFonts w:ascii="Times New Roman" w:eastAsia="Times New Roman" w:hAnsi="Times New Roman" w:cs="Times New Roman"/>
          <w:sz w:val="28"/>
          <w:szCs w:val="28"/>
        </w:rPr>
        <w:t>)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Значительный объем превышения доходов над расходами имели г. Москва (243,3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рублей), г. Санкт-Петербург (106,1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рублей), </w:t>
      </w:r>
      <w:r w:rsidR="00123517" w:rsidRPr="00123517">
        <w:rPr>
          <w:rFonts w:ascii="Times New Roman" w:eastAsia="Times New Roman" w:hAnsi="Times New Roman" w:cs="Times New Roman"/>
          <w:sz w:val="28"/>
          <w:szCs w:val="28"/>
        </w:rPr>
        <w:t xml:space="preserve">Кемеровская область 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(43,2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рублей), </w:t>
      </w:r>
      <w:r w:rsidR="00123517" w:rsidRPr="0012351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(40,8</w:t>
      </w:r>
      <w:r w:rsidR="00384C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123517">
        <w:rPr>
          <w:rFonts w:ascii="Times New Roman" w:eastAsia="Times New Roman" w:hAnsi="Times New Roman" w:cs="Times New Roman"/>
          <w:sz w:val="28"/>
          <w:szCs w:val="28"/>
        </w:rPr>
        <w:t xml:space="preserve"> рублей)</w:t>
      </w:r>
      <w:r w:rsidRPr="008A44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>Дефицит бюджета имели 6</w:t>
      </w:r>
      <w:r w:rsidRPr="008A44B6">
        <w:rPr>
          <w:rFonts w:ascii="Times New Roman" w:eastAsia="Times New Roman" w:hAnsi="Times New Roman" w:cs="Times New Roman"/>
          <w:sz w:val="28"/>
          <w:szCs w:val="28"/>
        </w:rPr>
        <w:t xml:space="preserve"> регионов</w:t>
      </w:r>
      <w:r w:rsidR="008766C5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Республика Татарстан – 2,0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 рублей, Мурманская область – 1,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 рублей, Республика Тыва </w:t>
      </w:r>
      <w:r w:rsidR="008F53A3">
        <w:rPr>
          <w:rFonts w:ascii="Times New Roman" w:eastAsia="Times New Roman" w:hAnsi="Times New Roman" w:cs="Times New Roman"/>
          <w:sz w:val="28"/>
          <w:szCs w:val="28"/>
        </w:rPr>
        <w:t xml:space="preserve">и Магаданская область 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– 0,4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8766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766C5" w:rsidRPr="008766C5">
        <w:rPr>
          <w:rFonts w:ascii="Times New Roman" w:eastAsia="Times New Roman" w:hAnsi="Times New Roman" w:cs="Times New Roman"/>
          <w:sz w:val="28"/>
          <w:szCs w:val="28"/>
        </w:rPr>
        <w:t>Белгородская область</w:t>
      </w:r>
      <w:r w:rsidR="008766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766C5" w:rsidRPr="008766C5">
        <w:rPr>
          <w:rFonts w:ascii="Times New Roman" w:eastAsia="Times New Roman" w:hAnsi="Times New Roman" w:cs="Times New Roman"/>
          <w:sz w:val="28"/>
          <w:szCs w:val="28"/>
        </w:rPr>
        <w:t>Еврейская автономная область</w:t>
      </w:r>
      <w:r w:rsidR="008766C5">
        <w:rPr>
          <w:rFonts w:ascii="Times New Roman" w:eastAsia="Times New Roman" w:hAnsi="Times New Roman" w:cs="Times New Roman"/>
          <w:sz w:val="28"/>
          <w:szCs w:val="28"/>
        </w:rPr>
        <w:t xml:space="preserve"> – 0,3 </w:t>
      </w:r>
      <w:r w:rsidR="00340CF8">
        <w:rPr>
          <w:rFonts w:ascii="Times New Roman" w:eastAsia="Times New Roman" w:hAnsi="Times New Roman" w:cs="Times New Roman"/>
          <w:sz w:val="28"/>
          <w:szCs w:val="28"/>
        </w:rPr>
        <w:t>млрд.</w:t>
      </w:r>
      <w:r w:rsidR="008766C5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8A44B6" w:rsidRPr="008A44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27C7E699" w14:textId="0E4232FF" w:rsidR="00F03FE0" w:rsidRDefault="00FF70EF" w:rsidP="00F03FE0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object w:dxaOrig="7216" w:dyaOrig="4043" w14:anchorId="6680C8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255.75pt" o:ole="">
            <v:imagedata r:id="rId10" o:title=""/>
          </v:shape>
          <o:OLEObject Type="Embed" ProgID="PowerPoint.Slide.12" ShapeID="_x0000_i1025" DrawAspect="Content" ObjectID="_1714917938" r:id="rId11"/>
        </w:object>
      </w:r>
    </w:p>
    <w:p w14:paraId="3AE63727" w14:textId="77777777" w:rsidR="00F351F3" w:rsidRPr="00F03FE0" w:rsidRDefault="00E872C4" w:rsidP="00FF70E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FE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Pr="00F03FE0">
        <w:rPr>
          <w:rFonts w:ascii="Times New Roman" w:hAnsi="Times New Roman" w:cs="Times New Roman"/>
          <w:sz w:val="28"/>
          <w:szCs w:val="28"/>
        </w:rPr>
        <w:t>январе – марте 2022 года</w:t>
      </w:r>
      <w:r w:rsidRPr="00F0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FE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F351F3" w:rsidRPr="00F03FE0">
        <w:rPr>
          <w:rFonts w:ascii="Times New Roman" w:hAnsi="Times New Roman" w:cs="Times New Roman"/>
          <w:b/>
          <w:bCs/>
          <w:sz w:val="28"/>
          <w:szCs w:val="28"/>
        </w:rPr>
        <w:t>оходы консолидированных бюджетов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 по сравнению с </w:t>
      </w:r>
      <w:r w:rsidR="008A44B6" w:rsidRPr="00F03FE0">
        <w:rPr>
          <w:rFonts w:ascii="Times New Roman" w:hAnsi="Times New Roman" w:cs="Times New Roman"/>
          <w:bCs/>
          <w:sz w:val="28"/>
          <w:szCs w:val="28"/>
        </w:rPr>
        <w:t xml:space="preserve">соответствующим периодом 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>202</w:t>
      </w:r>
      <w:r w:rsidR="008A44B6" w:rsidRPr="00F03FE0">
        <w:rPr>
          <w:rFonts w:ascii="Times New Roman" w:hAnsi="Times New Roman" w:cs="Times New Roman"/>
          <w:bCs/>
          <w:sz w:val="28"/>
          <w:szCs w:val="28"/>
        </w:rPr>
        <w:t>1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8A44B6" w:rsidRPr="00F03FE0">
        <w:rPr>
          <w:rFonts w:ascii="Times New Roman" w:hAnsi="Times New Roman" w:cs="Times New Roman"/>
          <w:bCs/>
          <w:sz w:val="28"/>
          <w:szCs w:val="28"/>
        </w:rPr>
        <w:t>а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4B6" w:rsidRPr="00F03FE0">
        <w:rPr>
          <w:rFonts w:ascii="Times New Roman" w:hAnsi="Times New Roman" w:cs="Times New Roman"/>
          <w:bCs/>
          <w:sz w:val="28"/>
          <w:szCs w:val="28"/>
        </w:rPr>
        <w:t>вы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росли </w:t>
      </w:r>
      <w:r w:rsidRPr="00F03FE0">
        <w:rPr>
          <w:rFonts w:ascii="Times New Roman" w:hAnsi="Times New Roman" w:cs="Times New Roman"/>
          <w:bCs/>
          <w:sz w:val="28"/>
          <w:szCs w:val="28"/>
        </w:rPr>
        <w:t>82 регионах в целом на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57A" w:rsidRPr="00F03FE0">
        <w:rPr>
          <w:rFonts w:ascii="Times New Roman" w:hAnsi="Times New Roman" w:cs="Times New Roman"/>
          <w:bCs/>
          <w:sz w:val="28"/>
          <w:szCs w:val="28"/>
        </w:rPr>
        <w:t>27,5 % и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составил</w:t>
      </w:r>
      <w:r w:rsidR="0023257A" w:rsidRPr="00F03FE0">
        <w:rPr>
          <w:rFonts w:ascii="Times New Roman" w:hAnsi="Times New Roman" w:cs="Times New Roman"/>
          <w:bCs/>
          <w:sz w:val="28"/>
          <w:szCs w:val="28"/>
        </w:rPr>
        <w:t>и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57A" w:rsidRPr="00F03FE0">
        <w:rPr>
          <w:rFonts w:ascii="Times New Roman" w:hAnsi="Times New Roman" w:cs="Times New Roman"/>
          <w:bCs/>
          <w:sz w:val="28"/>
          <w:szCs w:val="28"/>
        </w:rPr>
        <w:t>4</w:t>
      </w:r>
      <w:r w:rsidR="008F53A3" w:rsidRPr="00F03FE0">
        <w:rPr>
          <w:rFonts w:ascii="Times New Roman" w:hAnsi="Times New Roman" w:cs="Times New Roman"/>
          <w:bCs/>
          <w:sz w:val="28"/>
          <w:szCs w:val="28"/>
        </w:rPr>
        <w:t> </w:t>
      </w:r>
      <w:r w:rsidR="0023257A" w:rsidRPr="00F03FE0">
        <w:rPr>
          <w:rFonts w:ascii="Times New Roman" w:hAnsi="Times New Roman" w:cs="Times New Roman"/>
          <w:bCs/>
          <w:sz w:val="28"/>
          <w:szCs w:val="28"/>
        </w:rPr>
        <w:t>34</w:t>
      </w:r>
      <w:r w:rsidR="008F53A3" w:rsidRPr="00F03FE0">
        <w:rPr>
          <w:rFonts w:ascii="Times New Roman" w:hAnsi="Times New Roman" w:cs="Times New Roman"/>
          <w:bCs/>
          <w:sz w:val="28"/>
          <w:szCs w:val="28"/>
        </w:rPr>
        <w:t>9,5</w:t>
      </w:r>
      <w:r w:rsidR="00595A71" w:rsidRPr="00F03FE0">
        <w:rPr>
          <w:rFonts w:ascii="Times New Roman" w:hAnsi="Times New Roman" w:cs="Times New Roman"/>
          <w:bCs/>
          <w:sz w:val="28"/>
          <w:szCs w:val="28"/>
        </w:rPr>
        <w:t> </w:t>
      </w:r>
      <w:r w:rsidR="00340CF8" w:rsidRPr="00F03FE0">
        <w:rPr>
          <w:rFonts w:ascii="Times New Roman" w:hAnsi="Times New Roman" w:cs="Times New Roman"/>
          <w:bCs/>
          <w:sz w:val="28"/>
          <w:szCs w:val="28"/>
        </w:rPr>
        <w:t>млрд.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рублей, или </w:t>
      </w:r>
      <w:r w:rsidR="00304B35" w:rsidRPr="00F03FE0">
        <w:rPr>
          <w:rFonts w:ascii="Times New Roman" w:hAnsi="Times New Roman" w:cs="Times New Roman"/>
          <w:bCs/>
          <w:sz w:val="28"/>
          <w:szCs w:val="28"/>
        </w:rPr>
        <w:t>26,2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> % прогнозируемых объемов. Б</w:t>
      </w:r>
      <w:r w:rsidR="00F351F3" w:rsidRPr="00F03FE0">
        <w:rPr>
          <w:rFonts w:ascii="Times New Roman" w:hAnsi="Times New Roman" w:cs="Times New Roman"/>
          <w:sz w:val="28"/>
          <w:szCs w:val="28"/>
        </w:rPr>
        <w:t xml:space="preserve">ез учета г. Москвы доходы исполнены в объеме </w:t>
      </w:r>
      <w:r w:rsidR="00304B35" w:rsidRPr="00F03FE0">
        <w:rPr>
          <w:rFonts w:ascii="Times New Roman" w:hAnsi="Times New Roman" w:cs="Times New Roman"/>
          <w:sz w:val="28"/>
          <w:szCs w:val="28"/>
        </w:rPr>
        <w:t>3</w:t>
      </w:r>
      <w:r w:rsidR="008F53A3" w:rsidRPr="00F03FE0">
        <w:rPr>
          <w:rFonts w:ascii="Times New Roman" w:hAnsi="Times New Roman" w:cs="Times New Roman"/>
          <w:sz w:val="28"/>
          <w:szCs w:val="28"/>
        </w:rPr>
        <w:t> </w:t>
      </w:r>
      <w:r w:rsidR="00304B35" w:rsidRPr="00F03FE0">
        <w:rPr>
          <w:rFonts w:ascii="Times New Roman" w:hAnsi="Times New Roman" w:cs="Times New Roman"/>
          <w:sz w:val="28"/>
          <w:szCs w:val="28"/>
        </w:rPr>
        <w:t>42</w:t>
      </w:r>
      <w:r w:rsidR="008F53A3" w:rsidRPr="00F03FE0">
        <w:rPr>
          <w:rFonts w:ascii="Times New Roman" w:hAnsi="Times New Roman" w:cs="Times New Roman"/>
          <w:sz w:val="28"/>
          <w:szCs w:val="28"/>
        </w:rPr>
        <w:t>9,1</w:t>
      </w:r>
      <w:r w:rsidR="00F351F3" w:rsidRPr="00F03FE0">
        <w:rPr>
          <w:rFonts w:ascii="Times New Roman" w:hAnsi="Times New Roman" w:cs="Times New Roman"/>
          <w:sz w:val="28"/>
          <w:szCs w:val="28"/>
        </w:rPr>
        <w:t xml:space="preserve"> </w:t>
      </w:r>
      <w:r w:rsidR="00340CF8" w:rsidRPr="00F03FE0">
        <w:rPr>
          <w:rFonts w:ascii="Times New Roman" w:hAnsi="Times New Roman" w:cs="Times New Roman"/>
          <w:sz w:val="28"/>
          <w:szCs w:val="28"/>
        </w:rPr>
        <w:t>млрд.</w:t>
      </w:r>
      <w:r w:rsidR="00F351F3" w:rsidRPr="00F03FE0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F351F3" w:rsidRPr="00F03F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333ED7" w14:textId="77777777" w:rsidR="00005918" w:rsidRPr="00295A9B" w:rsidRDefault="00005918" w:rsidP="00FF70EF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Сложившаяся по итогам </w:t>
      </w:r>
      <w:r w:rsidRPr="00F03FE0">
        <w:rPr>
          <w:rFonts w:ascii="Times New Roman" w:hAnsi="Times New Roman" w:cs="Times New Roman"/>
          <w:sz w:val="28"/>
          <w:szCs w:val="28"/>
        </w:rPr>
        <w:t>I</w:t>
      </w:r>
      <w:r w:rsidRPr="00F03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квартала 2022 года положительная динамика поступления </w:t>
      </w:r>
      <w:r w:rsidRPr="00F03FE0">
        <w:rPr>
          <w:rFonts w:ascii="Times New Roman" w:hAnsi="Times New Roman" w:cs="Times New Roman"/>
          <w:sz w:val="28"/>
          <w:szCs w:val="28"/>
        </w:rPr>
        <w:t xml:space="preserve">доходной части бюджетов регионов достигнута в основном </w:t>
      </w:r>
      <w:r w:rsidR="006B2A5A" w:rsidRPr="00F03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ростом </w:t>
      </w:r>
      <w:r w:rsidR="006B2A5A" w:rsidRPr="00F03FE0">
        <w:rPr>
          <w:rFonts w:ascii="Times New Roman" w:hAnsi="Times New Roman" w:cs="Times New Roman"/>
          <w:sz w:val="28"/>
          <w:szCs w:val="28"/>
        </w:rPr>
        <w:t>ценовых факторов</w:t>
      </w:r>
      <w:r w:rsidR="006B2A5A">
        <w:rPr>
          <w:rFonts w:ascii="Times New Roman" w:hAnsi="Times New Roman" w:cs="Times New Roman"/>
          <w:sz w:val="28"/>
          <w:szCs w:val="28"/>
        </w:rPr>
        <w:t>,</w:t>
      </w:r>
      <w:r w:rsidR="006B2A5A" w:rsidRPr="00005918">
        <w:rPr>
          <w:rFonts w:ascii="Times New Roman" w:hAnsi="Times New Roman" w:cs="Times New Roman"/>
          <w:sz w:val="28"/>
          <w:szCs w:val="28"/>
        </w:rPr>
        <w:t xml:space="preserve"> </w:t>
      </w:r>
      <w:r w:rsidR="006B2A5A">
        <w:rPr>
          <w:rFonts w:ascii="Times New Roman" w:eastAsia="Calibri" w:hAnsi="Times New Roman" w:cs="Times New Roman"/>
          <w:sz w:val="28"/>
          <w:szCs w:val="28"/>
          <w:lang w:eastAsia="ru-RU"/>
        </w:rPr>
        <w:t>а также</w:t>
      </w:r>
      <w:r w:rsidR="006B2A5A" w:rsidRPr="00005918">
        <w:rPr>
          <w:rFonts w:ascii="Times New Roman" w:hAnsi="Times New Roman" w:cs="Times New Roman"/>
          <w:sz w:val="28"/>
          <w:szCs w:val="28"/>
        </w:rPr>
        <w:t xml:space="preserve"> </w:t>
      </w:r>
      <w:r w:rsidRPr="00005918">
        <w:rPr>
          <w:rFonts w:ascii="Times New Roman" w:hAnsi="Times New Roman" w:cs="Times New Roman"/>
          <w:sz w:val="28"/>
          <w:szCs w:val="28"/>
        </w:rPr>
        <w:t>поступлением платежей, исчисленных по итогам 2021 года</w:t>
      </w:r>
      <w:r w:rsidRPr="00005918">
        <w:rPr>
          <w:rFonts w:ascii="Times New Roman" w:eastAsia="Calibri" w:hAnsi="Times New Roman" w:cs="Times New Roman"/>
          <w:sz w:val="28"/>
          <w:szCs w:val="28"/>
          <w:lang w:eastAsia="ru-RU"/>
        </w:rPr>
        <w:t>, то есть за период, предшествовавший введению внешних санкций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EB4CB" w14:textId="77777777" w:rsidR="00123517" w:rsidRDefault="00604F55" w:rsidP="00FF70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460F2B">
        <w:rPr>
          <w:rFonts w:ascii="Times New Roman" w:hAnsi="Times New Roman"/>
          <w:sz w:val="28"/>
          <w:szCs w:val="28"/>
        </w:rPr>
        <w:t>исполнение</w:t>
      </w:r>
      <w:r w:rsidR="00123517">
        <w:rPr>
          <w:rFonts w:ascii="Times New Roman" w:hAnsi="Times New Roman"/>
          <w:sz w:val="28"/>
          <w:szCs w:val="28"/>
        </w:rPr>
        <w:t xml:space="preserve"> доход</w:t>
      </w:r>
      <w:r w:rsidR="00460F2B">
        <w:rPr>
          <w:rFonts w:ascii="Times New Roman" w:hAnsi="Times New Roman"/>
          <w:sz w:val="28"/>
          <w:szCs w:val="28"/>
        </w:rPr>
        <w:t>ной части региональных бюджетов</w:t>
      </w:r>
      <w:r w:rsidR="00123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повлиял</w:t>
      </w:r>
      <w:r w:rsidR="00AA4F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и</w:t>
      </w:r>
      <w:r w:rsidR="00123517">
        <w:rPr>
          <w:rFonts w:ascii="Times New Roman" w:hAnsi="Times New Roman"/>
          <w:sz w:val="28"/>
          <w:szCs w:val="28"/>
        </w:rPr>
        <w:t xml:space="preserve"> рост индекса промышленного производства</w:t>
      </w:r>
      <w:r w:rsidR="007377DA">
        <w:rPr>
          <w:rFonts w:ascii="Times New Roman" w:hAnsi="Times New Roman"/>
          <w:sz w:val="28"/>
          <w:szCs w:val="28"/>
        </w:rPr>
        <w:t>. Так,</w:t>
      </w:r>
      <w:r w:rsidR="00123517">
        <w:rPr>
          <w:rFonts w:ascii="Times New Roman" w:hAnsi="Times New Roman"/>
          <w:sz w:val="28"/>
          <w:szCs w:val="28"/>
        </w:rPr>
        <w:t xml:space="preserve"> </w:t>
      </w:r>
      <w:r w:rsidR="007377DA">
        <w:rPr>
          <w:rFonts w:ascii="Times New Roman" w:hAnsi="Times New Roman"/>
          <w:sz w:val="28"/>
          <w:szCs w:val="28"/>
        </w:rPr>
        <w:t xml:space="preserve">по сравнению </w:t>
      </w:r>
      <w:r w:rsidR="00123517">
        <w:rPr>
          <w:rFonts w:ascii="Times New Roman" w:hAnsi="Times New Roman"/>
          <w:sz w:val="28"/>
          <w:szCs w:val="28"/>
        </w:rPr>
        <w:t xml:space="preserve">с </w:t>
      </w:r>
      <w:r w:rsidR="00123517">
        <w:rPr>
          <w:rFonts w:ascii="Times New Roman" w:hAnsi="Times New Roman"/>
          <w:sz w:val="28"/>
          <w:szCs w:val="28"/>
          <w:lang w:val="en-US"/>
        </w:rPr>
        <w:t>I</w:t>
      </w:r>
      <w:r w:rsidR="00460F2B">
        <w:rPr>
          <w:rFonts w:ascii="Times New Roman" w:hAnsi="Times New Roman"/>
          <w:sz w:val="28"/>
          <w:szCs w:val="28"/>
        </w:rPr>
        <w:t> </w:t>
      </w:r>
      <w:r w:rsidR="00123517">
        <w:rPr>
          <w:rFonts w:ascii="Times New Roman" w:hAnsi="Times New Roman"/>
          <w:sz w:val="28"/>
          <w:szCs w:val="28"/>
        </w:rPr>
        <w:t>кварталом 2021 года</w:t>
      </w:r>
      <w:r w:rsidR="007377DA">
        <w:rPr>
          <w:rFonts w:ascii="Times New Roman" w:hAnsi="Times New Roman"/>
          <w:sz w:val="28"/>
          <w:szCs w:val="28"/>
        </w:rPr>
        <w:t xml:space="preserve"> его рост составил</w:t>
      </w:r>
      <w:r w:rsidR="00123517">
        <w:rPr>
          <w:rFonts w:ascii="Times New Roman" w:hAnsi="Times New Roman"/>
          <w:sz w:val="28"/>
          <w:szCs w:val="28"/>
        </w:rPr>
        <w:t xml:space="preserve"> 5,9</w:t>
      </w:r>
      <w:r w:rsidR="007377DA">
        <w:rPr>
          <w:rFonts w:ascii="Times New Roman" w:hAnsi="Times New Roman"/>
          <w:sz w:val="28"/>
          <w:szCs w:val="28"/>
        </w:rPr>
        <w:t> </w:t>
      </w:r>
      <w:r w:rsidR="00123517">
        <w:rPr>
          <w:rFonts w:ascii="Times New Roman" w:hAnsi="Times New Roman"/>
          <w:sz w:val="28"/>
          <w:szCs w:val="28"/>
        </w:rPr>
        <w:t>%, в том числе по вид</w:t>
      </w:r>
      <w:r w:rsidR="0078561B">
        <w:rPr>
          <w:rFonts w:ascii="Times New Roman" w:hAnsi="Times New Roman"/>
          <w:sz w:val="28"/>
          <w:szCs w:val="28"/>
        </w:rPr>
        <w:t>ам</w:t>
      </w:r>
      <w:r w:rsidR="00123517">
        <w:rPr>
          <w:rFonts w:ascii="Times New Roman" w:hAnsi="Times New Roman"/>
          <w:sz w:val="28"/>
          <w:szCs w:val="28"/>
        </w:rPr>
        <w:t xml:space="preserve"> экономической деятельности «Добыча полезных ископаемых»</w:t>
      </w:r>
      <w:r w:rsidR="0078561B">
        <w:rPr>
          <w:rFonts w:ascii="Times New Roman" w:hAnsi="Times New Roman"/>
          <w:sz w:val="28"/>
          <w:szCs w:val="28"/>
        </w:rPr>
        <w:t> - на 8,5 %, «Обрабатывающие производства» - на 5,1 %.</w:t>
      </w:r>
    </w:p>
    <w:p w14:paraId="706A9ECB" w14:textId="77777777" w:rsidR="00A85B6F" w:rsidRDefault="00A85B6F" w:rsidP="00FF70EF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Pr="00E872C4">
        <w:rPr>
          <w:sz w:val="28"/>
          <w:szCs w:val="28"/>
        </w:rPr>
        <w:t xml:space="preserve">ситуация с исполнением консолидированных бюджетов субъектов Российской Федерации в I квартале 2022 года являлась достаточно стабильной. </w:t>
      </w:r>
      <w:r w:rsidRPr="00D93E56">
        <w:rPr>
          <w:sz w:val="28"/>
          <w:szCs w:val="28"/>
        </w:rPr>
        <w:t xml:space="preserve">Вместе с тем </w:t>
      </w:r>
      <w:r w:rsidR="00D93E56" w:rsidRPr="00D93E56">
        <w:rPr>
          <w:sz w:val="28"/>
          <w:szCs w:val="28"/>
        </w:rPr>
        <w:t xml:space="preserve">в марте </w:t>
      </w:r>
      <w:r w:rsidR="008E7D32" w:rsidRPr="00D93E56">
        <w:rPr>
          <w:sz w:val="28"/>
          <w:szCs w:val="28"/>
        </w:rPr>
        <w:t>от</w:t>
      </w:r>
      <w:r w:rsidR="00D93E56">
        <w:rPr>
          <w:sz w:val="28"/>
          <w:szCs w:val="28"/>
        </w:rPr>
        <w:t>мечается</w:t>
      </w:r>
      <w:r w:rsidR="008E7D32" w:rsidRPr="00D93E56">
        <w:rPr>
          <w:sz w:val="28"/>
          <w:szCs w:val="28"/>
        </w:rPr>
        <w:t xml:space="preserve"> замедление роста доходов </w:t>
      </w:r>
      <w:r w:rsidR="002C78A8" w:rsidRPr="00D93E56">
        <w:rPr>
          <w:sz w:val="28"/>
          <w:szCs w:val="28"/>
        </w:rPr>
        <w:t>в 15 регионах</w:t>
      </w:r>
      <w:r w:rsidR="008E7D32" w:rsidRPr="00D93E56">
        <w:rPr>
          <w:sz w:val="28"/>
          <w:szCs w:val="28"/>
        </w:rPr>
        <w:t xml:space="preserve"> </w:t>
      </w:r>
      <w:r w:rsidR="00D93E56">
        <w:rPr>
          <w:sz w:val="28"/>
          <w:szCs w:val="28"/>
        </w:rPr>
        <w:t>(</w:t>
      </w:r>
      <w:r w:rsidR="008E7D32" w:rsidRPr="00064D17">
        <w:rPr>
          <w:sz w:val="28"/>
          <w:szCs w:val="28"/>
        </w:rPr>
        <w:t>в основном</w:t>
      </w:r>
      <w:r w:rsidR="002C78A8" w:rsidRPr="00064D17">
        <w:rPr>
          <w:sz w:val="28"/>
          <w:szCs w:val="28"/>
        </w:rPr>
        <w:t xml:space="preserve"> </w:t>
      </w:r>
      <w:r w:rsidR="00D93E56" w:rsidRPr="00064D17">
        <w:rPr>
          <w:sz w:val="28"/>
          <w:szCs w:val="28"/>
        </w:rPr>
        <w:t>диверсифицированных)</w:t>
      </w:r>
      <w:r w:rsidRPr="00064D17">
        <w:rPr>
          <w:sz w:val="28"/>
          <w:szCs w:val="28"/>
        </w:rPr>
        <w:t>.</w:t>
      </w:r>
    </w:p>
    <w:p w14:paraId="455AC3C9" w14:textId="77777777" w:rsidR="00D06F2D" w:rsidRPr="00D06F2D" w:rsidRDefault="002F458B" w:rsidP="00FF70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F458B">
        <w:rPr>
          <w:rFonts w:ascii="Times New Roman" w:hAnsi="Times New Roman"/>
          <w:sz w:val="28"/>
          <w:szCs w:val="28"/>
        </w:rPr>
        <w:t xml:space="preserve">В текущем году в условиях изменения геополитической обстановки и ее влияния </w:t>
      </w:r>
      <w:r w:rsidR="009B7E41">
        <w:rPr>
          <w:rFonts w:ascii="Times New Roman" w:hAnsi="Times New Roman"/>
          <w:sz w:val="28"/>
          <w:szCs w:val="28"/>
        </w:rPr>
        <w:t xml:space="preserve">на </w:t>
      </w:r>
      <w:r w:rsidRPr="002F458B">
        <w:rPr>
          <w:rFonts w:ascii="Times New Roman" w:hAnsi="Times New Roman"/>
          <w:sz w:val="28"/>
          <w:szCs w:val="28"/>
        </w:rPr>
        <w:t>экономическ</w:t>
      </w:r>
      <w:r w:rsidR="009B7E41">
        <w:rPr>
          <w:rFonts w:ascii="Times New Roman" w:hAnsi="Times New Roman"/>
          <w:sz w:val="28"/>
          <w:szCs w:val="28"/>
        </w:rPr>
        <w:t>ую</w:t>
      </w:r>
      <w:r w:rsidRPr="002F458B">
        <w:rPr>
          <w:rFonts w:ascii="Times New Roman" w:hAnsi="Times New Roman"/>
          <w:sz w:val="28"/>
          <w:szCs w:val="28"/>
        </w:rPr>
        <w:t xml:space="preserve"> ситуаци</w:t>
      </w:r>
      <w:r w:rsidR="009B7E41">
        <w:rPr>
          <w:rFonts w:ascii="Times New Roman" w:hAnsi="Times New Roman"/>
          <w:sz w:val="28"/>
          <w:szCs w:val="28"/>
        </w:rPr>
        <w:t>ю</w:t>
      </w:r>
      <w:r w:rsidRPr="002F458B">
        <w:rPr>
          <w:rFonts w:ascii="Times New Roman" w:hAnsi="Times New Roman"/>
          <w:sz w:val="28"/>
          <w:szCs w:val="28"/>
        </w:rPr>
        <w:t xml:space="preserve"> существуют значительные риски сокращения поступления налоговых и неналоговых </w:t>
      </w:r>
      <w:r w:rsidR="00160079">
        <w:rPr>
          <w:rFonts w:ascii="Times New Roman" w:hAnsi="Times New Roman"/>
          <w:sz w:val="28"/>
          <w:szCs w:val="28"/>
        </w:rPr>
        <w:t>доходов</w:t>
      </w:r>
      <w:r w:rsidRPr="002F458B">
        <w:rPr>
          <w:rFonts w:ascii="Times New Roman" w:hAnsi="Times New Roman"/>
          <w:sz w:val="28"/>
          <w:szCs w:val="28"/>
        </w:rPr>
        <w:t xml:space="preserve"> и неисполнения запланированных параметров бюджетов регионов.</w:t>
      </w:r>
      <w:r w:rsidR="009D479D">
        <w:rPr>
          <w:rFonts w:ascii="Times New Roman" w:hAnsi="Times New Roman"/>
          <w:sz w:val="28"/>
          <w:szCs w:val="28"/>
        </w:rPr>
        <w:t xml:space="preserve"> </w:t>
      </w:r>
      <w:r w:rsidR="009B7E41">
        <w:rPr>
          <w:rFonts w:ascii="Times New Roman" w:hAnsi="Times New Roman"/>
          <w:sz w:val="28"/>
          <w:szCs w:val="28"/>
        </w:rPr>
        <w:t>Так, р</w:t>
      </w:r>
      <w:r w:rsidR="00D06F2D">
        <w:rPr>
          <w:rFonts w:ascii="Times New Roman" w:hAnsi="Times New Roman"/>
          <w:sz w:val="28"/>
          <w:szCs w:val="28"/>
        </w:rPr>
        <w:t xml:space="preserve">ядом регионов отмечается риск невыполнения плановых показателей на 2022 год по налогу на прибыль организаций, НДФЛ, </w:t>
      </w:r>
      <w:r w:rsidR="00D06F2D" w:rsidRPr="00845987">
        <w:rPr>
          <w:rFonts w:ascii="Times New Roman" w:hAnsi="Times New Roman"/>
          <w:sz w:val="28"/>
          <w:szCs w:val="28"/>
        </w:rPr>
        <w:t>налогам на совокупный доход</w:t>
      </w:r>
      <w:r w:rsidR="00D06F2D">
        <w:rPr>
          <w:rFonts w:ascii="Times New Roman" w:hAnsi="Times New Roman"/>
          <w:sz w:val="28"/>
          <w:szCs w:val="28"/>
        </w:rPr>
        <w:t xml:space="preserve"> (</w:t>
      </w:r>
      <w:r w:rsidR="00D06F2D" w:rsidRPr="00845987">
        <w:rPr>
          <w:rFonts w:ascii="Times New Roman" w:hAnsi="Times New Roman"/>
          <w:sz w:val="28"/>
          <w:szCs w:val="28"/>
        </w:rPr>
        <w:t>Республика Алтай,</w:t>
      </w:r>
      <w:r w:rsidR="00D06F2D" w:rsidRPr="00E84EB7">
        <w:rPr>
          <w:rFonts w:ascii="Times New Roman" w:hAnsi="Times New Roman"/>
          <w:sz w:val="28"/>
          <w:szCs w:val="28"/>
        </w:rPr>
        <w:t xml:space="preserve"> Республика Карелия, Республика Татарстан, </w:t>
      </w:r>
      <w:r w:rsidR="00D06F2D">
        <w:rPr>
          <w:rFonts w:ascii="Times New Roman" w:hAnsi="Times New Roman"/>
          <w:sz w:val="28"/>
          <w:szCs w:val="28"/>
        </w:rPr>
        <w:t xml:space="preserve">Республика Тыва, </w:t>
      </w:r>
      <w:r w:rsidR="00D06F2D" w:rsidRPr="00E84EB7">
        <w:rPr>
          <w:rFonts w:ascii="Times New Roman" w:hAnsi="Times New Roman"/>
          <w:sz w:val="28"/>
          <w:szCs w:val="28"/>
        </w:rPr>
        <w:t>Республика Хакасия,</w:t>
      </w:r>
      <w:r w:rsidR="00D06F2D" w:rsidRPr="00845987">
        <w:rPr>
          <w:rFonts w:ascii="Times New Roman" w:hAnsi="Times New Roman"/>
          <w:sz w:val="28"/>
          <w:szCs w:val="28"/>
        </w:rPr>
        <w:t xml:space="preserve"> Забайкальский край, Архангельская, Костромская, </w:t>
      </w:r>
      <w:r w:rsidR="00D06F2D">
        <w:rPr>
          <w:rFonts w:ascii="Times New Roman" w:hAnsi="Times New Roman"/>
          <w:sz w:val="28"/>
          <w:szCs w:val="28"/>
        </w:rPr>
        <w:t xml:space="preserve">Новосибирская, </w:t>
      </w:r>
      <w:r w:rsidR="00D06F2D" w:rsidRPr="00D06F2D">
        <w:rPr>
          <w:rFonts w:ascii="Times New Roman" w:hAnsi="Times New Roman"/>
          <w:sz w:val="28"/>
          <w:szCs w:val="28"/>
        </w:rPr>
        <w:t>Тверск</w:t>
      </w:r>
      <w:r w:rsidR="00D06F2D">
        <w:rPr>
          <w:rFonts w:ascii="Times New Roman" w:hAnsi="Times New Roman"/>
          <w:sz w:val="28"/>
          <w:szCs w:val="28"/>
        </w:rPr>
        <w:t xml:space="preserve">ая, </w:t>
      </w:r>
      <w:r w:rsidR="00D06F2D" w:rsidRPr="00D06F2D">
        <w:rPr>
          <w:rFonts w:ascii="Times New Roman" w:hAnsi="Times New Roman"/>
          <w:sz w:val="28"/>
          <w:szCs w:val="28"/>
        </w:rPr>
        <w:t>Томская</w:t>
      </w:r>
      <w:r w:rsidR="00D06F2D">
        <w:rPr>
          <w:rFonts w:ascii="Times New Roman" w:hAnsi="Times New Roman"/>
          <w:sz w:val="28"/>
          <w:szCs w:val="28"/>
        </w:rPr>
        <w:t xml:space="preserve"> области и другие).</w:t>
      </w:r>
    </w:p>
    <w:p w14:paraId="4615E18B" w14:textId="77777777" w:rsidR="002F458B" w:rsidRDefault="003A7815" w:rsidP="00FF70EF">
      <w:pPr>
        <w:spacing w:after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D06F2D">
        <w:rPr>
          <w:rFonts w:ascii="Times New Roman" w:hAnsi="Times New Roman"/>
          <w:sz w:val="28"/>
          <w:szCs w:val="28"/>
        </w:rPr>
        <w:t>существует риск роста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F2D">
        <w:rPr>
          <w:rFonts w:ascii="Times New Roman" w:hAnsi="Times New Roman" w:cs="Times New Roman"/>
          <w:sz w:val="28"/>
          <w:szCs w:val="28"/>
        </w:rPr>
        <w:t>п</w:t>
      </w:r>
      <w:r w:rsidR="002F458B" w:rsidRPr="00D06F2D">
        <w:rPr>
          <w:rFonts w:ascii="Times New Roman" w:hAnsi="Times New Roman" w:cs="Times New Roman"/>
          <w:sz w:val="28"/>
          <w:szCs w:val="28"/>
        </w:rPr>
        <w:t>отребност</w:t>
      </w:r>
      <w:r w:rsidR="00D06F2D">
        <w:rPr>
          <w:rFonts w:ascii="Times New Roman" w:hAnsi="Times New Roman" w:cs="Times New Roman"/>
          <w:sz w:val="28"/>
          <w:szCs w:val="28"/>
        </w:rPr>
        <w:t>и</w:t>
      </w:r>
      <w:r w:rsidR="002F458B" w:rsidRPr="00D06F2D">
        <w:rPr>
          <w:rFonts w:ascii="Times New Roman" w:hAnsi="Times New Roman" w:cs="Times New Roman"/>
          <w:sz w:val="28"/>
          <w:szCs w:val="28"/>
        </w:rPr>
        <w:t xml:space="preserve"> в бюджетных расходах в связи с необходимостью финансирования первоочередных расходов, в том числе в рамках выполнения Указа Президента Российской Федерации от 16 марта 2022 г. № 121 «О мерах по обеспечению социально-экономической стабильности и защиты населения в Российской Федерации».</w:t>
      </w:r>
      <w:r w:rsidR="002F458B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507A5E12" w14:textId="77777777" w:rsidR="00F351F3" w:rsidRPr="00A64ED3" w:rsidRDefault="00F351F3" w:rsidP="00FF70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196FD8">
        <w:rPr>
          <w:rFonts w:ascii="Times New Roman" w:hAnsi="Times New Roman"/>
          <w:sz w:val="28"/>
          <w:szCs w:val="28"/>
        </w:rPr>
        <w:t>Структура по основным видам поступлений в консолидированные бюджеты субъектов Российской Федерации в</w:t>
      </w:r>
      <w:r w:rsidR="00196FD8" w:rsidRPr="00196FD8">
        <w:rPr>
          <w:rFonts w:ascii="Times New Roman" w:hAnsi="Times New Roman"/>
          <w:sz w:val="28"/>
          <w:szCs w:val="28"/>
        </w:rPr>
        <w:t xml:space="preserve"> </w:t>
      </w:r>
      <w:r w:rsidR="00196FD8" w:rsidRPr="00196FD8">
        <w:rPr>
          <w:rFonts w:ascii="Times New Roman" w:hAnsi="Times New Roman"/>
          <w:sz w:val="28"/>
          <w:szCs w:val="28"/>
          <w:lang w:val="en-US"/>
        </w:rPr>
        <w:t>I</w:t>
      </w:r>
      <w:r w:rsidR="00196FD8" w:rsidRPr="00196FD8">
        <w:rPr>
          <w:rFonts w:ascii="Times New Roman" w:hAnsi="Times New Roman"/>
          <w:sz w:val="28"/>
          <w:szCs w:val="28"/>
        </w:rPr>
        <w:t xml:space="preserve"> квартале</w:t>
      </w:r>
      <w:r w:rsidRPr="00196FD8">
        <w:rPr>
          <w:rFonts w:ascii="Times New Roman" w:hAnsi="Times New Roman"/>
          <w:sz w:val="28"/>
          <w:szCs w:val="28"/>
        </w:rPr>
        <w:t xml:space="preserve"> 202</w:t>
      </w:r>
      <w:r w:rsidR="00196FD8" w:rsidRPr="00196FD8">
        <w:rPr>
          <w:rFonts w:ascii="Times New Roman" w:hAnsi="Times New Roman"/>
          <w:sz w:val="28"/>
          <w:szCs w:val="28"/>
        </w:rPr>
        <w:t>2</w:t>
      </w:r>
      <w:r w:rsidRPr="00196FD8">
        <w:rPr>
          <w:rFonts w:ascii="Times New Roman" w:hAnsi="Times New Roman"/>
          <w:sz w:val="28"/>
          <w:szCs w:val="28"/>
        </w:rPr>
        <w:t xml:space="preserve"> год</w:t>
      </w:r>
      <w:r w:rsidR="00196FD8" w:rsidRPr="00196FD8">
        <w:rPr>
          <w:rFonts w:ascii="Times New Roman" w:hAnsi="Times New Roman"/>
          <w:sz w:val="28"/>
          <w:szCs w:val="28"/>
        </w:rPr>
        <w:t>а</w:t>
      </w:r>
      <w:r w:rsidRPr="00196FD8">
        <w:rPr>
          <w:rFonts w:ascii="Times New Roman" w:hAnsi="Times New Roman"/>
          <w:sz w:val="28"/>
          <w:szCs w:val="28"/>
        </w:rPr>
        <w:t xml:space="preserve"> </w:t>
      </w:r>
      <w:r w:rsidRPr="00A64ED3">
        <w:rPr>
          <w:rFonts w:ascii="Times New Roman" w:hAnsi="Times New Roman"/>
          <w:sz w:val="28"/>
          <w:szCs w:val="28"/>
        </w:rPr>
        <w:t>отражена в таблице 2.</w:t>
      </w:r>
    </w:p>
    <w:p w14:paraId="6DEFA013" w14:textId="77777777" w:rsidR="00FF70EF" w:rsidRDefault="00FF70EF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14:paraId="1CDCFA62" w14:textId="77777777" w:rsidR="00FF70EF" w:rsidRDefault="00FF70EF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14:paraId="647E3048" w14:textId="77777777" w:rsidR="00FF70EF" w:rsidRDefault="00FF70EF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14:paraId="580F1A37" w14:textId="77777777" w:rsidR="00FF70EF" w:rsidRDefault="00FF70EF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14:paraId="566D8493" w14:textId="77777777" w:rsidR="00FF70EF" w:rsidRDefault="00FF70EF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p w14:paraId="0177CACF" w14:textId="77777777" w:rsidR="00F351F3" w:rsidRPr="00A64ED3" w:rsidRDefault="00F351F3" w:rsidP="00F351F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A64ED3">
        <w:rPr>
          <w:rFonts w:ascii="Times New Roman" w:hAnsi="Times New Roman"/>
          <w:sz w:val="24"/>
          <w:szCs w:val="28"/>
        </w:rPr>
        <w:lastRenderedPageBreak/>
        <w:t>Таблица 2</w:t>
      </w:r>
    </w:p>
    <w:p w14:paraId="6BAC1ABF" w14:textId="77777777" w:rsidR="00F351F3" w:rsidRPr="00A64ED3" w:rsidRDefault="00F351F3" w:rsidP="00F35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8B1064" w14:textId="4ACE8F6E" w:rsidR="00F03FE0" w:rsidRPr="00AC4D29" w:rsidRDefault="00FF70EF" w:rsidP="00F35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object w:dxaOrig="11397" w:dyaOrig="4970" w14:anchorId="75A2B68E">
          <v:shape id="_x0000_i1026" type="#_x0000_t75" style="width:455.25pt;height:198pt" o:ole="">
            <v:imagedata r:id="rId12" o:title=""/>
          </v:shape>
          <o:OLEObject Type="Embed" ProgID="Excel.Sheet.12" ShapeID="_x0000_i1026" DrawAspect="Content" ObjectID="_1714917939" r:id="rId13"/>
        </w:object>
      </w:r>
    </w:p>
    <w:p w14:paraId="4283D804" w14:textId="77777777" w:rsidR="00FF70EF" w:rsidRPr="00FF70EF" w:rsidRDefault="00FF70EF" w:rsidP="00F351F3">
      <w:pPr>
        <w:spacing w:after="0" w:line="235" w:lineRule="auto"/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14:paraId="2600AD36" w14:textId="77777777" w:rsidR="00F351F3" w:rsidRDefault="00F351F3" w:rsidP="00F351F3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98F">
        <w:rPr>
          <w:rFonts w:ascii="Times New Roman" w:hAnsi="Times New Roman"/>
          <w:b/>
          <w:sz w:val="28"/>
          <w:szCs w:val="28"/>
        </w:rPr>
        <w:t>Налоговые и неналоговые доходы</w:t>
      </w:r>
      <w:r w:rsidRPr="00B0198F">
        <w:rPr>
          <w:rFonts w:ascii="Times New Roman" w:hAnsi="Times New Roman"/>
          <w:sz w:val="28"/>
          <w:szCs w:val="28"/>
        </w:rPr>
        <w:t xml:space="preserve"> регионов выросли </w:t>
      </w:r>
      <w:r w:rsidR="00A14E4A">
        <w:rPr>
          <w:rFonts w:ascii="Times New Roman" w:hAnsi="Times New Roman"/>
          <w:sz w:val="28"/>
          <w:szCs w:val="28"/>
        </w:rPr>
        <w:t xml:space="preserve">в целом </w:t>
      </w:r>
      <w:r w:rsidR="00A14E4A" w:rsidRPr="00B0198F">
        <w:rPr>
          <w:rFonts w:ascii="Times New Roman" w:hAnsi="Times New Roman"/>
          <w:sz w:val="28"/>
          <w:szCs w:val="28"/>
        </w:rPr>
        <w:t xml:space="preserve">на </w:t>
      </w:r>
      <w:r w:rsidR="00A14E4A">
        <w:rPr>
          <w:rFonts w:ascii="Times New Roman" w:hAnsi="Times New Roman"/>
          <w:sz w:val="28"/>
          <w:szCs w:val="28"/>
        </w:rPr>
        <w:t>31,1 </w:t>
      </w:r>
      <w:r w:rsidR="00A14E4A" w:rsidRPr="00B0198F">
        <w:rPr>
          <w:rFonts w:ascii="Times New Roman" w:hAnsi="Times New Roman"/>
          <w:sz w:val="28"/>
          <w:szCs w:val="28"/>
        </w:rPr>
        <w:t>%</w:t>
      </w:r>
      <w:r w:rsidR="00A14E4A">
        <w:rPr>
          <w:rFonts w:ascii="Times New Roman" w:hAnsi="Times New Roman"/>
          <w:sz w:val="28"/>
          <w:szCs w:val="28"/>
        </w:rPr>
        <w:t xml:space="preserve"> </w:t>
      </w:r>
      <w:r w:rsidRPr="00B0198F">
        <w:rPr>
          <w:rFonts w:ascii="Times New Roman" w:hAnsi="Times New Roman"/>
          <w:sz w:val="28"/>
          <w:szCs w:val="28"/>
        </w:rPr>
        <w:t>по всем доходным источникам, практически во всех регионах (за исключением</w:t>
      </w:r>
      <w:r w:rsidR="00B0198F" w:rsidRPr="00B0198F">
        <w:rPr>
          <w:rFonts w:ascii="Times New Roman" w:hAnsi="Times New Roman"/>
          <w:sz w:val="28"/>
          <w:szCs w:val="28"/>
        </w:rPr>
        <w:t xml:space="preserve"> Республики Бурятия и</w:t>
      </w:r>
      <w:r w:rsidRPr="00B0198F">
        <w:rPr>
          <w:rFonts w:ascii="Times New Roman" w:hAnsi="Times New Roman"/>
          <w:sz w:val="28"/>
          <w:szCs w:val="28"/>
        </w:rPr>
        <w:t xml:space="preserve"> </w:t>
      </w:r>
      <w:r w:rsidR="00B0198F" w:rsidRPr="00B0198F">
        <w:rPr>
          <w:rFonts w:ascii="Times New Roman" w:hAnsi="Times New Roman"/>
          <w:sz w:val="28"/>
          <w:szCs w:val="28"/>
        </w:rPr>
        <w:t>Мурманской области</w:t>
      </w:r>
      <w:r w:rsidRPr="00B0198F">
        <w:rPr>
          <w:rFonts w:ascii="Times New Roman" w:hAnsi="Times New Roman"/>
          <w:sz w:val="28"/>
          <w:szCs w:val="28"/>
        </w:rPr>
        <w:t xml:space="preserve">). </w:t>
      </w:r>
    </w:p>
    <w:p w14:paraId="42C5FC4D" w14:textId="1D6FF328" w:rsidR="00FF686C" w:rsidRPr="00B0198F" w:rsidRDefault="00FF686C" w:rsidP="00FF686C">
      <w:pPr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FF686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CFFBB4" wp14:editId="7B7951FF">
            <wp:extent cx="46482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301C524" w14:textId="66E38DDB" w:rsidR="00F351F3" w:rsidRPr="00D90226" w:rsidRDefault="00F351F3" w:rsidP="003C2132">
      <w:pPr>
        <w:spacing w:after="0" w:line="235" w:lineRule="auto"/>
        <w:jc w:val="center"/>
        <w:rPr>
          <w:rFonts w:ascii="Times New Roman" w:hAnsi="Times New Roman"/>
          <w:color w:val="FF0000"/>
          <w:sz w:val="2"/>
          <w:szCs w:val="2"/>
        </w:rPr>
      </w:pPr>
    </w:p>
    <w:p w14:paraId="784B9BBE" w14:textId="77777777" w:rsidR="00FF686C" w:rsidRPr="00FF686C" w:rsidRDefault="00FF686C" w:rsidP="00414967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75F4A55B" w14:textId="77777777" w:rsidR="00F351F3" w:rsidRPr="00C87C38" w:rsidRDefault="00F351F3" w:rsidP="00414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98F">
        <w:rPr>
          <w:rFonts w:ascii="Times New Roman" w:hAnsi="Times New Roman"/>
          <w:sz w:val="28"/>
          <w:szCs w:val="28"/>
        </w:rPr>
        <w:t>Основной рост доходов обеспечил</w:t>
      </w:r>
      <w:r w:rsidR="00B0198F">
        <w:rPr>
          <w:rFonts w:ascii="Times New Roman" w:hAnsi="Times New Roman"/>
          <w:sz w:val="28"/>
          <w:szCs w:val="28"/>
        </w:rPr>
        <w:t>и</w:t>
      </w:r>
      <w:r w:rsidRPr="00B0198F">
        <w:rPr>
          <w:rFonts w:ascii="Times New Roman" w:hAnsi="Times New Roman"/>
          <w:sz w:val="28"/>
          <w:szCs w:val="28"/>
        </w:rPr>
        <w:t xml:space="preserve"> опережающи</w:t>
      </w:r>
      <w:r w:rsidR="007374B5">
        <w:rPr>
          <w:rFonts w:ascii="Times New Roman" w:hAnsi="Times New Roman"/>
          <w:sz w:val="28"/>
          <w:szCs w:val="28"/>
        </w:rPr>
        <w:t>е</w:t>
      </w:r>
      <w:r w:rsidRPr="00B0198F">
        <w:rPr>
          <w:rFonts w:ascii="Times New Roman" w:hAnsi="Times New Roman"/>
          <w:sz w:val="28"/>
          <w:szCs w:val="28"/>
        </w:rPr>
        <w:t xml:space="preserve"> темп</w:t>
      </w:r>
      <w:r w:rsidR="007374B5">
        <w:rPr>
          <w:rFonts w:ascii="Times New Roman" w:hAnsi="Times New Roman"/>
          <w:sz w:val="28"/>
          <w:szCs w:val="28"/>
        </w:rPr>
        <w:t>ы</w:t>
      </w:r>
      <w:r w:rsidRPr="00B0198F">
        <w:rPr>
          <w:rFonts w:ascii="Times New Roman" w:hAnsi="Times New Roman"/>
          <w:sz w:val="28"/>
          <w:szCs w:val="28"/>
        </w:rPr>
        <w:t xml:space="preserve"> роста </w:t>
      </w:r>
      <w:r w:rsidRPr="00B0198F">
        <w:rPr>
          <w:rFonts w:ascii="Times New Roman" w:hAnsi="Times New Roman"/>
          <w:b/>
          <w:sz w:val="28"/>
          <w:szCs w:val="28"/>
        </w:rPr>
        <w:t>налога на прибыль организаций</w:t>
      </w:r>
      <w:r w:rsidRPr="00B0198F">
        <w:rPr>
          <w:rFonts w:ascii="Times New Roman" w:hAnsi="Times New Roman"/>
          <w:sz w:val="28"/>
          <w:szCs w:val="28"/>
        </w:rPr>
        <w:t xml:space="preserve"> (</w:t>
      </w:r>
      <w:r w:rsidR="00B0198F" w:rsidRPr="00B0198F">
        <w:rPr>
          <w:rFonts w:ascii="Times New Roman" w:hAnsi="Times New Roman"/>
          <w:sz w:val="28"/>
          <w:szCs w:val="28"/>
        </w:rPr>
        <w:t>146,8</w:t>
      </w:r>
      <w:r w:rsidRPr="00B0198F">
        <w:rPr>
          <w:rFonts w:ascii="Times New Roman" w:hAnsi="Times New Roman"/>
          <w:sz w:val="28"/>
          <w:szCs w:val="28"/>
        </w:rPr>
        <w:t xml:space="preserve"> %)</w:t>
      </w:r>
      <w:r w:rsidR="00B0198F" w:rsidRPr="00B0198F">
        <w:rPr>
          <w:rFonts w:ascii="Times New Roman" w:hAnsi="Times New Roman"/>
          <w:sz w:val="28"/>
          <w:szCs w:val="28"/>
        </w:rPr>
        <w:t xml:space="preserve"> и </w:t>
      </w:r>
      <w:r w:rsidR="00B0198F" w:rsidRPr="007374B5">
        <w:rPr>
          <w:rFonts w:ascii="Times New Roman" w:hAnsi="Times New Roman"/>
          <w:b/>
          <w:sz w:val="28"/>
          <w:szCs w:val="28"/>
        </w:rPr>
        <w:t>НДФЛ</w:t>
      </w:r>
      <w:r w:rsidR="00B0198F" w:rsidRPr="00B0198F">
        <w:rPr>
          <w:rFonts w:ascii="Times New Roman" w:hAnsi="Times New Roman"/>
          <w:sz w:val="28"/>
          <w:szCs w:val="28"/>
        </w:rPr>
        <w:t xml:space="preserve"> (124,2 %)</w:t>
      </w:r>
      <w:r w:rsidRPr="00B0198F">
        <w:rPr>
          <w:rFonts w:ascii="Times New Roman" w:hAnsi="Times New Roman"/>
          <w:sz w:val="28"/>
          <w:szCs w:val="28"/>
        </w:rPr>
        <w:t xml:space="preserve">. </w:t>
      </w:r>
    </w:p>
    <w:p w14:paraId="45788581" w14:textId="75C92F23" w:rsidR="009C18DF" w:rsidRPr="00712008" w:rsidRDefault="00F351F3" w:rsidP="00414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C38">
        <w:rPr>
          <w:rFonts w:ascii="Times New Roman" w:hAnsi="Times New Roman"/>
          <w:sz w:val="28"/>
          <w:szCs w:val="28"/>
        </w:rPr>
        <w:t xml:space="preserve">Динамика поступлений </w:t>
      </w:r>
      <w:r w:rsidRPr="00A14E4A">
        <w:rPr>
          <w:rFonts w:ascii="Times New Roman" w:hAnsi="Times New Roman"/>
          <w:b/>
          <w:sz w:val="28"/>
          <w:szCs w:val="28"/>
        </w:rPr>
        <w:t>налога на прибыль организаций</w:t>
      </w:r>
      <w:r w:rsidRPr="00712008">
        <w:rPr>
          <w:rFonts w:ascii="Times New Roman" w:hAnsi="Times New Roman"/>
          <w:sz w:val="28"/>
          <w:szCs w:val="28"/>
        </w:rPr>
        <w:t xml:space="preserve"> в консолидированные бюджеты субъектов Российской Федерации существенно различа</w:t>
      </w:r>
      <w:r w:rsidR="00620159" w:rsidRPr="00712008">
        <w:rPr>
          <w:rFonts w:ascii="Times New Roman" w:hAnsi="Times New Roman"/>
          <w:sz w:val="28"/>
          <w:szCs w:val="28"/>
        </w:rPr>
        <w:t>ется</w:t>
      </w:r>
      <w:r w:rsidRPr="00712008">
        <w:rPr>
          <w:rFonts w:ascii="Times New Roman" w:hAnsi="Times New Roman"/>
          <w:sz w:val="28"/>
          <w:szCs w:val="28"/>
        </w:rPr>
        <w:t xml:space="preserve"> по регионам. Выше </w:t>
      </w:r>
      <w:r w:rsidRPr="00354A12">
        <w:rPr>
          <w:rFonts w:ascii="Times New Roman" w:hAnsi="Times New Roman"/>
          <w:sz w:val="28"/>
          <w:szCs w:val="28"/>
        </w:rPr>
        <w:t>среднего уровня (</w:t>
      </w:r>
      <w:r w:rsidR="00620159" w:rsidRPr="00354A12">
        <w:rPr>
          <w:rFonts w:ascii="Times New Roman" w:hAnsi="Times New Roman"/>
          <w:sz w:val="28"/>
          <w:szCs w:val="28"/>
        </w:rPr>
        <w:t>146,8</w:t>
      </w:r>
      <w:r w:rsidRPr="00354A12">
        <w:rPr>
          <w:rFonts w:ascii="Times New Roman" w:hAnsi="Times New Roman"/>
          <w:sz w:val="28"/>
          <w:szCs w:val="28"/>
        </w:rPr>
        <w:t xml:space="preserve"> %) </w:t>
      </w:r>
      <w:r w:rsidR="00620159" w:rsidRPr="00354A12">
        <w:rPr>
          <w:rFonts w:ascii="Times New Roman" w:hAnsi="Times New Roman"/>
          <w:sz w:val="28"/>
          <w:szCs w:val="28"/>
        </w:rPr>
        <w:t>поступления налога составили в 35</w:t>
      </w:r>
      <w:r w:rsidRPr="00354A12">
        <w:rPr>
          <w:rFonts w:ascii="Times New Roman" w:hAnsi="Times New Roman"/>
          <w:sz w:val="28"/>
          <w:szCs w:val="28"/>
        </w:rPr>
        <w:t xml:space="preserve"> регионах, из них наибольший тем</w:t>
      </w:r>
      <w:r w:rsidR="00A2360E">
        <w:rPr>
          <w:rFonts w:ascii="Times New Roman" w:hAnsi="Times New Roman"/>
          <w:sz w:val="28"/>
          <w:szCs w:val="28"/>
        </w:rPr>
        <w:t>п</w:t>
      </w:r>
      <w:r w:rsidRPr="00354A12">
        <w:rPr>
          <w:rFonts w:ascii="Times New Roman" w:hAnsi="Times New Roman"/>
          <w:sz w:val="28"/>
          <w:szCs w:val="28"/>
        </w:rPr>
        <w:t xml:space="preserve"> роста в </w:t>
      </w:r>
      <w:proofErr w:type="spellStart"/>
      <w:r w:rsidR="00DE7DA8">
        <w:rPr>
          <w:rFonts w:ascii="Times New Roman" w:hAnsi="Times New Roman"/>
          <w:sz w:val="28"/>
          <w:szCs w:val="28"/>
        </w:rPr>
        <w:t>нефте</w:t>
      </w:r>
      <w:proofErr w:type="spellEnd"/>
      <w:r w:rsidR="00DE7DA8">
        <w:rPr>
          <w:rFonts w:ascii="Times New Roman" w:hAnsi="Times New Roman"/>
          <w:sz w:val="28"/>
          <w:szCs w:val="28"/>
        </w:rPr>
        <w:t xml:space="preserve">- и угледобывающих, а также </w:t>
      </w:r>
      <w:r w:rsidRPr="00354A12">
        <w:rPr>
          <w:rFonts w:ascii="Times New Roman" w:hAnsi="Times New Roman"/>
          <w:sz w:val="28"/>
          <w:szCs w:val="28"/>
        </w:rPr>
        <w:t>металлургических регионах (от 1,</w:t>
      </w:r>
      <w:r w:rsidR="00712008">
        <w:rPr>
          <w:rFonts w:ascii="Times New Roman" w:hAnsi="Times New Roman"/>
          <w:sz w:val="28"/>
          <w:szCs w:val="28"/>
        </w:rPr>
        <w:t>5</w:t>
      </w:r>
      <w:r w:rsidRPr="00354A12">
        <w:rPr>
          <w:rFonts w:ascii="Times New Roman" w:hAnsi="Times New Roman"/>
          <w:sz w:val="28"/>
          <w:szCs w:val="28"/>
        </w:rPr>
        <w:t xml:space="preserve"> раза в </w:t>
      </w:r>
      <w:r w:rsidR="00DE7DA8" w:rsidRPr="00C87C38">
        <w:rPr>
          <w:rFonts w:ascii="Times New Roman" w:hAnsi="Times New Roman"/>
          <w:sz w:val="28"/>
          <w:szCs w:val="28"/>
        </w:rPr>
        <w:t xml:space="preserve">Сахалинской </w:t>
      </w:r>
      <w:r w:rsidR="00DE7DA8">
        <w:rPr>
          <w:rFonts w:ascii="Times New Roman" w:hAnsi="Times New Roman"/>
          <w:sz w:val="28"/>
          <w:szCs w:val="28"/>
        </w:rPr>
        <w:t xml:space="preserve">области </w:t>
      </w:r>
      <w:r w:rsidRPr="00C87C38">
        <w:rPr>
          <w:rFonts w:ascii="Times New Roman" w:hAnsi="Times New Roman"/>
          <w:sz w:val="28"/>
          <w:szCs w:val="28"/>
        </w:rPr>
        <w:t xml:space="preserve">до в </w:t>
      </w:r>
      <w:r w:rsidR="00620159" w:rsidRPr="00C87C38">
        <w:rPr>
          <w:rFonts w:ascii="Times New Roman" w:hAnsi="Times New Roman"/>
          <w:sz w:val="28"/>
          <w:szCs w:val="28"/>
        </w:rPr>
        <w:t>4,8</w:t>
      </w:r>
      <w:r w:rsidRPr="00C87C38">
        <w:rPr>
          <w:rFonts w:ascii="Times New Roman" w:hAnsi="Times New Roman"/>
          <w:sz w:val="28"/>
          <w:szCs w:val="28"/>
        </w:rPr>
        <w:t xml:space="preserve"> раза в </w:t>
      </w:r>
      <w:r w:rsidR="00620159" w:rsidRPr="00C87C38">
        <w:rPr>
          <w:rFonts w:ascii="Times New Roman" w:hAnsi="Times New Roman"/>
          <w:sz w:val="28"/>
          <w:szCs w:val="28"/>
        </w:rPr>
        <w:t>Кемеровской области</w:t>
      </w:r>
      <w:r w:rsidR="00DE7DA8">
        <w:rPr>
          <w:rFonts w:ascii="Times New Roman" w:hAnsi="Times New Roman"/>
          <w:sz w:val="28"/>
          <w:szCs w:val="28"/>
        </w:rPr>
        <w:t>)</w:t>
      </w:r>
      <w:r w:rsidRPr="00C87C38">
        <w:rPr>
          <w:rFonts w:ascii="Times New Roman" w:hAnsi="Times New Roman"/>
          <w:sz w:val="28"/>
          <w:szCs w:val="28"/>
        </w:rPr>
        <w:t xml:space="preserve">. Незначительный рост налога на прибыль организаций сложился </w:t>
      </w:r>
      <w:r w:rsidRPr="00712008">
        <w:rPr>
          <w:rFonts w:ascii="Times New Roman" w:hAnsi="Times New Roman"/>
          <w:sz w:val="28"/>
          <w:szCs w:val="28"/>
        </w:rPr>
        <w:t xml:space="preserve">в </w:t>
      </w:r>
      <w:r w:rsidR="00712008" w:rsidRPr="00712008">
        <w:rPr>
          <w:rFonts w:ascii="Times New Roman" w:hAnsi="Times New Roman"/>
          <w:sz w:val="28"/>
          <w:szCs w:val="28"/>
        </w:rPr>
        <w:t>Московской</w:t>
      </w:r>
      <w:r w:rsidRPr="00712008">
        <w:rPr>
          <w:rFonts w:ascii="Times New Roman" w:hAnsi="Times New Roman"/>
          <w:sz w:val="28"/>
          <w:szCs w:val="28"/>
        </w:rPr>
        <w:t xml:space="preserve"> </w:t>
      </w:r>
      <w:r w:rsidR="00712008" w:rsidRPr="00712008">
        <w:rPr>
          <w:rFonts w:ascii="Times New Roman" w:hAnsi="Times New Roman"/>
          <w:sz w:val="28"/>
          <w:szCs w:val="28"/>
        </w:rPr>
        <w:t xml:space="preserve">области </w:t>
      </w:r>
      <w:r w:rsidRPr="00712008">
        <w:rPr>
          <w:rFonts w:ascii="Times New Roman" w:hAnsi="Times New Roman"/>
          <w:sz w:val="28"/>
          <w:szCs w:val="28"/>
        </w:rPr>
        <w:t xml:space="preserve">(на </w:t>
      </w:r>
      <w:r w:rsidR="00712008" w:rsidRPr="00712008">
        <w:rPr>
          <w:rFonts w:ascii="Times New Roman" w:hAnsi="Times New Roman"/>
          <w:sz w:val="28"/>
          <w:szCs w:val="28"/>
        </w:rPr>
        <w:t>1</w:t>
      </w:r>
      <w:r w:rsidR="00DE7DA8">
        <w:rPr>
          <w:rFonts w:ascii="Times New Roman" w:hAnsi="Times New Roman"/>
          <w:sz w:val="28"/>
          <w:szCs w:val="28"/>
        </w:rPr>
        <w:t> </w:t>
      </w:r>
      <w:r w:rsidRPr="00712008">
        <w:rPr>
          <w:rFonts w:ascii="Times New Roman" w:hAnsi="Times New Roman"/>
          <w:sz w:val="28"/>
          <w:szCs w:val="28"/>
        </w:rPr>
        <w:t xml:space="preserve">%), </w:t>
      </w:r>
      <w:r w:rsidR="00712008" w:rsidRPr="00712008">
        <w:rPr>
          <w:rFonts w:ascii="Times New Roman" w:hAnsi="Times New Roman"/>
          <w:sz w:val="28"/>
          <w:szCs w:val="28"/>
        </w:rPr>
        <w:t>Республик</w:t>
      </w:r>
      <w:r w:rsidR="00C87C38">
        <w:rPr>
          <w:rFonts w:ascii="Times New Roman" w:hAnsi="Times New Roman"/>
          <w:sz w:val="28"/>
          <w:szCs w:val="28"/>
        </w:rPr>
        <w:t>е</w:t>
      </w:r>
      <w:r w:rsidR="00712008" w:rsidRPr="00712008">
        <w:rPr>
          <w:rFonts w:ascii="Times New Roman" w:hAnsi="Times New Roman"/>
          <w:sz w:val="28"/>
          <w:szCs w:val="28"/>
        </w:rPr>
        <w:t xml:space="preserve"> Мордовия</w:t>
      </w:r>
      <w:r w:rsidRPr="00712008">
        <w:rPr>
          <w:rFonts w:ascii="Times New Roman" w:hAnsi="Times New Roman"/>
          <w:sz w:val="28"/>
          <w:szCs w:val="28"/>
        </w:rPr>
        <w:t xml:space="preserve"> (на </w:t>
      </w:r>
      <w:r w:rsidR="00712008" w:rsidRPr="00712008">
        <w:rPr>
          <w:rFonts w:ascii="Times New Roman" w:hAnsi="Times New Roman"/>
          <w:sz w:val="28"/>
          <w:szCs w:val="28"/>
        </w:rPr>
        <w:t>1,5</w:t>
      </w:r>
      <w:r w:rsidRPr="00712008">
        <w:rPr>
          <w:rFonts w:ascii="Times New Roman" w:hAnsi="Times New Roman"/>
          <w:sz w:val="28"/>
          <w:szCs w:val="28"/>
        </w:rPr>
        <w:t xml:space="preserve"> %) и </w:t>
      </w:r>
      <w:r w:rsidR="00712008" w:rsidRPr="00712008">
        <w:rPr>
          <w:rFonts w:ascii="Times New Roman" w:hAnsi="Times New Roman"/>
          <w:sz w:val="28"/>
          <w:szCs w:val="28"/>
        </w:rPr>
        <w:t>Белгородской области</w:t>
      </w:r>
      <w:r w:rsidRPr="00712008">
        <w:rPr>
          <w:rFonts w:ascii="Times New Roman" w:hAnsi="Times New Roman"/>
          <w:sz w:val="28"/>
          <w:szCs w:val="28"/>
        </w:rPr>
        <w:t xml:space="preserve"> (на </w:t>
      </w:r>
      <w:r w:rsidR="00712008" w:rsidRPr="00712008">
        <w:rPr>
          <w:rFonts w:ascii="Times New Roman" w:hAnsi="Times New Roman"/>
          <w:sz w:val="28"/>
          <w:szCs w:val="28"/>
        </w:rPr>
        <w:t>1,6</w:t>
      </w:r>
      <w:r w:rsidRPr="00712008">
        <w:rPr>
          <w:rFonts w:ascii="Times New Roman" w:hAnsi="Times New Roman"/>
          <w:sz w:val="28"/>
          <w:szCs w:val="28"/>
        </w:rPr>
        <w:t xml:space="preserve"> %). </w:t>
      </w:r>
      <w:r w:rsidR="009C18DF">
        <w:rPr>
          <w:rFonts w:ascii="Times New Roman" w:hAnsi="Times New Roman"/>
          <w:sz w:val="28"/>
          <w:szCs w:val="28"/>
        </w:rPr>
        <w:t>Наибольшая доля прироста налога на прибы</w:t>
      </w:r>
      <w:r w:rsidR="00DE7DA8">
        <w:rPr>
          <w:rFonts w:ascii="Times New Roman" w:hAnsi="Times New Roman"/>
          <w:sz w:val="28"/>
          <w:szCs w:val="28"/>
        </w:rPr>
        <w:t>ль организаций приходится на г. </w:t>
      </w:r>
      <w:r w:rsidR="009C18DF">
        <w:rPr>
          <w:rFonts w:ascii="Times New Roman" w:hAnsi="Times New Roman"/>
          <w:sz w:val="28"/>
          <w:szCs w:val="28"/>
        </w:rPr>
        <w:t>Москву (16,4 %) и г. Санкт-Петербург (11,7 %).</w:t>
      </w:r>
    </w:p>
    <w:p w14:paraId="3BA67091" w14:textId="77777777" w:rsidR="00A71FFC" w:rsidRDefault="00857764" w:rsidP="00414967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На поступления данного налога повлияла</w:t>
      </w:r>
      <w:r w:rsidRPr="001830C5">
        <w:rPr>
          <w:rFonts w:ascii="Times New Roman" w:hAnsi="Times New Roman"/>
          <w:sz w:val="28"/>
          <w:szCs w:val="28"/>
        </w:rPr>
        <w:t xml:space="preserve"> </w:t>
      </w:r>
      <w:r w:rsidRPr="001830C5">
        <w:rPr>
          <w:rFonts w:ascii="Times New Roman" w:eastAsia="Times New Roman" w:hAnsi="Times New Roman" w:cs="Times New Roman"/>
          <w:sz w:val="28"/>
          <w:szCs w:val="28"/>
        </w:rPr>
        <w:t>положительная, начиная со второй половины 2021 года, динамика мировых цен в цветной металлургии, добыв</w:t>
      </w:r>
      <w:r w:rsidR="00C54A49">
        <w:rPr>
          <w:rFonts w:ascii="Times New Roman" w:eastAsia="Times New Roman" w:hAnsi="Times New Roman" w:cs="Times New Roman"/>
          <w:sz w:val="28"/>
          <w:szCs w:val="28"/>
        </w:rPr>
        <w:t>ающей (угольной) промышленности</w:t>
      </w:r>
      <w:r w:rsidRPr="001830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7D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39482F" w14:textId="77777777" w:rsidR="00DE7DA8" w:rsidRDefault="00DE7DA8" w:rsidP="00414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налога на прибыль организаций росли в большинстве сектор</w:t>
      </w:r>
      <w:r w:rsidR="00114ECB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, наибольший вклад (рост по сравнению с аналогичным периодом 2021 года в 2 раза) обеспечили торговля (в том числе оптовая), добыча полезных ископаемых (в том числе добыча угля), сельское, лесное хозяйство, охота, рыболовство, рыбоводство, деятельность в области здравоохранения и социальных услуг. Наибольшую долю прироста поступлений обеспечили оптовая и розничная торговля (39,4 %), добыча полезных ископаемых (29,4 %), производство химических веществ и химических продуктов (7,9 %).</w:t>
      </w:r>
    </w:p>
    <w:p w14:paraId="5F932749" w14:textId="77777777" w:rsidR="00786C1F" w:rsidRDefault="00F351F3" w:rsidP="004149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C1F">
        <w:rPr>
          <w:rFonts w:ascii="Times New Roman" w:hAnsi="Times New Roman"/>
          <w:sz w:val="28"/>
          <w:szCs w:val="28"/>
        </w:rPr>
        <w:t xml:space="preserve">Снизились поступления </w:t>
      </w:r>
      <w:r w:rsidR="009D479D">
        <w:rPr>
          <w:rFonts w:ascii="Times New Roman" w:hAnsi="Times New Roman"/>
          <w:sz w:val="28"/>
          <w:szCs w:val="28"/>
        </w:rPr>
        <w:t>данного</w:t>
      </w:r>
      <w:r w:rsidRPr="00786C1F">
        <w:rPr>
          <w:rFonts w:ascii="Times New Roman" w:hAnsi="Times New Roman"/>
          <w:sz w:val="28"/>
          <w:szCs w:val="28"/>
        </w:rPr>
        <w:t xml:space="preserve"> налога </w:t>
      </w:r>
      <w:r w:rsidR="00385C21">
        <w:rPr>
          <w:rFonts w:ascii="Times New Roman" w:hAnsi="Times New Roman"/>
          <w:sz w:val="28"/>
          <w:szCs w:val="28"/>
        </w:rPr>
        <w:t>в</w:t>
      </w:r>
      <w:r w:rsidRPr="00786C1F">
        <w:rPr>
          <w:rFonts w:ascii="Times New Roman" w:hAnsi="Times New Roman"/>
          <w:sz w:val="28"/>
          <w:szCs w:val="28"/>
        </w:rPr>
        <w:t xml:space="preserve"> </w:t>
      </w:r>
      <w:r w:rsidR="00786C1F" w:rsidRPr="00786C1F">
        <w:rPr>
          <w:rFonts w:ascii="Times New Roman" w:hAnsi="Times New Roman"/>
          <w:sz w:val="28"/>
          <w:szCs w:val="28"/>
        </w:rPr>
        <w:t xml:space="preserve">12 регионах, из них наибольшее снижение отмечено </w:t>
      </w:r>
      <w:r w:rsidRPr="00786C1F">
        <w:rPr>
          <w:rFonts w:ascii="Times New Roman" w:hAnsi="Times New Roman"/>
          <w:sz w:val="28"/>
          <w:szCs w:val="28"/>
        </w:rPr>
        <w:t xml:space="preserve">в </w:t>
      </w:r>
      <w:r w:rsidR="00786C1F" w:rsidRPr="00786C1F">
        <w:rPr>
          <w:rFonts w:ascii="Times New Roman" w:hAnsi="Times New Roman"/>
          <w:sz w:val="28"/>
          <w:szCs w:val="28"/>
        </w:rPr>
        <w:t>Республике Бурятия</w:t>
      </w:r>
      <w:r w:rsidRPr="00786C1F">
        <w:rPr>
          <w:rFonts w:ascii="Times New Roman" w:hAnsi="Times New Roman"/>
          <w:sz w:val="28"/>
          <w:szCs w:val="28"/>
        </w:rPr>
        <w:t xml:space="preserve"> (на </w:t>
      </w:r>
      <w:r w:rsidR="00786C1F" w:rsidRPr="00786C1F">
        <w:rPr>
          <w:rFonts w:ascii="Times New Roman" w:hAnsi="Times New Roman"/>
          <w:sz w:val="28"/>
          <w:szCs w:val="28"/>
        </w:rPr>
        <w:t>39,6</w:t>
      </w:r>
      <w:r w:rsidRPr="00786C1F">
        <w:rPr>
          <w:rFonts w:ascii="Times New Roman" w:hAnsi="Times New Roman"/>
          <w:sz w:val="28"/>
          <w:szCs w:val="28"/>
        </w:rPr>
        <w:t xml:space="preserve"> %), </w:t>
      </w:r>
      <w:r w:rsidR="00786C1F" w:rsidRPr="00786C1F">
        <w:rPr>
          <w:rFonts w:ascii="Times New Roman" w:hAnsi="Times New Roman"/>
          <w:sz w:val="28"/>
          <w:szCs w:val="28"/>
        </w:rPr>
        <w:t>Республике Алтай (на 20,8 %), Владимир</w:t>
      </w:r>
      <w:r w:rsidRPr="00786C1F">
        <w:rPr>
          <w:rFonts w:ascii="Times New Roman" w:hAnsi="Times New Roman"/>
          <w:sz w:val="28"/>
          <w:szCs w:val="28"/>
        </w:rPr>
        <w:t xml:space="preserve">ской области (на </w:t>
      </w:r>
      <w:r w:rsidR="00786C1F" w:rsidRPr="00786C1F">
        <w:rPr>
          <w:rFonts w:ascii="Times New Roman" w:hAnsi="Times New Roman"/>
          <w:sz w:val="28"/>
          <w:szCs w:val="28"/>
        </w:rPr>
        <w:t>18,1</w:t>
      </w:r>
      <w:r w:rsidRPr="00786C1F">
        <w:rPr>
          <w:rFonts w:ascii="Times New Roman" w:hAnsi="Times New Roman"/>
          <w:sz w:val="28"/>
          <w:szCs w:val="28"/>
        </w:rPr>
        <w:t xml:space="preserve"> %) и </w:t>
      </w:r>
      <w:r w:rsidR="00786C1F" w:rsidRPr="00786C1F">
        <w:rPr>
          <w:rFonts w:ascii="Times New Roman" w:hAnsi="Times New Roman"/>
          <w:sz w:val="28"/>
          <w:szCs w:val="28"/>
        </w:rPr>
        <w:t>Магаданской области</w:t>
      </w:r>
      <w:r w:rsidRPr="00786C1F">
        <w:rPr>
          <w:rFonts w:ascii="Times New Roman" w:hAnsi="Times New Roman"/>
          <w:sz w:val="28"/>
          <w:szCs w:val="28"/>
        </w:rPr>
        <w:t xml:space="preserve"> (на 1</w:t>
      </w:r>
      <w:r w:rsidR="00786C1F" w:rsidRPr="00786C1F">
        <w:rPr>
          <w:rFonts w:ascii="Times New Roman" w:hAnsi="Times New Roman"/>
          <w:sz w:val="28"/>
          <w:szCs w:val="28"/>
        </w:rPr>
        <w:t>6,6</w:t>
      </w:r>
      <w:r w:rsidRPr="00786C1F">
        <w:rPr>
          <w:rFonts w:ascii="Times New Roman" w:hAnsi="Times New Roman"/>
          <w:sz w:val="28"/>
          <w:szCs w:val="28"/>
        </w:rPr>
        <w:t xml:space="preserve"> %).</w:t>
      </w:r>
      <w:r w:rsidR="00786C1F">
        <w:rPr>
          <w:rFonts w:ascii="Times New Roman" w:hAnsi="Times New Roman"/>
          <w:sz w:val="28"/>
          <w:szCs w:val="28"/>
        </w:rPr>
        <w:t xml:space="preserve"> </w:t>
      </w:r>
    </w:p>
    <w:p w14:paraId="2B57113C" w14:textId="77777777" w:rsidR="00A64ED3" w:rsidRPr="00A64ED3" w:rsidRDefault="00F351F3" w:rsidP="004149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F39">
        <w:rPr>
          <w:rFonts w:ascii="Times New Roman" w:hAnsi="Times New Roman"/>
          <w:sz w:val="28"/>
          <w:szCs w:val="28"/>
        </w:rPr>
        <w:t xml:space="preserve">Поступления </w:t>
      </w:r>
      <w:r w:rsidRPr="00AA4F39">
        <w:rPr>
          <w:rFonts w:ascii="Times New Roman" w:hAnsi="Times New Roman"/>
          <w:b/>
          <w:sz w:val="28"/>
          <w:szCs w:val="28"/>
        </w:rPr>
        <w:t xml:space="preserve">налога на доходы физических лиц </w:t>
      </w:r>
      <w:r w:rsidR="00A71FFC" w:rsidRPr="00AA4F39">
        <w:rPr>
          <w:rFonts w:ascii="Times New Roman" w:hAnsi="Times New Roman"/>
          <w:sz w:val="28"/>
          <w:szCs w:val="28"/>
        </w:rPr>
        <w:t>являются</w:t>
      </w:r>
      <w:r w:rsidR="00A71FFC" w:rsidRPr="00AA4F39">
        <w:rPr>
          <w:rFonts w:ascii="Times New Roman" w:hAnsi="Times New Roman"/>
          <w:b/>
          <w:sz w:val="28"/>
          <w:szCs w:val="28"/>
        </w:rPr>
        <w:t xml:space="preserve"> </w:t>
      </w:r>
      <w:r w:rsidR="00A71FFC" w:rsidRPr="00AA4F39">
        <w:rPr>
          <w:rFonts w:ascii="Times New Roman" w:hAnsi="Times New Roman"/>
          <w:sz w:val="28"/>
          <w:szCs w:val="28"/>
        </w:rPr>
        <w:t xml:space="preserve">наиболее стабильными для региональных бюджетов. </w:t>
      </w:r>
      <w:r w:rsidR="00AA4F39" w:rsidRPr="00AA4F39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A71FFC" w:rsidRPr="00AA4F39">
        <w:rPr>
          <w:rFonts w:ascii="Times New Roman" w:hAnsi="Times New Roman"/>
          <w:sz w:val="28"/>
          <w:szCs w:val="28"/>
        </w:rPr>
        <w:t xml:space="preserve">поступления данного налога </w:t>
      </w:r>
      <w:r w:rsidR="00160F11" w:rsidRPr="00AA4F39">
        <w:rPr>
          <w:rFonts w:ascii="Times New Roman" w:hAnsi="Times New Roman"/>
          <w:sz w:val="28"/>
          <w:szCs w:val="28"/>
        </w:rPr>
        <w:t xml:space="preserve">выросли </w:t>
      </w:r>
      <w:r w:rsidR="00A64ED3" w:rsidRPr="00AA4F39">
        <w:rPr>
          <w:rFonts w:ascii="Times New Roman" w:hAnsi="Times New Roman"/>
          <w:sz w:val="28"/>
          <w:szCs w:val="28"/>
        </w:rPr>
        <w:t>во всех регионах</w:t>
      </w:r>
      <w:r w:rsidR="00A14E4A" w:rsidRPr="00AA4F39">
        <w:rPr>
          <w:rFonts w:ascii="Times New Roman" w:hAnsi="Times New Roman"/>
          <w:sz w:val="28"/>
          <w:szCs w:val="28"/>
        </w:rPr>
        <w:t>.</w:t>
      </w:r>
      <w:r w:rsidR="00A64ED3">
        <w:rPr>
          <w:rFonts w:ascii="Times New Roman" w:hAnsi="Times New Roman"/>
          <w:sz w:val="28"/>
          <w:szCs w:val="28"/>
        </w:rPr>
        <w:t xml:space="preserve"> </w:t>
      </w:r>
      <w:r w:rsidR="00A14E4A">
        <w:rPr>
          <w:rFonts w:ascii="Times New Roman" w:hAnsi="Times New Roman"/>
          <w:sz w:val="28"/>
          <w:szCs w:val="28"/>
        </w:rPr>
        <w:t>Н</w:t>
      </w:r>
      <w:r w:rsidRPr="00A64ED3">
        <w:rPr>
          <w:rFonts w:ascii="Times New Roman" w:hAnsi="Times New Roman"/>
          <w:sz w:val="28"/>
          <w:szCs w:val="28"/>
        </w:rPr>
        <w:t xml:space="preserve">аибольший рост показали </w:t>
      </w:r>
      <w:r w:rsidR="00A64ED3" w:rsidRPr="00A64ED3">
        <w:rPr>
          <w:rFonts w:ascii="Times New Roman" w:hAnsi="Times New Roman"/>
          <w:sz w:val="28"/>
          <w:szCs w:val="28"/>
        </w:rPr>
        <w:t>Калининградская область</w:t>
      </w:r>
      <w:r w:rsidRPr="00A64ED3">
        <w:rPr>
          <w:rFonts w:ascii="Times New Roman" w:hAnsi="Times New Roman"/>
          <w:sz w:val="28"/>
          <w:szCs w:val="28"/>
        </w:rPr>
        <w:t xml:space="preserve"> – на </w:t>
      </w:r>
      <w:r w:rsidR="00A64ED3" w:rsidRPr="00A64ED3">
        <w:rPr>
          <w:rFonts w:ascii="Times New Roman" w:hAnsi="Times New Roman"/>
          <w:sz w:val="28"/>
          <w:szCs w:val="28"/>
        </w:rPr>
        <w:t>45,6</w:t>
      </w:r>
      <w:r w:rsidRPr="00A64ED3">
        <w:rPr>
          <w:rFonts w:ascii="Times New Roman" w:hAnsi="Times New Roman"/>
          <w:sz w:val="28"/>
          <w:szCs w:val="28"/>
        </w:rPr>
        <w:t xml:space="preserve"> %, </w:t>
      </w:r>
      <w:r w:rsidR="00A64ED3" w:rsidRPr="00A64ED3">
        <w:rPr>
          <w:rFonts w:ascii="Times New Roman" w:hAnsi="Times New Roman"/>
          <w:sz w:val="28"/>
          <w:szCs w:val="28"/>
        </w:rPr>
        <w:t xml:space="preserve">Брянская область – на 41,1 %, </w:t>
      </w:r>
      <w:r w:rsidR="00987B28">
        <w:rPr>
          <w:rFonts w:ascii="Times New Roman" w:hAnsi="Times New Roman"/>
          <w:sz w:val="28"/>
          <w:szCs w:val="28"/>
        </w:rPr>
        <w:t>г. </w:t>
      </w:r>
      <w:r w:rsidR="00EC0C09">
        <w:rPr>
          <w:rFonts w:ascii="Times New Roman" w:hAnsi="Times New Roman"/>
          <w:sz w:val="28"/>
          <w:szCs w:val="28"/>
        </w:rPr>
        <w:t>Москва </w:t>
      </w:r>
      <w:r w:rsidRPr="00A64ED3">
        <w:rPr>
          <w:rFonts w:ascii="Times New Roman" w:hAnsi="Times New Roman"/>
          <w:sz w:val="28"/>
          <w:szCs w:val="28"/>
        </w:rPr>
        <w:t xml:space="preserve">– на </w:t>
      </w:r>
      <w:r w:rsidR="00A64ED3" w:rsidRPr="00A64ED3">
        <w:rPr>
          <w:rFonts w:ascii="Times New Roman" w:hAnsi="Times New Roman"/>
          <w:sz w:val="28"/>
          <w:szCs w:val="28"/>
        </w:rPr>
        <w:t>40,7</w:t>
      </w:r>
      <w:r w:rsidRPr="00A64ED3">
        <w:rPr>
          <w:rFonts w:ascii="Times New Roman" w:hAnsi="Times New Roman"/>
          <w:sz w:val="28"/>
          <w:szCs w:val="28"/>
        </w:rPr>
        <w:t xml:space="preserve"> %</w:t>
      </w:r>
      <w:r w:rsidR="00A64ED3" w:rsidRPr="00A64ED3">
        <w:rPr>
          <w:rFonts w:ascii="Times New Roman" w:hAnsi="Times New Roman"/>
          <w:sz w:val="28"/>
          <w:szCs w:val="28"/>
        </w:rPr>
        <w:t>.</w:t>
      </w:r>
    </w:p>
    <w:p w14:paraId="463CEBFC" w14:textId="77777777" w:rsidR="00F351F3" w:rsidRPr="006F0B71" w:rsidRDefault="00F351F3" w:rsidP="004149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71">
        <w:rPr>
          <w:rFonts w:ascii="Times New Roman" w:hAnsi="Times New Roman"/>
          <w:b/>
          <w:sz w:val="28"/>
          <w:szCs w:val="28"/>
        </w:rPr>
        <w:t>Безвозмездные поступления от других бюджетов бюджетной системы</w:t>
      </w:r>
      <w:r w:rsidRPr="006F0B71">
        <w:rPr>
          <w:rFonts w:ascii="Times New Roman" w:hAnsi="Times New Roman"/>
          <w:sz w:val="28"/>
          <w:szCs w:val="28"/>
        </w:rPr>
        <w:t xml:space="preserve"> </w:t>
      </w:r>
      <w:r w:rsidR="006F0B71" w:rsidRPr="006F0B71">
        <w:rPr>
          <w:rFonts w:ascii="Times New Roman" w:hAnsi="Times New Roman"/>
          <w:sz w:val="28"/>
          <w:szCs w:val="28"/>
        </w:rPr>
        <w:t>также выросли</w:t>
      </w:r>
      <w:r w:rsidRPr="006F0B71">
        <w:rPr>
          <w:rFonts w:ascii="Times New Roman" w:hAnsi="Times New Roman"/>
          <w:sz w:val="28"/>
          <w:szCs w:val="28"/>
        </w:rPr>
        <w:t xml:space="preserve"> по сравнению с </w:t>
      </w:r>
      <w:r w:rsidR="006F0B71" w:rsidRPr="006F0B71">
        <w:rPr>
          <w:rFonts w:ascii="Times New Roman" w:hAnsi="Times New Roman"/>
          <w:sz w:val="28"/>
          <w:szCs w:val="28"/>
        </w:rPr>
        <w:t xml:space="preserve">I кварталом </w:t>
      </w:r>
      <w:r w:rsidRPr="006F0B71">
        <w:rPr>
          <w:rFonts w:ascii="Times New Roman" w:hAnsi="Times New Roman"/>
          <w:sz w:val="28"/>
          <w:szCs w:val="28"/>
        </w:rPr>
        <w:t>202</w:t>
      </w:r>
      <w:r w:rsidR="006F0B71" w:rsidRPr="006F0B71">
        <w:rPr>
          <w:rFonts w:ascii="Times New Roman" w:hAnsi="Times New Roman"/>
          <w:sz w:val="28"/>
          <w:szCs w:val="28"/>
        </w:rPr>
        <w:t>1</w:t>
      </w:r>
      <w:r w:rsidRPr="006F0B71">
        <w:rPr>
          <w:rFonts w:ascii="Times New Roman" w:hAnsi="Times New Roman"/>
          <w:sz w:val="28"/>
          <w:szCs w:val="28"/>
        </w:rPr>
        <w:t xml:space="preserve"> год</w:t>
      </w:r>
      <w:r w:rsidR="006F0B71" w:rsidRPr="006F0B71">
        <w:rPr>
          <w:rFonts w:ascii="Times New Roman" w:hAnsi="Times New Roman"/>
          <w:sz w:val="28"/>
          <w:szCs w:val="28"/>
        </w:rPr>
        <w:t xml:space="preserve">а на 56,7 </w:t>
      </w:r>
      <w:r w:rsidR="00340CF8">
        <w:rPr>
          <w:rFonts w:ascii="Times New Roman" w:hAnsi="Times New Roman"/>
          <w:sz w:val="28"/>
          <w:szCs w:val="28"/>
        </w:rPr>
        <w:t>млрд.</w:t>
      </w:r>
      <w:r w:rsidR="006F0B71" w:rsidRPr="006F0B71">
        <w:rPr>
          <w:rFonts w:ascii="Times New Roman" w:hAnsi="Times New Roman"/>
          <w:sz w:val="28"/>
          <w:szCs w:val="28"/>
        </w:rPr>
        <w:t xml:space="preserve"> рублей</w:t>
      </w:r>
      <w:r w:rsidRPr="006F0B71">
        <w:rPr>
          <w:rFonts w:ascii="Times New Roman" w:hAnsi="Times New Roman"/>
          <w:sz w:val="28"/>
          <w:szCs w:val="28"/>
        </w:rPr>
        <w:t xml:space="preserve">, или на </w:t>
      </w:r>
      <w:r w:rsidR="006F0B71" w:rsidRPr="006F0B71">
        <w:rPr>
          <w:rFonts w:ascii="Times New Roman" w:hAnsi="Times New Roman"/>
          <w:sz w:val="28"/>
          <w:szCs w:val="28"/>
        </w:rPr>
        <w:t>9,7</w:t>
      </w:r>
      <w:r w:rsidR="00A90EB5">
        <w:rPr>
          <w:rFonts w:ascii="Times New Roman" w:hAnsi="Times New Roman"/>
          <w:sz w:val="28"/>
          <w:szCs w:val="28"/>
        </w:rPr>
        <w:t xml:space="preserve"> %,</w:t>
      </w:r>
      <w:r w:rsidRPr="006F0B71">
        <w:rPr>
          <w:rFonts w:ascii="Times New Roman" w:hAnsi="Times New Roman"/>
          <w:sz w:val="28"/>
          <w:szCs w:val="28"/>
        </w:rPr>
        <w:t xml:space="preserve"> и составили </w:t>
      </w:r>
      <w:r w:rsidR="006F0B71" w:rsidRPr="006F0B71">
        <w:rPr>
          <w:rFonts w:ascii="Times New Roman" w:hAnsi="Times New Roman"/>
          <w:sz w:val="28"/>
          <w:szCs w:val="28"/>
        </w:rPr>
        <w:t xml:space="preserve">643,1 </w:t>
      </w:r>
      <w:r w:rsidR="00340CF8">
        <w:rPr>
          <w:rFonts w:ascii="Times New Roman" w:hAnsi="Times New Roman"/>
          <w:sz w:val="28"/>
          <w:szCs w:val="28"/>
        </w:rPr>
        <w:t>млрд.</w:t>
      </w:r>
      <w:r w:rsidR="006F0B71" w:rsidRPr="006F0B71">
        <w:rPr>
          <w:rFonts w:ascii="Times New Roman" w:hAnsi="Times New Roman"/>
          <w:sz w:val="28"/>
          <w:szCs w:val="28"/>
        </w:rPr>
        <w:t xml:space="preserve"> рублей,</w:t>
      </w:r>
      <w:r w:rsidRPr="006F0B71">
        <w:rPr>
          <w:rFonts w:ascii="Times New Roman" w:hAnsi="Times New Roman"/>
          <w:sz w:val="28"/>
          <w:szCs w:val="28"/>
        </w:rPr>
        <w:t xml:space="preserve"> по сравнению с «</w:t>
      </w:r>
      <w:proofErr w:type="spellStart"/>
      <w:r w:rsidRPr="006F0B71">
        <w:rPr>
          <w:rFonts w:ascii="Times New Roman" w:hAnsi="Times New Roman"/>
          <w:sz w:val="28"/>
          <w:szCs w:val="28"/>
        </w:rPr>
        <w:t>допандемийным</w:t>
      </w:r>
      <w:proofErr w:type="spellEnd"/>
      <w:r w:rsidRPr="006F0B71">
        <w:rPr>
          <w:rFonts w:ascii="Times New Roman" w:hAnsi="Times New Roman"/>
          <w:sz w:val="28"/>
          <w:szCs w:val="28"/>
        </w:rPr>
        <w:t>» 2019 годом их объем вырос в 1,</w:t>
      </w:r>
      <w:r w:rsidR="006F0B71" w:rsidRPr="006F0B71">
        <w:rPr>
          <w:rFonts w:ascii="Times New Roman" w:hAnsi="Times New Roman"/>
          <w:sz w:val="28"/>
          <w:szCs w:val="28"/>
        </w:rPr>
        <w:t>7</w:t>
      </w:r>
      <w:r w:rsidRPr="006F0B71">
        <w:rPr>
          <w:rFonts w:ascii="Times New Roman" w:hAnsi="Times New Roman"/>
          <w:sz w:val="28"/>
          <w:szCs w:val="28"/>
        </w:rPr>
        <w:t xml:space="preserve"> раза. </w:t>
      </w:r>
    </w:p>
    <w:p w14:paraId="2A35FD70" w14:textId="77777777" w:rsidR="00F351F3" w:rsidRDefault="00F351F3" w:rsidP="00414967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6F0B71">
        <w:rPr>
          <w:color w:val="auto"/>
          <w:sz w:val="28"/>
          <w:szCs w:val="28"/>
        </w:rPr>
        <w:t xml:space="preserve">В рамках безвозмездных перечислений </w:t>
      </w:r>
      <w:r w:rsidRPr="00C7207A">
        <w:rPr>
          <w:color w:val="auto"/>
          <w:sz w:val="28"/>
          <w:szCs w:val="28"/>
        </w:rPr>
        <w:t xml:space="preserve">субъектам Российской Федерации из федерального бюджета сводной бюджетной росписью предусмотрены </w:t>
      </w:r>
      <w:r w:rsidRPr="00C7207A">
        <w:rPr>
          <w:b/>
          <w:color w:val="auto"/>
          <w:sz w:val="28"/>
          <w:szCs w:val="28"/>
        </w:rPr>
        <w:t>межбюджетные трансферты</w:t>
      </w:r>
      <w:r w:rsidRPr="00C7207A">
        <w:rPr>
          <w:color w:val="auto"/>
          <w:sz w:val="28"/>
          <w:szCs w:val="28"/>
        </w:rPr>
        <w:t xml:space="preserve"> в объеме 3</w:t>
      </w:r>
      <w:r w:rsidR="006F0B71" w:rsidRPr="00C7207A">
        <w:rPr>
          <w:color w:val="auto"/>
          <w:sz w:val="28"/>
          <w:szCs w:val="28"/>
        </w:rPr>
        <w:t> 367,4</w:t>
      </w:r>
      <w:r w:rsidRPr="00C7207A">
        <w:rPr>
          <w:color w:val="auto"/>
          <w:sz w:val="28"/>
          <w:szCs w:val="28"/>
        </w:rPr>
        <w:t xml:space="preserve"> </w:t>
      </w:r>
      <w:r w:rsidR="00340CF8">
        <w:rPr>
          <w:color w:val="auto"/>
          <w:sz w:val="28"/>
          <w:szCs w:val="28"/>
        </w:rPr>
        <w:t>млрд.</w:t>
      </w:r>
      <w:r w:rsidRPr="00C7207A">
        <w:rPr>
          <w:color w:val="auto"/>
          <w:sz w:val="28"/>
          <w:szCs w:val="28"/>
        </w:rPr>
        <w:t xml:space="preserve"> рублей, из них средства на реализацию национальных проектов – </w:t>
      </w:r>
      <w:r w:rsidR="00C7207A" w:rsidRPr="00C7207A">
        <w:rPr>
          <w:color w:val="auto"/>
          <w:sz w:val="28"/>
          <w:szCs w:val="28"/>
        </w:rPr>
        <w:t>951,9</w:t>
      </w:r>
      <w:r w:rsidRPr="00C7207A">
        <w:rPr>
          <w:color w:val="auto"/>
          <w:sz w:val="28"/>
          <w:szCs w:val="28"/>
        </w:rPr>
        <w:t xml:space="preserve"> </w:t>
      </w:r>
      <w:r w:rsidR="00340CF8">
        <w:rPr>
          <w:color w:val="auto"/>
          <w:sz w:val="28"/>
          <w:szCs w:val="28"/>
        </w:rPr>
        <w:t>млрд.</w:t>
      </w:r>
      <w:r w:rsidRPr="00C7207A">
        <w:rPr>
          <w:color w:val="auto"/>
          <w:sz w:val="28"/>
          <w:szCs w:val="28"/>
        </w:rPr>
        <w:t xml:space="preserve"> рублей. </w:t>
      </w:r>
      <w:proofErr w:type="gramStart"/>
      <w:r w:rsidRPr="00C7207A">
        <w:rPr>
          <w:color w:val="auto"/>
          <w:sz w:val="28"/>
          <w:szCs w:val="28"/>
        </w:rPr>
        <w:t xml:space="preserve">Кассовое исполнение межбюджетных трансфертов составило </w:t>
      </w:r>
      <w:r w:rsidR="006F0B71" w:rsidRPr="00C7207A">
        <w:rPr>
          <w:color w:val="auto"/>
          <w:sz w:val="28"/>
          <w:szCs w:val="28"/>
        </w:rPr>
        <w:t>634,4</w:t>
      </w:r>
      <w:r w:rsidRPr="00C7207A">
        <w:rPr>
          <w:color w:val="auto"/>
          <w:sz w:val="28"/>
          <w:szCs w:val="28"/>
        </w:rPr>
        <w:t xml:space="preserve"> </w:t>
      </w:r>
      <w:r w:rsidR="00340CF8">
        <w:rPr>
          <w:color w:val="auto"/>
          <w:sz w:val="28"/>
          <w:szCs w:val="28"/>
        </w:rPr>
        <w:t>млрд.</w:t>
      </w:r>
      <w:r w:rsidRPr="00C7207A">
        <w:rPr>
          <w:color w:val="auto"/>
          <w:sz w:val="28"/>
          <w:szCs w:val="28"/>
        </w:rPr>
        <w:t xml:space="preserve"> рублей, или </w:t>
      </w:r>
      <w:r w:rsidR="006F0B71" w:rsidRPr="00C7207A">
        <w:rPr>
          <w:color w:val="auto"/>
          <w:sz w:val="28"/>
          <w:szCs w:val="28"/>
        </w:rPr>
        <w:t>18,8</w:t>
      </w:r>
      <w:r w:rsidRPr="00C7207A">
        <w:rPr>
          <w:color w:val="auto"/>
          <w:sz w:val="28"/>
          <w:szCs w:val="28"/>
        </w:rPr>
        <w:t xml:space="preserve"> % объема сводной бюджетной росписи, из них по </w:t>
      </w:r>
      <w:r w:rsidRPr="00D10B9B">
        <w:rPr>
          <w:color w:val="auto"/>
          <w:sz w:val="28"/>
          <w:szCs w:val="28"/>
        </w:rPr>
        <w:t xml:space="preserve">национальным проектам – </w:t>
      </w:r>
      <w:r w:rsidR="00C7207A" w:rsidRPr="00D10B9B">
        <w:rPr>
          <w:color w:val="auto"/>
          <w:sz w:val="28"/>
          <w:szCs w:val="28"/>
        </w:rPr>
        <w:t>132,0</w:t>
      </w:r>
      <w:r w:rsidRPr="00D10B9B">
        <w:rPr>
          <w:color w:val="auto"/>
          <w:sz w:val="28"/>
          <w:szCs w:val="28"/>
        </w:rPr>
        <w:t> </w:t>
      </w:r>
      <w:r w:rsidR="00340CF8">
        <w:rPr>
          <w:color w:val="auto"/>
          <w:sz w:val="28"/>
          <w:szCs w:val="28"/>
        </w:rPr>
        <w:t>млрд.</w:t>
      </w:r>
      <w:r w:rsidRPr="00D10B9B">
        <w:rPr>
          <w:color w:val="auto"/>
          <w:sz w:val="28"/>
          <w:szCs w:val="28"/>
        </w:rPr>
        <w:t xml:space="preserve"> рублей (</w:t>
      </w:r>
      <w:r w:rsidR="00C7207A" w:rsidRPr="00D10B9B">
        <w:rPr>
          <w:color w:val="auto"/>
          <w:sz w:val="28"/>
          <w:szCs w:val="28"/>
        </w:rPr>
        <w:t>13,9</w:t>
      </w:r>
      <w:r w:rsidRPr="00D10B9B">
        <w:rPr>
          <w:color w:val="auto"/>
          <w:sz w:val="28"/>
          <w:szCs w:val="28"/>
        </w:rPr>
        <w:t xml:space="preserve"> % объема сводной бюджетной росписи), в том числе субсидий – </w:t>
      </w:r>
      <w:r w:rsidR="00D10B9B" w:rsidRPr="00D10B9B">
        <w:rPr>
          <w:color w:val="auto"/>
          <w:sz w:val="28"/>
          <w:szCs w:val="28"/>
        </w:rPr>
        <w:t>63,4</w:t>
      </w:r>
      <w:r w:rsidRPr="00D10B9B">
        <w:rPr>
          <w:color w:val="auto"/>
          <w:sz w:val="28"/>
          <w:szCs w:val="28"/>
        </w:rPr>
        <w:t> </w:t>
      </w:r>
      <w:r w:rsidR="00340CF8">
        <w:rPr>
          <w:color w:val="auto"/>
          <w:sz w:val="28"/>
          <w:szCs w:val="28"/>
        </w:rPr>
        <w:t>млрд.</w:t>
      </w:r>
      <w:r w:rsidRPr="00D10B9B">
        <w:rPr>
          <w:color w:val="auto"/>
          <w:sz w:val="28"/>
          <w:szCs w:val="28"/>
        </w:rPr>
        <w:t xml:space="preserve"> рублей (9,5 %), субвенций – </w:t>
      </w:r>
      <w:r w:rsidR="00D10B9B" w:rsidRPr="00D10B9B">
        <w:rPr>
          <w:color w:val="auto"/>
          <w:sz w:val="28"/>
          <w:szCs w:val="28"/>
        </w:rPr>
        <w:t>35,9</w:t>
      </w:r>
      <w:r w:rsidRPr="00D10B9B">
        <w:rPr>
          <w:color w:val="auto"/>
          <w:sz w:val="28"/>
          <w:szCs w:val="28"/>
        </w:rPr>
        <w:t xml:space="preserve"> </w:t>
      </w:r>
      <w:r w:rsidR="00340CF8">
        <w:rPr>
          <w:color w:val="auto"/>
          <w:sz w:val="28"/>
          <w:szCs w:val="28"/>
        </w:rPr>
        <w:t>млрд.</w:t>
      </w:r>
      <w:r w:rsidRPr="00D10B9B">
        <w:rPr>
          <w:color w:val="auto"/>
          <w:sz w:val="28"/>
          <w:szCs w:val="28"/>
        </w:rPr>
        <w:t xml:space="preserve"> рублей (</w:t>
      </w:r>
      <w:r w:rsidR="00D10B9B" w:rsidRPr="00D10B9B">
        <w:rPr>
          <w:color w:val="auto"/>
          <w:sz w:val="28"/>
          <w:szCs w:val="28"/>
        </w:rPr>
        <w:t>21,6</w:t>
      </w:r>
      <w:r w:rsidRPr="00D10B9B">
        <w:rPr>
          <w:color w:val="auto"/>
          <w:sz w:val="28"/>
          <w:szCs w:val="28"/>
        </w:rPr>
        <w:t xml:space="preserve"> %), иных межбюджетных трансфертов – </w:t>
      </w:r>
      <w:r w:rsidR="00D10B9B" w:rsidRPr="00D10B9B">
        <w:rPr>
          <w:color w:val="auto"/>
          <w:sz w:val="28"/>
          <w:szCs w:val="28"/>
        </w:rPr>
        <w:t>32,7</w:t>
      </w:r>
      <w:r w:rsidRPr="00D10B9B">
        <w:rPr>
          <w:color w:val="auto"/>
          <w:sz w:val="28"/>
          <w:szCs w:val="28"/>
        </w:rPr>
        <w:t xml:space="preserve"> </w:t>
      </w:r>
      <w:r w:rsidR="00340CF8">
        <w:rPr>
          <w:color w:val="auto"/>
          <w:sz w:val="28"/>
          <w:szCs w:val="28"/>
        </w:rPr>
        <w:t>млрд.</w:t>
      </w:r>
      <w:r w:rsidRPr="00D10B9B">
        <w:rPr>
          <w:color w:val="auto"/>
          <w:sz w:val="28"/>
          <w:szCs w:val="28"/>
        </w:rPr>
        <w:t xml:space="preserve"> рублей (</w:t>
      </w:r>
      <w:r w:rsidR="00D10B9B" w:rsidRPr="00D10B9B">
        <w:rPr>
          <w:color w:val="auto"/>
          <w:sz w:val="28"/>
          <w:szCs w:val="28"/>
        </w:rPr>
        <w:t>27</w:t>
      </w:r>
      <w:r w:rsidRPr="00D10B9B">
        <w:rPr>
          <w:color w:val="auto"/>
          <w:sz w:val="28"/>
          <w:szCs w:val="28"/>
        </w:rPr>
        <w:t xml:space="preserve"> %).</w:t>
      </w:r>
      <w:proofErr w:type="gramEnd"/>
    </w:p>
    <w:p w14:paraId="744871D3" w14:textId="77777777" w:rsidR="00EA66F2" w:rsidRPr="00FF686C" w:rsidRDefault="001F17AF" w:rsidP="00FF686C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По сравнению с </w:t>
      </w:r>
      <w:r w:rsidRPr="00E618B3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 кварталом 2021 года объем перечисленных межбюджетных трансфертов бюджетам регионов вырос на 8,4 %</w:t>
      </w:r>
      <w:r w:rsidR="00EA66F2">
        <w:rPr>
          <w:color w:val="auto"/>
          <w:sz w:val="28"/>
          <w:szCs w:val="28"/>
        </w:rPr>
        <w:t>,</w:t>
      </w:r>
      <w:r w:rsidR="00E618B3" w:rsidRPr="00E618B3">
        <w:rPr>
          <w:color w:val="auto"/>
          <w:sz w:val="28"/>
          <w:szCs w:val="28"/>
        </w:rPr>
        <w:t xml:space="preserve"> в том числе по дотациям – на 6,6 %, субсидиям – на 38,7 %, иным межбюджетным трансфертам – на 8,1 %. При этом отмечается снижение </w:t>
      </w:r>
      <w:r w:rsidR="00EA66F2">
        <w:rPr>
          <w:color w:val="auto"/>
          <w:sz w:val="28"/>
          <w:szCs w:val="28"/>
        </w:rPr>
        <w:t xml:space="preserve">по </w:t>
      </w:r>
      <w:r w:rsidR="00E618B3" w:rsidRPr="00E618B3">
        <w:rPr>
          <w:color w:val="auto"/>
          <w:sz w:val="28"/>
          <w:szCs w:val="28"/>
        </w:rPr>
        <w:t>субвенциям на 22,1 %</w:t>
      </w:r>
      <w:r w:rsidR="00EA66F2">
        <w:rPr>
          <w:color w:val="auto"/>
          <w:sz w:val="28"/>
          <w:szCs w:val="28"/>
        </w:rPr>
        <w:t xml:space="preserve">, что связано с </w:t>
      </w:r>
      <w:r w:rsidR="00414967">
        <w:rPr>
          <w:color w:val="auto"/>
          <w:sz w:val="28"/>
          <w:szCs w:val="28"/>
        </w:rPr>
        <w:t xml:space="preserve">изменением законодательства в части </w:t>
      </w:r>
      <w:r w:rsidR="00EA66F2" w:rsidRPr="00EA66F2">
        <w:rPr>
          <w:color w:val="auto"/>
          <w:sz w:val="28"/>
          <w:szCs w:val="28"/>
        </w:rPr>
        <w:t>пере</w:t>
      </w:r>
      <w:r w:rsidR="00414967">
        <w:rPr>
          <w:color w:val="auto"/>
          <w:sz w:val="28"/>
          <w:szCs w:val="28"/>
        </w:rPr>
        <w:t>дачи</w:t>
      </w:r>
      <w:r w:rsidR="00EA66F2" w:rsidRPr="00EA66F2">
        <w:rPr>
          <w:color w:val="auto"/>
          <w:sz w:val="28"/>
          <w:szCs w:val="28"/>
        </w:rPr>
        <w:t xml:space="preserve"> </w:t>
      </w:r>
      <w:r w:rsidR="00414967">
        <w:rPr>
          <w:color w:val="auto"/>
          <w:sz w:val="28"/>
          <w:szCs w:val="28"/>
        </w:rPr>
        <w:t xml:space="preserve">в </w:t>
      </w:r>
      <w:r w:rsidR="00414967" w:rsidRPr="00EA66F2">
        <w:rPr>
          <w:color w:val="auto"/>
          <w:sz w:val="28"/>
          <w:szCs w:val="28"/>
        </w:rPr>
        <w:lastRenderedPageBreak/>
        <w:t>Пенсионны</w:t>
      </w:r>
      <w:r w:rsidR="00414967">
        <w:rPr>
          <w:color w:val="auto"/>
          <w:sz w:val="28"/>
          <w:szCs w:val="28"/>
        </w:rPr>
        <w:t>й</w:t>
      </w:r>
      <w:r w:rsidR="00414967" w:rsidRPr="00EA66F2">
        <w:rPr>
          <w:color w:val="auto"/>
          <w:sz w:val="28"/>
          <w:szCs w:val="28"/>
        </w:rPr>
        <w:t xml:space="preserve"> фонд</w:t>
      </w:r>
      <w:r w:rsidR="00414967">
        <w:rPr>
          <w:color w:val="auto"/>
          <w:sz w:val="28"/>
          <w:szCs w:val="28"/>
        </w:rPr>
        <w:t xml:space="preserve"> отдельных</w:t>
      </w:r>
      <w:r w:rsidR="00EA66F2">
        <w:rPr>
          <w:color w:val="auto"/>
          <w:sz w:val="28"/>
          <w:szCs w:val="28"/>
        </w:rPr>
        <w:t xml:space="preserve"> </w:t>
      </w:r>
      <w:r w:rsidR="00414967">
        <w:rPr>
          <w:color w:val="auto"/>
          <w:sz w:val="28"/>
          <w:szCs w:val="28"/>
        </w:rPr>
        <w:t xml:space="preserve">полномочий в виде </w:t>
      </w:r>
      <w:r w:rsidR="00EA66F2">
        <w:rPr>
          <w:color w:val="auto"/>
          <w:sz w:val="28"/>
          <w:szCs w:val="28"/>
        </w:rPr>
        <w:t xml:space="preserve">субвенций </w:t>
      </w:r>
      <w:r w:rsidR="00EA66F2" w:rsidRPr="00EA66F2">
        <w:rPr>
          <w:color w:val="auto"/>
          <w:sz w:val="28"/>
          <w:szCs w:val="28"/>
        </w:rPr>
        <w:t xml:space="preserve">на </w:t>
      </w:r>
      <w:r w:rsidR="00EA66F2" w:rsidRPr="00FF686C">
        <w:rPr>
          <w:color w:val="auto"/>
          <w:sz w:val="28"/>
          <w:szCs w:val="28"/>
        </w:rPr>
        <w:t xml:space="preserve">предоставление </w:t>
      </w:r>
      <w:r w:rsidR="00414967" w:rsidRPr="00FF686C">
        <w:rPr>
          <w:color w:val="auto"/>
          <w:sz w:val="28"/>
          <w:szCs w:val="28"/>
        </w:rPr>
        <w:t>гражданам мер социальной</w:t>
      </w:r>
      <w:proofErr w:type="gramEnd"/>
      <w:r w:rsidR="00414967" w:rsidRPr="00FF686C">
        <w:rPr>
          <w:color w:val="auto"/>
          <w:sz w:val="28"/>
          <w:szCs w:val="28"/>
        </w:rPr>
        <w:t xml:space="preserve"> поддержки</w:t>
      </w:r>
      <w:r w:rsidR="00EA66F2" w:rsidRPr="00FF686C">
        <w:rPr>
          <w:rStyle w:val="a7"/>
          <w:color w:val="auto"/>
          <w:sz w:val="28"/>
          <w:szCs w:val="28"/>
        </w:rPr>
        <w:footnoteReference w:id="3"/>
      </w:r>
      <w:r w:rsidR="00EA66F2" w:rsidRPr="00FF686C">
        <w:rPr>
          <w:color w:val="auto"/>
          <w:sz w:val="28"/>
          <w:szCs w:val="28"/>
        </w:rPr>
        <w:t>.</w:t>
      </w:r>
    </w:p>
    <w:p w14:paraId="1A439814" w14:textId="77777777" w:rsidR="00F351F3" w:rsidRPr="00FF686C" w:rsidRDefault="00F351F3" w:rsidP="00FF686C">
      <w:pPr>
        <w:pStyle w:val="Default"/>
        <w:ind w:right="-1"/>
        <w:jc w:val="center"/>
        <w:rPr>
          <w:color w:val="FF0000"/>
          <w:sz w:val="2"/>
          <w:szCs w:val="2"/>
        </w:rPr>
      </w:pPr>
    </w:p>
    <w:p w14:paraId="2A2A4ABF" w14:textId="7F98AEB9" w:rsidR="00FF686C" w:rsidRPr="00FF686C" w:rsidRDefault="00033784" w:rsidP="004E1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86C">
        <w:rPr>
          <w:rFonts w:ascii="Times New Roman" w:hAnsi="Times New Roman" w:cs="Times New Roman"/>
          <w:b/>
          <w:sz w:val="28"/>
          <w:szCs w:val="28"/>
        </w:rPr>
        <w:t>Расходы консолидированных бюджетов регионов</w:t>
      </w:r>
      <w:r w:rsidRPr="00FF686C">
        <w:rPr>
          <w:rFonts w:ascii="Times New Roman" w:hAnsi="Times New Roman" w:cs="Times New Roman"/>
          <w:sz w:val="28"/>
          <w:szCs w:val="28"/>
        </w:rPr>
        <w:t xml:space="preserve"> в </w:t>
      </w:r>
      <w:r w:rsidRPr="00FF6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686C">
        <w:rPr>
          <w:rFonts w:ascii="Times New Roman" w:hAnsi="Times New Roman" w:cs="Times New Roman"/>
          <w:sz w:val="28"/>
          <w:szCs w:val="28"/>
        </w:rPr>
        <w:t xml:space="preserve"> квартале 2022 года превысили объем аналогичного периода 2021 года на 246,3 </w:t>
      </w:r>
      <w:proofErr w:type="gramStart"/>
      <w:r w:rsidRPr="00FF686C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FF686C">
        <w:rPr>
          <w:rFonts w:ascii="Times New Roman" w:hAnsi="Times New Roman" w:cs="Times New Roman"/>
          <w:sz w:val="28"/>
          <w:szCs w:val="28"/>
        </w:rPr>
        <w:t xml:space="preserve"> рублей, или на 7,8 %. На темп роста расходов в отчетном периоде существенно повлияло снижение расходов консолидированного бюджета г. Москвы (на 92,7 млрд. рублей, или на 12 %), без учета показателей которой расходы по стране выросли на 14,2 %.</w:t>
      </w:r>
      <w:r w:rsidR="00FF686C" w:rsidRPr="00FF686C">
        <w:rPr>
          <w:rFonts w:ascii="Times New Roman" w:hAnsi="Times New Roman" w:cs="Times New Roman"/>
          <w:sz w:val="28"/>
          <w:szCs w:val="28"/>
        </w:rPr>
        <w:t xml:space="preserve"> </w:t>
      </w:r>
      <w:r w:rsidR="00FF686C" w:rsidRPr="00FF686C">
        <w:rPr>
          <w:rFonts w:ascii="Times New Roman" w:hAnsi="Times New Roman" w:cs="Times New Roman"/>
          <w:bCs/>
          <w:sz w:val="28"/>
          <w:szCs w:val="28"/>
        </w:rPr>
        <w:t xml:space="preserve">Прирост (снижение) расходов </w:t>
      </w:r>
      <w:r w:rsidR="00FF686C">
        <w:rPr>
          <w:rFonts w:ascii="Times New Roman" w:hAnsi="Times New Roman" w:cs="Times New Roman"/>
          <w:bCs/>
          <w:sz w:val="28"/>
          <w:szCs w:val="28"/>
        </w:rPr>
        <w:t xml:space="preserve">по отношению </w:t>
      </w:r>
      <w:r w:rsidR="00FF686C" w:rsidRPr="00FF686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F686C">
        <w:rPr>
          <w:rFonts w:ascii="Times New Roman" w:hAnsi="Times New Roman" w:cs="Times New Roman"/>
          <w:bCs/>
          <w:sz w:val="28"/>
          <w:szCs w:val="28"/>
        </w:rPr>
        <w:t xml:space="preserve">аналогичному периоду </w:t>
      </w:r>
      <w:r w:rsidR="00FF686C" w:rsidRPr="00FF686C">
        <w:rPr>
          <w:rFonts w:ascii="Times New Roman" w:hAnsi="Times New Roman" w:cs="Times New Roman"/>
          <w:bCs/>
          <w:sz w:val="28"/>
          <w:szCs w:val="28"/>
        </w:rPr>
        <w:t>2021 год</w:t>
      </w:r>
      <w:r w:rsidR="00FF686C">
        <w:rPr>
          <w:rFonts w:ascii="Times New Roman" w:hAnsi="Times New Roman" w:cs="Times New Roman"/>
          <w:bCs/>
          <w:sz w:val="28"/>
          <w:szCs w:val="28"/>
        </w:rPr>
        <w:t>а</w:t>
      </w:r>
      <w:r w:rsidR="00FF686C" w:rsidRPr="00FF686C">
        <w:rPr>
          <w:rFonts w:ascii="Times New Roman" w:hAnsi="Times New Roman" w:cs="Times New Roman"/>
          <w:bCs/>
          <w:sz w:val="28"/>
          <w:szCs w:val="28"/>
        </w:rPr>
        <w:t xml:space="preserve">  по отдельным разделам </w:t>
      </w:r>
      <w:r w:rsidR="00FF686C">
        <w:rPr>
          <w:rFonts w:ascii="Times New Roman" w:hAnsi="Times New Roman" w:cs="Times New Roman"/>
          <w:bCs/>
          <w:sz w:val="28"/>
          <w:szCs w:val="28"/>
        </w:rPr>
        <w:t xml:space="preserve">расходов </w:t>
      </w:r>
      <w:r w:rsidR="004E1861">
        <w:rPr>
          <w:rFonts w:ascii="Times New Roman" w:hAnsi="Times New Roman" w:cs="Times New Roman"/>
          <w:bCs/>
          <w:sz w:val="28"/>
          <w:szCs w:val="28"/>
        </w:rPr>
        <w:t>(</w:t>
      </w:r>
      <w:r w:rsidR="00FF686C" w:rsidRPr="00FF686C">
        <w:rPr>
          <w:rFonts w:ascii="Times New Roman" w:hAnsi="Times New Roman" w:cs="Times New Roman"/>
          <w:bCs/>
          <w:sz w:val="28"/>
          <w:szCs w:val="28"/>
        </w:rPr>
        <w:t>с учетом и без показателей г. Москвы</w:t>
      </w:r>
      <w:r w:rsidR="004E1861">
        <w:rPr>
          <w:rFonts w:ascii="Times New Roman" w:hAnsi="Times New Roman" w:cs="Times New Roman"/>
          <w:bCs/>
          <w:sz w:val="28"/>
          <w:szCs w:val="28"/>
        </w:rPr>
        <w:t>)</w:t>
      </w:r>
      <w:r w:rsidR="00FF68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F686C">
        <w:rPr>
          <w:rFonts w:ascii="Times New Roman" w:hAnsi="Times New Roman" w:cs="Times New Roman"/>
          <w:bCs/>
          <w:sz w:val="28"/>
          <w:szCs w:val="28"/>
        </w:rPr>
        <w:t>отражен</w:t>
      </w:r>
      <w:proofErr w:type="gramEnd"/>
      <w:r w:rsidR="00FF686C">
        <w:rPr>
          <w:rFonts w:ascii="Times New Roman" w:hAnsi="Times New Roman" w:cs="Times New Roman"/>
          <w:bCs/>
          <w:sz w:val="28"/>
          <w:szCs w:val="28"/>
        </w:rPr>
        <w:t xml:space="preserve"> на следующей диаграмме.</w:t>
      </w:r>
    </w:p>
    <w:p w14:paraId="31A1D78F" w14:textId="364944C4" w:rsidR="00033784" w:rsidRPr="00665F26" w:rsidRDefault="004E1861" w:rsidP="004E18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object w:dxaOrig="7216" w:dyaOrig="4043" w14:anchorId="2065BDF9">
          <v:shape id="_x0000_i1027" type="#_x0000_t75" style="width:456.75pt;height:256.5pt" o:ole="">
            <v:imagedata r:id="rId15" o:title=""/>
          </v:shape>
          <o:OLEObject Type="Embed" ProgID="PowerPoint.Slide.12" ShapeID="_x0000_i1027" DrawAspect="Content" ObjectID="_1714917940" r:id="rId16"/>
        </w:object>
      </w:r>
    </w:p>
    <w:p w14:paraId="6A06F047" w14:textId="77777777" w:rsidR="00033784" w:rsidRPr="00B4243F" w:rsidRDefault="00033784" w:rsidP="004E18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43F">
        <w:rPr>
          <w:rFonts w:ascii="Times New Roman" w:hAnsi="Times New Roman"/>
          <w:sz w:val="28"/>
          <w:szCs w:val="28"/>
        </w:rPr>
        <w:t>Указанный прирост на 76 % обеспечен увеличением расходов на жилищно-коммунальное хозяйство - на 7,</w:t>
      </w:r>
      <w:r>
        <w:rPr>
          <w:rFonts w:ascii="Times New Roman" w:hAnsi="Times New Roman"/>
          <w:sz w:val="28"/>
          <w:szCs w:val="28"/>
        </w:rPr>
        <w:t>9</w:t>
      </w:r>
      <w:r w:rsidRPr="00B4243F">
        <w:rPr>
          <w:rFonts w:ascii="Times New Roman" w:hAnsi="Times New Roman"/>
          <w:sz w:val="28"/>
          <w:szCs w:val="28"/>
        </w:rPr>
        <w:t xml:space="preserve"> % (без г. Москвы – на 56,8 %), образование - на </w:t>
      </w:r>
      <w:r>
        <w:rPr>
          <w:rFonts w:ascii="Times New Roman" w:hAnsi="Times New Roman"/>
          <w:sz w:val="28"/>
          <w:szCs w:val="28"/>
        </w:rPr>
        <w:t>10,7</w:t>
      </w:r>
      <w:r w:rsidRPr="00B4243F">
        <w:rPr>
          <w:rFonts w:ascii="Times New Roman" w:hAnsi="Times New Roman"/>
          <w:sz w:val="28"/>
          <w:szCs w:val="28"/>
        </w:rPr>
        <w:t xml:space="preserve">% (на 12,5 %) и здравоохранение - </w:t>
      </w:r>
      <w:proofErr w:type="gramStart"/>
      <w:r w:rsidRPr="00B4243F">
        <w:rPr>
          <w:rFonts w:ascii="Times New Roman" w:hAnsi="Times New Roman"/>
          <w:sz w:val="28"/>
          <w:szCs w:val="28"/>
        </w:rPr>
        <w:t>на</w:t>
      </w:r>
      <w:proofErr w:type="gramEnd"/>
      <w:r w:rsidRPr="00B4243F">
        <w:rPr>
          <w:rFonts w:ascii="Times New Roman" w:hAnsi="Times New Roman"/>
          <w:sz w:val="28"/>
          <w:szCs w:val="28"/>
        </w:rPr>
        <w:t xml:space="preserve"> 27,2 % (на 25,1 %).</w:t>
      </w:r>
      <w:r>
        <w:rPr>
          <w:rFonts w:ascii="Times New Roman" w:hAnsi="Times New Roman"/>
          <w:sz w:val="28"/>
          <w:szCs w:val="28"/>
        </w:rPr>
        <w:t xml:space="preserve"> Снижение общего объема расходов на национальную экономику на 6,2 % обусловлено снижением расходов г. Москвы по данному направлению на 34,9 %, без учета которого рост общих расходов составляет 16,3 %. </w:t>
      </w:r>
    </w:p>
    <w:p w14:paraId="273CBAD2" w14:textId="763F5FFF" w:rsidR="00033784" w:rsidRDefault="00033784" w:rsidP="00033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3DA">
        <w:rPr>
          <w:rFonts w:ascii="Times New Roman" w:hAnsi="Times New Roman"/>
          <w:sz w:val="28"/>
          <w:szCs w:val="28"/>
        </w:rPr>
        <w:t>Расходы выросли в 80 регионах</w:t>
      </w:r>
      <w:r>
        <w:rPr>
          <w:rStyle w:val="a7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, что</w:t>
      </w:r>
      <w:r w:rsidRPr="003D63DA">
        <w:rPr>
          <w:rFonts w:ascii="Times New Roman" w:hAnsi="Times New Roman"/>
          <w:sz w:val="28"/>
          <w:szCs w:val="28"/>
        </w:rPr>
        <w:t xml:space="preserve"> преимущественно обусловлен</w:t>
      </w:r>
      <w:r>
        <w:rPr>
          <w:rFonts w:ascii="Times New Roman" w:hAnsi="Times New Roman"/>
          <w:sz w:val="28"/>
          <w:szCs w:val="28"/>
        </w:rPr>
        <w:t>о</w:t>
      </w:r>
      <w:r w:rsidRPr="003D63DA">
        <w:rPr>
          <w:rFonts w:ascii="Times New Roman" w:hAnsi="Times New Roman"/>
          <w:sz w:val="28"/>
          <w:szCs w:val="28"/>
        </w:rPr>
        <w:t xml:space="preserve"> увеличением затрат на национальную экономику, жилищно-коммунальное хозяйство, образование и здравоохранение.</w:t>
      </w:r>
      <w:r>
        <w:rPr>
          <w:rFonts w:ascii="Times New Roman" w:hAnsi="Times New Roman"/>
          <w:sz w:val="28"/>
          <w:szCs w:val="28"/>
        </w:rPr>
        <w:t xml:space="preserve"> Наибольший прирост (более 30 %) отмечается в регионах «донорах». </w:t>
      </w:r>
    </w:p>
    <w:p w14:paraId="5FD7DAC3" w14:textId="77777777" w:rsidR="00033784" w:rsidRDefault="00033784" w:rsidP="00033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06F">
        <w:rPr>
          <w:rFonts w:ascii="Times New Roman" w:hAnsi="Times New Roman"/>
          <w:sz w:val="28"/>
          <w:szCs w:val="28"/>
        </w:rPr>
        <w:lastRenderedPageBreak/>
        <w:t xml:space="preserve">Снижение расходов зафиксировано в </w:t>
      </w:r>
      <w:r>
        <w:rPr>
          <w:rFonts w:ascii="Times New Roman" w:hAnsi="Times New Roman"/>
          <w:sz w:val="28"/>
          <w:szCs w:val="28"/>
        </w:rPr>
        <w:t>пяти</w:t>
      </w:r>
      <w:r>
        <w:rPr>
          <w:rStyle w:val="a7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регионах (</w:t>
      </w:r>
      <w:r w:rsidRPr="004C006F">
        <w:rPr>
          <w:rFonts w:ascii="Times New Roman" w:hAnsi="Times New Roman"/>
          <w:sz w:val="28"/>
          <w:szCs w:val="28"/>
        </w:rPr>
        <w:t>Карачаево-Черкесской Республике</w:t>
      </w:r>
      <w:r>
        <w:rPr>
          <w:rFonts w:ascii="Times New Roman" w:hAnsi="Times New Roman"/>
          <w:sz w:val="28"/>
          <w:szCs w:val="28"/>
        </w:rPr>
        <w:t>,</w:t>
      </w:r>
      <w:r w:rsidRPr="004C006F">
        <w:rPr>
          <w:rFonts w:ascii="Times New Roman" w:hAnsi="Times New Roman"/>
          <w:sz w:val="28"/>
          <w:szCs w:val="28"/>
        </w:rPr>
        <w:t xml:space="preserve"> Чувашской Республике</w:t>
      </w:r>
      <w:r>
        <w:rPr>
          <w:rFonts w:ascii="Times New Roman" w:hAnsi="Times New Roman"/>
          <w:sz w:val="28"/>
          <w:szCs w:val="28"/>
        </w:rPr>
        <w:t>,</w:t>
      </w:r>
      <w:r w:rsidRPr="004C006F">
        <w:rPr>
          <w:rFonts w:ascii="Times New Roman" w:hAnsi="Times New Roman"/>
          <w:sz w:val="28"/>
          <w:szCs w:val="28"/>
        </w:rPr>
        <w:t xml:space="preserve"> Калининградской области, Ненецком автономном округе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C006F">
        <w:rPr>
          <w:rFonts w:ascii="Times New Roman" w:hAnsi="Times New Roman"/>
          <w:sz w:val="28"/>
          <w:szCs w:val="28"/>
        </w:rPr>
        <w:t>г. Москве</w:t>
      </w:r>
      <w:r>
        <w:rPr>
          <w:rFonts w:ascii="Times New Roman" w:hAnsi="Times New Roman"/>
          <w:sz w:val="28"/>
          <w:szCs w:val="28"/>
        </w:rPr>
        <w:t>)</w:t>
      </w:r>
      <w:r w:rsidRPr="004C006F">
        <w:rPr>
          <w:rFonts w:ascii="Times New Roman" w:hAnsi="Times New Roman"/>
          <w:sz w:val="28"/>
          <w:szCs w:val="28"/>
        </w:rPr>
        <w:t xml:space="preserve">. </w:t>
      </w:r>
    </w:p>
    <w:p w14:paraId="76F047D3" w14:textId="77777777" w:rsidR="00033784" w:rsidRDefault="00033784" w:rsidP="000337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параметры </w:t>
      </w:r>
      <w:proofErr w:type="gramStart"/>
      <w:r>
        <w:rPr>
          <w:rFonts w:ascii="Times New Roman" w:hAnsi="Times New Roman"/>
          <w:sz w:val="28"/>
          <w:szCs w:val="28"/>
        </w:rPr>
        <w:t>исполнения расходов консолидированных бюджетов субъектов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отражены в таблице 3.</w:t>
      </w:r>
    </w:p>
    <w:p w14:paraId="568E4EE6" w14:textId="77777777" w:rsidR="00033784" w:rsidRPr="00F01AAB" w:rsidRDefault="00033784" w:rsidP="00033784">
      <w:pPr>
        <w:spacing w:after="0" w:line="240" w:lineRule="auto"/>
        <w:jc w:val="right"/>
        <w:rPr>
          <w:rFonts w:ascii="Times New Roman" w:hAnsi="Times New Roman"/>
        </w:rPr>
      </w:pPr>
      <w:r w:rsidRPr="00F01AAB">
        <w:rPr>
          <w:rFonts w:ascii="Times New Roman" w:hAnsi="Times New Roman"/>
        </w:rPr>
        <w:t>Таблица 3</w:t>
      </w:r>
    </w:p>
    <w:bookmarkStart w:id="1" w:name="_MON_1714553501"/>
    <w:bookmarkEnd w:id="1"/>
    <w:p w14:paraId="2C75AB97" w14:textId="01BD95A8" w:rsidR="00033784" w:rsidRPr="00C30DE9" w:rsidRDefault="00FF70EF" w:rsidP="00033784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object w:dxaOrig="17174" w:dyaOrig="7338" w14:anchorId="21C5BD39">
          <v:shape id="_x0000_i1028" type="#_x0000_t75" style="width:477.75pt;height:204pt" o:ole="">
            <v:imagedata r:id="rId17" o:title=""/>
          </v:shape>
          <o:OLEObject Type="Embed" ProgID="Excel.Sheet.12" ShapeID="_x0000_i1028" DrawAspect="Content" ObjectID="_1714917941" r:id="rId18"/>
        </w:object>
      </w:r>
    </w:p>
    <w:p w14:paraId="3944981F" w14:textId="77777777" w:rsidR="00033784" w:rsidRPr="00D87035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D87035">
        <w:rPr>
          <w:rFonts w:ascii="Times New Roman" w:hAnsi="Times New Roman"/>
          <w:sz w:val="28"/>
          <w:szCs w:val="28"/>
        </w:rPr>
        <w:t>оциальные обязательства</w:t>
      </w:r>
      <w:r>
        <w:rPr>
          <w:rFonts w:ascii="Times New Roman" w:hAnsi="Times New Roman"/>
          <w:sz w:val="28"/>
          <w:szCs w:val="28"/>
        </w:rPr>
        <w:t xml:space="preserve"> в бюджетах регионах </w:t>
      </w:r>
      <w:r w:rsidRPr="00D87035">
        <w:rPr>
          <w:rFonts w:ascii="Times New Roman" w:hAnsi="Times New Roman"/>
          <w:sz w:val="28"/>
          <w:szCs w:val="28"/>
        </w:rPr>
        <w:t xml:space="preserve">в </w:t>
      </w:r>
      <w:r w:rsidRPr="00DB0825">
        <w:rPr>
          <w:rFonts w:ascii="Times New Roman" w:hAnsi="Times New Roman"/>
          <w:sz w:val="28"/>
          <w:szCs w:val="28"/>
        </w:rPr>
        <w:t xml:space="preserve">общем объеме расходов </w:t>
      </w:r>
      <w:r w:rsidRPr="00D87035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DB0825">
        <w:rPr>
          <w:rFonts w:ascii="Times New Roman" w:hAnsi="Times New Roman"/>
          <w:sz w:val="28"/>
          <w:szCs w:val="28"/>
        </w:rPr>
        <w:t>60,</w:t>
      </w:r>
      <w:r>
        <w:rPr>
          <w:rFonts w:ascii="Times New Roman" w:hAnsi="Times New Roman"/>
          <w:sz w:val="28"/>
          <w:szCs w:val="28"/>
        </w:rPr>
        <w:t>7</w:t>
      </w:r>
      <w:r w:rsidRPr="00D87035">
        <w:rPr>
          <w:rFonts w:ascii="Times New Roman" w:hAnsi="Times New Roman"/>
          <w:sz w:val="28"/>
          <w:szCs w:val="28"/>
        </w:rPr>
        <w:t xml:space="preserve"> </w:t>
      </w:r>
      <w:r w:rsidRPr="00DB082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1140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31140B">
        <w:rPr>
          <w:rFonts w:ascii="Times New Roman" w:hAnsi="Times New Roman"/>
          <w:sz w:val="28"/>
          <w:szCs w:val="28"/>
        </w:rPr>
        <w:t>рост по-прежнему оказыва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31140B">
        <w:rPr>
          <w:rFonts w:ascii="Times New Roman" w:hAnsi="Times New Roman"/>
          <w:sz w:val="28"/>
          <w:szCs w:val="28"/>
        </w:rPr>
        <w:t xml:space="preserve">влияние </w:t>
      </w:r>
      <w:r>
        <w:rPr>
          <w:rFonts w:ascii="Times New Roman" w:hAnsi="Times New Roman"/>
          <w:sz w:val="28"/>
          <w:szCs w:val="28"/>
        </w:rPr>
        <w:t xml:space="preserve">ежегодное </w:t>
      </w:r>
      <w:r w:rsidRPr="0031140B">
        <w:rPr>
          <w:rFonts w:ascii="Times New Roman" w:hAnsi="Times New Roman"/>
          <w:sz w:val="28"/>
          <w:szCs w:val="28"/>
        </w:rPr>
        <w:t>увеличение МРОТ</w:t>
      </w:r>
      <w:r>
        <w:rPr>
          <w:rFonts w:ascii="Times New Roman" w:hAnsi="Times New Roman"/>
          <w:sz w:val="28"/>
          <w:szCs w:val="28"/>
        </w:rPr>
        <w:t>,</w:t>
      </w:r>
      <w:r w:rsidRPr="00311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«майские» указы в части </w:t>
      </w:r>
      <w:r w:rsidRPr="00D87035">
        <w:rPr>
          <w:rFonts w:ascii="Times New Roman" w:hAnsi="Times New Roman"/>
          <w:sz w:val="28"/>
          <w:szCs w:val="28"/>
        </w:rPr>
        <w:t xml:space="preserve">сохранение и поддержание уровней средней заработной платы «указных» категорий </w:t>
      </w:r>
      <w:r>
        <w:rPr>
          <w:rFonts w:ascii="Times New Roman" w:hAnsi="Times New Roman"/>
          <w:sz w:val="28"/>
          <w:szCs w:val="28"/>
        </w:rPr>
        <w:t xml:space="preserve">работников и </w:t>
      </w:r>
      <w:r w:rsidRPr="00D87035">
        <w:rPr>
          <w:rFonts w:ascii="Times New Roman" w:hAnsi="Times New Roman"/>
          <w:sz w:val="28"/>
          <w:szCs w:val="28"/>
        </w:rPr>
        <w:t>индексаци</w:t>
      </w:r>
      <w:r>
        <w:rPr>
          <w:rFonts w:ascii="Times New Roman" w:hAnsi="Times New Roman"/>
          <w:sz w:val="28"/>
          <w:szCs w:val="28"/>
        </w:rPr>
        <w:t>и заработной платы «неуказных»</w:t>
      </w:r>
      <w:r w:rsidRPr="00D87035">
        <w:rPr>
          <w:rFonts w:ascii="Times New Roman" w:hAnsi="Times New Roman"/>
          <w:sz w:val="28"/>
          <w:szCs w:val="28"/>
        </w:rPr>
        <w:t xml:space="preserve">, </w:t>
      </w:r>
      <w:r w:rsidRPr="00CA254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еализация мероприятий</w:t>
      </w:r>
      <w:r w:rsidRPr="00CA25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национальных проектов, строительство и капитальный ремонт учреждений социальной сферы, </w:t>
      </w:r>
      <w:r w:rsidRPr="00CA2542">
        <w:rPr>
          <w:rFonts w:ascii="Times New Roman" w:hAnsi="Times New Roman"/>
          <w:sz w:val="28"/>
          <w:szCs w:val="28"/>
        </w:rPr>
        <w:t>а также иных мероприятий, связанных с обеспечением решений (поручений) Правительства</w:t>
      </w:r>
      <w:proofErr w:type="gramEnd"/>
      <w:r w:rsidRPr="00CA2542">
        <w:rPr>
          <w:rFonts w:ascii="Times New Roman" w:hAnsi="Times New Roman"/>
          <w:sz w:val="28"/>
          <w:szCs w:val="28"/>
        </w:rPr>
        <w:t xml:space="preserve"> Российской Федерации и Президента Российской Федерации</w:t>
      </w:r>
      <w:r w:rsidRPr="00D87035">
        <w:rPr>
          <w:rFonts w:ascii="Times New Roman" w:hAnsi="Times New Roman"/>
          <w:sz w:val="28"/>
          <w:szCs w:val="28"/>
        </w:rPr>
        <w:t xml:space="preserve">. </w:t>
      </w:r>
    </w:p>
    <w:p w14:paraId="178CB60E" w14:textId="77777777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В отчетном периоде существенный рост расходов на здравоохранение (на 27,2 %) обусловлен 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>реализацией региональных программ по модернизации первичного звена здравоохранения</w:t>
      </w:r>
      <w:r>
        <w:rPr>
          <w:rFonts w:ascii="Times New Roman" w:hAnsi="Times New Roman"/>
          <w:color w:val="000000" w:themeColor="text1"/>
          <w:sz w:val="28"/>
          <w:szCs w:val="28"/>
        </w:rPr>
        <w:t>, у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>величен</w:t>
      </w:r>
      <w:r>
        <w:rPr>
          <w:rFonts w:ascii="Times New Roman" w:hAnsi="Times New Roman"/>
          <w:color w:val="000000" w:themeColor="text1"/>
          <w:sz w:val="28"/>
          <w:szCs w:val="28"/>
        </w:rPr>
        <w:t>ием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 xml:space="preserve"> ассигновани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 xml:space="preserve"> на осуществление централизованн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 xml:space="preserve"> закуп</w:t>
      </w:r>
      <w:r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 xml:space="preserve"> лекарственных препаратов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по причине роста цен, 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 xml:space="preserve">перечислением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3955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квартале </w:t>
      </w:r>
      <w:r w:rsidRPr="002D3847">
        <w:rPr>
          <w:rFonts w:ascii="Times New Roman" w:hAnsi="Times New Roman"/>
          <w:color w:val="000000" w:themeColor="text1"/>
          <w:sz w:val="28"/>
          <w:szCs w:val="28"/>
        </w:rPr>
        <w:t>средств бюджетным и автономным учреждениям в целях проведения конкурсных процедур и заключения договоров на оснащение оборудованием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медицинских учреждений. </w:t>
      </w:r>
      <w:proofErr w:type="gramEnd"/>
    </w:p>
    <w:p w14:paraId="0C30F3EE" w14:textId="63AB2465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Кроме того, в</w:t>
      </w:r>
      <w:r w:rsidRPr="00E901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зависимости от 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эпидемиологической ситуации в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отдельных 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регион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ах </w:t>
      </w:r>
      <w:r w:rsidRPr="00211E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рост расходов на здравоохранение по-прежнему связан с реализацией мероприятий по борьбе с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корон</w:t>
      </w:r>
      <w:r w:rsidR="00FF70E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вирусом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D0AB7D1" w14:textId="07D3F454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Причиной замедления темпов роста на социальную политику послужило изменение законодательства в части передачи </w:t>
      </w:r>
      <w:r w:rsidR="003A04DF">
        <w:rPr>
          <w:rFonts w:ascii="Times New Roman" w:hAnsi="Times New Roman"/>
          <w:color w:val="000000" w:themeColor="text1"/>
          <w:sz w:val="28"/>
          <w:szCs w:val="28"/>
        </w:rPr>
        <w:t xml:space="preserve">с 1 января 2022 года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органы Пенсионного фонда России бюджетных полномочий по осуществлению мер социальной поддержки (пособия, выплаты,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компенсации) неработающим гражданам, имеющих детей, лицам, подвергшимся воздействию радиации, реабилитированным лицам и инвалидам (детям-инвалидам), имеющим транспортные средства по медицинским показаниям.</w:t>
      </w:r>
      <w:proofErr w:type="gramEnd"/>
    </w:p>
    <w:p w14:paraId="2F3ABC45" w14:textId="77777777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национальную экономику приходится 16,6 % расходов консолидированных бюджетов регионов, на их динамику в разрезе регионов в основном повлиял рост расходов на </w:t>
      </w:r>
      <w:r w:rsidRPr="00545B34">
        <w:rPr>
          <w:rFonts w:ascii="Times New Roman" w:hAnsi="Times New Roman"/>
          <w:color w:val="000000" w:themeColor="text1"/>
          <w:sz w:val="28"/>
          <w:szCs w:val="28"/>
        </w:rPr>
        <w:t>дорожно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545B34">
        <w:rPr>
          <w:rFonts w:ascii="Times New Roman" w:hAnsi="Times New Roman"/>
          <w:color w:val="000000" w:themeColor="text1"/>
          <w:sz w:val="28"/>
          <w:szCs w:val="28"/>
        </w:rPr>
        <w:t xml:space="preserve"> хозяйств</w:t>
      </w:r>
      <w:r>
        <w:rPr>
          <w:rFonts w:ascii="Times New Roman" w:hAnsi="Times New Roman"/>
          <w:color w:val="000000" w:themeColor="text1"/>
          <w:sz w:val="28"/>
          <w:szCs w:val="28"/>
        </w:rPr>
        <w:t>о (на 12,9 %) и сельское хозяйство (на 35,6 %).</w:t>
      </w:r>
    </w:p>
    <w:p w14:paraId="7B5579C1" w14:textId="77777777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F77D4A">
        <w:rPr>
          <w:rFonts w:ascii="Times New Roman" w:hAnsi="Times New Roman"/>
          <w:color w:val="000000" w:themeColor="text1"/>
          <w:sz w:val="28"/>
          <w:szCs w:val="28"/>
        </w:rPr>
        <w:t xml:space="preserve">начительный рост расходов на сельское хозяйство ряда </w:t>
      </w:r>
      <w:r>
        <w:rPr>
          <w:rFonts w:ascii="Times New Roman" w:hAnsi="Times New Roman"/>
          <w:color w:val="000000" w:themeColor="text1"/>
          <w:sz w:val="28"/>
          <w:szCs w:val="28"/>
        </w:rPr>
        <w:t>регионов</w:t>
      </w:r>
      <w:r w:rsidRPr="00F77D4A">
        <w:rPr>
          <w:rFonts w:ascii="Times New Roman" w:hAnsi="Times New Roman"/>
          <w:color w:val="000000" w:themeColor="text1"/>
          <w:sz w:val="28"/>
          <w:szCs w:val="28"/>
        </w:rPr>
        <w:t xml:space="preserve"> связан с низкой базой 2021 год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77D4A">
        <w:rPr>
          <w:rFonts w:ascii="Times New Roman" w:hAnsi="Times New Roman"/>
          <w:color w:val="000000" w:themeColor="text1"/>
          <w:sz w:val="28"/>
          <w:szCs w:val="28"/>
        </w:rPr>
        <w:t xml:space="preserve">, а также </w:t>
      </w:r>
      <w:r w:rsidRPr="00D173BD">
        <w:rPr>
          <w:rFonts w:ascii="Times New Roman" w:hAnsi="Times New Roman"/>
          <w:iCs/>
          <w:sz w:val="28"/>
          <w:szCs w:val="28"/>
        </w:rPr>
        <w:t>проведени</w:t>
      </w:r>
      <w:r>
        <w:rPr>
          <w:rFonts w:ascii="Times New Roman" w:hAnsi="Times New Roman"/>
          <w:iCs/>
          <w:sz w:val="28"/>
          <w:szCs w:val="28"/>
        </w:rPr>
        <w:t>ем</w:t>
      </w:r>
      <w:r w:rsidRPr="00D173BD">
        <w:rPr>
          <w:rFonts w:ascii="Times New Roman" w:hAnsi="Times New Roman"/>
          <w:iCs/>
          <w:sz w:val="28"/>
          <w:szCs w:val="28"/>
        </w:rPr>
        <w:t xml:space="preserve">  в более сжатые сроки отбора </w:t>
      </w:r>
      <w:proofErr w:type="spellStart"/>
      <w:r w:rsidRPr="00D173BD">
        <w:rPr>
          <w:rFonts w:ascii="Times New Roman" w:hAnsi="Times New Roman"/>
          <w:iCs/>
          <w:sz w:val="28"/>
          <w:szCs w:val="28"/>
        </w:rPr>
        <w:t>сельхозтоваропроизводителей</w:t>
      </w:r>
      <w:proofErr w:type="spellEnd"/>
      <w:r w:rsidRPr="00D173BD">
        <w:rPr>
          <w:rFonts w:ascii="Times New Roman" w:hAnsi="Times New Roman"/>
          <w:iCs/>
          <w:sz w:val="28"/>
          <w:szCs w:val="28"/>
        </w:rPr>
        <w:t xml:space="preserve"> в 2022 году на предоставление субсидий</w:t>
      </w:r>
      <w:r>
        <w:rPr>
          <w:rFonts w:ascii="Times New Roman" w:hAnsi="Times New Roman"/>
          <w:iCs/>
          <w:sz w:val="28"/>
          <w:szCs w:val="28"/>
        </w:rPr>
        <w:t xml:space="preserve"> и ускорению доведения до них бюджетных средств.</w:t>
      </w:r>
    </w:p>
    <w:p w14:paraId="192CE763" w14:textId="77777777" w:rsidR="00033784" w:rsidRPr="001842B5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340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долю </w:t>
      </w:r>
      <w:r w:rsidRPr="00243402">
        <w:rPr>
          <w:rFonts w:ascii="Times New Roman" w:hAnsi="Times New Roman"/>
          <w:color w:val="000000" w:themeColor="text1"/>
          <w:sz w:val="28"/>
          <w:szCs w:val="28"/>
        </w:rPr>
        <w:t>жилищно-коммунально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243402">
        <w:rPr>
          <w:rFonts w:ascii="Times New Roman" w:hAnsi="Times New Roman"/>
          <w:color w:val="000000" w:themeColor="text1"/>
          <w:sz w:val="28"/>
          <w:szCs w:val="28"/>
        </w:rPr>
        <w:t xml:space="preserve"> хозяйств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43402">
        <w:rPr>
          <w:rFonts w:ascii="Times New Roman" w:hAnsi="Times New Roman"/>
          <w:color w:val="000000" w:themeColor="text1"/>
          <w:sz w:val="28"/>
          <w:szCs w:val="28"/>
        </w:rPr>
        <w:t xml:space="preserve"> приходит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ся 8,5 % общего объема расходов, при этом </w:t>
      </w:r>
      <w:r w:rsidRPr="00243402">
        <w:rPr>
          <w:rFonts w:ascii="Times New Roman" w:hAnsi="Times New Roman"/>
          <w:color w:val="000000" w:themeColor="text1"/>
          <w:sz w:val="28"/>
          <w:szCs w:val="28"/>
        </w:rPr>
        <w:t>в бюджетах 19 регионов доля указанных расходов превышает показатель по стране (в Ямало-Ненецком автономном округе – 41,3 %, Чукотском автономном округе – 35,9 %, Мурманской области – 26,8 %).</w:t>
      </w:r>
    </w:p>
    <w:p w14:paraId="6AB5879F" w14:textId="77777777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ост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указанных 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>расходов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основном связан 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с ускорением реализации мероприятий </w:t>
      </w:r>
      <w:r w:rsidRPr="008518DA">
        <w:rPr>
          <w:rFonts w:ascii="Times New Roman" w:hAnsi="Times New Roman"/>
          <w:color w:val="000000" w:themeColor="text1"/>
          <w:sz w:val="28"/>
          <w:szCs w:val="28"/>
        </w:rPr>
        <w:t xml:space="preserve">по переселению граждан из аварийного жилищного фонда 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и увеличением лимитов от 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государственной корпорации</w:t>
      </w:r>
      <w:r w:rsidRPr="00675E63">
        <w:rPr>
          <w:rFonts w:ascii="Times New Roman" w:hAnsi="Times New Roman"/>
          <w:color w:val="000000" w:themeColor="text1"/>
          <w:sz w:val="28"/>
          <w:szCs w:val="28"/>
        </w:rPr>
        <w:t xml:space="preserve"> - Фонда содействия ЖКХ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314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также </w:t>
      </w:r>
      <w:r w:rsidRPr="0094478E">
        <w:rPr>
          <w:rFonts w:ascii="Times New Roman" w:hAnsi="Times New Roman"/>
          <w:color w:val="000000" w:themeColor="text1"/>
          <w:sz w:val="28"/>
          <w:szCs w:val="28"/>
        </w:rPr>
        <w:t>осуществлением авансовых выплат по обеспечению мероприятий по переселению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 xml:space="preserve"> граждан из аварийного жилищного фонда и по капитальному ремонту многоквартирных домов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>в размере до 50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0C2539">
        <w:rPr>
          <w:rFonts w:ascii="Times New Roman" w:hAnsi="Times New Roman"/>
          <w:color w:val="000000" w:themeColor="text1"/>
          <w:sz w:val="28"/>
          <w:szCs w:val="28"/>
        </w:rPr>
        <w:t xml:space="preserve">% от суммы контракта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>с действующим законодательством.</w:t>
      </w:r>
      <w:proofErr w:type="gramEnd"/>
    </w:p>
    <w:p w14:paraId="5120C39D" w14:textId="77777777" w:rsidR="00033784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разрезе видов расходов отмечается с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>ущественн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рост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 расход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 на закупку товаров, работ и услуг (на 20,4 %), что в основном связано с ув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еличением объемов авансирования, а также 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расходов на предоставление субсидий бюджетным автономным учреждениям (на 14,1 %), </w:t>
      </w:r>
      <w:r w:rsidR="00586788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>обусловлен</w:t>
      </w:r>
      <w:r w:rsidR="0058678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 ускорением перечисления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бюджетных </w:t>
      </w:r>
      <w:r w:rsidRPr="005312B3">
        <w:rPr>
          <w:rFonts w:ascii="Times New Roman" w:hAnsi="Times New Roman"/>
          <w:color w:val="000000" w:themeColor="text1"/>
          <w:sz w:val="28"/>
          <w:szCs w:val="28"/>
        </w:rPr>
        <w:t>сре</w:t>
      </w:r>
      <w:proofErr w:type="gramStart"/>
      <w:r w:rsidRPr="005312B3">
        <w:rPr>
          <w:rFonts w:ascii="Times New Roman" w:hAnsi="Times New Roman"/>
          <w:color w:val="000000" w:themeColor="text1"/>
          <w:sz w:val="28"/>
          <w:szCs w:val="28"/>
        </w:rPr>
        <w:t>дств в ц</w:t>
      </w:r>
      <w:proofErr w:type="gramEnd"/>
      <w:r w:rsidRPr="005312B3">
        <w:rPr>
          <w:rFonts w:ascii="Times New Roman" w:hAnsi="Times New Roman"/>
          <w:color w:val="000000" w:themeColor="text1"/>
          <w:sz w:val="28"/>
          <w:szCs w:val="28"/>
        </w:rPr>
        <w:t xml:space="preserve">елях проведения конкурсных процедур и заключения договоров. </w:t>
      </w:r>
    </w:p>
    <w:p w14:paraId="70FD4A9B" w14:textId="143970FA" w:rsidR="00033784" w:rsidRPr="00CB680F" w:rsidRDefault="00033784" w:rsidP="00F03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680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CB680F">
        <w:rPr>
          <w:rFonts w:ascii="Times New Roman" w:hAnsi="Times New Roman"/>
          <w:sz w:val="28"/>
          <w:szCs w:val="28"/>
        </w:rPr>
        <w:t xml:space="preserve"> течение </w:t>
      </w:r>
      <w:r w:rsidRPr="00CB680F">
        <w:rPr>
          <w:rFonts w:ascii="Times New Roman" w:hAnsi="Times New Roman"/>
          <w:sz w:val="28"/>
          <w:szCs w:val="28"/>
          <w:lang w:val="en-US"/>
        </w:rPr>
        <w:t>I</w:t>
      </w:r>
      <w:r w:rsidRPr="00CB680F">
        <w:rPr>
          <w:rFonts w:ascii="Times New Roman" w:hAnsi="Times New Roman"/>
          <w:sz w:val="28"/>
          <w:szCs w:val="28"/>
        </w:rPr>
        <w:t xml:space="preserve"> квартала 2022 года объем утвержденных бюджетных назначений по расходам увеличился на 4,2 % (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CB680F">
        <w:rPr>
          <w:rFonts w:ascii="Times New Roman" w:hAnsi="Times New Roman"/>
          <w:sz w:val="28"/>
          <w:szCs w:val="28"/>
        </w:rPr>
        <w:t>755,2 млрд</w:t>
      </w:r>
      <w:r w:rsidR="00FF70EF">
        <w:rPr>
          <w:rFonts w:ascii="Times New Roman" w:hAnsi="Times New Roman"/>
          <w:sz w:val="28"/>
          <w:szCs w:val="28"/>
        </w:rPr>
        <w:t>.</w:t>
      </w:r>
      <w:r w:rsidRPr="00CB680F">
        <w:rPr>
          <w:rFonts w:ascii="Times New Roman" w:hAnsi="Times New Roman"/>
          <w:sz w:val="28"/>
          <w:szCs w:val="28"/>
        </w:rPr>
        <w:t xml:space="preserve"> рублей), в том числе за счет увеличения бюджет</w:t>
      </w:r>
      <w:r w:rsidR="00586788">
        <w:rPr>
          <w:rFonts w:ascii="Times New Roman" w:hAnsi="Times New Roman"/>
          <w:sz w:val="28"/>
          <w:szCs w:val="28"/>
        </w:rPr>
        <w:t>ных ассигнований по разделам 04 </w:t>
      </w:r>
      <w:r w:rsidRPr="00CB680F">
        <w:rPr>
          <w:rFonts w:ascii="Times New Roman" w:hAnsi="Times New Roman"/>
          <w:sz w:val="28"/>
          <w:szCs w:val="28"/>
        </w:rPr>
        <w:t>«Национальная экономика» - на 7,4 %, 05 «Жилищно-коммунальное хозяйство» - на 5,4 %, и 09 «Образование» - на 3,4 %</w:t>
      </w:r>
      <w:r>
        <w:rPr>
          <w:rFonts w:ascii="Times New Roman" w:hAnsi="Times New Roman"/>
          <w:sz w:val="28"/>
          <w:szCs w:val="28"/>
        </w:rPr>
        <w:t xml:space="preserve"> (в течение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7D6C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квартала 2021 года – на 3,4 %, или на 516,0 млрд</w:t>
      </w:r>
      <w:r w:rsidR="00FF70E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рублей)</w:t>
      </w:r>
      <w:r w:rsidRPr="00CB680F">
        <w:rPr>
          <w:rFonts w:ascii="Times New Roman" w:hAnsi="Times New Roman"/>
          <w:sz w:val="28"/>
          <w:szCs w:val="28"/>
        </w:rPr>
        <w:t>.</w:t>
      </w:r>
      <w:proofErr w:type="gramEnd"/>
    </w:p>
    <w:p w14:paraId="4023FDB7" w14:textId="77777777" w:rsidR="00033784" w:rsidRPr="00F01AAB" w:rsidRDefault="00033784" w:rsidP="00F03FE0">
      <w:pPr>
        <w:pStyle w:val="a3"/>
        <w:ind w:firstLine="851"/>
        <w:jc w:val="both"/>
        <w:rPr>
          <w:sz w:val="28"/>
          <w:szCs w:val="28"/>
        </w:rPr>
      </w:pPr>
      <w:r w:rsidRPr="00D74519">
        <w:rPr>
          <w:sz w:val="28"/>
          <w:szCs w:val="28"/>
        </w:rPr>
        <w:t xml:space="preserve">В целом исполнение расходов по стране сложилось на уровне 18,3 % </w:t>
      </w:r>
      <w:r w:rsidRPr="00F01AAB">
        <w:rPr>
          <w:sz w:val="28"/>
          <w:szCs w:val="28"/>
        </w:rPr>
        <w:t xml:space="preserve">предусмотренного объема, в 46 регионах - </w:t>
      </w:r>
      <w:proofErr w:type="gramStart"/>
      <w:r w:rsidRPr="00F01AAB">
        <w:rPr>
          <w:sz w:val="28"/>
          <w:szCs w:val="28"/>
        </w:rPr>
        <w:t>ниже указанного</w:t>
      </w:r>
      <w:proofErr w:type="gramEnd"/>
      <w:r w:rsidRPr="00F01AAB">
        <w:rPr>
          <w:sz w:val="28"/>
          <w:szCs w:val="28"/>
        </w:rPr>
        <w:t xml:space="preserve"> значения. На низком уровне исполнены бюдж</w:t>
      </w:r>
      <w:r w:rsidR="00586788">
        <w:rPr>
          <w:sz w:val="28"/>
          <w:szCs w:val="28"/>
        </w:rPr>
        <w:t>етные назначения по разделам 01 </w:t>
      </w:r>
      <w:r w:rsidRPr="00F01AAB">
        <w:rPr>
          <w:sz w:val="28"/>
          <w:szCs w:val="28"/>
        </w:rPr>
        <w:t>«Общегосударственные вопросы» (12,7 %), 04 «Национальная экономика» (14,2 %) и 05 «Жилищно-коммунальное хозяйство» (15,4 %)</w:t>
      </w:r>
      <w:r>
        <w:rPr>
          <w:sz w:val="28"/>
          <w:szCs w:val="28"/>
        </w:rPr>
        <w:t>.</w:t>
      </w:r>
    </w:p>
    <w:p w14:paraId="3FC9346A" w14:textId="77777777" w:rsidR="00D56336" w:rsidRPr="00D06F2D" w:rsidRDefault="00D56336" w:rsidP="00F03F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F2D">
        <w:rPr>
          <w:rFonts w:ascii="Times New Roman" w:hAnsi="Times New Roman" w:cs="Times New Roman"/>
          <w:b/>
          <w:sz w:val="28"/>
          <w:szCs w:val="28"/>
        </w:rPr>
        <w:t>Совокупный государственный долг</w:t>
      </w:r>
      <w:r w:rsidRPr="00D06F2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 и долг муниципальных образований, входящих в состав субъекта Российской Федерации, по состоянию на </w:t>
      </w:r>
      <w:r w:rsidR="002A4DD0" w:rsidRPr="00D06F2D">
        <w:rPr>
          <w:rFonts w:ascii="Times New Roman" w:hAnsi="Times New Roman" w:cs="Times New Roman"/>
          <w:sz w:val="28"/>
          <w:szCs w:val="28"/>
        </w:rPr>
        <w:t>1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D06F2D" w:rsidRPr="00D06F2D">
        <w:rPr>
          <w:rFonts w:ascii="Times New Roman" w:hAnsi="Times New Roman" w:cs="Times New Roman"/>
          <w:sz w:val="28"/>
          <w:szCs w:val="28"/>
        </w:rPr>
        <w:t>апрел</w:t>
      </w:r>
      <w:r w:rsidR="002A4DD0" w:rsidRPr="00D06F2D">
        <w:rPr>
          <w:rFonts w:ascii="Times New Roman" w:hAnsi="Times New Roman" w:cs="Times New Roman"/>
          <w:sz w:val="28"/>
          <w:szCs w:val="28"/>
        </w:rPr>
        <w:t>я</w:t>
      </w:r>
      <w:r w:rsidRPr="00D06F2D">
        <w:rPr>
          <w:rFonts w:ascii="Times New Roman" w:hAnsi="Times New Roman" w:cs="Times New Roman"/>
          <w:sz w:val="28"/>
          <w:szCs w:val="28"/>
        </w:rPr>
        <w:t xml:space="preserve"> 202</w:t>
      </w:r>
      <w:r w:rsidR="002A4DD0" w:rsidRPr="00D06F2D">
        <w:rPr>
          <w:rFonts w:ascii="Times New Roman" w:hAnsi="Times New Roman" w:cs="Times New Roman"/>
          <w:sz w:val="28"/>
          <w:szCs w:val="28"/>
        </w:rPr>
        <w:t>2</w:t>
      </w:r>
      <w:r w:rsidRPr="00D06F2D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2A4DD0" w:rsidRPr="00D06F2D">
        <w:rPr>
          <w:rFonts w:ascii="Times New Roman" w:hAnsi="Times New Roman" w:cs="Times New Roman"/>
          <w:sz w:val="28"/>
          <w:szCs w:val="28"/>
        </w:rPr>
        <w:t>2</w:t>
      </w:r>
      <w:r w:rsidR="00D06F2D" w:rsidRPr="00D06F2D">
        <w:rPr>
          <w:rFonts w:ascii="Times New Roman" w:hAnsi="Times New Roman" w:cs="Times New Roman"/>
          <w:sz w:val="28"/>
          <w:szCs w:val="28"/>
        </w:rPr>
        <w:t> </w:t>
      </w:r>
      <w:r w:rsidR="002A4DD0" w:rsidRPr="00D06F2D">
        <w:rPr>
          <w:rFonts w:ascii="Times New Roman" w:hAnsi="Times New Roman" w:cs="Times New Roman"/>
          <w:sz w:val="28"/>
          <w:szCs w:val="28"/>
        </w:rPr>
        <w:t>8</w:t>
      </w:r>
      <w:r w:rsidR="00D06F2D" w:rsidRPr="00D06F2D">
        <w:rPr>
          <w:rFonts w:ascii="Times New Roman" w:hAnsi="Times New Roman" w:cs="Times New Roman"/>
          <w:sz w:val="28"/>
          <w:szCs w:val="28"/>
        </w:rPr>
        <w:t>28,1</w:t>
      </w:r>
      <w:r w:rsidR="002A4DD0" w:rsidRPr="00D06F2D">
        <w:rPr>
          <w:rFonts w:ascii="Times New Roman" w:hAnsi="Times New Roman" w:cs="Times New Roman"/>
          <w:sz w:val="28"/>
          <w:szCs w:val="28"/>
        </w:rPr>
        <w:t> 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 и по сравнению с 1 января 202</w:t>
      </w:r>
      <w:r w:rsidR="00D06F2D" w:rsidRPr="00D06F2D">
        <w:rPr>
          <w:rFonts w:ascii="Times New Roman" w:hAnsi="Times New Roman" w:cs="Times New Roman"/>
          <w:sz w:val="28"/>
          <w:szCs w:val="28"/>
        </w:rPr>
        <w:t>2</w:t>
      </w:r>
      <w:r w:rsidRPr="00D06F2D">
        <w:rPr>
          <w:rFonts w:ascii="Times New Roman" w:hAnsi="Times New Roman" w:cs="Times New Roman"/>
          <w:sz w:val="28"/>
          <w:szCs w:val="28"/>
        </w:rPr>
        <w:t xml:space="preserve"> года (2</w:t>
      </w:r>
      <w:r w:rsidR="00D06F2D" w:rsidRPr="00D06F2D">
        <w:rPr>
          <w:rFonts w:ascii="Times New Roman" w:hAnsi="Times New Roman" w:cs="Times New Roman"/>
          <w:sz w:val="28"/>
          <w:szCs w:val="28"/>
        </w:rPr>
        <w:t> </w:t>
      </w:r>
      <w:r w:rsidRPr="00D06F2D">
        <w:rPr>
          <w:rFonts w:ascii="Times New Roman" w:hAnsi="Times New Roman" w:cs="Times New Roman"/>
          <w:sz w:val="28"/>
          <w:szCs w:val="28"/>
        </w:rPr>
        <w:t>8</w:t>
      </w:r>
      <w:r w:rsidR="00D06F2D" w:rsidRPr="00D06F2D">
        <w:rPr>
          <w:rFonts w:ascii="Times New Roman" w:hAnsi="Times New Roman" w:cs="Times New Roman"/>
          <w:sz w:val="28"/>
          <w:szCs w:val="28"/>
        </w:rPr>
        <w:t>51,0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рублей) уменьшился на </w:t>
      </w:r>
      <w:r w:rsidR="00D06F2D" w:rsidRPr="00D06F2D">
        <w:rPr>
          <w:rFonts w:ascii="Times New Roman" w:hAnsi="Times New Roman" w:cs="Times New Roman"/>
          <w:sz w:val="28"/>
          <w:szCs w:val="28"/>
        </w:rPr>
        <w:t>22,9</w:t>
      </w:r>
      <w:r w:rsidRPr="00D06F2D">
        <w:rPr>
          <w:rFonts w:ascii="Times New Roman" w:hAnsi="Times New Roman" w:cs="Times New Roman"/>
          <w:sz w:val="28"/>
          <w:szCs w:val="28"/>
        </w:rPr>
        <w:t> 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D06F2D" w:rsidRPr="00D06F2D">
        <w:rPr>
          <w:rFonts w:ascii="Times New Roman" w:hAnsi="Times New Roman" w:cs="Times New Roman"/>
          <w:sz w:val="28"/>
          <w:szCs w:val="28"/>
        </w:rPr>
        <w:t>0,8</w:t>
      </w:r>
      <w:r w:rsidRPr="00D06F2D">
        <w:rPr>
          <w:rFonts w:ascii="Times New Roman" w:hAnsi="Times New Roman" w:cs="Times New Roman"/>
          <w:sz w:val="28"/>
          <w:szCs w:val="28"/>
        </w:rPr>
        <w:t> %.</w:t>
      </w:r>
    </w:p>
    <w:p w14:paraId="24ECA5AB" w14:textId="77777777" w:rsidR="00160F11" w:rsidRDefault="00D56336" w:rsidP="00F03FE0">
      <w:pPr>
        <w:widowControl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06F2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долг субъектов Российской Федерации по состоянию на 1 </w:t>
      </w:r>
      <w:r w:rsidR="00D06F2D" w:rsidRPr="00D06F2D">
        <w:rPr>
          <w:rFonts w:ascii="Times New Roman" w:hAnsi="Times New Roman" w:cs="Times New Roman"/>
          <w:sz w:val="28"/>
          <w:szCs w:val="28"/>
        </w:rPr>
        <w:t>апрел</w:t>
      </w:r>
      <w:r w:rsidR="002A4DD0" w:rsidRPr="00D06F2D">
        <w:rPr>
          <w:rFonts w:ascii="Times New Roman" w:hAnsi="Times New Roman" w:cs="Times New Roman"/>
          <w:sz w:val="28"/>
          <w:szCs w:val="28"/>
        </w:rPr>
        <w:t>я</w:t>
      </w:r>
      <w:r w:rsidRPr="00D06F2D">
        <w:rPr>
          <w:rFonts w:ascii="Times New Roman" w:hAnsi="Times New Roman" w:cs="Times New Roman"/>
          <w:sz w:val="28"/>
          <w:szCs w:val="28"/>
        </w:rPr>
        <w:t xml:space="preserve"> 202</w:t>
      </w:r>
      <w:r w:rsidR="002A4DD0" w:rsidRPr="00D06F2D">
        <w:rPr>
          <w:rFonts w:ascii="Times New Roman" w:hAnsi="Times New Roman" w:cs="Times New Roman"/>
          <w:sz w:val="28"/>
          <w:szCs w:val="28"/>
        </w:rPr>
        <w:t>2</w:t>
      </w:r>
      <w:r w:rsidRPr="00D06F2D">
        <w:rPr>
          <w:rFonts w:ascii="Times New Roman" w:hAnsi="Times New Roman" w:cs="Times New Roman"/>
          <w:sz w:val="28"/>
          <w:szCs w:val="28"/>
        </w:rPr>
        <w:t xml:space="preserve"> года составил 2</w:t>
      </w:r>
      <w:r w:rsidR="00D06F2D" w:rsidRPr="00D06F2D">
        <w:rPr>
          <w:rFonts w:ascii="Times New Roman" w:hAnsi="Times New Roman" w:cs="Times New Roman"/>
          <w:sz w:val="28"/>
          <w:szCs w:val="28"/>
        </w:rPr>
        <w:t> </w:t>
      </w:r>
      <w:r w:rsidR="002A4DD0" w:rsidRPr="00D06F2D">
        <w:rPr>
          <w:rFonts w:ascii="Times New Roman" w:hAnsi="Times New Roman" w:cs="Times New Roman"/>
          <w:sz w:val="28"/>
          <w:szCs w:val="28"/>
        </w:rPr>
        <w:t>47</w:t>
      </w:r>
      <w:r w:rsidR="00D06F2D" w:rsidRPr="00D06F2D">
        <w:rPr>
          <w:rFonts w:ascii="Times New Roman" w:hAnsi="Times New Roman" w:cs="Times New Roman"/>
          <w:sz w:val="28"/>
          <w:szCs w:val="28"/>
        </w:rPr>
        <w:t>5,6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 и </w:t>
      </w:r>
      <w:r w:rsidR="00D06F2D" w:rsidRPr="00D06F2D">
        <w:rPr>
          <w:rFonts w:ascii="Times New Roman" w:hAnsi="Times New Roman" w:cs="Times New Roman"/>
          <w:sz w:val="28"/>
          <w:szCs w:val="28"/>
        </w:rPr>
        <w:t>вырос</w:t>
      </w:r>
      <w:r w:rsidRPr="00D06F2D">
        <w:rPr>
          <w:rFonts w:ascii="Times New Roman" w:hAnsi="Times New Roman" w:cs="Times New Roman"/>
          <w:sz w:val="28"/>
          <w:szCs w:val="28"/>
        </w:rPr>
        <w:t xml:space="preserve"> по ср</w:t>
      </w:r>
      <w:r w:rsidR="00D06F2D">
        <w:rPr>
          <w:rFonts w:ascii="Times New Roman" w:hAnsi="Times New Roman" w:cs="Times New Roman"/>
          <w:sz w:val="28"/>
          <w:szCs w:val="28"/>
        </w:rPr>
        <w:t>авнению с 1 </w:t>
      </w:r>
      <w:r w:rsidR="002A4DD0" w:rsidRPr="00D06F2D">
        <w:rPr>
          <w:rFonts w:ascii="Times New Roman" w:hAnsi="Times New Roman" w:cs="Times New Roman"/>
          <w:sz w:val="28"/>
          <w:szCs w:val="28"/>
        </w:rPr>
        <w:t>января 202</w:t>
      </w:r>
      <w:r w:rsidR="00D06F2D" w:rsidRPr="00D06F2D">
        <w:rPr>
          <w:rFonts w:ascii="Times New Roman" w:hAnsi="Times New Roman" w:cs="Times New Roman"/>
          <w:sz w:val="28"/>
          <w:szCs w:val="28"/>
        </w:rPr>
        <w:t>2</w:t>
      </w:r>
      <w:r w:rsidR="002A4DD0" w:rsidRPr="00D06F2D">
        <w:rPr>
          <w:rFonts w:ascii="Times New Roman" w:hAnsi="Times New Roman" w:cs="Times New Roman"/>
          <w:sz w:val="28"/>
          <w:szCs w:val="28"/>
        </w:rPr>
        <w:t xml:space="preserve"> года (2</w:t>
      </w:r>
      <w:r w:rsidR="00D06F2D" w:rsidRPr="00D06F2D">
        <w:rPr>
          <w:rFonts w:ascii="Times New Roman" w:hAnsi="Times New Roman" w:cs="Times New Roman"/>
          <w:sz w:val="28"/>
          <w:szCs w:val="28"/>
        </w:rPr>
        <w:t> </w:t>
      </w:r>
      <w:r w:rsidRPr="00D06F2D">
        <w:rPr>
          <w:rFonts w:ascii="Times New Roman" w:hAnsi="Times New Roman" w:cs="Times New Roman"/>
          <w:sz w:val="28"/>
          <w:szCs w:val="28"/>
        </w:rPr>
        <w:t>4</w:t>
      </w:r>
      <w:r w:rsidR="00D06F2D" w:rsidRPr="00D06F2D">
        <w:rPr>
          <w:rFonts w:ascii="Times New Roman" w:hAnsi="Times New Roman" w:cs="Times New Roman"/>
          <w:sz w:val="28"/>
          <w:szCs w:val="28"/>
        </w:rPr>
        <w:t>74,5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рублей) на </w:t>
      </w:r>
      <w:r w:rsidR="00D06F2D" w:rsidRPr="00D06F2D">
        <w:rPr>
          <w:rFonts w:ascii="Times New Roman" w:hAnsi="Times New Roman" w:cs="Times New Roman"/>
          <w:sz w:val="28"/>
          <w:szCs w:val="28"/>
        </w:rPr>
        <w:t>1,1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="002A4DD0" w:rsidRPr="00D06F2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748B6" w:rsidRPr="00D06F2D">
        <w:rPr>
          <w:rFonts w:ascii="Times New Roman" w:hAnsi="Times New Roman" w:cs="Times New Roman"/>
          <w:sz w:val="28"/>
          <w:szCs w:val="28"/>
        </w:rPr>
        <w:t>,</w:t>
      </w:r>
      <w:r w:rsidR="002A4DD0" w:rsidRPr="00D06F2D">
        <w:rPr>
          <w:rFonts w:ascii="Times New Roman" w:hAnsi="Times New Roman" w:cs="Times New Roman"/>
          <w:sz w:val="28"/>
          <w:szCs w:val="28"/>
        </w:rPr>
        <w:t xml:space="preserve"> или на 0,</w:t>
      </w:r>
      <w:r w:rsidR="00D06F2D" w:rsidRPr="00D06F2D">
        <w:rPr>
          <w:rFonts w:ascii="Times New Roman" w:hAnsi="Times New Roman" w:cs="Times New Roman"/>
          <w:sz w:val="28"/>
          <w:szCs w:val="28"/>
        </w:rPr>
        <w:t>04</w:t>
      </w:r>
      <w:r w:rsidRPr="00D06F2D">
        <w:rPr>
          <w:rFonts w:ascii="Times New Roman" w:hAnsi="Times New Roman" w:cs="Times New Roman"/>
          <w:sz w:val="28"/>
          <w:szCs w:val="28"/>
        </w:rPr>
        <w:t xml:space="preserve"> %, в том числе за счет </w:t>
      </w:r>
      <w:r w:rsidR="00D06F2D" w:rsidRPr="00D06F2D">
        <w:rPr>
          <w:rFonts w:ascii="Times New Roman" w:hAnsi="Times New Roman" w:cs="Times New Roman"/>
          <w:sz w:val="28"/>
          <w:szCs w:val="28"/>
        </w:rPr>
        <w:t>роста</w:t>
      </w:r>
      <w:r w:rsidRPr="00D06F2D">
        <w:rPr>
          <w:rFonts w:ascii="Times New Roman" w:hAnsi="Times New Roman" w:cs="Times New Roman"/>
          <w:sz w:val="28"/>
          <w:szCs w:val="28"/>
        </w:rPr>
        <w:t xml:space="preserve"> </w:t>
      </w:r>
      <w:r w:rsidR="002A4DD0" w:rsidRPr="00D06F2D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D06F2D">
        <w:rPr>
          <w:rFonts w:ascii="Times New Roman" w:hAnsi="Times New Roman" w:cs="Times New Roman"/>
          <w:sz w:val="28"/>
          <w:szCs w:val="28"/>
        </w:rPr>
        <w:t xml:space="preserve">по </w:t>
      </w:r>
      <w:r w:rsidR="00D06F2D" w:rsidRPr="00D06F2D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D06F2D">
        <w:rPr>
          <w:rFonts w:ascii="Times New Roman" w:hAnsi="Times New Roman" w:cs="Times New Roman"/>
          <w:sz w:val="28"/>
          <w:szCs w:val="28"/>
        </w:rPr>
        <w:t xml:space="preserve">кредитам на </w:t>
      </w:r>
      <w:r w:rsidR="00D06F2D" w:rsidRPr="00D06F2D">
        <w:rPr>
          <w:rFonts w:ascii="Times New Roman" w:hAnsi="Times New Roman" w:cs="Times New Roman"/>
          <w:sz w:val="28"/>
          <w:szCs w:val="28"/>
        </w:rPr>
        <w:t>68</w:t>
      </w:r>
      <w:r w:rsidR="002A4DD0" w:rsidRPr="00D06F2D">
        <w:rPr>
          <w:rFonts w:ascii="Times New Roman" w:hAnsi="Times New Roman" w:cs="Times New Roman"/>
          <w:sz w:val="28"/>
          <w:szCs w:val="28"/>
        </w:rPr>
        <w:t>,5</w:t>
      </w:r>
      <w:r w:rsidR="00586788">
        <w:rPr>
          <w:rFonts w:ascii="Times New Roman" w:hAnsi="Times New Roman" w:cs="Times New Roman"/>
          <w:sz w:val="28"/>
          <w:szCs w:val="28"/>
        </w:rPr>
        <w:t> </w:t>
      </w:r>
      <w:r w:rsidR="00340CF8">
        <w:rPr>
          <w:rFonts w:ascii="Times New Roman" w:hAnsi="Times New Roman" w:cs="Times New Roman"/>
          <w:sz w:val="28"/>
          <w:szCs w:val="28"/>
        </w:rPr>
        <w:t>млрд.</w:t>
      </w:r>
      <w:r w:rsidRPr="00D06F2D">
        <w:rPr>
          <w:rFonts w:ascii="Times New Roman" w:hAnsi="Times New Roman" w:cs="Times New Roman"/>
          <w:sz w:val="28"/>
          <w:szCs w:val="28"/>
        </w:rPr>
        <w:t xml:space="preserve"> рублей, или на </w:t>
      </w:r>
      <w:r w:rsidR="002A4DD0" w:rsidRPr="00D06F2D">
        <w:rPr>
          <w:rFonts w:ascii="Times New Roman" w:hAnsi="Times New Roman" w:cs="Times New Roman"/>
          <w:sz w:val="28"/>
          <w:szCs w:val="28"/>
        </w:rPr>
        <w:t>5</w:t>
      </w:r>
      <w:r w:rsidR="00D06F2D" w:rsidRPr="00D06F2D">
        <w:rPr>
          <w:rFonts w:ascii="Times New Roman" w:hAnsi="Times New Roman" w:cs="Times New Roman"/>
          <w:sz w:val="28"/>
          <w:szCs w:val="28"/>
        </w:rPr>
        <w:t xml:space="preserve"> %</w:t>
      </w:r>
      <w:r w:rsidRPr="00D06F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59C5ED3" w14:textId="77777777" w:rsidR="00160F11" w:rsidRPr="00AD3CEE" w:rsidRDefault="00160F11" w:rsidP="00F03FE0">
      <w:pPr>
        <w:widowControl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06F2D">
        <w:rPr>
          <w:rFonts w:ascii="Times New Roman" w:hAnsi="Times New Roman"/>
          <w:sz w:val="28"/>
          <w:szCs w:val="28"/>
        </w:rPr>
        <w:t xml:space="preserve">Задолженность по </w:t>
      </w:r>
      <w:r w:rsidR="00D06F2D" w:rsidRPr="00D06F2D">
        <w:rPr>
          <w:rFonts w:ascii="Times New Roman" w:hAnsi="Times New Roman"/>
          <w:sz w:val="28"/>
          <w:szCs w:val="28"/>
        </w:rPr>
        <w:t>кредитам от кредитных организаций</w:t>
      </w:r>
      <w:r w:rsidRPr="00D06F2D">
        <w:rPr>
          <w:rFonts w:ascii="Times New Roman" w:hAnsi="Times New Roman"/>
          <w:sz w:val="28"/>
          <w:szCs w:val="28"/>
        </w:rPr>
        <w:t xml:space="preserve">, напротив, </w:t>
      </w:r>
      <w:r w:rsidR="00D06F2D" w:rsidRPr="00D06F2D">
        <w:rPr>
          <w:rFonts w:ascii="Times New Roman" w:hAnsi="Times New Roman"/>
          <w:sz w:val="28"/>
          <w:szCs w:val="28"/>
        </w:rPr>
        <w:t>снизилась</w:t>
      </w:r>
      <w:r w:rsidRPr="00D06F2D">
        <w:rPr>
          <w:rFonts w:ascii="Times New Roman" w:hAnsi="Times New Roman"/>
          <w:sz w:val="28"/>
          <w:szCs w:val="28"/>
        </w:rPr>
        <w:t xml:space="preserve"> на </w:t>
      </w:r>
      <w:r w:rsidR="00D06F2D" w:rsidRPr="00D06F2D">
        <w:rPr>
          <w:rFonts w:ascii="Times New Roman" w:hAnsi="Times New Roman"/>
          <w:sz w:val="28"/>
          <w:szCs w:val="28"/>
        </w:rPr>
        <w:t>61,8</w:t>
      </w:r>
      <w:r w:rsidRPr="00D06F2D">
        <w:rPr>
          <w:rFonts w:ascii="Times New Roman" w:hAnsi="Times New Roman"/>
          <w:sz w:val="28"/>
          <w:szCs w:val="28"/>
        </w:rPr>
        <w:t xml:space="preserve"> 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D06F2D">
        <w:rPr>
          <w:rFonts w:ascii="Times New Roman" w:hAnsi="Times New Roman"/>
          <w:sz w:val="28"/>
          <w:szCs w:val="28"/>
        </w:rPr>
        <w:t xml:space="preserve"> рублей, или на 24 %, и составила </w:t>
      </w:r>
      <w:r w:rsidR="00D06F2D" w:rsidRPr="00D06F2D">
        <w:rPr>
          <w:rFonts w:ascii="Times New Roman" w:hAnsi="Times New Roman"/>
          <w:sz w:val="28"/>
          <w:szCs w:val="28"/>
        </w:rPr>
        <w:t>195,8</w:t>
      </w:r>
      <w:r w:rsidRPr="00D06F2D">
        <w:rPr>
          <w:rFonts w:ascii="Times New Roman" w:hAnsi="Times New Roman"/>
          <w:sz w:val="28"/>
          <w:szCs w:val="28"/>
        </w:rPr>
        <w:t xml:space="preserve"> 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D06F2D">
        <w:rPr>
          <w:rFonts w:ascii="Times New Roman" w:hAnsi="Times New Roman"/>
          <w:sz w:val="28"/>
          <w:szCs w:val="28"/>
        </w:rPr>
        <w:t xml:space="preserve"> рублей, по государственным ценным бумагам субъектов Российской Федерации – на </w:t>
      </w:r>
      <w:r w:rsidR="00D06F2D" w:rsidRPr="00D06F2D">
        <w:rPr>
          <w:rFonts w:ascii="Times New Roman" w:hAnsi="Times New Roman"/>
          <w:sz w:val="28"/>
          <w:szCs w:val="28"/>
        </w:rPr>
        <w:t>3,6</w:t>
      </w:r>
      <w:r w:rsidRPr="00D06F2D">
        <w:rPr>
          <w:rFonts w:ascii="Times New Roman" w:hAnsi="Times New Roman"/>
          <w:sz w:val="28"/>
          <w:szCs w:val="28"/>
        </w:rPr>
        <w:t xml:space="preserve"> 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D06F2D">
        <w:rPr>
          <w:rFonts w:ascii="Times New Roman" w:hAnsi="Times New Roman"/>
          <w:sz w:val="28"/>
          <w:szCs w:val="28"/>
        </w:rPr>
        <w:t xml:space="preserve"> рублей (на </w:t>
      </w:r>
      <w:r w:rsidR="00D06F2D" w:rsidRPr="00D06F2D">
        <w:rPr>
          <w:rFonts w:ascii="Times New Roman" w:hAnsi="Times New Roman"/>
          <w:sz w:val="28"/>
          <w:szCs w:val="28"/>
        </w:rPr>
        <w:t>0,5</w:t>
      </w:r>
      <w:r w:rsidRPr="00D06F2D">
        <w:rPr>
          <w:rFonts w:ascii="Times New Roman" w:hAnsi="Times New Roman"/>
          <w:sz w:val="28"/>
          <w:szCs w:val="28"/>
        </w:rPr>
        <w:t xml:space="preserve"> %) и </w:t>
      </w:r>
      <w:r w:rsidRPr="00130E62">
        <w:rPr>
          <w:rFonts w:ascii="Times New Roman" w:hAnsi="Times New Roman"/>
          <w:sz w:val="28"/>
          <w:szCs w:val="28"/>
        </w:rPr>
        <w:t xml:space="preserve">составила </w:t>
      </w:r>
      <w:r w:rsidR="00130E62" w:rsidRPr="00130E62">
        <w:rPr>
          <w:rFonts w:ascii="Times New Roman" w:hAnsi="Times New Roman"/>
          <w:sz w:val="28"/>
          <w:szCs w:val="28"/>
        </w:rPr>
        <w:t>796,2</w:t>
      </w:r>
      <w:r w:rsidRPr="00130E62">
        <w:rPr>
          <w:rFonts w:ascii="Times New Roman" w:hAnsi="Times New Roman"/>
          <w:sz w:val="28"/>
          <w:szCs w:val="28"/>
        </w:rPr>
        <w:t xml:space="preserve"> </w:t>
      </w:r>
      <w:r w:rsidR="00340CF8" w:rsidRPr="00130E62">
        <w:rPr>
          <w:rFonts w:ascii="Times New Roman" w:hAnsi="Times New Roman"/>
          <w:sz w:val="28"/>
          <w:szCs w:val="28"/>
        </w:rPr>
        <w:t>млрд</w:t>
      </w:r>
      <w:r w:rsidR="00340CF8">
        <w:rPr>
          <w:rFonts w:ascii="Times New Roman" w:hAnsi="Times New Roman"/>
          <w:sz w:val="28"/>
          <w:szCs w:val="28"/>
        </w:rPr>
        <w:t>.</w:t>
      </w:r>
      <w:r w:rsidRPr="00AD3CEE">
        <w:rPr>
          <w:rFonts w:ascii="Times New Roman" w:hAnsi="Times New Roman"/>
          <w:sz w:val="28"/>
          <w:szCs w:val="28"/>
        </w:rPr>
        <w:t xml:space="preserve"> рублей</w:t>
      </w:r>
      <w:r w:rsidR="00D06F2D" w:rsidRPr="00AD3CEE">
        <w:rPr>
          <w:rFonts w:ascii="Times New Roman" w:hAnsi="Times New Roman"/>
          <w:sz w:val="28"/>
          <w:szCs w:val="28"/>
        </w:rPr>
        <w:t xml:space="preserve">, государственным гарантиям – на 2,0 </w:t>
      </w:r>
      <w:r w:rsidR="00340CF8">
        <w:rPr>
          <w:rFonts w:ascii="Times New Roman" w:hAnsi="Times New Roman"/>
          <w:sz w:val="28"/>
          <w:szCs w:val="28"/>
        </w:rPr>
        <w:t>млрд.</w:t>
      </w:r>
      <w:r w:rsidR="00D06F2D" w:rsidRPr="00AD3CEE">
        <w:rPr>
          <w:rFonts w:ascii="Times New Roman" w:hAnsi="Times New Roman"/>
          <w:sz w:val="28"/>
          <w:szCs w:val="28"/>
        </w:rPr>
        <w:t xml:space="preserve"> рублей</w:t>
      </w:r>
      <w:r w:rsidR="00130E62">
        <w:rPr>
          <w:rFonts w:ascii="Times New Roman" w:hAnsi="Times New Roman"/>
          <w:sz w:val="28"/>
          <w:szCs w:val="28"/>
        </w:rPr>
        <w:t xml:space="preserve"> и составила 37,3 млрд. рублей </w:t>
      </w:r>
      <w:r w:rsidR="00D06F2D" w:rsidRPr="00AD3CEE">
        <w:rPr>
          <w:rFonts w:ascii="Times New Roman" w:hAnsi="Times New Roman"/>
          <w:sz w:val="28"/>
          <w:szCs w:val="28"/>
        </w:rPr>
        <w:t>(на 5,1 %)</w:t>
      </w:r>
      <w:r w:rsidRPr="00AD3CEE">
        <w:rPr>
          <w:rFonts w:ascii="Times New Roman" w:hAnsi="Times New Roman"/>
          <w:sz w:val="28"/>
          <w:szCs w:val="28"/>
        </w:rPr>
        <w:t>.</w:t>
      </w:r>
      <w:proofErr w:type="gramEnd"/>
    </w:p>
    <w:p w14:paraId="7AEE85FD" w14:textId="77777777" w:rsidR="006F50D4" w:rsidRPr="00AD3CEE" w:rsidRDefault="006F50D4" w:rsidP="00F03FE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3CEE">
        <w:rPr>
          <w:rFonts w:ascii="Times New Roman" w:hAnsi="Times New Roman"/>
          <w:sz w:val="28"/>
          <w:szCs w:val="28"/>
        </w:rPr>
        <w:t xml:space="preserve">В структуре долговых обязательств доля бюджетных кредитов, привлеченных в бюджет субъекта Российской Федерации от других бюджетов бюджетной системы Российской Федерации, увеличилась на </w:t>
      </w:r>
      <w:r w:rsidR="00AD3CEE" w:rsidRPr="00AD3CEE">
        <w:rPr>
          <w:rFonts w:ascii="Times New Roman" w:hAnsi="Times New Roman"/>
          <w:sz w:val="28"/>
          <w:szCs w:val="28"/>
        </w:rPr>
        <w:t>2,8</w:t>
      </w:r>
      <w:r w:rsidRPr="00AD3CEE">
        <w:rPr>
          <w:rFonts w:ascii="Times New Roman" w:hAnsi="Times New Roman"/>
          <w:sz w:val="28"/>
          <w:szCs w:val="28"/>
        </w:rPr>
        <w:t> процентного пункта и составила 5</w:t>
      </w:r>
      <w:r w:rsidR="00AD3CEE" w:rsidRPr="00AD3CEE">
        <w:rPr>
          <w:rFonts w:ascii="Times New Roman" w:hAnsi="Times New Roman"/>
          <w:sz w:val="28"/>
          <w:szCs w:val="28"/>
        </w:rPr>
        <w:t>8,2</w:t>
      </w:r>
      <w:r w:rsidRPr="00AD3CEE">
        <w:rPr>
          <w:rFonts w:ascii="Times New Roman" w:hAnsi="Times New Roman"/>
          <w:sz w:val="28"/>
          <w:szCs w:val="28"/>
        </w:rPr>
        <w:t xml:space="preserve"> %, доля кредитов, полученных субъектами Российской Федерации от кредитных организаций, уменьшилась на </w:t>
      </w:r>
      <w:r w:rsidR="00AD3CEE" w:rsidRPr="00AD3CEE">
        <w:rPr>
          <w:rFonts w:ascii="Times New Roman" w:hAnsi="Times New Roman"/>
          <w:sz w:val="28"/>
          <w:szCs w:val="28"/>
        </w:rPr>
        <w:t>2,5</w:t>
      </w:r>
      <w:r w:rsidR="00C0486C" w:rsidRPr="00AD3CEE">
        <w:rPr>
          <w:rFonts w:ascii="Times New Roman" w:hAnsi="Times New Roman"/>
          <w:sz w:val="28"/>
          <w:szCs w:val="28"/>
        </w:rPr>
        <w:t> </w:t>
      </w:r>
      <w:r w:rsidRPr="00AD3CEE">
        <w:rPr>
          <w:rFonts w:ascii="Times New Roman" w:hAnsi="Times New Roman"/>
          <w:sz w:val="28"/>
          <w:szCs w:val="28"/>
        </w:rPr>
        <w:t xml:space="preserve">процентного пункта и составила </w:t>
      </w:r>
      <w:r w:rsidR="00AD3CEE" w:rsidRPr="00AD3CEE">
        <w:rPr>
          <w:rFonts w:ascii="Times New Roman" w:hAnsi="Times New Roman"/>
          <w:sz w:val="28"/>
          <w:szCs w:val="28"/>
        </w:rPr>
        <w:t>7,9</w:t>
      </w:r>
      <w:r w:rsidRPr="00AD3CEE">
        <w:rPr>
          <w:rFonts w:ascii="Times New Roman" w:hAnsi="Times New Roman"/>
          <w:sz w:val="28"/>
          <w:szCs w:val="28"/>
        </w:rPr>
        <w:t xml:space="preserve"> %. </w:t>
      </w:r>
    </w:p>
    <w:p w14:paraId="2B9723BD" w14:textId="77777777" w:rsidR="00160F11" w:rsidRPr="00AD3CEE" w:rsidRDefault="00160F11" w:rsidP="00F03FE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3CEE">
        <w:rPr>
          <w:rFonts w:ascii="Times New Roman" w:hAnsi="Times New Roman"/>
          <w:sz w:val="28"/>
          <w:szCs w:val="28"/>
        </w:rPr>
        <w:t>Динамика государственного долга субъектов Российской Федерации и муниципальных образований, входящих в состав субъектов Российской Федерации, представлена в таблице 4.</w:t>
      </w:r>
    </w:p>
    <w:p w14:paraId="6042C1A1" w14:textId="77777777" w:rsidR="00160F11" w:rsidRPr="00AD3CEE" w:rsidRDefault="00160F11" w:rsidP="00F03FE0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4"/>
          <w:szCs w:val="28"/>
        </w:rPr>
      </w:pPr>
      <w:r w:rsidRPr="00AD3CEE">
        <w:rPr>
          <w:rFonts w:ascii="Times New Roman" w:hAnsi="Times New Roman"/>
          <w:sz w:val="24"/>
          <w:szCs w:val="28"/>
        </w:rPr>
        <w:t>Таблица 4</w:t>
      </w:r>
    </w:p>
    <w:p w14:paraId="547BB5CB" w14:textId="7AD6D4B2" w:rsidR="006F50D4" w:rsidRPr="00DF1C63" w:rsidRDefault="00DF1C63" w:rsidP="00DF1C63">
      <w:pPr>
        <w:widowControl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object w:dxaOrig="6994" w:dyaOrig="3917" w14:anchorId="39F8EA55">
          <v:shape id="_x0000_i1029" type="#_x0000_t75" style="width:469.5pt;height:259.5pt" o:ole="">
            <v:imagedata r:id="rId19" o:title=""/>
          </v:shape>
          <o:OLEObject Type="Embed" ProgID="PowerPoint.Slide.12" ShapeID="_x0000_i1029" DrawAspect="Content" ObjectID="_1714917942" r:id="rId20"/>
        </w:object>
      </w:r>
    </w:p>
    <w:p w14:paraId="28FA1187" w14:textId="77777777" w:rsidR="00C027BD" w:rsidRPr="00C027BD" w:rsidRDefault="002710F3" w:rsidP="00F03FE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C027BD">
        <w:rPr>
          <w:rFonts w:ascii="Times New Roman" w:hAnsi="Times New Roman"/>
          <w:sz w:val="28"/>
          <w:szCs w:val="28"/>
        </w:rPr>
        <w:t>Рост</w:t>
      </w:r>
      <w:r w:rsidR="006F50D4" w:rsidRPr="00C027BD">
        <w:rPr>
          <w:rFonts w:ascii="Times New Roman" w:hAnsi="Times New Roman"/>
          <w:sz w:val="28"/>
          <w:szCs w:val="28"/>
        </w:rPr>
        <w:t xml:space="preserve"> государственного долга субъектов Российской Федерации </w:t>
      </w:r>
      <w:r w:rsidR="00055153" w:rsidRPr="00C027BD">
        <w:rPr>
          <w:rFonts w:ascii="Times New Roman" w:hAnsi="Times New Roman"/>
          <w:sz w:val="28"/>
          <w:szCs w:val="28"/>
        </w:rPr>
        <w:t>сложился в 31</w:t>
      </w:r>
      <w:r w:rsidR="006F50D4" w:rsidRPr="00C027BD">
        <w:rPr>
          <w:rFonts w:ascii="Times New Roman" w:hAnsi="Times New Roman"/>
          <w:sz w:val="28"/>
          <w:szCs w:val="28"/>
        </w:rPr>
        <w:t xml:space="preserve"> </w:t>
      </w:r>
      <w:r w:rsidRPr="00C027BD">
        <w:rPr>
          <w:rFonts w:ascii="Times New Roman" w:hAnsi="Times New Roman"/>
          <w:sz w:val="28"/>
          <w:szCs w:val="28"/>
        </w:rPr>
        <w:t>регион</w:t>
      </w:r>
      <w:r w:rsidR="00055153" w:rsidRPr="00C027BD">
        <w:rPr>
          <w:rFonts w:ascii="Times New Roman" w:hAnsi="Times New Roman"/>
          <w:sz w:val="28"/>
          <w:szCs w:val="28"/>
        </w:rPr>
        <w:t>е</w:t>
      </w:r>
      <w:r w:rsidR="006F50D4" w:rsidRPr="00C027BD">
        <w:rPr>
          <w:rFonts w:ascii="Times New Roman" w:hAnsi="Times New Roman"/>
          <w:sz w:val="28"/>
          <w:szCs w:val="28"/>
        </w:rPr>
        <w:t xml:space="preserve">, из них наибольший </w:t>
      </w:r>
      <w:proofErr w:type="gramStart"/>
      <w:r w:rsidR="006F50D4" w:rsidRPr="00C027BD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="006F50D4" w:rsidRPr="00C027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027BD" w:rsidRPr="00C027BD">
        <w:rPr>
          <w:rFonts w:ascii="Times New Roman" w:hAnsi="Times New Roman"/>
          <w:sz w:val="28"/>
          <w:szCs w:val="28"/>
          <w:lang w:eastAsia="ru-RU"/>
        </w:rPr>
        <w:t>Приморском</w:t>
      </w:r>
      <w:proofErr w:type="gramEnd"/>
      <w:r w:rsidR="00C027BD" w:rsidRPr="00C027BD">
        <w:rPr>
          <w:rFonts w:ascii="Times New Roman" w:hAnsi="Times New Roman"/>
          <w:sz w:val="28"/>
          <w:szCs w:val="28"/>
          <w:lang w:eastAsia="ru-RU"/>
        </w:rPr>
        <w:t xml:space="preserve"> крае</w:t>
      </w:r>
      <w:r w:rsidR="006F50D4" w:rsidRPr="00C027BD">
        <w:rPr>
          <w:rFonts w:ascii="Times New Roman" w:hAnsi="Times New Roman"/>
          <w:sz w:val="28"/>
          <w:szCs w:val="28"/>
          <w:lang w:eastAsia="ru-RU"/>
        </w:rPr>
        <w:t xml:space="preserve"> – в </w:t>
      </w:r>
      <w:r w:rsidR="00C027BD" w:rsidRPr="00C027BD">
        <w:rPr>
          <w:rFonts w:ascii="Times New Roman" w:hAnsi="Times New Roman"/>
          <w:sz w:val="28"/>
          <w:szCs w:val="28"/>
          <w:lang w:eastAsia="ru-RU"/>
        </w:rPr>
        <w:t>2,7</w:t>
      </w:r>
      <w:r w:rsidR="006F50D4" w:rsidRPr="00C027BD">
        <w:rPr>
          <w:rFonts w:ascii="Times New Roman" w:hAnsi="Times New Roman"/>
          <w:sz w:val="28"/>
          <w:szCs w:val="28"/>
          <w:lang w:eastAsia="ru-RU"/>
        </w:rPr>
        <w:t xml:space="preserve"> раза, </w:t>
      </w:r>
      <w:r w:rsidR="00C027BD" w:rsidRPr="00C027BD">
        <w:rPr>
          <w:rFonts w:ascii="Times New Roman" w:hAnsi="Times New Roman"/>
          <w:sz w:val="28"/>
          <w:szCs w:val="28"/>
          <w:lang w:eastAsia="ru-RU"/>
        </w:rPr>
        <w:t>Сахалинской</w:t>
      </w:r>
      <w:r w:rsidRPr="00C027BD">
        <w:rPr>
          <w:rFonts w:ascii="Times New Roman" w:hAnsi="Times New Roman"/>
          <w:sz w:val="28"/>
          <w:szCs w:val="28"/>
          <w:lang w:eastAsia="ru-RU"/>
        </w:rPr>
        <w:t xml:space="preserve"> области</w:t>
      </w:r>
      <w:r w:rsidR="006F50D4" w:rsidRPr="00C027B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027BD" w:rsidRPr="00C027BD">
        <w:rPr>
          <w:rFonts w:ascii="Times New Roman" w:hAnsi="Times New Roman"/>
          <w:sz w:val="28"/>
          <w:szCs w:val="28"/>
          <w:lang w:eastAsia="ru-RU"/>
        </w:rPr>
        <w:t>в 2 раза</w:t>
      </w:r>
      <w:r w:rsidR="0002557B">
        <w:rPr>
          <w:rFonts w:ascii="Times New Roman" w:hAnsi="Times New Roman"/>
          <w:sz w:val="28"/>
          <w:szCs w:val="28"/>
          <w:lang w:eastAsia="ru-RU"/>
        </w:rPr>
        <w:t xml:space="preserve">, что связано с привлечением данными регионами в январе – марте 2022 года </w:t>
      </w:r>
      <w:r w:rsidR="0002557B" w:rsidRPr="0002557B">
        <w:rPr>
          <w:rFonts w:ascii="Times New Roman" w:hAnsi="Times New Roman"/>
          <w:sz w:val="28"/>
          <w:szCs w:val="28"/>
          <w:lang w:eastAsia="ru-RU"/>
        </w:rPr>
        <w:t>бюджетны</w:t>
      </w:r>
      <w:r w:rsidR="0002557B">
        <w:rPr>
          <w:rFonts w:ascii="Times New Roman" w:hAnsi="Times New Roman"/>
          <w:sz w:val="28"/>
          <w:szCs w:val="28"/>
          <w:lang w:eastAsia="ru-RU"/>
        </w:rPr>
        <w:t>х</w:t>
      </w:r>
      <w:r w:rsidR="0002557B" w:rsidRPr="0002557B">
        <w:rPr>
          <w:rFonts w:ascii="Times New Roman" w:hAnsi="Times New Roman"/>
          <w:sz w:val="28"/>
          <w:szCs w:val="28"/>
          <w:lang w:eastAsia="ru-RU"/>
        </w:rPr>
        <w:t xml:space="preserve"> кредит</w:t>
      </w:r>
      <w:r w:rsidR="0002557B">
        <w:rPr>
          <w:rFonts w:ascii="Times New Roman" w:hAnsi="Times New Roman"/>
          <w:sz w:val="28"/>
          <w:szCs w:val="28"/>
          <w:lang w:eastAsia="ru-RU"/>
        </w:rPr>
        <w:t>ов</w:t>
      </w:r>
      <w:r w:rsidR="0002557B" w:rsidRPr="000255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6003">
        <w:rPr>
          <w:rFonts w:ascii="Times New Roman" w:hAnsi="Times New Roman"/>
          <w:sz w:val="28"/>
          <w:szCs w:val="28"/>
          <w:lang w:eastAsia="ru-RU"/>
        </w:rPr>
        <w:t>от</w:t>
      </w:r>
      <w:r w:rsidR="0002557B" w:rsidRPr="0002557B">
        <w:rPr>
          <w:rFonts w:ascii="Times New Roman" w:hAnsi="Times New Roman"/>
          <w:sz w:val="28"/>
          <w:szCs w:val="28"/>
          <w:lang w:eastAsia="ru-RU"/>
        </w:rPr>
        <w:t xml:space="preserve"> других бюджетов бюджетной системы Российской Федерации</w:t>
      </w:r>
      <w:r w:rsidR="00C027BD" w:rsidRPr="00C027BD">
        <w:rPr>
          <w:rFonts w:ascii="Times New Roman" w:hAnsi="Times New Roman"/>
          <w:sz w:val="28"/>
          <w:szCs w:val="28"/>
          <w:lang w:eastAsia="ru-RU"/>
        </w:rPr>
        <w:t>.</w:t>
      </w:r>
    </w:p>
    <w:p w14:paraId="5512DAAF" w14:textId="77777777" w:rsidR="006F50D4" w:rsidRPr="0002557B" w:rsidRDefault="006F50D4" w:rsidP="00F03FE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27BD">
        <w:rPr>
          <w:rFonts w:ascii="Times New Roman" w:hAnsi="Times New Roman"/>
          <w:sz w:val="28"/>
          <w:szCs w:val="28"/>
        </w:rPr>
        <w:t xml:space="preserve">Снизился государственный долг в </w:t>
      </w:r>
      <w:r w:rsidR="00C027BD" w:rsidRPr="00C027BD">
        <w:rPr>
          <w:rFonts w:ascii="Times New Roman" w:hAnsi="Times New Roman"/>
          <w:sz w:val="28"/>
          <w:szCs w:val="28"/>
        </w:rPr>
        <w:t>22</w:t>
      </w:r>
      <w:r w:rsidRPr="00C027BD">
        <w:rPr>
          <w:rFonts w:ascii="Times New Roman" w:hAnsi="Times New Roman"/>
          <w:sz w:val="28"/>
          <w:szCs w:val="28"/>
        </w:rPr>
        <w:t xml:space="preserve"> регионах и в 3</w:t>
      </w:r>
      <w:r w:rsidR="00C027BD" w:rsidRPr="00C027BD">
        <w:rPr>
          <w:rFonts w:ascii="Times New Roman" w:hAnsi="Times New Roman"/>
          <w:sz w:val="28"/>
          <w:szCs w:val="28"/>
        </w:rPr>
        <w:t>1</w:t>
      </w:r>
      <w:r w:rsidRPr="00C027BD">
        <w:rPr>
          <w:rFonts w:ascii="Times New Roman" w:hAnsi="Times New Roman"/>
          <w:sz w:val="28"/>
          <w:szCs w:val="28"/>
        </w:rPr>
        <w:t> регион</w:t>
      </w:r>
      <w:r w:rsidR="00C027BD" w:rsidRPr="00C027BD">
        <w:rPr>
          <w:rFonts w:ascii="Times New Roman" w:hAnsi="Times New Roman"/>
          <w:sz w:val="28"/>
          <w:szCs w:val="28"/>
        </w:rPr>
        <w:t>е</w:t>
      </w:r>
      <w:r w:rsidRPr="00C027BD">
        <w:rPr>
          <w:rFonts w:ascii="Times New Roman" w:hAnsi="Times New Roman"/>
          <w:sz w:val="28"/>
          <w:szCs w:val="28"/>
        </w:rPr>
        <w:t xml:space="preserve"> остался на уровне начала года. На 1 </w:t>
      </w:r>
      <w:r w:rsidR="00C027BD" w:rsidRPr="00C027BD">
        <w:rPr>
          <w:rFonts w:ascii="Times New Roman" w:hAnsi="Times New Roman"/>
          <w:sz w:val="28"/>
          <w:szCs w:val="28"/>
        </w:rPr>
        <w:t>апрел</w:t>
      </w:r>
      <w:r w:rsidR="002710F3" w:rsidRPr="00C027BD">
        <w:rPr>
          <w:rFonts w:ascii="Times New Roman" w:hAnsi="Times New Roman"/>
          <w:sz w:val="28"/>
          <w:szCs w:val="28"/>
        </w:rPr>
        <w:t>я</w:t>
      </w:r>
      <w:r w:rsidRPr="00C027BD">
        <w:rPr>
          <w:rFonts w:ascii="Times New Roman" w:hAnsi="Times New Roman"/>
          <w:sz w:val="28"/>
          <w:szCs w:val="28"/>
        </w:rPr>
        <w:t xml:space="preserve"> 202</w:t>
      </w:r>
      <w:r w:rsidR="002710F3" w:rsidRPr="00C027BD">
        <w:rPr>
          <w:rFonts w:ascii="Times New Roman" w:hAnsi="Times New Roman"/>
          <w:sz w:val="28"/>
          <w:szCs w:val="28"/>
        </w:rPr>
        <w:t>2</w:t>
      </w:r>
      <w:r w:rsidRPr="00C027BD">
        <w:rPr>
          <w:rFonts w:ascii="Times New Roman" w:hAnsi="Times New Roman"/>
          <w:sz w:val="28"/>
          <w:szCs w:val="28"/>
        </w:rPr>
        <w:t xml:space="preserve"> </w:t>
      </w:r>
      <w:r w:rsidRPr="0002557B">
        <w:rPr>
          <w:rFonts w:ascii="Times New Roman" w:hAnsi="Times New Roman"/>
          <w:sz w:val="28"/>
          <w:szCs w:val="28"/>
        </w:rPr>
        <w:t>года не име</w:t>
      </w:r>
      <w:r w:rsidR="002710F3" w:rsidRPr="0002557B">
        <w:rPr>
          <w:rFonts w:ascii="Times New Roman" w:hAnsi="Times New Roman"/>
          <w:sz w:val="28"/>
          <w:szCs w:val="28"/>
        </w:rPr>
        <w:t>е</w:t>
      </w:r>
      <w:r w:rsidRPr="0002557B">
        <w:rPr>
          <w:rFonts w:ascii="Times New Roman" w:hAnsi="Times New Roman"/>
          <w:sz w:val="28"/>
          <w:szCs w:val="28"/>
        </w:rPr>
        <w:t>т долговых обязательств г. Севастополь.</w:t>
      </w:r>
    </w:p>
    <w:p w14:paraId="4F5C4A22" w14:textId="77777777" w:rsidR="00FD0CB6" w:rsidRDefault="0002557B" w:rsidP="00F03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57B">
        <w:rPr>
          <w:rFonts w:ascii="Times New Roman" w:hAnsi="Times New Roman"/>
          <w:sz w:val="28"/>
          <w:szCs w:val="28"/>
        </w:rPr>
        <w:lastRenderedPageBreak/>
        <w:t>Задолженность по кредитам от кредитных организаций имеют 32 региона, из них наибольшая доля приходится на Московскую область (29,0</w:t>
      </w:r>
      <w:r>
        <w:rPr>
          <w:rFonts w:ascii="Times New Roman" w:hAnsi="Times New Roman"/>
          <w:sz w:val="28"/>
          <w:szCs w:val="28"/>
        </w:rPr>
        <w:t> 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02557B">
        <w:rPr>
          <w:rFonts w:ascii="Times New Roman" w:hAnsi="Times New Roman"/>
          <w:sz w:val="28"/>
          <w:szCs w:val="28"/>
        </w:rPr>
        <w:t xml:space="preserve"> рублей, или 14,8 % объема указанной задолженности) и Ростовск</w:t>
      </w:r>
      <w:r w:rsidR="00340CF8">
        <w:rPr>
          <w:rFonts w:ascii="Times New Roman" w:hAnsi="Times New Roman"/>
          <w:sz w:val="28"/>
          <w:szCs w:val="28"/>
        </w:rPr>
        <w:t>ую</w:t>
      </w:r>
      <w:r w:rsidRPr="0002557B">
        <w:rPr>
          <w:rFonts w:ascii="Times New Roman" w:hAnsi="Times New Roman"/>
          <w:sz w:val="28"/>
          <w:szCs w:val="28"/>
        </w:rPr>
        <w:t xml:space="preserve"> область (19,8 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02557B">
        <w:rPr>
          <w:rFonts w:ascii="Times New Roman" w:hAnsi="Times New Roman"/>
          <w:sz w:val="28"/>
          <w:szCs w:val="28"/>
        </w:rPr>
        <w:t xml:space="preserve"> рублей, или 10,1 %). </w:t>
      </w:r>
      <w:r w:rsidR="00FD0CB6" w:rsidRPr="0002557B">
        <w:rPr>
          <w:rFonts w:ascii="Times New Roman" w:hAnsi="Times New Roman"/>
          <w:sz w:val="28"/>
          <w:szCs w:val="28"/>
        </w:rPr>
        <w:t xml:space="preserve"> </w:t>
      </w:r>
    </w:p>
    <w:p w14:paraId="2294DD09" w14:textId="77777777" w:rsidR="00130E62" w:rsidRPr="0056480F" w:rsidRDefault="0002557B" w:rsidP="00F03F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Задолженность по </w:t>
      </w:r>
      <w:r w:rsidRPr="0002557B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м</w:t>
      </w:r>
      <w:r w:rsidRPr="0002557B"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>ам</w:t>
      </w:r>
      <w:r w:rsidRPr="0002557B">
        <w:rPr>
          <w:rFonts w:ascii="Times New Roman" w:hAnsi="Times New Roman"/>
          <w:sz w:val="28"/>
          <w:szCs w:val="28"/>
        </w:rPr>
        <w:t xml:space="preserve"> из других бюджетов бюджетной системы Российской Федерации</w:t>
      </w:r>
      <w:r>
        <w:rPr>
          <w:rFonts w:ascii="Times New Roman" w:hAnsi="Times New Roman"/>
          <w:sz w:val="28"/>
          <w:szCs w:val="28"/>
        </w:rPr>
        <w:t xml:space="preserve"> имеют 80 регионов</w:t>
      </w:r>
      <w:r w:rsidR="00340CF8">
        <w:rPr>
          <w:rFonts w:ascii="Times New Roman" w:hAnsi="Times New Roman"/>
          <w:sz w:val="28"/>
          <w:szCs w:val="28"/>
        </w:rPr>
        <w:t xml:space="preserve">, из них наибольшая доля приходится на Московскую область (100,4 млрд. рублей), </w:t>
      </w:r>
      <w:r w:rsidR="00340CF8" w:rsidRPr="00340CF8">
        <w:rPr>
          <w:rFonts w:ascii="Times New Roman" w:hAnsi="Times New Roman"/>
          <w:sz w:val="28"/>
          <w:szCs w:val="28"/>
        </w:rPr>
        <w:t>Республик</w:t>
      </w:r>
      <w:r w:rsidR="00340CF8">
        <w:rPr>
          <w:rFonts w:ascii="Times New Roman" w:hAnsi="Times New Roman"/>
          <w:sz w:val="28"/>
          <w:szCs w:val="28"/>
        </w:rPr>
        <w:t>у</w:t>
      </w:r>
      <w:r w:rsidR="00340CF8" w:rsidRPr="00340CF8">
        <w:rPr>
          <w:rFonts w:ascii="Times New Roman" w:hAnsi="Times New Roman"/>
          <w:sz w:val="28"/>
          <w:szCs w:val="28"/>
        </w:rPr>
        <w:t xml:space="preserve"> Татарстан</w:t>
      </w:r>
      <w:r w:rsidR="00340CF8">
        <w:rPr>
          <w:rFonts w:ascii="Times New Roman" w:hAnsi="Times New Roman"/>
          <w:sz w:val="28"/>
          <w:szCs w:val="28"/>
        </w:rPr>
        <w:t xml:space="preserve"> (86,7 млрд. рублей) и </w:t>
      </w:r>
      <w:r w:rsidR="00340CF8" w:rsidRPr="00340CF8">
        <w:rPr>
          <w:rFonts w:ascii="Times New Roman" w:hAnsi="Times New Roman"/>
          <w:sz w:val="28"/>
          <w:szCs w:val="28"/>
        </w:rPr>
        <w:t>Краснодарский край</w:t>
      </w:r>
      <w:r w:rsidR="00340CF8">
        <w:rPr>
          <w:rFonts w:ascii="Times New Roman" w:hAnsi="Times New Roman"/>
          <w:sz w:val="28"/>
          <w:szCs w:val="28"/>
        </w:rPr>
        <w:t xml:space="preserve"> (70,5 млрд. рублей).</w:t>
      </w:r>
      <w:r w:rsidR="00130E62" w:rsidRPr="00130E62">
        <w:rPr>
          <w:rFonts w:ascii="Times New Roman" w:hAnsi="Times New Roman"/>
          <w:sz w:val="28"/>
          <w:szCs w:val="28"/>
        </w:rPr>
        <w:t xml:space="preserve"> </w:t>
      </w:r>
      <w:r w:rsidR="00130E62" w:rsidRPr="0056480F">
        <w:rPr>
          <w:rFonts w:ascii="Times New Roman" w:hAnsi="Times New Roman"/>
          <w:sz w:val="28"/>
          <w:szCs w:val="28"/>
        </w:rPr>
        <w:t>В 18 субъектах Российской Федерации по состоянию на 1 апреля 2022 года госдолг состоит из долговых обязательств по бюджетным кредитам.</w:t>
      </w:r>
    </w:p>
    <w:p w14:paraId="43F05E36" w14:textId="77777777" w:rsidR="006F50D4" w:rsidRPr="00340CF8" w:rsidRDefault="006F50D4" w:rsidP="00F03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CF8">
        <w:rPr>
          <w:rFonts w:ascii="Times New Roman" w:hAnsi="Times New Roman"/>
          <w:sz w:val="28"/>
          <w:szCs w:val="28"/>
        </w:rPr>
        <w:t xml:space="preserve">Объем долга муниципальных образований, входящих в состав субъектов Российской Федерации, на 1 </w:t>
      </w:r>
      <w:r w:rsidR="00340CF8" w:rsidRPr="00340CF8">
        <w:rPr>
          <w:rFonts w:ascii="Times New Roman" w:hAnsi="Times New Roman"/>
          <w:sz w:val="28"/>
          <w:szCs w:val="28"/>
        </w:rPr>
        <w:t>апрел</w:t>
      </w:r>
      <w:r w:rsidR="008F1B96" w:rsidRPr="00340CF8">
        <w:rPr>
          <w:rFonts w:ascii="Times New Roman" w:hAnsi="Times New Roman"/>
          <w:sz w:val="28"/>
          <w:szCs w:val="28"/>
        </w:rPr>
        <w:t>я</w:t>
      </w:r>
      <w:r w:rsidRPr="00340CF8">
        <w:rPr>
          <w:rFonts w:ascii="Times New Roman" w:hAnsi="Times New Roman"/>
          <w:sz w:val="28"/>
          <w:szCs w:val="28"/>
        </w:rPr>
        <w:t xml:space="preserve"> 202</w:t>
      </w:r>
      <w:r w:rsidR="008F1B96" w:rsidRPr="00340CF8">
        <w:rPr>
          <w:rFonts w:ascii="Times New Roman" w:hAnsi="Times New Roman"/>
          <w:sz w:val="28"/>
          <w:szCs w:val="28"/>
        </w:rPr>
        <w:t>2</w:t>
      </w:r>
      <w:r w:rsidRPr="00340CF8">
        <w:rPr>
          <w:rFonts w:ascii="Times New Roman" w:hAnsi="Times New Roman"/>
          <w:sz w:val="28"/>
          <w:szCs w:val="28"/>
        </w:rPr>
        <w:t xml:space="preserve"> года снизился по сравнению с началом года на </w:t>
      </w:r>
      <w:r w:rsidR="00340CF8" w:rsidRPr="00340CF8">
        <w:rPr>
          <w:rFonts w:ascii="Times New Roman" w:hAnsi="Times New Roman"/>
          <w:sz w:val="28"/>
          <w:szCs w:val="28"/>
        </w:rPr>
        <w:t>24</w:t>
      </w:r>
      <w:r w:rsidR="008F1B96" w:rsidRPr="00340CF8">
        <w:rPr>
          <w:rFonts w:ascii="Times New Roman" w:hAnsi="Times New Roman"/>
          <w:sz w:val="28"/>
          <w:szCs w:val="28"/>
        </w:rPr>
        <w:t>,</w:t>
      </w:r>
      <w:r w:rsidR="00FB4CBF" w:rsidRPr="00340CF8">
        <w:rPr>
          <w:rFonts w:ascii="Times New Roman" w:hAnsi="Times New Roman"/>
          <w:sz w:val="28"/>
          <w:szCs w:val="28"/>
        </w:rPr>
        <w:t>0</w:t>
      </w:r>
      <w:r w:rsidRPr="00340CF8">
        <w:rPr>
          <w:rFonts w:ascii="Times New Roman" w:hAnsi="Times New Roman"/>
          <w:sz w:val="28"/>
          <w:szCs w:val="28"/>
        </w:rPr>
        <w:t xml:space="preserve"> 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340CF8">
        <w:rPr>
          <w:rFonts w:ascii="Times New Roman" w:hAnsi="Times New Roman"/>
          <w:sz w:val="28"/>
          <w:szCs w:val="28"/>
        </w:rPr>
        <w:t xml:space="preserve"> рублей, или на </w:t>
      </w:r>
      <w:r w:rsidR="00340CF8" w:rsidRPr="00340CF8">
        <w:rPr>
          <w:rFonts w:ascii="Times New Roman" w:hAnsi="Times New Roman"/>
          <w:sz w:val="28"/>
          <w:szCs w:val="28"/>
        </w:rPr>
        <w:t>6,4</w:t>
      </w:r>
      <w:r w:rsidRPr="00340CF8">
        <w:rPr>
          <w:rFonts w:ascii="Times New Roman" w:hAnsi="Times New Roman"/>
          <w:sz w:val="28"/>
          <w:szCs w:val="28"/>
        </w:rPr>
        <w:t xml:space="preserve"> %, и составил </w:t>
      </w:r>
      <w:r w:rsidR="00340CF8" w:rsidRPr="00340CF8">
        <w:rPr>
          <w:rFonts w:ascii="Times New Roman" w:hAnsi="Times New Roman"/>
          <w:sz w:val="28"/>
          <w:szCs w:val="28"/>
        </w:rPr>
        <w:t>352,5</w:t>
      </w:r>
      <w:r w:rsidRPr="00340CF8">
        <w:rPr>
          <w:rFonts w:ascii="Times New Roman" w:hAnsi="Times New Roman"/>
          <w:sz w:val="28"/>
          <w:szCs w:val="28"/>
        </w:rPr>
        <w:t> </w:t>
      </w:r>
      <w:r w:rsidR="00340CF8">
        <w:rPr>
          <w:rFonts w:ascii="Times New Roman" w:hAnsi="Times New Roman"/>
          <w:sz w:val="28"/>
          <w:szCs w:val="28"/>
        </w:rPr>
        <w:t>млрд.</w:t>
      </w:r>
      <w:r w:rsidRPr="00340CF8">
        <w:rPr>
          <w:rFonts w:ascii="Times New Roman" w:hAnsi="Times New Roman"/>
          <w:sz w:val="28"/>
          <w:szCs w:val="28"/>
        </w:rPr>
        <w:t xml:space="preserve"> рублей. </w:t>
      </w:r>
    </w:p>
    <w:p w14:paraId="775B2371" w14:textId="77777777" w:rsidR="006F50D4" w:rsidRPr="00340CF8" w:rsidRDefault="006F50D4" w:rsidP="00F03FE0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40CF8">
        <w:rPr>
          <w:rFonts w:ascii="Times New Roman" w:hAnsi="Times New Roman"/>
          <w:sz w:val="28"/>
          <w:szCs w:val="28"/>
        </w:rPr>
        <w:t xml:space="preserve">В январе – </w:t>
      </w:r>
      <w:r w:rsidR="00340CF8" w:rsidRPr="00340CF8">
        <w:rPr>
          <w:rFonts w:ascii="Times New Roman" w:hAnsi="Times New Roman"/>
          <w:sz w:val="28"/>
          <w:szCs w:val="28"/>
        </w:rPr>
        <w:t>марте</w:t>
      </w:r>
      <w:r w:rsidRPr="00340CF8">
        <w:rPr>
          <w:rFonts w:ascii="Times New Roman" w:hAnsi="Times New Roman"/>
          <w:sz w:val="28"/>
          <w:szCs w:val="28"/>
        </w:rPr>
        <w:t xml:space="preserve"> 202</w:t>
      </w:r>
      <w:r w:rsidR="00340CF8" w:rsidRPr="00340CF8">
        <w:rPr>
          <w:rFonts w:ascii="Times New Roman" w:hAnsi="Times New Roman"/>
          <w:sz w:val="28"/>
          <w:szCs w:val="28"/>
        </w:rPr>
        <w:t>2</w:t>
      </w:r>
      <w:r w:rsidRPr="00340CF8">
        <w:rPr>
          <w:rFonts w:ascii="Times New Roman" w:hAnsi="Times New Roman"/>
          <w:sz w:val="28"/>
          <w:szCs w:val="28"/>
        </w:rPr>
        <w:t xml:space="preserve"> года рост долга муниципальных образований отмечается в </w:t>
      </w:r>
      <w:r w:rsidR="00340CF8" w:rsidRPr="00340CF8">
        <w:rPr>
          <w:rFonts w:ascii="Times New Roman" w:hAnsi="Times New Roman"/>
          <w:sz w:val="28"/>
          <w:szCs w:val="28"/>
        </w:rPr>
        <w:t>18</w:t>
      </w:r>
      <w:r w:rsidRPr="00340CF8">
        <w:rPr>
          <w:rFonts w:ascii="Times New Roman" w:hAnsi="Times New Roman"/>
          <w:sz w:val="28"/>
          <w:szCs w:val="28"/>
        </w:rPr>
        <w:t xml:space="preserve"> </w:t>
      </w:r>
      <w:r w:rsidR="00C0486C" w:rsidRPr="00340CF8">
        <w:rPr>
          <w:rFonts w:ascii="Times New Roman" w:hAnsi="Times New Roman"/>
          <w:sz w:val="28"/>
          <w:szCs w:val="28"/>
        </w:rPr>
        <w:t>регионах</w:t>
      </w:r>
      <w:r w:rsidRPr="00340CF8">
        <w:rPr>
          <w:rFonts w:ascii="Times New Roman" w:hAnsi="Times New Roman"/>
          <w:sz w:val="28"/>
          <w:szCs w:val="28"/>
        </w:rPr>
        <w:t xml:space="preserve">, снижение - в </w:t>
      </w:r>
      <w:r w:rsidR="00340CF8" w:rsidRPr="00340CF8">
        <w:rPr>
          <w:rFonts w:ascii="Times New Roman" w:hAnsi="Times New Roman"/>
          <w:sz w:val="28"/>
          <w:szCs w:val="28"/>
        </w:rPr>
        <w:t>59</w:t>
      </w:r>
      <w:r w:rsidRPr="00340CF8">
        <w:rPr>
          <w:rFonts w:ascii="Times New Roman" w:hAnsi="Times New Roman"/>
          <w:sz w:val="28"/>
          <w:szCs w:val="28"/>
        </w:rPr>
        <w:t xml:space="preserve"> </w:t>
      </w:r>
      <w:r w:rsidR="00C0486C" w:rsidRPr="00340CF8">
        <w:rPr>
          <w:rFonts w:ascii="Times New Roman" w:hAnsi="Times New Roman"/>
          <w:sz w:val="28"/>
          <w:szCs w:val="28"/>
        </w:rPr>
        <w:t>регионах</w:t>
      </w:r>
      <w:r w:rsidRPr="00340CF8">
        <w:rPr>
          <w:rFonts w:ascii="Times New Roman" w:hAnsi="Times New Roman"/>
          <w:sz w:val="28"/>
          <w:szCs w:val="28"/>
        </w:rPr>
        <w:t xml:space="preserve">, не изменился в муниципальных образованиях </w:t>
      </w:r>
      <w:r w:rsidR="008F1B96" w:rsidRPr="00340CF8">
        <w:rPr>
          <w:rFonts w:ascii="Times New Roman" w:hAnsi="Times New Roman"/>
          <w:sz w:val="28"/>
          <w:szCs w:val="28"/>
        </w:rPr>
        <w:t>трех</w:t>
      </w:r>
      <w:r w:rsidRPr="00340CF8">
        <w:rPr>
          <w:rFonts w:ascii="Times New Roman" w:hAnsi="Times New Roman"/>
          <w:sz w:val="28"/>
          <w:szCs w:val="28"/>
        </w:rPr>
        <w:t xml:space="preserve"> </w:t>
      </w:r>
      <w:r w:rsidR="008F1B96" w:rsidRPr="00340CF8">
        <w:rPr>
          <w:rFonts w:ascii="Times New Roman" w:hAnsi="Times New Roman"/>
          <w:sz w:val="28"/>
          <w:szCs w:val="28"/>
        </w:rPr>
        <w:t>регионов</w:t>
      </w:r>
      <w:r w:rsidRPr="00340CF8">
        <w:rPr>
          <w:rFonts w:ascii="Times New Roman" w:hAnsi="Times New Roman"/>
          <w:sz w:val="28"/>
          <w:szCs w:val="28"/>
        </w:rPr>
        <w:t>. Не имеют долговых обязательств муниципальные образования пяти субъектов Российской Федерации.</w:t>
      </w:r>
    </w:p>
    <w:p w14:paraId="7E6BA07B" w14:textId="77777777" w:rsidR="006F50D4" w:rsidRPr="00340CF8" w:rsidRDefault="006F50D4" w:rsidP="00F03F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CF8">
        <w:rPr>
          <w:rFonts w:ascii="Times New Roman" w:hAnsi="Times New Roman"/>
          <w:sz w:val="28"/>
          <w:szCs w:val="28"/>
        </w:rPr>
        <w:t>В структуре долга муниципальных образований наибольший удельный вес занимают кредиты от кредитных организаций (</w:t>
      </w:r>
      <w:r w:rsidR="00340CF8" w:rsidRPr="00340CF8">
        <w:rPr>
          <w:rFonts w:ascii="Times New Roman" w:hAnsi="Times New Roman"/>
          <w:sz w:val="28"/>
          <w:szCs w:val="28"/>
        </w:rPr>
        <w:t>50,4</w:t>
      </w:r>
      <w:r w:rsidRPr="00340CF8">
        <w:rPr>
          <w:rFonts w:ascii="Times New Roman" w:hAnsi="Times New Roman"/>
          <w:sz w:val="28"/>
          <w:szCs w:val="28"/>
        </w:rPr>
        <w:t> %) и бюджетные кредиты от других бюджетов бюджетной системы Российской Федерации (</w:t>
      </w:r>
      <w:r w:rsidR="00340CF8" w:rsidRPr="00340CF8">
        <w:rPr>
          <w:rFonts w:ascii="Times New Roman" w:hAnsi="Times New Roman"/>
          <w:sz w:val="28"/>
          <w:szCs w:val="28"/>
        </w:rPr>
        <w:t>42,9</w:t>
      </w:r>
      <w:r w:rsidRPr="00340CF8">
        <w:rPr>
          <w:rFonts w:ascii="Times New Roman" w:hAnsi="Times New Roman"/>
          <w:sz w:val="28"/>
          <w:szCs w:val="28"/>
        </w:rPr>
        <w:t> %).</w:t>
      </w:r>
    </w:p>
    <w:p w14:paraId="01F88766" w14:textId="77777777" w:rsidR="006F50D4" w:rsidRPr="00340CF8" w:rsidRDefault="006F50D4" w:rsidP="006F50D4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426"/>
        <w:gridCol w:w="7199"/>
      </w:tblGrid>
      <w:tr w:rsidR="001205B9" w:rsidRPr="001205B9" w14:paraId="4388F29F" w14:textId="77777777" w:rsidTr="00233040">
        <w:tc>
          <w:tcPr>
            <w:tcW w:w="1839" w:type="dxa"/>
          </w:tcPr>
          <w:p w14:paraId="366EF925" w14:textId="77777777" w:rsidR="00F130A1" w:rsidRPr="001205B9" w:rsidRDefault="00F130A1" w:rsidP="00352297">
            <w:pPr>
              <w:ind w:left="-108" w:firstLine="108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>Приложение:</w:t>
            </w:r>
          </w:p>
        </w:tc>
        <w:tc>
          <w:tcPr>
            <w:tcW w:w="426" w:type="dxa"/>
          </w:tcPr>
          <w:p w14:paraId="5A58D6E9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7199" w:type="dxa"/>
          </w:tcPr>
          <w:p w14:paraId="1D398AA7" w14:textId="77777777" w:rsidR="00F130A1" w:rsidRPr="001205B9" w:rsidRDefault="00F130A1" w:rsidP="0094730F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205B9">
              <w:rPr>
                <w:rFonts w:ascii="Times New Roman" w:hAnsi="Times New Roman"/>
                <w:sz w:val="28"/>
                <w:szCs w:val="28"/>
              </w:rPr>
              <w:t xml:space="preserve">Анализ информации, представленной субъектами Российской Федерации, в рамках </w:t>
            </w:r>
            <w:proofErr w:type="gramStart"/>
            <w:r w:rsidRPr="001205B9">
              <w:rPr>
                <w:rFonts w:ascii="Times New Roman" w:hAnsi="Times New Roman"/>
                <w:sz w:val="28"/>
                <w:szCs w:val="28"/>
              </w:rPr>
              <w:t>мониторинга исполнения консолидированных бюджетов субъектов Российской Федерации</w:t>
            </w:r>
            <w:proofErr w:type="gramEnd"/>
            <w:r w:rsidRPr="001205B9">
              <w:rPr>
                <w:rFonts w:ascii="Times New Roman" w:hAnsi="Times New Roman"/>
                <w:sz w:val="28"/>
                <w:szCs w:val="28"/>
              </w:rPr>
              <w:t xml:space="preserve"> за январь – </w:t>
            </w:r>
            <w:r w:rsidR="00233040" w:rsidRPr="001205B9"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1205B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33040" w:rsidRPr="001205B9">
              <w:rPr>
                <w:rFonts w:ascii="Times New Roman" w:hAnsi="Times New Roman"/>
                <w:sz w:val="28"/>
                <w:szCs w:val="28"/>
              </w:rPr>
              <w:t>2</w:t>
            </w:r>
            <w:r w:rsidRPr="001205B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 xml:space="preserve"> на </w:t>
            </w:r>
            <w:r w:rsidR="001205B9" w:rsidRPr="001205B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94730F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 w:rsidR="001205B9" w:rsidRPr="001205B9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>л. в 1 экз.</w:t>
            </w:r>
          </w:p>
        </w:tc>
      </w:tr>
      <w:tr w:rsidR="001205B9" w:rsidRPr="001205B9" w14:paraId="27422E7A" w14:textId="77777777" w:rsidTr="00233040">
        <w:tc>
          <w:tcPr>
            <w:tcW w:w="1839" w:type="dxa"/>
          </w:tcPr>
          <w:p w14:paraId="77D0A250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14:paraId="19EFCE20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>2.</w:t>
            </w:r>
          </w:p>
        </w:tc>
        <w:tc>
          <w:tcPr>
            <w:tcW w:w="7199" w:type="dxa"/>
          </w:tcPr>
          <w:p w14:paraId="1FC36D3B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205B9">
              <w:rPr>
                <w:rFonts w:ascii="Times New Roman" w:hAnsi="Times New Roman"/>
                <w:iCs/>
                <w:sz w:val="28"/>
                <w:szCs w:val="28"/>
              </w:rPr>
              <w:t>Таблицы 1 – 8 на 26 л. в 1 экз.</w:t>
            </w:r>
          </w:p>
        </w:tc>
      </w:tr>
      <w:tr w:rsidR="00D90226" w:rsidRPr="001205B9" w14:paraId="39FCFDF3" w14:textId="77777777" w:rsidTr="00233040">
        <w:tc>
          <w:tcPr>
            <w:tcW w:w="1839" w:type="dxa"/>
          </w:tcPr>
          <w:p w14:paraId="30FDC115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</w:tcPr>
          <w:p w14:paraId="11E51667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199" w:type="dxa"/>
          </w:tcPr>
          <w:p w14:paraId="1C9923BE" w14:textId="77777777" w:rsidR="00F130A1" w:rsidRPr="001205B9" w:rsidRDefault="00F130A1" w:rsidP="00CB786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14:paraId="39A72985" w14:textId="77777777" w:rsidR="00F130A1" w:rsidRPr="001205B9" w:rsidRDefault="00F130A1" w:rsidP="00CB7867">
      <w:pPr>
        <w:widowControl w:val="0"/>
        <w:spacing w:after="0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CF0AFC7" w14:textId="77777777" w:rsidR="00A65AF0" w:rsidRPr="001205B9" w:rsidRDefault="00A65AF0" w:rsidP="00CF1A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89444AE" w14:textId="77777777" w:rsidR="00346E34" w:rsidRPr="001205B9" w:rsidRDefault="00346E34" w:rsidP="00CF1A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05B9">
        <w:rPr>
          <w:rFonts w:ascii="Times New Roman" w:hAnsi="Times New Roman"/>
          <w:iCs/>
          <w:sz w:val="28"/>
          <w:szCs w:val="28"/>
        </w:rPr>
        <w:t xml:space="preserve">Аудитор Счетной палаты </w:t>
      </w:r>
    </w:p>
    <w:p w14:paraId="0B1B8375" w14:textId="77777777" w:rsidR="00B51F45" w:rsidRPr="001205B9" w:rsidRDefault="00346E34" w:rsidP="00CF1A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05B9">
        <w:rPr>
          <w:rFonts w:ascii="Times New Roman" w:hAnsi="Times New Roman"/>
          <w:iCs/>
          <w:sz w:val="28"/>
          <w:szCs w:val="28"/>
        </w:rPr>
        <w:t xml:space="preserve">Российской Федерации   </w:t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Pr="001205B9">
        <w:rPr>
          <w:rFonts w:ascii="Times New Roman" w:hAnsi="Times New Roman"/>
          <w:iCs/>
          <w:sz w:val="28"/>
          <w:szCs w:val="28"/>
        </w:rPr>
        <w:tab/>
      </w:r>
      <w:r w:rsidR="00253CF0" w:rsidRPr="001205B9">
        <w:rPr>
          <w:rFonts w:ascii="Times New Roman" w:hAnsi="Times New Roman"/>
          <w:iCs/>
          <w:sz w:val="28"/>
          <w:szCs w:val="28"/>
        </w:rPr>
        <w:t xml:space="preserve">    </w:t>
      </w:r>
      <w:r w:rsidRPr="001205B9">
        <w:rPr>
          <w:rFonts w:ascii="Times New Roman" w:hAnsi="Times New Roman"/>
          <w:iCs/>
          <w:sz w:val="28"/>
          <w:szCs w:val="28"/>
        </w:rPr>
        <w:t xml:space="preserve">     </w:t>
      </w:r>
      <w:proofErr w:type="spellStart"/>
      <w:r w:rsidR="00253CF0" w:rsidRPr="001205B9">
        <w:rPr>
          <w:rFonts w:ascii="Times New Roman" w:hAnsi="Times New Roman"/>
          <w:iCs/>
          <w:sz w:val="28"/>
          <w:szCs w:val="28"/>
        </w:rPr>
        <w:t>Трунова</w:t>
      </w:r>
      <w:proofErr w:type="spellEnd"/>
      <w:r w:rsidR="00253CF0" w:rsidRPr="001205B9">
        <w:rPr>
          <w:rFonts w:ascii="Times New Roman" w:hAnsi="Times New Roman"/>
          <w:iCs/>
          <w:sz w:val="28"/>
          <w:szCs w:val="28"/>
        </w:rPr>
        <w:t xml:space="preserve"> Н.А.</w:t>
      </w:r>
    </w:p>
    <w:sectPr w:rsidR="00B51F45" w:rsidRPr="001205B9" w:rsidSect="00F34FE8">
      <w:headerReference w:type="default" r:id="rId21"/>
      <w:headerReference w:type="first" r:id="rId22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263AD" w14:textId="77777777" w:rsidR="00A33039" w:rsidRDefault="00A33039" w:rsidP="00491D09">
      <w:pPr>
        <w:spacing w:after="0" w:line="240" w:lineRule="auto"/>
      </w:pPr>
      <w:r>
        <w:separator/>
      </w:r>
    </w:p>
  </w:endnote>
  <w:endnote w:type="continuationSeparator" w:id="0">
    <w:p w14:paraId="7269ED3B" w14:textId="77777777" w:rsidR="00A33039" w:rsidRDefault="00A33039" w:rsidP="0049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7E1DB" w14:textId="77777777" w:rsidR="00A33039" w:rsidRDefault="00A33039" w:rsidP="00491D09">
      <w:pPr>
        <w:spacing w:after="0" w:line="240" w:lineRule="auto"/>
      </w:pPr>
      <w:r>
        <w:separator/>
      </w:r>
    </w:p>
  </w:footnote>
  <w:footnote w:type="continuationSeparator" w:id="0">
    <w:p w14:paraId="073896FA" w14:textId="77777777" w:rsidR="00A33039" w:rsidRDefault="00A33039" w:rsidP="00491D09">
      <w:pPr>
        <w:spacing w:after="0" w:line="240" w:lineRule="auto"/>
      </w:pPr>
      <w:r>
        <w:continuationSeparator/>
      </w:r>
    </w:p>
  </w:footnote>
  <w:footnote w:id="1">
    <w:p w14:paraId="092C932B" w14:textId="77777777" w:rsidR="00934D69" w:rsidRPr="00934D69" w:rsidRDefault="00934D69" w:rsidP="00934D69">
      <w:pPr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Федеральный закон от 22 декабря 2020 г. № 437-ФЗ «О федеральной территории «Сириус».</w:t>
      </w:r>
    </w:p>
  </w:footnote>
  <w:footnote w:id="2">
    <w:p w14:paraId="0E167F10" w14:textId="77777777" w:rsidR="00DE7DA8" w:rsidRDefault="00DE7DA8" w:rsidP="00DE7DA8">
      <w:pPr>
        <w:pStyle w:val="a8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 данным формы ФНС № 1-НОМ «Начисление и поступление налогов, сборов и страховых взносов в бюджетную систему Российской Федерации по основным видам экономической деятельности».</w:t>
      </w:r>
    </w:p>
  </w:footnote>
  <w:footnote w:id="3">
    <w:p w14:paraId="10154343" w14:textId="77777777" w:rsidR="00EA66F2" w:rsidRPr="00414967" w:rsidRDefault="00EA66F2" w:rsidP="00414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14967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414967">
        <w:rPr>
          <w:rFonts w:ascii="Times New Roman" w:hAnsi="Times New Roman" w:cs="Times New Roman"/>
          <w:sz w:val="20"/>
          <w:szCs w:val="20"/>
        </w:rPr>
        <w:t xml:space="preserve"> </w:t>
      </w:r>
      <w:r w:rsidR="00414967" w:rsidRPr="00414967">
        <w:rPr>
          <w:rFonts w:ascii="Times New Roman" w:hAnsi="Times New Roman" w:cs="Times New Roman"/>
          <w:sz w:val="20"/>
          <w:szCs w:val="20"/>
        </w:rPr>
        <w:t>Федеральный закон от 6 декабря 2021 г. № 409-ФЗ «О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"О прожиточном минимуме в Российской Федерации».</w:t>
      </w:r>
    </w:p>
  </w:footnote>
  <w:footnote w:id="4">
    <w:p w14:paraId="1AC20888" w14:textId="77777777" w:rsidR="00033784" w:rsidRDefault="00033784" w:rsidP="00033784">
      <w:pPr>
        <w:pStyle w:val="a8"/>
      </w:pPr>
      <w:r>
        <w:rPr>
          <w:rStyle w:val="a7"/>
        </w:rPr>
        <w:footnoteRef/>
      </w:r>
      <w:r>
        <w:t xml:space="preserve"> </w:t>
      </w:r>
      <w:r w:rsidRPr="00E324ED">
        <w:rPr>
          <w:rFonts w:ascii="Times New Roman" w:hAnsi="Times New Roman" w:cs="Times New Roman"/>
        </w:rPr>
        <w:t>В 49 регионах расходы выросли на 10 % и более. Наибольший прирост сложился в Ямало-Ненецком автономном округе (71,5 %), Республике Татарстан (48,2 %), Мурманской области (42,4 %), Белгородской области (40,1 %), Тюменской области (37,7 %) и Липецкой области (32,1 %).</w:t>
      </w:r>
    </w:p>
  </w:footnote>
  <w:footnote w:id="5">
    <w:p w14:paraId="20CDFCCF" w14:textId="77777777" w:rsidR="00033784" w:rsidRPr="00596924" w:rsidRDefault="00033784" w:rsidP="00033784">
      <w:pPr>
        <w:pStyle w:val="a8"/>
        <w:rPr>
          <w:rFonts w:ascii="Times New Roman" w:hAnsi="Times New Roman" w:cs="Times New Roman"/>
        </w:rPr>
      </w:pPr>
      <w:r w:rsidRPr="00596924">
        <w:rPr>
          <w:rStyle w:val="a7"/>
          <w:rFonts w:ascii="Times New Roman" w:hAnsi="Times New Roman" w:cs="Times New Roman"/>
        </w:rPr>
        <w:footnoteRef/>
      </w:r>
      <w:r w:rsidRPr="00596924">
        <w:rPr>
          <w:rFonts w:ascii="Times New Roman" w:hAnsi="Times New Roman" w:cs="Times New Roman"/>
        </w:rPr>
        <w:t xml:space="preserve"> </w:t>
      </w:r>
      <w:r w:rsidR="00596924" w:rsidRPr="00596924">
        <w:rPr>
          <w:rFonts w:ascii="Times New Roman" w:hAnsi="Times New Roman" w:cs="Times New Roman"/>
        </w:rPr>
        <w:t>Снижение расходов зафиксировано в Калининградской области (на 19 %), Ненецком автономном округе (на 12,6 %), г. Москве (на 12 %), Карачаево-Черкесской Республике (на 4,8 %) и Чувашской Республике (на 1,1 %).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067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3FAA97" w14:textId="62D93131" w:rsidR="00847318" w:rsidRPr="00346E34" w:rsidRDefault="00847318">
        <w:pPr>
          <w:pStyle w:val="ab"/>
          <w:jc w:val="center"/>
          <w:rPr>
            <w:rFonts w:ascii="Times New Roman" w:hAnsi="Times New Roman" w:cs="Times New Roman"/>
          </w:rPr>
        </w:pPr>
        <w:r w:rsidRPr="00346E34">
          <w:rPr>
            <w:rFonts w:ascii="Times New Roman" w:hAnsi="Times New Roman" w:cs="Times New Roman"/>
          </w:rPr>
          <w:fldChar w:fldCharType="begin"/>
        </w:r>
        <w:r w:rsidRPr="00346E34">
          <w:rPr>
            <w:rFonts w:ascii="Times New Roman" w:hAnsi="Times New Roman" w:cs="Times New Roman"/>
          </w:rPr>
          <w:instrText>PAGE   \* MERGEFORMAT</w:instrText>
        </w:r>
        <w:r w:rsidRPr="00346E34">
          <w:rPr>
            <w:rFonts w:ascii="Times New Roman" w:hAnsi="Times New Roman" w:cs="Times New Roman"/>
          </w:rPr>
          <w:fldChar w:fldCharType="separate"/>
        </w:r>
        <w:r w:rsidR="004E3003">
          <w:rPr>
            <w:rFonts w:ascii="Times New Roman" w:hAnsi="Times New Roman" w:cs="Times New Roman"/>
            <w:noProof/>
          </w:rPr>
          <w:t>14</w:t>
        </w:r>
        <w:r w:rsidRPr="00346E34">
          <w:rPr>
            <w:rFonts w:ascii="Times New Roman" w:hAnsi="Times New Roman" w:cs="Times New Roman"/>
          </w:rPr>
          <w:fldChar w:fldCharType="end"/>
        </w:r>
      </w:p>
    </w:sdtContent>
  </w:sdt>
  <w:p w14:paraId="3280545F" w14:textId="77777777" w:rsidR="00847318" w:rsidRDefault="008473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F33F5" w14:textId="0FB88E7C" w:rsidR="00847318" w:rsidRDefault="00847318" w:rsidP="00A2013B">
    <w:pPr>
      <w:pStyle w:val="ab"/>
      <w:jc w:val="right"/>
      <w:rPr>
        <w:rFonts w:ascii="Times New Roman" w:hAnsi="Times New Roman" w:cs="Times New Roman"/>
      </w:rPr>
    </w:pPr>
    <w:r w:rsidRPr="00A2013B">
      <w:rPr>
        <w:rFonts w:ascii="Times New Roman" w:hAnsi="Times New Roman" w:cs="Times New Roman"/>
      </w:rPr>
      <w:t>Пр</w:t>
    </w:r>
    <w:r>
      <w:rPr>
        <w:rFonts w:ascii="Times New Roman" w:hAnsi="Times New Roman" w:cs="Times New Roman"/>
      </w:rPr>
      <w:t xml:space="preserve">иложение № </w:t>
    </w:r>
    <w:r w:rsidR="004E3003">
      <w:rPr>
        <w:rFonts w:ascii="Times New Roman" w:hAnsi="Times New Roman" w:cs="Times New Roman"/>
      </w:rPr>
      <w:t>17</w:t>
    </w:r>
  </w:p>
  <w:p w14:paraId="6148E50B" w14:textId="77777777" w:rsidR="00847318" w:rsidRPr="00A2013B" w:rsidRDefault="00847318" w:rsidP="00A2013B">
    <w:pPr>
      <w:pStyle w:val="ab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к аналитической записке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50C"/>
    <w:multiLevelType w:val="hybridMultilevel"/>
    <w:tmpl w:val="76483656"/>
    <w:lvl w:ilvl="0" w:tplc="D186A042">
      <w:start w:val="1"/>
      <w:numFmt w:val="decimal"/>
      <w:lvlText w:val="%1."/>
      <w:lvlJc w:val="left"/>
      <w:pPr>
        <w:ind w:left="1218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31"/>
    <w:rsid w:val="00005918"/>
    <w:rsid w:val="00005CE7"/>
    <w:rsid w:val="000068C2"/>
    <w:rsid w:val="00007B5C"/>
    <w:rsid w:val="0001029A"/>
    <w:rsid w:val="0002258B"/>
    <w:rsid w:val="0002557B"/>
    <w:rsid w:val="00026A6D"/>
    <w:rsid w:val="00031119"/>
    <w:rsid w:val="00033784"/>
    <w:rsid w:val="0003465D"/>
    <w:rsid w:val="0003711E"/>
    <w:rsid w:val="00037561"/>
    <w:rsid w:val="00051F32"/>
    <w:rsid w:val="00055153"/>
    <w:rsid w:val="00064D17"/>
    <w:rsid w:val="0007318D"/>
    <w:rsid w:val="00077023"/>
    <w:rsid w:val="0007746E"/>
    <w:rsid w:val="00083D4B"/>
    <w:rsid w:val="00083EC8"/>
    <w:rsid w:val="000855F8"/>
    <w:rsid w:val="0008615A"/>
    <w:rsid w:val="0009053E"/>
    <w:rsid w:val="000A03FB"/>
    <w:rsid w:val="000A21D7"/>
    <w:rsid w:val="000A271F"/>
    <w:rsid w:val="000A30E4"/>
    <w:rsid w:val="000A5AB9"/>
    <w:rsid w:val="000A6769"/>
    <w:rsid w:val="000A70F6"/>
    <w:rsid w:val="000B3317"/>
    <w:rsid w:val="000B41C3"/>
    <w:rsid w:val="000B5A56"/>
    <w:rsid w:val="000C0EF4"/>
    <w:rsid w:val="000C2D04"/>
    <w:rsid w:val="000C3BAC"/>
    <w:rsid w:val="000C60C0"/>
    <w:rsid w:val="000C66D4"/>
    <w:rsid w:val="000D1F9F"/>
    <w:rsid w:val="000D43EF"/>
    <w:rsid w:val="000E3499"/>
    <w:rsid w:val="000E60EF"/>
    <w:rsid w:val="000E7154"/>
    <w:rsid w:val="000F1360"/>
    <w:rsid w:val="000F724D"/>
    <w:rsid w:val="00100C6A"/>
    <w:rsid w:val="00101498"/>
    <w:rsid w:val="001026D4"/>
    <w:rsid w:val="00103A20"/>
    <w:rsid w:val="0010597C"/>
    <w:rsid w:val="00114ECB"/>
    <w:rsid w:val="00115D3E"/>
    <w:rsid w:val="001205B9"/>
    <w:rsid w:val="00121988"/>
    <w:rsid w:val="00123517"/>
    <w:rsid w:val="0012542D"/>
    <w:rsid w:val="00125B23"/>
    <w:rsid w:val="001300EB"/>
    <w:rsid w:val="00130E62"/>
    <w:rsid w:val="00131CA1"/>
    <w:rsid w:val="00137C2E"/>
    <w:rsid w:val="00140458"/>
    <w:rsid w:val="00142CBA"/>
    <w:rsid w:val="001478B1"/>
    <w:rsid w:val="00154202"/>
    <w:rsid w:val="00160079"/>
    <w:rsid w:val="00160F11"/>
    <w:rsid w:val="00162A45"/>
    <w:rsid w:val="00163FA0"/>
    <w:rsid w:val="001656E9"/>
    <w:rsid w:val="00171323"/>
    <w:rsid w:val="0018216E"/>
    <w:rsid w:val="00187465"/>
    <w:rsid w:val="001907AC"/>
    <w:rsid w:val="00195D64"/>
    <w:rsid w:val="00196FD8"/>
    <w:rsid w:val="001A29D1"/>
    <w:rsid w:val="001A3CC3"/>
    <w:rsid w:val="001B0787"/>
    <w:rsid w:val="001B1B1F"/>
    <w:rsid w:val="001B2F78"/>
    <w:rsid w:val="001B4A81"/>
    <w:rsid w:val="001C0804"/>
    <w:rsid w:val="001C344C"/>
    <w:rsid w:val="001C3892"/>
    <w:rsid w:val="001D060E"/>
    <w:rsid w:val="001D0C42"/>
    <w:rsid w:val="001D19FB"/>
    <w:rsid w:val="001D2D7A"/>
    <w:rsid w:val="001D47C9"/>
    <w:rsid w:val="001D65AC"/>
    <w:rsid w:val="001D6F9C"/>
    <w:rsid w:val="001D7F01"/>
    <w:rsid w:val="001E24D6"/>
    <w:rsid w:val="001E4803"/>
    <w:rsid w:val="001E6F9C"/>
    <w:rsid w:val="001F07AC"/>
    <w:rsid w:val="001F17AF"/>
    <w:rsid w:val="001F1C76"/>
    <w:rsid w:val="001F1EC6"/>
    <w:rsid w:val="001F2772"/>
    <w:rsid w:val="001F4914"/>
    <w:rsid w:val="00201340"/>
    <w:rsid w:val="00201713"/>
    <w:rsid w:val="0020267A"/>
    <w:rsid w:val="0020343B"/>
    <w:rsid w:val="00206003"/>
    <w:rsid w:val="00207A71"/>
    <w:rsid w:val="0021081B"/>
    <w:rsid w:val="00211CB9"/>
    <w:rsid w:val="00213393"/>
    <w:rsid w:val="002167DA"/>
    <w:rsid w:val="0021722E"/>
    <w:rsid w:val="002241E4"/>
    <w:rsid w:val="0023257A"/>
    <w:rsid w:val="00232ECE"/>
    <w:rsid w:val="00232FC9"/>
    <w:rsid w:val="00233040"/>
    <w:rsid w:val="00241522"/>
    <w:rsid w:val="00241639"/>
    <w:rsid w:val="002448CC"/>
    <w:rsid w:val="00245584"/>
    <w:rsid w:val="00245610"/>
    <w:rsid w:val="00247C1B"/>
    <w:rsid w:val="00252EF9"/>
    <w:rsid w:val="00253088"/>
    <w:rsid w:val="00253CF0"/>
    <w:rsid w:val="002545E0"/>
    <w:rsid w:val="00262DF7"/>
    <w:rsid w:val="0026442F"/>
    <w:rsid w:val="002645AE"/>
    <w:rsid w:val="00270188"/>
    <w:rsid w:val="002710F3"/>
    <w:rsid w:val="00273B5A"/>
    <w:rsid w:val="002742C3"/>
    <w:rsid w:val="0028177D"/>
    <w:rsid w:val="00285CD2"/>
    <w:rsid w:val="00285EB6"/>
    <w:rsid w:val="00290BF9"/>
    <w:rsid w:val="00295A9B"/>
    <w:rsid w:val="002969F5"/>
    <w:rsid w:val="002977EF"/>
    <w:rsid w:val="002A0F45"/>
    <w:rsid w:val="002A266A"/>
    <w:rsid w:val="002A28B3"/>
    <w:rsid w:val="002A3453"/>
    <w:rsid w:val="002A472E"/>
    <w:rsid w:val="002A4DD0"/>
    <w:rsid w:val="002A5BD9"/>
    <w:rsid w:val="002B6DAC"/>
    <w:rsid w:val="002C33E6"/>
    <w:rsid w:val="002C3730"/>
    <w:rsid w:val="002C3BD4"/>
    <w:rsid w:val="002C6FA8"/>
    <w:rsid w:val="002C78A8"/>
    <w:rsid w:val="002D0CB1"/>
    <w:rsid w:val="002D1257"/>
    <w:rsid w:val="002D1688"/>
    <w:rsid w:val="002D2B47"/>
    <w:rsid w:val="002E04B6"/>
    <w:rsid w:val="002E0F18"/>
    <w:rsid w:val="002E117E"/>
    <w:rsid w:val="002E27E5"/>
    <w:rsid w:val="002E28AD"/>
    <w:rsid w:val="002E3576"/>
    <w:rsid w:val="002F0626"/>
    <w:rsid w:val="002F458B"/>
    <w:rsid w:val="002F5806"/>
    <w:rsid w:val="002F6D8E"/>
    <w:rsid w:val="002F6E10"/>
    <w:rsid w:val="0030347E"/>
    <w:rsid w:val="00303C30"/>
    <w:rsid w:val="00304B35"/>
    <w:rsid w:val="00320C20"/>
    <w:rsid w:val="00330171"/>
    <w:rsid w:val="00331C2E"/>
    <w:rsid w:val="00333A3E"/>
    <w:rsid w:val="00333B55"/>
    <w:rsid w:val="00334BE4"/>
    <w:rsid w:val="00335C6E"/>
    <w:rsid w:val="00340CF8"/>
    <w:rsid w:val="00342531"/>
    <w:rsid w:val="00343E24"/>
    <w:rsid w:val="00345BC0"/>
    <w:rsid w:val="00346E34"/>
    <w:rsid w:val="00350155"/>
    <w:rsid w:val="00352297"/>
    <w:rsid w:val="00354427"/>
    <w:rsid w:val="00354A12"/>
    <w:rsid w:val="0037016F"/>
    <w:rsid w:val="003709A7"/>
    <w:rsid w:val="003742F7"/>
    <w:rsid w:val="00377FA2"/>
    <w:rsid w:val="00382A8E"/>
    <w:rsid w:val="00384CE5"/>
    <w:rsid w:val="00385C21"/>
    <w:rsid w:val="00386BA5"/>
    <w:rsid w:val="00390C0A"/>
    <w:rsid w:val="0039228A"/>
    <w:rsid w:val="00395459"/>
    <w:rsid w:val="0039708E"/>
    <w:rsid w:val="003A04DF"/>
    <w:rsid w:val="003A0FF3"/>
    <w:rsid w:val="003A42D9"/>
    <w:rsid w:val="003A46CC"/>
    <w:rsid w:val="003A4D2F"/>
    <w:rsid w:val="003A7815"/>
    <w:rsid w:val="003B1C8C"/>
    <w:rsid w:val="003B592C"/>
    <w:rsid w:val="003C18E1"/>
    <w:rsid w:val="003C2132"/>
    <w:rsid w:val="003C28C5"/>
    <w:rsid w:val="003C4E52"/>
    <w:rsid w:val="003C7222"/>
    <w:rsid w:val="003E6520"/>
    <w:rsid w:val="003E7639"/>
    <w:rsid w:val="0040244E"/>
    <w:rsid w:val="004028BB"/>
    <w:rsid w:val="00402FD0"/>
    <w:rsid w:val="0040404E"/>
    <w:rsid w:val="00412C30"/>
    <w:rsid w:val="00412D62"/>
    <w:rsid w:val="00414967"/>
    <w:rsid w:val="00414F97"/>
    <w:rsid w:val="004166A1"/>
    <w:rsid w:val="00416DE3"/>
    <w:rsid w:val="004227E2"/>
    <w:rsid w:val="004252FC"/>
    <w:rsid w:val="004313D7"/>
    <w:rsid w:val="0043196E"/>
    <w:rsid w:val="00431C4F"/>
    <w:rsid w:val="0043452B"/>
    <w:rsid w:val="004362CE"/>
    <w:rsid w:val="00441AC8"/>
    <w:rsid w:val="00444190"/>
    <w:rsid w:val="004448BD"/>
    <w:rsid w:val="004450AA"/>
    <w:rsid w:val="00447BC3"/>
    <w:rsid w:val="00451303"/>
    <w:rsid w:val="004514C1"/>
    <w:rsid w:val="0045325E"/>
    <w:rsid w:val="00456E0D"/>
    <w:rsid w:val="00456EC9"/>
    <w:rsid w:val="0045733C"/>
    <w:rsid w:val="00460F2B"/>
    <w:rsid w:val="00461C96"/>
    <w:rsid w:val="004679A3"/>
    <w:rsid w:val="004729A5"/>
    <w:rsid w:val="00475592"/>
    <w:rsid w:val="00476340"/>
    <w:rsid w:val="00477561"/>
    <w:rsid w:val="00480460"/>
    <w:rsid w:val="00482C3E"/>
    <w:rsid w:val="00484B91"/>
    <w:rsid w:val="00491D09"/>
    <w:rsid w:val="004957D7"/>
    <w:rsid w:val="004A3399"/>
    <w:rsid w:val="004A4A8B"/>
    <w:rsid w:val="004A77DB"/>
    <w:rsid w:val="004B1513"/>
    <w:rsid w:val="004C318F"/>
    <w:rsid w:val="004C6CD9"/>
    <w:rsid w:val="004D2459"/>
    <w:rsid w:val="004D6248"/>
    <w:rsid w:val="004E0EFB"/>
    <w:rsid w:val="004E1861"/>
    <w:rsid w:val="004E3003"/>
    <w:rsid w:val="004F3FAE"/>
    <w:rsid w:val="004F64AD"/>
    <w:rsid w:val="004F6696"/>
    <w:rsid w:val="004F7395"/>
    <w:rsid w:val="00500764"/>
    <w:rsid w:val="00502DF8"/>
    <w:rsid w:val="00503021"/>
    <w:rsid w:val="0050700F"/>
    <w:rsid w:val="005108ED"/>
    <w:rsid w:val="0051227B"/>
    <w:rsid w:val="00513D52"/>
    <w:rsid w:val="00515283"/>
    <w:rsid w:val="00516B1F"/>
    <w:rsid w:val="00524E7D"/>
    <w:rsid w:val="00525E01"/>
    <w:rsid w:val="00526EDF"/>
    <w:rsid w:val="00531B13"/>
    <w:rsid w:val="005331E4"/>
    <w:rsid w:val="00545712"/>
    <w:rsid w:val="00545862"/>
    <w:rsid w:val="0055213A"/>
    <w:rsid w:val="00552A4D"/>
    <w:rsid w:val="005545A0"/>
    <w:rsid w:val="005609C3"/>
    <w:rsid w:val="005614AE"/>
    <w:rsid w:val="00561E7C"/>
    <w:rsid w:val="00562013"/>
    <w:rsid w:val="00562B1A"/>
    <w:rsid w:val="00565B50"/>
    <w:rsid w:val="005665AC"/>
    <w:rsid w:val="00566D90"/>
    <w:rsid w:val="00567675"/>
    <w:rsid w:val="00570DCE"/>
    <w:rsid w:val="0057408E"/>
    <w:rsid w:val="005748B6"/>
    <w:rsid w:val="00577004"/>
    <w:rsid w:val="005770D4"/>
    <w:rsid w:val="00580DC7"/>
    <w:rsid w:val="00582DF6"/>
    <w:rsid w:val="00586788"/>
    <w:rsid w:val="0059115F"/>
    <w:rsid w:val="005915D3"/>
    <w:rsid w:val="00592FE4"/>
    <w:rsid w:val="00595A71"/>
    <w:rsid w:val="00596924"/>
    <w:rsid w:val="005A1270"/>
    <w:rsid w:val="005B1464"/>
    <w:rsid w:val="005B4EA6"/>
    <w:rsid w:val="005C21EE"/>
    <w:rsid w:val="005C30CC"/>
    <w:rsid w:val="005D1453"/>
    <w:rsid w:val="005D4CE1"/>
    <w:rsid w:val="005E0979"/>
    <w:rsid w:val="005E0B24"/>
    <w:rsid w:val="005E0BF0"/>
    <w:rsid w:val="005E0C0F"/>
    <w:rsid w:val="005E4B1F"/>
    <w:rsid w:val="005E670C"/>
    <w:rsid w:val="005F02F7"/>
    <w:rsid w:val="005F1540"/>
    <w:rsid w:val="005F4D6A"/>
    <w:rsid w:val="005F5388"/>
    <w:rsid w:val="005F7CEE"/>
    <w:rsid w:val="00601964"/>
    <w:rsid w:val="00601C4B"/>
    <w:rsid w:val="00604232"/>
    <w:rsid w:val="00604F55"/>
    <w:rsid w:val="006071E2"/>
    <w:rsid w:val="006120A0"/>
    <w:rsid w:val="0061347C"/>
    <w:rsid w:val="0061539C"/>
    <w:rsid w:val="00615848"/>
    <w:rsid w:val="00615D0C"/>
    <w:rsid w:val="00620159"/>
    <w:rsid w:val="00623D66"/>
    <w:rsid w:val="00627C61"/>
    <w:rsid w:val="00631FC1"/>
    <w:rsid w:val="006340CA"/>
    <w:rsid w:val="00634AC5"/>
    <w:rsid w:val="00640A41"/>
    <w:rsid w:val="006443D5"/>
    <w:rsid w:val="00644C54"/>
    <w:rsid w:val="00645BE0"/>
    <w:rsid w:val="0064759E"/>
    <w:rsid w:val="006500B3"/>
    <w:rsid w:val="00650AC3"/>
    <w:rsid w:val="00652EA0"/>
    <w:rsid w:val="00653634"/>
    <w:rsid w:val="00655CEF"/>
    <w:rsid w:val="00656DEA"/>
    <w:rsid w:val="00657CFA"/>
    <w:rsid w:val="00661469"/>
    <w:rsid w:val="00664678"/>
    <w:rsid w:val="006706DA"/>
    <w:rsid w:val="00671DA9"/>
    <w:rsid w:val="006725B1"/>
    <w:rsid w:val="006730E4"/>
    <w:rsid w:val="00682729"/>
    <w:rsid w:val="00683E87"/>
    <w:rsid w:val="00685D7F"/>
    <w:rsid w:val="006865A6"/>
    <w:rsid w:val="00690010"/>
    <w:rsid w:val="00693182"/>
    <w:rsid w:val="00696B5D"/>
    <w:rsid w:val="006A3ADA"/>
    <w:rsid w:val="006A51F5"/>
    <w:rsid w:val="006A52C6"/>
    <w:rsid w:val="006B0104"/>
    <w:rsid w:val="006B2A5A"/>
    <w:rsid w:val="006B43A5"/>
    <w:rsid w:val="006B56F2"/>
    <w:rsid w:val="006B6136"/>
    <w:rsid w:val="006C3CF6"/>
    <w:rsid w:val="006C3FF9"/>
    <w:rsid w:val="006C4D41"/>
    <w:rsid w:val="006D2EAE"/>
    <w:rsid w:val="006E3C2D"/>
    <w:rsid w:val="006F0B71"/>
    <w:rsid w:val="006F1C5A"/>
    <w:rsid w:val="006F2DBB"/>
    <w:rsid w:val="006F46B8"/>
    <w:rsid w:val="006F50D4"/>
    <w:rsid w:val="0070180C"/>
    <w:rsid w:val="00703131"/>
    <w:rsid w:val="00704279"/>
    <w:rsid w:val="00704A39"/>
    <w:rsid w:val="00705879"/>
    <w:rsid w:val="007103F6"/>
    <w:rsid w:val="00711CB9"/>
    <w:rsid w:val="00712008"/>
    <w:rsid w:val="0071400B"/>
    <w:rsid w:val="00716CAE"/>
    <w:rsid w:val="0071749F"/>
    <w:rsid w:val="007267BC"/>
    <w:rsid w:val="00726F4A"/>
    <w:rsid w:val="007374B5"/>
    <w:rsid w:val="007377DA"/>
    <w:rsid w:val="007427CF"/>
    <w:rsid w:val="007441FD"/>
    <w:rsid w:val="00744F65"/>
    <w:rsid w:val="007509FA"/>
    <w:rsid w:val="0075187C"/>
    <w:rsid w:val="007526A1"/>
    <w:rsid w:val="0076402B"/>
    <w:rsid w:val="0076675E"/>
    <w:rsid w:val="007725C9"/>
    <w:rsid w:val="00782E0F"/>
    <w:rsid w:val="00783192"/>
    <w:rsid w:val="00784FB7"/>
    <w:rsid w:val="0078561B"/>
    <w:rsid w:val="007862F9"/>
    <w:rsid w:val="00786C1F"/>
    <w:rsid w:val="0079161C"/>
    <w:rsid w:val="00792DCB"/>
    <w:rsid w:val="007A1474"/>
    <w:rsid w:val="007A4012"/>
    <w:rsid w:val="007A65E7"/>
    <w:rsid w:val="007A71CD"/>
    <w:rsid w:val="007A7703"/>
    <w:rsid w:val="007B1253"/>
    <w:rsid w:val="007B194D"/>
    <w:rsid w:val="007B2244"/>
    <w:rsid w:val="007B30B9"/>
    <w:rsid w:val="007B4EBD"/>
    <w:rsid w:val="007B6904"/>
    <w:rsid w:val="007B73C0"/>
    <w:rsid w:val="007B7DBC"/>
    <w:rsid w:val="007C40D0"/>
    <w:rsid w:val="007D1A2C"/>
    <w:rsid w:val="007D6B6A"/>
    <w:rsid w:val="007E61AF"/>
    <w:rsid w:val="007F38B6"/>
    <w:rsid w:val="007F6B53"/>
    <w:rsid w:val="007F6E0E"/>
    <w:rsid w:val="007F7029"/>
    <w:rsid w:val="0080172E"/>
    <w:rsid w:val="00807CCD"/>
    <w:rsid w:val="00811C4B"/>
    <w:rsid w:val="00813925"/>
    <w:rsid w:val="00813F98"/>
    <w:rsid w:val="00823F3A"/>
    <w:rsid w:val="00831730"/>
    <w:rsid w:val="008340C0"/>
    <w:rsid w:val="00836EA5"/>
    <w:rsid w:val="00840CF9"/>
    <w:rsid w:val="00841AB8"/>
    <w:rsid w:val="008439EA"/>
    <w:rsid w:val="00844EC9"/>
    <w:rsid w:val="00847318"/>
    <w:rsid w:val="00852B3E"/>
    <w:rsid w:val="008543DD"/>
    <w:rsid w:val="00854B83"/>
    <w:rsid w:val="00856CB5"/>
    <w:rsid w:val="00857764"/>
    <w:rsid w:val="00860110"/>
    <w:rsid w:val="00862839"/>
    <w:rsid w:val="0086392A"/>
    <w:rsid w:val="0086446A"/>
    <w:rsid w:val="0087282D"/>
    <w:rsid w:val="00872AA6"/>
    <w:rsid w:val="008766C5"/>
    <w:rsid w:val="00880CA7"/>
    <w:rsid w:val="0088672C"/>
    <w:rsid w:val="00891BDE"/>
    <w:rsid w:val="00892569"/>
    <w:rsid w:val="008A0A8F"/>
    <w:rsid w:val="008A44B6"/>
    <w:rsid w:val="008A653E"/>
    <w:rsid w:val="008B0818"/>
    <w:rsid w:val="008B534D"/>
    <w:rsid w:val="008B68F9"/>
    <w:rsid w:val="008C1F06"/>
    <w:rsid w:val="008C2CA6"/>
    <w:rsid w:val="008C2FFE"/>
    <w:rsid w:val="008C5EC8"/>
    <w:rsid w:val="008C7502"/>
    <w:rsid w:val="008D0AC7"/>
    <w:rsid w:val="008D11C0"/>
    <w:rsid w:val="008D15BD"/>
    <w:rsid w:val="008D394E"/>
    <w:rsid w:val="008D4984"/>
    <w:rsid w:val="008D4DDC"/>
    <w:rsid w:val="008D77AB"/>
    <w:rsid w:val="008E5620"/>
    <w:rsid w:val="008E6B4B"/>
    <w:rsid w:val="008E7D32"/>
    <w:rsid w:val="008F1B96"/>
    <w:rsid w:val="008F228E"/>
    <w:rsid w:val="008F53A3"/>
    <w:rsid w:val="00910E9B"/>
    <w:rsid w:val="00914062"/>
    <w:rsid w:val="009152EA"/>
    <w:rsid w:val="0091735D"/>
    <w:rsid w:val="0092008C"/>
    <w:rsid w:val="00920748"/>
    <w:rsid w:val="00920DCB"/>
    <w:rsid w:val="00921413"/>
    <w:rsid w:val="009224CA"/>
    <w:rsid w:val="00923D6E"/>
    <w:rsid w:val="00926372"/>
    <w:rsid w:val="0093284B"/>
    <w:rsid w:val="00933275"/>
    <w:rsid w:val="009342BF"/>
    <w:rsid w:val="00934336"/>
    <w:rsid w:val="00934D69"/>
    <w:rsid w:val="0093554E"/>
    <w:rsid w:val="00936D88"/>
    <w:rsid w:val="00943BC8"/>
    <w:rsid w:val="0094730F"/>
    <w:rsid w:val="0094779B"/>
    <w:rsid w:val="00952070"/>
    <w:rsid w:val="009552FE"/>
    <w:rsid w:val="00963410"/>
    <w:rsid w:val="00965391"/>
    <w:rsid w:val="00965B4C"/>
    <w:rsid w:val="00966190"/>
    <w:rsid w:val="00973E7E"/>
    <w:rsid w:val="00987B28"/>
    <w:rsid w:val="00994DE0"/>
    <w:rsid w:val="009955B1"/>
    <w:rsid w:val="00995B94"/>
    <w:rsid w:val="00996678"/>
    <w:rsid w:val="009A0498"/>
    <w:rsid w:val="009A1969"/>
    <w:rsid w:val="009A27DA"/>
    <w:rsid w:val="009A3A98"/>
    <w:rsid w:val="009A5DC0"/>
    <w:rsid w:val="009B0097"/>
    <w:rsid w:val="009B36F2"/>
    <w:rsid w:val="009B7E41"/>
    <w:rsid w:val="009C12B4"/>
    <w:rsid w:val="009C18DF"/>
    <w:rsid w:val="009C1F4B"/>
    <w:rsid w:val="009C7156"/>
    <w:rsid w:val="009C7D54"/>
    <w:rsid w:val="009D02BC"/>
    <w:rsid w:val="009D0E1A"/>
    <w:rsid w:val="009D479D"/>
    <w:rsid w:val="009D4E41"/>
    <w:rsid w:val="009E033F"/>
    <w:rsid w:val="009E1E02"/>
    <w:rsid w:val="009E458D"/>
    <w:rsid w:val="009E58DB"/>
    <w:rsid w:val="009E7745"/>
    <w:rsid w:val="009F41F9"/>
    <w:rsid w:val="009F5A81"/>
    <w:rsid w:val="009F7490"/>
    <w:rsid w:val="00A03FAC"/>
    <w:rsid w:val="00A05365"/>
    <w:rsid w:val="00A06449"/>
    <w:rsid w:val="00A10B57"/>
    <w:rsid w:val="00A12D74"/>
    <w:rsid w:val="00A13E39"/>
    <w:rsid w:val="00A148C9"/>
    <w:rsid w:val="00A14935"/>
    <w:rsid w:val="00A14E4A"/>
    <w:rsid w:val="00A2013B"/>
    <w:rsid w:val="00A21B8D"/>
    <w:rsid w:val="00A2360E"/>
    <w:rsid w:val="00A24B8A"/>
    <w:rsid w:val="00A328C5"/>
    <w:rsid w:val="00A33039"/>
    <w:rsid w:val="00A335E8"/>
    <w:rsid w:val="00A34272"/>
    <w:rsid w:val="00A40F84"/>
    <w:rsid w:val="00A50119"/>
    <w:rsid w:val="00A61B31"/>
    <w:rsid w:val="00A640A2"/>
    <w:rsid w:val="00A64ED3"/>
    <w:rsid w:val="00A65827"/>
    <w:rsid w:val="00A65AF0"/>
    <w:rsid w:val="00A67111"/>
    <w:rsid w:val="00A71FFC"/>
    <w:rsid w:val="00A7664E"/>
    <w:rsid w:val="00A77836"/>
    <w:rsid w:val="00A81255"/>
    <w:rsid w:val="00A834C1"/>
    <w:rsid w:val="00A83F4E"/>
    <w:rsid w:val="00A843B3"/>
    <w:rsid w:val="00A85B6F"/>
    <w:rsid w:val="00A8635B"/>
    <w:rsid w:val="00A86894"/>
    <w:rsid w:val="00A872A1"/>
    <w:rsid w:val="00A87F9D"/>
    <w:rsid w:val="00A90EB5"/>
    <w:rsid w:val="00A93B71"/>
    <w:rsid w:val="00AA0580"/>
    <w:rsid w:val="00AA2E7C"/>
    <w:rsid w:val="00AA46C4"/>
    <w:rsid w:val="00AA4F39"/>
    <w:rsid w:val="00AA54BD"/>
    <w:rsid w:val="00AA5604"/>
    <w:rsid w:val="00AA5DC5"/>
    <w:rsid w:val="00AB20B9"/>
    <w:rsid w:val="00AB2F88"/>
    <w:rsid w:val="00AB54A8"/>
    <w:rsid w:val="00AC12AB"/>
    <w:rsid w:val="00AC1E5A"/>
    <w:rsid w:val="00AC4402"/>
    <w:rsid w:val="00AC4D29"/>
    <w:rsid w:val="00AD02BD"/>
    <w:rsid w:val="00AD3CEE"/>
    <w:rsid w:val="00AD67D6"/>
    <w:rsid w:val="00AD7735"/>
    <w:rsid w:val="00AE1816"/>
    <w:rsid w:val="00AE4884"/>
    <w:rsid w:val="00AE5C66"/>
    <w:rsid w:val="00AF11F8"/>
    <w:rsid w:val="00B00535"/>
    <w:rsid w:val="00B00CC7"/>
    <w:rsid w:val="00B0198F"/>
    <w:rsid w:val="00B02594"/>
    <w:rsid w:val="00B04917"/>
    <w:rsid w:val="00B129AF"/>
    <w:rsid w:val="00B15B4F"/>
    <w:rsid w:val="00B1665E"/>
    <w:rsid w:val="00B31C62"/>
    <w:rsid w:val="00B40270"/>
    <w:rsid w:val="00B40565"/>
    <w:rsid w:val="00B40566"/>
    <w:rsid w:val="00B44F01"/>
    <w:rsid w:val="00B51F45"/>
    <w:rsid w:val="00B64DAA"/>
    <w:rsid w:val="00B65DD0"/>
    <w:rsid w:val="00B70F47"/>
    <w:rsid w:val="00B73A82"/>
    <w:rsid w:val="00B822B2"/>
    <w:rsid w:val="00B82B43"/>
    <w:rsid w:val="00B82D39"/>
    <w:rsid w:val="00B840A7"/>
    <w:rsid w:val="00B92B7B"/>
    <w:rsid w:val="00B95B72"/>
    <w:rsid w:val="00B97619"/>
    <w:rsid w:val="00BA0D01"/>
    <w:rsid w:val="00BA1C3B"/>
    <w:rsid w:val="00BA2644"/>
    <w:rsid w:val="00BA29D3"/>
    <w:rsid w:val="00BA40BE"/>
    <w:rsid w:val="00BA5A4D"/>
    <w:rsid w:val="00BA657A"/>
    <w:rsid w:val="00BA7994"/>
    <w:rsid w:val="00BB14DF"/>
    <w:rsid w:val="00BB1B7A"/>
    <w:rsid w:val="00BC52FB"/>
    <w:rsid w:val="00BC5E45"/>
    <w:rsid w:val="00BD334D"/>
    <w:rsid w:val="00BD7BB5"/>
    <w:rsid w:val="00BE3BBD"/>
    <w:rsid w:val="00BE4833"/>
    <w:rsid w:val="00BE57B5"/>
    <w:rsid w:val="00BE5FD4"/>
    <w:rsid w:val="00BF2E68"/>
    <w:rsid w:val="00BF769B"/>
    <w:rsid w:val="00BF7CB0"/>
    <w:rsid w:val="00C027BD"/>
    <w:rsid w:val="00C0486C"/>
    <w:rsid w:val="00C10C4B"/>
    <w:rsid w:val="00C118A3"/>
    <w:rsid w:val="00C12BCF"/>
    <w:rsid w:val="00C145DC"/>
    <w:rsid w:val="00C14638"/>
    <w:rsid w:val="00C156B6"/>
    <w:rsid w:val="00C22504"/>
    <w:rsid w:val="00C2378A"/>
    <w:rsid w:val="00C262DA"/>
    <w:rsid w:val="00C30154"/>
    <w:rsid w:val="00C308A9"/>
    <w:rsid w:val="00C30DE9"/>
    <w:rsid w:val="00C31CE5"/>
    <w:rsid w:val="00C32981"/>
    <w:rsid w:val="00C32D34"/>
    <w:rsid w:val="00C33E32"/>
    <w:rsid w:val="00C35C14"/>
    <w:rsid w:val="00C37CBB"/>
    <w:rsid w:val="00C37F04"/>
    <w:rsid w:val="00C4172D"/>
    <w:rsid w:val="00C427A1"/>
    <w:rsid w:val="00C50A30"/>
    <w:rsid w:val="00C536C4"/>
    <w:rsid w:val="00C54A49"/>
    <w:rsid w:val="00C55430"/>
    <w:rsid w:val="00C55D7B"/>
    <w:rsid w:val="00C57BF9"/>
    <w:rsid w:val="00C57DD1"/>
    <w:rsid w:val="00C62B83"/>
    <w:rsid w:val="00C67D18"/>
    <w:rsid w:val="00C7207A"/>
    <w:rsid w:val="00C723AB"/>
    <w:rsid w:val="00C76262"/>
    <w:rsid w:val="00C818E8"/>
    <w:rsid w:val="00C83F6B"/>
    <w:rsid w:val="00C87C38"/>
    <w:rsid w:val="00C90E48"/>
    <w:rsid w:val="00CA065E"/>
    <w:rsid w:val="00CA3837"/>
    <w:rsid w:val="00CA4DA3"/>
    <w:rsid w:val="00CB3AD2"/>
    <w:rsid w:val="00CB7894"/>
    <w:rsid w:val="00CC04B0"/>
    <w:rsid w:val="00CC1DEB"/>
    <w:rsid w:val="00CC2509"/>
    <w:rsid w:val="00CC3912"/>
    <w:rsid w:val="00CD042B"/>
    <w:rsid w:val="00CD254C"/>
    <w:rsid w:val="00CD25FF"/>
    <w:rsid w:val="00CD7C71"/>
    <w:rsid w:val="00CE1FC1"/>
    <w:rsid w:val="00CE3ACE"/>
    <w:rsid w:val="00CE53B6"/>
    <w:rsid w:val="00CF1A05"/>
    <w:rsid w:val="00CF4473"/>
    <w:rsid w:val="00CF54C7"/>
    <w:rsid w:val="00CF644E"/>
    <w:rsid w:val="00D067FE"/>
    <w:rsid w:val="00D06F2D"/>
    <w:rsid w:val="00D10914"/>
    <w:rsid w:val="00D10B9B"/>
    <w:rsid w:val="00D160DA"/>
    <w:rsid w:val="00D21A5F"/>
    <w:rsid w:val="00D2542D"/>
    <w:rsid w:val="00D25BF3"/>
    <w:rsid w:val="00D25F40"/>
    <w:rsid w:val="00D261CD"/>
    <w:rsid w:val="00D40272"/>
    <w:rsid w:val="00D4134D"/>
    <w:rsid w:val="00D46AA6"/>
    <w:rsid w:val="00D53496"/>
    <w:rsid w:val="00D54D52"/>
    <w:rsid w:val="00D56336"/>
    <w:rsid w:val="00D56C06"/>
    <w:rsid w:val="00D648A9"/>
    <w:rsid w:val="00D64B5B"/>
    <w:rsid w:val="00D705F2"/>
    <w:rsid w:val="00D725F9"/>
    <w:rsid w:val="00D7351B"/>
    <w:rsid w:val="00D77A76"/>
    <w:rsid w:val="00D77EC3"/>
    <w:rsid w:val="00D81367"/>
    <w:rsid w:val="00D81E9E"/>
    <w:rsid w:val="00D82DD3"/>
    <w:rsid w:val="00D84B9C"/>
    <w:rsid w:val="00D85155"/>
    <w:rsid w:val="00D869DB"/>
    <w:rsid w:val="00D87677"/>
    <w:rsid w:val="00D87ADF"/>
    <w:rsid w:val="00D90226"/>
    <w:rsid w:val="00D93E56"/>
    <w:rsid w:val="00D95A5B"/>
    <w:rsid w:val="00DA32F2"/>
    <w:rsid w:val="00DA74C9"/>
    <w:rsid w:val="00DB3C62"/>
    <w:rsid w:val="00DB4484"/>
    <w:rsid w:val="00DB51B9"/>
    <w:rsid w:val="00DB5EB8"/>
    <w:rsid w:val="00DC48DF"/>
    <w:rsid w:val="00DC4C2A"/>
    <w:rsid w:val="00DC609C"/>
    <w:rsid w:val="00DC6261"/>
    <w:rsid w:val="00DC7039"/>
    <w:rsid w:val="00DC7B7D"/>
    <w:rsid w:val="00DD16AF"/>
    <w:rsid w:val="00DD2DD4"/>
    <w:rsid w:val="00DD4476"/>
    <w:rsid w:val="00DD4D2A"/>
    <w:rsid w:val="00DE42D7"/>
    <w:rsid w:val="00DE48F8"/>
    <w:rsid w:val="00DE65D5"/>
    <w:rsid w:val="00DE7A53"/>
    <w:rsid w:val="00DE7DA8"/>
    <w:rsid w:val="00DF024D"/>
    <w:rsid w:val="00DF1C63"/>
    <w:rsid w:val="00DF70DD"/>
    <w:rsid w:val="00E0010F"/>
    <w:rsid w:val="00E026BF"/>
    <w:rsid w:val="00E03DB1"/>
    <w:rsid w:val="00E0720D"/>
    <w:rsid w:val="00E105EB"/>
    <w:rsid w:val="00E1274B"/>
    <w:rsid w:val="00E17490"/>
    <w:rsid w:val="00E230C0"/>
    <w:rsid w:val="00E2622F"/>
    <w:rsid w:val="00E31D0C"/>
    <w:rsid w:val="00E3386F"/>
    <w:rsid w:val="00E424A1"/>
    <w:rsid w:val="00E42C2F"/>
    <w:rsid w:val="00E43A1E"/>
    <w:rsid w:val="00E43BC7"/>
    <w:rsid w:val="00E4443A"/>
    <w:rsid w:val="00E44C0F"/>
    <w:rsid w:val="00E54975"/>
    <w:rsid w:val="00E5786C"/>
    <w:rsid w:val="00E61242"/>
    <w:rsid w:val="00E618B3"/>
    <w:rsid w:val="00E6527A"/>
    <w:rsid w:val="00E658E9"/>
    <w:rsid w:val="00E666A6"/>
    <w:rsid w:val="00E668FB"/>
    <w:rsid w:val="00E75D4B"/>
    <w:rsid w:val="00E767E7"/>
    <w:rsid w:val="00E76A37"/>
    <w:rsid w:val="00E77AD2"/>
    <w:rsid w:val="00E77D00"/>
    <w:rsid w:val="00E80D19"/>
    <w:rsid w:val="00E812EE"/>
    <w:rsid w:val="00E872C4"/>
    <w:rsid w:val="00E91B5C"/>
    <w:rsid w:val="00E9288E"/>
    <w:rsid w:val="00E92D51"/>
    <w:rsid w:val="00EA24B7"/>
    <w:rsid w:val="00EA66F2"/>
    <w:rsid w:val="00EB2637"/>
    <w:rsid w:val="00EB315E"/>
    <w:rsid w:val="00EB3A44"/>
    <w:rsid w:val="00EB462C"/>
    <w:rsid w:val="00EB468E"/>
    <w:rsid w:val="00EB4D4B"/>
    <w:rsid w:val="00EB5D08"/>
    <w:rsid w:val="00EC0C09"/>
    <w:rsid w:val="00EC0CCD"/>
    <w:rsid w:val="00EC14C3"/>
    <w:rsid w:val="00EC263F"/>
    <w:rsid w:val="00ED025C"/>
    <w:rsid w:val="00ED02D5"/>
    <w:rsid w:val="00ED05E7"/>
    <w:rsid w:val="00ED3196"/>
    <w:rsid w:val="00ED7DEB"/>
    <w:rsid w:val="00EE38D1"/>
    <w:rsid w:val="00EE3E54"/>
    <w:rsid w:val="00EE5FEC"/>
    <w:rsid w:val="00EE6044"/>
    <w:rsid w:val="00EE6EB5"/>
    <w:rsid w:val="00EF10BD"/>
    <w:rsid w:val="00EF12DD"/>
    <w:rsid w:val="00EF28D5"/>
    <w:rsid w:val="00EF4087"/>
    <w:rsid w:val="00EF54DA"/>
    <w:rsid w:val="00F02B6B"/>
    <w:rsid w:val="00F03134"/>
    <w:rsid w:val="00F03FE0"/>
    <w:rsid w:val="00F0623F"/>
    <w:rsid w:val="00F130A1"/>
    <w:rsid w:val="00F14B11"/>
    <w:rsid w:val="00F14BE4"/>
    <w:rsid w:val="00F17F07"/>
    <w:rsid w:val="00F17FCE"/>
    <w:rsid w:val="00F2054D"/>
    <w:rsid w:val="00F23432"/>
    <w:rsid w:val="00F24CD3"/>
    <w:rsid w:val="00F25B13"/>
    <w:rsid w:val="00F27E16"/>
    <w:rsid w:val="00F3081C"/>
    <w:rsid w:val="00F342CF"/>
    <w:rsid w:val="00F34D36"/>
    <w:rsid w:val="00F34FE8"/>
    <w:rsid w:val="00F351F3"/>
    <w:rsid w:val="00F4292A"/>
    <w:rsid w:val="00F4349F"/>
    <w:rsid w:val="00F44C5C"/>
    <w:rsid w:val="00F501DD"/>
    <w:rsid w:val="00F515EE"/>
    <w:rsid w:val="00F6197F"/>
    <w:rsid w:val="00F670F1"/>
    <w:rsid w:val="00F74E88"/>
    <w:rsid w:val="00F76F42"/>
    <w:rsid w:val="00F800D0"/>
    <w:rsid w:val="00F80A55"/>
    <w:rsid w:val="00F8346E"/>
    <w:rsid w:val="00F91CBB"/>
    <w:rsid w:val="00F957E0"/>
    <w:rsid w:val="00F95C14"/>
    <w:rsid w:val="00FA0013"/>
    <w:rsid w:val="00FA1375"/>
    <w:rsid w:val="00FA161F"/>
    <w:rsid w:val="00FA20AA"/>
    <w:rsid w:val="00FA7FD7"/>
    <w:rsid w:val="00FB0E2B"/>
    <w:rsid w:val="00FB2082"/>
    <w:rsid w:val="00FB43F4"/>
    <w:rsid w:val="00FB4CBF"/>
    <w:rsid w:val="00FC0E01"/>
    <w:rsid w:val="00FC661E"/>
    <w:rsid w:val="00FD00B1"/>
    <w:rsid w:val="00FD0CB6"/>
    <w:rsid w:val="00FD1078"/>
    <w:rsid w:val="00FD600D"/>
    <w:rsid w:val="00FE13D6"/>
    <w:rsid w:val="00FE2763"/>
    <w:rsid w:val="00FE6924"/>
    <w:rsid w:val="00FF1B23"/>
    <w:rsid w:val="00FF287A"/>
    <w:rsid w:val="00FF3185"/>
    <w:rsid w:val="00FF5969"/>
    <w:rsid w:val="00FF6215"/>
    <w:rsid w:val="00FF63F3"/>
    <w:rsid w:val="00FF686C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49F4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5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4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531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uiPriority w:val="99"/>
    <w:unhideWhenUsed/>
    <w:rsid w:val="00491D09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91D0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1D09"/>
    <w:rPr>
      <w:sz w:val="20"/>
      <w:szCs w:val="20"/>
    </w:rPr>
  </w:style>
  <w:style w:type="table" w:styleId="aa">
    <w:name w:val="Table Grid"/>
    <w:basedOn w:val="a1"/>
    <w:uiPriority w:val="59"/>
    <w:rsid w:val="00B51F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3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28C5"/>
  </w:style>
  <w:style w:type="paragraph" w:styleId="ad">
    <w:name w:val="footer"/>
    <w:basedOn w:val="a"/>
    <w:link w:val="ae"/>
    <w:uiPriority w:val="99"/>
    <w:unhideWhenUsed/>
    <w:rsid w:val="00A3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28C5"/>
  </w:style>
  <w:style w:type="paragraph" w:customStyle="1" w:styleId="Default">
    <w:name w:val="Default"/>
    <w:rsid w:val="005E4B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478B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840C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0C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0C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0CF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D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196FD8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96FD8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96F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253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4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531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uiPriority w:val="99"/>
    <w:unhideWhenUsed/>
    <w:rsid w:val="00491D09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91D0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1D09"/>
    <w:rPr>
      <w:sz w:val="20"/>
      <w:szCs w:val="20"/>
    </w:rPr>
  </w:style>
  <w:style w:type="table" w:styleId="aa">
    <w:name w:val="Table Grid"/>
    <w:basedOn w:val="a1"/>
    <w:uiPriority w:val="59"/>
    <w:rsid w:val="00B51F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3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28C5"/>
  </w:style>
  <w:style w:type="paragraph" w:styleId="ad">
    <w:name w:val="footer"/>
    <w:basedOn w:val="a"/>
    <w:link w:val="ae"/>
    <w:uiPriority w:val="99"/>
    <w:unhideWhenUsed/>
    <w:rsid w:val="00A3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28C5"/>
  </w:style>
  <w:style w:type="paragraph" w:customStyle="1" w:styleId="Default">
    <w:name w:val="Default"/>
    <w:rsid w:val="005E4B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1478B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840CF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40CF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40CF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40CF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D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196FD8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96FD8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96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Microsoft_Excel2.xlsx"/><Relationship Id="rId18" Type="http://schemas.openxmlformats.org/officeDocument/2006/relationships/package" Target="embeddings/_____Microsoft_Excel4.xls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______Microsoft_PowerPoint3.sldx"/><Relationship Id="rId20" Type="http://schemas.openxmlformats.org/officeDocument/2006/relationships/package" Target="embeddings/______Microsoft_PowerPoint5.sl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Microsoft_PowerPoint1.sldx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2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2;&#1073;&#1086;&#1095;&#1072;&#1103;%20&#1092;&#1083;\1%20&#1050;&#1086;&#1085;&#1089;&#1086;&#1083;&#1080;&#1076;&#1080;&#1088;&#1086;&#1074;&#1072;&#1085;&#1085;&#1099;&#1077;\2022\1%20&#1082;&#1074;%202022\&#1090;&#1072;&#1073;&#1083;\1%20&#1088;&#1072;&#1089;&#1095;&#1077;&#1090;&#1099;%201%20&#1082;&#1074;%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88;&#1072;&#1073;&#1086;&#1095;&#1072;&#1103;%20&#1092;&#1083;\1%20&#1050;&#1086;&#1085;&#1089;&#1086;&#1083;&#1080;&#1076;&#1080;&#1088;&#1086;&#1074;&#1072;&#1085;&#1085;&#1099;&#1077;\2022\1%20&#1082;&#1074;%202022\&#1090;&#1072;&#1073;&#1083;\1%20&#1088;&#1072;&#1089;&#1095;&#1077;&#1090;&#1099;%201%20&#1082;&#1074;%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'Д-Р'!$A$25</c:f>
              <c:strCache>
                <c:ptCount val="1"/>
                <c:pt idx="0">
                  <c:v>Суммарный профицит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'Д-Р'!$B$24:$I$24</c:f>
              <c:strCache>
                <c:ptCount val="8"/>
                <c:pt idx="0">
                  <c:v>I квартал 2015</c:v>
                </c:pt>
                <c:pt idx="1">
                  <c:v>I квартал 2016</c:v>
                </c:pt>
                <c:pt idx="2">
                  <c:v>I квартал 2017</c:v>
                </c:pt>
                <c:pt idx="3">
                  <c:v> I квартал 2018</c:v>
                </c:pt>
                <c:pt idx="4">
                  <c:v>I квартал 2019</c:v>
                </c:pt>
                <c:pt idx="5">
                  <c:v>I квартал 2020</c:v>
                </c:pt>
                <c:pt idx="6">
                  <c:v>I квартал 2021</c:v>
                </c:pt>
                <c:pt idx="7">
                  <c:v>I квартал 2022</c:v>
                </c:pt>
              </c:strCache>
            </c:strRef>
          </c:cat>
          <c:val>
            <c:numRef>
              <c:f>'Д-Р'!$B$25:$I$25</c:f>
              <c:numCache>
                <c:formatCode>General</c:formatCode>
                <c:ptCount val="8"/>
                <c:pt idx="0">
                  <c:v>288.60000000000002</c:v>
                </c:pt>
                <c:pt idx="1">
                  <c:v>225.8</c:v>
                </c:pt>
                <c:pt idx="2">
                  <c:v>367</c:v>
                </c:pt>
                <c:pt idx="3">
                  <c:v>364.4</c:v>
                </c:pt>
                <c:pt idx="4">
                  <c:v>422</c:v>
                </c:pt>
                <c:pt idx="5">
                  <c:v>357.8</c:v>
                </c:pt>
                <c:pt idx="6">
                  <c:v>317.2</c:v>
                </c:pt>
                <c:pt idx="7">
                  <c:v>944.1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41-4797-BFD7-5480543CAF98}"/>
            </c:ext>
          </c:extLst>
        </c:ser>
        <c:ser>
          <c:idx val="1"/>
          <c:order val="1"/>
          <c:tx>
            <c:strRef>
              <c:f>'Д-Р'!$A$26</c:f>
              <c:strCache>
                <c:ptCount val="1"/>
                <c:pt idx="0">
                  <c:v>Суммарный дефицит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'Д-Р'!$B$24:$I$24</c:f>
              <c:strCache>
                <c:ptCount val="8"/>
                <c:pt idx="0">
                  <c:v>I квартал 2015</c:v>
                </c:pt>
                <c:pt idx="1">
                  <c:v>I квартал 2016</c:v>
                </c:pt>
                <c:pt idx="2">
                  <c:v>I квартал 2017</c:v>
                </c:pt>
                <c:pt idx="3">
                  <c:v> I квартал 2018</c:v>
                </c:pt>
                <c:pt idx="4">
                  <c:v>I квартал 2019</c:v>
                </c:pt>
                <c:pt idx="5">
                  <c:v>I квартал 2020</c:v>
                </c:pt>
                <c:pt idx="6">
                  <c:v>I квартал 2021</c:v>
                </c:pt>
                <c:pt idx="7">
                  <c:v>I квартал 2022</c:v>
                </c:pt>
              </c:strCache>
            </c:strRef>
          </c:cat>
          <c:val>
            <c:numRef>
              <c:f>'Д-Р'!$B$26:$I$26</c:f>
              <c:numCache>
                <c:formatCode>General</c:formatCode>
                <c:ptCount val="8"/>
                <c:pt idx="0">
                  <c:v>-46.7</c:v>
                </c:pt>
                <c:pt idx="1">
                  <c:v>-79.2</c:v>
                </c:pt>
                <c:pt idx="2">
                  <c:v>-18.100000000000001</c:v>
                </c:pt>
                <c:pt idx="3">
                  <c:v>-21.3</c:v>
                </c:pt>
                <c:pt idx="4">
                  <c:v>-14.7</c:v>
                </c:pt>
                <c:pt idx="5">
                  <c:v>-16.600000000000001</c:v>
                </c:pt>
                <c:pt idx="6">
                  <c:v>-70.599999999999994</c:v>
                </c:pt>
                <c:pt idx="7">
                  <c:v>-4.5999999999999996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F41-4797-BFD7-5480543CA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7"/>
        <c:axId val="239512576"/>
        <c:axId val="174130880"/>
      </c:barChart>
      <c:lineChart>
        <c:grouping val="standard"/>
        <c:varyColors val="0"/>
        <c:ser>
          <c:idx val="2"/>
          <c:order val="2"/>
          <c:tx>
            <c:strRef>
              <c:f>'Д-Р'!$A$27</c:f>
              <c:strCache>
                <c:ptCount val="1"/>
                <c:pt idx="0">
                  <c:v>Сальдо</c:v>
                </c:pt>
              </c:strCache>
            </c:strRef>
          </c:tx>
          <c:spPr>
            <a:ln w="317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0790354680374387E-2"/>
                  <c:y val="4.6499333558157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19C-4076-A552-674A4A484272}"/>
                </c:ext>
              </c:extLst>
            </c:dLbl>
            <c:dLbl>
              <c:idx val="1"/>
              <c:layout>
                <c:manualLayout>
                  <c:x val="-7.9130400501714413E-3"/>
                  <c:y val="3.0184194890077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19C-4076-A552-674A4A484272}"/>
                </c:ext>
              </c:extLst>
            </c:dLbl>
            <c:dLbl>
              <c:idx val="2"/>
              <c:layout>
                <c:manualLayout>
                  <c:x val="-1.0790354680374401E-2"/>
                  <c:y val="2.20263043792454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19C-4076-A552-674A4A484272}"/>
                </c:ext>
              </c:extLst>
            </c:dLbl>
            <c:dLbl>
              <c:idx val="3"/>
              <c:layout>
                <c:manualLayout>
                  <c:x val="-6.4742128082246929E-3"/>
                  <c:y val="2.20263043792454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19C-4076-A552-674A4A484272}"/>
                </c:ext>
              </c:extLst>
            </c:dLbl>
            <c:dLbl>
              <c:idx val="4"/>
              <c:layout>
                <c:manualLayout>
                  <c:x val="-1.0790354680374507E-2"/>
                  <c:y val="3.01841948900771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19C-4076-A552-674A4A484272}"/>
                </c:ext>
              </c:extLst>
            </c:dLbl>
            <c:dLbl>
              <c:idx val="5"/>
              <c:layout>
                <c:manualLayout>
                  <c:x val="-6.4742128082247458E-3"/>
                  <c:y val="4.2421030656324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19C-4076-A552-674A4A484272}"/>
                </c:ext>
              </c:extLst>
            </c:dLbl>
            <c:dLbl>
              <c:idx val="6"/>
              <c:layout>
                <c:manualLayout>
                  <c:x val="-3.5967848934581334E-3"/>
                  <c:y val="5.710523357582181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19C-4076-A552-674A4A484272}"/>
                </c:ext>
              </c:extLst>
            </c:dLbl>
            <c:dLbl>
              <c:idx val="7"/>
              <c:layout>
                <c:manualLayout>
                  <c:x val="7.9128134810443201E-3"/>
                  <c:y val="1.3868413868413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19C-4076-A552-674A4A4842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 b="1">
                    <a:solidFill>
                      <a:srgbClr val="00206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'Д-Р'!$B$24:$I$24</c:f>
              <c:strCache>
                <c:ptCount val="8"/>
                <c:pt idx="0">
                  <c:v>I квартал 2015</c:v>
                </c:pt>
                <c:pt idx="1">
                  <c:v>I квартал 2016</c:v>
                </c:pt>
                <c:pt idx="2">
                  <c:v>I квартал 2017</c:v>
                </c:pt>
                <c:pt idx="3">
                  <c:v> I квартал 2018</c:v>
                </c:pt>
                <c:pt idx="4">
                  <c:v>I квартал 2019</c:v>
                </c:pt>
                <c:pt idx="5">
                  <c:v>I квартал 2020</c:v>
                </c:pt>
                <c:pt idx="6">
                  <c:v>I квартал 2021</c:v>
                </c:pt>
                <c:pt idx="7">
                  <c:v>I квартал 2022</c:v>
                </c:pt>
              </c:strCache>
            </c:strRef>
          </c:cat>
          <c:val>
            <c:numRef>
              <c:f>'Д-Р'!$B$27:$I$27</c:f>
              <c:numCache>
                <c:formatCode>General</c:formatCode>
                <c:ptCount val="8"/>
                <c:pt idx="0">
                  <c:v>241.90000000000003</c:v>
                </c:pt>
                <c:pt idx="1">
                  <c:v>146.60000000000002</c:v>
                </c:pt>
                <c:pt idx="2">
                  <c:v>348.9</c:v>
                </c:pt>
                <c:pt idx="3">
                  <c:v>343.09999999999997</c:v>
                </c:pt>
                <c:pt idx="4">
                  <c:v>407.3</c:v>
                </c:pt>
                <c:pt idx="5">
                  <c:v>341.2</c:v>
                </c:pt>
                <c:pt idx="6">
                  <c:v>246.6</c:v>
                </c:pt>
                <c:pt idx="7">
                  <c:v>939.5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F41-4797-BFD7-5480543CAF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512576"/>
        <c:axId val="174130880"/>
      </c:lineChart>
      <c:catAx>
        <c:axId val="23951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800" b="1"/>
            </a:pPr>
            <a:endParaRPr lang="ru-RU"/>
          </a:p>
        </c:txPr>
        <c:crossAx val="174130880"/>
        <c:crosses val="autoZero"/>
        <c:auto val="1"/>
        <c:lblAlgn val="ctr"/>
        <c:lblOffset val="100"/>
        <c:noMultiLvlLbl val="0"/>
      </c:catAx>
      <c:valAx>
        <c:axId val="174130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700"/>
            </a:pPr>
            <a:endParaRPr lang="ru-RU"/>
          </a:p>
        </c:txPr>
        <c:crossAx val="23951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ННД!$I$24</c:f>
              <c:strCache>
                <c:ptCount val="1"/>
                <c:pt idx="0">
                  <c:v>I квартал 2020 года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1111111111111112E-2"/>
                  <c:y val="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32-45E8-9ABF-8DEC0C1059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ННД!$H$25:$H$29</c:f>
              <c:strCache>
                <c:ptCount val="5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Акцизы</c:v>
                </c:pt>
                <c:pt idx="3">
                  <c:v>Налоги на имущество</c:v>
                </c:pt>
                <c:pt idx="4">
                  <c:v>Безвозмездные поступления</c:v>
                </c:pt>
              </c:strCache>
            </c:strRef>
          </c:cat>
          <c:val>
            <c:numRef>
              <c:f>ННД!$I$25:$I$29</c:f>
              <c:numCache>
                <c:formatCode>#,##0</c:formatCode>
                <c:ptCount val="5"/>
                <c:pt idx="0" formatCode="#,##0.0">
                  <c:v>99.4</c:v>
                </c:pt>
                <c:pt idx="1">
                  <c:v>112</c:v>
                </c:pt>
                <c:pt idx="2" formatCode="#,##0.0">
                  <c:v>104.8</c:v>
                </c:pt>
                <c:pt idx="3" formatCode="#,##0.0">
                  <c:v>133.80000000000001</c:v>
                </c:pt>
                <c:pt idx="4" formatCode="#,##0.0">
                  <c:v>127.2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32-45E8-9ABF-8DEC0C1059E1}"/>
            </c:ext>
          </c:extLst>
        </c:ser>
        <c:ser>
          <c:idx val="1"/>
          <c:order val="1"/>
          <c:tx>
            <c:strRef>
              <c:f>ННД!$J$24</c:f>
              <c:strCache>
                <c:ptCount val="1"/>
                <c:pt idx="0">
                  <c:v>I квартал 2021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88888888888888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32-45E8-9ABF-8DEC0C1059E1}"/>
                </c:ext>
              </c:extLst>
            </c:dLbl>
            <c:dLbl>
              <c:idx val="4"/>
              <c:layout>
                <c:manualLayout>
                  <c:x val="1.66666666666666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32-45E8-9ABF-8DEC0C1059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ННД!$H$25:$H$29</c:f>
              <c:strCache>
                <c:ptCount val="5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Акцизы</c:v>
                </c:pt>
                <c:pt idx="3">
                  <c:v>Налоги на имущество</c:v>
                </c:pt>
                <c:pt idx="4">
                  <c:v>Безвозмездные поступления</c:v>
                </c:pt>
              </c:strCache>
            </c:strRef>
          </c:cat>
          <c:val>
            <c:numRef>
              <c:f>ННД!$J$25:$J$29</c:f>
              <c:numCache>
                <c:formatCode>#,##0.0</c:formatCode>
                <c:ptCount val="5"/>
                <c:pt idx="0">
                  <c:v>114.9</c:v>
                </c:pt>
                <c:pt idx="1">
                  <c:v>103.5</c:v>
                </c:pt>
                <c:pt idx="2">
                  <c:v>114.4</c:v>
                </c:pt>
                <c:pt idx="3">
                  <c:v>102.1</c:v>
                </c:pt>
                <c:pt idx="4">
                  <c:v>126.2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A32-45E8-9ABF-8DEC0C1059E1}"/>
            </c:ext>
          </c:extLst>
        </c:ser>
        <c:ser>
          <c:idx val="2"/>
          <c:order val="2"/>
          <c:tx>
            <c:strRef>
              <c:f>ННД!$K$24</c:f>
              <c:strCache>
                <c:ptCount val="1"/>
                <c:pt idx="0">
                  <c:v>I квартал 2022 года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0185067526415994E-16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32-45E8-9ABF-8DEC0C1059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7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ННД!$H$25:$H$29</c:f>
              <c:strCache>
                <c:ptCount val="5"/>
                <c:pt idx="0">
                  <c:v>Налог на прибыль организаций</c:v>
                </c:pt>
                <c:pt idx="1">
                  <c:v>НДФЛ</c:v>
                </c:pt>
                <c:pt idx="2">
                  <c:v>Акцизы</c:v>
                </c:pt>
                <c:pt idx="3">
                  <c:v>Налоги на имущество</c:v>
                </c:pt>
                <c:pt idx="4">
                  <c:v>Безвозмездные поступления</c:v>
                </c:pt>
              </c:strCache>
            </c:strRef>
          </c:cat>
          <c:val>
            <c:numRef>
              <c:f>ННД!$K$25:$K$29</c:f>
              <c:numCache>
                <c:formatCode>#,##0.0</c:formatCode>
                <c:ptCount val="5"/>
                <c:pt idx="0">
                  <c:v>146.80000000000001</c:v>
                </c:pt>
                <c:pt idx="1">
                  <c:v>124.2</c:v>
                </c:pt>
                <c:pt idx="2">
                  <c:v>117.2</c:v>
                </c:pt>
                <c:pt idx="3">
                  <c:v>114.6</c:v>
                </c:pt>
                <c:pt idx="4">
                  <c:v>111.7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A32-45E8-9ABF-8DEC0C1059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1092736"/>
        <c:axId val="174133184"/>
      </c:barChart>
      <c:catAx>
        <c:axId val="191092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4133184"/>
        <c:crosses val="autoZero"/>
        <c:auto val="1"/>
        <c:lblAlgn val="ctr"/>
        <c:lblOffset val="100"/>
        <c:noMultiLvlLbl val="0"/>
      </c:catAx>
      <c:valAx>
        <c:axId val="174133184"/>
        <c:scaling>
          <c:orientation val="minMax"/>
          <c:min val="80"/>
        </c:scaling>
        <c:delete val="0"/>
        <c:axPos val="l"/>
        <c:numFmt formatCode="#,##0.0" sourceLinked="1"/>
        <c:majorTickMark val="out"/>
        <c:minorTickMark val="none"/>
        <c:tickLblPos val="nextTo"/>
        <c:crossAx val="19109273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5417815013863376"/>
          <c:y val="7.8703703703703706E-2"/>
          <c:w val="0.77970524959158749"/>
          <c:h val="6.838546223388743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0361-FA2B-4A9E-8640-745EC449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14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Ржанникова И.В.</dc:creator>
  <cp:lastModifiedBy>Ржанникова И.В.</cp:lastModifiedBy>
  <cp:revision>35</cp:revision>
  <cp:lastPrinted>2022-05-20T09:11:00Z</cp:lastPrinted>
  <dcterms:created xsi:type="dcterms:W3CDTF">2022-05-20T05:20:00Z</dcterms:created>
  <dcterms:modified xsi:type="dcterms:W3CDTF">2022-05-24T14:19:00Z</dcterms:modified>
</cp:coreProperties>
</file>