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B9" w:rsidRPr="00F01DB9" w:rsidRDefault="00F01DB9" w:rsidP="00F01DB9">
      <w:pPr>
        <w:pStyle w:val="rvps698610"/>
        <w:widowControl w:val="0"/>
        <w:tabs>
          <w:tab w:val="left" w:pos="9639"/>
        </w:tabs>
        <w:spacing w:after="0" w:line="240" w:lineRule="auto"/>
        <w:ind w:left="5103" w:right="0" w:firstLine="0"/>
        <w:jc w:val="center"/>
      </w:pPr>
      <w:bookmarkStart w:id="0" w:name="_GoBack"/>
      <w:bookmarkEnd w:id="0"/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1998"/>
        <w:gridCol w:w="4406"/>
      </w:tblGrid>
      <w:tr w:rsidR="00F01DB9" w:rsidRPr="00F01DB9" w:rsidTr="00A26505">
        <w:trPr>
          <w:jc w:val="center"/>
        </w:trPr>
        <w:tc>
          <w:tcPr>
            <w:tcW w:w="3284" w:type="dxa"/>
          </w:tcPr>
          <w:p w:rsidR="00F01DB9" w:rsidRPr="00F01DB9" w:rsidRDefault="00F01DB9" w:rsidP="00F01DB9">
            <w:pPr>
              <w:jc w:val="right"/>
              <w:rPr>
                <w:szCs w:val="20"/>
              </w:rPr>
            </w:pPr>
          </w:p>
        </w:tc>
        <w:tc>
          <w:tcPr>
            <w:tcW w:w="2069" w:type="dxa"/>
          </w:tcPr>
          <w:p w:rsidR="00F01DB9" w:rsidRPr="00F01DB9" w:rsidRDefault="00F01DB9" w:rsidP="00F01DB9">
            <w:pPr>
              <w:jc w:val="right"/>
              <w:rPr>
                <w:szCs w:val="20"/>
              </w:rPr>
            </w:pPr>
          </w:p>
        </w:tc>
        <w:tc>
          <w:tcPr>
            <w:tcW w:w="4501" w:type="dxa"/>
          </w:tcPr>
          <w:p w:rsidR="007253DA" w:rsidRDefault="00F01DB9" w:rsidP="007253D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Приложение № </w:t>
            </w:r>
            <w:r w:rsidR="006E608A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  <w:p w:rsidR="00F01DB9" w:rsidRPr="00F01DB9" w:rsidRDefault="00F01DB9" w:rsidP="007253DA">
            <w:pPr>
              <w:jc w:val="both"/>
              <w:rPr>
                <w:szCs w:val="20"/>
              </w:rPr>
            </w:pP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>к подразделу 3 «Анализ основных параметров бюджетной системы Российской Федерации, консолидированного бюджета Российской Федерац</w:t>
            </w:r>
            <w:r w:rsidR="00930C91">
              <w:rPr>
                <w:rFonts w:ascii="Times New Roman" w:hAnsi="Times New Roman" w:cs="Times New Roman"/>
                <w:iCs/>
                <w:sz w:val="20"/>
                <w:szCs w:val="20"/>
              </w:rPr>
              <w:t>ии, федерального бюджета на 2021 год и на плановый период 2022 и 2023</w:t>
            </w: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годов, основные характеристики и структурные особенности проекта федерального закона «О федеральном бюджете на 20</w:t>
            </w:r>
            <w:r w:rsidR="00930C91">
              <w:rPr>
                <w:rFonts w:ascii="Times New Roman" w:hAnsi="Times New Roman" w:cs="Times New Roman"/>
                <w:iCs/>
                <w:sz w:val="20"/>
                <w:szCs w:val="20"/>
              </w:rPr>
              <w:t>21</w:t>
            </w: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год и на плановый период 202</w:t>
            </w:r>
            <w:r w:rsidR="00930C91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202</w:t>
            </w:r>
            <w:r w:rsidR="00930C91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годов» Заключения </w:t>
            </w:r>
            <w:r w:rsidR="008C08A9" w:rsidRPr="008C08A9">
              <w:rPr>
                <w:rFonts w:ascii="Times New Roman" w:hAnsi="Times New Roman" w:cs="Times New Roman"/>
                <w:iCs/>
                <w:sz w:val="20"/>
                <w:szCs w:val="20"/>
              </w:rPr>
              <w:t>Счетной палаты</w:t>
            </w:r>
          </w:p>
        </w:tc>
      </w:tr>
    </w:tbl>
    <w:p w:rsidR="00F01DB9" w:rsidRDefault="00F01DB9" w:rsidP="00F01DB9">
      <w:pPr>
        <w:pStyle w:val="rvps698610"/>
        <w:widowControl w:val="0"/>
        <w:tabs>
          <w:tab w:val="left" w:pos="9639"/>
        </w:tabs>
        <w:spacing w:after="0" w:line="240" w:lineRule="auto"/>
        <w:ind w:right="0"/>
        <w:jc w:val="center"/>
        <w:rPr>
          <w:b/>
        </w:rPr>
      </w:pPr>
    </w:p>
    <w:p w:rsidR="006E608A" w:rsidRPr="006E608A" w:rsidRDefault="006E608A" w:rsidP="006E608A">
      <w:pPr>
        <w:pStyle w:val="rvps698610"/>
        <w:widowControl w:val="0"/>
        <w:tabs>
          <w:tab w:val="left" w:pos="9639"/>
        </w:tabs>
        <w:spacing w:after="0" w:line="240" w:lineRule="auto"/>
        <w:ind w:right="0" w:firstLine="0"/>
        <w:jc w:val="center"/>
        <w:rPr>
          <w:b/>
        </w:rPr>
      </w:pPr>
      <w:r w:rsidRPr="006E608A">
        <w:rPr>
          <w:b/>
        </w:rPr>
        <w:t xml:space="preserve">Динамика средств Фонда национального благосостояния </w:t>
      </w:r>
    </w:p>
    <w:p w:rsidR="006E608A" w:rsidRPr="006E608A" w:rsidRDefault="00930C91" w:rsidP="006E608A">
      <w:pPr>
        <w:pStyle w:val="rvps698610"/>
        <w:widowControl w:val="0"/>
        <w:tabs>
          <w:tab w:val="left" w:pos="9639"/>
        </w:tabs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>в 2019 – 2023</w:t>
      </w:r>
      <w:r w:rsidR="006E608A" w:rsidRPr="006E608A">
        <w:rPr>
          <w:b/>
        </w:rPr>
        <w:t xml:space="preserve"> годах</w:t>
      </w:r>
    </w:p>
    <w:p w:rsidR="006E608A" w:rsidRPr="00581A8C" w:rsidRDefault="006E608A" w:rsidP="00D863ED">
      <w:pPr>
        <w:tabs>
          <w:tab w:val="num" w:pos="0"/>
        </w:tabs>
        <w:ind w:right="141"/>
        <w:jc w:val="right"/>
        <w:rPr>
          <w:szCs w:val="20"/>
        </w:rPr>
      </w:pPr>
      <w:r w:rsidRPr="00581A8C">
        <w:rPr>
          <w:color w:val="000000" w:themeColor="text1"/>
          <w:szCs w:val="20"/>
        </w:rPr>
        <w:t>(млрд. рублей)</w:t>
      </w:r>
    </w:p>
    <w:tbl>
      <w:tblPr>
        <w:tblW w:w="99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271"/>
        <w:gridCol w:w="1431"/>
        <w:gridCol w:w="1426"/>
        <w:gridCol w:w="1428"/>
        <w:gridCol w:w="1432"/>
      </w:tblGrid>
      <w:tr w:rsidR="00D863ED" w:rsidRPr="00EE0774" w:rsidTr="000A7237">
        <w:trPr>
          <w:trHeight w:val="1087"/>
          <w:tblHeader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D863ED" w:rsidRPr="00EE0774" w:rsidRDefault="00D863ED" w:rsidP="00D863ED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E0774">
              <w:rPr>
                <w:b/>
                <w:color w:val="000000" w:themeColor="text1"/>
                <w:sz w:val="16"/>
                <w:szCs w:val="16"/>
              </w:rPr>
              <w:t>Показатель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863ED" w:rsidRPr="00EE0774" w:rsidRDefault="00D863ED" w:rsidP="00D863ED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2019</w:t>
            </w:r>
            <w:r w:rsidRPr="00EE0774">
              <w:rPr>
                <w:b/>
                <w:color w:val="000000" w:themeColor="text1"/>
                <w:sz w:val="16"/>
                <w:szCs w:val="16"/>
              </w:rPr>
              <w:t xml:space="preserve"> год</w:t>
            </w:r>
            <w:r w:rsidRPr="00EE0774">
              <w:rPr>
                <w:b/>
                <w:color w:val="000000" w:themeColor="text1"/>
                <w:sz w:val="16"/>
                <w:szCs w:val="16"/>
              </w:rPr>
              <w:br/>
              <w:t>отчет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863ED" w:rsidRPr="00EE0774" w:rsidRDefault="00D863ED" w:rsidP="00D863ED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2020 год о</w:t>
            </w:r>
            <w:r w:rsidRPr="00EE0774">
              <w:rPr>
                <w:b/>
                <w:color w:val="000000" w:themeColor="text1"/>
                <w:sz w:val="16"/>
                <w:szCs w:val="16"/>
              </w:rPr>
              <w:t>жидаемая оценка исполнения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D863ED" w:rsidRPr="00EE0774" w:rsidRDefault="00D863ED" w:rsidP="00D863ED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2021</w:t>
            </w:r>
            <w:r w:rsidRPr="00EE0774">
              <w:rPr>
                <w:b/>
                <w:color w:val="000000" w:themeColor="text1"/>
                <w:sz w:val="16"/>
                <w:szCs w:val="16"/>
              </w:rPr>
              <w:t xml:space="preserve"> год</w:t>
            </w:r>
            <w:r w:rsidRPr="00EE0774">
              <w:rPr>
                <w:b/>
                <w:color w:val="000000" w:themeColor="text1"/>
                <w:sz w:val="16"/>
                <w:szCs w:val="16"/>
              </w:rPr>
              <w:br/>
              <w:t>законопроект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D863ED" w:rsidRPr="00EE0774" w:rsidRDefault="00D863ED" w:rsidP="00D863ED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2022</w:t>
            </w:r>
            <w:r w:rsidRPr="00EE0774">
              <w:rPr>
                <w:b/>
                <w:color w:val="000000" w:themeColor="text1"/>
                <w:sz w:val="16"/>
                <w:szCs w:val="16"/>
              </w:rPr>
              <w:t xml:space="preserve"> год</w:t>
            </w:r>
            <w:r w:rsidRPr="00EE0774">
              <w:rPr>
                <w:b/>
                <w:color w:val="000000" w:themeColor="text1"/>
                <w:sz w:val="16"/>
                <w:szCs w:val="16"/>
              </w:rPr>
              <w:br/>
              <w:t>законопроект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863ED" w:rsidRPr="00EE0774" w:rsidRDefault="00D863ED" w:rsidP="00D863ED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2023</w:t>
            </w:r>
            <w:r w:rsidRPr="00EE0774">
              <w:rPr>
                <w:b/>
                <w:color w:val="000000" w:themeColor="text1"/>
                <w:sz w:val="16"/>
                <w:szCs w:val="16"/>
              </w:rPr>
              <w:t xml:space="preserve"> год</w:t>
            </w:r>
            <w:r w:rsidRPr="00EE0774">
              <w:rPr>
                <w:b/>
                <w:color w:val="000000" w:themeColor="text1"/>
                <w:sz w:val="16"/>
                <w:szCs w:val="16"/>
              </w:rPr>
              <w:br/>
              <w:t>законопроект</w:t>
            </w:r>
          </w:p>
        </w:tc>
      </w:tr>
      <w:tr w:rsidR="00D863ED" w:rsidRPr="00EE0774" w:rsidTr="00D863ED">
        <w:trPr>
          <w:trHeight w:val="195"/>
          <w:tblHeader/>
        </w:trPr>
        <w:tc>
          <w:tcPr>
            <w:tcW w:w="3006" w:type="dxa"/>
            <w:vAlign w:val="center"/>
            <w:hideMark/>
          </w:tcPr>
          <w:p w:rsidR="00D863ED" w:rsidRPr="00EE0774" w:rsidRDefault="00D863ED" w:rsidP="00D863ED">
            <w:pPr>
              <w:spacing w:line="240" w:lineRule="auto"/>
              <w:ind w:firstLine="0"/>
              <w:jc w:val="center"/>
              <w:textAlignment w:val="center"/>
              <w:rPr>
                <w:color w:val="000000" w:themeColor="text1"/>
                <w:kern w:val="24"/>
                <w:sz w:val="16"/>
                <w:szCs w:val="16"/>
              </w:rPr>
            </w:pPr>
            <w:r w:rsidRPr="00EE0774">
              <w:rPr>
                <w:color w:val="000000" w:themeColor="text1"/>
                <w:kern w:val="24"/>
                <w:sz w:val="16"/>
                <w:szCs w:val="16"/>
              </w:rPr>
              <w:t>1</w:t>
            </w:r>
          </w:p>
        </w:tc>
        <w:tc>
          <w:tcPr>
            <w:tcW w:w="1271" w:type="dxa"/>
          </w:tcPr>
          <w:p w:rsidR="00D863ED" w:rsidRPr="00EE0774" w:rsidRDefault="00D863ED" w:rsidP="00D863ED">
            <w:pPr>
              <w:spacing w:line="240" w:lineRule="auto"/>
              <w:ind w:firstLine="0"/>
              <w:jc w:val="center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EE0774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31" w:type="dxa"/>
            <w:vAlign w:val="center"/>
          </w:tcPr>
          <w:p w:rsidR="00D863ED" w:rsidRPr="00EE0774" w:rsidRDefault="00D863ED" w:rsidP="00D863ED">
            <w:pPr>
              <w:spacing w:line="240" w:lineRule="auto"/>
              <w:ind w:firstLine="0"/>
              <w:jc w:val="center"/>
              <w:textAlignment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26" w:type="dxa"/>
            <w:vAlign w:val="center"/>
            <w:hideMark/>
          </w:tcPr>
          <w:p w:rsidR="00D863ED" w:rsidRPr="00EE0774" w:rsidRDefault="00D863ED" w:rsidP="00D863ED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28" w:type="dxa"/>
            <w:vAlign w:val="center"/>
            <w:hideMark/>
          </w:tcPr>
          <w:p w:rsidR="00D863ED" w:rsidRPr="00EE0774" w:rsidRDefault="00D863ED" w:rsidP="00D863ED">
            <w:pPr>
              <w:spacing w:line="240" w:lineRule="auto"/>
              <w:ind w:firstLine="0"/>
              <w:jc w:val="center"/>
              <w:textAlignment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32" w:type="dxa"/>
            <w:vAlign w:val="center"/>
            <w:hideMark/>
          </w:tcPr>
          <w:p w:rsidR="00D863ED" w:rsidRPr="00EE0774" w:rsidRDefault="00D863ED" w:rsidP="00D863ED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D863ED" w:rsidRPr="00EE0774" w:rsidTr="00D863ED">
        <w:trPr>
          <w:trHeight w:val="316"/>
        </w:trPr>
        <w:tc>
          <w:tcPr>
            <w:tcW w:w="3006" w:type="dxa"/>
            <w:shd w:val="clear" w:color="auto" w:fill="EAF1DD" w:themeFill="accent3" w:themeFillTint="33"/>
            <w:vAlign w:val="center"/>
            <w:hideMark/>
          </w:tcPr>
          <w:p w:rsidR="00D863ED" w:rsidRPr="00EE0774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b/>
                <w:color w:val="000000" w:themeColor="text1"/>
                <w:sz w:val="16"/>
                <w:szCs w:val="16"/>
              </w:rPr>
            </w:pPr>
            <w:r w:rsidRPr="00EE0774">
              <w:rPr>
                <w:b/>
                <w:color w:val="000000" w:themeColor="text1"/>
                <w:kern w:val="24"/>
                <w:sz w:val="16"/>
                <w:szCs w:val="16"/>
              </w:rPr>
              <w:t>Объем ФНБ на начало года</w:t>
            </w:r>
          </w:p>
        </w:tc>
        <w:tc>
          <w:tcPr>
            <w:tcW w:w="127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4 036,0 </w:t>
            </w:r>
          </w:p>
        </w:tc>
        <w:tc>
          <w:tcPr>
            <w:tcW w:w="143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7 773,1 </w:t>
            </w:r>
          </w:p>
        </w:tc>
        <w:tc>
          <w:tcPr>
            <w:tcW w:w="1426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12 447,5 </w:t>
            </w:r>
          </w:p>
        </w:tc>
        <w:tc>
          <w:tcPr>
            <w:tcW w:w="1428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12 487,3 </w:t>
            </w:r>
          </w:p>
        </w:tc>
        <w:tc>
          <w:tcPr>
            <w:tcW w:w="1432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12 638,3 </w:t>
            </w:r>
          </w:p>
        </w:tc>
      </w:tr>
      <w:tr w:rsidR="00D863ED" w:rsidRPr="00EE0774" w:rsidTr="00D863ED">
        <w:trPr>
          <w:trHeight w:val="287"/>
        </w:trPr>
        <w:tc>
          <w:tcPr>
            <w:tcW w:w="3006" w:type="dxa"/>
            <w:shd w:val="clear" w:color="auto" w:fill="EAF1DD" w:themeFill="accent3" w:themeFillTint="33"/>
            <w:vAlign w:val="center"/>
            <w:hideMark/>
          </w:tcPr>
          <w:p w:rsidR="00D863ED" w:rsidRPr="00EE0774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i/>
                <w:color w:val="000000" w:themeColor="text1"/>
                <w:sz w:val="16"/>
                <w:szCs w:val="16"/>
              </w:rPr>
            </w:pPr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 xml:space="preserve">% ВВП </w:t>
            </w:r>
          </w:p>
        </w:tc>
        <w:tc>
          <w:tcPr>
            <w:tcW w:w="127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3,7 </w:t>
            </w:r>
          </w:p>
        </w:tc>
        <w:tc>
          <w:tcPr>
            <w:tcW w:w="143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7,3 </w:t>
            </w:r>
          </w:p>
        </w:tc>
        <w:tc>
          <w:tcPr>
            <w:tcW w:w="1426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10,8 </w:t>
            </w:r>
          </w:p>
        </w:tc>
        <w:tc>
          <w:tcPr>
            <w:tcW w:w="1428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10,1 </w:t>
            </w:r>
          </w:p>
        </w:tc>
        <w:tc>
          <w:tcPr>
            <w:tcW w:w="1432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9,5 </w:t>
            </w:r>
          </w:p>
        </w:tc>
      </w:tr>
      <w:tr w:rsidR="00D863ED" w:rsidRPr="00EE0774" w:rsidTr="00D863ED">
        <w:trPr>
          <w:trHeight w:val="287"/>
        </w:trPr>
        <w:tc>
          <w:tcPr>
            <w:tcW w:w="3006" w:type="dxa"/>
            <w:shd w:val="clear" w:color="auto" w:fill="EAF1DD" w:themeFill="accent3" w:themeFillTint="33"/>
            <w:vAlign w:val="center"/>
          </w:tcPr>
          <w:p w:rsidR="00D863ED" w:rsidRPr="00916FC3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i/>
                <w:color w:val="000000" w:themeColor="text1"/>
                <w:sz w:val="16"/>
                <w:szCs w:val="16"/>
              </w:rPr>
            </w:pPr>
            <w:r w:rsidRPr="00916FC3">
              <w:rPr>
                <w:i/>
                <w:color w:val="000000" w:themeColor="text1"/>
                <w:kern w:val="24"/>
                <w:sz w:val="16"/>
                <w:szCs w:val="16"/>
              </w:rPr>
              <w:t>Объем средств ФНБ на начало</w:t>
            </w:r>
            <w:r w:rsidRPr="00916FC3">
              <w:rPr>
                <w:b/>
                <w:i/>
                <w:color w:val="000000" w:themeColor="text1"/>
                <w:kern w:val="24"/>
                <w:sz w:val="16"/>
                <w:szCs w:val="16"/>
              </w:rPr>
              <w:t xml:space="preserve"> года</w:t>
            </w:r>
            <w:r w:rsidRPr="00916FC3">
              <w:rPr>
                <w:i/>
                <w:color w:val="000000" w:themeColor="text1"/>
                <w:kern w:val="24"/>
                <w:sz w:val="16"/>
                <w:szCs w:val="16"/>
              </w:rPr>
              <w:t>, размещенных в Банке России</w:t>
            </w:r>
          </w:p>
        </w:tc>
        <w:tc>
          <w:tcPr>
            <w:tcW w:w="127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2 355,6 </w:t>
            </w:r>
          </w:p>
        </w:tc>
        <w:tc>
          <w:tcPr>
            <w:tcW w:w="143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6 137,8 </w:t>
            </w:r>
          </w:p>
        </w:tc>
        <w:tc>
          <w:tcPr>
            <w:tcW w:w="1426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8 197,0 </w:t>
            </w:r>
          </w:p>
        </w:tc>
        <w:tc>
          <w:tcPr>
            <w:tcW w:w="1428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8 238,2 </w:t>
            </w:r>
          </w:p>
        </w:tc>
        <w:tc>
          <w:tcPr>
            <w:tcW w:w="1432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8 402,1 </w:t>
            </w:r>
          </w:p>
        </w:tc>
      </w:tr>
      <w:tr w:rsidR="00D863ED" w:rsidRPr="00EE0774" w:rsidTr="00D863ED">
        <w:trPr>
          <w:trHeight w:val="65"/>
        </w:trPr>
        <w:tc>
          <w:tcPr>
            <w:tcW w:w="3006" w:type="dxa"/>
            <w:shd w:val="clear" w:color="auto" w:fill="EAF1DD" w:themeFill="accent3" w:themeFillTint="33"/>
          </w:tcPr>
          <w:p w:rsidR="00D863ED" w:rsidRPr="00916FC3" w:rsidRDefault="00D863ED" w:rsidP="00D863ED">
            <w:pPr>
              <w:widowControl w:val="0"/>
              <w:spacing w:line="240" w:lineRule="auto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916FC3">
              <w:rPr>
                <w:i/>
                <w:color w:val="000000" w:themeColor="text1"/>
                <w:kern w:val="24"/>
                <w:sz w:val="16"/>
                <w:szCs w:val="16"/>
              </w:rPr>
              <w:t xml:space="preserve">   % ВВП</w:t>
            </w:r>
          </w:p>
        </w:tc>
        <w:tc>
          <w:tcPr>
            <w:tcW w:w="127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2,1 </w:t>
            </w:r>
          </w:p>
        </w:tc>
        <w:tc>
          <w:tcPr>
            <w:tcW w:w="143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5,7 </w:t>
            </w:r>
          </w:p>
        </w:tc>
        <w:tc>
          <w:tcPr>
            <w:tcW w:w="1426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7,1 </w:t>
            </w:r>
          </w:p>
        </w:tc>
        <w:tc>
          <w:tcPr>
            <w:tcW w:w="1428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6,6 </w:t>
            </w:r>
          </w:p>
        </w:tc>
        <w:tc>
          <w:tcPr>
            <w:tcW w:w="1432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6,3 </w:t>
            </w:r>
          </w:p>
        </w:tc>
      </w:tr>
      <w:tr w:rsidR="00D863ED" w:rsidRPr="00EE0774" w:rsidTr="00D863ED">
        <w:trPr>
          <w:trHeight w:val="287"/>
        </w:trPr>
        <w:tc>
          <w:tcPr>
            <w:tcW w:w="3006" w:type="dxa"/>
            <w:shd w:val="clear" w:color="auto" w:fill="EAF1DD" w:themeFill="accent3" w:themeFillTint="33"/>
          </w:tcPr>
          <w:p w:rsidR="00D863ED" w:rsidRPr="00EE0774" w:rsidRDefault="00D863ED" w:rsidP="00D863ED">
            <w:pPr>
              <w:widowControl w:val="0"/>
              <w:spacing w:line="240" w:lineRule="auto"/>
              <w:ind w:firstLine="0"/>
              <w:rPr>
                <w:i/>
                <w:color w:val="000000" w:themeColor="text1"/>
                <w:kern w:val="24"/>
                <w:sz w:val="16"/>
                <w:szCs w:val="16"/>
              </w:rPr>
            </w:pPr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 xml:space="preserve">Превышение средств ФНБ </w:t>
            </w:r>
            <w:r w:rsidRPr="00916FC3">
              <w:rPr>
                <w:b/>
                <w:i/>
                <w:color w:val="FF0000"/>
                <w:kern w:val="24"/>
                <w:sz w:val="16"/>
                <w:szCs w:val="16"/>
              </w:rPr>
              <w:t>на начало года</w:t>
            </w:r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>, размещенных в Банке России, уровня 7 % ВВП</w:t>
            </w:r>
          </w:p>
        </w:tc>
        <w:tc>
          <w:tcPr>
            <w:tcW w:w="127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43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426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109,7 </w:t>
            </w:r>
          </w:p>
        </w:tc>
        <w:tc>
          <w:tcPr>
            <w:tcW w:w="1428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432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> </w:t>
            </w:r>
          </w:p>
        </w:tc>
      </w:tr>
      <w:tr w:rsidR="00D863ED" w:rsidRPr="00EE0774" w:rsidTr="00D863ED">
        <w:trPr>
          <w:trHeight w:val="97"/>
        </w:trPr>
        <w:tc>
          <w:tcPr>
            <w:tcW w:w="3006" w:type="dxa"/>
            <w:shd w:val="clear" w:color="auto" w:fill="EAF1DD" w:themeFill="accent3" w:themeFillTint="33"/>
          </w:tcPr>
          <w:p w:rsidR="00D863ED" w:rsidRPr="00EE0774" w:rsidRDefault="00D863ED" w:rsidP="00D863ED">
            <w:pPr>
              <w:widowControl w:val="0"/>
              <w:spacing w:line="240" w:lineRule="auto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kern w:val="24"/>
                <w:sz w:val="16"/>
                <w:szCs w:val="16"/>
              </w:rPr>
              <w:t xml:space="preserve">   %</w:t>
            </w:r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 xml:space="preserve"> ВВП</w:t>
            </w:r>
          </w:p>
        </w:tc>
        <w:tc>
          <w:tcPr>
            <w:tcW w:w="127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43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426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0,1 </w:t>
            </w:r>
          </w:p>
        </w:tc>
        <w:tc>
          <w:tcPr>
            <w:tcW w:w="1428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432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> </w:t>
            </w:r>
          </w:p>
        </w:tc>
      </w:tr>
      <w:tr w:rsidR="00D863ED" w:rsidRPr="00EE0774" w:rsidTr="00D863ED">
        <w:trPr>
          <w:trHeight w:val="71"/>
        </w:trPr>
        <w:tc>
          <w:tcPr>
            <w:tcW w:w="3006" w:type="dxa"/>
            <w:vAlign w:val="center"/>
            <w:hideMark/>
          </w:tcPr>
          <w:p w:rsidR="00D863ED" w:rsidRPr="00EE0774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color w:val="000000" w:themeColor="text1"/>
                <w:kern w:val="24"/>
                <w:sz w:val="16"/>
                <w:szCs w:val="16"/>
              </w:rPr>
            </w:pPr>
            <w:r w:rsidRPr="00EE0774">
              <w:rPr>
                <w:color w:val="000000" w:themeColor="text1"/>
                <w:kern w:val="24"/>
                <w:sz w:val="16"/>
                <w:szCs w:val="16"/>
              </w:rPr>
              <w:t>Курсовая разница</w:t>
            </w:r>
          </w:p>
        </w:tc>
        <w:tc>
          <w:tcPr>
            <w:tcW w:w="1271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color w:val="FF0000"/>
                <w:sz w:val="16"/>
                <w:szCs w:val="16"/>
              </w:rPr>
            </w:pPr>
            <w:r w:rsidRPr="00617FFA">
              <w:rPr>
                <w:i/>
                <w:color w:val="000000" w:themeColor="text1"/>
                <w:sz w:val="16"/>
                <w:szCs w:val="16"/>
              </w:rPr>
              <w:t xml:space="preserve">-380,4 </w:t>
            </w:r>
          </w:p>
        </w:tc>
        <w:tc>
          <w:tcPr>
            <w:tcW w:w="1431" w:type="dxa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1 666,7 </w:t>
            </w:r>
          </w:p>
        </w:tc>
        <w:tc>
          <w:tcPr>
            <w:tcW w:w="1426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134,7 </w:t>
            </w:r>
          </w:p>
        </w:tc>
        <w:tc>
          <w:tcPr>
            <w:tcW w:w="1428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154,7 </w:t>
            </w:r>
          </w:p>
        </w:tc>
        <w:tc>
          <w:tcPr>
            <w:tcW w:w="1432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127,7 </w:t>
            </w:r>
          </w:p>
        </w:tc>
      </w:tr>
      <w:tr w:rsidR="00D863ED" w:rsidRPr="00EE0774" w:rsidTr="00D863ED">
        <w:trPr>
          <w:trHeight w:val="316"/>
        </w:trPr>
        <w:tc>
          <w:tcPr>
            <w:tcW w:w="3006" w:type="dxa"/>
            <w:vAlign w:val="center"/>
          </w:tcPr>
          <w:p w:rsidR="00D863ED" w:rsidRPr="00EE0774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EE0774">
              <w:rPr>
                <w:color w:val="000000" w:themeColor="text1"/>
                <w:sz w:val="16"/>
                <w:szCs w:val="16"/>
              </w:rPr>
              <w:t>Пополнение ФНБ за счет дополнительных нефтегазовых доходов, в том числе:</w:t>
            </w:r>
          </w:p>
        </w:tc>
        <w:tc>
          <w:tcPr>
            <w:tcW w:w="1271" w:type="dxa"/>
          </w:tcPr>
          <w:p w:rsidR="00D863ED" w:rsidRPr="00617FFA" w:rsidRDefault="00D863ED" w:rsidP="00D863ED">
            <w:pPr>
              <w:spacing w:line="240" w:lineRule="auto"/>
              <w:ind w:firstLine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617FFA">
              <w:rPr>
                <w:i/>
                <w:color w:val="000000" w:themeColor="text1"/>
                <w:sz w:val="16"/>
                <w:szCs w:val="16"/>
              </w:rPr>
              <w:t xml:space="preserve">4 122,1 </w:t>
            </w:r>
          </w:p>
        </w:tc>
        <w:tc>
          <w:tcPr>
            <w:tcW w:w="1431" w:type="dxa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3 349,9 </w:t>
            </w:r>
          </w:p>
        </w:tc>
        <w:tc>
          <w:tcPr>
            <w:tcW w:w="1426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  <w:tc>
          <w:tcPr>
            <w:tcW w:w="1428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  <w:tc>
          <w:tcPr>
            <w:tcW w:w="1432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712,3 </w:t>
            </w:r>
          </w:p>
        </w:tc>
      </w:tr>
      <w:tr w:rsidR="00D863ED" w:rsidRPr="00EE0774" w:rsidTr="00D863ED">
        <w:trPr>
          <w:trHeight w:val="501"/>
        </w:trPr>
        <w:tc>
          <w:tcPr>
            <w:tcW w:w="3006" w:type="dxa"/>
            <w:vAlign w:val="center"/>
          </w:tcPr>
          <w:p w:rsidR="00D863ED" w:rsidRPr="00EE0774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i/>
                <w:color w:val="000000" w:themeColor="text1"/>
                <w:sz w:val="16"/>
                <w:szCs w:val="16"/>
              </w:rPr>
            </w:pPr>
            <w:r w:rsidRPr="00EE0774">
              <w:rPr>
                <w:i/>
                <w:color w:val="000000" w:themeColor="text1"/>
                <w:sz w:val="16"/>
                <w:szCs w:val="16"/>
              </w:rPr>
              <w:t>дополнительные нефтегазовые доходы</w:t>
            </w:r>
          </w:p>
        </w:tc>
        <w:tc>
          <w:tcPr>
            <w:tcW w:w="1271" w:type="dxa"/>
          </w:tcPr>
          <w:p w:rsidR="00D863ED" w:rsidRPr="00617FFA" w:rsidRDefault="00D863ED" w:rsidP="00D863ED">
            <w:pPr>
              <w:spacing w:line="240" w:lineRule="auto"/>
              <w:ind w:firstLine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617FFA">
              <w:rPr>
                <w:i/>
                <w:color w:val="000000" w:themeColor="text1"/>
                <w:sz w:val="16"/>
                <w:szCs w:val="16"/>
              </w:rPr>
              <w:t xml:space="preserve">4 261,4 </w:t>
            </w:r>
          </w:p>
        </w:tc>
        <w:tc>
          <w:tcPr>
            <w:tcW w:w="1431" w:type="dxa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2 956,8 </w:t>
            </w:r>
          </w:p>
        </w:tc>
        <w:tc>
          <w:tcPr>
            <w:tcW w:w="1426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  <w:tc>
          <w:tcPr>
            <w:tcW w:w="1428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  <w:tc>
          <w:tcPr>
            <w:tcW w:w="1432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702,7 </w:t>
            </w:r>
          </w:p>
        </w:tc>
      </w:tr>
      <w:tr w:rsidR="00D863ED" w:rsidRPr="00EE0774" w:rsidTr="00D863ED">
        <w:trPr>
          <w:trHeight w:val="501"/>
        </w:trPr>
        <w:tc>
          <w:tcPr>
            <w:tcW w:w="3006" w:type="dxa"/>
            <w:vAlign w:val="center"/>
          </w:tcPr>
          <w:p w:rsidR="00D863ED" w:rsidRPr="00EE0774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i/>
                <w:color w:val="000000" w:themeColor="text1"/>
                <w:sz w:val="16"/>
                <w:szCs w:val="16"/>
              </w:rPr>
            </w:pPr>
            <w:r w:rsidRPr="00EE0774">
              <w:rPr>
                <w:i/>
                <w:color w:val="000000" w:themeColor="text1"/>
                <w:sz w:val="16"/>
                <w:szCs w:val="16"/>
              </w:rPr>
              <w:t xml:space="preserve">курсовая разница </w:t>
            </w:r>
            <w:proofErr w:type="gramStart"/>
            <w:r w:rsidRPr="00EE0774">
              <w:rPr>
                <w:i/>
                <w:color w:val="000000" w:themeColor="text1"/>
                <w:sz w:val="16"/>
                <w:szCs w:val="16"/>
              </w:rPr>
              <w:t>по остаткам на счетах по учету средств федерального бюджета для зачисления дополнительных нефтегазовых доходов в иностранной валюте</w:t>
            </w:r>
            <w:proofErr w:type="gramEnd"/>
          </w:p>
        </w:tc>
        <w:tc>
          <w:tcPr>
            <w:tcW w:w="1271" w:type="dxa"/>
          </w:tcPr>
          <w:p w:rsidR="00D863ED" w:rsidRPr="00617FFA" w:rsidRDefault="00D863ED" w:rsidP="00D863ED">
            <w:pPr>
              <w:spacing w:line="240" w:lineRule="auto"/>
              <w:ind w:firstLine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617FFA">
              <w:rPr>
                <w:i/>
                <w:color w:val="000000" w:themeColor="text1"/>
                <w:sz w:val="16"/>
                <w:szCs w:val="16"/>
              </w:rPr>
              <w:t xml:space="preserve">-139,3 </w:t>
            </w:r>
          </w:p>
        </w:tc>
        <w:tc>
          <w:tcPr>
            <w:tcW w:w="1431" w:type="dxa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393,1 </w:t>
            </w:r>
          </w:p>
        </w:tc>
        <w:tc>
          <w:tcPr>
            <w:tcW w:w="1426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  <w:tc>
          <w:tcPr>
            <w:tcW w:w="1428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  <w:tc>
          <w:tcPr>
            <w:tcW w:w="1432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9,6 </w:t>
            </w:r>
          </w:p>
        </w:tc>
      </w:tr>
      <w:tr w:rsidR="00D863ED" w:rsidRPr="00EE0774" w:rsidTr="00D863ED">
        <w:trPr>
          <w:trHeight w:val="501"/>
        </w:trPr>
        <w:tc>
          <w:tcPr>
            <w:tcW w:w="3006" w:type="dxa"/>
            <w:vAlign w:val="center"/>
            <w:hideMark/>
          </w:tcPr>
          <w:p w:rsidR="00D863ED" w:rsidRPr="00EE0774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color w:val="000000" w:themeColor="text1"/>
                <w:kern w:val="24"/>
                <w:sz w:val="16"/>
                <w:szCs w:val="16"/>
              </w:rPr>
            </w:pPr>
            <w:r w:rsidRPr="00EE0774">
              <w:rPr>
                <w:color w:val="000000" w:themeColor="text1"/>
                <w:sz w:val="16"/>
                <w:szCs w:val="16"/>
              </w:rPr>
              <w:t>Поступление ФНБ за счет доходов от управления</w:t>
            </w:r>
          </w:p>
        </w:tc>
        <w:tc>
          <w:tcPr>
            <w:tcW w:w="1271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  <w:tc>
          <w:tcPr>
            <w:tcW w:w="1431" w:type="dxa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0,0 </w:t>
            </w:r>
          </w:p>
        </w:tc>
        <w:tc>
          <w:tcPr>
            <w:tcW w:w="1426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  <w:tc>
          <w:tcPr>
            <w:tcW w:w="1428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  <w:tc>
          <w:tcPr>
            <w:tcW w:w="1432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</w:tr>
      <w:tr w:rsidR="00D863ED" w:rsidRPr="00EE0774" w:rsidTr="00D863ED">
        <w:trPr>
          <w:trHeight w:val="501"/>
        </w:trPr>
        <w:tc>
          <w:tcPr>
            <w:tcW w:w="3006" w:type="dxa"/>
            <w:vAlign w:val="center"/>
            <w:hideMark/>
          </w:tcPr>
          <w:p w:rsidR="00D863ED" w:rsidRPr="00EE0774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EE0774">
              <w:rPr>
                <w:color w:val="000000" w:themeColor="text1"/>
                <w:kern w:val="24"/>
                <w:sz w:val="16"/>
                <w:szCs w:val="16"/>
              </w:rPr>
              <w:t>Использование средств ФНБ, в том числе:</w:t>
            </w:r>
          </w:p>
        </w:tc>
        <w:tc>
          <w:tcPr>
            <w:tcW w:w="1271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4,7 </w:t>
            </w:r>
          </w:p>
        </w:tc>
        <w:tc>
          <w:tcPr>
            <w:tcW w:w="1431" w:type="dxa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342,1 </w:t>
            </w:r>
          </w:p>
        </w:tc>
        <w:tc>
          <w:tcPr>
            <w:tcW w:w="1426" w:type="dxa"/>
          </w:tcPr>
          <w:p w:rsidR="00D863ED" w:rsidRPr="00617FFA" w:rsidRDefault="00D863ED" w:rsidP="00817393">
            <w:pPr>
              <w:spacing w:line="240" w:lineRule="auto"/>
              <w:ind w:firstLine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617FFA">
              <w:rPr>
                <w:i/>
                <w:color w:val="000000" w:themeColor="text1"/>
                <w:sz w:val="16"/>
                <w:szCs w:val="16"/>
              </w:rPr>
              <w:t>9</w:t>
            </w:r>
            <w:r w:rsidR="00817393" w:rsidRPr="00617FFA">
              <w:rPr>
                <w:i/>
                <w:color w:val="000000" w:themeColor="text1"/>
                <w:sz w:val="16"/>
                <w:szCs w:val="16"/>
              </w:rPr>
              <w:t>4,9</w:t>
            </w:r>
          </w:p>
        </w:tc>
        <w:tc>
          <w:tcPr>
            <w:tcW w:w="1428" w:type="dxa"/>
          </w:tcPr>
          <w:p w:rsidR="00D863ED" w:rsidRPr="00817393" w:rsidRDefault="00D863ED" w:rsidP="00D863ED">
            <w:pPr>
              <w:spacing w:line="240" w:lineRule="auto"/>
              <w:ind w:firstLine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817393">
              <w:rPr>
                <w:i/>
                <w:color w:val="000000" w:themeColor="text1"/>
                <w:sz w:val="16"/>
                <w:szCs w:val="16"/>
              </w:rPr>
              <w:t xml:space="preserve">3,8 </w:t>
            </w:r>
          </w:p>
        </w:tc>
        <w:tc>
          <w:tcPr>
            <w:tcW w:w="1432" w:type="dxa"/>
          </w:tcPr>
          <w:p w:rsidR="00D863ED" w:rsidRPr="00817393" w:rsidRDefault="00D863ED" w:rsidP="00D863ED">
            <w:pPr>
              <w:spacing w:line="240" w:lineRule="auto"/>
              <w:ind w:firstLine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817393">
              <w:rPr>
                <w:i/>
                <w:color w:val="000000" w:themeColor="text1"/>
                <w:sz w:val="16"/>
                <w:szCs w:val="16"/>
              </w:rPr>
              <w:t xml:space="preserve">3,8 </w:t>
            </w:r>
          </w:p>
        </w:tc>
      </w:tr>
      <w:tr w:rsidR="00D863ED" w:rsidRPr="00EE0774" w:rsidTr="00D863ED">
        <w:trPr>
          <w:trHeight w:val="71"/>
        </w:trPr>
        <w:tc>
          <w:tcPr>
            <w:tcW w:w="3006" w:type="dxa"/>
            <w:vAlign w:val="center"/>
            <w:hideMark/>
          </w:tcPr>
          <w:p w:rsidR="00D863ED" w:rsidRPr="00EE0774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i/>
                <w:color w:val="000000" w:themeColor="text1"/>
                <w:kern w:val="24"/>
                <w:sz w:val="16"/>
                <w:szCs w:val="16"/>
              </w:rPr>
            </w:pPr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 xml:space="preserve">на </w:t>
            </w:r>
            <w:proofErr w:type="spellStart"/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>софинансирование</w:t>
            </w:r>
            <w:proofErr w:type="spellEnd"/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 xml:space="preserve"> пенсионных накоплений </w:t>
            </w:r>
          </w:p>
        </w:tc>
        <w:tc>
          <w:tcPr>
            <w:tcW w:w="1271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4,7 </w:t>
            </w:r>
          </w:p>
        </w:tc>
        <w:tc>
          <w:tcPr>
            <w:tcW w:w="1431" w:type="dxa"/>
          </w:tcPr>
          <w:p w:rsidR="00D863ED" w:rsidRPr="00653DEC" w:rsidRDefault="00D863ED" w:rsidP="00D863ED">
            <w:pPr>
              <w:spacing w:line="240" w:lineRule="auto"/>
              <w:ind w:firstLine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653DEC">
              <w:rPr>
                <w:i/>
                <w:color w:val="000000" w:themeColor="text1"/>
                <w:sz w:val="16"/>
                <w:szCs w:val="16"/>
              </w:rPr>
              <w:t xml:space="preserve">3,7 </w:t>
            </w:r>
          </w:p>
        </w:tc>
        <w:tc>
          <w:tcPr>
            <w:tcW w:w="1426" w:type="dxa"/>
          </w:tcPr>
          <w:p w:rsidR="00D863ED" w:rsidRPr="00617FFA" w:rsidRDefault="00D863ED" w:rsidP="00D863ED">
            <w:pPr>
              <w:spacing w:line="240" w:lineRule="auto"/>
              <w:ind w:firstLine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617FFA">
              <w:rPr>
                <w:i/>
                <w:color w:val="000000" w:themeColor="text1"/>
                <w:sz w:val="16"/>
                <w:szCs w:val="16"/>
              </w:rPr>
              <w:t xml:space="preserve">3,8 </w:t>
            </w:r>
          </w:p>
        </w:tc>
        <w:tc>
          <w:tcPr>
            <w:tcW w:w="1428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3,8 </w:t>
            </w:r>
          </w:p>
        </w:tc>
        <w:tc>
          <w:tcPr>
            <w:tcW w:w="1432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3,8 </w:t>
            </w:r>
          </w:p>
        </w:tc>
      </w:tr>
      <w:tr w:rsidR="00D863ED" w:rsidRPr="00EE0774" w:rsidTr="00D863ED">
        <w:trPr>
          <w:trHeight w:val="144"/>
        </w:trPr>
        <w:tc>
          <w:tcPr>
            <w:tcW w:w="3006" w:type="dxa"/>
            <w:vAlign w:val="center"/>
            <w:hideMark/>
          </w:tcPr>
          <w:p w:rsidR="00D863ED" w:rsidRPr="00EE0774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i/>
                <w:color w:val="000000" w:themeColor="text1"/>
                <w:kern w:val="24"/>
                <w:sz w:val="16"/>
                <w:szCs w:val="16"/>
              </w:rPr>
            </w:pPr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>на сбалансированность федерального бюджета и бюджета Пенсионного фонда</w:t>
            </w:r>
          </w:p>
        </w:tc>
        <w:tc>
          <w:tcPr>
            <w:tcW w:w="1271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  <w:tc>
          <w:tcPr>
            <w:tcW w:w="1431" w:type="dxa"/>
          </w:tcPr>
          <w:p w:rsidR="00D863ED" w:rsidRPr="00653DEC" w:rsidRDefault="00D863ED" w:rsidP="00D863ED">
            <w:pPr>
              <w:spacing w:line="240" w:lineRule="auto"/>
              <w:ind w:firstLine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653DEC">
              <w:rPr>
                <w:i/>
                <w:color w:val="000000" w:themeColor="text1"/>
                <w:sz w:val="16"/>
                <w:szCs w:val="16"/>
              </w:rPr>
              <w:t xml:space="preserve">338,4 </w:t>
            </w:r>
          </w:p>
        </w:tc>
        <w:tc>
          <w:tcPr>
            <w:tcW w:w="1426" w:type="dxa"/>
          </w:tcPr>
          <w:p w:rsidR="00D863ED" w:rsidRPr="00617FFA" w:rsidRDefault="00D863ED" w:rsidP="00D863ED">
            <w:pPr>
              <w:spacing w:line="240" w:lineRule="auto"/>
              <w:ind w:firstLine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617FFA">
              <w:rPr>
                <w:i/>
                <w:color w:val="000000" w:themeColor="text1"/>
                <w:sz w:val="16"/>
                <w:szCs w:val="16"/>
              </w:rPr>
              <w:t xml:space="preserve">91,1 </w:t>
            </w:r>
          </w:p>
        </w:tc>
        <w:tc>
          <w:tcPr>
            <w:tcW w:w="1428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  <w:tc>
          <w:tcPr>
            <w:tcW w:w="1432" w:type="dxa"/>
          </w:tcPr>
          <w:p w:rsidR="00D863ED" w:rsidRPr="00655562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655562">
              <w:rPr>
                <w:i/>
                <w:sz w:val="16"/>
                <w:szCs w:val="16"/>
              </w:rPr>
              <w:t xml:space="preserve">0,0 </w:t>
            </w:r>
          </w:p>
        </w:tc>
      </w:tr>
      <w:tr w:rsidR="00D863ED" w:rsidRPr="00EE0774" w:rsidTr="00D863ED">
        <w:trPr>
          <w:trHeight w:val="359"/>
        </w:trPr>
        <w:tc>
          <w:tcPr>
            <w:tcW w:w="3006" w:type="dxa"/>
            <w:vAlign w:val="center"/>
            <w:hideMark/>
          </w:tcPr>
          <w:p w:rsidR="00D863ED" w:rsidRPr="00EE0774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EE0774">
              <w:rPr>
                <w:b/>
                <w:color w:val="000000" w:themeColor="text1"/>
                <w:kern w:val="24"/>
                <w:sz w:val="16"/>
                <w:szCs w:val="16"/>
              </w:rPr>
              <w:t>Объем ФНБ на конец года</w:t>
            </w:r>
          </w:p>
        </w:tc>
        <w:tc>
          <w:tcPr>
            <w:tcW w:w="1271" w:type="dxa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7 773,1 </w:t>
            </w:r>
          </w:p>
        </w:tc>
        <w:tc>
          <w:tcPr>
            <w:tcW w:w="1431" w:type="dxa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12 447,5 </w:t>
            </w:r>
          </w:p>
        </w:tc>
        <w:tc>
          <w:tcPr>
            <w:tcW w:w="1426" w:type="dxa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12 487,3 </w:t>
            </w:r>
          </w:p>
        </w:tc>
        <w:tc>
          <w:tcPr>
            <w:tcW w:w="1428" w:type="dxa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12 638,3 </w:t>
            </w:r>
          </w:p>
        </w:tc>
        <w:tc>
          <w:tcPr>
            <w:tcW w:w="1432" w:type="dxa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13 474,5 </w:t>
            </w:r>
          </w:p>
        </w:tc>
      </w:tr>
      <w:tr w:rsidR="00D863ED" w:rsidRPr="00EE0774" w:rsidTr="00D863ED">
        <w:trPr>
          <w:trHeight w:val="87"/>
        </w:trPr>
        <w:tc>
          <w:tcPr>
            <w:tcW w:w="3006" w:type="dxa"/>
            <w:vAlign w:val="center"/>
            <w:hideMark/>
          </w:tcPr>
          <w:p w:rsidR="00D863ED" w:rsidRPr="00EE0774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b/>
                <w:color w:val="000000" w:themeColor="text1"/>
                <w:sz w:val="16"/>
                <w:szCs w:val="16"/>
              </w:rPr>
            </w:pPr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>% ВВП</w:t>
            </w:r>
          </w:p>
        </w:tc>
        <w:tc>
          <w:tcPr>
            <w:tcW w:w="1271" w:type="dxa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7,1 </w:t>
            </w:r>
          </w:p>
        </w:tc>
        <w:tc>
          <w:tcPr>
            <w:tcW w:w="1431" w:type="dxa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11,6 </w:t>
            </w:r>
          </w:p>
        </w:tc>
        <w:tc>
          <w:tcPr>
            <w:tcW w:w="1426" w:type="dxa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10,8 </w:t>
            </w:r>
          </w:p>
        </w:tc>
        <w:tc>
          <w:tcPr>
            <w:tcW w:w="1428" w:type="dxa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10,2 </w:t>
            </w:r>
          </w:p>
        </w:tc>
        <w:tc>
          <w:tcPr>
            <w:tcW w:w="1432" w:type="dxa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10,1 </w:t>
            </w:r>
          </w:p>
        </w:tc>
      </w:tr>
      <w:tr w:rsidR="00D863ED" w:rsidRPr="00EE0774" w:rsidTr="00D863ED">
        <w:trPr>
          <w:trHeight w:val="71"/>
        </w:trPr>
        <w:tc>
          <w:tcPr>
            <w:tcW w:w="3006" w:type="dxa"/>
            <w:shd w:val="clear" w:color="auto" w:fill="EAF1DD" w:themeFill="accent3" w:themeFillTint="33"/>
            <w:vAlign w:val="center"/>
          </w:tcPr>
          <w:p w:rsidR="00D863ED" w:rsidRPr="00916FC3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i/>
                <w:color w:val="000000" w:themeColor="text1"/>
                <w:sz w:val="16"/>
                <w:szCs w:val="16"/>
              </w:rPr>
            </w:pPr>
            <w:r w:rsidRPr="00916FC3">
              <w:rPr>
                <w:i/>
                <w:color w:val="000000" w:themeColor="text1"/>
                <w:kern w:val="24"/>
                <w:sz w:val="16"/>
                <w:szCs w:val="16"/>
              </w:rPr>
              <w:t>Объем средств ФНБ на конец года, размещенных в Банке России</w:t>
            </w:r>
          </w:p>
        </w:tc>
        <w:tc>
          <w:tcPr>
            <w:tcW w:w="127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6 137,8 </w:t>
            </w:r>
          </w:p>
        </w:tc>
        <w:tc>
          <w:tcPr>
            <w:tcW w:w="1431" w:type="dxa"/>
            <w:shd w:val="clear" w:color="auto" w:fill="EAF1DD" w:themeFill="accent3" w:themeFillTint="33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8 197,0 </w:t>
            </w:r>
          </w:p>
        </w:tc>
        <w:tc>
          <w:tcPr>
            <w:tcW w:w="1426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8 238,2 </w:t>
            </w:r>
          </w:p>
        </w:tc>
        <w:tc>
          <w:tcPr>
            <w:tcW w:w="1428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8 402,1 </w:t>
            </w:r>
          </w:p>
        </w:tc>
        <w:tc>
          <w:tcPr>
            <w:tcW w:w="1432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9 252,7 </w:t>
            </w:r>
          </w:p>
        </w:tc>
      </w:tr>
      <w:tr w:rsidR="00D863ED" w:rsidRPr="00EE0774" w:rsidTr="00D863ED">
        <w:trPr>
          <w:trHeight w:val="71"/>
        </w:trPr>
        <w:tc>
          <w:tcPr>
            <w:tcW w:w="3006" w:type="dxa"/>
            <w:shd w:val="clear" w:color="auto" w:fill="EAF1DD" w:themeFill="accent3" w:themeFillTint="33"/>
          </w:tcPr>
          <w:p w:rsidR="00D863ED" w:rsidRPr="00916FC3" w:rsidRDefault="00D863ED" w:rsidP="00D863ED">
            <w:pPr>
              <w:widowControl w:val="0"/>
              <w:spacing w:line="240" w:lineRule="auto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916FC3">
              <w:rPr>
                <w:i/>
                <w:color w:val="000000" w:themeColor="text1"/>
                <w:kern w:val="24"/>
                <w:sz w:val="16"/>
                <w:szCs w:val="16"/>
              </w:rPr>
              <w:t xml:space="preserve">   % ВВП</w:t>
            </w:r>
          </w:p>
        </w:tc>
        <w:tc>
          <w:tcPr>
            <w:tcW w:w="127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5,6 </w:t>
            </w:r>
          </w:p>
        </w:tc>
        <w:tc>
          <w:tcPr>
            <w:tcW w:w="1431" w:type="dxa"/>
            <w:shd w:val="clear" w:color="auto" w:fill="EAF1DD" w:themeFill="accent3" w:themeFillTint="33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7,7 </w:t>
            </w:r>
          </w:p>
        </w:tc>
        <w:tc>
          <w:tcPr>
            <w:tcW w:w="1426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7,1 </w:t>
            </w:r>
          </w:p>
        </w:tc>
        <w:tc>
          <w:tcPr>
            <w:tcW w:w="1428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6,8 </w:t>
            </w:r>
          </w:p>
        </w:tc>
        <w:tc>
          <w:tcPr>
            <w:tcW w:w="1432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7,0 </w:t>
            </w:r>
          </w:p>
        </w:tc>
      </w:tr>
      <w:tr w:rsidR="00D863ED" w:rsidRPr="00EE0774" w:rsidTr="00D863ED">
        <w:trPr>
          <w:trHeight w:val="558"/>
        </w:trPr>
        <w:tc>
          <w:tcPr>
            <w:tcW w:w="3006" w:type="dxa"/>
            <w:shd w:val="clear" w:color="auto" w:fill="EAF1DD" w:themeFill="accent3" w:themeFillTint="33"/>
            <w:vAlign w:val="center"/>
            <w:hideMark/>
          </w:tcPr>
          <w:p w:rsidR="00D863ED" w:rsidRPr="00916FC3" w:rsidRDefault="00D863ED" w:rsidP="00D863ED">
            <w:pPr>
              <w:kinsoku w:val="0"/>
              <w:overflowPunct w:val="0"/>
              <w:spacing w:line="240" w:lineRule="auto"/>
              <w:ind w:firstLine="0"/>
              <w:textAlignment w:val="baseline"/>
              <w:rPr>
                <w:i/>
                <w:color w:val="000000" w:themeColor="text1"/>
                <w:sz w:val="16"/>
                <w:szCs w:val="16"/>
              </w:rPr>
            </w:pPr>
            <w:r w:rsidRPr="00916FC3">
              <w:rPr>
                <w:i/>
                <w:color w:val="000000" w:themeColor="text1"/>
                <w:kern w:val="24"/>
                <w:sz w:val="16"/>
                <w:szCs w:val="16"/>
              </w:rPr>
              <w:t xml:space="preserve">Объем средств ФНБ </w:t>
            </w:r>
            <w:r w:rsidRPr="00916FC3">
              <w:rPr>
                <w:b/>
                <w:i/>
                <w:color w:val="000000" w:themeColor="text1"/>
                <w:kern w:val="24"/>
                <w:sz w:val="16"/>
                <w:szCs w:val="16"/>
              </w:rPr>
              <w:t>на конец года</w:t>
            </w:r>
            <w:r w:rsidRPr="00916FC3">
              <w:rPr>
                <w:i/>
                <w:color w:val="000000" w:themeColor="text1"/>
                <w:kern w:val="24"/>
                <w:sz w:val="16"/>
                <w:szCs w:val="16"/>
              </w:rPr>
              <w:t>, размещенных в разрешенные финансовые активы (кроме счетов в Банке России)</w:t>
            </w:r>
          </w:p>
        </w:tc>
        <w:tc>
          <w:tcPr>
            <w:tcW w:w="127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1 635,3 </w:t>
            </w:r>
          </w:p>
        </w:tc>
        <w:tc>
          <w:tcPr>
            <w:tcW w:w="1431" w:type="dxa"/>
            <w:shd w:val="clear" w:color="auto" w:fill="EAF1DD" w:themeFill="accent3" w:themeFillTint="33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4 250,5 </w:t>
            </w:r>
          </w:p>
        </w:tc>
        <w:tc>
          <w:tcPr>
            <w:tcW w:w="1426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4 249,1 </w:t>
            </w:r>
          </w:p>
        </w:tc>
        <w:tc>
          <w:tcPr>
            <w:tcW w:w="1428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4 236,2 </w:t>
            </w:r>
          </w:p>
        </w:tc>
        <w:tc>
          <w:tcPr>
            <w:tcW w:w="1432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4 221,8 </w:t>
            </w:r>
          </w:p>
        </w:tc>
      </w:tr>
      <w:tr w:rsidR="00D863ED" w:rsidRPr="00EE0774" w:rsidTr="00D863ED">
        <w:trPr>
          <w:trHeight w:val="170"/>
        </w:trPr>
        <w:tc>
          <w:tcPr>
            <w:tcW w:w="3006" w:type="dxa"/>
            <w:shd w:val="clear" w:color="auto" w:fill="EAF1DD" w:themeFill="accent3" w:themeFillTint="33"/>
          </w:tcPr>
          <w:p w:rsidR="00D863ED" w:rsidRPr="00EE0774" w:rsidRDefault="00D863ED" w:rsidP="00D863ED">
            <w:pPr>
              <w:widowControl w:val="0"/>
              <w:spacing w:line="240" w:lineRule="auto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 xml:space="preserve">   % ВВП</w:t>
            </w:r>
          </w:p>
        </w:tc>
        <w:tc>
          <w:tcPr>
            <w:tcW w:w="1271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1,5 </w:t>
            </w:r>
          </w:p>
        </w:tc>
        <w:tc>
          <w:tcPr>
            <w:tcW w:w="1431" w:type="dxa"/>
            <w:shd w:val="clear" w:color="auto" w:fill="EAF1DD" w:themeFill="accent3" w:themeFillTint="33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4,0 </w:t>
            </w:r>
          </w:p>
        </w:tc>
        <w:tc>
          <w:tcPr>
            <w:tcW w:w="1426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3,7 </w:t>
            </w:r>
          </w:p>
        </w:tc>
        <w:tc>
          <w:tcPr>
            <w:tcW w:w="1428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3,4 </w:t>
            </w:r>
          </w:p>
        </w:tc>
        <w:tc>
          <w:tcPr>
            <w:tcW w:w="1432" w:type="dxa"/>
            <w:shd w:val="clear" w:color="auto" w:fill="EAF1DD" w:themeFill="accent3" w:themeFillTint="33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3,2 </w:t>
            </w:r>
          </w:p>
        </w:tc>
      </w:tr>
      <w:tr w:rsidR="00D863ED" w:rsidRPr="00EE0774" w:rsidTr="00D863ED">
        <w:trPr>
          <w:trHeight w:val="170"/>
        </w:trPr>
        <w:tc>
          <w:tcPr>
            <w:tcW w:w="3006" w:type="dxa"/>
          </w:tcPr>
          <w:p w:rsidR="00D863ED" w:rsidRPr="00EE0774" w:rsidRDefault="00D863ED" w:rsidP="00D863ED">
            <w:pPr>
              <w:widowControl w:val="0"/>
              <w:spacing w:line="240" w:lineRule="auto"/>
              <w:ind w:firstLine="0"/>
              <w:rPr>
                <w:b/>
                <w:color w:val="000000" w:themeColor="text1"/>
                <w:kern w:val="24"/>
                <w:sz w:val="16"/>
                <w:szCs w:val="16"/>
              </w:rPr>
            </w:pPr>
            <w:r w:rsidRPr="00EE0774">
              <w:rPr>
                <w:b/>
                <w:color w:val="000000" w:themeColor="text1"/>
                <w:kern w:val="24"/>
                <w:sz w:val="16"/>
                <w:szCs w:val="16"/>
              </w:rPr>
              <w:t>Объем 7 % ВВП</w:t>
            </w:r>
          </w:p>
        </w:tc>
        <w:tc>
          <w:tcPr>
            <w:tcW w:w="1271" w:type="dxa"/>
            <w:shd w:val="clear" w:color="auto" w:fill="auto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7 703,2 </w:t>
            </w:r>
          </w:p>
        </w:tc>
        <w:tc>
          <w:tcPr>
            <w:tcW w:w="1431" w:type="dxa"/>
            <w:shd w:val="clear" w:color="auto" w:fill="auto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7 488,2 </w:t>
            </w:r>
          </w:p>
        </w:tc>
        <w:tc>
          <w:tcPr>
            <w:tcW w:w="1426" w:type="dxa"/>
            <w:shd w:val="clear" w:color="auto" w:fill="auto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8 087,3 </w:t>
            </w:r>
          </w:p>
        </w:tc>
        <w:tc>
          <w:tcPr>
            <w:tcW w:w="1428" w:type="dxa"/>
            <w:shd w:val="clear" w:color="auto" w:fill="auto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8 695,6 </w:t>
            </w:r>
          </w:p>
        </w:tc>
        <w:tc>
          <w:tcPr>
            <w:tcW w:w="1432" w:type="dxa"/>
            <w:shd w:val="clear" w:color="auto" w:fill="auto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9 297,5 </w:t>
            </w:r>
          </w:p>
        </w:tc>
      </w:tr>
      <w:tr w:rsidR="00D863ED" w:rsidRPr="00EE0774" w:rsidTr="00D863ED">
        <w:trPr>
          <w:trHeight w:val="170"/>
        </w:trPr>
        <w:tc>
          <w:tcPr>
            <w:tcW w:w="3006" w:type="dxa"/>
          </w:tcPr>
          <w:p w:rsidR="00D863ED" w:rsidRPr="00EE0774" w:rsidRDefault="00D863ED" w:rsidP="00D863ED">
            <w:pPr>
              <w:widowControl w:val="0"/>
              <w:spacing w:line="240" w:lineRule="auto"/>
              <w:ind w:firstLine="0"/>
              <w:rPr>
                <w:i/>
                <w:color w:val="000000" w:themeColor="text1"/>
                <w:kern w:val="24"/>
                <w:sz w:val="16"/>
                <w:szCs w:val="16"/>
              </w:rPr>
            </w:pPr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 xml:space="preserve">Превышение средств ФНБ </w:t>
            </w:r>
            <w:r w:rsidRPr="00916FC3">
              <w:rPr>
                <w:b/>
                <w:i/>
                <w:color w:val="FF0000"/>
                <w:kern w:val="24"/>
                <w:sz w:val="16"/>
                <w:szCs w:val="16"/>
              </w:rPr>
              <w:t>на конец года</w:t>
            </w:r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>, размещенных в Банке России, уровня 7 % ВВП</w:t>
            </w:r>
          </w:p>
        </w:tc>
        <w:tc>
          <w:tcPr>
            <w:tcW w:w="1271" w:type="dxa"/>
            <w:shd w:val="clear" w:color="auto" w:fill="auto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431" w:type="dxa"/>
            <w:shd w:val="clear" w:color="auto" w:fill="auto"/>
          </w:tcPr>
          <w:p w:rsidR="00D863ED" w:rsidRPr="009C7A95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C7A95">
              <w:rPr>
                <w:i/>
                <w:sz w:val="16"/>
                <w:szCs w:val="16"/>
              </w:rPr>
              <w:t xml:space="preserve">708,8 </w:t>
            </w:r>
          </w:p>
        </w:tc>
        <w:tc>
          <w:tcPr>
            <w:tcW w:w="1426" w:type="dxa"/>
            <w:shd w:val="clear" w:color="auto" w:fill="auto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 xml:space="preserve">150,9 </w:t>
            </w:r>
          </w:p>
        </w:tc>
        <w:tc>
          <w:tcPr>
            <w:tcW w:w="1428" w:type="dxa"/>
            <w:shd w:val="clear" w:color="auto" w:fill="auto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432" w:type="dxa"/>
            <w:shd w:val="clear" w:color="auto" w:fill="auto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930C91">
              <w:rPr>
                <w:i/>
                <w:sz w:val="16"/>
                <w:szCs w:val="16"/>
              </w:rPr>
              <w:t> </w:t>
            </w:r>
          </w:p>
        </w:tc>
      </w:tr>
      <w:tr w:rsidR="00D863ED" w:rsidRPr="00EE0774" w:rsidTr="00D863ED">
        <w:trPr>
          <w:trHeight w:val="170"/>
        </w:trPr>
        <w:tc>
          <w:tcPr>
            <w:tcW w:w="3006" w:type="dxa"/>
          </w:tcPr>
          <w:p w:rsidR="00D863ED" w:rsidRPr="00EE0774" w:rsidRDefault="00D863ED" w:rsidP="00D863ED">
            <w:pPr>
              <w:widowControl w:val="0"/>
              <w:spacing w:line="240" w:lineRule="auto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EE0774">
              <w:rPr>
                <w:i/>
                <w:color w:val="000000" w:themeColor="text1"/>
                <w:kern w:val="24"/>
                <w:sz w:val="16"/>
                <w:szCs w:val="16"/>
              </w:rPr>
              <w:t xml:space="preserve">   % ВВП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D863ED" w:rsidRPr="00930C91" w:rsidRDefault="00D863ED" w:rsidP="00D863ED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1B70E9" w:rsidRDefault="001B70E9" w:rsidP="00004965">
      <w:pPr>
        <w:ind w:firstLine="0"/>
      </w:pPr>
    </w:p>
    <w:sectPr w:rsidR="001B70E9" w:rsidSect="00004965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FF" w:rsidRDefault="00414BFF" w:rsidP="00AC155B">
      <w:pPr>
        <w:spacing w:line="240" w:lineRule="auto"/>
      </w:pPr>
      <w:r>
        <w:separator/>
      </w:r>
    </w:p>
  </w:endnote>
  <w:endnote w:type="continuationSeparator" w:id="0">
    <w:p w:rsidR="00414BFF" w:rsidRDefault="00414BFF" w:rsidP="00AC1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FF" w:rsidRDefault="00414BFF" w:rsidP="00AC155B">
      <w:pPr>
        <w:spacing w:line="240" w:lineRule="auto"/>
      </w:pPr>
      <w:r>
        <w:separator/>
      </w:r>
    </w:p>
  </w:footnote>
  <w:footnote w:type="continuationSeparator" w:id="0">
    <w:p w:rsidR="00414BFF" w:rsidRDefault="00414BFF" w:rsidP="00AC1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158670"/>
      <w:docPartObj>
        <w:docPartGallery w:val="Page Numbers (Top of Page)"/>
        <w:docPartUnique/>
      </w:docPartObj>
    </w:sdtPr>
    <w:sdtEndPr/>
    <w:sdtContent>
      <w:p w:rsidR="00AC155B" w:rsidRDefault="00AC15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965">
          <w:rPr>
            <w:noProof/>
          </w:rPr>
          <w:t>2</w:t>
        </w:r>
        <w:r>
          <w:fldChar w:fldCharType="end"/>
        </w:r>
      </w:p>
    </w:sdtContent>
  </w:sdt>
  <w:p w:rsidR="00AC155B" w:rsidRDefault="00AC15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B9"/>
    <w:rsid w:val="00004965"/>
    <w:rsid w:val="0002203D"/>
    <w:rsid w:val="00071854"/>
    <w:rsid w:val="001745E0"/>
    <w:rsid w:val="001B70E9"/>
    <w:rsid w:val="002C2881"/>
    <w:rsid w:val="00300980"/>
    <w:rsid w:val="00354F76"/>
    <w:rsid w:val="00414BFF"/>
    <w:rsid w:val="004B79E4"/>
    <w:rsid w:val="00515550"/>
    <w:rsid w:val="0059277E"/>
    <w:rsid w:val="005B0EBB"/>
    <w:rsid w:val="00617FFA"/>
    <w:rsid w:val="00653DEC"/>
    <w:rsid w:val="00655562"/>
    <w:rsid w:val="006E608A"/>
    <w:rsid w:val="00704B7E"/>
    <w:rsid w:val="007253DA"/>
    <w:rsid w:val="007E133F"/>
    <w:rsid w:val="00804ED4"/>
    <w:rsid w:val="00817393"/>
    <w:rsid w:val="00822F4D"/>
    <w:rsid w:val="008C08A9"/>
    <w:rsid w:val="008C1FF8"/>
    <w:rsid w:val="00902BDF"/>
    <w:rsid w:val="0091251F"/>
    <w:rsid w:val="009148F9"/>
    <w:rsid w:val="00930C91"/>
    <w:rsid w:val="009C7A95"/>
    <w:rsid w:val="009F6A70"/>
    <w:rsid w:val="00AC155B"/>
    <w:rsid w:val="00B84E02"/>
    <w:rsid w:val="00B8772D"/>
    <w:rsid w:val="00C20A8C"/>
    <w:rsid w:val="00D863ED"/>
    <w:rsid w:val="00D92DB9"/>
    <w:rsid w:val="00DC4B77"/>
    <w:rsid w:val="00DF4D2F"/>
    <w:rsid w:val="00E155A8"/>
    <w:rsid w:val="00F01DB9"/>
    <w:rsid w:val="00F44A9B"/>
    <w:rsid w:val="00F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98610">
    <w:name w:val="rvps698610"/>
    <w:basedOn w:val="a"/>
    <w:rsid w:val="00F01DB9"/>
    <w:pPr>
      <w:spacing w:after="150"/>
      <w:ind w:right="300"/>
    </w:pPr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rsid w:val="00F01DB9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15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55B"/>
  </w:style>
  <w:style w:type="paragraph" w:styleId="a6">
    <w:name w:val="footer"/>
    <w:basedOn w:val="a"/>
    <w:link w:val="a7"/>
    <w:uiPriority w:val="99"/>
    <w:unhideWhenUsed/>
    <w:rsid w:val="00AC155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98610">
    <w:name w:val="rvps698610"/>
    <w:basedOn w:val="a"/>
    <w:rsid w:val="00F01DB9"/>
    <w:pPr>
      <w:spacing w:after="150"/>
      <w:ind w:right="300"/>
    </w:pPr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rsid w:val="00F01DB9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15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55B"/>
  </w:style>
  <w:style w:type="paragraph" w:styleId="a6">
    <w:name w:val="footer"/>
    <w:basedOn w:val="a"/>
    <w:link w:val="a7"/>
    <w:uiPriority w:val="99"/>
    <w:unhideWhenUsed/>
    <w:rsid w:val="00AC155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Гайворон Г. Б.</dc:creator>
  <cp:lastModifiedBy>Панкина Зайнаб Магомедовна</cp:lastModifiedBy>
  <cp:revision>2</cp:revision>
  <cp:lastPrinted>2019-10-01T08:26:00Z</cp:lastPrinted>
  <dcterms:created xsi:type="dcterms:W3CDTF">2020-10-13T13:27:00Z</dcterms:created>
  <dcterms:modified xsi:type="dcterms:W3CDTF">2020-10-13T13:27:00Z</dcterms:modified>
</cp:coreProperties>
</file>