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86A" w:rsidRDefault="00D3386A" w:rsidP="000E1853">
      <w:pPr>
        <w:spacing w:after="0" w:line="240" w:lineRule="auto"/>
        <w:ind w:left="1020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Приложение № 2 </w:t>
      </w:r>
    </w:p>
    <w:p w:rsidR="00D3386A" w:rsidRDefault="00D3386A" w:rsidP="00D3386A">
      <w:pPr>
        <w:spacing w:after="0" w:line="240" w:lineRule="auto"/>
        <w:ind w:left="5103"/>
        <w:jc w:val="center"/>
        <w:rPr>
          <w:rFonts w:ascii="Times New Roman" w:hAnsi="Times New Roman"/>
          <w:sz w:val="24"/>
          <w:szCs w:val="24"/>
        </w:rPr>
      </w:pPr>
    </w:p>
    <w:p w:rsidR="00EA29ED" w:rsidRPr="007A0F5E" w:rsidRDefault="00EA29ED" w:rsidP="006324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F5E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E42E9A" w:rsidRDefault="00EA29ED" w:rsidP="00E42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0F5E">
        <w:rPr>
          <w:rFonts w:ascii="Times New Roman" w:hAnsi="Times New Roman" w:cs="Times New Roman"/>
          <w:b/>
          <w:sz w:val="24"/>
          <w:szCs w:val="24"/>
        </w:rPr>
        <w:t xml:space="preserve">о критериях аудита </w:t>
      </w:r>
      <w:r w:rsidR="001652F9" w:rsidRPr="009C4294">
        <w:rPr>
          <w:rFonts w:ascii="Times New Roman" w:hAnsi="Times New Roman" w:cs="Times New Roman"/>
          <w:b/>
          <w:sz w:val="24"/>
          <w:szCs w:val="24"/>
        </w:rPr>
        <w:t xml:space="preserve">соответствия и </w:t>
      </w:r>
      <w:r w:rsidRPr="009C4294">
        <w:rPr>
          <w:rFonts w:ascii="Times New Roman" w:hAnsi="Times New Roman" w:cs="Times New Roman"/>
          <w:b/>
          <w:sz w:val="24"/>
          <w:szCs w:val="24"/>
        </w:rPr>
        <w:t>эффективности, установленные экспертным сп</w:t>
      </w:r>
      <w:r w:rsidR="00427BBA" w:rsidRPr="009C4294">
        <w:rPr>
          <w:rFonts w:ascii="Times New Roman" w:hAnsi="Times New Roman" w:cs="Times New Roman"/>
          <w:b/>
          <w:sz w:val="24"/>
          <w:szCs w:val="24"/>
        </w:rPr>
        <w:t xml:space="preserve">особом в программе экспертно-аналитического </w:t>
      </w:r>
      <w:r w:rsidRPr="009C4294">
        <w:rPr>
          <w:rFonts w:ascii="Times New Roman" w:hAnsi="Times New Roman" w:cs="Times New Roman"/>
          <w:b/>
          <w:sz w:val="24"/>
          <w:szCs w:val="24"/>
        </w:rPr>
        <w:t>мероприятия</w:t>
      </w:r>
    </w:p>
    <w:p w:rsidR="00E42E9A" w:rsidRPr="0038739D" w:rsidRDefault="00E42E9A" w:rsidP="00E42E9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2E9A" w:rsidRPr="00C02921" w:rsidRDefault="00E42E9A" w:rsidP="00C02921">
      <w:pPr>
        <w:pStyle w:val="Default"/>
        <w:jc w:val="center"/>
        <w:rPr>
          <w:b/>
          <w:bCs/>
          <w:color w:val="auto"/>
        </w:rPr>
      </w:pPr>
      <w:r w:rsidRPr="00C02921">
        <w:rPr>
          <w:rFonts w:eastAsia="Times New Roman"/>
          <w:b/>
          <w:lang w:eastAsia="ru-RU"/>
        </w:rPr>
        <w:t xml:space="preserve">Цель 1. </w:t>
      </w:r>
      <w:r w:rsidR="00C02921" w:rsidRPr="00C02921">
        <w:rPr>
          <w:b/>
          <w:bCs/>
          <w:color w:val="auto"/>
        </w:rPr>
        <w:t>Оценить соответствие мер государственной поддержки инновационной инфраструктуры документам стратегического планирования, законодательным и нормативным правовым актам Российской Федерации в сферах научно-технологического и инновационного развития и иным документам (аудит соответствия)</w:t>
      </w:r>
    </w:p>
    <w:p w:rsidR="00C02921" w:rsidRPr="00C02921" w:rsidRDefault="00C02921" w:rsidP="00C02921">
      <w:pPr>
        <w:pStyle w:val="Default"/>
      </w:pPr>
    </w:p>
    <w:tbl>
      <w:tblPr>
        <w:tblW w:w="15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603"/>
        <w:gridCol w:w="1351"/>
        <w:gridCol w:w="9706"/>
      </w:tblGrid>
      <w:tr w:rsidR="00E42E9A" w:rsidRPr="008161D9" w:rsidTr="00E87948">
        <w:trPr>
          <w:trHeight w:val="653"/>
          <w:tblHeader/>
          <w:jc w:val="center"/>
        </w:trPr>
        <w:tc>
          <w:tcPr>
            <w:tcW w:w="503" w:type="dxa"/>
            <w:shd w:val="clear" w:color="000000" w:fill="FFFFFF"/>
            <w:vAlign w:val="center"/>
            <w:hideMark/>
          </w:tcPr>
          <w:p w:rsidR="00E42E9A" w:rsidRPr="00C02921" w:rsidRDefault="00E42E9A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603" w:type="dxa"/>
            <w:shd w:val="clear" w:color="000000" w:fill="FFFFFF"/>
            <w:noWrap/>
            <w:vAlign w:val="center"/>
            <w:hideMark/>
          </w:tcPr>
          <w:p w:rsidR="00E42E9A" w:rsidRPr="00C02921" w:rsidRDefault="00E42E9A" w:rsidP="00E8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1351" w:type="dxa"/>
            <w:shd w:val="clear" w:color="000000" w:fill="FFFFFF"/>
            <w:vAlign w:val="center"/>
            <w:hideMark/>
          </w:tcPr>
          <w:p w:rsidR="00E42E9A" w:rsidRPr="00C02921" w:rsidRDefault="00E42E9A" w:rsidP="00E8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выполнения</w:t>
            </w:r>
          </w:p>
        </w:tc>
        <w:tc>
          <w:tcPr>
            <w:tcW w:w="9706" w:type="dxa"/>
            <w:shd w:val="clear" w:color="000000" w:fill="FFFFFF"/>
            <w:noWrap/>
            <w:vAlign w:val="center"/>
            <w:hideMark/>
          </w:tcPr>
          <w:p w:rsidR="00E42E9A" w:rsidRPr="00C02921" w:rsidRDefault="00E42E9A" w:rsidP="00E87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результата</w:t>
            </w:r>
          </w:p>
        </w:tc>
      </w:tr>
      <w:tr w:rsidR="00E42E9A" w:rsidRPr="008161D9" w:rsidTr="00E87948">
        <w:trPr>
          <w:trHeight w:val="653"/>
          <w:jc w:val="center"/>
        </w:trPr>
        <w:tc>
          <w:tcPr>
            <w:tcW w:w="503" w:type="dxa"/>
            <w:shd w:val="clear" w:color="000000" w:fill="FFFFFF"/>
          </w:tcPr>
          <w:p w:rsidR="00E42E9A" w:rsidRPr="00C02921" w:rsidRDefault="00E42E9A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03" w:type="dxa"/>
            <w:shd w:val="clear" w:color="000000" w:fill="FFFFFF"/>
            <w:noWrap/>
          </w:tcPr>
          <w:p w:rsidR="00E42E9A" w:rsidRPr="00C02921" w:rsidRDefault="00C02921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hAnsi="Times New Roman" w:cs="Times New Roman"/>
                <w:sz w:val="20"/>
                <w:szCs w:val="20"/>
              </w:rPr>
              <w:t>Нормативная правовая база по государственной поддержке инновационной инфраструктуры сформирована в соответствии с положениями Стратегии научно-технологического развития Российской Федерации, Стратегии инновационного развития на период до 2020 года, Концепции технологического развития Российской Федерации на период до 2030 года, а также в соответствии с требованиями Федерального закона от 23 августа 1996 г. № 127-ФЗ «О науке и государственной научно-технической политике»</w:t>
            </w:r>
          </w:p>
        </w:tc>
        <w:tc>
          <w:tcPr>
            <w:tcW w:w="1351" w:type="dxa"/>
            <w:shd w:val="clear" w:color="000000" w:fill="FFFFFF"/>
          </w:tcPr>
          <w:p w:rsidR="00E42E9A" w:rsidRPr="00C02921" w:rsidRDefault="00C02921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Выполнено не в полной мере</w:t>
            </w:r>
          </w:p>
        </w:tc>
        <w:tc>
          <w:tcPr>
            <w:tcW w:w="9706" w:type="dxa"/>
            <w:shd w:val="clear" w:color="000000" w:fill="FFFFFF"/>
            <w:noWrap/>
          </w:tcPr>
          <w:p w:rsidR="00C02921" w:rsidRPr="00C02921" w:rsidRDefault="00C02921" w:rsidP="003C45A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921">
              <w:rPr>
                <w:rFonts w:ascii="Times New Roman" w:hAnsi="Times New Roman" w:cs="Times New Roman"/>
                <w:sz w:val="20"/>
                <w:szCs w:val="20"/>
              </w:rPr>
              <w:t>1. Меры государственной поддержки инновационной инфраструктуры в основном соответствуют документам стратегического планирования, законодательным и нормативным правовым актам Российской Федерации в сферах научно-технологического и инновационного развития и иным документам.</w:t>
            </w:r>
          </w:p>
          <w:p w:rsidR="00C02921" w:rsidRPr="00C02921" w:rsidRDefault="00C02921" w:rsidP="00FB42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02921">
              <w:rPr>
                <w:rFonts w:ascii="Times New Roman" w:hAnsi="Times New Roman" w:cs="Times New Roman"/>
                <w:sz w:val="20"/>
                <w:szCs w:val="20"/>
              </w:rPr>
              <w:t>Вместе с тем необходимо отметить ряд недостатков, препятствующих реализации мер государственной поддержки инновационной инфраструктуры.</w:t>
            </w:r>
          </w:p>
          <w:p w:rsidR="003C45A0" w:rsidRPr="003C45A0" w:rsidRDefault="00C02921" w:rsidP="003C45A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5A0">
              <w:rPr>
                <w:rFonts w:ascii="Times New Roman" w:hAnsi="Times New Roman" w:cs="Times New Roman"/>
                <w:sz w:val="20"/>
                <w:szCs w:val="20"/>
              </w:rPr>
              <w:t xml:space="preserve">1.1. </w:t>
            </w:r>
            <w:r w:rsidR="003C45A0" w:rsidRPr="003C45A0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инновационной деятельности, в том числе по созданию и развитию инновационной инфраструктуры, с 2021 года осуществляется в отсутствие Стратегии инновационного развития Российской Федерации, предусмотренной Федеральным законом № 127-ФЗ «О науке и государственной научно-технической политике».</w:t>
            </w:r>
          </w:p>
          <w:p w:rsidR="00C02921" w:rsidRPr="00C02921" w:rsidRDefault="00C02921" w:rsidP="00FB42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5A0">
              <w:rPr>
                <w:rFonts w:ascii="Times New Roman" w:hAnsi="Times New Roman" w:cs="Times New Roman"/>
                <w:sz w:val="20"/>
                <w:szCs w:val="20"/>
              </w:rPr>
              <w:t xml:space="preserve">1.2. </w:t>
            </w:r>
            <w:r w:rsidRPr="00C02921">
              <w:rPr>
                <w:rFonts w:ascii="Times New Roman" w:hAnsi="Times New Roman" w:cs="Times New Roman"/>
                <w:sz w:val="20"/>
                <w:szCs w:val="20"/>
              </w:rPr>
              <w:t>В Российской Федерации созданы более 1 тыс. объектов инновационной инфраструктуры.</w:t>
            </w:r>
          </w:p>
          <w:p w:rsidR="00C02921" w:rsidRPr="003C45A0" w:rsidRDefault="00C02921" w:rsidP="00FB42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45A0">
              <w:rPr>
                <w:rFonts w:ascii="Times New Roman" w:hAnsi="Times New Roman" w:cs="Times New Roman"/>
                <w:sz w:val="20"/>
                <w:szCs w:val="20"/>
              </w:rPr>
              <w:t xml:space="preserve">1.3. Информационные системы федеральных органов и организаций о мерах государственной поддержки инновационной инфраструктуры различаются по составу и количеству объектов инфраструктуры. </w:t>
            </w:r>
          </w:p>
          <w:p w:rsidR="00C02921" w:rsidRPr="00C02921" w:rsidRDefault="00C02921" w:rsidP="00FB425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C45A0">
              <w:rPr>
                <w:rFonts w:ascii="Times New Roman" w:hAnsi="Times New Roman" w:cs="Times New Roman"/>
                <w:sz w:val="20"/>
                <w:szCs w:val="20"/>
              </w:rPr>
              <w:t>1.4. Утвержденный Минэкономразвития России справочник технологий не соотносится с критическими или сквозными технологиями, перечни которых установлены Указами Президента Российской Федерации от 7 июля 2011 г. № 899 и от</w:t>
            </w:r>
            <w:r w:rsidRPr="00C02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18 июня 2024 г. № 529.</w:t>
            </w:r>
          </w:p>
          <w:p w:rsidR="00C02921" w:rsidRPr="00C02921" w:rsidRDefault="00C02921" w:rsidP="00FB425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921">
              <w:rPr>
                <w:rFonts w:ascii="Times New Roman" w:eastAsia="Calibri" w:hAnsi="Times New Roman" w:cs="Times New Roman"/>
                <w:sz w:val="20"/>
                <w:szCs w:val="20"/>
              </w:rPr>
              <w:t>1.5. Утвержденный распоряжением Правительства Российской Федерации от 16 декабря 2012 г. № 3999-р</w:t>
            </w:r>
            <w:r w:rsidRPr="00C0292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C02921">
              <w:rPr>
                <w:rFonts w:ascii="Times New Roman" w:eastAsia="Calibri" w:hAnsi="Times New Roman" w:cs="Times New Roman"/>
                <w:sz w:val="20"/>
                <w:szCs w:val="20"/>
              </w:rPr>
              <w:t>перечень институтов инновационного развития и иных организаций, представляющих сведения в Единый реестр конечных получателей государственной поддержки инновационной деятельности, не является полным и системным.</w:t>
            </w:r>
          </w:p>
          <w:p w:rsidR="00C02921" w:rsidRPr="00FB425C" w:rsidRDefault="00C02921" w:rsidP="00FB425C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292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  <w:r w:rsidR="003C45A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C02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r w:rsidRPr="00C02921">
              <w:rPr>
                <w:rFonts w:ascii="Times New Roman" w:hAnsi="Times New Roman" w:cs="Times New Roman"/>
                <w:sz w:val="20"/>
                <w:szCs w:val="20"/>
              </w:rPr>
              <w:t>Целевой уровень показателя «Уровень инновационной активности организаций» и «Число малых технологических компаний», обозначенной в Концепции технологического развития, недостижим с высокой степенью</w:t>
            </w:r>
            <w:r w:rsidR="00FB42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02921">
              <w:rPr>
                <w:rFonts w:ascii="Times New Roman" w:hAnsi="Times New Roman" w:cs="Times New Roman"/>
                <w:sz w:val="20"/>
                <w:szCs w:val="20"/>
              </w:rPr>
              <w:t>риска.</w:t>
            </w:r>
          </w:p>
          <w:p w:rsidR="0016284C" w:rsidRPr="00C02921" w:rsidRDefault="0016284C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16284C" w:rsidRPr="008161D9" w:rsidTr="00E87948">
        <w:trPr>
          <w:trHeight w:val="653"/>
          <w:jc w:val="center"/>
        </w:trPr>
        <w:tc>
          <w:tcPr>
            <w:tcW w:w="503" w:type="dxa"/>
            <w:shd w:val="clear" w:color="000000" w:fill="FFFFFF"/>
          </w:tcPr>
          <w:p w:rsidR="0016284C" w:rsidRPr="00C02921" w:rsidRDefault="0016284C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03" w:type="dxa"/>
            <w:shd w:val="clear" w:color="000000" w:fill="FFFFFF"/>
            <w:noWrap/>
          </w:tcPr>
          <w:p w:rsidR="0016284C" w:rsidRPr="00C02921" w:rsidRDefault="00C02921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hAnsi="Times New Roman" w:cs="Times New Roman"/>
                <w:sz w:val="20"/>
                <w:szCs w:val="20"/>
              </w:rPr>
              <w:t xml:space="preserve">Уполномоченный федеральный орган исполнительной власти и организации осуществляют ведение Единого реестра конечных получателей государственной поддержки инновационной деятельности и </w:t>
            </w:r>
            <w:r w:rsidRPr="00C02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информации в него в соответствии с требованиями Федерального закона от 23 августа 1996 г. № 127-ФЗ «О науке и государственной научно-технической политике»</w:t>
            </w:r>
          </w:p>
        </w:tc>
        <w:tc>
          <w:tcPr>
            <w:tcW w:w="1351" w:type="dxa"/>
            <w:shd w:val="clear" w:color="000000" w:fill="FFFFFF"/>
          </w:tcPr>
          <w:p w:rsidR="0016284C" w:rsidRPr="00C02921" w:rsidRDefault="003C45A0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 выполнено</w:t>
            </w:r>
            <w:r w:rsidR="0016284C" w:rsidRPr="00C02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706" w:type="dxa"/>
            <w:shd w:val="clear" w:color="000000" w:fill="FFFFFF"/>
            <w:noWrap/>
          </w:tcPr>
          <w:p w:rsidR="00C02921" w:rsidRPr="00C02921" w:rsidRDefault="00C02921" w:rsidP="00C0292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</w:t>
            </w:r>
            <w:r w:rsidRPr="00C02921">
              <w:rPr>
                <w:rFonts w:ascii="Times New Roman" w:eastAsia="Calibri" w:hAnsi="Times New Roman" w:cs="Times New Roman"/>
                <w:sz w:val="20"/>
                <w:szCs w:val="20"/>
              </w:rPr>
              <w:t>. В Едином реестре информация об уровне готовности технологий представлена только по 62,5 % инновационных продуктов (7,5 тыс. из 12,0 тыс. продуктов), информация об используемой технологии - по 81,7 % (9,8 тыс. из 12 тыс. продуктов), в результате оценить достаточность мер государственной поддержки инновационных продуктов с точки зрения охвата ими всех уровней готовности технологий, не представляется возможным.</w:t>
            </w:r>
          </w:p>
          <w:p w:rsidR="003C45A0" w:rsidRPr="003C45A0" w:rsidRDefault="00C02921" w:rsidP="003C45A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1.2. </w:t>
            </w:r>
            <w:r w:rsidR="003C45A0"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Едином реестре отсутствует информация об инновационных проектах, продуктах и проектных компаниях по 13 из 29 институтов инновационного развития и организаций, включенных в Перечень институтов инновационного развития и иных организаций, осуществляющих государственную поддержку инновационной деятельности, представляющих сведения в Единый реестр конечных получателей государственной поддержки инновационной деятельности. </w:t>
            </w:r>
          </w:p>
          <w:p w:rsidR="003C45A0" w:rsidRPr="003C45A0" w:rsidRDefault="003C45A0" w:rsidP="003C45A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Представленная в Едином реестре информация о поддержанных АО «МСП Банк» проектах в рамках льготного кредитования высокотехнологичных, инновационных субъектов малого и среднего предпринимательства и малых технологических компаний (226 компаний) не соответствует данным отчетов АО «МСП Банк» о достижении результатов предоставления субсидии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указанные цели (286 компаний</w:t>
            </w: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3C45A0" w:rsidRPr="003C45A0" w:rsidRDefault="003C45A0" w:rsidP="003C45A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информации Минэкономразвития России причиной не включения данных о проектах указанных организаций являются проблемы с актуальностью, 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олнотой и достоверностью данных</w:t>
            </w: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3C45A0" w:rsidRPr="003C45A0" w:rsidRDefault="003C45A0" w:rsidP="003C45A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Едином реестре отсутствует информация по отдельным мерам государственной поддержки:</w:t>
            </w:r>
          </w:p>
          <w:p w:rsidR="003C45A0" w:rsidRPr="003C45A0" w:rsidRDefault="003C45A0" w:rsidP="003C45A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Фонда содействия инновациям за счет средств субсидии из федерального бюджета на поддержку обучающихся в образовательных организациях высшего образования в целях создания стартапа по программе «Студенческий стартап»;</w:t>
            </w:r>
          </w:p>
          <w:p w:rsidR="003C45A0" w:rsidRPr="003C45A0" w:rsidRDefault="003C45A0" w:rsidP="003C45A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 «Платформа НТИ» за счет субсидии в целях организации акселерационных программ поддержки проектных команд и студенческих инициатив для форми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рования инновационных продуктов</w:t>
            </w: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91F52" w:rsidRPr="00C02921" w:rsidRDefault="003C45A0" w:rsidP="003C45A0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4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Отсутствие в Едином реестре данных о проектах, созданных в результате указанных мер государственной поддержки, обусловлено отсутствием реализованной системы защиты персональных данных в сегменте Единого реестра.</w:t>
            </w:r>
          </w:p>
        </w:tc>
      </w:tr>
      <w:tr w:rsidR="0016284C" w:rsidRPr="008161D9" w:rsidTr="00E87948">
        <w:trPr>
          <w:trHeight w:val="653"/>
          <w:jc w:val="center"/>
        </w:trPr>
        <w:tc>
          <w:tcPr>
            <w:tcW w:w="503" w:type="dxa"/>
            <w:shd w:val="clear" w:color="000000" w:fill="FFFFFF"/>
          </w:tcPr>
          <w:p w:rsidR="0016284C" w:rsidRPr="00C02921" w:rsidRDefault="0016284C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603" w:type="dxa"/>
            <w:shd w:val="clear" w:color="000000" w:fill="FFFFFF"/>
            <w:noWrap/>
          </w:tcPr>
          <w:p w:rsidR="0016284C" w:rsidRPr="00FB425C" w:rsidRDefault="00FB425C" w:rsidP="00FB42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Федеральными органами исполнительной власти обеспечена реализация мероприятий в соответствии с Планом мероприятий («дорожной картой»)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«Интеллектуальная собственность»</w:t>
            </w:r>
          </w:p>
        </w:tc>
        <w:tc>
          <w:tcPr>
            <w:tcW w:w="1351" w:type="dxa"/>
            <w:shd w:val="clear" w:color="000000" w:fill="FFFFFF"/>
          </w:tcPr>
          <w:p w:rsidR="0016284C" w:rsidRPr="00C02921" w:rsidRDefault="0016284C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Выполнено не в полной мере</w:t>
            </w:r>
          </w:p>
        </w:tc>
        <w:tc>
          <w:tcPr>
            <w:tcW w:w="9706" w:type="dxa"/>
            <w:shd w:val="clear" w:color="000000" w:fill="FFFFFF"/>
            <w:noWrap/>
          </w:tcPr>
          <w:p w:rsid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Распоряжением Правительства Российский Федерации от 3 августа 2020 г. № 2027-р утвержден План мероприятий («дорожная карта») реализации механизма управления системными изменениями нормативно-правового регулирования предпринимательской деятельности «Трансформация делового климата» «Интеллектуальная собственность» (далее – «дорожная карта»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«Дорожной картой» предусмотрено 30 мероприятий.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Из 28 мероприятий, по которым наступил срок исполнения по состоянию на 1 августа 2024 года, выполнены 23 мероприятия.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 xml:space="preserve">Например, в 2023 году в результате реализации мероприятий: 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расширен режим налогообложения «патентная коробка» по платежам, поступающим за пользование правами на результаты интеллектуальной деятельности (РИД) из-за рубежа</w:t>
            </w:r>
            <w:r w:rsidRPr="00FB425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освобождена от налога на прибыль и НДФЛ безвозмездная передача прав на РИД, созданные в ходе реализации государственного или муниципального контракта;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изменены подходы к соблюдению требования единства изобретения (для авторов РИД в научно-образовательных организациях установлено 50 % - е вознаграждение от дохода при распоряжении правами на РИД).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При этом 5 мероприятий не выполнены в установленный срок: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не внесены изменения в законодательство в части установления возможности передачи автору исключительных прав на результаты интеллектуальной деятельности, созданные государственными научными организациями и образовательными организациями высшего образования за счет средств бюджета, на безвозмездной основе (плановый срок – декабрь 2022 года);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не уточнен порядок действий государственного заказчика по согласованию вопросов приобретения исключительного права на предшествующую интеллектуальную собственность, необходимую для государственных или муниципальных нужд, принадлежащую третьим лицам, или ее использования (плановый срок – октябрь 2023 года);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не внесены изменения в законодательство об отнесении к подсудности арбитражных судов споров в сфере интеллектуальной собственности, стороной спора которых является физическое лицо, и исключения указанных вопросов из подсудности судов общей юрисдикции (плановый срок – июнь 2024 года);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не приняты меры по упрощению порядка предоставления прав использования результатов интеллектуальной деятельности при размещении заказа на выполнение работ (оказание услуг) в рамках государственного оборонного заказа или выполнение работ для государственных или муниципальных нужд (плановый срок – февраль 2024 года);</w:t>
            </w:r>
          </w:p>
          <w:p w:rsidR="00FB425C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не уточнено нормативное правовое регулирование вопросов принадлежности результатов научно-исследовательских, опытно-конструкторских и технологических работ военного, специального и двойного назначения (плановый срок – декабрь 2023 года)</w:t>
            </w:r>
            <w:r w:rsidRPr="00FB425C">
              <w:rPr>
                <w:rStyle w:val="a8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97683" w:rsidRPr="00FB425C" w:rsidRDefault="00FB425C" w:rsidP="00FB425C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hAnsi="Times New Roman" w:cs="Times New Roman"/>
                <w:sz w:val="20"/>
                <w:szCs w:val="20"/>
              </w:rPr>
              <w:t>Невыполнение указанных мероприятий в срок связано с длительным межведомственным согласованием и доработкой проектов нормативных правовых актов.</w:t>
            </w:r>
          </w:p>
        </w:tc>
      </w:tr>
      <w:tr w:rsidR="0016284C" w:rsidRPr="008161D9" w:rsidTr="00E87948">
        <w:trPr>
          <w:trHeight w:val="653"/>
          <w:jc w:val="center"/>
        </w:trPr>
        <w:tc>
          <w:tcPr>
            <w:tcW w:w="503" w:type="dxa"/>
            <w:shd w:val="clear" w:color="000000" w:fill="FFFFFF"/>
          </w:tcPr>
          <w:p w:rsidR="0016284C" w:rsidRPr="00C02921" w:rsidRDefault="0016284C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3603" w:type="dxa"/>
            <w:shd w:val="clear" w:color="000000" w:fill="FFFFFF"/>
            <w:noWrap/>
          </w:tcPr>
          <w:p w:rsidR="0016284C" w:rsidRPr="00FB425C" w:rsidRDefault="00FB425C" w:rsidP="00FB425C">
            <w:pPr>
              <w:pStyle w:val="Default"/>
              <w:jc w:val="both"/>
              <w:rPr>
                <w:sz w:val="20"/>
                <w:szCs w:val="20"/>
              </w:rPr>
            </w:pPr>
            <w:r w:rsidRPr="00FB425C">
              <w:rPr>
                <w:sz w:val="20"/>
                <w:szCs w:val="20"/>
              </w:rPr>
              <w:t>Ф</w:t>
            </w:r>
            <w:r w:rsidRPr="00FB425C">
              <w:rPr>
                <w:color w:val="auto"/>
                <w:sz w:val="20"/>
                <w:szCs w:val="20"/>
              </w:rPr>
              <w:t xml:space="preserve">едеральными органами исполнительной власти осуществляется контроль за деятельностью по распределению и закреплению прав на результаты интеллектуальной деятельности, проведению патентных исследований, обеспечению правовой охраны результатов интеллектуальной деятельности, осуществлению государственного учета результатов </w:t>
            </w:r>
            <w:r w:rsidRPr="00FB425C">
              <w:rPr>
                <w:color w:val="auto"/>
                <w:sz w:val="20"/>
                <w:szCs w:val="20"/>
              </w:rPr>
              <w:lastRenderedPageBreak/>
              <w:t>интеллектуальной деятельности, распоряжению правами Российской Федерации на результаты интеллектуальной деятельности, использованию</w:t>
            </w:r>
            <w:r w:rsidRPr="00FB425C">
              <w:rPr>
                <w:sz w:val="20"/>
                <w:szCs w:val="20"/>
              </w:rPr>
              <w:t xml:space="preserve"> </w:t>
            </w:r>
            <w:r w:rsidRPr="00FB425C">
              <w:rPr>
                <w:color w:val="auto"/>
                <w:sz w:val="20"/>
                <w:szCs w:val="20"/>
              </w:rPr>
              <w:t>результатов интеллектуальной деятельности, права на которые принадлежат Российской Федерации, обеспечению защиты прав Российской Федерации на результаты интеллектуальной деятельности в соответствии с требованиями, установленными Гражданским кодексом Российской Федерации</w:t>
            </w:r>
          </w:p>
        </w:tc>
        <w:tc>
          <w:tcPr>
            <w:tcW w:w="1351" w:type="dxa"/>
            <w:shd w:val="clear" w:color="000000" w:fill="FFFFFF"/>
          </w:tcPr>
          <w:p w:rsidR="0016284C" w:rsidRPr="00C02921" w:rsidRDefault="000B5EAB" w:rsidP="00C02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02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Выполнено</w:t>
            </w:r>
            <w:r w:rsidR="00FB42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не в полной мере</w:t>
            </w:r>
          </w:p>
        </w:tc>
        <w:tc>
          <w:tcPr>
            <w:tcW w:w="9706" w:type="dxa"/>
            <w:shd w:val="clear" w:color="000000" w:fill="FFFFFF"/>
            <w:noWrap/>
          </w:tcPr>
          <w:p w:rsidR="00FB425C" w:rsidRPr="00FB425C" w:rsidRDefault="00FB425C" w:rsidP="003C45A0">
            <w:pPr>
              <w:tabs>
                <w:tab w:val="left" w:pos="28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>В соответствии с данными, представленными Роспатентом по результатам проведенных в 131 организации проверок,</w:t>
            </w:r>
            <w:r w:rsidR="00E87948"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 2019 – 2023 годах имелись факты несоблюдения законодательства в сфере правовой охраны и использования </w:t>
            </w:r>
            <w:r w:rsidR="007B20C2">
              <w:rPr>
                <w:rFonts w:ascii="Times New Roman" w:eastAsia="Calibri" w:hAnsi="Times New Roman" w:cs="Times New Roman"/>
                <w:sz w:val="20"/>
                <w:szCs w:val="20"/>
              </w:rPr>
              <w:t>РИД</w:t>
            </w: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>, созданных с использованием средств федерального бюджета</w:t>
            </w:r>
            <w:r w:rsidR="003C45A0" w:rsidRPr="003C45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(около 40 % организаций)</w:t>
            </w: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>, в том числе:</w:t>
            </w:r>
          </w:p>
          <w:p w:rsidR="00FB425C" w:rsidRPr="00FB425C" w:rsidRDefault="00FB425C" w:rsidP="003C45A0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>непроведения исполнителями государственных контрактов патентных исследований на выявление охраноспособных РИД или проведение их не в соответствии с установленными требованиями - в 49 организациях;</w:t>
            </w:r>
          </w:p>
          <w:p w:rsidR="00FB425C" w:rsidRPr="00FB425C" w:rsidRDefault="00FB425C" w:rsidP="003C45A0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>неуведомления исполнителями работ государственных заказчиков о создании РИД, способных к правовой охране, с обоснованием предлагаемого порядка их использования и предложениями по их правовой охране -  в 22 организациях;</w:t>
            </w:r>
          </w:p>
          <w:p w:rsidR="00FB425C" w:rsidRPr="00FB425C" w:rsidRDefault="00FB425C" w:rsidP="003C45A0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необеспечения правовой охраны 41 РИД, созданного в результате исполнения государственных контрактов, договоров, соглашений о предоставлении субсидий;</w:t>
            </w:r>
          </w:p>
          <w:p w:rsidR="00FB425C" w:rsidRPr="00FB425C" w:rsidRDefault="00FB425C" w:rsidP="003C45A0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>неосуществления государственного учета РИД в установленном порядке - в 49 организациях;</w:t>
            </w:r>
          </w:p>
          <w:p w:rsidR="0016284C" w:rsidRPr="003C45A0" w:rsidRDefault="00FB425C" w:rsidP="00E87948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B425C">
              <w:rPr>
                <w:rFonts w:ascii="Times New Roman" w:eastAsia="Calibri" w:hAnsi="Times New Roman" w:cs="Times New Roman"/>
                <w:sz w:val="20"/>
                <w:szCs w:val="20"/>
              </w:rPr>
              <w:t>незаключения с индустриальными партнерами лицензионных договоров о предоставлении права использования РИД, созданных по условиям 54 государственных контрактов, договоров и соглашений о предоставлении субсидий</w:t>
            </w:r>
            <w:r w:rsidR="007B20C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E87948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.</w:t>
            </w:r>
          </w:p>
        </w:tc>
      </w:tr>
    </w:tbl>
    <w:p w:rsidR="00427BBA" w:rsidRDefault="00427BBA" w:rsidP="00A45AF7">
      <w:pPr>
        <w:spacing w:after="0" w:line="276" w:lineRule="auto"/>
        <w:ind w:left="1276" w:hanging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780A" w:rsidRDefault="00B9780A" w:rsidP="003C45A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39D" w:rsidRPr="00B82785" w:rsidRDefault="0038739D" w:rsidP="00B82785">
      <w:pPr>
        <w:pStyle w:val="Default"/>
        <w:jc w:val="center"/>
        <w:rPr>
          <w:b/>
          <w:bCs/>
        </w:rPr>
      </w:pPr>
      <w:r w:rsidRPr="00B82785">
        <w:rPr>
          <w:rFonts w:eastAsia="Times New Roman"/>
          <w:b/>
          <w:lang w:eastAsia="ru-RU"/>
        </w:rPr>
        <w:t xml:space="preserve">Цель 2. </w:t>
      </w:r>
      <w:r w:rsidR="00B82785" w:rsidRPr="00B82785">
        <w:rPr>
          <w:b/>
          <w:bCs/>
        </w:rPr>
        <w:t>Оценить результативность мер по государственной поддержке инновационной инфра</w:t>
      </w:r>
      <w:r w:rsidR="00B82785">
        <w:rPr>
          <w:b/>
          <w:bCs/>
        </w:rPr>
        <w:t>структуры (аудит эффективности)</w:t>
      </w:r>
    </w:p>
    <w:p w:rsidR="00B82785" w:rsidRPr="00B82785" w:rsidRDefault="00B82785" w:rsidP="00B82785">
      <w:pPr>
        <w:pStyle w:val="Defaul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397"/>
        <w:gridCol w:w="2085"/>
        <w:gridCol w:w="6504"/>
        <w:gridCol w:w="1351"/>
        <w:gridCol w:w="1623"/>
      </w:tblGrid>
      <w:tr w:rsidR="0080257D" w:rsidRPr="00A85921" w:rsidTr="00E87948">
        <w:trPr>
          <w:trHeight w:val="653"/>
          <w:tblHeader/>
          <w:jc w:val="center"/>
        </w:trPr>
        <w:tc>
          <w:tcPr>
            <w:tcW w:w="0" w:type="auto"/>
            <w:shd w:val="clear" w:color="000000" w:fill="FFFFFF"/>
            <w:vAlign w:val="center"/>
            <w:hideMark/>
          </w:tcPr>
          <w:p w:rsidR="00E42E9A" w:rsidRPr="00A85921" w:rsidRDefault="00E42E9A" w:rsidP="008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97" w:type="dxa"/>
            <w:shd w:val="clear" w:color="000000" w:fill="FFFFFF"/>
            <w:noWrap/>
            <w:vAlign w:val="center"/>
            <w:hideMark/>
          </w:tcPr>
          <w:p w:rsidR="00E42E9A" w:rsidRPr="00A85921" w:rsidRDefault="00E42E9A" w:rsidP="008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2142" w:type="dxa"/>
            <w:shd w:val="clear" w:color="000000" w:fill="FFFFFF"/>
            <w:vAlign w:val="center"/>
            <w:hideMark/>
          </w:tcPr>
          <w:p w:rsidR="00E42E9A" w:rsidRPr="00A85921" w:rsidRDefault="00E42E9A" w:rsidP="008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Оценка выполнения</w:t>
            </w:r>
          </w:p>
        </w:tc>
        <w:tc>
          <w:tcPr>
            <w:tcW w:w="6504" w:type="dxa"/>
            <w:shd w:val="clear" w:color="000000" w:fill="FFFFFF"/>
            <w:noWrap/>
            <w:vAlign w:val="center"/>
            <w:hideMark/>
          </w:tcPr>
          <w:p w:rsidR="00E42E9A" w:rsidRPr="00A85921" w:rsidRDefault="00E42E9A" w:rsidP="008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Описание результата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:rsidR="00E42E9A" w:rsidRPr="00A85921" w:rsidRDefault="00E42E9A" w:rsidP="008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Значение оценки выполнения</w:t>
            </w:r>
          </w:p>
        </w:tc>
        <w:tc>
          <w:tcPr>
            <w:tcW w:w="0" w:type="auto"/>
            <w:shd w:val="clear" w:color="000000" w:fill="FFFFFF"/>
            <w:vAlign w:val="center"/>
            <w:hideMark/>
          </w:tcPr>
          <w:p w:rsidR="00E42E9A" w:rsidRPr="00A85921" w:rsidRDefault="00E42E9A" w:rsidP="0080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Вес критерия в общей оценке эффективности</w:t>
            </w:r>
          </w:p>
        </w:tc>
      </w:tr>
      <w:tr w:rsidR="0080257D" w:rsidRPr="00A85921" w:rsidTr="0080257D">
        <w:trPr>
          <w:trHeight w:val="653"/>
          <w:jc w:val="center"/>
        </w:trPr>
        <w:tc>
          <w:tcPr>
            <w:tcW w:w="0" w:type="auto"/>
            <w:shd w:val="clear" w:color="000000" w:fill="FFFFFF"/>
          </w:tcPr>
          <w:p w:rsidR="00E42E9A" w:rsidRPr="00A85921" w:rsidRDefault="00E42E9A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97" w:type="dxa"/>
            <w:shd w:val="clear" w:color="000000" w:fill="FFFFFF"/>
            <w:noWrap/>
          </w:tcPr>
          <w:p w:rsidR="00E42E9A" w:rsidRPr="00A85921" w:rsidRDefault="003C45A0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Результаты и показатели реализации мер государственной поддержки инновационной инфраструктуры достигнуты</w:t>
            </w:r>
          </w:p>
        </w:tc>
        <w:tc>
          <w:tcPr>
            <w:tcW w:w="2142" w:type="dxa"/>
            <w:shd w:val="clear" w:color="000000" w:fill="FFFFFF"/>
          </w:tcPr>
          <w:p w:rsidR="00E42E9A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Большинство запланированных показателей достигнуто, однако имеются проблемные моменты</w:t>
            </w:r>
          </w:p>
        </w:tc>
        <w:tc>
          <w:tcPr>
            <w:tcW w:w="6504" w:type="dxa"/>
            <w:shd w:val="clear" w:color="000000" w:fill="FFFFFF"/>
            <w:noWrap/>
          </w:tcPr>
          <w:p w:rsidR="002C36FA" w:rsidRPr="00A85921" w:rsidRDefault="00773FA6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  <w:r w:rsidR="00485CC2"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C36FA"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Запланированные значения целевых показателей эффективности </w:t>
            </w:r>
            <w:r w:rsidR="00485CC2"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функционирования ОЭЗ ТВТ достигнуты.</w:t>
            </w:r>
          </w:p>
          <w:p w:rsidR="00485CC2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этом н</w:t>
            </w:r>
            <w:r w:rsidR="00485CC2"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есмотря на инвестиционную привлекательность особых экономических зон </w:t>
            </w:r>
            <w:r w:rsidR="008224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ОЭЗ ТВТ </w:t>
            </w:r>
            <w:r w:rsidR="00485CC2"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управляющих компаний, созданных в форме акционерных обществ, в среднем убыточна.</w:t>
            </w:r>
          </w:p>
          <w:p w:rsidR="00B617B0" w:rsidRPr="00A85921" w:rsidRDefault="00485CC2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состоянию на 31 декабря 2023 года непокрытый убыток образовался у трех из 6 управляющих компаний, созданных в форме акционерных обществ, в размере 15 388,3 млн рублей. </w:t>
            </w:r>
          </w:p>
          <w:p w:rsidR="00485CC2" w:rsidRPr="00A85921" w:rsidRDefault="00773FA6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  <w:r w:rsidR="00485CC2"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>Отчеты о реализации стратегий ИНТЦ не содержат полной информации о достижении показателей реализации стратегий их развития</w:t>
            </w:r>
            <w:r w:rsidR="00E87948">
              <w:t>.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По 4 ИНТЦ 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Стратегиях ИНТЦ отсутствовали показатели на 2019 - 2023 годы. </w:t>
            </w:r>
            <w:r w:rsidR="00485CC2"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данными годовой бухгалтерской отчетности по состоянию на 31 декабря 2023 года 8 из 11 ИНТЦ являются убыточными. Непокрытый убыток указанных компаний в совокупном объеме составил 77,9 млн рублей.</w:t>
            </w:r>
          </w:p>
          <w:p w:rsidR="00485CC2" w:rsidRPr="00A85921" w:rsidRDefault="00773FA6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По остальным </w:t>
            </w:r>
            <w:r w:rsidR="00576543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18 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>мерам государственной поддержки показатели реализации</w:t>
            </w:r>
            <w:r w:rsidR="00576543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также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достигнуты. Вместе с тем имеются </w:t>
            </w:r>
            <w:r w:rsidR="00576543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отдельные 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>проблемные моменты</w:t>
            </w:r>
            <w:r w:rsidR="006A30B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85CC2" w:rsidRPr="00A85921" w:rsidRDefault="00773FA6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>По состоянию на 1 октября 2024 года фактические значения 2 из 4 показателей ФП «Платформа» превысили их плановые значения на 2024 год в 1,2 - 1,3 раза. В 2023 году фактические значения превысили плановые по 3 из 4 показателей в 1,5 - 2 раза.</w:t>
            </w:r>
          </w:p>
          <w:p w:rsidR="00485CC2" w:rsidRPr="00A85921" w:rsidRDefault="00773FA6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>Внебюджетное финансирование в рамках мер государственной поддержки инновационной инфраструктуры в достаточных объемах не привлекается.</w:t>
            </w:r>
          </w:p>
          <w:p w:rsidR="00485CC2" w:rsidRPr="00A85921" w:rsidRDefault="00773FA6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>В соответствии с данными Единого реестра за 2017 - 2024 годы на реализацию инновационных проектов привлечено внебюджетное финансирование в размере 85 872,4 млн рублей, что на 28,3 % меньше финансирования из федерального бюджета.</w:t>
            </w:r>
          </w:p>
          <w:p w:rsidR="00485CC2" w:rsidRPr="00A85921" w:rsidRDefault="00485CC2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4) Запланированные результаты в части привлечения внебюджетного финансирования также не достигнуты отдельными получателями грантов ФП «Платформа».</w:t>
            </w:r>
          </w:p>
          <w:p w:rsidR="00485CC2" w:rsidRPr="00A85921" w:rsidRDefault="00485CC2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Например, в рамках государственной поддержки акселерационных программ по 12 договорам 2023 года из 151 получатели грантов привлекли внебюджетное финансирование на 28,2 млн рублей меньше планового показателя, что составляет 62,4 % планового показателя по указанным договорам.</w:t>
            </w:r>
          </w:p>
          <w:p w:rsidR="00485CC2" w:rsidRPr="00A85921" w:rsidRDefault="00485CC2" w:rsidP="00A85921">
            <w:pPr>
              <w:tabs>
                <w:tab w:val="left" w:pos="2868"/>
              </w:tabs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5) Достижение основного показателя по количеству технологических компаний малой и средней капитализации, вышедших на публичное размещение акций, было запланировано ФП «Взлет» только на 2030 год в количестве 30 компаний.</w:t>
            </w:r>
          </w:p>
          <w:p w:rsidR="00485CC2" w:rsidRPr="00A85921" w:rsidRDefault="00773FA6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85CC2" w:rsidRPr="00A85921">
              <w:rPr>
                <w:rFonts w:ascii="Times New Roman" w:hAnsi="Times New Roman" w:cs="Times New Roman"/>
                <w:sz w:val="20"/>
                <w:szCs w:val="20"/>
              </w:rPr>
              <w:t>) Отдельные результаты ФП «Взлет» достигнуты позже установленного срока.</w:t>
            </w:r>
          </w:p>
          <w:p w:rsidR="00485CC2" w:rsidRPr="00A85921" w:rsidRDefault="00485CC2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Льготные кредиты 17 компаниям предоставлены позже установленного срока (в 2023 году вместо 2022 года).</w:t>
            </w:r>
          </w:p>
          <w:p w:rsidR="002C36FA" w:rsidRPr="00A85921" w:rsidRDefault="00485CC2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Геополитическая ситуация существенно повлияла на сокращение инвестиционных программ клиентов банков и запрос на предоставление инвестиционных кредитов в 2022 году оказался ниже прогнозируемого. Во второй половине 2022 года высокотехнологичные компании столкнулись с последствиями санкционного давления, разрыва производственных и технологических цепочек с компаниями из недружественных стран, что привело к переносу ранее заявленных инвестиционных проектов и отказу от заключения кредитных договоров.</w:t>
            </w:r>
          </w:p>
          <w:p w:rsidR="00773FA6" w:rsidRPr="00A85921" w:rsidRDefault="00773FA6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576543" w:rsidRPr="00A85921">
              <w:rPr>
                <w:rFonts w:ascii="Times New Roman" w:hAnsi="Times New Roman" w:cs="Times New Roman"/>
                <w:sz w:val="20"/>
                <w:szCs w:val="20"/>
              </w:rPr>
              <w:t>Вместе с тем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6543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регионы, в которых создано наибольшее количество объектов инновационной инфраструктуры, являются 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лидерами по основным показателям в сфере инновационного развития</w:t>
            </w:r>
            <w:r w:rsidR="00576543" w:rsidRPr="00A859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9" w:type="dxa"/>
            <w:shd w:val="clear" w:color="000000" w:fill="FFFFFF"/>
          </w:tcPr>
          <w:p w:rsidR="00E42E9A" w:rsidRPr="00A85921" w:rsidRDefault="00773FA6" w:rsidP="00C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</w:t>
            </w:r>
            <w:r w:rsidR="00822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shd w:val="clear" w:color="000000" w:fill="FFFFFF"/>
          </w:tcPr>
          <w:p w:rsidR="00E42E9A" w:rsidRPr="00A85921" w:rsidRDefault="006B6F6C" w:rsidP="00C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822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0257D" w:rsidRPr="00A85921" w:rsidTr="0080257D">
        <w:trPr>
          <w:trHeight w:val="653"/>
          <w:jc w:val="center"/>
        </w:trPr>
        <w:tc>
          <w:tcPr>
            <w:tcW w:w="0" w:type="auto"/>
            <w:shd w:val="clear" w:color="000000" w:fill="FFFFFF"/>
          </w:tcPr>
          <w:p w:rsidR="00E42E9A" w:rsidRPr="00A85921" w:rsidRDefault="00E42E9A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397" w:type="dxa"/>
            <w:shd w:val="clear" w:color="000000" w:fill="FFFFFF"/>
            <w:noWrap/>
          </w:tcPr>
          <w:p w:rsidR="00E42E9A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Обеспечен рост доходов от реализации или коммерциализации результатов интеллектуальной деятельности</w:t>
            </w:r>
          </w:p>
        </w:tc>
        <w:tc>
          <w:tcPr>
            <w:tcW w:w="2142" w:type="dxa"/>
            <w:shd w:val="clear" w:color="000000" w:fill="FFFFFF"/>
          </w:tcPr>
          <w:p w:rsidR="00E42E9A" w:rsidRPr="00A85921" w:rsidRDefault="005D382C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Имеются риски отсутствия роста доходов от реализации или коммерциализации РИД</w:t>
            </w:r>
          </w:p>
        </w:tc>
        <w:tc>
          <w:tcPr>
            <w:tcW w:w="6504" w:type="dxa"/>
            <w:shd w:val="clear" w:color="000000" w:fill="FFFFFF"/>
            <w:noWrap/>
          </w:tcPr>
          <w:p w:rsidR="00576543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Существуют риски отсутствия роста доходов от реализации или коммерциализации РИД </w:t>
            </w:r>
            <w:r w:rsidR="00B617B0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университетских стартапов 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в рамках ФП «Платформа».</w:t>
            </w:r>
          </w:p>
          <w:p w:rsidR="00576543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Лицензионные соглашения по результатам интеллектуальной деятельности, созданным в рамках реализации программы «студенческий стартап» и поддержки университетских стартап-студий не заключались</w:t>
            </w:r>
            <w:r w:rsidR="007B20C2">
              <w:rPr>
                <w:rFonts w:ascii="Times New Roman" w:hAnsi="Times New Roman" w:cs="Times New Roman"/>
                <w:sz w:val="20"/>
                <w:szCs w:val="20"/>
              </w:rPr>
              <w:t>. С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озданные </w:t>
            </w:r>
            <w:r w:rsidR="007B20C2">
              <w:rPr>
                <w:rFonts w:ascii="Times New Roman" w:hAnsi="Times New Roman" w:cs="Times New Roman"/>
                <w:sz w:val="20"/>
                <w:szCs w:val="20"/>
              </w:rPr>
              <w:t>РИД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, как правило, применялись для внутреннего использования.</w:t>
            </w:r>
          </w:p>
          <w:p w:rsidR="00576543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«студенческий стартап» по линии Фонда содействия инновациям по состоянию на 1 января 2024 года созданы 109 </w:t>
            </w:r>
            <w:r w:rsidR="007B20C2">
              <w:rPr>
                <w:rFonts w:ascii="Times New Roman" w:hAnsi="Times New Roman" w:cs="Times New Roman"/>
                <w:sz w:val="20"/>
                <w:szCs w:val="20"/>
              </w:rPr>
              <w:t>РИД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, из которых 76,1 % являются базами данных и программами для ЭВМ. Изобретения и полезные модели составляют только 20,2 % созданных результатов интеллектуальной деятельности. </w:t>
            </w:r>
          </w:p>
          <w:p w:rsidR="00576543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мер государственной поддержки университетских стартап-студий по линии ФИОП в 2022 – 2023 годах созданы 73 РИД, из которых 78,1 % являются ноу-хау и 21,9 % - программы для ЭВМ. </w:t>
            </w:r>
          </w:p>
          <w:p w:rsidR="00576543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Лицензионные соглашения по указанным РИД также не заключались.</w:t>
            </w:r>
          </w:p>
          <w:p w:rsidR="00576543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В рамках ФП «Платформа» по состоянию на 1 октября 2024 года университетскими стартап-проектами созданы 290 РИД</w:t>
            </w:r>
            <w:r w:rsidR="00A47948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(плановые показатели по количеству созданных РИД достигнуты)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. При этом количество созданных университетских стартап-проектов составляет 25,1 тыс. единиц, из которых подавляющую долю составляют стартап-проекты акселерационных программ (90,4 %).</w:t>
            </w:r>
          </w:p>
          <w:p w:rsidR="00576543" w:rsidRPr="00A85921" w:rsidRDefault="00576543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Акселерационные программы направлены на вовлечение студентов и преподавателей в технологическое предпринимательство, формирование предпринимательских компетенций, генерацию идей, командообразование и первичную проверку бизнес-гипотез. Формирование и регистрация РИД не является целью акселерационных программ. Нормативными правовыми актами, регулирующими реализацию ФП «Платформа», не предусмотрены полномочия в части мониторинга информации по РИД, зарегистрированным стартап-проектами.</w:t>
            </w:r>
          </w:p>
          <w:p w:rsidR="00A47948" w:rsidRPr="00A85921" w:rsidRDefault="00A47948" w:rsidP="00A85921">
            <w:pPr>
              <w:tabs>
                <w:tab w:val="left" w:pos="2868"/>
              </w:tabs>
              <w:spacing w:after="0" w:line="240" w:lineRule="auto"/>
              <w:ind w:firstLine="284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>Наблюдается динамика снижения количества зарегистрированных распоряжений исключительным правом на изобретения, полезные модели, промышленные образцы по договорам об отчуждении, о предоставлении права пользования и залога (с 3 257 в 2019 год</w:t>
            </w:r>
            <w:r w:rsidR="006C132E">
              <w:rPr>
                <w:rFonts w:ascii="Times New Roman" w:eastAsia="Calibri" w:hAnsi="Times New Roman" w:cs="Times New Roman"/>
                <w:sz w:val="20"/>
                <w:szCs w:val="20"/>
              </w:rPr>
              <w:t>у</w:t>
            </w: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2 993 в 2023 году).</w:t>
            </w:r>
          </w:p>
          <w:p w:rsidR="00E42E9A" w:rsidRPr="00A85921" w:rsidRDefault="00E42E9A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000000" w:fill="FFFFFF"/>
          </w:tcPr>
          <w:p w:rsidR="00E42E9A" w:rsidRPr="00A85921" w:rsidRDefault="00822404" w:rsidP="00C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shd w:val="clear" w:color="000000" w:fill="FFFFFF"/>
          </w:tcPr>
          <w:p w:rsidR="00E42E9A" w:rsidRPr="00A85921" w:rsidRDefault="000C3806" w:rsidP="00C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8224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0257D" w:rsidRPr="00A85921" w:rsidTr="0080257D">
        <w:trPr>
          <w:trHeight w:val="653"/>
          <w:jc w:val="center"/>
        </w:trPr>
        <w:tc>
          <w:tcPr>
            <w:tcW w:w="0" w:type="auto"/>
            <w:shd w:val="clear" w:color="000000" w:fill="FFFFFF"/>
          </w:tcPr>
          <w:p w:rsidR="00E42E9A" w:rsidRPr="00A85921" w:rsidRDefault="00E42E9A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397" w:type="dxa"/>
            <w:shd w:val="clear" w:color="000000" w:fill="FFFFFF"/>
            <w:noWrap/>
          </w:tcPr>
          <w:p w:rsidR="00E42E9A" w:rsidRPr="00A85921" w:rsidRDefault="00B617B0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Увеличена численность работников, научных работников, профессорского-преподавательского состава центров поддержки инновационной инфраструкту</w:t>
            </w:r>
            <w:r w:rsidR="00A85921" w:rsidRPr="00A85921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</w:p>
        </w:tc>
        <w:tc>
          <w:tcPr>
            <w:tcW w:w="2142" w:type="dxa"/>
            <w:shd w:val="clear" w:color="000000" w:fill="FFFFFF"/>
          </w:tcPr>
          <w:p w:rsidR="00E42E9A" w:rsidRPr="00A85921" w:rsidRDefault="00B617B0" w:rsidP="00A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Выполнено не в полной мере</w:t>
            </w:r>
            <w:r w:rsidR="005D38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(при этом имеются объективные причины, по отдельным показателям наблюдается рост)</w:t>
            </w:r>
          </w:p>
        </w:tc>
        <w:tc>
          <w:tcPr>
            <w:tcW w:w="6504" w:type="dxa"/>
            <w:shd w:val="clear" w:color="000000" w:fill="FFFFFF"/>
            <w:noWrap/>
          </w:tcPr>
          <w:p w:rsidR="00B617B0" w:rsidRPr="004F769A" w:rsidRDefault="00466FB1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F769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B617B0" w:rsidRPr="004F769A">
              <w:rPr>
                <w:rFonts w:ascii="Times New Roman" w:hAnsi="Times New Roman" w:cs="Times New Roman"/>
                <w:sz w:val="20"/>
                <w:szCs w:val="20"/>
              </w:rPr>
              <w:t xml:space="preserve">За 2019 - 2023 годы снизилась численность профессорско-преподавательского состава </w:t>
            </w:r>
            <w:r w:rsidR="00B617B0" w:rsidRPr="004F769A">
              <w:rPr>
                <w:rFonts w:ascii="Times New Roman" w:eastAsia="Calibri" w:hAnsi="Times New Roman" w:cs="Times New Roman"/>
                <w:sz w:val="20"/>
                <w:szCs w:val="20"/>
              </w:rPr>
              <w:t>автономной некоммерческой образовательной организации высшего образования «Сколковский институт науки и технологий»</w:t>
            </w:r>
            <w:r w:rsidR="00E87948" w:rsidRPr="004F7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617B0" w:rsidRPr="004F76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(далее - Сколтех) </w:t>
            </w:r>
            <w:r w:rsidR="00B617B0" w:rsidRPr="004F769A">
              <w:rPr>
                <w:rFonts w:ascii="Times New Roman" w:hAnsi="Times New Roman" w:cs="Times New Roman"/>
                <w:sz w:val="20"/>
                <w:szCs w:val="20"/>
              </w:rPr>
              <w:t>с 141 человека в 2019 году до 134 человек в 2023 году, что обусловлено введением блокирующих санкций, которые ввели запрет на работу в Сколтехе для граждан США. В частности, в 2022-2023 годах Сколтех покинули 47 работников из числа профессорско-преподавательского состава. Сколтех проводил конкурсы на замещение должностей, благодаря чему к концу 2023 года в значительной степени удалось восстановить численность профессоров.</w:t>
            </w:r>
          </w:p>
          <w:p w:rsidR="00B617B0" w:rsidRPr="004F769A" w:rsidRDefault="00B617B0" w:rsidP="00B67B5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69A">
              <w:rPr>
                <w:rFonts w:ascii="Times New Roman" w:hAnsi="Times New Roman" w:cs="Times New Roman"/>
                <w:sz w:val="20"/>
                <w:szCs w:val="20"/>
              </w:rPr>
              <w:t>При этом выросло количество научных работников Сколтеха с 396 до 691 человека.</w:t>
            </w:r>
          </w:p>
          <w:p w:rsidR="00E42E9A" w:rsidRPr="00A85921" w:rsidRDefault="004F769A" w:rsidP="006C132E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769A">
              <w:rPr>
                <w:rFonts w:ascii="Times New Roman" w:hAnsi="Times New Roman" w:cs="Times New Roman"/>
                <w:sz w:val="20"/>
                <w:szCs w:val="20"/>
              </w:rPr>
              <w:t>2. Численность персонала, занятого научными исследованиями и разработками, в субъектах Российской Федерации, в которых созданы ОЭЗ ТВТ, в целом снизилась с 396,6 тыс. человек в 2019 году до 395,1 тыс. человек в 2023 году, численность исследователей, имеющих ученую степень, - с 61,7 тыс. человек до 57,4 тыс. человек. Рост указанных показателей наблюдался только в Республике Татарстан</w:t>
            </w:r>
            <w:r w:rsidR="00567605">
              <w:rPr>
                <w:rFonts w:ascii="Times New Roman" w:hAnsi="Times New Roman" w:cs="Times New Roman"/>
                <w:sz w:val="20"/>
                <w:szCs w:val="20"/>
              </w:rPr>
              <w:t xml:space="preserve"> и в Томской области</w:t>
            </w:r>
          </w:p>
        </w:tc>
        <w:tc>
          <w:tcPr>
            <w:tcW w:w="1289" w:type="dxa"/>
            <w:shd w:val="clear" w:color="000000" w:fill="FFFFFF"/>
          </w:tcPr>
          <w:p w:rsidR="00E42E9A" w:rsidRPr="00A85921" w:rsidRDefault="00466FB1" w:rsidP="00C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shd w:val="clear" w:color="000000" w:fill="FFFFFF"/>
          </w:tcPr>
          <w:p w:rsidR="00E42E9A" w:rsidRPr="00A85921" w:rsidRDefault="006B6F6C" w:rsidP="00C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47948"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0257D" w:rsidRPr="00A85921" w:rsidTr="00822404">
        <w:trPr>
          <w:trHeight w:val="6112"/>
          <w:jc w:val="center"/>
        </w:trPr>
        <w:tc>
          <w:tcPr>
            <w:tcW w:w="0" w:type="auto"/>
            <w:shd w:val="clear" w:color="000000" w:fill="FFFFFF"/>
          </w:tcPr>
          <w:p w:rsidR="00E42E9A" w:rsidRPr="00A85921" w:rsidRDefault="00E42E9A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397" w:type="dxa"/>
            <w:shd w:val="clear" w:color="000000" w:fill="FFFFFF"/>
            <w:noWrap/>
          </w:tcPr>
          <w:p w:rsidR="00E42E9A" w:rsidRPr="00A85921" w:rsidRDefault="00A47948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>Увеличена численность лиц, прошедших обучение по разработанным в результате государственной поддержки инновационной инфраструктуры программам</w:t>
            </w:r>
          </w:p>
        </w:tc>
        <w:tc>
          <w:tcPr>
            <w:tcW w:w="2142" w:type="dxa"/>
            <w:shd w:val="clear" w:color="000000" w:fill="FFFFFF"/>
          </w:tcPr>
          <w:p w:rsidR="00E42E9A" w:rsidRPr="00A85921" w:rsidRDefault="004A4230" w:rsidP="00355516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Выполнено не </w:t>
            </w:r>
            <w:r w:rsidR="003555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</w:t>
            </w: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полной мере</w:t>
            </w:r>
            <w:r w:rsidR="005D38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(при этом имеются объективные причины)</w:t>
            </w:r>
          </w:p>
        </w:tc>
        <w:tc>
          <w:tcPr>
            <w:tcW w:w="6504" w:type="dxa"/>
            <w:shd w:val="clear" w:color="000000" w:fill="FFFFFF"/>
            <w:noWrap/>
          </w:tcPr>
          <w:p w:rsidR="00A47948" w:rsidRPr="00A85921" w:rsidRDefault="00037AE6" w:rsidP="00A85921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1. </w:t>
            </w:r>
            <w:r w:rsidR="00A47948"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>Несмотря на значительное перевыполнение планового показателя, установленного соглашением о предоставлении субсидии ФИОП, численность лиц, прошедших в текущем финансовом году обучение по разработанным при поддержке ФИОП дополнительным образовательным программам, в том числе с применением электронного обучения и дистанционных образовательных технологий, снизилась с 762 в 2020 году</w:t>
            </w:r>
            <w:r w:rsidR="00466FB1">
              <w:t xml:space="preserve"> </w:t>
            </w:r>
            <w:r w:rsidR="00A47948"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>до 158 в 2023 году. Плановые показатели также снизились с 460 в 2020 году до 90 в 2023 году.</w:t>
            </w:r>
          </w:p>
          <w:p w:rsidR="00A47948" w:rsidRPr="00A85921" w:rsidRDefault="00037AE6" w:rsidP="00A85921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2. </w:t>
            </w:r>
            <w:r w:rsidR="00A47948"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Снизилось количество детей и молодежи, вовлеченных в проекты и программы ФИОП с 47,5 тыс. человек в 2022 году до 26,9 тыс. человек в 2023 году при плановом показателе 26 тыс. человек. </w:t>
            </w:r>
          </w:p>
          <w:p w:rsidR="00A47948" w:rsidRPr="00A85921" w:rsidRDefault="00A47948" w:rsidP="00A85921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>Снижение показателей связано с уменьшением бюджетных ассигнований на указанные цели, а также высоким спросом на программы дистанционного обучения в 2020 году по причине коронавирусной инфекции и последующим его снижением.</w:t>
            </w:r>
          </w:p>
          <w:p w:rsidR="00A47948" w:rsidRPr="00A85921" w:rsidRDefault="00037AE6" w:rsidP="00A85921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3. </w:t>
            </w:r>
            <w:r w:rsidR="00A47948"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Несмотря на то, что в 2023 году численность выпускников Сколтеха увеличилась на 67 человек по сравнению с 2019 годом (252 человека) и составила 319 человек, начиная с 2020 года наблюдается тенденция к снижению количества выпускников (с 365 человек в 2020 году до 319 человек в 2023 году). По информации </w:t>
            </w:r>
            <w:r w:rsidR="00850E8F">
              <w:rPr>
                <w:rFonts w:ascii="Times New Roman" w:eastAsia="Calibri" w:hAnsi="Times New Roman" w:cs="Times New Roman"/>
                <w:sz w:val="20"/>
                <w:szCs w:val="20"/>
              </w:rPr>
              <w:t>ф</w:t>
            </w:r>
            <w:r w:rsidR="00A47948"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>онда «Сколково» данный факт связан с академическими отпусками и отчислениями.</w:t>
            </w:r>
          </w:p>
          <w:p w:rsidR="00466FB1" w:rsidRPr="00A85921" w:rsidRDefault="00466FB1" w:rsidP="00466F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Плановый показатель «Численность обучающихся и работников образовательных организаций высшего образования, вовлеченных в технологическое предпринимательство» федерального проекта «Платформа университетского технологического предпринимательства»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достигнут, но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является заниженным. </w:t>
            </w:r>
          </w:p>
          <w:p w:rsidR="00466FB1" w:rsidRPr="00A85921" w:rsidRDefault="00466FB1" w:rsidP="00466F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показатель перевыполнен в 2022 и 2023 годах в 2 раза. Запланированное в 2022 году на 2024 год значение показателя (500 тыс. человек) по состоянию на 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октября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2024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было 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уже выполнено (603,8 тыс. человек). </w:t>
            </w:r>
          </w:p>
          <w:p w:rsidR="00466FB1" w:rsidRPr="00A85921" w:rsidRDefault="00466FB1" w:rsidP="00466FB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обучающихся и работников образовательных организаций высшего образования, вовлеченных в университетское технологическое предпринимательство, увеличена с 206,8 тыс. человек в 2022 году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603,8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тыс. человек в 2024 году.</w:t>
            </w:r>
          </w:p>
          <w:p w:rsidR="00A63EAB" w:rsidRPr="00A85921" w:rsidRDefault="00A63EAB" w:rsidP="00A85921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shd w:val="clear" w:color="000000" w:fill="FFFFFF"/>
          </w:tcPr>
          <w:p w:rsidR="00E42E9A" w:rsidRPr="00A85921" w:rsidRDefault="00466FB1" w:rsidP="00C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0" w:type="auto"/>
            <w:shd w:val="clear" w:color="000000" w:fill="FFFFFF"/>
          </w:tcPr>
          <w:p w:rsidR="00E42E9A" w:rsidRPr="00A85921" w:rsidRDefault="006B6F6C" w:rsidP="00C67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0257D" w:rsidRPr="00A85921" w:rsidTr="0080257D">
        <w:trPr>
          <w:trHeight w:val="442"/>
          <w:jc w:val="center"/>
        </w:trPr>
        <w:tc>
          <w:tcPr>
            <w:tcW w:w="0" w:type="auto"/>
            <w:shd w:val="clear" w:color="000000" w:fill="FFFFFF"/>
          </w:tcPr>
          <w:p w:rsidR="00E42E9A" w:rsidRPr="00A85921" w:rsidRDefault="00E42E9A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97" w:type="dxa"/>
            <w:shd w:val="clear" w:color="000000" w:fill="FFFFFF"/>
            <w:noWrap/>
          </w:tcPr>
          <w:p w:rsidR="00E42E9A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Степень загрузки (использования) созданных объектов инновационной </w:t>
            </w: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инфраструктуры максимальна</w:t>
            </w:r>
          </w:p>
        </w:tc>
        <w:tc>
          <w:tcPr>
            <w:tcW w:w="2142" w:type="dxa"/>
            <w:shd w:val="clear" w:color="000000" w:fill="FFFFFF"/>
          </w:tcPr>
          <w:p w:rsidR="00E42E9A" w:rsidRPr="00A85921" w:rsidRDefault="0040601D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Выполнено не в полной мере</w:t>
            </w:r>
          </w:p>
        </w:tc>
        <w:tc>
          <w:tcPr>
            <w:tcW w:w="6504" w:type="dxa"/>
            <w:shd w:val="clear" w:color="000000" w:fill="FFFFFF"/>
            <w:noWrap/>
          </w:tcPr>
          <w:p w:rsidR="00037AE6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37AE6" w:rsidRPr="00A85921">
              <w:rPr>
                <w:rFonts w:ascii="Times New Roman" w:hAnsi="Times New Roman" w:cs="Times New Roman"/>
                <w:sz w:val="20"/>
                <w:szCs w:val="20"/>
              </w:rPr>
              <w:t>Доля используемой, заявленной и подтвержденной контрактными обязательствами резидентов ОЭЗ ТВТ мощности, в общей мощности объектов инфраструктуры в среднем составляет 62,5 %.</w:t>
            </w:r>
          </w:p>
          <w:p w:rsidR="00037AE6" w:rsidRPr="00A85921" w:rsidRDefault="00037AE6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Неполная загрузка мощности связана с тем, что инженерная инфраструктура создается на территории ОЭЗ с учетом потребностей потенциальных инвесторов, подтвердивших в письменной форме готовность реализовать проекты на территории ОЭЗ, потребностей перспективных интересантов, а также плановых показателей развития инженерной, транспортной, инновационной, социальной и иной инфраструктуры на дальнейшие периоды.</w:t>
            </w:r>
          </w:p>
          <w:p w:rsidR="00E57FAB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Кроме того, имеются неиспользуемые земельные участки территорий особых экономических зон.</w:t>
            </w:r>
          </w:p>
          <w:p w:rsidR="00E57FAB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Общая площадь особых экономических зон составляет 5,1 тыс. гектаров, из которых полезная площадь для предоставления в аренду резидентам - 2,8 тыс. гектаров. Доля суммарной площади земельных участков, предоставленных в аренду или находящихся в собственности резидентов и иных инвесторов, в общей полезной площади ОЭЗ ТВТ составляет 42 % (1,2 тыс. гектаров)</w:t>
            </w:r>
            <w:r w:rsidR="00E87948">
              <w:t>.</w:t>
            </w:r>
          </w:p>
          <w:p w:rsidR="00037AE6" w:rsidRPr="00A85921" w:rsidRDefault="0080257D" w:rsidP="00850E8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E57FAB"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субсидии </w:t>
            </w:r>
            <w:r w:rsidR="00850E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E57FAB" w:rsidRPr="00A85921">
              <w:rPr>
                <w:rFonts w:ascii="Times New Roman" w:hAnsi="Times New Roman" w:cs="Times New Roman"/>
                <w:sz w:val="20"/>
                <w:szCs w:val="20"/>
              </w:rPr>
              <w:t>онду «Сколково» в соответствии с постановлением Правительства Российской Федерации от 11 декабря 2013 г. № 1144 «Об утверждении Правил предоставления субсидий из федерального бюджета некоммерческой организации Фонд развития Центра разработки и коммерциализации новых технологий» создавались объекты инфраструктуры (технопарк, апартаменты, гимназия, Сколтех). Загрузка указанных объектов варьировалась в зависимости от объекта и периода и в среднем составляла 80 – 100 %.</w:t>
            </w:r>
          </w:p>
        </w:tc>
        <w:tc>
          <w:tcPr>
            <w:tcW w:w="1289" w:type="dxa"/>
            <w:shd w:val="clear" w:color="000000" w:fill="FFFFFF"/>
          </w:tcPr>
          <w:p w:rsidR="00E42E9A" w:rsidRDefault="00822404" w:rsidP="00A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0,6</w:t>
            </w:r>
            <w:r w:rsidR="00393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5D382C" w:rsidRPr="00A85921" w:rsidRDefault="005D382C" w:rsidP="00A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(средний уровень загрузки)</w:t>
            </w:r>
          </w:p>
        </w:tc>
        <w:tc>
          <w:tcPr>
            <w:tcW w:w="0" w:type="auto"/>
            <w:shd w:val="clear" w:color="000000" w:fill="FFFFFF"/>
          </w:tcPr>
          <w:p w:rsidR="00E42E9A" w:rsidRPr="00A85921" w:rsidRDefault="006B6F6C" w:rsidP="00A85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0257D" w:rsidRPr="00A85921" w:rsidTr="0080257D">
        <w:trPr>
          <w:trHeight w:val="653"/>
          <w:jc w:val="center"/>
        </w:trPr>
        <w:tc>
          <w:tcPr>
            <w:tcW w:w="0" w:type="auto"/>
            <w:shd w:val="clear" w:color="000000" w:fill="FFFFFF"/>
          </w:tcPr>
          <w:p w:rsidR="001652F9" w:rsidRPr="00A85921" w:rsidRDefault="001652F9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6</w:t>
            </w:r>
          </w:p>
        </w:tc>
        <w:tc>
          <w:tcPr>
            <w:tcW w:w="2397" w:type="dxa"/>
            <w:shd w:val="clear" w:color="000000" w:fill="FFFFFF"/>
            <w:noWrap/>
          </w:tcPr>
          <w:p w:rsidR="001652F9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Calibri" w:hAnsi="Times New Roman" w:cs="Times New Roman"/>
                <w:sz w:val="20"/>
                <w:szCs w:val="20"/>
              </w:rPr>
              <w:t>Отсутствуют неиспользуемые по назначению созданные объекты инновационной инфраструктуры</w:t>
            </w:r>
          </w:p>
        </w:tc>
        <w:tc>
          <w:tcPr>
            <w:tcW w:w="2142" w:type="dxa"/>
            <w:shd w:val="clear" w:color="000000" w:fill="FFFFFF"/>
          </w:tcPr>
          <w:p w:rsidR="001652F9" w:rsidRPr="00A85921" w:rsidRDefault="00EC789B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Выполнено</w:t>
            </w:r>
          </w:p>
        </w:tc>
        <w:tc>
          <w:tcPr>
            <w:tcW w:w="6504" w:type="dxa"/>
            <w:shd w:val="clear" w:color="000000" w:fill="FFFFFF"/>
            <w:noWrap/>
          </w:tcPr>
          <w:p w:rsidR="001652F9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9" w:type="dxa"/>
            <w:shd w:val="clear" w:color="000000" w:fill="FFFFFF"/>
          </w:tcPr>
          <w:p w:rsidR="001652F9" w:rsidRPr="00A85921" w:rsidRDefault="00E57FAB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shd w:val="clear" w:color="000000" w:fill="FFFFFF"/>
          </w:tcPr>
          <w:p w:rsidR="001652F9" w:rsidRPr="00A85921" w:rsidRDefault="006B6F6C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0257D" w:rsidRPr="00A85921" w:rsidTr="0080257D">
        <w:trPr>
          <w:trHeight w:val="653"/>
          <w:jc w:val="center"/>
        </w:trPr>
        <w:tc>
          <w:tcPr>
            <w:tcW w:w="0" w:type="auto"/>
            <w:shd w:val="clear" w:color="000000" w:fill="FFFFFF"/>
          </w:tcPr>
          <w:p w:rsidR="001652F9" w:rsidRPr="00A85921" w:rsidRDefault="001652F9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397" w:type="dxa"/>
            <w:shd w:val="clear" w:color="000000" w:fill="FFFFFF"/>
            <w:noWrap/>
          </w:tcPr>
          <w:p w:rsidR="001652F9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мер государственной поддержки инновационной инфраструктуры не превышают первоначально запланированный объем.</w:t>
            </w:r>
          </w:p>
        </w:tc>
        <w:tc>
          <w:tcPr>
            <w:tcW w:w="2142" w:type="dxa"/>
            <w:shd w:val="clear" w:color="000000" w:fill="FFFFFF"/>
          </w:tcPr>
          <w:p w:rsidR="001652F9" w:rsidRPr="00A85921" w:rsidRDefault="004C4D46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Выполнено не в полной мере</w:t>
            </w:r>
          </w:p>
        </w:tc>
        <w:tc>
          <w:tcPr>
            <w:tcW w:w="6504" w:type="dxa"/>
            <w:shd w:val="clear" w:color="000000" w:fill="FFFFFF"/>
            <w:noWrap/>
          </w:tcPr>
          <w:p w:rsidR="001652F9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Расходы на осуществление государственной поддержки инновационной инфраструктуры не превышают первоначально запланированный объем. При этом некоторые меры государственной поддержки инновационной инфраструктуры (4 из 20), финансирование которых началось в 2022 – 2023 годах, схожи в механизмах реализации и требуют интеграции или оптимизации.</w:t>
            </w:r>
          </w:p>
        </w:tc>
        <w:tc>
          <w:tcPr>
            <w:tcW w:w="1289" w:type="dxa"/>
            <w:shd w:val="clear" w:color="000000" w:fill="FFFFFF"/>
          </w:tcPr>
          <w:p w:rsidR="001652F9" w:rsidRPr="00A85921" w:rsidRDefault="00E57FAB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  <w:r w:rsidR="005D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(1-4/20)</w:t>
            </w:r>
          </w:p>
        </w:tc>
        <w:tc>
          <w:tcPr>
            <w:tcW w:w="0" w:type="auto"/>
            <w:shd w:val="clear" w:color="000000" w:fill="FFFFFF"/>
          </w:tcPr>
          <w:p w:rsidR="001652F9" w:rsidRPr="00A85921" w:rsidRDefault="006B6F6C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6E28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80257D" w:rsidRPr="00A85921" w:rsidTr="0080257D">
        <w:trPr>
          <w:trHeight w:val="442"/>
          <w:jc w:val="center"/>
        </w:trPr>
        <w:tc>
          <w:tcPr>
            <w:tcW w:w="0" w:type="auto"/>
            <w:shd w:val="clear" w:color="000000" w:fill="FFFFFF"/>
          </w:tcPr>
          <w:p w:rsidR="001652F9" w:rsidRPr="00A85921" w:rsidRDefault="001652F9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397" w:type="dxa"/>
            <w:shd w:val="clear" w:color="000000" w:fill="FFFFFF"/>
            <w:noWrap/>
          </w:tcPr>
          <w:p w:rsidR="001652F9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Отсутствуют неиспользованные 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бюджетные ассигнования на реализацию мер государственной поддержки инновационной инфраструктуры</w:t>
            </w:r>
          </w:p>
        </w:tc>
        <w:tc>
          <w:tcPr>
            <w:tcW w:w="2142" w:type="dxa"/>
            <w:shd w:val="clear" w:color="000000" w:fill="FFFFFF"/>
          </w:tcPr>
          <w:p w:rsidR="001652F9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Выполнено не в полной мере</w:t>
            </w:r>
          </w:p>
        </w:tc>
        <w:tc>
          <w:tcPr>
            <w:tcW w:w="6504" w:type="dxa"/>
            <w:shd w:val="clear" w:color="000000" w:fill="FFFFFF"/>
            <w:noWrap/>
          </w:tcPr>
          <w:p w:rsidR="00E57FAB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Имеются неиспользованные бюджетные ассигнования на реализацию мер государственной поддержки инновационной инфраструктуры. 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Средний уровень кассового исполнения на реализацию мер государственной поддержки инновационной инфраструктуры за 2019 - 2023 годы составил 95,</w:t>
            </w:r>
            <w:r w:rsidR="00DC6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%.</w:t>
            </w:r>
          </w:p>
          <w:p w:rsidR="004C6732" w:rsidRPr="00A85921" w:rsidRDefault="004C6732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000000" w:fill="FFFFFF"/>
          </w:tcPr>
          <w:p w:rsidR="001652F9" w:rsidRDefault="00E57FAB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</w:t>
            </w:r>
            <w:r w:rsidR="00393530"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3935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5D382C" w:rsidRPr="00A85921" w:rsidRDefault="005D382C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(средний уровень кассового исполнения)</w:t>
            </w:r>
          </w:p>
        </w:tc>
        <w:tc>
          <w:tcPr>
            <w:tcW w:w="0" w:type="auto"/>
            <w:shd w:val="clear" w:color="000000" w:fill="FFFFFF"/>
          </w:tcPr>
          <w:p w:rsidR="001652F9" w:rsidRPr="00A85921" w:rsidRDefault="00A85921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0,1</w:t>
            </w:r>
            <w:r w:rsidR="000C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80257D" w:rsidRPr="00A85921" w:rsidTr="0080257D">
        <w:trPr>
          <w:trHeight w:val="653"/>
          <w:jc w:val="center"/>
        </w:trPr>
        <w:tc>
          <w:tcPr>
            <w:tcW w:w="0" w:type="auto"/>
            <w:shd w:val="clear" w:color="000000" w:fill="FFFFFF"/>
          </w:tcPr>
          <w:p w:rsidR="001652F9" w:rsidRPr="00A85921" w:rsidRDefault="001652F9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397" w:type="dxa"/>
            <w:shd w:val="clear" w:color="000000" w:fill="FFFFFF"/>
            <w:noWrap/>
          </w:tcPr>
          <w:p w:rsidR="001652F9" w:rsidRPr="00A85921" w:rsidRDefault="00E57FAB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Дополнительная потребность средств федерального бюджета для достижения результатов государственной поддержки инновационной инфраструктуры отсутствует</w:t>
            </w: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«Приоритет-2030»</w:t>
            </w:r>
          </w:p>
        </w:tc>
        <w:tc>
          <w:tcPr>
            <w:tcW w:w="2142" w:type="dxa"/>
            <w:shd w:val="clear" w:color="000000" w:fill="FFFFFF"/>
          </w:tcPr>
          <w:p w:rsidR="001652F9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выполнено</w:t>
            </w:r>
          </w:p>
        </w:tc>
        <w:tc>
          <w:tcPr>
            <w:tcW w:w="6504" w:type="dxa"/>
            <w:shd w:val="clear" w:color="000000" w:fill="FFFFFF"/>
            <w:noWrap/>
          </w:tcPr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Имеется дополнительная потребность по </w:t>
            </w:r>
            <w:r w:rsidR="00E8794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из 20 анализируемы</w:t>
            </w:r>
            <w:r w:rsidR="00E8794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мерам поддержки. 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1. Фондом «Сколково» в Минфин России заявлялась дополнительная потребность на государственную поддержку виде возмещения части затрат физических лиц в инвестиции на ранних стадиях в проекты участников инновационного центра «Сколково» в рамках формирования проекта федерального закона о федеральном бюджете на 2022 год и на плановый период 2023 и 2024 годов. Дополнительная потребность на </w:t>
            </w:r>
            <w:r w:rsidR="00E87948" w:rsidRPr="00A85921">
              <w:rPr>
                <w:rFonts w:ascii="Times New Roman" w:hAnsi="Times New Roman" w:cs="Times New Roman"/>
                <w:sz w:val="20"/>
                <w:szCs w:val="20"/>
              </w:rPr>
              <w:t>2022 -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2024 годы была учтена в размере 343,1 млн рублей, что составляет 20,2 % предусмотренных средств. 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2. Организационные расходы операторов мер поддержки определяются фиксированным процентным отношением (как правило 5 %) от объемов доведенного финансирования и не зависят от количества грантополучателей. В результате при необходимости сопровождения большего количества договоров с грантополучателями объем затрат на сопровождение может быть намного ниже, чем при сопровождении меньшего количество договоров по другим мерам поддержки при большем объеме доведенного финансирования. Это приводит к рискам ослабления контроля за достоверностью отчетности грантополучателей со стороны оператора меры поддержки.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Например, АНО «Платформа НТИ» в 2022 - 2023 годах как оператором мер поддержки по организации акселерационных программ и «предпринимательских точек кипения» в среднем проводится сопровождение 513 договоров ежегодно. Затраты на выполнение функций оператора ограничены правилами предоставления субсидий 5 % предельного запланированного размера затрат на финансовое обеспечение получателей поддержки.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При этом по информации представленной АНО «Платформа НТИ» качество предоставления отчетной документации получателями грантов на реализацию акселерационных программ и предпринимательских точек кипения низкое и требует дополнительных затрат на организацию контроля.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Практически по всем договорам АНО «Платформа НТИ» направлялись уведомления получателям гранта о необходимости устранения замечаний. Зачастую, образовательные организации задерживали предоставление дополнительных подтверждающих документов и материалов.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По результатам проведенного Счетной палатой Российской Федерации анализа сопоставления затрат на выполнение функций оператора по разным мерам государственной поддержки «аналогичных технологических направлений» («предпринимательские точки кипения», акселерационные программы, инфраструктурные центры и центры компетенций Национальной технологической инициативы) показывает, что объем организационных затрат оператора на сопровождение одного грантополучателя варьируется от 0,04 млн рублей до 5,5 млн рублей. 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Так, 2023 году при государственной поддержке 60 «предпринимательских точек кипения» объем затрат на выполнение функций оператора в 2023 году составил 2,1 млн рублей (средний объем затрат оператора на сопровождение одного грантополучателя 0,04 млн рублей), при государственной поддержке 151 акселерационной программы - 35,0 млн рублей (0,2 млн рублей - на одного грантополучателя), при государственной поддержке инфраструктурных центров - 26,4 млн рублей (2,2 млн рублей - на одного грантополучателя), при государственной поддержке 12 центров компетенций Национальной технологической инициативы - 65,4 млн рублей (5,5 млн рублей - на одного грантополучателя).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3. В соответствии с проектом федерального закона № 727320-8 «О федеральном бюджете на 2025 год и на плановый период 2026 и 2027 годов» предусмотрено выделение следующих бюджетных средств на реализацию программы льготного кредитования: в 2025 году - </w:t>
            </w:r>
            <w:r w:rsidRPr="00A859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3 048,0 млн рублей, 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в 2026 году - </w:t>
            </w:r>
            <w:r w:rsidRPr="00A859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1 404,3 млн рублей, 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в 2027 году - </w:t>
            </w:r>
            <w:r w:rsidRPr="00A859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1 404,3 млн рублей.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По информации АО «МСП Банк» предусмотренные в проекте федерального бюджета ассигнования не позволя</w:t>
            </w:r>
            <w:r w:rsidR="007B20C2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т выдавать в 2025-2026 годах новые кредиты на льготных условиях, а также имеется дефицит бюджетных ассигнований для сохранения льготной ставки по уже заключенны</w:t>
            </w:r>
            <w:r w:rsidR="007B20C2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кредитным договорам в сумме 361,0 млн рублей на 2025 год и 645,0 млн рублей на 2026 год.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4. Основной причиной непривлечения внебюджетных источников в запланированном объеме является изменение с 2022 года подходов к поддержке компаний по инвестированию в малый бизнес.</w:t>
            </w:r>
          </w:p>
          <w:p w:rsidR="0080257D" w:rsidRPr="00A85921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настоящее время субсидирование компаний по инвестированию в малый бизнес осуществляется за счет инвестиций инвесторов, а не за счет предусмотренного ранее долгосрочного заемного капитала, предоставляемого уполномоченными банками компаниям по низким процентным ставкам.</w:t>
            </w:r>
          </w:p>
          <w:p w:rsidR="0080257D" w:rsidRDefault="0080257D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5921">
              <w:rPr>
                <w:rFonts w:ascii="Times New Roman" w:hAnsi="Times New Roman" w:cs="Times New Roman"/>
                <w:sz w:val="20"/>
                <w:szCs w:val="20"/>
              </w:rPr>
              <w:t>Банкам не выгодно участие в кредитовании указанных компаний в связи с необходимостью создавать в соответствии с установленными Банком России требованиями резервы в размере 80 - 100 % от выданного тела кредита, тем самым отвлекая значительный ресурс.</w:t>
            </w:r>
          </w:p>
          <w:p w:rsidR="00466FB1" w:rsidRPr="00A85921" w:rsidRDefault="00466FB1" w:rsidP="00A8592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E87948" w:rsidRPr="00E87948">
              <w:rPr>
                <w:rFonts w:ascii="Times New Roman" w:hAnsi="Times New Roman" w:cs="Times New Roman"/>
                <w:sz w:val="20"/>
                <w:szCs w:val="20"/>
              </w:rPr>
              <w:t>Запланированный на 2023 год Стратегией Фонда инфраструктурных и образовательных программ до 2024 года и на перспективу до 2030 года показатель по объему выручки инфраструктурных проектов Фонда и поддержанных ими компаний в размере 6 800,0 млн рублей достигнут. Вместе с тем по сравнению с первоначальной версией Стратегии значение планового показателя было уменьшено на 2</w:t>
            </w:r>
            <w:r w:rsidR="007B20C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87948" w:rsidRPr="00E87948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="007B20C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E87948" w:rsidRPr="00E87948">
              <w:rPr>
                <w:rFonts w:ascii="Times New Roman" w:hAnsi="Times New Roman" w:cs="Times New Roman"/>
                <w:sz w:val="20"/>
                <w:szCs w:val="20"/>
              </w:rPr>
              <w:t xml:space="preserve"> млн</w:t>
            </w:r>
            <w:r w:rsidR="00E87948">
              <w:rPr>
                <w:rFonts w:ascii="Times New Roman" w:hAnsi="Times New Roman" w:cs="Times New Roman"/>
                <w:sz w:val="20"/>
                <w:szCs w:val="20"/>
              </w:rPr>
              <w:t xml:space="preserve"> рублей в связи со снижением объемов финансирования.</w:t>
            </w:r>
          </w:p>
          <w:p w:rsidR="001652F9" w:rsidRPr="00A85921" w:rsidRDefault="001652F9" w:rsidP="00A8592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shd w:val="clear" w:color="000000" w:fill="FFFFFF"/>
          </w:tcPr>
          <w:p w:rsidR="001652F9" w:rsidRPr="00A85921" w:rsidRDefault="00E87948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0,75</w:t>
            </w:r>
            <w:r w:rsidR="005D38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(1-5/20)</w:t>
            </w:r>
          </w:p>
        </w:tc>
        <w:tc>
          <w:tcPr>
            <w:tcW w:w="0" w:type="auto"/>
            <w:shd w:val="clear" w:color="000000" w:fill="FFFFFF"/>
          </w:tcPr>
          <w:p w:rsidR="001652F9" w:rsidRPr="00A85921" w:rsidRDefault="006B6F6C" w:rsidP="00B82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59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  <w:r w:rsidR="000C3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B82785" w:rsidRPr="00A227BD" w:rsidRDefault="00B82785" w:rsidP="00B8278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</w:p>
    <w:p w:rsidR="00A45AF7" w:rsidRPr="001E2239" w:rsidRDefault="0038739D" w:rsidP="00B8278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ходе экспертно-аналитического </w:t>
      </w:r>
      <w:r w:rsidR="00A45AF7"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оценка эффекти</w:t>
      </w:r>
      <w:r w:rsid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вности произведена по формуле: </w:t>
      </w:r>
      <w:r w:rsidR="00A45AF7"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</w:t>
      </w:r>
      <w:r w:rsidR="00A45AF7"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45AF7" w:rsidRPr="001E223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общ эф</w:t>
      </w:r>
      <w:r w:rsidR="00A45AF7"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</w:t>
      </w:r>
      <m:oMath>
        <m:nary>
          <m:naryPr>
            <m:chr m:val="∑"/>
            <m:limLoc m:val="undOvr"/>
            <m:ctrlPr>
              <w:rPr>
                <w:rFonts w:ascii="Cambria Math" w:eastAsia="Times New Roman" w:hAnsi="Cambria Math" w:cs="Times New Roman"/>
                <w:i/>
                <w:color w:val="000000"/>
                <w:sz w:val="24"/>
                <w:szCs w:val="24"/>
                <w:lang w:eastAsia="ru-RU"/>
              </w:rPr>
            </m:ctrlPr>
          </m:naryPr>
          <m:sub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n</m:t>
            </m:r>
          </m:sub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1</m:t>
            </m:r>
          </m:sup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 xml:space="preserve">a*b </m:t>
            </m:r>
          </m:e>
        </m:nary>
      </m:oMath>
      <w:r w:rsidR="00A45AF7"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где</w:t>
      </w:r>
    </w:p>
    <w:p w:rsidR="00A45AF7" w:rsidRPr="001E2239" w:rsidRDefault="00A45AF7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значение оценки выполнения,</w:t>
      </w:r>
    </w:p>
    <w:p w:rsidR="00A45AF7" w:rsidRPr="001E2239" w:rsidRDefault="00A45AF7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</w:t>
      </w:r>
      <w:r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 критерия в общей оценке эффективности,</w:t>
      </w:r>
    </w:p>
    <w:p w:rsidR="00A45AF7" w:rsidRPr="001E2239" w:rsidRDefault="00A45AF7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</w:t>
      </w:r>
      <w:r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количество критериев.</w:t>
      </w:r>
    </w:p>
    <w:p w:rsidR="00355516" w:rsidRDefault="0079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22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 произведена экспертным путем с использованием следующих оценочных значений:</w:t>
      </w:r>
    </w:p>
    <w:p w:rsidR="00355516" w:rsidRPr="001E2239" w:rsidRDefault="00355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государственной результативны:</w:t>
      </w:r>
    </w:p>
    <w:p w:rsidR="0079399B" w:rsidRPr="009C4294" w:rsidRDefault="0079399B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эффективности - высокая при К эф общ </w:t>
      </w:r>
      <w:r w:rsidR="00561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55516" w:rsidRDefault="00355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Меры государственной </w:t>
      </w:r>
      <w:r w:rsidR="008310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 полной мере результативны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614DA" w:rsidRDefault="005614DA" w:rsidP="00561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эффективности - выше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среднего уровня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К эф общ</w:t>
      </w:r>
      <w:r w:rsidR="00C5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 0,</w:t>
      </w:r>
      <w:r w:rsidR="00C55C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 включительно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C55CD3" w:rsidRPr="009C4294" w:rsidRDefault="00C55C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эффективности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средний уровень при К эф общ 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&gt;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07,6 и  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˂ 0,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91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9399B" w:rsidRDefault="0079399B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эффективности - ниже </w:t>
      </w:r>
      <w:r w:rsidR="00F8431F"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</w:t>
      </w:r>
      <w:r w:rsidR="00F84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уровня</w:t>
      </w:r>
      <w:r w:rsidR="00F8431F"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К эф общ ˂ </w:t>
      </w:r>
      <w:r w:rsidR="00BC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0,76</w:t>
      </w:r>
      <w:r w:rsidR="00561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355516" w:rsidRPr="009C4294" w:rsidRDefault="00355516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 государственной поддержки не результативны</w:t>
      </w:r>
      <w:r w:rsidR="00CD5B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9399B" w:rsidRPr="009C4294" w:rsidRDefault="0079399B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эффективности - низкая при К эф общ ˂ </w:t>
      </w:r>
      <w:r w:rsidR="00F843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</w:t>
      </w:r>
      <w:r w:rsidR="00BC1E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="00561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включительно</w:t>
      </w:r>
      <w:r w:rsidRPr="009C42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82785" w:rsidRPr="00B82785" w:rsidRDefault="00A45AF7" w:rsidP="00B82785">
      <w:pPr>
        <w:pStyle w:val="Default"/>
        <w:ind w:firstLine="709"/>
        <w:rPr>
          <w:bCs/>
        </w:rPr>
      </w:pPr>
      <w:r w:rsidRPr="00B82785">
        <w:rPr>
          <w:rFonts w:eastAsia="Times New Roman"/>
          <w:lang w:eastAsia="ru-RU"/>
        </w:rPr>
        <w:t xml:space="preserve">Общая оценка эффективности (К </w:t>
      </w:r>
      <w:r w:rsidRPr="00B82785">
        <w:rPr>
          <w:rFonts w:eastAsia="Times New Roman"/>
          <w:sz w:val="16"/>
          <w:szCs w:val="16"/>
          <w:lang w:eastAsia="ru-RU"/>
        </w:rPr>
        <w:t>общ эф</w:t>
      </w:r>
      <w:r w:rsidRPr="00B82785">
        <w:rPr>
          <w:rFonts w:eastAsia="Times New Roman"/>
          <w:lang w:eastAsia="ru-RU"/>
        </w:rPr>
        <w:t xml:space="preserve">) </w:t>
      </w:r>
      <w:r w:rsidR="00B82785" w:rsidRPr="00B82785">
        <w:rPr>
          <w:bCs/>
        </w:rPr>
        <w:t>мер по государственной поддержке инновационной инфраструктуры (аудит эффективности)</w:t>
      </w:r>
    </w:p>
    <w:p w:rsidR="00A45AF7" w:rsidRPr="00B82785" w:rsidRDefault="00A45AF7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(значение </w:t>
      </w:r>
      <w:r w:rsidR="00E66EAA" w:rsidRPr="00B8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0,</w:t>
      </w:r>
      <w:r w:rsidR="00B82785" w:rsidRPr="00B8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63</w:t>
      </w:r>
      <w:r w:rsidR="007B20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</w:t>
      </w:r>
      <w:r w:rsidRPr="00B8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соответствует уровню эффективности –</w:t>
      </w:r>
      <w:r w:rsidR="00F75ADB" w:rsidRPr="00B8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D5BB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ниже среднего.</w:t>
      </w:r>
    </w:p>
    <w:p w:rsidR="00411333" w:rsidRDefault="0038739D" w:rsidP="00B827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эф общ</w:t>
      </w:r>
      <w:r w:rsidR="00632CE0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632CE0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</w:t>
      </w:r>
      <w:r w:rsidR="00822404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12%)+</w:t>
      </w:r>
      <w:r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44553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822404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%)+</w:t>
      </w:r>
      <w:r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544553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E87948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*1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632CE0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+(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</w:t>
      </w:r>
      <w:r w:rsidR="00E87948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*1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%)+(0,</w:t>
      </w:r>
      <w:r w:rsidR="00393530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393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*1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1%)+(1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*1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%)+(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0,8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*1</w:t>
      </w:r>
      <w:r w:rsidR="00E87948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%)+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(0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93530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93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*1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%) 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+(0,</w:t>
      </w:r>
      <w:r w:rsidR="00E87948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75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</w:t>
      </w:r>
      <w:r w:rsidR="00753A29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194D7D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</w:t>
      </w:r>
      <w:r w:rsidR="00F10818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/100</w:t>
      </w:r>
      <w:r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r w:rsidR="00F10818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0,</w:t>
      </w:r>
      <w:r w:rsidR="00393530" w:rsidRPr="00B8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63</w:t>
      </w:r>
      <w:r w:rsidR="00393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</w:p>
    <w:p w:rsidR="00CD5BB0" w:rsidRPr="00E9050D" w:rsidRDefault="00CD5BB0" w:rsidP="00B827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50D">
        <w:rPr>
          <w:rFonts w:ascii="Times New Roman" w:hAnsi="Times New Roman" w:cs="Times New Roman"/>
          <w:sz w:val="24"/>
          <w:szCs w:val="24"/>
        </w:rPr>
        <w:t xml:space="preserve">Меры, направленные на государственную поддержку инновационной инфраструктуры, не </w:t>
      </w:r>
      <w:r w:rsidR="0083106A">
        <w:rPr>
          <w:rFonts w:ascii="Times New Roman" w:hAnsi="Times New Roman" w:cs="Times New Roman"/>
          <w:sz w:val="24"/>
          <w:szCs w:val="24"/>
        </w:rPr>
        <w:t xml:space="preserve">в полной мере </w:t>
      </w:r>
      <w:r w:rsidRPr="00E9050D">
        <w:rPr>
          <w:rFonts w:ascii="Times New Roman" w:hAnsi="Times New Roman" w:cs="Times New Roman"/>
          <w:sz w:val="24"/>
          <w:szCs w:val="24"/>
        </w:rPr>
        <w:t>результативны.</w:t>
      </w:r>
    </w:p>
    <w:sectPr w:rsidR="00CD5BB0" w:rsidRPr="00E9050D" w:rsidSect="00411333">
      <w:headerReference w:type="default" r:id="rId8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51" w:rsidRDefault="00250351" w:rsidP="00D75BF2">
      <w:pPr>
        <w:spacing w:after="0" w:line="240" w:lineRule="auto"/>
      </w:pPr>
      <w:r>
        <w:separator/>
      </w:r>
    </w:p>
  </w:endnote>
  <w:endnote w:type="continuationSeparator" w:id="0">
    <w:p w:rsidR="00250351" w:rsidRDefault="00250351" w:rsidP="00D7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51" w:rsidRDefault="00250351" w:rsidP="00D75BF2">
      <w:pPr>
        <w:spacing w:after="0" w:line="240" w:lineRule="auto"/>
      </w:pPr>
      <w:r>
        <w:separator/>
      </w:r>
    </w:p>
  </w:footnote>
  <w:footnote w:type="continuationSeparator" w:id="0">
    <w:p w:rsidR="00250351" w:rsidRDefault="00250351" w:rsidP="00D75BF2">
      <w:pPr>
        <w:spacing w:after="0" w:line="240" w:lineRule="auto"/>
      </w:pPr>
      <w:r>
        <w:continuationSeparator/>
      </w:r>
    </w:p>
  </w:footnote>
  <w:footnote w:id="1">
    <w:p w:rsidR="00FB425C" w:rsidRPr="00C8360B" w:rsidRDefault="00FB425C" w:rsidP="00FB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360B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C8360B">
        <w:rPr>
          <w:rFonts w:ascii="Times New Roman" w:hAnsi="Times New Roman" w:cs="Times New Roman"/>
          <w:sz w:val="20"/>
          <w:szCs w:val="20"/>
        </w:rPr>
        <w:t xml:space="preserve"> Органам государственной власти субъектов Российской Федерации предоставлено право устанавливать нулевую ставку по налогу на прибыль организаций, подлежащему зачислению в бюджет субъекта Российской Федерации, в отношении деятельности от распоряжения правами на изобретения, полезные модели, промышленные образцы, зарегистрированные в Роспатенте и иностранных патентных ведомствах, зарегистрированные в Роспатенте программы для электронных вычислительных машин, базы данных, топологии интегральных микросхем, зарегистрированные в Минсельхозе России селекционные достижения (в том числе в рамках экспорта) для всех организаций, являющихся налоговыми резидентами Российской Федерации.</w:t>
      </w:r>
    </w:p>
    <w:p w:rsidR="00FB425C" w:rsidRPr="00D5357B" w:rsidRDefault="00FB425C" w:rsidP="00FB425C">
      <w:pPr>
        <w:pStyle w:val="a6"/>
        <w:ind w:firstLine="709"/>
        <w:jc w:val="both"/>
        <w:rPr>
          <w:sz w:val="16"/>
          <w:szCs w:val="16"/>
        </w:rPr>
      </w:pPr>
    </w:p>
  </w:footnote>
  <w:footnote w:id="2">
    <w:p w:rsidR="00FB425C" w:rsidRPr="00C8360B" w:rsidRDefault="00FB425C" w:rsidP="00FB42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8360B">
        <w:rPr>
          <w:rStyle w:val="a8"/>
          <w:rFonts w:ascii="Times New Roman" w:hAnsi="Times New Roman" w:cs="Times New Roman"/>
          <w:sz w:val="20"/>
          <w:szCs w:val="20"/>
        </w:rPr>
        <w:footnoteRef/>
      </w:r>
      <w:r w:rsidRPr="00C8360B">
        <w:rPr>
          <w:rFonts w:ascii="Times New Roman" w:hAnsi="Times New Roman" w:cs="Times New Roman"/>
          <w:sz w:val="20"/>
          <w:szCs w:val="20"/>
        </w:rPr>
        <w:t xml:space="preserve"> Признание утратившим силу </w:t>
      </w:r>
      <w:hyperlink r:id="rId1" w:history="1">
        <w:r w:rsidRPr="00C8360B">
          <w:rPr>
            <w:rFonts w:ascii="Times New Roman" w:hAnsi="Times New Roman" w:cs="Times New Roman"/>
            <w:sz w:val="20"/>
            <w:szCs w:val="20"/>
          </w:rPr>
          <w:t>пункта 1</w:t>
        </w:r>
      </w:hyperlink>
      <w:r w:rsidRPr="00C8360B">
        <w:rPr>
          <w:rFonts w:ascii="Times New Roman" w:hAnsi="Times New Roman" w:cs="Times New Roman"/>
          <w:sz w:val="20"/>
          <w:szCs w:val="20"/>
        </w:rPr>
        <w:t xml:space="preserve"> постановления Правительства Российской Федерации от 29 сентября 1998 г. № 1132 «О первоочередных мерах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 военного, специального и двойного назначения».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0975"/>
      <w:docPartObj>
        <w:docPartGallery w:val="Page Numbers (Top of Page)"/>
        <w:docPartUnique/>
      </w:docPartObj>
    </w:sdtPr>
    <w:sdtEndPr/>
    <w:sdtContent>
      <w:p w:rsidR="00411333" w:rsidRDefault="0041133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BC7">
          <w:rPr>
            <w:noProof/>
          </w:rPr>
          <w:t>2</w:t>
        </w:r>
        <w:r>
          <w:fldChar w:fldCharType="end"/>
        </w:r>
      </w:p>
    </w:sdtContent>
  </w:sdt>
  <w:p w:rsidR="00411333" w:rsidRDefault="0041133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C3BB9"/>
    <w:multiLevelType w:val="hybridMultilevel"/>
    <w:tmpl w:val="E6BE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022D8A"/>
    <w:multiLevelType w:val="hybridMultilevel"/>
    <w:tmpl w:val="6E9A8A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ED"/>
    <w:rsid w:val="0000641F"/>
    <w:rsid w:val="00025BDF"/>
    <w:rsid w:val="00032C1B"/>
    <w:rsid w:val="000341B2"/>
    <w:rsid w:val="00037AE6"/>
    <w:rsid w:val="0004353F"/>
    <w:rsid w:val="0004364A"/>
    <w:rsid w:val="00044916"/>
    <w:rsid w:val="00054EE0"/>
    <w:rsid w:val="00064209"/>
    <w:rsid w:val="000759CE"/>
    <w:rsid w:val="00080ECF"/>
    <w:rsid w:val="000A7F7B"/>
    <w:rsid w:val="000B097B"/>
    <w:rsid w:val="000B5EAB"/>
    <w:rsid w:val="000C008B"/>
    <w:rsid w:val="000C1319"/>
    <w:rsid w:val="000C3806"/>
    <w:rsid w:val="000E1853"/>
    <w:rsid w:val="000E2D53"/>
    <w:rsid w:val="000F0374"/>
    <w:rsid w:val="000F04BD"/>
    <w:rsid w:val="0010371F"/>
    <w:rsid w:val="00110B39"/>
    <w:rsid w:val="00112C7F"/>
    <w:rsid w:val="00122B6C"/>
    <w:rsid w:val="001478A4"/>
    <w:rsid w:val="00161209"/>
    <w:rsid w:val="0016284C"/>
    <w:rsid w:val="001652F9"/>
    <w:rsid w:val="00165BED"/>
    <w:rsid w:val="0017609B"/>
    <w:rsid w:val="00186ED1"/>
    <w:rsid w:val="00194D7D"/>
    <w:rsid w:val="00194DDE"/>
    <w:rsid w:val="001A4B14"/>
    <w:rsid w:val="001C09B1"/>
    <w:rsid w:val="001C14B3"/>
    <w:rsid w:val="001D4334"/>
    <w:rsid w:val="001D7243"/>
    <w:rsid w:val="001E2239"/>
    <w:rsid w:val="002012D2"/>
    <w:rsid w:val="00205CBF"/>
    <w:rsid w:val="00217DC7"/>
    <w:rsid w:val="00235980"/>
    <w:rsid w:val="00245890"/>
    <w:rsid w:val="00250351"/>
    <w:rsid w:val="002506DA"/>
    <w:rsid w:val="00250FEC"/>
    <w:rsid w:val="002520D0"/>
    <w:rsid w:val="002672F4"/>
    <w:rsid w:val="002731DA"/>
    <w:rsid w:val="00274546"/>
    <w:rsid w:val="002804F6"/>
    <w:rsid w:val="00281673"/>
    <w:rsid w:val="00297683"/>
    <w:rsid w:val="002A4562"/>
    <w:rsid w:val="002A594E"/>
    <w:rsid w:val="002C1467"/>
    <w:rsid w:val="002C36FA"/>
    <w:rsid w:val="002E2572"/>
    <w:rsid w:val="002E48F8"/>
    <w:rsid w:val="002E763F"/>
    <w:rsid w:val="002F0EE6"/>
    <w:rsid w:val="002F1090"/>
    <w:rsid w:val="00303F34"/>
    <w:rsid w:val="003349A3"/>
    <w:rsid w:val="003353A9"/>
    <w:rsid w:val="003366DA"/>
    <w:rsid w:val="003377F5"/>
    <w:rsid w:val="00341481"/>
    <w:rsid w:val="0034747A"/>
    <w:rsid w:val="003551C5"/>
    <w:rsid w:val="003552BA"/>
    <w:rsid w:val="00355516"/>
    <w:rsid w:val="00371598"/>
    <w:rsid w:val="00382973"/>
    <w:rsid w:val="0038739D"/>
    <w:rsid w:val="00393530"/>
    <w:rsid w:val="0039492E"/>
    <w:rsid w:val="003B4DD7"/>
    <w:rsid w:val="003B6758"/>
    <w:rsid w:val="003C2A3D"/>
    <w:rsid w:val="003C45A0"/>
    <w:rsid w:val="003E29B5"/>
    <w:rsid w:val="00402B09"/>
    <w:rsid w:val="00402CC9"/>
    <w:rsid w:val="0040601D"/>
    <w:rsid w:val="00411333"/>
    <w:rsid w:val="00427BBA"/>
    <w:rsid w:val="004353B6"/>
    <w:rsid w:val="004407DE"/>
    <w:rsid w:val="004415DA"/>
    <w:rsid w:val="00443F03"/>
    <w:rsid w:val="0045514A"/>
    <w:rsid w:val="00457CD0"/>
    <w:rsid w:val="00463EBE"/>
    <w:rsid w:val="00466FB1"/>
    <w:rsid w:val="00470F38"/>
    <w:rsid w:val="00477413"/>
    <w:rsid w:val="00485CC2"/>
    <w:rsid w:val="004A4230"/>
    <w:rsid w:val="004B1F74"/>
    <w:rsid w:val="004B6A00"/>
    <w:rsid w:val="004B7DF9"/>
    <w:rsid w:val="004C4096"/>
    <w:rsid w:val="004C4D46"/>
    <w:rsid w:val="004C6732"/>
    <w:rsid w:val="004C6769"/>
    <w:rsid w:val="004E7A98"/>
    <w:rsid w:val="004F769A"/>
    <w:rsid w:val="005062B2"/>
    <w:rsid w:val="0051158C"/>
    <w:rsid w:val="0051418B"/>
    <w:rsid w:val="00532AD8"/>
    <w:rsid w:val="00533FAE"/>
    <w:rsid w:val="005441A4"/>
    <w:rsid w:val="00544553"/>
    <w:rsid w:val="00547507"/>
    <w:rsid w:val="005508EA"/>
    <w:rsid w:val="005614DA"/>
    <w:rsid w:val="00567605"/>
    <w:rsid w:val="0057089D"/>
    <w:rsid w:val="00571B2A"/>
    <w:rsid w:val="00576543"/>
    <w:rsid w:val="00582072"/>
    <w:rsid w:val="0059791D"/>
    <w:rsid w:val="005A65E2"/>
    <w:rsid w:val="005D382C"/>
    <w:rsid w:val="005D3BC8"/>
    <w:rsid w:val="005D6A00"/>
    <w:rsid w:val="005D78C7"/>
    <w:rsid w:val="005F29A8"/>
    <w:rsid w:val="006132C6"/>
    <w:rsid w:val="00614379"/>
    <w:rsid w:val="0061453D"/>
    <w:rsid w:val="006174EB"/>
    <w:rsid w:val="00626AD8"/>
    <w:rsid w:val="00630830"/>
    <w:rsid w:val="00630F59"/>
    <w:rsid w:val="00631169"/>
    <w:rsid w:val="006324BF"/>
    <w:rsid w:val="00632CE0"/>
    <w:rsid w:val="00633E6E"/>
    <w:rsid w:val="00633FC7"/>
    <w:rsid w:val="00635FEF"/>
    <w:rsid w:val="006362A2"/>
    <w:rsid w:val="00640599"/>
    <w:rsid w:val="00640FF4"/>
    <w:rsid w:val="00646416"/>
    <w:rsid w:val="006473F6"/>
    <w:rsid w:val="00655E17"/>
    <w:rsid w:val="00661F31"/>
    <w:rsid w:val="00670AA7"/>
    <w:rsid w:val="006750E3"/>
    <w:rsid w:val="00676257"/>
    <w:rsid w:val="006A11A1"/>
    <w:rsid w:val="006A2824"/>
    <w:rsid w:val="006A30B7"/>
    <w:rsid w:val="006B1758"/>
    <w:rsid w:val="006B3020"/>
    <w:rsid w:val="006B371D"/>
    <w:rsid w:val="006B3BE9"/>
    <w:rsid w:val="006B6CC1"/>
    <w:rsid w:val="006B6F6C"/>
    <w:rsid w:val="006C0A4A"/>
    <w:rsid w:val="006C132E"/>
    <w:rsid w:val="006C618B"/>
    <w:rsid w:val="006C7A38"/>
    <w:rsid w:val="006D023A"/>
    <w:rsid w:val="006E28DA"/>
    <w:rsid w:val="006E3226"/>
    <w:rsid w:val="006E5FF3"/>
    <w:rsid w:val="006E7113"/>
    <w:rsid w:val="006F656F"/>
    <w:rsid w:val="007055CC"/>
    <w:rsid w:val="007057C3"/>
    <w:rsid w:val="007060C3"/>
    <w:rsid w:val="007259B4"/>
    <w:rsid w:val="00725CBA"/>
    <w:rsid w:val="00733E4F"/>
    <w:rsid w:val="00737D6F"/>
    <w:rsid w:val="0074239A"/>
    <w:rsid w:val="00753A29"/>
    <w:rsid w:val="00755FD1"/>
    <w:rsid w:val="00757D55"/>
    <w:rsid w:val="00773FA6"/>
    <w:rsid w:val="00776DAF"/>
    <w:rsid w:val="00784664"/>
    <w:rsid w:val="0078758E"/>
    <w:rsid w:val="0079399B"/>
    <w:rsid w:val="007A0F5E"/>
    <w:rsid w:val="007A3BC7"/>
    <w:rsid w:val="007A4760"/>
    <w:rsid w:val="007B1BF7"/>
    <w:rsid w:val="007B20C2"/>
    <w:rsid w:val="007C1B77"/>
    <w:rsid w:val="007C47AC"/>
    <w:rsid w:val="007D4947"/>
    <w:rsid w:val="007D6914"/>
    <w:rsid w:val="007E5C9C"/>
    <w:rsid w:val="007F0ABE"/>
    <w:rsid w:val="007F5588"/>
    <w:rsid w:val="007F60E1"/>
    <w:rsid w:val="00801963"/>
    <w:rsid w:val="0080257D"/>
    <w:rsid w:val="008146A6"/>
    <w:rsid w:val="00815885"/>
    <w:rsid w:val="008161D9"/>
    <w:rsid w:val="00820D4E"/>
    <w:rsid w:val="00822404"/>
    <w:rsid w:val="008237A1"/>
    <w:rsid w:val="00824149"/>
    <w:rsid w:val="008251D7"/>
    <w:rsid w:val="0083106A"/>
    <w:rsid w:val="00833B8C"/>
    <w:rsid w:val="0084029F"/>
    <w:rsid w:val="00844F43"/>
    <w:rsid w:val="00850B7B"/>
    <w:rsid w:val="00850E8F"/>
    <w:rsid w:val="00852BEA"/>
    <w:rsid w:val="008535D3"/>
    <w:rsid w:val="00860F09"/>
    <w:rsid w:val="00884F31"/>
    <w:rsid w:val="008A4331"/>
    <w:rsid w:val="008D107F"/>
    <w:rsid w:val="008F1FAB"/>
    <w:rsid w:val="008F3426"/>
    <w:rsid w:val="00901E42"/>
    <w:rsid w:val="00911C5D"/>
    <w:rsid w:val="00911F66"/>
    <w:rsid w:val="0091421A"/>
    <w:rsid w:val="009232FE"/>
    <w:rsid w:val="00925AEA"/>
    <w:rsid w:val="00927BB3"/>
    <w:rsid w:val="00927E58"/>
    <w:rsid w:val="00934244"/>
    <w:rsid w:val="00934697"/>
    <w:rsid w:val="009368D2"/>
    <w:rsid w:val="00955401"/>
    <w:rsid w:val="00956903"/>
    <w:rsid w:val="00961443"/>
    <w:rsid w:val="00965853"/>
    <w:rsid w:val="00965AB6"/>
    <w:rsid w:val="00971FC5"/>
    <w:rsid w:val="009B4AD4"/>
    <w:rsid w:val="009C4294"/>
    <w:rsid w:val="009C4500"/>
    <w:rsid w:val="009E16DB"/>
    <w:rsid w:val="009F79A3"/>
    <w:rsid w:val="00A222CF"/>
    <w:rsid w:val="00A227BD"/>
    <w:rsid w:val="00A26965"/>
    <w:rsid w:val="00A3004E"/>
    <w:rsid w:val="00A372FD"/>
    <w:rsid w:val="00A4061F"/>
    <w:rsid w:val="00A45AF7"/>
    <w:rsid w:val="00A47948"/>
    <w:rsid w:val="00A63EAB"/>
    <w:rsid w:val="00A657FF"/>
    <w:rsid w:val="00A76323"/>
    <w:rsid w:val="00A829EE"/>
    <w:rsid w:val="00A845EA"/>
    <w:rsid w:val="00A85921"/>
    <w:rsid w:val="00A8736E"/>
    <w:rsid w:val="00A87F56"/>
    <w:rsid w:val="00A94172"/>
    <w:rsid w:val="00A9494A"/>
    <w:rsid w:val="00AA0FCD"/>
    <w:rsid w:val="00AA1720"/>
    <w:rsid w:val="00AB6CA7"/>
    <w:rsid w:val="00AB6E99"/>
    <w:rsid w:val="00AC2E76"/>
    <w:rsid w:val="00AC30FF"/>
    <w:rsid w:val="00AD35D1"/>
    <w:rsid w:val="00AE1CBE"/>
    <w:rsid w:val="00B06C7C"/>
    <w:rsid w:val="00B100DE"/>
    <w:rsid w:val="00B1746F"/>
    <w:rsid w:val="00B24F4A"/>
    <w:rsid w:val="00B30B6D"/>
    <w:rsid w:val="00B30F39"/>
    <w:rsid w:val="00B3577F"/>
    <w:rsid w:val="00B40D9B"/>
    <w:rsid w:val="00B4671F"/>
    <w:rsid w:val="00B501BB"/>
    <w:rsid w:val="00B52740"/>
    <w:rsid w:val="00B617B0"/>
    <w:rsid w:val="00B67B54"/>
    <w:rsid w:val="00B82785"/>
    <w:rsid w:val="00B8644A"/>
    <w:rsid w:val="00B92905"/>
    <w:rsid w:val="00B9780A"/>
    <w:rsid w:val="00B978DC"/>
    <w:rsid w:val="00BA12CB"/>
    <w:rsid w:val="00BC1E32"/>
    <w:rsid w:val="00BC681D"/>
    <w:rsid w:val="00BC7C96"/>
    <w:rsid w:val="00BD354E"/>
    <w:rsid w:val="00BE0417"/>
    <w:rsid w:val="00BE5C52"/>
    <w:rsid w:val="00BF1999"/>
    <w:rsid w:val="00BF35CC"/>
    <w:rsid w:val="00BF752D"/>
    <w:rsid w:val="00C02921"/>
    <w:rsid w:val="00C14F82"/>
    <w:rsid w:val="00C169A8"/>
    <w:rsid w:val="00C16D83"/>
    <w:rsid w:val="00C24B48"/>
    <w:rsid w:val="00C27682"/>
    <w:rsid w:val="00C315DF"/>
    <w:rsid w:val="00C338E5"/>
    <w:rsid w:val="00C33F2A"/>
    <w:rsid w:val="00C4299E"/>
    <w:rsid w:val="00C535D9"/>
    <w:rsid w:val="00C55CD3"/>
    <w:rsid w:val="00C57F54"/>
    <w:rsid w:val="00C64141"/>
    <w:rsid w:val="00C67113"/>
    <w:rsid w:val="00C725DF"/>
    <w:rsid w:val="00C835B4"/>
    <w:rsid w:val="00C91000"/>
    <w:rsid w:val="00C958CF"/>
    <w:rsid w:val="00C97AE6"/>
    <w:rsid w:val="00CA215A"/>
    <w:rsid w:val="00CA514A"/>
    <w:rsid w:val="00CC06E0"/>
    <w:rsid w:val="00CD5BB0"/>
    <w:rsid w:val="00CD621E"/>
    <w:rsid w:val="00CE44BD"/>
    <w:rsid w:val="00CE6E19"/>
    <w:rsid w:val="00CF68E8"/>
    <w:rsid w:val="00CF7D92"/>
    <w:rsid w:val="00D11BC4"/>
    <w:rsid w:val="00D12F8A"/>
    <w:rsid w:val="00D22616"/>
    <w:rsid w:val="00D24188"/>
    <w:rsid w:val="00D3386A"/>
    <w:rsid w:val="00D43ECF"/>
    <w:rsid w:val="00D50DF6"/>
    <w:rsid w:val="00D65F59"/>
    <w:rsid w:val="00D66E9D"/>
    <w:rsid w:val="00D71142"/>
    <w:rsid w:val="00D73DFE"/>
    <w:rsid w:val="00D75BF2"/>
    <w:rsid w:val="00D91F52"/>
    <w:rsid w:val="00D94095"/>
    <w:rsid w:val="00DA3DF5"/>
    <w:rsid w:val="00DC6773"/>
    <w:rsid w:val="00DC6DF7"/>
    <w:rsid w:val="00DE5566"/>
    <w:rsid w:val="00DF514A"/>
    <w:rsid w:val="00E05EB2"/>
    <w:rsid w:val="00E061D4"/>
    <w:rsid w:val="00E0766B"/>
    <w:rsid w:val="00E123BA"/>
    <w:rsid w:val="00E1245A"/>
    <w:rsid w:val="00E34020"/>
    <w:rsid w:val="00E36BA9"/>
    <w:rsid w:val="00E42DB7"/>
    <w:rsid w:val="00E42E9A"/>
    <w:rsid w:val="00E510B6"/>
    <w:rsid w:val="00E513B9"/>
    <w:rsid w:val="00E51BCF"/>
    <w:rsid w:val="00E52DDA"/>
    <w:rsid w:val="00E57FAB"/>
    <w:rsid w:val="00E66EAA"/>
    <w:rsid w:val="00E87948"/>
    <w:rsid w:val="00E9050D"/>
    <w:rsid w:val="00EA29ED"/>
    <w:rsid w:val="00EA4181"/>
    <w:rsid w:val="00EB3F50"/>
    <w:rsid w:val="00EB5D25"/>
    <w:rsid w:val="00EC4994"/>
    <w:rsid w:val="00EC5252"/>
    <w:rsid w:val="00EC789B"/>
    <w:rsid w:val="00ED26D8"/>
    <w:rsid w:val="00ED539A"/>
    <w:rsid w:val="00ED794A"/>
    <w:rsid w:val="00EE1A75"/>
    <w:rsid w:val="00EE237C"/>
    <w:rsid w:val="00EE5E39"/>
    <w:rsid w:val="00EF79A5"/>
    <w:rsid w:val="00F10818"/>
    <w:rsid w:val="00F225A5"/>
    <w:rsid w:val="00F3211C"/>
    <w:rsid w:val="00F45E47"/>
    <w:rsid w:val="00F75ADB"/>
    <w:rsid w:val="00F8431F"/>
    <w:rsid w:val="00F965E9"/>
    <w:rsid w:val="00FA05C5"/>
    <w:rsid w:val="00FA3F16"/>
    <w:rsid w:val="00FB425C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ADEDE-E905-4E97-A01A-0B6EA480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A65E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D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A00"/>
    <w:rPr>
      <w:rFonts w:ascii="Tahoma" w:hAnsi="Tahoma" w:cs="Tahoma"/>
      <w:sz w:val="16"/>
      <w:szCs w:val="16"/>
    </w:rPr>
  </w:style>
  <w:style w:type="paragraph" w:styleId="a6">
    <w:name w:val="footnote text"/>
    <w:aliases w:val="Table_Footnote_last,Текст сноски-FN,Oaeno niinee-FN,Oaeno niinee Ciae,Footnote Text Char Знак Знак,Footnote Text Char Знак,single space,Footnote Text Char Char,Footnote Text Char Char Char Char,Footnote Text1,footnote te,F1,Footnote Text Ch"/>
    <w:basedOn w:val="a"/>
    <w:link w:val="a7"/>
    <w:uiPriority w:val="99"/>
    <w:unhideWhenUsed/>
    <w:qFormat/>
    <w:rsid w:val="00D75BF2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aliases w:val="Table_Footnote_last Знак,Текст сноски-FN Знак,Oaeno niinee-FN Знак,Oaeno niinee Ciae Знак,Footnote Text Char Знак Знак Знак,Footnote Text Char Знак Знак1,single space Знак,Footnote Text Char Char Знак,Footnote Text1 Знак,F1 Знак"/>
    <w:basedOn w:val="a0"/>
    <w:link w:val="a6"/>
    <w:uiPriority w:val="99"/>
    <w:qFormat/>
    <w:rsid w:val="00D75BF2"/>
    <w:rPr>
      <w:sz w:val="20"/>
      <w:szCs w:val="20"/>
    </w:rPr>
  </w:style>
  <w:style w:type="character" w:styleId="a8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basedOn w:val="a0"/>
    <w:link w:val="1"/>
    <w:uiPriority w:val="99"/>
    <w:unhideWhenUsed/>
    <w:qFormat/>
    <w:rsid w:val="00D75BF2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41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11333"/>
  </w:style>
  <w:style w:type="paragraph" w:styleId="ab">
    <w:name w:val="footer"/>
    <w:basedOn w:val="a"/>
    <w:link w:val="ac"/>
    <w:uiPriority w:val="99"/>
    <w:unhideWhenUsed/>
    <w:rsid w:val="00411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11333"/>
  </w:style>
  <w:style w:type="paragraph" w:styleId="ad">
    <w:name w:val="List Paragraph"/>
    <w:aliases w:val="Абзац нумерованного списка,ТЗОТ Текст 2 уровня. Без оглавления,Table-Normal,RSHB_Table-Normal,Num Bullet 1,lp1,Подпись рисунка,Маркированный список_уровень1,Bullet List,FooterText,numbered,Нумерованый список,SL_Абзац списка,ПАРАГРАФ,СПИСОК"/>
    <w:basedOn w:val="a"/>
    <w:link w:val="ae"/>
    <w:uiPriority w:val="34"/>
    <w:qFormat/>
    <w:rsid w:val="00B100DE"/>
    <w:pPr>
      <w:ind w:left="720"/>
      <w:contextualSpacing/>
    </w:pPr>
  </w:style>
  <w:style w:type="paragraph" w:customStyle="1" w:styleId="Default">
    <w:name w:val="Default"/>
    <w:rsid w:val="00C029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Знак сноски1"/>
    <w:basedOn w:val="a"/>
    <w:link w:val="a8"/>
    <w:uiPriority w:val="99"/>
    <w:qFormat/>
    <w:rsid w:val="00FB42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styleId="af">
    <w:name w:val="annotation text"/>
    <w:basedOn w:val="a"/>
    <w:link w:val="af0"/>
    <w:unhideWhenUsed/>
    <w:rsid w:val="00485CC2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485C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annotation reference"/>
    <w:uiPriority w:val="99"/>
    <w:unhideWhenUsed/>
    <w:rsid w:val="00485CC2"/>
    <w:rPr>
      <w:sz w:val="16"/>
      <w:szCs w:val="16"/>
    </w:rPr>
  </w:style>
  <w:style w:type="character" w:customStyle="1" w:styleId="ae">
    <w:name w:val="Абзац списка Знак"/>
    <w:aliases w:val="Абзац нумерованного списка Знак,ТЗОТ Текст 2 уровня. Без оглавления Знак,Table-Normal Знак,RSHB_Table-Normal Знак,Num Bullet 1 Знак,lp1 Знак,Подпись рисунка Знак,Маркированный список_уровень1 Знак,Bullet List Знак,FooterText Знак"/>
    <w:link w:val="ad"/>
    <w:uiPriority w:val="34"/>
    <w:qFormat/>
    <w:rsid w:val="00E57FAB"/>
  </w:style>
  <w:style w:type="paragraph" w:styleId="af2">
    <w:name w:val="annotation subject"/>
    <w:basedOn w:val="af"/>
    <w:next w:val="af"/>
    <w:link w:val="af3"/>
    <w:uiPriority w:val="99"/>
    <w:semiHidden/>
    <w:unhideWhenUsed/>
    <w:rsid w:val="00A85921"/>
    <w:pPr>
      <w:overflowPunct/>
      <w:autoSpaceDE/>
      <w:autoSpaceDN/>
      <w:adjustRightInd/>
      <w:spacing w:after="160" w:line="240" w:lineRule="auto"/>
      <w:ind w:left="0" w:right="0"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0"/>
    <w:link w:val="af2"/>
    <w:uiPriority w:val="99"/>
    <w:semiHidden/>
    <w:rsid w:val="00A859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22374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D7D39-1FF7-4AF5-9C26-3227BF9C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4333</Words>
  <Characters>24699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Хоботова Ольга Ивановна</dc:creator>
  <cp:lastModifiedBy>Челышева Елена Борисовна</cp:lastModifiedBy>
  <cp:revision>2</cp:revision>
  <cp:lastPrinted>2025-01-29T08:37:00Z</cp:lastPrinted>
  <dcterms:created xsi:type="dcterms:W3CDTF">2025-02-04T07:04:00Z</dcterms:created>
  <dcterms:modified xsi:type="dcterms:W3CDTF">2025-02-04T07:04:00Z</dcterms:modified>
</cp:coreProperties>
</file>