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E5F" w:rsidRDefault="00B26E5F" w:rsidP="007C3E1E">
      <w:pPr>
        <w:jc w:val="right"/>
        <w:rPr>
          <w:rFonts w:ascii="Times New Roman" w:hAnsi="Times New Roman"/>
          <w:sz w:val="24"/>
          <w:szCs w:val="24"/>
          <w:lang w:eastAsia="ru-RU"/>
        </w:rPr>
      </w:pPr>
      <w:bookmarkStart w:id="0" w:name="_GoBack"/>
      <w:bookmarkEnd w:id="0"/>
      <w:r w:rsidRPr="007C3E1E">
        <w:rPr>
          <w:rFonts w:ascii="Times New Roman" w:hAnsi="Times New Roman"/>
          <w:sz w:val="24"/>
          <w:szCs w:val="24"/>
          <w:lang w:eastAsia="ru-RU"/>
        </w:rPr>
        <w:t>Приложение № 1</w:t>
      </w:r>
      <w:r w:rsidRPr="00DF124E">
        <w:rPr>
          <w:rFonts w:ascii="Times New Roman" w:hAnsi="Times New Roman"/>
          <w:sz w:val="24"/>
          <w:szCs w:val="24"/>
          <w:lang w:eastAsia="ru-RU"/>
        </w:rPr>
        <w:t xml:space="preserve"> </w:t>
      </w:r>
      <w:r w:rsidRPr="007C3E1E">
        <w:rPr>
          <w:rFonts w:ascii="Times New Roman" w:hAnsi="Times New Roman"/>
          <w:sz w:val="24"/>
          <w:szCs w:val="24"/>
          <w:lang w:eastAsia="ru-RU"/>
        </w:rPr>
        <w:t>Основные элементы</w:t>
      </w:r>
      <w:r>
        <w:rPr>
          <w:rFonts w:ascii="Times New Roman" w:hAnsi="Times New Roman"/>
          <w:sz w:val="24"/>
          <w:szCs w:val="24"/>
          <w:lang w:eastAsia="ru-RU"/>
        </w:rPr>
        <w:t xml:space="preserve"> </w:t>
      </w:r>
      <w:r w:rsidRPr="007C3E1E">
        <w:rPr>
          <w:rFonts w:ascii="Times New Roman" w:hAnsi="Times New Roman"/>
          <w:sz w:val="24"/>
          <w:szCs w:val="24"/>
          <w:lang w:eastAsia="ru-RU"/>
        </w:rPr>
        <w:t>платы за негативное воздействие на окружающую среду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3"/>
        <w:gridCol w:w="7050"/>
      </w:tblGrid>
      <w:tr w:rsidR="00B26E5F" w:rsidRPr="00B0159F" w:rsidTr="007C3E1E">
        <w:trPr>
          <w:jc w:val="center"/>
        </w:trPr>
        <w:tc>
          <w:tcPr>
            <w:tcW w:w="2413" w:type="dxa"/>
            <w:vAlign w:val="center"/>
          </w:tcPr>
          <w:p w:rsidR="00B26E5F" w:rsidRPr="007C3E1E" w:rsidRDefault="00B26E5F" w:rsidP="007C3E1E">
            <w:pPr>
              <w:spacing w:after="0" w:line="360" w:lineRule="auto"/>
              <w:jc w:val="center"/>
              <w:rPr>
                <w:rFonts w:ascii="Times New Roman" w:hAnsi="Times New Roman"/>
                <w:sz w:val="24"/>
                <w:szCs w:val="24"/>
                <w:lang w:eastAsia="ru-RU"/>
              </w:rPr>
            </w:pPr>
            <w:r w:rsidRPr="007C3E1E">
              <w:rPr>
                <w:rFonts w:ascii="Times New Roman" w:hAnsi="Times New Roman"/>
                <w:sz w:val="24"/>
                <w:szCs w:val="24"/>
                <w:lang w:eastAsia="ru-RU"/>
              </w:rPr>
              <w:t>Плательщики</w:t>
            </w:r>
          </w:p>
        </w:tc>
        <w:tc>
          <w:tcPr>
            <w:tcW w:w="7050" w:type="dxa"/>
          </w:tcPr>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 при размещении отходов, за исключением твердых коммунальных отходов, - юридические лица и индивидуальные предприниматели, при осуществлении которыми хозяйственной и (или) иной деятельности образовались отходы;</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 при размещении твердых коммунальных отходов -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tc>
      </w:tr>
      <w:tr w:rsidR="00B26E5F" w:rsidRPr="00B0159F" w:rsidTr="007C3E1E">
        <w:trPr>
          <w:jc w:val="center"/>
        </w:trPr>
        <w:tc>
          <w:tcPr>
            <w:tcW w:w="2413" w:type="dxa"/>
            <w:vAlign w:val="center"/>
          </w:tcPr>
          <w:p w:rsidR="00B26E5F" w:rsidRPr="007C3E1E" w:rsidRDefault="00B26E5F" w:rsidP="007C3E1E">
            <w:pPr>
              <w:spacing w:after="0" w:line="360" w:lineRule="auto"/>
              <w:jc w:val="center"/>
              <w:rPr>
                <w:rFonts w:ascii="Times New Roman" w:hAnsi="Times New Roman"/>
                <w:sz w:val="24"/>
                <w:szCs w:val="24"/>
                <w:lang w:eastAsia="ru-RU"/>
              </w:rPr>
            </w:pPr>
            <w:r w:rsidRPr="007C3E1E">
              <w:rPr>
                <w:rFonts w:ascii="Times New Roman" w:hAnsi="Times New Roman"/>
                <w:sz w:val="24"/>
                <w:szCs w:val="24"/>
                <w:lang w:eastAsia="ru-RU"/>
              </w:rPr>
              <w:t>Объект обложения</w:t>
            </w:r>
          </w:p>
        </w:tc>
        <w:tc>
          <w:tcPr>
            <w:tcW w:w="7050" w:type="dxa"/>
          </w:tcPr>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 xml:space="preserve">выбросы загрязняющих веществ в </w:t>
            </w:r>
            <w:r w:rsidRPr="007C3E1E">
              <w:rPr>
                <w:rFonts w:ascii="Times New Roman" w:hAnsi="Times New Roman"/>
                <w:sz w:val="20"/>
                <w:szCs w:val="20"/>
                <w:lang w:eastAsia="ru-RU"/>
              </w:rPr>
              <w:t>атмосферный</w:t>
            </w:r>
            <w:r w:rsidRPr="007C3E1E">
              <w:rPr>
                <w:rFonts w:ascii="Times New Roman" w:hAnsi="Times New Roman"/>
                <w:sz w:val="24"/>
                <w:szCs w:val="24"/>
                <w:lang w:eastAsia="ru-RU"/>
              </w:rPr>
              <w:t xml:space="preserve"> воздух стационарными источниками;</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сбросы загрязняющих веществ в водные объекты;</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хранение, захоронение отходов производства и потребления (размещение отходов).</w:t>
            </w:r>
          </w:p>
        </w:tc>
      </w:tr>
      <w:tr w:rsidR="00B26E5F" w:rsidRPr="00B0159F" w:rsidTr="007C3E1E">
        <w:trPr>
          <w:jc w:val="center"/>
        </w:trPr>
        <w:tc>
          <w:tcPr>
            <w:tcW w:w="2413" w:type="dxa"/>
            <w:vAlign w:val="center"/>
          </w:tcPr>
          <w:p w:rsidR="00B26E5F" w:rsidRPr="007C3E1E" w:rsidRDefault="00B26E5F" w:rsidP="007C3E1E">
            <w:pPr>
              <w:spacing w:after="0" w:line="360" w:lineRule="auto"/>
              <w:jc w:val="center"/>
              <w:rPr>
                <w:rFonts w:ascii="Times New Roman" w:hAnsi="Times New Roman"/>
                <w:sz w:val="24"/>
                <w:szCs w:val="24"/>
                <w:lang w:eastAsia="ru-RU"/>
              </w:rPr>
            </w:pPr>
            <w:r w:rsidRPr="007C3E1E">
              <w:rPr>
                <w:rFonts w:ascii="Times New Roman" w:hAnsi="Times New Roman"/>
                <w:sz w:val="24"/>
                <w:szCs w:val="24"/>
                <w:lang w:eastAsia="ru-RU"/>
              </w:rPr>
              <w:t>Ставка сбора</w:t>
            </w:r>
          </w:p>
        </w:tc>
        <w:tc>
          <w:tcPr>
            <w:tcW w:w="7050" w:type="dxa"/>
          </w:tcPr>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Ставки платы за НВОС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 (ст.16.3 Федерального закона № 7-ФЗ).</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Ставки платы установлены за 1 тонну загрязняющих веществ (отходов производства и потребления) в зависимости от их вида.</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Ставки установлены постановлением Правительства РФ № 913.</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В 2019 году применялись ставки платы за НВОС, установленные на 2018 год, с использованием дополнительно к иным коэффициентам коэффициента 1,04 (постановление № 758).</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 xml:space="preserve">В 2020 году применялись ставки платы, установленные на 2018 год, с использованием дополнительно к иным коэффициентам коэффициента 1,08. Ставка платы за выбросы загрязняющих веществ в атмосферный воздух стационарными источниками в отношении пыли каменного угля установлена в размере 61 рубль за тонну (постановление Правительства РФ от 24 января </w:t>
            </w:r>
            <w:smartTag w:uri="urn:schemas-microsoft-com:office:smarttags" w:element="metricconverter">
              <w:smartTagPr>
                <w:attr w:name="ProductID" w:val="2020 г"/>
              </w:smartTagPr>
              <w:r w:rsidRPr="007C3E1E">
                <w:rPr>
                  <w:rFonts w:ascii="Times New Roman" w:hAnsi="Times New Roman"/>
                  <w:sz w:val="24"/>
                  <w:szCs w:val="24"/>
                  <w:lang w:eastAsia="ru-RU"/>
                </w:rPr>
                <w:t>2020 г</w:t>
              </w:r>
            </w:smartTag>
            <w:r w:rsidRPr="007C3E1E">
              <w:rPr>
                <w:rFonts w:ascii="Times New Roman" w:hAnsi="Times New Roman"/>
                <w:sz w:val="24"/>
                <w:szCs w:val="24"/>
                <w:lang w:eastAsia="ru-RU"/>
              </w:rPr>
              <w:t>. № 39).</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Значения ставок на 2021 год сохранились на том же уровне (постановление Правительства РФ от 11.09.2020 № 1393).</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Ставки платы за НВОС при размещении твердых коммунальных отходов IV класса опасности утв. постановлением № 758.</w:t>
            </w:r>
          </w:p>
        </w:tc>
      </w:tr>
      <w:tr w:rsidR="00B26E5F" w:rsidRPr="00B0159F" w:rsidTr="007C3E1E">
        <w:trPr>
          <w:jc w:val="center"/>
        </w:trPr>
        <w:tc>
          <w:tcPr>
            <w:tcW w:w="2413" w:type="dxa"/>
            <w:vAlign w:val="center"/>
          </w:tcPr>
          <w:p w:rsidR="00B26E5F" w:rsidRPr="007C3E1E" w:rsidRDefault="00B26E5F" w:rsidP="007C3E1E">
            <w:pPr>
              <w:spacing w:after="0" w:line="360" w:lineRule="auto"/>
              <w:jc w:val="center"/>
              <w:rPr>
                <w:rFonts w:ascii="Times New Roman" w:hAnsi="Times New Roman"/>
                <w:sz w:val="24"/>
                <w:szCs w:val="24"/>
                <w:lang w:eastAsia="ru-RU"/>
              </w:rPr>
            </w:pPr>
            <w:r w:rsidRPr="007C3E1E">
              <w:rPr>
                <w:rFonts w:ascii="Times New Roman" w:hAnsi="Times New Roman"/>
                <w:sz w:val="24"/>
                <w:szCs w:val="24"/>
                <w:lang w:eastAsia="ru-RU"/>
              </w:rPr>
              <w:lastRenderedPageBreak/>
              <w:t>Порядок исчисления сбора</w:t>
            </w:r>
          </w:p>
        </w:tc>
        <w:tc>
          <w:tcPr>
            <w:tcW w:w="7050" w:type="dxa"/>
          </w:tcPr>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Порядок определения платежной базы установлен ст.16.2 Федерального закона № 7-ФЗ и постановлением № 255.</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Платежной базой является объем или масса выбросов загрязняющих веществ, сбросов загрязняющих веществ либо объем или масса размещенных в отчетном периоде (отчетным периодом признается календарный год) отходов производства и потребления.</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Плата за НВОС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(утв. Распоряжением № 1316-р), по классу опасности отходов производства и потребления на соответствующие ставки указанной платы с применением коэффициентов, установленных статьей 16.3. Федерального закона № 7-ФЗ, и суммирования полученных величин.</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Статьей 16.3 Федерального закона № 7-ФЗ установлены следующие коэффициенты, применяемые при исчислении платы за НВОС:</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 (пункт 3);</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 стимулирующие коэффициенты (проведение мероприятий по снижению негативного воздействия на окружающую среду и внедрению наилучших доступных технологий – пункт 5 (применяется с 1 января 2020 года); проведение мероприятий по снижению негативного воздействия на окружающую среду при исчислении платы за НВОС при размещении отходов - пункт 6;</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 xml:space="preserve">-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показатели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w:t>
            </w:r>
            <w:r w:rsidRPr="007C3E1E">
              <w:rPr>
                <w:rFonts w:ascii="Times New Roman" w:hAnsi="Times New Roman"/>
                <w:sz w:val="24"/>
                <w:szCs w:val="24"/>
                <w:lang w:eastAsia="ru-RU"/>
              </w:rPr>
              <w:lastRenderedPageBreak/>
              <w:t>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 (пункт 6.1);</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 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НВОС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абзацах шестом и восьмом пункта 5 статьи 16.3, применяется коэффициент 1;</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 (пункт 9).</w:t>
            </w:r>
          </w:p>
          <w:p w:rsidR="00B26E5F" w:rsidRPr="007C3E1E" w:rsidRDefault="00B26E5F" w:rsidP="007C3E1E">
            <w:pPr>
              <w:spacing w:after="0" w:line="259" w:lineRule="auto"/>
              <w:ind w:firstLine="709"/>
              <w:jc w:val="both"/>
              <w:rPr>
                <w:rFonts w:ascii="Times New Roman" w:hAnsi="Times New Roman"/>
                <w:sz w:val="24"/>
                <w:szCs w:val="24"/>
                <w:lang w:eastAsia="ru-RU"/>
              </w:rPr>
            </w:pPr>
            <w:r w:rsidRPr="007C3E1E">
              <w:rPr>
                <w:rFonts w:ascii="Times New Roman" w:hAnsi="Times New Roman"/>
                <w:sz w:val="24"/>
                <w:szCs w:val="24"/>
                <w:lang w:eastAsia="ru-RU"/>
              </w:rPr>
              <w:t>Из суммы платы за НВОС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НВОС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 (пункты 11, 12.1), а также для организаций, эксплуатирующих централизованные системы водоотведения поселений или городских округов, вычитается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tc>
      </w:tr>
      <w:tr w:rsidR="00B26E5F" w:rsidRPr="00B0159F" w:rsidTr="007C3E1E">
        <w:trPr>
          <w:jc w:val="center"/>
        </w:trPr>
        <w:tc>
          <w:tcPr>
            <w:tcW w:w="2413" w:type="dxa"/>
            <w:vAlign w:val="center"/>
          </w:tcPr>
          <w:p w:rsidR="00B26E5F" w:rsidRPr="007C3E1E" w:rsidRDefault="00B26E5F" w:rsidP="007C3E1E">
            <w:pPr>
              <w:spacing w:after="0" w:line="360" w:lineRule="auto"/>
              <w:jc w:val="center"/>
              <w:rPr>
                <w:rFonts w:ascii="Times New Roman" w:hAnsi="Times New Roman"/>
                <w:sz w:val="24"/>
                <w:szCs w:val="24"/>
                <w:lang w:eastAsia="ru-RU"/>
              </w:rPr>
            </w:pPr>
            <w:r w:rsidRPr="007C3E1E">
              <w:rPr>
                <w:rFonts w:ascii="Times New Roman" w:hAnsi="Times New Roman"/>
                <w:sz w:val="24"/>
                <w:szCs w:val="24"/>
                <w:lang w:eastAsia="ru-RU"/>
              </w:rPr>
              <w:lastRenderedPageBreak/>
              <w:t>Сроки уплаты сбора</w:t>
            </w:r>
          </w:p>
        </w:tc>
        <w:tc>
          <w:tcPr>
            <w:tcW w:w="7050" w:type="dxa"/>
          </w:tcPr>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Отчетным периодом признается календарный год.</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 xml:space="preserve">Плата, исчисленная по итогам отчетного периода, с учетом корректировки ее размера вносится не позднее 1-го марта года, следующего за отчетным периодом. </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 xml:space="preserve">Лица, обязанные вносить плату, за исключением субъектов малого и среднего предпринимательства, вносят квартальные </w:t>
            </w:r>
            <w:r w:rsidRPr="007C3E1E">
              <w:rPr>
                <w:rFonts w:ascii="Times New Roman" w:hAnsi="Times New Roman"/>
                <w:sz w:val="24"/>
                <w:szCs w:val="24"/>
                <w:lang w:eastAsia="ru-RU"/>
              </w:rPr>
              <w:lastRenderedPageBreak/>
              <w:t xml:space="preserve">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Указанные лица вправе выбрать один из трех способов определения размера квартального авансового платежа: </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а) в размере одной четвертой части суммы платы, подлежащей уплате (с учетом корректировки размера платы, осуществляемой в соответствии с пунктами 10 - 12.1 статьи 16.3 Федерального закона «Об охране окружающей среды») за предыдущий отчетный период.</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б) в размере одной четвертой части суммы платы,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 xml:space="preserve">в) в размере суммы платы, определенной путем умножения платежной базы, которая определена исходя из объема или массы выбросов загрязняющих веществ, сбросов загрязняющих веществ либо объема или массы размещенных отходов производства и потребления, определенных по результатам производственного экологического контроля в предыдущем квартале текущего отчетного периода, на соответствующие ставки платы с применением коэффициентов, установленных статьей 16.3 Федерального закона «Об охране окружающей среды». </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Квартальные авансовые платежи не вносятся в текущем отчетном периоде, в случае начала осуществления хозяйственной и (или) иной деятельности в течение этого отчетного периода.</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За несвоевременное или неполное внесение платы, в том числе квартальных авансовых платежей, начисляется пени в размере одной трехсотой действующей на день уплаты пеней ключевой ставки Банка России, но не более чем в размере 0,2 процента за каждый день просрочки, начиная со следующего дня после окончания установленных сроков уплаты.</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(статья 16.4 Федерального закона № 7-ФЗ, постановление № 255).</w:t>
            </w:r>
          </w:p>
        </w:tc>
      </w:tr>
      <w:tr w:rsidR="00B26E5F" w:rsidRPr="00B0159F" w:rsidTr="007C3E1E">
        <w:trPr>
          <w:jc w:val="center"/>
        </w:trPr>
        <w:tc>
          <w:tcPr>
            <w:tcW w:w="2413" w:type="dxa"/>
            <w:vAlign w:val="center"/>
          </w:tcPr>
          <w:p w:rsidR="00B26E5F" w:rsidRPr="007C3E1E" w:rsidRDefault="00B26E5F" w:rsidP="007C3E1E">
            <w:pPr>
              <w:spacing w:after="0" w:line="360" w:lineRule="auto"/>
              <w:jc w:val="center"/>
              <w:rPr>
                <w:rFonts w:ascii="Times New Roman" w:hAnsi="Times New Roman"/>
                <w:sz w:val="24"/>
                <w:szCs w:val="24"/>
                <w:lang w:eastAsia="ru-RU"/>
              </w:rPr>
            </w:pPr>
            <w:r w:rsidRPr="007C3E1E">
              <w:rPr>
                <w:rFonts w:ascii="Times New Roman" w:hAnsi="Times New Roman"/>
                <w:sz w:val="24"/>
                <w:szCs w:val="24"/>
                <w:lang w:eastAsia="ru-RU"/>
              </w:rPr>
              <w:lastRenderedPageBreak/>
              <w:t>Отчетность</w:t>
            </w:r>
          </w:p>
        </w:tc>
        <w:tc>
          <w:tcPr>
            <w:tcW w:w="7050" w:type="dxa"/>
          </w:tcPr>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Декларация о плате за НВОС представляется не позднее 10-го марта года, следующего за отчетным периодом.</w:t>
            </w:r>
          </w:p>
        </w:tc>
      </w:tr>
      <w:tr w:rsidR="00B26E5F" w:rsidRPr="00B0159F" w:rsidTr="007C3E1E">
        <w:trPr>
          <w:jc w:val="center"/>
        </w:trPr>
        <w:tc>
          <w:tcPr>
            <w:tcW w:w="2413" w:type="dxa"/>
            <w:vAlign w:val="center"/>
          </w:tcPr>
          <w:p w:rsidR="00B26E5F" w:rsidRPr="007C3E1E" w:rsidRDefault="00B26E5F" w:rsidP="007C3E1E">
            <w:pPr>
              <w:spacing w:after="0" w:line="360" w:lineRule="auto"/>
              <w:jc w:val="center"/>
              <w:rPr>
                <w:rFonts w:ascii="Times New Roman" w:hAnsi="Times New Roman"/>
                <w:sz w:val="24"/>
                <w:szCs w:val="24"/>
                <w:lang w:eastAsia="ru-RU"/>
              </w:rPr>
            </w:pPr>
            <w:r w:rsidRPr="007C3E1E">
              <w:rPr>
                <w:rFonts w:ascii="Times New Roman" w:hAnsi="Times New Roman"/>
                <w:sz w:val="24"/>
                <w:szCs w:val="24"/>
                <w:lang w:eastAsia="ru-RU"/>
              </w:rPr>
              <w:t>Меры ответственности</w:t>
            </w:r>
          </w:p>
        </w:tc>
        <w:tc>
          <w:tcPr>
            <w:tcW w:w="7050" w:type="dxa"/>
          </w:tcPr>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Согласно ст.75 Федерального закона № 7-ФЗ) за нарушение законодательства в области охраны окружающей среды устанавливается:</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 xml:space="preserve">имущественная ответственность (ГК РФ – возмещение вреда), </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 xml:space="preserve">дисциплинарная ответственность (ст.192 ТК РФ, ст.57 Федерального закона от 27.07.2004 № 79-ФЗ «О государственной гражданской службе Российской Федерации», </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административная ответственность (глава 8 КоАП РФ «Административная ответственность в области охраны окружающей среды и природопользования»</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lastRenderedPageBreak/>
              <w:t>уголовная ответственность (глава 26 «Экологические преступления» УК РФ).</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 (статья 77 Федерального закона № 7-ФЗ).</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 (ст. 79 Федерального закона № 7-ФЗ).</w:t>
            </w:r>
          </w:p>
          <w:p w:rsidR="00B26E5F" w:rsidRPr="007C3E1E" w:rsidRDefault="00B26E5F" w:rsidP="007C3E1E">
            <w:pPr>
              <w:spacing w:after="0" w:line="259" w:lineRule="auto"/>
              <w:jc w:val="both"/>
              <w:rPr>
                <w:rFonts w:ascii="Times New Roman" w:hAnsi="Times New Roman"/>
                <w:sz w:val="24"/>
                <w:szCs w:val="24"/>
                <w:lang w:eastAsia="ru-RU"/>
              </w:rPr>
            </w:pPr>
            <w:r w:rsidRPr="007C3E1E">
              <w:rPr>
                <w:rFonts w:ascii="Times New Roman" w:hAnsi="Times New Roman"/>
                <w:sz w:val="24"/>
                <w:szCs w:val="24"/>
                <w:lang w:eastAsia="ru-RU"/>
              </w:rPr>
              <w:t>Ответственность за неуплату платы за НВОС действующим законодательством Российской Федерации не установлена.</w:t>
            </w:r>
          </w:p>
        </w:tc>
      </w:tr>
    </w:tbl>
    <w:p w:rsidR="00B26E5F" w:rsidRDefault="00B26E5F" w:rsidP="007C3E1E">
      <w:pPr>
        <w:jc w:val="right"/>
      </w:pPr>
    </w:p>
    <w:sectPr w:rsidR="00B26E5F" w:rsidSect="007C3E1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1E"/>
    <w:rsid w:val="007C3E1E"/>
    <w:rsid w:val="00884A82"/>
    <w:rsid w:val="00B0159F"/>
    <w:rsid w:val="00B26E5F"/>
    <w:rsid w:val="00CC3A15"/>
    <w:rsid w:val="00D74820"/>
    <w:rsid w:val="00DF124E"/>
    <w:rsid w:val="00E22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A1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pPr>
      <w:spacing w:after="0" w:line="240" w:lineRule="auto"/>
    </w:pPr>
    <w:rPr>
      <w:rFonts w:ascii="Tahoma" w:hAnsi="Tahoma" w:cs="Tahoma"/>
      <w:sz w:val="16"/>
      <w:szCs w:val="16"/>
      <w:lang w:eastAsia="ru-RU"/>
    </w:rPr>
  </w:style>
  <w:style w:type="character" w:customStyle="1" w:styleId="a4">
    <w:name w:val="Текст выноски Знак"/>
    <w:basedOn w:val="a0"/>
    <w:link w:val="a3"/>
    <w:uiPriority w:val="99"/>
    <w:semiHidden/>
    <w:rsid w:val="00DE6D81"/>
    <w:rPr>
      <w:rFonts w:ascii="Times New Roman" w:hAnsi="Times New Roman"/>
      <w:sz w:val="0"/>
      <w:szCs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A1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pPr>
      <w:spacing w:after="0" w:line="240" w:lineRule="auto"/>
    </w:pPr>
    <w:rPr>
      <w:rFonts w:ascii="Tahoma" w:hAnsi="Tahoma" w:cs="Tahoma"/>
      <w:sz w:val="16"/>
      <w:szCs w:val="16"/>
      <w:lang w:eastAsia="ru-RU"/>
    </w:rPr>
  </w:style>
  <w:style w:type="character" w:customStyle="1" w:styleId="a4">
    <w:name w:val="Текст выноски Знак"/>
    <w:basedOn w:val="a0"/>
    <w:link w:val="a3"/>
    <w:uiPriority w:val="99"/>
    <w:semiHidden/>
    <w:rsid w:val="00DE6D81"/>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1637</Words>
  <Characters>9333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Терехова Мария Александровна</dc:creator>
  <cp:lastModifiedBy>Поборцева О.В.</cp:lastModifiedBy>
  <cp:revision>2</cp:revision>
  <dcterms:created xsi:type="dcterms:W3CDTF">2021-07-12T15:16:00Z</dcterms:created>
  <dcterms:modified xsi:type="dcterms:W3CDTF">2021-07-12T15:16:00Z</dcterms:modified>
</cp:coreProperties>
</file>