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0C44F" w14:textId="0412362C" w:rsidR="00FC075C" w:rsidRDefault="00FC075C" w:rsidP="00FC075C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A676B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</w:p>
    <w:p w14:paraId="2AB7BB2E" w14:textId="77777777" w:rsidR="009708A7" w:rsidRPr="00FC075C" w:rsidRDefault="009708A7" w:rsidP="00FC075C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49B31" w14:textId="0A2A09F4" w:rsidR="00FC075C" w:rsidRDefault="007E2AAA" w:rsidP="008B57B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E2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Информация </w:t>
      </w:r>
      <w:r w:rsidR="000A6B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7E2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результатах а</w:t>
      </w:r>
      <w:r w:rsidR="00FC075C" w:rsidRPr="007E2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нализ</w:t>
      </w:r>
      <w:r w:rsidRPr="007E2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="00FC075C" w:rsidRPr="007E2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причин и последствий несоответствия данных </w:t>
      </w:r>
      <w:r w:rsidR="009708A7" w:rsidRP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контрольны</w:t>
      </w:r>
      <w:r w:rsid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</w:t>
      </w:r>
      <w:r w:rsidR="009708A7" w:rsidRP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(надзорны</w:t>
      </w:r>
      <w:r w:rsid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</w:t>
      </w:r>
      <w:r w:rsidR="009708A7" w:rsidRP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 орган</w:t>
      </w:r>
      <w:r w:rsid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</w:t>
      </w:r>
      <w:r w:rsidR="009708A7" w:rsidRP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C075C" w:rsidRPr="007E2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 объектах контроля сведениям, представленным в </w:t>
      </w:r>
      <w:r w:rsidR="000D538D" w:rsidRPr="000D53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едином реестре видов федерального государственного контроля (надзора), регионального государственного контроля (надзора), муниципального контроля</w:t>
      </w:r>
    </w:p>
    <w:p w14:paraId="11128B95" w14:textId="77777777" w:rsidR="007E2AAA" w:rsidRPr="007E2AAA" w:rsidRDefault="007E2AAA" w:rsidP="008B57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1925F" w14:textId="13D4953A" w:rsidR="00FC075C" w:rsidRPr="00FC075C" w:rsidRDefault="00FC075C" w:rsidP="008B57B9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9708A7" w:rsidRP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контрольны</w:t>
      </w:r>
      <w:r w:rsid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</w:t>
      </w:r>
      <w:r w:rsidR="009708A7" w:rsidRP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(надзорны</w:t>
      </w:r>
      <w:r w:rsid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</w:t>
      </w:r>
      <w:r w:rsidR="009708A7" w:rsidRP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 орган</w:t>
      </w:r>
      <w:r w:rsid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</w:t>
      </w:r>
      <w:r w:rsidR="009708A7" w:rsidRPr="0097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8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КНО)</w:t>
      </w:r>
      <w:r w:rsidRPr="00FC0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отнесении объектов контроля к категориям риска причинения вреда (ущерба) в рамках осуществления вида контроля принимаются путем подписания </w:t>
      </w:r>
      <w:r w:rsidR="00143C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70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38D" w:rsidRPr="00D412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едином реестре видов федерального государственного контроля (надзора), </w:t>
      </w:r>
      <w:r w:rsidR="000D538D" w:rsidRPr="000D53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регионального государственного контроля (надзора), муниципального контроля (далее – </w:t>
      </w:r>
      <w:r w:rsidR="00143CBC" w:rsidRPr="000D538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ЕРВК</w:t>
      </w:r>
      <w:r w:rsidR="000D538D" w:rsidRPr="000D53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43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7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об объекте контроля с указанием сведений о контролируемом лице, описания объекта контроля и присвоенной категории риска</w:t>
      </w:r>
      <w:r w:rsidRPr="00FC07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FC0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D905AC" w14:textId="09BF3642" w:rsidR="00FC075C" w:rsidRPr="00FC075C" w:rsidRDefault="00FC075C" w:rsidP="00FC075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C07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Порядок отнесения объектов контроля к категориям риска определен в статье 24 </w:t>
      </w:r>
      <w:r w:rsidR="000A6B19" w:rsidRPr="00EF624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Федерального закона</w:t>
      </w:r>
      <w:r w:rsidR="000A6B1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0A6B19" w:rsidRPr="00EF624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от 31 июля 2020 г. № 248-ФЗ «О государственном контроле (надзоре) и муниципальном контроле в Российской Федерации»</w:t>
      </w:r>
      <w:r w:rsidR="000A6B1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(далее</w:t>
      </w:r>
      <w:r w:rsidR="00C22FC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 </w:t>
      </w:r>
      <w:r w:rsidR="00C22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C07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Закона № 248-ФЗ</w:t>
      </w:r>
      <w:r w:rsidR="000A6B1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)</w:t>
      </w:r>
      <w:r w:rsidRPr="00FC07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 В целях отнесения объектов контроля к категориям риска КНО необходимо обеспечить соответствующий сбор, обработку, анализ и учет сведений об объектах контроля.</w:t>
      </w:r>
    </w:p>
    <w:p w14:paraId="38BB9C68" w14:textId="77777777" w:rsidR="00FC075C" w:rsidRPr="00FC075C" w:rsidRDefault="00FC075C" w:rsidP="00FC075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Учет объектов контроля осуществляется как в ЕРВК, так и посредством информационных систем, операторами которых являются КНО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  <w:footnoteReference w:id="2"/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которые должны иметь возможность передачи данных об объектах контроля в ЕРВК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  <w:footnoteReference w:id="3"/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106C249D" w14:textId="4C579CE0" w:rsidR="00FC075C" w:rsidRPr="00FC075C" w:rsidRDefault="00FC075C" w:rsidP="00FC075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Анализ информации КНО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  <w:footnoteReference w:id="4"/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показал, что для учета объектов контроля только</w:t>
      </w:r>
      <w:r w:rsidRPr="00FC0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B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восьмью 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 12 КНО использовались созданные ими информационные системы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Роспотребнадзором, Росприроднадзором, ФМБА и Росрыболовством учет объектов контроля осуществлялся только путем занесения соответствующих сведений в ЕРВК.</w:t>
      </w:r>
    </w:p>
    <w:p w14:paraId="1FC564EB" w14:textId="73998FD9" w:rsidR="00FC075C" w:rsidRDefault="00FC075C" w:rsidP="00FC075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Анализ сведений КНО об общем количестве объектов контроля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  <w:footnoteReference w:id="5"/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31 декабря 2023 года и соответствующих данных Минэкономразвития России на указанную дату, выгруженных из ЕРВК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  <w:footnoteReference w:id="6"/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показал значительные отклонения (представлены в следующей таблице), что обусловлено либо внесением КНО в ЕРВК данных только в отношении объектов контроля, в которых планируется проведение контрольных (надзорных) мероприятий</w:t>
      </w:r>
      <w:r w:rsidR="00A80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(далее – КНМ)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наличием технических проблем загрузки информации об объектах учета в ЕРВК из информационных систем КНО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  <w:footnoteReference w:id="7"/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либо из-за нестабильной работы ЕРВК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  <w:footnoteReference w:id="8"/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72BD4297" w14:textId="77777777" w:rsidR="00FC075C" w:rsidRPr="00FC075C" w:rsidRDefault="00FC075C" w:rsidP="007E2AAA">
      <w:pPr>
        <w:widowControl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C07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Таблица 1. Отклонение данных о количестве объектов контроля в разрезе видов контроля и КНО на 31 декабря 2023 года</w:t>
      </w:r>
    </w:p>
    <w:tbl>
      <w:tblPr>
        <w:tblW w:w="9622" w:type="dxa"/>
        <w:tblLook w:val="04A0" w:firstRow="1" w:lastRow="0" w:firstColumn="1" w:lastColumn="0" w:noHBand="0" w:noVBand="1"/>
      </w:tblPr>
      <w:tblGrid>
        <w:gridCol w:w="486"/>
        <w:gridCol w:w="3828"/>
        <w:gridCol w:w="1796"/>
        <w:gridCol w:w="1134"/>
        <w:gridCol w:w="1134"/>
        <w:gridCol w:w="1244"/>
      </w:tblGrid>
      <w:tr w:rsidR="00FC075C" w:rsidRPr="00C22FC5" w14:paraId="40290329" w14:textId="77777777" w:rsidTr="006272CB">
        <w:trPr>
          <w:trHeight w:val="25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9609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C8C9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контроля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A7FB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FD4E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контроля, ед.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913A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 данных, ед.</w:t>
            </w:r>
          </w:p>
        </w:tc>
      </w:tr>
      <w:tr w:rsidR="00FC075C" w:rsidRPr="00C22FC5" w14:paraId="215C6CBA" w14:textId="77777777" w:rsidTr="006272CB">
        <w:trPr>
          <w:trHeight w:val="25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125E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44CA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CC68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7AA7" w14:textId="77777777" w:rsidR="00FC075C" w:rsidRPr="00C22FC5" w:rsidRDefault="00FC075C" w:rsidP="0051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ЕРВК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11C4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КНО</w:t>
            </w:r>
          </w:p>
        </w:tc>
        <w:tc>
          <w:tcPr>
            <w:tcW w:w="1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4F6A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75C" w:rsidRPr="00C22FC5" w14:paraId="12EFCD93" w14:textId="77777777" w:rsidTr="006272CB">
        <w:trPr>
          <w:trHeight w:val="146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DF87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3495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F964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5331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2B75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0B3D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6=4-5</w:t>
            </w:r>
          </w:p>
        </w:tc>
      </w:tr>
      <w:tr w:rsidR="003C6AC7" w:rsidRPr="00C22FC5" w14:paraId="147C9E1A" w14:textId="77777777" w:rsidTr="00845397">
        <w:trPr>
          <w:trHeight w:val="255"/>
        </w:trPr>
        <w:tc>
          <w:tcPr>
            <w:tcW w:w="6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2C8A" w14:textId="77777777" w:rsidR="003C6AC7" w:rsidRPr="00C22FC5" w:rsidRDefault="003C6AC7" w:rsidP="003C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объектов контроля по 34 видам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5D15" w14:textId="77777777" w:rsidR="003C6AC7" w:rsidRPr="00C22FC5" w:rsidRDefault="003C6AC7" w:rsidP="003C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2 749 233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2DC41" w14:textId="77777777" w:rsidR="003C6AC7" w:rsidRPr="00C22FC5" w:rsidRDefault="003C6AC7" w:rsidP="003C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20 655 392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85332" w14:textId="77777777" w:rsidR="003C6AC7" w:rsidRPr="00C22FC5" w:rsidRDefault="003C6AC7" w:rsidP="003C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-17 906 159</w:t>
            </w:r>
          </w:p>
        </w:tc>
      </w:tr>
      <w:tr w:rsidR="00FC075C" w:rsidRPr="00C22FC5" w14:paraId="4B413A93" w14:textId="77777777" w:rsidTr="006272C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055E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AA48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геологический контроль (надзор)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82C5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Росприроднадзор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87A6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BB1B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20 340</w:t>
            </w: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BF72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75C" w:rsidRPr="00C22FC5" w14:paraId="10D4880A" w14:textId="77777777" w:rsidTr="006272CB">
        <w:trPr>
          <w:trHeight w:val="4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0228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6976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9ECC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Ространснадзор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C42A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40C0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121 517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AFC9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-58 474</w:t>
            </w:r>
          </w:p>
        </w:tc>
      </w:tr>
      <w:tr w:rsidR="00FC075C" w:rsidRPr="00C22FC5" w14:paraId="08691761" w14:textId="77777777" w:rsidTr="006272C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AF30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B030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ветеринарный контроль (надзор)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DC8F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Россельхознадзор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197E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661 174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AB74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727 447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28DA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-66 273</w:t>
            </w:r>
          </w:p>
        </w:tc>
      </w:tr>
      <w:tr w:rsidR="00FC075C" w:rsidRPr="00C22FC5" w14:paraId="3928D19E" w14:textId="77777777" w:rsidTr="006272C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922B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62B9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горный надзор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2AA5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Ростехнадзор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FB2B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8AF1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8 563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3616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-8 563</w:t>
            </w:r>
          </w:p>
        </w:tc>
      </w:tr>
      <w:tr w:rsidR="00FC075C" w:rsidRPr="00C22FC5" w14:paraId="7E5E8566" w14:textId="77777777" w:rsidTr="006272CB">
        <w:trPr>
          <w:trHeight w:val="6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7C54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8BDD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земельный контроль (надзор)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861B" w14:textId="325BFACE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виду контроля</w:t>
            </w:r>
            <w:r w:rsidR="00177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 них:</w:t>
            </w: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BE6E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6F48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5 035 317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F786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-4 958 767</w:t>
            </w:r>
          </w:p>
        </w:tc>
      </w:tr>
      <w:tr w:rsidR="00FC075C" w:rsidRPr="00C22FC5" w14:paraId="2BB85798" w14:textId="77777777" w:rsidTr="006272C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A354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7800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7178" w14:textId="13D12733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</w:t>
            </w:r>
            <w:r w:rsidR="00177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B76C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983C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3 184 523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E740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-3 184 522</w:t>
            </w:r>
          </w:p>
        </w:tc>
      </w:tr>
      <w:tr w:rsidR="00FC075C" w:rsidRPr="00C22FC5" w14:paraId="6594B6CC" w14:textId="77777777" w:rsidTr="006272C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37C9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047F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33E2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Россельхознадзор;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4456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6BFD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1 774 556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8D19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-1 774 245</w:t>
            </w:r>
          </w:p>
        </w:tc>
      </w:tr>
      <w:tr w:rsidR="00FC075C" w:rsidRPr="00C22FC5" w14:paraId="3D352C0D" w14:textId="77777777" w:rsidTr="006272C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8B3A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DEC0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4BD0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Росприроднадзор;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18CB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005C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76 238</w:t>
            </w: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A763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75C" w:rsidRPr="00C22FC5" w14:paraId="45267207" w14:textId="77777777" w:rsidTr="006272C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B335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D2D8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карантинный фитосанитарный контроль (надзор)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7319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Россельхознадзор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5C9F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3819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163 908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E621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-133 236</w:t>
            </w:r>
          </w:p>
        </w:tc>
      </w:tr>
      <w:tr w:rsidR="00FC075C" w:rsidRPr="00C22FC5" w14:paraId="6E9525F5" w14:textId="77777777" w:rsidTr="006272C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61EA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3303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в области геодезии и картографии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CE3C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ACF6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390D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6 847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7FD6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-6 846</w:t>
            </w:r>
          </w:p>
        </w:tc>
      </w:tr>
      <w:tr w:rsidR="00FC075C" w:rsidRPr="00C22FC5" w14:paraId="5863D4F0" w14:textId="77777777" w:rsidTr="000A6B1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1386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EEB1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F59C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Ространснадзор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3E6E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FD38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5 188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1F8A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-4 455</w:t>
            </w:r>
          </w:p>
        </w:tc>
      </w:tr>
      <w:tr w:rsidR="00FC075C" w:rsidRPr="00C22FC5" w14:paraId="7736EC9C" w14:textId="77777777" w:rsidTr="000A6B1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D2EF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C2D7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в области железнодорожного транспорта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656F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Ространснадзор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1710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8A78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E646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-16 852</w:t>
            </w:r>
          </w:p>
        </w:tc>
      </w:tr>
      <w:tr w:rsidR="003C6AC7" w:rsidRPr="00C22FC5" w14:paraId="7DB17987" w14:textId="77777777" w:rsidTr="000A6B19">
        <w:trPr>
          <w:trHeight w:val="6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0D11" w14:textId="77777777" w:rsidR="003C6AC7" w:rsidRPr="00C22FC5" w:rsidRDefault="003C6AC7" w:rsidP="003C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0A56" w14:textId="77777777" w:rsidR="003C6AC7" w:rsidRPr="00C22FC5" w:rsidRDefault="003C6AC7" w:rsidP="003C6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в области обращения с животными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51D3" w14:textId="4B806141" w:rsidR="003C6AC7" w:rsidRPr="00C22FC5" w:rsidRDefault="003C6AC7" w:rsidP="003C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Всего по виду контроля</w:t>
            </w:r>
            <w:r w:rsidR="00177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 них:</w:t>
            </w: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6B131" w14:textId="77777777" w:rsidR="003C6AC7" w:rsidRPr="00C22FC5" w:rsidRDefault="003C6AC7" w:rsidP="003C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87EB8" w14:textId="77777777" w:rsidR="003C6AC7" w:rsidRPr="00C22FC5" w:rsidRDefault="003C6AC7" w:rsidP="003C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0B1F" w14:textId="77777777" w:rsidR="003C6AC7" w:rsidRPr="00C22FC5" w:rsidRDefault="003C6AC7" w:rsidP="003C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170</w:t>
            </w:r>
          </w:p>
        </w:tc>
      </w:tr>
      <w:tr w:rsidR="003C6AC7" w:rsidRPr="00C22FC5" w14:paraId="0C139A24" w14:textId="77777777" w:rsidTr="001D2FC8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2502" w14:textId="77777777" w:rsidR="003C6AC7" w:rsidRPr="00C22FC5" w:rsidRDefault="003C6AC7" w:rsidP="003C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8608" w14:textId="77777777" w:rsidR="003C6AC7" w:rsidRPr="00C22FC5" w:rsidRDefault="003C6AC7" w:rsidP="003C6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C59C" w14:textId="77777777" w:rsidR="003C6AC7" w:rsidRPr="00C22FC5" w:rsidRDefault="003C6AC7" w:rsidP="003C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Россельхознадзор;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BD04E" w14:textId="77777777" w:rsidR="003C6AC7" w:rsidRPr="00C22FC5" w:rsidRDefault="003C6AC7" w:rsidP="003C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329FD" w14:textId="77777777" w:rsidR="003C6AC7" w:rsidRPr="00C22FC5" w:rsidRDefault="003C6AC7" w:rsidP="003C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86BC" w14:textId="77777777" w:rsidR="003C6AC7" w:rsidRPr="00C22FC5" w:rsidRDefault="003C6AC7" w:rsidP="003C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170</w:t>
            </w:r>
          </w:p>
        </w:tc>
      </w:tr>
      <w:tr w:rsidR="00FC075C" w:rsidRPr="00C22FC5" w14:paraId="5DB1AD29" w14:textId="77777777" w:rsidTr="006272C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0143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4B4B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61ED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Росприроднадзор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874E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9CBE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03F4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75C" w:rsidRPr="00C22FC5" w14:paraId="27D10FFA" w14:textId="77777777" w:rsidTr="006272C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F21D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EB73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в области связи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54FF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Роскомнадзор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99A6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3512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12 808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BD1F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-12 250</w:t>
            </w:r>
          </w:p>
        </w:tc>
      </w:tr>
      <w:tr w:rsidR="00FC075C" w:rsidRPr="00C22FC5" w14:paraId="76C0FC4C" w14:textId="77777777" w:rsidTr="006272CB">
        <w:trPr>
          <w:trHeight w:val="8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A8C3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0A7F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в области семеноводства в отношении семян сельскохозяйственных растений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72D2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Россельхознадзор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9D1B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49 937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0534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65 004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610D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-15 067</w:t>
            </w:r>
          </w:p>
        </w:tc>
      </w:tr>
      <w:tr w:rsidR="00FC075C" w:rsidRPr="00C22FC5" w14:paraId="644919BC" w14:textId="77777777" w:rsidTr="006272C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E1E0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285D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в области транспортной безопасности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5765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Ространснадзор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8ED8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14 943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9D15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244 225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F357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-229 282</w:t>
            </w:r>
          </w:p>
        </w:tc>
      </w:tr>
      <w:tr w:rsidR="00FC075C" w:rsidRPr="00C22FC5" w14:paraId="43AE851C" w14:textId="77777777" w:rsidTr="006272CB">
        <w:trPr>
          <w:trHeight w:val="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25EC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CCC3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в сфере обращения биомедицинских клеточных продуктов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429C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Росздравнадзор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388E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9048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D4D4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</w:tr>
      <w:tr w:rsidR="00FC075C" w:rsidRPr="00C22FC5" w14:paraId="4142C7AE" w14:textId="77777777" w:rsidTr="000A6B19">
        <w:trPr>
          <w:trHeight w:val="14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5093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E33B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2160" w14:textId="54785E61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Всего по виду контроля</w:t>
            </w:r>
            <w:r w:rsidR="00177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 них:</w:t>
            </w: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6300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93 132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CC0B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175 303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A20D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-82 171</w:t>
            </w:r>
          </w:p>
        </w:tc>
      </w:tr>
      <w:tr w:rsidR="00FC075C" w:rsidRPr="00C22FC5" w14:paraId="31F39763" w14:textId="77777777" w:rsidTr="000A6B19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3AE6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577B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DFED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Росздравнадзор;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638F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4456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142 937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537C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-83 441</w:t>
            </w:r>
          </w:p>
        </w:tc>
      </w:tr>
      <w:tr w:rsidR="00FC075C" w:rsidRPr="00C22FC5" w14:paraId="47E6087D" w14:textId="77777777" w:rsidTr="000A6B19">
        <w:trPr>
          <w:trHeight w:val="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748C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18EB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C518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Россельхознадзор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D566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A64A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32 366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1E80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</w:t>
            </w:r>
          </w:p>
        </w:tc>
      </w:tr>
      <w:tr w:rsidR="00FC075C" w:rsidRPr="00C22FC5" w14:paraId="233B3194" w14:textId="77777777" w:rsidTr="000A6B1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8424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4606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в сфере социального обслуживания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3210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Роструд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8080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B5E6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3 790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F4B8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-2 895</w:t>
            </w:r>
          </w:p>
        </w:tc>
      </w:tr>
      <w:tr w:rsidR="00FC075C" w:rsidRPr="00C22FC5" w14:paraId="04799651" w14:textId="77777777" w:rsidTr="000A6B19">
        <w:trPr>
          <w:trHeight w:val="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C2A0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2F06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за выполнением частным агентством занятости требований аккредитации на право осуществления деятельности по предоставлению труда работников (персонала)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A3D1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Роструд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49F6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55AE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E2F4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-972</w:t>
            </w:r>
          </w:p>
        </w:tc>
      </w:tr>
      <w:tr w:rsidR="003C6AC7" w:rsidRPr="00C22FC5" w14:paraId="70DCC431" w14:textId="77777777" w:rsidTr="000A6B1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5593" w14:textId="77777777" w:rsidR="003C6AC7" w:rsidRPr="00C22FC5" w:rsidRDefault="003C6AC7" w:rsidP="003C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D26D" w14:textId="77777777" w:rsidR="003C6AC7" w:rsidRPr="00C22FC5" w:rsidRDefault="003C6AC7" w:rsidP="003C6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за обработкой персональных данных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7A42" w14:textId="77777777" w:rsidR="003C6AC7" w:rsidRPr="00C22FC5" w:rsidRDefault="003C6AC7" w:rsidP="003C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Роскомнадзор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2DF0" w14:textId="77777777" w:rsidR="003C6AC7" w:rsidRPr="00C22FC5" w:rsidRDefault="003C6AC7" w:rsidP="003C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229C" w14:textId="77777777" w:rsidR="003C6AC7" w:rsidRPr="00C22FC5" w:rsidRDefault="003C6AC7" w:rsidP="003C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941 496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8D05" w14:textId="77777777" w:rsidR="003C6AC7" w:rsidRPr="00C22FC5" w:rsidRDefault="003C6AC7" w:rsidP="003C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-941 492</w:t>
            </w:r>
          </w:p>
        </w:tc>
      </w:tr>
      <w:tr w:rsidR="00FC075C" w:rsidRPr="00C22FC5" w14:paraId="2EA9F1AD" w14:textId="77777777" w:rsidTr="000A6B19">
        <w:trPr>
          <w:trHeight w:val="4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81A9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25F5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за обращением медицинских изделий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019F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Росздравнадзор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ED87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39CC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121 562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145D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-117 214</w:t>
            </w:r>
          </w:p>
        </w:tc>
      </w:tr>
      <w:tr w:rsidR="00FC075C" w:rsidRPr="00C22FC5" w14:paraId="3A40C59A" w14:textId="77777777" w:rsidTr="000A6B19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5509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1649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за соблюдением законодательства Российской Федерации о средствах массовой информации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A419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Роскомнадзор (отсутствуют сведений о категориях риска)***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01B1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9607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6343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75C" w:rsidRPr="00C22FC5" w14:paraId="2842D054" w14:textId="77777777" w:rsidTr="000A6B19">
        <w:trPr>
          <w:trHeight w:val="6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6AA0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797B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развитию*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391A" w14:textId="57D61256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виду контроля</w:t>
            </w:r>
            <w:r w:rsidR="00177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 них:</w:t>
            </w: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76FC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618A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A342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-203</w:t>
            </w:r>
          </w:p>
        </w:tc>
      </w:tr>
      <w:tr w:rsidR="00FC075C" w:rsidRPr="00C22FC5" w14:paraId="67ABABDE" w14:textId="77777777" w:rsidTr="006272C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E695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A138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B8EF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Рособрнадзор;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8FA0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CF0F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1 028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3583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-203</w:t>
            </w:r>
          </w:p>
        </w:tc>
      </w:tr>
      <w:tr w:rsidR="00FC075C" w:rsidRPr="00C22FC5" w14:paraId="62A44C6C" w14:textId="77777777" w:rsidTr="006272CB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5637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4B68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9CF0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Роскомнадзор (отсутствуют сведений о категориях риска)***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79F5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6C84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ECDB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75C" w:rsidRPr="00C22FC5" w14:paraId="2849F675" w14:textId="77777777" w:rsidTr="006272CB">
        <w:trPr>
          <w:trHeight w:val="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B448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2152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2799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Роспотребнадзор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E622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801E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C99A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75C" w:rsidRPr="00C22FC5" w14:paraId="6D6D3820" w14:textId="77777777" w:rsidTr="006272CB">
        <w:trPr>
          <w:trHeight w:val="6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B45B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D655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за соблюдением требований в связи с распространением информации в информационно-телекоммуникационных сетях, в том числе сети «Интернет»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5B77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Роскомнадзор (отсутствуют сведений о категориях риска)***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9CE1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2380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D572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75C" w:rsidRPr="00C22FC5" w14:paraId="1DBABA64" w14:textId="77777777" w:rsidTr="006272CB">
        <w:trPr>
          <w:trHeight w:val="52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08EE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5C1D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B394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Росздравнадзор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15F2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D561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97 229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DCBA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-88 333</w:t>
            </w:r>
          </w:p>
        </w:tc>
      </w:tr>
      <w:tr w:rsidR="00FC075C" w:rsidRPr="00C22FC5" w14:paraId="01F6083C" w14:textId="77777777" w:rsidTr="006272CB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5A9C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C2B4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в области торгового мореплавания и внутреннего водного транспорта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376E" w14:textId="5A74F8BF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Ространснадзор; </w:t>
            </w: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Росрыболовство (нет </w:t>
            </w:r>
            <w:r w:rsidR="00C22FC5"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данных</w:t>
            </w: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27BC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6104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9 931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AAE5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-5 673</w:t>
            </w:r>
          </w:p>
        </w:tc>
      </w:tr>
      <w:tr w:rsidR="00FC075C" w:rsidRPr="00C22FC5" w14:paraId="0B881C35" w14:textId="77777777" w:rsidTr="006272C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8EC8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7635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C125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Ростехнадзор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85E2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CF9E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20 331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DA29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-18 249</w:t>
            </w:r>
          </w:p>
        </w:tc>
      </w:tr>
      <w:tr w:rsidR="00FC075C" w:rsidRPr="00C22FC5" w14:paraId="004C4379" w14:textId="77777777" w:rsidTr="006272CB">
        <w:trPr>
          <w:trHeight w:val="13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D167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4670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надзор в области промышленной безопасности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37C9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Ростехнадзор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1906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072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190 306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9A60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-119 435</w:t>
            </w:r>
          </w:p>
        </w:tc>
      </w:tr>
      <w:tr w:rsidR="003C6AC7" w:rsidRPr="00C22FC5" w14:paraId="30BA0554" w14:textId="77777777" w:rsidTr="003C6AC7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3055" w14:textId="77777777" w:rsidR="003C6AC7" w:rsidRPr="00C22FC5" w:rsidRDefault="003C6AC7" w:rsidP="003C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E947" w14:textId="77777777" w:rsidR="003C6AC7" w:rsidRPr="00C22FC5" w:rsidRDefault="003C6AC7" w:rsidP="003C6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санитарно</w:t>
            </w: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эпидемиологический контроль (надзор)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F3B9" w14:textId="17A08A6C" w:rsidR="003C6AC7" w:rsidRPr="00C22FC5" w:rsidRDefault="003C6AC7" w:rsidP="003C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виду контроля</w:t>
            </w:r>
            <w:r w:rsidR="00177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 них:</w:t>
            </w: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A783" w14:textId="77777777" w:rsidR="003C6AC7" w:rsidRPr="00C22FC5" w:rsidRDefault="003C6AC7" w:rsidP="003C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1 221 027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F743" w14:textId="77777777" w:rsidR="003C6AC7" w:rsidRPr="00C22FC5" w:rsidRDefault="003C6AC7" w:rsidP="003C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1 480 115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B40D" w14:textId="77777777" w:rsidR="003C6AC7" w:rsidRPr="00C22FC5" w:rsidRDefault="003C6AC7" w:rsidP="003C6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-259 088</w:t>
            </w:r>
          </w:p>
        </w:tc>
      </w:tr>
      <w:tr w:rsidR="00FC075C" w:rsidRPr="00C22FC5" w14:paraId="77DDD896" w14:textId="77777777" w:rsidTr="006272CB">
        <w:trPr>
          <w:trHeight w:val="7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409A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5307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E96B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Роспотребнадзор;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785A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1 211 183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DD4E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1 457 235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AD30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-246 052</w:t>
            </w:r>
          </w:p>
        </w:tc>
      </w:tr>
      <w:tr w:rsidR="00FC075C" w:rsidRPr="00C22FC5" w14:paraId="6C9B5FED" w14:textId="77777777" w:rsidTr="006272CB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DDA5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ACD4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0918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ФМБА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D3E1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9 844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49CF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22 880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79B1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-13 036</w:t>
            </w:r>
          </w:p>
        </w:tc>
      </w:tr>
      <w:tr w:rsidR="00FC075C" w:rsidRPr="00C22FC5" w14:paraId="51921019" w14:textId="77777777" w:rsidTr="006272C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0521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8A8C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экологический контроль (надзор)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E23F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Росприроднадзор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4601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123 606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7A44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123 606</w:t>
            </w: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5DBE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FC075C" w:rsidRPr="00C22FC5" w14:paraId="6C689C9B" w14:textId="77777777" w:rsidTr="006272C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7342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A58F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энергетический надзор в сфере электроэнергетики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3F15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Ростехнадзор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E432" w14:textId="77777777" w:rsidR="00FC075C" w:rsidRPr="00C22FC5" w:rsidRDefault="003C6AC7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91 458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044A" w14:textId="77777777" w:rsidR="00FC075C" w:rsidRPr="00C22FC5" w:rsidRDefault="003C6AC7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91 458</w:t>
            </w:r>
            <w:r w:rsidR="00FC075C"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**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7893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FC075C" w:rsidRPr="00C22FC5" w14:paraId="1F976205" w14:textId="77777777" w:rsidTr="006272CB">
        <w:trPr>
          <w:trHeight w:val="5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D43B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A0E5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в области обеспечения качества и безопасности зерна и продуктов переработки зерна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3347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Россельхознадзор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0C92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EE4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58 188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826D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-58 127</w:t>
            </w:r>
          </w:p>
        </w:tc>
      </w:tr>
      <w:tr w:rsidR="00FC075C" w:rsidRPr="00C22FC5" w14:paraId="4BD58435" w14:textId="77777777" w:rsidTr="006272CB">
        <w:trPr>
          <w:trHeight w:val="55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2C2A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12A3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в области безопасного обращения с пестицидами и агрохимикатами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C6B7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Россельхознадзор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299B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F1F4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55 716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04E5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-46 444</w:t>
            </w:r>
          </w:p>
        </w:tc>
      </w:tr>
      <w:tr w:rsidR="00FC075C" w:rsidRPr="00C22FC5" w14:paraId="529DDE97" w14:textId="77777777" w:rsidTr="006272CB">
        <w:trPr>
          <w:trHeight w:val="52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B5E0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3D4D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в области охраны и использования особо охраняемых природных территорий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6E2B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Росприроднадзор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2E21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7EE7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58BC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75C" w:rsidRPr="00C22FC5" w14:paraId="1E0B72A7" w14:textId="77777777" w:rsidTr="006272CB">
        <w:trPr>
          <w:trHeight w:val="45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2CD6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C963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энергетический надзор в сфере теплоснабжения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A4EC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Ростехнадзор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AFEC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E7CB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7 937</w:t>
            </w: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**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48A4" w14:textId="77777777" w:rsidR="00FC075C" w:rsidRPr="00C22FC5" w:rsidRDefault="00FC075C" w:rsidP="00FC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075C" w:rsidRPr="00C22FC5" w14:paraId="301607DD" w14:textId="77777777" w:rsidTr="006272CB">
        <w:trPr>
          <w:trHeight w:val="46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378D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EF9F" w14:textId="77777777" w:rsidR="00FC075C" w:rsidRPr="00C22FC5" w:rsidRDefault="00FC075C" w:rsidP="00FC0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609C" w14:textId="77777777" w:rsidR="00FC075C" w:rsidRPr="00C22FC5" w:rsidRDefault="00FC075C" w:rsidP="00FC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Роструд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FCD7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987A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10 715 157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4807" w14:textId="77777777" w:rsidR="00FC075C" w:rsidRPr="00C22FC5" w:rsidRDefault="00FC075C" w:rsidP="00FC0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-10 655 964</w:t>
            </w:r>
          </w:p>
        </w:tc>
      </w:tr>
    </w:tbl>
    <w:p w14:paraId="58388286" w14:textId="0B35708E" w:rsidR="00FC075C" w:rsidRPr="00FC075C" w:rsidRDefault="00FC075C" w:rsidP="00FC07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</w:pPr>
      <w:r w:rsidRPr="00FC075C"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  <w:lastRenderedPageBreak/>
        <w:t>* По информации Росприроднадзора</w:t>
      </w:r>
      <w:r w:rsidRPr="00FC075C">
        <w:rPr>
          <w:rFonts w:ascii="Times New Roman" w:eastAsia="Times New Roman" w:hAnsi="Times New Roman" w:cs="Times New Roman"/>
          <w:bCs/>
          <w:iCs/>
          <w:sz w:val="20"/>
          <w:szCs w:val="24"/>
          <w:vertAlign w:val="superscript"/>
          <w:lang w:eastAsia="ru-RU"/>
        </w:rPr>
        <w:footnoteReference w:id="9"/>
      </w:r>
      <w:r w:rsidRPr="00FC075C"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  <w:t>, информация об объектах контроля представлена только в ЕРВК, следовательно в таблице представлены данные о количестве объектов контроля в соответствии с информацией ЕРВК.</w:t>
      </w:r>
    </w:p>
    <w:p w14:paraId="0AF43556" w14:textId="64521576" w:rsidR="00FC075C" w:rsidRPr="00FC075C" w:rsidRDefault="00FC075C" w:rsidP="00FC07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</w:pPr>
      <w:r w:rsidRPr="00FC075C"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  <w:t>** Ростехнадзором</w:t>
      </w:r>
      <w:r w:rsidRPr="00FC075C">
        <w:rPr>
          <w:rFonts w:ascii="Times New Roman" w:eastAsia="Times New Roman" w:hAnsi="Times New Roman" w:cs="Times New Roman"/>
          <w:bCs/>
          <w:iCs/>
          <w:sz w:val="20"/>
          <w:szCs w:val="24"/>
          <w:vertAlign w:val="superscript"/>
          <w:lang w:eastAsia="ru-RU"/>
        </w:rPr>
        <w:footnoteReference w:id="10"/>
      </w:r>
      <w:r w:rsidRPr="00FC075C"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  <w:t xml:space="preserve"> предоставлена информация не о </w:t>
      </w:r>
      <w:r w:rsidRPr="00B242BE"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  <w:t>количестве объектов контроля по федеральному государственному энергетическому надзору</w:t>
      </w:r>
      <w:r w:rsidR="00B242BE" w:rsidRPr="00B242BE"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  <w:t xml:space="preserve"> </w:t>
      </w:r>
      <w:r w:rsidR="00B242BE" w:rsidRPr="00B242B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сфере электроэнергетики и федеральному государственному энергетическому надзору в сфере теплоснабжения</w:t>
      </w:r>
      <w:r w:rsidRPr="00B242BE"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  <w:t>, а о количестве субъектов надзора (в количестве 8</w:t>
      </w:r>
      <w:r w:rsidR="000A6B19" w:rsidRPr="00B242BE"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  <w:t> </w:t>
      </w:r>
      <w:r w:rsidRPr="00B242BE"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  <w:t>962 ед.), следовательно в таблице представлены данные о количестве объектов контроля по соответствующему виду контроля в соответствии с информацией ЕРВК.</w:t>
      </w:r>
    </w:p>
    <w:p w14:paraId="55AED1DF" w14:textId="77777777" w:rsidR="00FC075C" w:rsidRPr="00FC075C" w:rsidRDefault="00FC075C" w:rsidP="00FC075C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C075C"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  <w:t>*** По информации Роскомнадзора</w:t>
      </w:r>
      <w:r w:rsidRPr="00FC075C">
        <w:rPr>
          <w:rFonts w:ascii="Times New Roman" w:eastAsia="Times New Roman" w:hAnsi="Times New Roman" w:cs="Times New Roman"/>
          <w:bCs/>
          <w:iCs/>
          <w:sz w:val="20"/>
          <w:szCs w:val="24"/>
          <w:vertAlign w:val="superscript"/>
          <w:lang w:eastAsia="ru-RU"/>
        </w:rPr>
        <w:footnoteReference w:id="11"/>
      </w:r>
      <w:r w:rsidRPr="00FC075C"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  <w:t>, к объектам государственного надзора, регулируемого Законом № 248-ФЗ, не применяется система оценки и управления рисками причинения вреда (ущерба) охраняемым законом ценностям (объекты на категории риска не разделяются, критерии отнесения объектов государственного надзора к категориям риска не используются).</w:t>
      </w:r>
    </w:p>
    <w:p w14:paraId="2EB6499B" w14:textId="50ED5336" w:rsidR="00FC075C" w:rsidRPr="00FC075C" w:rsidRDefault="00FC075C" w:rsidP="00FC075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E2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данным ЕРВК на 31 декабря 2023 года общее количество объектов контроля по 34 видам контроля, осуществляемых 12 КНО</w:t>
      </w:r>
      <w:r w:rsidRPr="007E2AAA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  <w:footnoteReference w:id="12"/>
      </w:r>
      <w:r w:rsidRPr="007E2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составляло </w:t>
      </w:r>
      <w:r w:rsidR="003C6AC7" w:rsidRPr="007E2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2 749,2</w:t>
      </w:r>
      <w:r w:rsidRPr="007E2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тыс. единиц. При этом по данным указанных КНО общее количество объектов контроля на 31 декабря 2023 года составляло </w:t>
      </w:r>
      <w:r w:rsidR="003C6AC7" w:rsidRPr="007E2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20 655,4 </w:t>
      </w:r>
      <w:r w:rsidRPr="007E2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тыс. единиц. Таким образом</w:t>
      </w:r>
      <w:r w:rsidR="00A80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7E2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конец 2023 года в реестре объектов контроля, размещенном в ЕРВК, отсутствовала информация о </w:t>
      </w:r>
      <w:r w:rsidR="003C6AC7" w:rsidRPr="007E2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17 906,2 </w:t>
      </w:r>
      <w:r w:rsidRPr="007E2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тыс. объектах контроля, из </w:t>
      </w:r>
      <w:r w:rsidR="00A80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которых</w:t>
      </w:r>
      <w:r w:rsidRPr="007E2A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наибольший объем относится к объектам контроля:</w:t>
      </w:r>
    </w:p>
    <w:p w14:paraId="223280DF" w14:textId="77777777" w:rsidR="00FC075C" w:rsidRPr="009708A7" w:rsidRDefault="00FC075C" w:rsidP="009708A7">
      <w:pPr>
        <w:pStyle w:val="ad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Роструда по федеральному государственному контролю (надзору) за соблюдением трудового законодательства и иных нормативных правовых актов, содержащих нормы трудового права (10 656,0 тыс. объектов контроля, из них 10 643,1 тыс. объектов контроля отнесены </w:t>
      </w:r>
      <w:r w:rsidR="009708A7" w:rsidRP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Росреестром</w:t>
      </w:r>
      <w:r w:rsidRP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 низкому уровню риска);</w:t>
      </w:r>
    </w:p>
    <w:p w14:paraId="0686C262" w14:textId="77777777" w:rsidR="00FC075C" w:rsidRPr="009708A7" w:rsidRDefault="00FC075C" w:rsidP="009708A7">
      <w:pPr>
        <w:pStyle w:val="ad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Росреестра и Россельхознадзора по федеральному государственному земельному контролю (надзору) (4 958,8 тыс. объектов контроля</w:t>
      </w:r>
      <w:r w:rsidR="003C6AC7" w:rsidRP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из них 4 523,7 тыс. объектов контроля отнесены Росреестром и Россельхознадзором к низкому уровню риска);</w:t>
      </w:r>
    </w:p>
    <w:p w14:paraId="7ADBD522" w14:textId="77777777" w:rsidR="00FC075C" w:rsidRPr="009708A7" w:rsidRDefault="00FC075C" w:rsidP="009708A7">
      <w:pPr>
        <w:pStyle w:val="ad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Роскомнадзора по федеральному государственному контролю (надзору) за обработкой персональных данных (941,5 тыс. объектов контроля, при этом в ЕРВК данные об объектах контроля отсутствовали).</w:t>
      </w:r>
    </w:p>
    <w:p w14:paraId="5E8C67A5" w14:textId="4F21DA86" w:rsidR="00FC075C" w:rsidRPr="00FC075C" w:rsidRDefault="00177613" w:rsidP="00FC075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Не </w:t>
      </w:r>
      <w:r w:rsidR="00FC075C"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отражение КНО в ЕРВК полного перечня объектов контроля не соответствует положениям пунктов 3 и 5(1)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являющихся приложением № 1 к Правилам ведения федеральной государственной информационной системы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 861,</w:t>
      </w:r>
      <w:r w:rsidR="00FC075C" w:rsidRPr="00FC0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75C"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что </w:t>
      </w:r>
      <w:r w:rsidR="00143CBC" w:rsidRPr="00143CB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снижает открытость результатов деятельности КНО по ка</w:t>
      </w:r>
      <w:r w:rsidR="00143CB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тегорированию объектов контроля</w:t>
      </w:r>
      <w:r w:rsidR="00FC075C" w:rsidRPr="00FC0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710D2B" w14:textId="77777777" w:rsidR="00FC075C" w:rsidRPr="00FC075C" w:rsidRDefault="00FC075C" w:rsidP="00FC075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Кроме того, отсутствие в ЕРВК полного перечня объектов контроля ограничивает реализацию контролируемыми лицами права на обращение в КНО с заявлением об изменении ранее присвоенной категории риска объекту контроля, в том числе через сервис досудебного обжалования решений КНО.</w:t>
      </w:r>
    </w:p>
    <w:p w14:paraId="4B12F77F" w14:textId="5D906017" w:rsidR="00FC075C" w:rsidRPr="00FC075C" w:rsidRDefault="00FC075C" w:rsidP="00FC075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Следует отметить, что инструмент досудебного обжалования решений КНО</w:t>
      </w:r>
      <w:r w:rsidRPr="00FC0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присвоении категорий риска объекту контроля в </w:t>
      </w:r>
      <w:r w:rsidR="004707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2021-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2023 </w:t>
      </w:r>
      <w:r w:rsidR="004707D7"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год</w:t>
      </w:r>
      <w:r w:rsidR="004707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ах</w:t>
      </w:r>
      <w:r w:rsidR="004707D7"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использовался лицами, подконтрольными </w:t>
      </w:r>
      <w:proofErr w:type="spellStart"/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Роспотре</w:t>
      </w:r>
      <w:r w:rsidR="00A80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надзору</w:t>
      </w:r>
      <w:proofErr w:type="spellEnd"/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Ростехнадзору, </w:t>
      </w:r>
      <w:proofErr w:type="spellStart"/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Роструду</w:t>
      </w:r>
      <w:proofErr w:type="spellEnd"/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Росздравнадзору, </w:t>
      </w:r>
      <w:proofErr w:type="spellStart"/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Ространснадзору</w:t>
      </w:r>
      <w:proofErr w:type="spellEnd"/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Россельхознадзору</w:t>
      </w:r>
      <w:proofErr w:type="spellEnd"/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Росреестру</w:t>
      </w:r>
      <w:proofErr w:type="spellEnd"/>
      <w:r w:rsidR="004707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="00A80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Росреестру</w:t>
      </w:r>
      <w:proofErr w:type="spellEnd"/>
      <w:r w:rsidR="00A80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4707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ФМБА России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Целью подачи заявлений подконтрольных лиц является снижение присвоенной КНО категории риска объекту контроля</w:t>
      </w:r>
      <w:r w:rsidR="004211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что в том числе может послужить основанием</w:t>
      </w:r>
      <w:r w:rsidR="009708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последующего исключения соответствующего планового </w:t>
      </w:r>
      <w:r w:rsidR="00A80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КНМ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из плана.</w:t>
      </w:r>
    </w:p>
    <w:p w14:paraId="31ADAAEA" w14:textId="77777777" w:rsidR="00FC075C" w:rsidRPr="00FC075C" w:rsidRDefault="00FC075C" w:rsidP="00FC075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C07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Отсутствие открытых данных об объектах контроля в ЕРВК при определенных обстоятельствах также может нести коррупционные риски.</w:t>
      </w:r>
    </w:p>
    <w:p w14:paraId="6E829C6F" w14:textId="4D04D2C8" w:rsidR="00FC075C" w:rsidRPr="00FC075C" w:rsidRDefault="00FC075C" w:rsidP="00FC075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C07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Для обеспечения </w:t>
      </w:r>
      <w:proofErr w:type="spellStart"/>
      <w:r w:rsidRPr="00FC07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прослеживаемости</w:t>
      </w:r>
      <w:proofErr w:type="spellEnd"/>
      <w:r w:rsidRPr="00FC07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данных Концепцией совершенствования контрольной (надзорной) деятельности до 2026 года</w:t>
      </w:r>
      <w:r w:rsidR="008B57B9">
        <w:rPr>
          <w:rStyle w:val="a6"/>
          <w:rFonts w:ascii="Times New Roman" w:eastAsia="Times New Roman" w:hAnsi="Times New Roman" w:cs="Times New Roman"/>
          <w:bCs/>
          <w:sz w:val="28"/>
          <w:szCs w:val="20"/>
          <w:lang w:eastAsia="ru-RU"/>
        </w:rPr>
        <w:footnoteReference w:id="13"/>
      </w:r>
      <w:r w:rsidRPr="00FC07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A806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(далее</w:t>
      </w:r>
      <w:r w:rsidR="008B57B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 </w:t>
      </w:r>
      <w:r w:rsidR="00A806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– Концепция)</w:t>
      </w:r>
      <w:r w:rsidRPr="00FC07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предусмотрена интеграция ЕРВК в части реестра объектов </w:t>
      </w:r>
      <w:r w:rsidRPr="00FC07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lastRenderedPageBreak/>
        <w:t xml:space="preserve">контроля с ЕРКНМ. ЕРКНМ должна в обязательном порядке использовать объекты контроля из ЕРВК для плановых </w:t>
      </w:r>
      <w:r w:rsidR="00A806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КНМ</w:t>
      </w:r>
      <w:r w:rsidRPr="00FC07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</w:t>
      </w:r>
    </w:p>
    <w:p w14:paraId="23B84ED4" w14:textId="0BD10704" w:rsidR="00FC075C" w:rsidRPr="005A0190" w:rsidRDefault="00FC075C" w:rsidP="00FC075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C07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Таким образом</w:t>
      </w:r>
      <w:r w:rsidR="00A806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</w:t>
      </w:r>
      <w:r w:rsidRPr="00FC07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 целях реализации положений Концепции целесообразно</w:t>
      </w:r>
      <w:r w:rsidR="000E2C5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</w:t>
      </w:r>
      <w:r w:rsidRPr="00FC07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 первую очередь</w:t>
      </w:r>
      <w:r w:rsidR="000E2C5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</w:t>
      </w:r>
      <w:r w:rsidRPr="00FC07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осуществить инвентаризацию объектов контроля в целях обеспечения достоверности соответствующей информации в ЕРВК. Также для обеспечения полной </w:t>
      </w:r>
      <w:proofErr w:type="spellStart"/>
      <w:r w:rsidRPr="00FC07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прослеживаемости</w:t>
      </w:r>
      <w:proofErr w:type="spellEnd"/>
      <w:r w:rsidRPr="00FC075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данных рекомендуется осуществить возможность отображения в ЕРКНМ информации об объекте контроля и его реестровом </w:t>
      </w:r>
      <w:r w:rsidRPr="005A0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номере, в отношении которого проводится плановое </w:t>
      </w:r>
      <w:r w:rsidR="00A806A8" w:rsidRPr="005A0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КНМ</w:t>
      </w:r>
      <w:r w:rsidRPr="005A0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14:paraId="70B4E245" w14:textId="7B55E7DA" w:rsidR="00FC075C" w:rsidRPr="00FC075C" w:rsidRDefault="00FC075C" w:rsidP="00FC075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A0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Кроме того, с учетом част</w:t>
      </w:r>
      <w:r w:rsidR="006D46EE" w:rsidRPr="005A0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</w:t>
      </w:r>
      <w:r w:rsidRPr="005A0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3 статьи 19.6.1 Кодекса Российской Федерации об административных правонарушениях предусмотрена ответственность за невн</w:t>
      </w:r>
      <w:r w:rsidR="007C672C" w:rsidRPr="005A0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</w:t>
      </w:r>
      <w:r w:rsidRPr="005A0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сение (или неполное внесение) должностными лицами КНО информации в ЕРКНМ, то с учетом интеграции ЕРВК (в части реестра объектов контроля) с ЕРКНМ, необходимо предусмотре</w:t>
      </w:r>
      <w:r w:rsidR="000E2C50" w:rsidRPr="005A0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ть</w:t>
      </w:r>
      <w:r w:rsidRPr="005A0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ответственност</w:t>
      </w:r>
      <w:r w:rsidR="00093E69" w:rsidRPr="005A0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ь</w:t>
      </w:r>
      <w:r w:rsidRPr="005A0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за невн</w:t>
      </w:r>
      <w:r w:rsidR="007C672C" w:rsidRPr="005A0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</w:t>
      </w:r>
      <w:r w:rsidRPr="005A019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сение (или неполное внесение) в ЕРВК необходимой информации об объектах контроля.</w:t>
      </w:r>
    </w:p>
    <w:p w14:paraId="6659674D" w14:textId="0A394E93" w:rsidR="00FC075C" w:rsidRPr="00FC075C" w:rsidRDefault="00FC075C" w:rsidP="00FC075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Следует отметить, что</w:t>
      </w:r>
      <w:r w:rsidR="00981D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данным Роскомнадзора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  <w:footnoteReference w:id="14"/>
      </w:r>
      <w:r w:rsidR="00981D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2021-2023 годах федеральный государственный контроль (надзор) за соблюдением требований в связи с распространением информации в информационно-телекоммуникационных сетях, в том числе сети «Интернет» не осуществлялся, поскольку лица, в отношении которых должен проводиться федеральный государственный контроль, предусмотренный статьей 16.1 Федерального закона от 27 июля 2006 г. № 149-ФЗ «Об информации, информационных технологиях и о защите информации», не могут быть определены. В связи с указанным Роскомнадзором в адрес Минцифры России направлен законопроект, предусматривающий отмену федерального государственного контроля (надзора) за соблюдением требований в связи с распространением информации в информационно-телекоммуникационных сетях, в том числе в информационно-телекоммуникационной сети «Интернет».</w:t>
      </w:r>
    </w:p>
    <w:p w14:paraId="0EDCE717" w14:textId="1B14627F" w:rsidR="00FC075C" w:rsidRPr="00FC075C" w:rsidRDefault="00FC075C" w:rsidP="00FC075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Таким образом, с учетом положений части 1 статьи 23 Закона № 248-ФЗ в случае принятия решения об отмене указанного вида контроля считается целесообразным осуществить пересмотр ресурсной составляющей Роскомнадзора (материальных, финансовых и кадровых ресурсов).</w:t>
      </w:r>
    </w:p>
    <w:p w14:paraId="4B9A2955" w14:textId="37027C45" w:rsidR="00CE094C" w:rsidRDefault="00FC075C" w:rsidP="00173810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</w:pP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Следует также отметить, что в ЕРВК, а также </w:t>
      </w:r>
      <w:r w:rsidR="001F3C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</w:t>
      </w:r>
      <w:r w:rsidRPr="00FC07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данных Роскомнадзора и Роспотребнадзора отсутствует информация о результатах категорирования объектов контроля в рамках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развитию. Отсутствие данных результатов свидетельствует о необходимости пересмотра подходов к управлению рисками причинения вреда ущерба здоровью и (или) развитию детей по указанному виду контроля.</w:t>
      </w:r>
    </w:p>
    <w:sectPr w:rsidR="00CE094C" w:rsidSect="008D4170">
      <w:headerReference w:type="default" r:id="rId8"/>
      <w:pgSz w:w="11906" w:h="16838"/>
      <w:pgMar w:top="1343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C633D" w14:textId="77777777" w:rsidR="00664F56" w:rsidRDefault="00664F56" w:rsidP="00FC075C">
      <w:pPr>
        <w:spacing w:after="0" w:line="240" w:lineRule="auto"/>
      </w:pPr>
      <w:r>
        <w:separator/>
      </w:r>
    </w:p>
  </w:endnote>
  <w:endnote w:type="continuationSeparator" w:id="0">
    <w:p w14:paraId="318B7C93" w14:textId="77777777" w:rsidR="00664F56" w:rsidRDefault="00664F56" w:rsidP="00FC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FA468" w14:textId="77777777" w:rsidR="00664F56" w:rsidRDefault="00664F56" w:rsidP="00FC075C">
      <w:pPr>
        <w:spacing w:after="0" w:line="240" w:lineRule="auto"/>
      </w:pPr>
      <w:r>
        <w:separator/>
      </w:r>
    </w:p>
  </w:footnote>
  <w:footnote w:type="continuationSeparator" w:id="0">
    <w:p w14:paraId="265BAAE7" w14:textId="77777777" w:rsidR="00664F56" w:rsidRDefault="00664F56" w:rsidP="00FC075C">
      <w:pPr>
        <w:spacing w:after="0" w:line="240" w:lineRule="auto"/>
      </w:pPr>
      <w:r>
        <w:continuationSeparator/>
      </w:r>
    </w:p>
  </w:footnote>
  <w:footnote w:id="1">
    <w:p w14:paraId="7AFFD6E6" w14:textId="77777777" w:rsidR="00FC075C" w:rsidRDefault="00FC075C" w:rsidP="009708A7">
      <w:pPr>
        <w:pStyle w:val="a4"/>
        <w:ind w:firstLine="284"/>
      </w:pPr>
      <w:r>
        <w:rPr>
          <w:rStyle w:val="a6"/>
        </w:rPr>
        <w:footnoteRef/>
      </w:r>
      <w:r>
        <w:t xml:space="preserve"> Пункт</w:t>
      </w:r>
      <w:r w:rsidRPr="00C11787">
        <w:t xml:space="preserve"> 5(1)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являющихся приложением </w:t>
      </w:r>
      <w:r>
        <w:t>№</w:t>
      </w:r>
      <w:r w:rsidRPr="00C11787">
        <w:t xml:space="preserve"> 1 к Правилам ведения федеральной государственной информационной системы </w:t>
      </w:r>
      <w:r>
        <w:t>«</w:t>
      </w:r>
      <w:r w:rsidRPr="00C11787">
        <w:t>Федеральный реестр государственных и муниципальных услуг (функций)</w:t>
      </w:r>
      <w:r>
        <w:t>»</w:t>
      </w:r>
      <w:r w:rsidRPr="00C11787">
        <w:t xml:space="preserve">, утвержденным постановлением Правительства Российской Федерации от 24 октября 2011 г. </w:t>
      </w:r>
      <w:r>
        <w:t>№</w:t>
      </w:r>
      <w:r w:rsidRPr="00C11787">
        <w:t xml:space="preserve"> 861</w:t>
      </w:r>
      <w:r>
        <w:t>.</w:t>
      </w:r>
    </w:p>
  </w:footnote>
  <w:footnote w:id="2">
    <w:p w14:paraId="43E439E1" w14:textId="77777777" w:rsidR="00FC075C" w:rsidRDefault="00FC075C" w:rsidP="009708A7">
      <w:pPr>
        <w:pStyle w:val="a4"/>
        <w:ind w:firstLine="284"/>
      </w:pPr>
      <w:r>
        <w:rPr>
          <w:rStyle w:val="a6"/>
        </w:rPr>
        <w:footnoteRef/>
      </w:r>
      <w:r>
        <w:t xml:space="preserve"> </w:t>
      </w:r>
      <w:r w:rsidRPr="006D2BD4">
        <w:t>В соответствии с частью 5 статьи 17 Закона № 248-ФЗ КНО создают информационные системы в том числе в целях учета объектов контроля и связанных с ними контролируемых лиц.</w:t>
      </w:r>
    </w:p>
  </w:footnote>
  <w:footnote w:id="3">
    <w:p w14:paraId="258D3E30" w14:textId="77777777" w:rsidR="00FC075C" w:rsidRPr="005757E5" w:rsidRDefault="00FC075C" w:rsidP="009708A7">
      <w:pPr>
        <w:pStyle w:val="a4"/>
        <w:ind w:firstLine="284"/>
      </w:pPr>
      <w:r>
        <w:rPr>
          <w:rStyle w:val="a6"/>
        </w:rPr>
        <w:footnoteRef/>
      </w:r>
      <w:r>
        <w:t xml:space="preserve"> КНО</w:t>
      </w:r>
      <w:r w:rsidRPr="005757E5">
        <w:t xml:space="preserve"> обязаны вести перечень объектов контроля (включая их типы, виды и подвиды) </w:t>
      </w:r>
      <w:r>
        <w:t>о</w:t>
      </w:r>
      <w:r w:rsidRPr="005757E5">
        <w:t>тдельно по каждому виду контроля и категории риска, на сайте реестра</w:t>
      </w:r>
      <w:r>
        <w:t xml:space="preserve">. </w:t>
      </w:r>
      <w:r w:rsidRPr="005757E5">
        <w:t>Внесение соответствующих сведений в перечень объектов контроля может осуществляться с использованием единой системы межведомственного электронного взаимодействия.</w:t>
      </w:r>
    </w:p>
  </w:footnote>
  <w:footnote w:id="4">
    <w:p w14:paraId="36977BEC" w14:textId="1807AD3E" w:rsidR="00FC075C" w:rsidRDefault="00FC075C" w:rsidP="009708A7">
      <w:pPr>
        <w:pStyle w:val="a4"/>
        <w:ind w:firstLine="284"/>
      </w:pPr>
      <w:r>
        <w:rPr>
          <w:rStyle w:val="a6"/>
        </w:rPr>
        <w:footnoteRef/>
      </w:r>
      <w:r>
        <w:t xml:space="preserve"> Информация получена </w:t>
      </w:r>
      <w:r w:rsidRPr="000958B3">
        <w:t xml:space="preserve">по запросу Счетной палаты </w:t>
      </w:r>
      <w:r>
        <w:t xml:space="preserve">Российской Федерации </w:t>
      </w:r>
      <w:r w:rsidRPr="000958B3">
        <w:t>от 11 января 2024 г. №</w:t>
      </w:r>
      <w:r>
        <w:t> </w:t>
      </w:r>
      <w:r w:rsidRPr="000958B3">
        <w:t>ЗИ07/12/07-01</w:t>
      </w:r>
      <w:r w:rsidR="000A6B19">
        <w:t xml:space="preserve"> (далее – Запрос Счетной палаты)</w:t>
      </w:r>
      <w:r w:rsidR="009708A7">
        <w:t>.</w:t>
      </w:r>
    </w:p>
  </w:footnote>
  <w:footnote w:id="5">
    <w:p w14:paraId="6C79E752" w14:textId="7A65C9B7" w:rsidR="00FC075C" w:rsidRDefault="00FC075C" w:rsidP="009708A7">
      <w:pPr>
        <w:pStyle w:val="a4"/>
        <w:ind w:firstLine="284"/>
      </w:pPr>
      <w:r>
        <w:rPr>
          <w:rStyle w:val="a6"/>
        </w:rPr>
        <w:footnoteRef/>
      </w:r>
      <w:r>
        <w:t xml:space="preserve"> Информация получена </w:t>
      </w:r>
      <w:r w:rsidRPr="000958B3">
        <w:t xml:space="preserve">по </w:t>
      </w:r>
      <w:r w:rsidR="000A6B19">
        <w:t>З</w:t>
      </w:r>
      <w:r w:rsidRPr="000958B3">
        <w:t xml:space="preserve">апросу Счетной </w:t>
      </w:r>
      <w:r w:rsidR="000A6B19">
        <w:t>палаты.</w:t>
      </w:r>
    </w:p>
  </w:footnote>
  <w:footnote w:id="6">
    <w:p w14:paraId="1BAC25C9" w14:textId="30AF46FE" w:rsidR="00FC075C" w:rsidRPr="00233CFC" w:rsidRDefault="00FC075C" w:rsidP="009708A7">
      <w:pPr>
        <w:pStyle w:val="a4"/>
        <w:ind w:firstLine="284"/>
      </w:pPr>
      <w:r>
        <w:rPr>
          <w:rStyle w:val="a6"/>
        </w:rPr>
        <w:footnoteRef/>
      </w:r>
      <w:r>
        <w:t xml:space="preserve"> Письмо Минэкономразвития России от 14 февраля 2024 г. № </w:t>
      </w:r>
      <w:r w:rsidRPr="00E5315B">
        <w:t>Д24и-4471</w:t>
      </w:r>
      <w:r w:rsidR="000A6B19">
        <w:t>.</w:t>
      </w:r>
    </w:p>
  </w:footnote>
  <w:footnote w:id="7">
    <w:p w14:paraId="36324033" w14:textId="77777777" w:rsidR="00FC075C" w:rsidRDefault="00FC075C" w:rsidP="009708A7">
      <w:pPr>
        <w:pStyle w:val="a4"/>
        <w:ind w:firstLine="284"/>
      </w:pPr>
      <w:r>
        <w:rPr>
          <w:rStyle w:val="a6"/>
        </w:rPr>
        <w:footnoteRef/>
      </w:r>
      <w:r>
        <w:t xml:space="preserve"> Информация о наличии такой проблемы представлена Росреестром в письме от 12 февраля 2024 г. № </w:t>
      </w:r>
      <w:r w:rsidRPr="007A4C27">
        <w:t>16-1191-МС/24</w:t>
      </w:r>
    </w:p>
  </w:footnote>
  <w:footnote w:id="8">
    <w:p w14:paraId="40D5B680" w14:textId="77777777" w:rsidR="00FC075C" w:rsidRDefault="00FC075C" w:rsidP="009708A7">
      <w:pPr>
        <w:pStyle w:val="a4"/>
        <w:ind w:firstLine="284"/>
      </w:pPr>
      <w:r>
        <w:rPr>
          <w:rStyle w:val="a6"/>
        </w:rPr>
        <w:footnoteRef/>
      </w:r>
      <w:r>
        <w:t xml:space="preserve"> Информация о наличии такой проблемы представлена Россельхознадзором в письме от 12 февраля 2024 г. № </w:t>
      </w:r>
      <w:r w:rsidRPr="00A1428C">
        <w:t>ФС-АК-4/2870</w:t>
      </w:r>
    </w:p>
  </w:footnote>
  <w:footnote w:id="9">
    <w:p w14:paraId="61C71B66" w14:textId="761081CD" w:rsidR="00FC075C" w:rsidRDefault="00FC075C" w:rsidP="009708A7">
      <w:pPr>
        <w:pStyle w:val="a4"/>
        <w:ind w:firstLine="284"/>
      </w:pPr>
      <w:r>
        <w:rPr>
          <w:rStyle w:val="a6"/>
        </w:rPr>
        <w:footnoteRef/>
      </w:r>
      <w:r>
        <w:t xml:space="preserve"> Письмо </w:t>
      </w:r>
      <w:r>
        <w:rPr>
          <w:bCs/>
          <w:iCs/>
        </w:rPr>
        <w:t>Росприроднадзора</w:t>
      </w:r>
      <w:r w:rsidRPr="007846A1">
        <w:t xml:space="preserve"> </w:t>
      </w:r>
      <w:r>
        <w:t>от 8 февраля 2024 г. № </w:t>
      </w:r>
      <w:r w:rsidRPr="007846A1">
        <w:t>СР-02-01-26/3784</w:t>
      </w:r>
      <w:r w:rsidR="00177613">
        <w:t>.</w:t>
      </w:r>
    </w:p>
  </w:footnote>
  <w:footnote w:id="10">
    <w:p w14:paraId="2E72FC29" w14:textId="1E00FA1D" w:rsidR="00FC075C" w:rsidRPr="00A6791A" w:rsidRDefault="00FC075C" w:rsidP="009708A7">
      <w:pPr>
        <w:pStyle w:val="a4"/>
        <w:ind w:firstLine="284"/>
      </w:pPr>
      <w:r>
        <w:rPr>
          <w:rStyle w:val="a6"/>
        </w:rPr>
        <w:footnoteRef/>
      </w:r>
      <w:r>
        <w:t xml:space="preserve"> Письмо </w:t>
      </w:r>
      <w:r>
        <w:rPr>
          <w:bCs/>
          <w:iCs/>
        </w:rPr>
        <w:t>Ростехнадзора</w:t>
      </w:r>
      <w:r w:rsidRPr="007846A1">
        <w:t xml:space="preserve"> </w:t>
      </w:r>
      <w:r>
        <w:t>от 27 февраля 2024 г. № </w:t>
      </w:r>
      <w:r w:rsidRPr="00A6791A">
        <w:t>00-02-04/234</w:t>
      </w:r>
      <w:r w:rsidR="00177613">
        <w:t>.</w:t>
      </w:r>
    </w:p>
  </w:footnote>
  <w:footnote w:id="11">
    <w:p w14:paraId="0C407E26" w14:textId="7AD2512E" w:rsidR="00FC075C" w:rsidRDefault="00FC075C" w:rsidP="009708A7">
      <w:pPr>
        <w:pStyle w:val="a4"/>
        <w:ind w:firstLine="284"/>
      </w:pPr>
      <w:r>
        <w:rPr>
          <w:rStyle w:val="a6"/>
        </w:rPr>
        <w:footnoteRef/>
      </w:r>
      <w:r>
        <w:t xml:space="preserve"> Письмо </w:t>
      </w:r>
      <w:r>
        <w:rPr>
          <w:bCs/>
          <w:iCs/>
        </w:rPr>
        <w:t>Роскомнадзора</w:t>
      </w:r>
      <w:r w:rsidRPr="007846A1">
        <w:t xml:space="preserve"> </w:t>
      </w:r>
      <w:r>
        <w:t>от 20 февраля 2024 г. № 03ЛВ-39474</w:t>
      </w:r>
      <w:r w:rsidR="00A806A8">
        <w:t>.</w:t>
      </w:r>
    </w:p>
  </w:footnote>
  <w:footnote w:id="12">
    <w:p w14:paraId="213435B3" w14:textId="71814EEA" w:rsidR="00FC075C" w:rsidRDefault="00FC075C" w:rsidP="009708A7">
      <w:pPr>
        <w:pStyle w:val="a4"/>
        <w:ind w:firstLine="284"/>
      </w:pPr>
      <w:r>
        <w:rPr>
          <w:rStyle w:val="a6"/>
        </w:rPr>
        <w:footnoteRef/>
      </w:r>
      <w:r>
        <w:t xml:space="preserve"> В том числе совместно с Рособрнадзором, Росрыболовством и ФМБА России</w:t>
      </w:r>
      <w:r w:rsidR="00A806A8">
        <w:t>.</w:t>
      </w:r>
    </w:p>
  </w:footnote>
  <w:footnote w:id="13">
    <w:p w14:paraId="118DB830" w14:textId="3EC5DB8E" w:rsidR="008B57B9" w:rsidRDefault="008B57B9">
      <w:pPr>
        <w:pStyle w:val="a4"/>
      </w:pPr>
      <w:r>
        <w:rPr>
          <w:rStyle w:val="a6"/>
        </w:rPr>
        <w:footnoteRef/>
      </w:r>
      <w:r>
        <w:t xml:space="preserve"> У</w:t>
      </w:r>
      <w:r w:rsidRPr="008B57B9">
        <w:t>твержден</w:t>
      </w:r>
      <w:r>
        <w:t>а</w:t>
      </w:r>
      <w:r w:rsidRPr="008B57B9">
        <w:t xml:space="preserve"> распоряжением Правительства Российской Федерации от 21 декабря 2023 г. № 3445-р</w:t>
      </w:r>
      <w:r>
        <w:t>.</w:t>
      </w:r>
    </w:p>
  </w:footnote>
  <w:footnote w:id="14">
    <w:p w14:paraId="6AFCC8D9" w14:textId="02539B99" w:rsidR="00FC075C" w:rsidRDefault="00FC075C" w:rsidP="009708A7">
      <w:pPr>
        <w:pStyle w:val="a4"/>
        <w:ind w:firstLine="284"/>
      </w:pPr>
      <w:r>
        <w:rPr>
          <w:rStyle w:val="a6"/>
        </w:rPr>
        <w:footnoteRef/>
      </w:r>
      <w:r>
        <w:t xml:space="preserve"> </w:t>
      </w:r>
      <w:r w:rsidRPr="009E15AE">
        <w:t>Письмо Роскомнадзора от 20 февраля 2024 г. № 03ЛВ-39474</w:t>
      </w:r>
      <w:r w:rsidR="008D417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5701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F238790" w14:textId="7F050F8F" w:rsidR="002D5C4F" w:rsidRPr="008D4170" w:rsidRDefault="002D5C4F" w:rsidP="002D5C4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417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417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417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76B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8D417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94224"/>
    <w:multiLevelType w:val="hybridMultilevel"/>
    <w:tmpl w:val="3642CC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C302218"/>
    <w:multiLevelType w:val="hybridMultilevel"/>
    <w:tmpl w:val="6980E21E"/>
    <w:lvl w:ilvl="0" w:tplc="2F88B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5C"/>
    <w:rsid w:val="000829FD"/>
    <w:rsid w:val="00093E69"/>
    <w:rsid w:val="000A6B19"/>
    <w:rsid w:val="000D538D"/>
    <w:rsid w:val="000E2C50"/>
    <w:rsid w:val="0012518B"/>
    <w:rsid w:val="00143CBC"/>
    <w:rsid w:val="00173810"/>
    <w:rsid w:val="00177613"/>
    <w:rsid w:val="001F3CFD"/>
    <w:rsid w:val="002D5C4F"/>
    <w:rsid w:val="003C6AC7"/>
    <w:rsid w:val="00421110"/>
    <w:rsid w:val="004707D7"/>
    <w:rsid w:val="005126B6"/>
    <w:rsid w:val="005A0190"/>
    <w:rsid w:val="005A74A9"/>
    <w:rsid w:val="00664F56"/>
    <w:rsid w:val="006D166D"/>
    <w:rsid w:val="006D46EE"/>
    <w:rsid w:val="00751404"/>
    <w:rsid w:val="007C672C"/>
    <w:rsid w:val="007E2AAA"/>
    <w:rsid w:val="00842162"/>
    <w:rsid w:val="0089549A"/>
    <w:rsid w:val="008B57B9"/>
    <w:rsid w:val="008D4170"/>
    <w:rsid w:val="008F397A"/>
    <w:rsid w:val="009708A7"/>
    <w:rsid w:val="00981B32"/>
    <w:rsid w:val="00981D45"/>
    <w:rsid w:val="00A33667"/>
    <w:rsid w:val="00A676B0"/>
    <w:rsid w:val="00A806A8"/>
    <w:rsid w:val="00B242BE"/>
    <w:rsid w:val="00B56C06"/>
    <w:rsid w:val="00BD26A2"/>
    <w:rsid w:val="00C20945"/>
    <w:rsid w:val="00C22FC5"/>
    <w:rsid w:val="00C25C36"/>
    <w:rsid w:val="00CE094C"/>
    <w:rsid w:val="00D83D3B"/>
    <w:rsid w:val="00DD7E85"/>
    <w:rsid w:val="00F15D5A"/>
    <w:rsid w:val="00F166D4"/>
    <w:rsid w:val="00FC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8CD9"/>
  <w15:chartTrackingRefBased/>
  <w15:docId w15:val="{A9F4A3B0-E43F-4B30-B9FD-41A2084C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4216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eastAsiaTheme="majorEastAsia" w:cstheme="majorBidi"/>
      <w:b/>
      <w:sz w:val="28"/>
      <w:szCs w:val="32"/>
      <w:lang w:val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4216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1"/>
    </w:pPr>
    <w:rPr>
      <w:rFonts w:eastAsiaTheme="majorEastAsia" w:cstheme="majorBidi"/>
      <w:b/>
      <w:color w:val="000000" w:themeColor="text1"/>
      <w:sz w:val="28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162"/>
    <w:rPr>
      <w:rFonts w:eastAsiaTheme="majorEastAsia" w:cstheme="majorBidi"/>
      <w:b/>
      <w:sz w:val="28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42162"/>
    <w:rPr>
      <w:rFonts w:eastAsiaTheme="majorEastAsia" w:cstheme="majorBidi"/>
      <w:b/>
      <w:color w:val="000000" w:themeColor="text1"/>
      <w:sz w:val="28"/>
      <w:szCs w:val="26"/>
      <w:lang w:val="en-US"/>
    </w:rPr>
  </w:style>
  <w:style w:type="character" w:styleId="a3">
    <w:name w:val="Hyperlink"/>
    <w:uiPriority w:val="99"/>
    <w:rsid w:val="00842162"/>
    <w:rPr>
      <w:rFonts w:ascii="Times New Roman" w:hAnsi="Times New Roman"/>
      <w:b/>
      <w:sz w:val="28"/>
      <w:u w:val="single"/>
    </w:rPr>
  </w:style>
  <w:style w:type="paragraph" w:styleId="a4">
    <w:name w:val="footnote text"/>
    <w:basedOn w:val="a"/>
    <w:link w:val="a5"/>
    <w:unhideWhenUsed/>
    <w:rsid w:val="00FC075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FC07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Z"/>
    <w:basedOn w:val="a0"/>
    <w:link w:val="11"/>
    <w:uiPriority w:val="99"/>
    <w:unhideWhenUsed/>
    <w:qFormat/>
    <w:rsid w:val="00FC075C"/>
    <w:rPr>
      <w:vertAlign w:val="superscript"/>
    </w:rPr>
  </w:style>
  <w:style w:type="paragraph" w:customStyle="1" w:styleId="11">
    <w:name w:val="Знак сноски1"/>
    <w:link w:val="a6"/>
    <w:rsid w:val="00FC075C"/>
    <w:pPr>
      <w:spacing w:after="0" w:line="360" w:lineRule="auto"/>
    </w:pPr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D5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C4F"/>
  </w:style>
  <w:style w:type="paragraph" w:styleId="a9">
    <w:name w:val="footer"/>
    <w:basedOn w:val="a"/>
    <w:link w:val="aa"/>
    <w:uiPriority w:val="99"/>
    <w:unhideWhenUsed/>
    <w:rsid w:val="002D5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C4F"/>
  </w:style>
  <w:style w:type="paragraph" w:styleId="ab">
    <w:name w:val="Balloon Text"/>
    <w:basedOn w:val="a"/>
    <w:link w:val="ac"/>
    <w:uiPriority w:val="99"/>
    <w:semiHidden/>
    <w:unhideWhenUsed/>
    <w:rsid w:val="00512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26B6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708A7"/>
    <w:pPr>
      <w:ind w:left="720"/>
      <w:contextualSpacing/>
    </w:pPr>
  </w:style>
  <w:style w:type="paragraph" w:styleId="ae">
    <w:name w:val="Revision"/>
    <w:hidden/>
    <w:uiPriority w:val="99"/>
    <w:semiHidden/>
    <w:rsid w:val="001F3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1DCA-CDD9-41C3-896D-1AEDC74A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Григоренко Андрей Валерьевич</dc:creator>
  <cp:keywords/>
  <dc:description/>
  <cp:lastModifiedBy>Ведерникова Наталья Викторовна</cp:lastModifiedBy>
  <cp:revision>4</cp:revision>
  <dcterms:created xsi:type="dcterms:W3CDTF">2024-09-16T14:33:00Z</dcterms:created>
  <dcterms:modified xsi:type="dcterms:W3CDTF">2024-10-08T11:04:00Z</dcterms:modified>
</cp:coreProperties>
</file>