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2CE" w:rsidRDefault="007302CE" w:rsidP="007302CE">
      <w:pPr>
        <w:jc w:val="right"/>
        <w:rPr>
          <w:sz w:val="28"/>
          <w:szCs w:val="28"/>
        </w:rPr>
      </w:pPr>
      <w:bookmarkStart w:id="0" w:name="_GoBack"/>
      <w:bookmarkEnd w:id="0"/>
      <w:r w:rsidRPr="007302CE">
        <w:rPr>
          <w:sz w:val="28"/>
          <w:szCs w:val="28"/>
        </w:rPr>
        <w:t xml:space="preserve">Приложение № </w:t>
      </w:r>
      <w:r w:rsidR="00FC49C5">
        <w:rPr>
          <w:sz w:val="28"/>
          <w:szCs w:val="28"/>
        </w:rPr>
        <w:t>4</w:t>
      </w:r>
      <w:r w:rsidRPr="007302CE">
        <w:rPr>
          <w:sz w:val="28"/>
          <w:szCs w:val="28"/>
        </w:rPr>
        <w:t xml:space="preserve"> к отчету</w:t>
      </w:r>
    </w:p>
    <w:p w:rsidR="007302CE" w:rsidRDefault="007302CE" w:rsidP="007302CE">
      <w:pPr>
        <w:jc w:val="right"/>
        <w:rPr>
          <w:sz w:val="28"/>
          <w:szCs w:val="28"/>
        </w:rPr>
      </w:pPr>
    </w:p>
    <w:p w:rsidR="007302CE" w:rsidRDefault="007302CE" w:rsidP="0038489B">
      <w:pPr>
        <w:widowControl w:val="0"/>
        <w:spacing w:line="360" w:lineRule="auto"/>
        <w:jc w:val="center"/>
        <w:rPr>
          <w:spacing w:val="-4"/>
          <w:kern w:val="20"/>
          <w:sz w:val="28"/>
          <w:szCs w:val="28"/>
        </w:rPr>
      </w:pPr>
      <w:r>
        <w:rPr>
          <w:spacing w:val="-4"/>
          <w:kern w:val="20"/>
          <w:sz w:val="28"/>
          <w:szCs w:val="28"/>
        </w:rPr>
        <w:t xml:space="preserve">Лучшие практики реализации СК, применяемые в Ивановской, Саратовской областях и Удмуртской Республике </w:t>
      </w:r>
    </w:p>
    <w:p w:rsidR="007302CE" w:rsidRDefault="007302CE"/>
    <w:p w:rsidR="007302CE" w:rsidRPr="007302CE" w:rsidRDefault="007302CE" w:rsidP="00440CDF">
      <w:pPr>
        <w:pStyle w:val="a4"/>
        <w:numPr>
          <w:ilvl w:val="0"/>
          <w:numId w:val="1"/>
        </w:numPr>
        <w:spacing w:line="360" w:lineRule="auto"/>
        <w:ind w:left="1066" w:hanging="357"/>
        <w:jc w:val="both"/>
        <w:rPr>
          <w:sz w:val="28"/>
          <w:szCs w:val="28"/>
        </w:rPr>
      </w:pPr>
      <w:r>
        <w:rPr>
          <w:sz w:val="28"/>
          <w:szCs w:val="28"/>
        </w:rPr>
        <w:t>Опыт организации системной работы по освещению СК в Удмуртской Республике</w:t>
      </w:r>
    </w:p>
    <w:p w:rsidR="007302CE" w:rsidRDefault="007302CE" w:rsidP="00440CDF">
      <w:pPr>
        <w:spacing w:line="360" w:lineRule="auto"/>
        <w:ind w:firstLine="709"/>
        <w:jc w:val="both"/>
        <w:rPr>
          <w:sz w:val="28"/>
          <w:szCs w:val="28"/>
        </w:rPr>
      </w:pPr>
      <w:r>
        <w:rPr>
          <w:sz w:val="28"/>
          <w:szCs w:val="28"/>
        </w:rPr>
        <w:t>В Удмуртской Республике организована системная работа по освещению технологии социального контракта в республиканских СМИ, а также на официальном сайте Министерства социальной политики и труда Удмуртской Республики и персональных страницах Главы Удмуртской Республики и министра социальной политики и труда Удмуртской Республики в социальных сетях.</w:t>
      </w:r>
    </w:p>
    <w:p w:rsidR="007302CE" w:rsidRDefault="007302CE" w:rsidP="00440CDF">
      <w:pPr>
        <w:spacing w:line="360" w:lineRule="auto"/>
        <w:ind w:firstLine="709"/>
        <w:jc w:val="both"/>
        <w:rPr>
          <w:sz w:val="28"/>
          <w:szCs w:val="28"/>
        </w:rPr>
      </w:pPr>
      <w:r>
        <w:rPr>
          <w:sz w:val="28"/>
          <w:szCs w:val="28"/>
        </w:rPr>
        <w:t xml:space="preserve">Кроме регламентированных форм информационной работы – оформления стендов, размещения информации на официальных сайтах организаций, личного приема, телефонных консультаций, Министерством социальной политики и труда Удмуртской Республики и КГКУ «РЦСВ» регулярно осуществляется деятельность по информированию граждан, органов местного самоуправления, общественных структур через сельские сходы, встречи с трудовыми коллективами и организациями, участие в Днях Администрации, Коллегиях районов и координационных совещаниях при администрациях муниципальных образований, информирование глав муниципальных образований. </w:t>
      </w:r>
    </w:p>
    <w:p w:rsidR="007302CE" w:rsidRDefault="007302CE" w:rsidP="00440CDF">
      <w:pPr>
        <w:spacing w:line="360" w:lineRule="auto"/>
        <w:ind w:firstLine="709"/>
        <w:jc w:val="both"/>
        <w:rPr>
          <w:sz w:val="28"/>
          <w:szCs w:val="28"/>
        </w:rPr>
      </w:pPr>
      <w:r>
        <w:rPr>
          <w:sz w:val="28"/>
          <w:szCs w:val="28"/>
        </w:rPr>
        <w:t>Также проводится разъяснительная работа с целевой категорией – малоимущими многодетными семьями, находящимися в социально опасном положении и (или) трудной жизненной ситуации, которая организуется на базе отделений социальной помощи семье и детям и профилактики безнадзорности в комплексных центрах социального обслуживания и социально-реабилитационных центрах для несовершеннолетних в рамках работы муниципальных комиссий по делам несовершеннолетних.</w:t>
      </w:r>
    </w:p>
    <w:p w:rsidR="007302CE" w:rsidRDefault="007302CE" w:rsidP="00440CDF">
      <w:pPr>
        <w:spacing w:line="360" w:lineRule="auto"/>
        <w:ind w:firstLine="709"/>
        <w:jc w:val="both"/>
        <w:rPr>
          <w:iCs/>
          <w:snapToGrid w:val="0"/>
          <w:sz w:val="28"/>
          <w:szCs w:val="28"/>
        </w:rPr>
      </w:pPr>
      <w:r>
        <w:rPr>
          <w:iCs/>
          <w:snapToGrid w:val="0"/>
          <w:sz w:val="28"/>
          <w:szCs w:val="28"/>
        </w:rPr>
        <w:lastRenderedPageBreak/>
        <w:t>С сентября 2022 года в Удмуртской Республике реализуется новая практика «Социальный десант», в рамках которой осуществляется выезд группы специалистов в районы Удмуртской Республики с целью освещения темы социального контракта. С жителями района встречаются представители Министерства социальной политики и труда Удмуртской Республики, Министерства экономики Удмуртской Республики, Министерства сельского хозяйства и продовольствия Удмуртской Республики, администрации района, работников бизнес-инкубатора, центра занятости населения, центра социальных выплат, Центра компетенций в сфере сельскохозяйственной кооперации и поддержки фермеров в Удмуртской Республике. В ходе встречи жителям подробно рассказывается, что такое социальный контракт и кому он предоставляется, какую финансовую помощь можно получить от государства, как стать независимым и работать на себя. Получатели социального контракта презентуют свой опыт заключения социального контракта, отвечают на вопросы своих соседей, а специалисты оперативно отвечают на возникающие вопросы.</w:t>
      </w:r>
    </w:p>
    <w:p w:rsidR="007302CE" w:rsidRDefault="007302CE" w:rsidP="00440CDF">
      <w:pPr>
        <w:spacing w:line="360" w:lineRule="auto"/>
        <w:ind w:firstLine="709"/>
        <w:jc w:val="both"/>
        <w:rPr>
          <w:iCs/>
          <w:snapToGrid w:val="0"/>
          <w:sz w:val="28"/>
          <w:szCs w:val="28"/>
        </w:rPr>
      </w:pPr>
      <w:r>
        <w:rPr>
          <w:iCs/>
          <w:snapToGrid w:val="0"/>
          <w:sz w:val="28"/>
          <w:szCs w:val="28"/>
        </w:rPr>
        <w:t>В рамках мероприятия организованы тематические секции «Работа» (поиск работы и мини-ярмарка вакансий), «ЛПХ», «ИП». Директор Республиканского бизнес-инкубатора и директор Центра компетенций в сфере сельскохозяйственной кооперации и поддержки фермеров в Удмуртской Республике рассказывают о возможностях для начинающих предпринимателей и перспективах развития, а также о мерах поддержки личного подсобного хозяйства и крестьянского фермерского хозяйства. Прямо на месте возможно подать заявление на социальный контракт и узнать о вакансиях на рынке труда.</w:t>
      </w:r>
    </w:p>
    <w:p w:rsidR="007302CE" w:rsidRPr="00533CA7" w:rsidRDefault="007302CE" w:rsidP="00440CDF">
      <w:pPr>
        <w:spacing w:line="360" w:lineRule="auto"/>
        <w:ind w:firstLine="709"/>
        <w:jc w:val="both"/>
        <w:rPr>
          <w:iCs/>
          <w:snapToGrid w:val="0"/>
          <w:sz w:val="28"/>
          <w:szCs w:val="28"/>
        </w:rPr>
      </w:pPr>
      <w:r>
        <w:rPr>
          <w:iCs/>
          <w:snapToGrid w:val="0"/>
          <w:sz w:val="28"/>
          <w:szCs w:val="28"/>
        </w:rPr>
        <w:t>14 октября 2022 года «Социальный десант» работал в Игринском районе Удмуртской Республики. В ходе мероприятия, помимо спикеров из органов государственной власти и местного самоуправления, п</w:t>
      </w:r>
      <w:r w:rsidRPr="00533CA7">
        <w:rPr>
          <w:iCs/>
          <w:snapToGrid w:val="0"/>
          <w:sz w:val="28"/>
          <w:szCs w:val="28"/>
        </w:rPr>
        <w:t>оделились своим успешным ведением бизнеса уже заключившие социальный контракт Н</w:t>
      </w:r>
      <w:r>
        <w:rPr>
          <w:iCs/>
          <w:snapToGrid w:val="0"/>
          <w:sz w:val="28"/>
          <w:szCs w:val="28"/>
        </w:rPr>
        <w:t>. </w:t>
      </w:r>
      <w:r w:rsidRPr="00533CA7">
        <w:rPr>
          <w:iCs/>
          <w:snapToGrid w:val="0"/>
          <w:sz w:val="28"/>
          <w:szCs w:val="28"/>
        </w:rPr>
        <w:t>Черных</w:t>
      </w:r>
      <w:r>
        <w:rPr>
          <w:iCs/>
          <w:snapToGrid w:val="0"/>
          <w:sz w:val="28"/>
          <w:szCs w:val="28"/>
        </w:rPr>
        <w:t xml:space="preserve"> (направление – индивидуальная предпринимательская </w:t>
      </w:r>
      <w:r>
        <w:rPr>
          <w:iCs/>
          <w:snapToGrid w:val="0"/>
          <w:sz w:val="28"/>
          <w:szCs w:val="28"/>
        </w:rPr>
        <w:lastRenderedPageBreak/>
        <w:t>деятельность)</w:t>
      </w:r>
      <w:r w:rsidRPr="00533CA7">
        <w:rPr>
          <w:iCs/>
          <w:snapToGrid w:val="0"/>
          <w:sz w:val="28"/>
          <w:szCs w:val="28"/>
        </w:rPr>
        <w:t>, В</w:t>
      </w:r>
      <w:r>
        <w:rPr>
          <w:iCs/>
          <w:snapToGrid w:val="0"/>
          <w:sz w:val="28"/>
          <w:szCs w:val="28"/>
        </w:rPr>
        <w:t>. </w:t>
      </w:r>
      <w:r w:rsidRPr="00533CA7">
        <w:rPr>
          <w:iCs/>
          <w:snapToGrid w:val="0"/>
          <w:sz w:val="28"/>
          <w:szCs w:val="28"/>
        </w:rPr>
        <w:t>Касаткина</w:t>
      </w:r>
      <w:r>
        <w:rPr>
          <w:iCs/>
          <w:snapToGrid w:val="0"/>
          <w:sz w:val="28"/>
          <w:szCs w:val="28"/>
        </w:rPr>
        <w:t xml:space="preserve"> (направление – индивидуальная предпринимательская деятельность)</w:t>
      </w:r>
      <w:r w:rsidRPr="00533CA7">
        <w:rPr>
          <w:iCs/>
          <w:snapToGrid w:val="0"/>
          <w:sz w:val="28"/>
          <w:szCs w:val="28"/>
        </w:rPr>
        <w:t>, М</w:t>
      </w:r>
      <w:r>
        <w:rPr>
          <w:iCs/>
          <w:snapToGrid w:val="0"/>
          <w:sz w:val="28"/>
          <w:szCs w:val="28"/>
        </w:rPr>
        <w:t>. </w:t>
      </w:r>
      <w:r w:rsidRPr="00533CA7">
        <w:rPr>
          <w:iCs/>
          <w:snapToGrid w:val="0"/>
          <w:sz w:val="28"/>
          <w:szCs w:val="28"/>
        </w:rPr>
        <w:t>Прокофьева</w:t>
      </w:r>
      <w:r>
        <w:rPr>
          <w:iCs/>
          <w:snapToGrid w:val="0"/>
          <w:sz w:val="28"/>
          <w:szCs w:val="28"/>
        </w:rPr>
        <w:t xml:space="preserve"> (направление – индивидуальная предпринимательская деятельность)</w:t>
      </w:r>
      <w:r w:rsidRPr="00533CA7">
        <w:rPr>
          <w:iCs/>
          <w:snapToGrid w:val="0"/>
          <w:sz w:val="28"/>
          <w:szCs w:val="28"/>
        </w:rPr>
        <w:t>, Л</w:t>
      </w:r>
      <w:r>
        <w:rPr>
          <w:iCs/>
          <w:snapToGrid w:val="0"/>
          <w:sz w:val="28"/>
          <w:szCs w:val="28"/>
        </w:rPr>
        <w:t>. </w:t>
      </w:r>
      <w:r w:rsidRPr="00533CA7">
        <w:rPr>
          <w:iCs/>
          <w:snapToGrid w:val="0"/>
          <w:sz w:val="28"/>
          <w:szCs w:val="28"/>
        </w:rPr>
        <w:t>Алиева</w:t>
      </w:r>
      <w:r>
        <w:rPr>
          <w:iCs/>
          <w:snapToGrid w:val="0"/>
          <w:sz w:val="28"/>
          <w:szCs w:val="28"/>
        </w:rPr>
        <w:t xml:space="preserve"> (направление – личное подсобное хозяйство).</w:t>
      </w:r>
    </w:p>
    <w:p w:rsidR="007302CE" w:rsidRDefault="007302CE" w:rsidP="00440CDF">
      <w:pPr>
        <w:spacing w:line="360" w:lineRule="auto"/>
        <w:ind w:firstLine="709"/>
        <w:jc w:val="both"/>
        <w:rPr>
          <w:iCs/>
          <w:snapToGrid w:val="0"/>
          <w:sz w:val="28"/>
          <w:szCs w:val="28"/>
        </w:rPr>
      </w:pPr>
      <w:r>
        <w:rPr>
          <w:iCs/>
          <w:snapToGrid w:val="0"/>
          <w:sz w:val="28"/>
          <w:szCs w:val="28"/>
        </w:rPr>
        <w:t>Кроме того, у</w:t>
      </w:r>
      <w:r w:rsidRPr="00533CA7">
        <w:rPr>
          <w:iCs/>
          <w:snapToGrid w:val="0"/>
          <w:sz w:val="28"/>
          <w:szCs w:val="28"/>
        </w:rPr>
        <w:t>частники ярмарки-продажи порадовали посетителей мероприятия своими изделиями и познакомили с оказываемыми услугами, а это тоже предприниматели, которые начали свой бизнес благодаря социальному контракту.</w:t>
      </w:r>
    </w:p>
    <w:p w:rsidR="007302CE" w:rsidRDefault="007302CE" w:rsidP="00440CDF">
      <w:pPr>
        <w:spacing w:line="360" w:lineRule="auto"/>
        <w:ind w:firstLine="709"/>
        <w:jc w:val="both"/>
        <w:rPr>
          <w:iCs/>
          <w:snapToGrid w:val="0"/>
          <w:sz w:val="28"/>
          <w:szCs w:val="28"/>
        </w:rPr>
      </w:pPr>
      <w:r>
        <w:rPr>
          <w:iCs/>
          <w:snapToGrid w:val="0"/>
          <w:sz w:val="28"/>
          <w:szCs w:val="28"/>
        </w:rPr>
        <w:t>До 2020 года социальный контракт в Удмуртской Республике предоставлялся за счет регионального бюджета. Исходя из возможностей бюджета максимальный размер выплаты по социальному контракту составлял 30 тыс. рублей. Для преодоления трудной жизненной ситуации, включая увеличение среднедушевого дохода семьи до прожиточного минимума, требовалось увеличение размера выплаты.</w:t>
      </w:r>
    </w:p>
    <w:p w:rsidR="007302CE" w:rsidRDefault="007302CE" w:rsidP="007302CE">
      <w:pPr>
        <w:spacing w:line="276" w:lineRule="auto"/>
        <w:ind w:firstLine="709"/>
        <w:jc w:val="both"/>
        <w:rPr>
          <w:iCs/>
          <w:snapToGrid w:val="0"/>
          <w:sz w:val="28"/>
          <w:szCs w:val="28"/>
        </w:rPr>
      </w:pPr>
    </w:p>
    <w:p w:rsidR="007302CE" w:rsidRPr="007302CE" w:rsidRDefault="00440CDF" w:rsidP="009B3A16">
      <w:pPr>
        <w:pStyle w:val="a4"/>
        <w:numPr>
          <w:ilvl w:val="0"/>
          <w:numId w:val="1"/>
        </w:numPr>
        <w:spacing w:line="276" w:lineRule="auto"/>
        <w:jc w:val="center"/>
        <w:rPr>
          <w:sz w:val="28"/>
          <w:szCs w:val="28"/>
        </w:rPr>
      </w:pPr>
      <w:r>
        <w:rPr>
          <w:sz w:val="28"/>
          <w:szCs w:val="28"/>
        </w:rPr>
        <w:t xml:space="preserve">Положительная практика реализации программ адаптации по направлению СК на преодоление </w:t>
      </w:r>
      <w:r w:rsidR="004324B2">
        <w:rPr>
          <w:sz w:val="28"/>
          <w:szCs w:val="28"/>
        </w:rPr>
        <w:t>трудной жизненной ситуации</w:t>
      </w:r>
      <w:r>
        <w:rPr>
          <w:sz w:val="28"/>
          <w:szCs w:val="28"/>
        </w:rPr>
        <w:t xml:space="preserve"> в Саратовской области.</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Согласно Положению № 880-П под оказанием ГСП на основании СК в форме социального пособия в соответствии с настоящим Положением на мероприятия, связанные с преодолением получателями трудной жизненной ситуации (далее – ТЖС),</w:t>
      </w:r>
      <w:r w:rsidR="004324B2">
        <w:rPr>
          <w:iCs/>
          <w:snapToGrid w:val="0"/>
          <w:sz w:val="28"/>
          <w:szCs w:val="28"/>
        </w:rPr>
        <w:t xml:space="preserve"> </w:t>
      </w:r>
      <w:r w:rsidRPr="00440CDF">
        <w:rPr>
          <w:iCs/>
          <w:snapToGrid w:val="0"/>
          <w:sz w:val="28"/>
          <w:szCs w:val="28"/>
        </w:rPr>
        <w:t>следует понимать денежную выплату, предназначенную для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 xml:space="preserve">По данному направлению приоритетный порядок оказания ГСП на основании СК в Саратовской области не установлен. </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lastRenderedPageBreak/>
        <w:t>СК, направленные на реализацию мероприятий, связанных с преодолением получателями ТЖС, с одним и тем же гражданином (семьей гражданина) заключается на срок от трех до шести месяцев не чаще одного раза в год с даты окончания срока действия социального контракта.</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На реализацию указанных мероприятий социальное пособие выплачивается в размере, равном величине прожиточного минимума для трудоспособного населения, установленного в области на год осуществления выплаты, не более 6 месяцев.</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В пункте 4 СК, заключенным с гражданами на мероприятия, связанные с преодолением получателями ТЖС, не указаны сроки перечисления выплаты социального пособия.</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В рамках данного направления программой социальной адаптации для получателя СК предусматривается предоставление гражданину ежемесячной денежной выплаты в размере величины прожиточного минимума для трудоспособного населения, установленной в Саратовской области на год осуществления такой выплаты.</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Выплаты предоставляются для удовлетворения текущих потребностей в приобретении товаров первой необходимости, одежды, обуви, лекарственных препаратов, товаров для ведения личного подсобного хозяйства, прохождения лечения, профилактического медицинского осмотра в целях стимулирования ведения здорового образа жизни, а также приобретения товаров для обеспечения потребности семьи гражданина в товарах и услугах дошкольного и школьного образования.</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Конкретный перечень приобретаемых в рамках СК товаров в Саратовской области нормативными правовыми актами не установлен.</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 xml:space="preserve">В программе социальной адаптации, являющейся приложением к СК, каждому получателю СК в числе прочих мероприятий в обязательном порядке предусматривается мероприятие по поиску работы, либо ведению ЛПХ, либо осуществление ИП, то есть граждане обязаны предпринять активные действия для получения дополнительного дохода, например, найти работу по договору </w:t>
      </w:r>
      <w:r w:rsidRPr="00440CDF">
        <w:rPr>
          <w:iCs/>
          <w:snapToGrid w:val="0"/>
          <w:sz w:val="28"/>
          <w:szCs w:val="28"/>
        </w:rPr>
        <w:lastRenderedPageBreak/>
        <w:t>гражданско-правового характера, заниматься личным подсобным хозяйством для удовлетворения своих потребностей в питании и т.д.</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При заключении социального контракта по данному направлению гражданин обязан:</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предпринять действия по выполнению мероприятий, предусмотренных социальным контрактом;</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семьи гражданина в товарах и услугах дошкольного и школьного образования.</w:t>
      </w:r>
    </w:p>
    <w:p w:rsidR="00440CDF" w:rsidRPr="00440CDF" w:rsidRDefault="00440CDF" w:rsidP="00440CDF">
      <w:pPr>
        <w:shd w:val="clear" w:color="auto" w:fill="FFFFFF" w:themeFill="background1"/>
        <w:spacing w:line="360" w:lineRule="auto"/>
        <w:ind w:firstLine="709"/>
        <w:jc w:val="both"/>
        <w:rPr>
          <w:iCs/>
          <w:snapToGrid w:val="0"/>
          <w:sz w:val="28"/>
          <w:szCs w:val="28"/>
        </w:rPr>
      </w:pPr>
      <w:r w:rsidRPr="00440CDF">
        <w:rPr>
          <w:iCs/>
          <w:snapToGrid w:val="0"/>
          <w:sz w:val="28"/>
          <w:szCs w:val="28"/>
        </w:rPr>
        <w:t>Кроме того, получатель социального пособия по мероприятиям, связанным с преодолением ТЖС, в рамках исполнения программы социальной адаптации (при включении в нее мероприятий по поиску работы, ведению ЛПХ, осуществлению ИП) и СК обязан выполнять такие же требования, как и в СК, заключенных на вышеуказанные мероприятия.</w:t>
      </w:r>
    </w:p>
    <w:p w:rsidR="00440CDF" w:rsidRPr="00343C73" w:rsidRDefault="00440CDF" w:rsidP="00440CDF">
      <w:pPr>
        <w:shd w:val="clear" w:color="auto" w:fill="FFFFFF" w:themeFill="background1"/>
        <w:ind w:firstLine="709"/>
        <w:jc w:val="both"/>
        <w:rPr>
          <w:iCs/>
          <w:snapToGrid w:val="0"/>
          <w:sz w:val="28"/>
          <w:szCs w:val="28"/>
        </w:rPr>
      </w:pPr>
      <w:r w:rsidRPr="00343C73">
        <w:rPr>
          <w:iCs/>
          <w:snapToGrid w:val="0"/>
          <w:sz w:val="28"/>
          <w:szCs w:val="28"/>
        </w:rPr>
        <w:t>В следующей таблице представлены примерные мероприятия, включаемые в программы социальной адаптации получателей СК.</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1271"/>
        <w:gridCol w:w="3402"/>
        <w:gridCol w:w="2126"/>
      </w:tblGrid>
      <w:tr w:rsidR="00440CDF" w:rsidRPr="00343C73" w:rsidTr="00720600">
        <w:tc>
          <w:tcPr>
            <w:tcW w:w="2972" w:type="dxa"/>
            <w:vAlign w:val="center"/>
          </w:tcPr>
          <w:p w:rsidR="00440CDF" w:rsidRPr="00343C73" w:rsidRDefault="00440CDF" w:rsidP="00720600">
            <w:pPr>
              <w:shd w:val="clear" w:color="auto" w:fill="FFFFFF" w:themeFill="background1"/>
              <w:autoSpaceDE w:val="0"/>
              <w:autoSpaceDN w:val="0"/>
              <w:adjustRightInd w:val="0"/>
              <w:jc w:val="center"/>
              <w:rPr>
                <w:rFonts w:eastAsiaTheme="minorHAnsi"/>
                <w:sz w:val="20"/>
                <w:szCs w:val="20"/>
                <w:lang w:eastAsia="en-US"/>
              </w:rPr>
            </w:pPr>
            <w:r w:rsidRPr="00343C73">
              <w:rPr>
                <w:rFonts w:eastAsiaTheme="minorHAnsi"/>
                <w:sz w:val="20"/>
                <w:szCs w:val="20"/>
                <w:lang w:eastAsia="en-US"/>
              </w:rPr>
              <w:t>Наименование мероприятия</w:t>
            </w:r>
          </w:p>
        </w:tc>
        <w:tc>
          <w:tcPr>
            <w:tcW w:w="1271" w:type="dxa"/>
            <w:vAlign w:val="center"/>
          </w:tcPr>
          <w:p w:rsidR="00440CDF" w:rsidRPr="00343C73" w:rsidRDefault="00440CDF" w:rsidP="00720600">
            <w:pPr>
              <w:shd w:val="clear" w:color="auto" w:fill="FFFFFF" w:themeFill="background1"/>
              <w:autoSpaceDE w:val="0"/>
              <w:autoSpaceDN w:val="0"/>
              <w:adjustRightInd w:val="0"/>
              <w:jc w:val="center"/>
              <w:rPr>
                <w:rFonts w:eastAsiaTheme="minorHAnsi"/>
                <w:sz w:val="20"/>
                <w:szCs w:val="20"/>
                <w:lang w:eastAsia="en-US"/>
              </w:rPr>
            </w:pPr>
            <w:r w:rsidRPr="00343C73">
              <w:rPr>
                <w:rFonts w:eastAsiaTheme="minorHAnsi"/>
                <w:sz w:val="20"/>
                <w:szCs w:val="20"/>
                <w:lang w:eastAsia="en-US"/>
              </w:rPr>
              <w:t>Исполнитель мероприятия</w:t>
            </w:r>
          </w:p>
        </w:tc>
        <w:tc>
          <w:tcPr>
            <w:tcW w:w="3402" w:type="dxa"/>
            <w:vAlign w:val="center"/>
          </w:tcPr>
          <w:p w:rsidR="00440CDF" w:rsidRPr="00343C73" w:rsidRDefault="00440CDF" w:rsidP="00720600">
            <w:pPr>
              <w:shd w:val="clear" w:color="auto" w:fill="FFFFFF" w:themeFill="background1"/>
              <w:autoSpaceDE w:val="0"/>
              <w:autoSpaceDN w:val="0"/>
              <w:adjustRightInd w:val="0"/>
              <w:jc w:val="center"/>
              <w:rPr>
                <w:rFonts w:eastAsiaTheme="minorHAnsi"/>
                <w:sz w:val="20"/>
                <w:szCs w:val="20"/>
                <w:lang w:eastAsia="en-US"/>
              </w:rPr>
            </w:pPr>
            <w:r w:rsidRPr="00343C73">
              <w:rPr>
                <w:rFonts w:eastAsiaTheme="minorHAnsi"/>
                <w:sz w:val="20"/>
                <w:szCs w:val="20"/>
                <w:lang w:eastAsia="en-US"/>
              </w:rPr>
              <w:t>Услуги, предоставление которых необходимо исполнителю для выполнения мероприятий программы социальной адаптации</w:t>
            </w:r>
          </w:p>
        </w:tc>
        <w:tc>
          <w:tcPr>
            <w:tcW w:w="2126" w:type="dxa"/>
            <w:vAlign w:val="center"/>
          </w:tcPr>
          <w:p w:rsidR="00440CDF" w:rsidRPr="00343C73" w:rsidRDefault="00440CDF" w:rsidP="00720600">
            <w:pPr>
              <w:shd w:val="clear" w:color="auto" w:fill="FFFFFF" w:themeFill="background1"/>
              <w:autoSpaceDE w:val="0"/>
              <w:autoSpaceDN w:val="0"/>
              <w:adjustRightInd w:val="0"/>
              <w:jc w:val="center"/>
              <w:rPr>
                <w:rFonts w:eastAsiaTheme="minorHAnsi"/>
                <w:sz w:val="20"/>
                <w:szCs w:val="20"/>
                <w:lang w:eastAsia="en-US"/>
              </w:rPr>
            </w:pPr>
            <w:r w:rsidRPr="00343C73">
              <w:rPr>
                <w:rFonts w:eastAsiaTheme="minorHAnsi"/>
                <w:sz w:val="20"/>
                <w:szCs w:val="20"/>
                <w:lang w:eastAsia="en-US"/>
              </w:rPr>
              <w:t>Органы (организации), ответственные за предоставление услуг</w:t>
            </w:r>
          </w:p>
        </w:tc>
      </w:tr>
    </w:tbl>
    <w:p w:rsidR="00440CDF" w:rsidRPr="00343C73" w:rsidRDefault="00440CDF" w:rsidP="00440CDF">
      <w:pPr>
        <w:shd w:val="clear" w:color="auto" w:fill="FFFFFF" w:themeFill="background1"/>
        <w:ind w:firstLine="709"/>
        <w:jc w:val="both"/>
        <w:rPr>
          <w:iCs/>
          <w:snapToGrid w:val="0"/>
          <w:sz w:val="6"/>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05"/>
        <w:gridCol w:w="1134"/>
        <w:gridCol w:w="3402"/>
        <w:gridCol w:w="2270"/>
      </w:tblGrid>
      <w:tr w:rsidR="00440CDF" w:rsidRPr="00343C73" w:rsidTr="00720600">
        <w:tc>
          <w:tcPr>
            <w:tcW w:w="9778" w:type="dxa"/>
            <w:gridSpan w:val="5"/>
          </w:tcPr>
          <w:p w:rsidR="00440CDF" w:rsidRPr="00343C73" w:rsidRDefault="00440CDF" w:rsidP="00720600">
            <w:pPr>
              <w:pStyle w:val="ConsPlusNormal"/>
              <w:shd w:val="clear" w:color="auto" w:fill="FFFFFF" w:themeFill="background1"/>
              <w:jc w:val="center"/>
              <w:outlineLvl w:val="1"/>
              <w:rPr>
                <w:rFonts w:ascii="Times New Roman" w:hAnsi="Times New Roman" w:cs="Times New Roman"/>
                <w:sz w:val="18"/>
                <w:szCs w:val="18"/>
              </w:rPr>
            </w:pPr>
            <w:r w:rsidRPr="00343C73">
              <w:rPr>
                <w:rFonts w:ascii="Times New Roman" w:hAnsi="Times New Roman" w:cs="Times New Roman"/>
                <w:sz w:val="18"/>
                <w:szCs w:val="18"/>
              </w:rPr>
              <w:t>5. Устройство и пребывание детей в образовательных организациях дошкольного образования, дополнительного образования</w:t>
            </w: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1.</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Получение услуг дошкольного образования для детей</w:t>
            </w:r>
          </w:p>
        </w:tc>
        <w:tc>
          <w:tcPr>
            <w:tcW w:w="1134" w:type="dxa"/>
            <w:vMerge w:val="restart"/>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получатели ГСП на основании СК (члены его семьи)</w:t>
            </w:r>
          </w:p>
        </w:tc>
        <w:tc>
          <w:tcPr>
            <w:tcW w:w="3402"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обеспечение потребностей семьи в услугах дошкольного образования</w:t>
            </w:r>
          </w:p>
        </w:tc>
        <w:tc>
          <w:tcPr>
            <w:tcW w:w="2270" w:type="dxa"/>
            <w:vMerge w:val="restart"/>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муниципальные органы управления образованием</w:t>
            </w:r>
          </w:p>
        </w:tc>
      </w:tr>
      <w:tr w:rsidR="00440CDF" w:rsidRPr="00343C73" w:rsidTr="00720600">
        <w:trPr>
          <w:trHeight w:val="1262"/>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2.</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Получение сертификата на получение услуг дополнительного образования детей в рамках системы персонифицированного финансирования дополнительного образования детей</w:t>
            </w: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предоставление сертификата на получение услуг дополнительного образования детей в рамках системы персонифицированного финансирования дополнительного образования детей</w:t>
            </w:r>
          </w:p>
        </w:tc>
        <w:tc>
          <w:tcPr>
            <w:tcW w:w="2270"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3.</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 xml:space="preserve">Получение компенсации платы за присмотр и уход за </w:t>
            </w:r>
            <w:r w:rsidRPr="00343C73">
              <w:rPr>
                <w:rFonts w:ascii="Times New Roman" w:hAnsi="Times New Roman" w:cs="Times New Roman"/>
                <w:sz w:val="18"/>
                <w:szCs w:val="18"/>
              </w:rPr>
              <w:lastRenderedPageBreak/>
              <w:t>детьми, посещающими образовательные организации, реализующие образовательную программу дошкольного образования</w:t>
            </w: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 xml:space="preserve">предоставление компенсации платы за присмотр и уход за детьми, </w:t>
            </w:r>
            <w:r w:rsidRPr="00343C73">
              <w:rPr>
                <w:rFonts w:ascii="Times New Roman" w:hAnsi="Times New Roman" w:cs="Times New Roman"/>
                <w:sz w:val="18"/>
                <w:szCs w:val="18"/>
              </w:rPr>
              <w:lastRenderedPageBreak/>
              <w:t>посещающими образовательные организации, реализующие образовательную программу дошкольного образования</w:t>
            </w:r>
          </w:p>
        </w:tc>
        <w:tc>
          <w:tcPr>
            <w:tcW w:w="2270"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r>
      <w:tr w:rsidR="00440CDF" w:rsidRPr="00343C73" w:rsidTr="00720600">
        <w:trPr>
          <w:trHeight w:val="20"/>
        </w:trPr>
        <w:tc>
          <w:tcPr>
            <w:tcW w:w="9778" w:type="dxa"/>
            <w:gridSpan w:val="5"/>
          </w:tcPr>
          <w:p w:rsidR="00440CDF" w:rsidRPr="00343C73" w:rsidRDefault="00440CDF" w:rsidP="00720600">
            <w:pPr>
              <w:pStyle w:val="ConsPlusNormal"/>
              <w:shd w:val="clear" w:color="auto" w:fill="FFFFFF" w:themeFill="background1"/>
              <w:jc w:val="center"/>
              <w:outlineLvl w:val="1"/>
              <w:rPr>
                <w:rFonts w:ascii="Times New Roman" w:hAnsi="Times New Roman" w:cs="Times New Roman"/>
                <w:sz w:val="18"/>
                <w:szCs w:val="18"/>
              </w:rPr>
            </w:pPr>
            <w:r w:rsidRPr="00343C73">
              <w:rPr>
                <w:rFonts w:ascii="Times New Roman" w:hAnsi="Times New Roman" w:cs="Times New Roman"/>
                <w:sz w:val="18"/>
                <w:szCs w:val="18"/>
              </w:rPr>
              <w:lastRenderedPageBreak/>
              <w:t>Организация отдыха и оздоровления детей</w:t>
            </w:r>
          </w:p>
        </w:tc>
      </w:tr>
      <w:tr w:rsidR="00440CDF" w:rsidRPr="00343C73" w:rsidTr="00720600">
        <w:trPr>
          <w:trHeight w:val="20"/>
        </w:trPr>
        <w:tc>
          <w:tcPr>
            <w:tcW w:w="567" w:type="dxa"/>
            <w:vMerge w:val="restart"/>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1.</w:t>
            </w:r>
          </w:p>
        </w:tc>
        <w:tc>
          <w:tcPr>
            <w:tcW w:w="2405" w:type="dxa"/>
            <w:vMerge w:val="restart"/>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Получение путевок в организации отдыха и оздоровления детей, на санаторно-курортное лечение детей</w:t>
            </w:r>
          </w:p>
        </w:tc>
        <w:tc>
          <w:tcPr>
            <w:tcW w:w="1134" w:type="dxa"/>
            <w:vMerge w:val="restart"/>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получатели ГСП на основании СК (члены его семьи)</w:t>
            </w:r>
          </w:p>
        </w:tc>
        <w:tc>
          <w:tcPr>
            <w:tcW w:w="3402"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предоставление путевок в организации отдыха и оздоровления детей</w:t>
            </w:r>
          </w:p>
        </w:tc>
        <w:tc>
          <w:tcPr>
            <w:tcW w:w="2270" w:type="dxa"/>
            <w:vMerge w:val="restart"/>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органы социальной защиты населения</w:t>
            </w:r>
          </w:p>
        </w:tc>
      </w:tr>
      <w:tr w:rsidR="00440CDF" w:rsidRPr="00343C73" w:rsidTr="00720600">
        <w:trPr>
          <w:trHeight w:val="20"/>
        </w:trPr>
        <w:tc>
          <w:tcPr>
            <w:tcW w:w="567"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2405"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предоставление путевок на санаторно-курортное лечение детей</w:t>
            </w:r>
          </w:p>
        </w:tc>
        <w:tc>
          <w:tcPr>
            <w:tcW w:w="2270"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r>
      <w:tr w:rsidR="00440CDF" w:rsidRPr="00343C73" w:rsidTr="00720600">
        <w:trPr>
          <w:trHeight w:val="20"/>
        </w:trPr>
        <w:tc>
          <w:tcPr>
            <w:tcW w:w="9778" w:type="dxa"/>
            <w:gridSpan w:val="5"/>
          </w:tcPr>
          <w:p w:rsidR="00440CDF" w:rsidRPr="00343C73" w:rsidRDefault="00440CDF" w:rsidP="00720600">
            <w:pPr>
              <w:pStyle w:val="ConsPlusNormal"/>
              <w:shd w:val="clear" w:color="auto" w:fill="FFFFFF" w:themeFill="background1"/>
              <w:jc w:val="center"/>
              <w:outlineLvl w:val="1"/>
              <w:rPr>
                <w:rFonts w:ascii="Times New Roman" w:hAnsi="Times New Roman" w:cs="Times New Roman"/>
                <w:sz w:val="18"/>
                <w:szCs w:val="18"/>
              </w:rPr>
            </w:pPr>
            <w:r w:rsidRPr="00343C73">
              <w:rPr>
                <w:rFonts w:ascii="Times New Roman" w:hAnsi="Times New Roman" w:cs="Times New Roman"/>
                <w:sz w:val="18"/>
                <w:szCs w:val="18"/>
              </w:rPr>
              <w:t>Предоставление социальных услуг</w:t>
            </w: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1.</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Получение социальных услуг в сфере социального обслуживания по оказанию постоянной, периодической, разовой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tc>
        <w:tc>
          <w:tcPr>
            <w:tcW w:w="1134"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получатели ГСП на основании СК (члены его семьи)</w:t>
            </w:r>
          </w:p>
        </w:tc>
        <w:tc>
          <w:tcPr>
            <w:tcW w:w="3402"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предоставление социальных услуг в сфере социального обслуживания по оказанию постоянной, периодической, разовой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tc>
        <w:tc>
          <w:tcPr>
            <w:tcW w:w="2270"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поставщики социальных услуг</w:t>
            </w:r>
          </w:p>
        </w:tc>
      </w:tr>
      <w:tr w:rsidR="00440CDF" w:rsidRPr="00343C73" w:rsidTr="00720600">
        <w:trPr>
          <w:trHeight w:val="20"/>
        </w:trPr>
        <w:tc>
          <w:tcPr>
            <w:tcW w:w="9778" w:type="dxa"/>
            <w:gridSpan w:val="5"/>
          </w:tcPr>
          <w:p w:rsidR="00440CDF" w:rsidRPr="00343C73" w:rsidRDefault="00440CDF" w:rsidP="00720600">
            <w:pPr>
              <w:pStyle w:val="ConsPlusNormal"/>
              <w:shd w:val="clear" w:color="auto" w:fill="FFFFFF" w:themeFill="background1"/>
              <w:jc w:val="center"/>
              <w:outlineLvl w:val="1"/>
              <w:rPr>
                <w:rFonts w:ascii="Times New Roman" w:hAnsi="Times New Roman" w:cs="Times New Roman"/>
                <w:sz w:val="18"/>
                <w:szCs w:val="18"/>
              </w:rPr>
            </w:pPr>
            <w:r w:rsidRPr="00343C73">
              <w:rPr>
                <w:rFonts w:ascii="Times New Roman" w:hAnsi="Times New Roman" w:cs="Times New Roman"/>
                <w:sz w:val="18"/>
                <w:szCs w:val="18"/>
              </w:rPr>
              <w:t>Предоставление мер социальной поддержки</w:t>
            </w: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1.</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Получение гражданами мер социальной поддержки в соответствии с федеральным и региональным законодательством</w:t>
            </w:r>
          </w:p>
        </w:tc>
        <w:tc>
          <w:tcPr>
            <w:tcW w:w="1134"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получатели ГСП на основании СК (члены его семьи)</w:t>
            </w:r>
          </w:p>
        </w:tc>
        <w:tc>
          <w:tcPr>
            <w:tcW w:w="3402"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предоставление гражданам мер социальной поддержки в соответствии с федеральным и региональным законодательством</w:t>
            </w:r>
          </w:p>
        </w:tc>
        <w:tc>
          <w:tcPr>
            <w:tcW w:w="2270"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органы социальной защиты населения, иные органы, предоставляющие гражданам меры социальной поддержки</w:t>
            </w:r>
          </w:p>
        </w:tc>
      </w:tr>
      <w:tr w:rsidR="00440CDF" w:rsidRPr="00343C73" w:rsidTr="00720600">
        <w:trPr>
          <w:trHeight w:val="20"/>
        </w:trPr>
        <w:tc>
          <w:tcPr>
            <w:tcW w:w="9778" w:type="dxa"/>
            <w:gridSpan w:val="5"/>
          </w:tcPr>
          <w:p w:rsidR="00440CDF" w:rsidRPr="00343C73" w:rsidRDefault="00440CDF" w:rsidP="00720600">
            <w:pPr>
              <w:pStyle w:val="ConsPlusNormal"/>
              <w:shd w:val="clear" w:color="auto" w:fill="FFFFFF" w:themeFill="background1"/>
              <w:jc w:val="center"/>
              <w:outlineLvl w:val="1"/>
              <w:rPr>
                <w:rFonts w:ascii="Times New Roman" w:hAnsi="Times New Roman" w:cs="Times New Roman"/>
                <w:sz w:val="18"/>
                <w:szCs w:val="18"/>
              </w:rPr>
            </w:pPr>
            <w:r w:rsidRPr="00343C73">
              <w:rPr>
                <w:rFonts w:ascii="Times New Roman" w:hAnsi="Times New Roman" w:cs="Times New Roman"/>
                <w:sz w:val="18"/>
                <w:szCs w:val="18"/>
              </w:rPr>
              <w:t>Другие мероприятия, направленные на преодоление трудной жизненной ситуации</w:t>
            </w: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1.</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Прохождение диспансеризации</w:t>
            </w:r>
          </w:p>
        </w:tc>
        <w:tc>
          <w:tcPr>
            <w:tcW w:w="1134" w:type="dxa"/>
            <w:vMerge w:val="restart"/>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получатели ГСП на основании СК (члены его семьи)</w:t>
            </w:r>
          </w:p>
        </w:tc>
        <w:tc>
          <w:tcPr>
            <w:tcW w:w="3402" w:type="dxa"/>
            <w:vMerge w:val="restart"/>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оказание медицинской помощи</w:t>
            </w:r>
          </w:p>
        </w:tc>
        <w:tc>
          <w:tcPr>
            <w:tcW w:w="2270" w:type="dxa"/>
            <w:vMerge w:val="restart"/>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медицинские организации</w:t>
            </w: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2.</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Прохождение профилактического медицинского осмотра</w:t>
            </w: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2270"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3.</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Прохождение вакцинации</w:t>
            </w: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2270"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4.</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Прохождение медицинских обследований, назначенных курсов лечения</w:t>
            </w: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2270"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5.</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Ведение здорового образа жизни</w:t>
            </w: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w:t>
            </w:r>
          </w:p>
        </w:tc>
        <w:tc>
          <w:tcPr>
            <w:tcW w:w="2270"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w:t>
            </w: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6.</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Осуществление ухода за детьми</w:t>
            </w: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w:t>
            </w:r>
          </w:p>
        </w:tc>
        <w:tc>
          <w:tcPr>
            <w:tcW w:w="2270"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w:t>
            </w:r>
          </w:p>
        </w:tc>
      </w:tr>
      <w:tr w:rsidR="00440CDF" w:rsidRPr="00343C73" w:rsidTr="00720600">
        <w:trPr>
          <w:trHeight w:val="20"/>
        </w:trPr>
        <w:tc>
          <w:tcPr>
            <w:tcW w:w="567" w:type="dxa"/>
          </w:tcPr>
          <w:p w:rsidR="00440CDF" w:rsidRPr="00343C73" w:rsidRDefault="00440CDF" w:rsidP="00720600">
            <w:pPr>
              <w:pStyle w:val="ConsPlusNormal"/>
              <w:shd w:val="clear" w:color="auto" w:fill="FFFFFF" w:themeFill="background1"/>
              <w:jc w:val="center"/>
              <w:rPr>
                <w:rFonts w:ascii="Times New Roman" w:hAnsi="Times New Roman" w:cs="Times New Roman"/>
                <w:sz w:val="18"/>
                <w:szCs w:val="18"/>
              </w:rPr>
            </w:pPr>
            <w:r w:rsidRPr="00343C73">
              <w:rPr>
                <w:rFonts w:ascii="Times New Roman" w:hAnsi="Times New Roman" w:cs="Times New Roman"/>
                <w:sz w:val="18"/>
                <w:szCs w:val="18"/>
              </w:rPr>
              <w:t>7.</w:t>
            </w:r>
          </w:p>
        </w:tc>
        <w:tc>
          <w:tcPr>
            <w:tcW w:w="2405"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Получение бесплатной юридической помощи</w:t>
            </w:r>
          </w:p>
        </w:tc>
        <w:tc>
          <w:tcPr>
            <w:tcW w:w="1134" w:type="dxa"/>
            <w:vMerge/>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p>
        </w:tc>
        <w:tc>
          <w:tcPr>
            <w:tcW w:w="3402"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оказание бесплатной юридической помощи</w:t>
            </w:r>
          </w:p>
        </w:tc>
        <w:tc>
          <w:tcPr>
            <w:tcW w:w="2270" w:type="dxa"/>
          </w:tcPr>
          <w:p w:rsidR="00440CDF" w:rsidRPr="00343C73" w:rsidRDefault="00440CDF" w:rsidP="00720600">
            <w:pPr>
              <w:pStyle w:val="ConsPlusNormal"/>
              <w:shd w:val="clear" w:color="auto" w:fill="FFFFFF" w:themeFill="background1"/>
              <w:rPr>
                <w:rFonts w:ascii="Times New Roman" w:hAnsi="Times New Roman" w:cs="Times New Roman"/>
                <w:sz w:val="18"/>
                <w:szCs w:val="18"/>
              </w:rPr>
            </w:pPr>
            <w:r w:rsidRPr="00343C73">
              <w:rPr>
                <w:rFonts w:ascii="Times New Roman" w:hAnsi="Times New Roman" w:cs="Times New Roman"/>
                <w:sz w:val="18"/>
                <w:szCs w:val="18"/>
              </w:rPr>
              <w:t>адвокаты, организации, оказывающие бесплатную юридическую помощь</w:t>
            </w:r>
          </w:p>
        </w:tc>
      </w:tr>
    </w:tbl>
    <w:p w:rsidR="00440CDF" w:rsidRPr="00343C73" w:rsidRDefault="00440CDF" w:rsidP="00440CDF">
      <w:pPr>
        <w:shd w:val="clear" w:color="auto" w:fill="FFFFFF" w:themeFill="background1"/>
        <w:ind w:firstLine="709"/>
        <w:jc w:val="both"/>
        <w:rPr>
          <w:iCs/>
          <w:snapToGrid w:val="0"/>
          <w:sz w:val="28"/>
          <w:szCs w:val="28"/>
        </w:rPr>
      </w:pPr>
    </w:p>
    <w:p w:rsidR="00440CDF" w:rsidRPr="00343C73" w:rsidRDefault="00440CDF" w:rsidP="00440CDF">
      <w:pPr>
        <w:shd w:val="clear" w:color="auto" w:fill="FFFFFF" w:themeFill="background1"/>
        <w:spacing w:line="360" w:lineRule="auto"/>
        <w:ind w:firstLine="709"/>
        <w:jc w:val="both"/>
        <w:rPr>
          <w:iCs/>
          <w:snapToGrid w:val="0"/>
          <w:sz w:val="28"/>
          <w:szCs w:val="28"/>
        </w:rPr>
      </w:pPr>
      <w:r w:rsidRPr="00343C73">
        <w:rPr>
          <w:iCs/>
          <w:snapToGrid w:val="0"/>
          <w:sz w:val="28"/>
          <w:szCs w:val="28"/>
        </w:rPr>
        <w:lastRenderedPageBreak/>
        <w:t>По данным Министерства,</w:t>
      </w:r>
      <w:r>
        <w:rPr>
          <w:iCs/>
          <w:snapToGrid w:val="0"/>
          <w:sz w:val="28"/>
          <w:szCs w:val="28"/>
        </w:rPr>
        <w:t xml:space="preserve"> приведенным ниже,</w:t>
      </w:r>
      <w:r w:rsidRPr="00343C73">
        <w:rPr>
          <w:iCs/>
          <w:snapToGrid w:val="0"/>
          <w:sz w:val="28"/>
          <w:szCs w:val="28"/>
        </w:rPr>
        <w:t xml:space="preserve"> в 2021 году по мероприятиям на ведение ЛПХ было заключено 1 541 СК (29 % от общего количества заключенных в 2021 году СК).</w:t>
      </w:r>
    </w:p>
    <w:p w:rsidR="00440CDF" w:rsidRPr="00343C73" w:rsidRDefault="00440CDF" w:rsidP="00440CDF">
      <w:pPr>
        <w:shd w:val="clear" w:color="auto" w:fill="FFFFFF" w:themeFill="background1"/>
        <w:spacing w:line="360" w:lineRule="auto"/>
        <w:ind w:firstLine="709"/>
        <w:jc w:val="both"/>
        <w:rPr>
          <w:iCs/>
          <w:snapToGrid w:val="0"/>
          <w:sz w:val="28"/>
          <w:szCs w:val="28"/>
        </w:rPr>
      </w:pPr>
      <w:r w:rsidRPr="00343C73">
        <w:rPr>
          <w:iCs/>
          <w:snapToGrid w:val="0"/>
          <w:sz w:val="28"/>
          <w:szCs w:val="28"/>
        </w:rPr>
        <w:t>В 2021 году завершено 1 174 СК (76,2 % от общего количества заключенных в 2021 году СК).</w:t>
      </w:r>
    </w:p>
    <w:p w:rsidR="00440CDF" w:rsidRPr="00343C73" w:rsidRDefault="00440CDF" w:rsidP="00440CDF">
      <w:pPr>
        <w:shd w:val="clear" w:color="auto" w:fill="FFFFFF" w:themeFill="background1"/>
        <w:spacing w:line="360" w:lineRule="auto"/>
        <w:ind w:firstLine="709"/>
        <w:jc w:val="both"/>
        <w:rPr>
          <w:iCs/>
          <w:snapToGrid w:val="0"/>
          <w:sz w:val="28"/>
          <w:szCs w:val="28"/>
        </w:rPr>
      </w:pPr>
      <w:r w:rsidRPr="00343C73">
        <w:rPr>
          <w:iCs/>
          <w:snapToGrid w:val="0"/>
          <w:sz w:val="28"/>
          <w:szCs w:val="28"/>
        </w:rPr>
        <w:t>По состоянию на 1 октября 2022 года по данному направлению заключено 2 060 СК, или 25,7 % от общего количества заключенных контрактов (48 СК с гражданами, расторгнувшими трудовой договор и признанными безработными после 1 марта 2022 года СК). По состоянию на 1 октября 2022 года завершено только 711 СК, или 34,5 % от общего количества заключенных контрактов.</w:t>
      </w:r>
    </w:p>
    <w:p w:rsidR="00440CDF" w:rsidRPr="00343C73" w:rsidRDefault="00440CDF" w:rsidP="00440CDF">
      <w:pPr>
        <w:shd w:val="clear" w:color="auto" w:fill="FFFFFF" w:themeFill="background1"/>
        <w:spacing w:line="360" w:lineRule="auto"/>
        <w:ind w:firstLine="709"/>
        <w:jc w:val="both"/>
        <w:rPr>
          <w:iCs/>
          <w:snapToGrid w:val="0"/>
          <w:sz w:val="28"/>
          <w:szCs w:val="28"/>
        </w:rPr>
      </w:pPr>
      <w:r w:rsidRPr="00343C73">
        <w:rPr>
          <w:iCs/>
          <w:snapToGrid w:val="0"/>
          <w:sz w:val="28"/>
          <w:szCs w:val="28"/>
        </w:rPr>
        <w:t xml:space="preserve">По неуважительным причинам в 2021 году расторгнуто 344 СК, в 2022 году (по состоянию на 1 октября 2022 года) – 148 СК. </w:t>
      </w:r>
    </w:p>
    <w:p w:rsidR="00440CDF" w:rsidRPr="00343C73" w:rsidRDefault="00440CDF" w:rsidP="00440CDF">
      <w:pPr>
        <w:shd w:val="clear" w:color="auto" w:fill="FFFFFF" w:themeFill="background1"/>
        <w:spacing w:line="360" w:lineRule="auto"/>
        <w:ind w:firstLine="709"/>
        <w:jc w:val="both"/>
        <w:rPr>
          <w:iCs/>
          <w:snapToGrid w:val="0"/>
          <w:sz w:val="28"/>
          <w:szCs w:val="28"/>
        </w:rPr>
      </w:pPr>
      <w:r w:rsidRPr="00343C73">
        <w:rPr>
          <w:iCs/>
          <w:snapToGrid w:val="0"/>
          <w:sz w:val="28"/>
          <w:szCs w:val="28"/>
        </w:rPr>
        <w:t>Численность граждан, охваченных ГСП на основании СК в 2021 году составила 4 111 человек (заключенные СК), оценка доходов проведена в отношении 2 706 человек (завершенные в 2021 году СК).</w:t>
      </w:r>
    </w:p>
    <w:p w:rsidR="00440CDF" w:rsidRPr="00343C73" w:rsidRDefault="00440CDF" w:rsidP="00440CDF">
      <w:pPr>
        <w:shd w:val="clear" w:color="auto" w:fill="FFFFFF" w:themeFill="background1"/>
        <w:spacing w:line="360" w:lineRule="auto"/>
        <w:ind w:firstLine="709"/>
        <w:jc w:val="both"/>
        <w:rPr>
          <w:iCs/>
          <w:snapToGrid w:val="0"/>
          <w:sz w:val="28"/>
          <w:szCs w:val="28"/>
        </w:rPr>
      </w:pPr>
      <w:r w:rsidRPr="00343C73">
        <w:rPr>
          <w:iCs/>
          <w:snapToGrid w:val="0"/>
          <w:sz w:val="28"/>
          <w:szCs w:val="28"/>
        </w:rPr>
        <w:t xml:space="preserve">Численность граждан, охваченных ГСП на основании СК в 2022 году составила 5 563 человека (заключенные СК). </w:t>
      </w:r>
    </w:p>
    <w:p w:rsidR="00440CDF" w:rsidRPr="00343C73" w:rsidRDefault="00440CDF" w:rsidP="00440CDF">
      <w:pPr>
        <w:shd w:val="clear" w:color="auto" w:fill="FFFFFF" w:themeFill="background1"/>
        <w:spacing w:line="360" w:lineRule="auto"/>
        <w:ind w:firstLine="709"/>
        <w:jc w:val="both"/>
        <w:rPr>
          <w:iCs/>
          <w:snapToGrid w:val="0"/>
          <w:sz w:val="28"/>
          <w:szCs w:val="28"/>
        </w:rPr>
      </w:pPr>
      <w:r w:rsidRPr="00343C73">
        <w:rPr>
          <w:iCs/>
          <w:snapToGrid w:val="0"/>
          <w:sz w:val="28"/>
          <w:szCs w:val="28"/>
        </w:rPr>
        <w:t>При выборочном анализе личных дел получателей, у которых срок действия социального контракта завершен в период с января по апрель 2021 года, установлено, что граждане-получатели ГСП на основании СК по данному направлению в целом добросовестно выполняют условия социального контракта, предоставляют чеки, подтверждающие целевое расходование средств, при необходимости предоставляют письменные объяснения. Наиболее часто средства расходуют на продукты питания и одежду, погашение задолженности по ЖКУ. Погашение задолженности по кредитам и кредитным картам не осуществляется.</w:t>
      </w:r>
    </w:p>
    <w:p w:rsidR="00440CDF" w:rsidRDefault="00440CDF" w:rsidP="00440CDF">
      <w:pPr>
        <w:shd w:val="clear" w:color="auto" w:fill="FFFFFF" w:themeFill="background1"/>
        <w:spacing w:line="360" w:lineRule="auto"/>
        <w:ind w:firstLine="709"/>
        <w:jc w:val="both"/>
        <w:rPr>
          <w:iCs/>
          <w:snapToGrid w:val="0"/>
          <w:sz w:val="28"/>
          <w:szCs w:val="28"/>
        </w:rPr>
      </w:pPr>
      <w:r w:rsidRPr="00343C73">
        <w:rPr>
          <w:iCs/>
          <w:snapToGrid w:val="0"/>
          <w:sz w:val="28"/>
          <w:szCs w:val="28"/>
        </w:rPr>
        <w:t>По информации Министерства выявление граждан, которым подходит данное направление СК, происходит, как правило, при их обращении за другими мерами социальной поддержки малоимущих граждан.</w:t>
      </w:r>
    </w:p>
    <w:p w:rsidR="00E34E66" w:rsidRPr="007302CE" w:rsidRDefault="00E34E66" w:rsidP="009B3A16">
      <w:pPr>
        <w:pStyle w:val="a4"/>
        <w:numPr>
          <w:ilvl w:val="0"/>
          <w:numId w:val="1"/>
        </w:numPr>
        <w:spacing w:line="360" w:lineRule="auto"/>
        <w:ind w:left="1066" w:hanging="357"/>
        <w:rPr>
          <w:sz w:val="28"/>
          <w:szCs w:val="28"/>
        </w:rPr>
      </w:pPr>
      <w:r>
        <w:rPr>
          <w:sz w:val="28"/>
          <w:szCs w:val="28"/>
        </w:rPr>
        <w:lastRenderedPageBreak/>
        <w:t xml:space="preserve">Опыт организации пилотного проекта, направленного на сокращение доли семей с детьми со среднедушевыми доходами ниже величины прожиточного минимума </w:t>
      </w:r>
      <w:r w:rsidR="009B3A16">
        <w:rPr>
          <w:sz w:val="28"/>
          <w:szCs w:val="28"/>
        </w:rPr>
        <w:t>на территории Приволжского муниципального района Ивановской области.</w:t>
      </w:r>
    </w:p>
    <w:p w:rsidR="00E34E66" w:rsidRDefault="00E34E66" w:rsidP="00841F2A">
      <w:pPr>
        <w:spacing w:before="120" w:line="360" w:lineRule="auto"/>
        <w:ind w:firstLine="709"/>
        <w:jc w:val="both"/>
        <w:rPr>
          <w:sz w:val="28"/>
          <w:szCs w:val="28"/>
        </w:rPr>
      </w:pPr>
      <w:r w:rsidRPr="002665C7">
        <w:rPr>
          <w:sz w:val="28"/>
          <w:szCs w:val="28"/>
        </w:rPr>
        <w:t>В Ивановской области</w:t>
      </w:r>
      <w:r>
        <w:rPr>
          <w:sz w:val="28"/>
          <w:szCs w:val="28"/>
        </w:rPr>
        <w:t xml:space="preserve"> с 2021 года реализуется пилотный проект «Мотивация успеха: новая социальная технология преодоления бедности»</w:t>
      </w:r>
      <w:r>
        <w:rPr>
          <w:rStyle w:val="a7"/>
          <w:sz w:val="28"/>
          <w:szCs w:val="28"/>
        </w:rPr>
        <w:footnoteReference w:id="1"/>
      </w:r>
      <w:r>
        <w:rPr>
          <w:sz w:val="28"/>
          <w:szCs w:val="28"/>
        </w:rPr>
        <w:t xml:space="preserve"> на территории Приволжского муниципального района Ивановской области. Целью пилотного проекта является сокращение доли семей с детьми со среднедушевыми доходами ниже величины прожиточного минимума к 31 декабря 2022 г. в Приволжском муниципальном районе Ивановской области на 20 % к аналогичному показателю на 31 декабря 2020 года путем мотивации жизненной активности семей для преодоления бедности, используя технологию межведомственного сопровождения семей по индивидуальной, разработанной совместно с семьей, траектории.</w:t>
      </w:r>
    </w:p>
    <w:p w:rsidR="00E34E66" w:rsidRPr="00407D23" w:rsidRDefault="00E34E66" w:rsidP="00841F2A">
      <w:pPr>
        <w:spacing w:line="360" w:lineRule="auto"/>
        <w:ind w:firstLine="709"/>
        <w:jc w:val="both"/>
        <w:rPr>
          <w:sz w:val="28"/>
          <w:szCs w:val="28"/>
        </w:rPr>
      </w:pPr>
      <w:r>
        <w:rPr>
          <w:sz w:val="28"/>
          <w:szCs w:val="28"/>
        </w:rPr>
        <w:t>В</w:t>
      </w:r>
      <w:r w:rsidRPr="00407D23">
        <w:rPr>
          <w:sz w:val="28"/>
          <w:szCs w:val="28"/>
        </w:rPr>
        <w:t xml:space="preserve"> рамках </w:t>
      </w:r>
      <w:r>
        <w:rPr>
          <w:sz w:val="28"/>
          <w:szCs w:val="28"/>
        </w:rPr>
        <w:t>пилотного проекта реали</w:t>
      </w:r>
      <w:r w:rsidRPr="00407D23">
        <w:rPr>
          <w:sz w:val="28"/>
          <w:szCs w:val="28"/>
        </w:rPr>
        <w:t>з</w:t>
      </w:r>
      <w:r>
        <w:rPr>
          <w:sz w:val="28"/>
          <w:szCs w:val="28"/>
        </w:rPr>
        <w:t>уются</w:t>
      </w:r>
      <w:r w:rsidRPr="00407D23">
        <w:rPr>
          <w:sz w:val="28"/>
          <w:szCs w:val="28"/>
        </w:rPr>
        <w:t xml:space="preserve"> мероприятия по 3 ключевым направлениям:</w:t>
      </w:r>
    </w:p>
    <w:p w:rsidR="00E34E66" w:rsidRPr="00407D23" w:rsidRDefault="00E34E66" w:rsidP="00841F2A">
      <w:pPr>
        <w:spacing w:line="360" w:lineRule="auto"/>
        <w:ind w:firstLine="709"/>
        <w:jc w:val="both"/>
        <w:rPr>
          <w:sz w:val="28"/>
          <w:szCs w:val="28"/>
        </w:rPr>
      </w:pPr>
      <w:r>
        <w:rPr>
          <w:sz w:val="28"/>
          <w:szCs w:val="28"/>
        </w:rPr>
        <w:t>- к</w:t>
      </w:r>
      <w:r w:rsidRPr="00407D23">
        <w:rPr>
          <w:sz w:val="28"/>
          <w:szCs w:val="28"/>
        </w:rPr>
        <w:t>омплексная (межведомственная) поддержка инициативы семей по выходу из бедности; кадровое и методическое обеспечение реализации проекта</w:t>
      </w:r>
      <w:r>
        <w:rPr>
          <w:sz w:val="28"/>
          <w:szCs w:val="28"/>
        </w:rPr>
        <w:t>;</w:t>
      </w:r>
    </w:p>
    <w:p w:rsidR="00E34E66" w:rsidRPr="00407D23" w:rsidRDefault="00E34E66" w:rsidP="00841F2A">
      <w:pPr>
        <w:spacing w:line="360" w:lineRule="auto"/>
        <w:ind w:firstLine="709"/>
        <w:jc w:val="both"/>
        <w:rPr>
          <w:sz w:val="28"/>
          <w:szCs w:val="28"/>
        </w:rPr>
      </w:pPr>
      <w:r>
        <w:rPr>
          <w:sz w:val="28"/>
          <w:szCs w:val="28"/>
        </w:rPr>
        <w:t>- р</w:t>
      </w:r>
      <w:r w:rsidRPr="00407D23">
        <w:rPr>
          <w:sz w:val="28"/>
          <w:szCs w:val="28"/>
        </w:rPr>
        <w:t>азвитие системы социальной поддержки и профориентации с целью мотивации семей к достижению нового качества жизни</w:t>
      </w:r>
      <w:r>
        <w:rPr>
          <w:sz w:val="28"/>
          <w:szCs w:val="28"/>
        </w:rPr>
        <w:t>;</w:t>
      </w:r>
    </w:p>
    <w:p w:rsidR="00E34E66" w:rsidRDefault="00E34E66" w:rsidP="00841F2A">
      <w:pPr>
        <w:spacing w:line="360" w:lineRule="auto"/>
        <w:ind w:firstLine="709"/>
        <w:jc w:val="both"/>
        <w:rPr>
          <w:sz w:val="28"/>
          <w:szCs w:val="28"/>
        </w:rPr>
      </w:pPr>
      <w:r>
        <w:rPr>
          <w:sz w:val="28"/>
          <w:szCs w:val="28"/>
        </w:rPr>
        <w:t>- создание с</w:t>
      </w:r>
      <w:r w:rsidRPr="00407D23">
        <w:rPr>
          <w:sz w:val="28"/>
          <w:szCs w:val="28"/>
        </w:rPr>
        <w:t>оциальны</w:t>
      </w:r>
      <w:r>
        <w:rPr>
          <w:sz w:val="28"/>
          <w:szCs w:val="28"/>
        </w:rPr>
        <w:t>х</w:t>
      </w:r>
      <w:r w:rsidRPr="00407D23">
        <w:rPr>
          <w:sz w:val="28"/>
          <w:szCs w:val="28"/>
        </w:rPr>
        <w:t xml:space="preserve"> технологи</w:t>
      </w:r>
      <w:r>
        <w:rPr>
          <w:sz w:val="28"/>
          <w:szCs w:val="28"/>
        </w:rPr>
        <w:t>й</w:t>
      </w:r>
      <w:r w:rsidRPr="00407D23">
        <w:rPr>
          <w:sz w:val="28"/>
          <w:szCs w:val="28"/>
        </w:rPr>
        <w:t xml:space="preserve"> и инфраструктур</w:t>
      </w:r>
      <w:r>
        <w:rPr>
          <w:sz w:val="28"/>
          <w:szCs w:val="28"/>
        </w:rPr>
        <w:t>ы</w:t>
      </w:r>
      <w:r w:rsidRPr="00407D23">
        <w:rPr>
          <w:sz w:val="28"/>
          <w:szCs w:val="28"/>
        </w:rPr>
        <w:t xml:space="preserve"> мотивации к успеху</w:t>
      </w:r>
      <w:r>
        <w:rPr>
          <w:sz w:val="28"/>
          <w:szCs w:val="28"/>
        </w:rPr>
        <w:t xml:space="preserve"> детей и подростков</w:t>
      </w:r>
      <w:r w:rsidRPr="00407D23">
        <w:rPr>
          <w:sz w:val="28"/>
          <w:szCs w:val="28"/>
        </w:rPr>
        <w:t>.</w:t>
      </w:r>
    </w:p>
    <w:p w:rsidR="00E34E66" w:rsidRDefault="00E34E66" w:rsidP="00841F2A">
      <w:pPr>
        <w:spacing w:line="360" w:lineRule="auto"/>
        <w:ind w:firstLine="709"/>
        <w:jc w:val="both"/>
        <w:rPr>
          <w:sz w:val="28"/>
          <w:szCs w:val="28"/>
        </w:rPr>
      </w:pPr>
      <w:r>
        <w:rPr>
          <w:sz w:val="28"/>
          <w:szCs w:val="28"/>
        </w:rPr>
        <w:t>На реализацию пилотного проекта предусмотрено 25,2 млн рублей, из них 11,31 млн рублей на 2021 год, 13,89 млн рублей на реализацию пилотного проекта в 2022 году.</w:t>
      </w:r>
    </w:p>
    <w:p w:rsidR="00E34E66" w:rsidRPr="00407D23" w:rsidRDefault="00E34E66" w:rsidP="00841F2A">
      <w:pPr>
        <w:spacing w:line="360" w:lineRule="auto"/>
        <w:ind w:firstLine="709"/>
        <w:jc w:val="both"/>
        <w:rPr>
          <w:sz w:val="28"/>
          <w:szCs w:val="28"/>
        </w:rPr>
      </w:pPr>
      <w:r w:rsidRPr="00407D23">
        <w:rPr>
          <w:sz w:val="28"/>
          <w:szCs w:val="28"/>
        </w:rPr>
        <w:lastRenderedPageBreak/>
        <w:t xml:space="preserve">Если </w:t>
      </w:r>
      <w:r>
        <w:rPr>
          <w:sz w:val="28"/>
          <w:szCs w:val="28"/>
        </w:rPr>
        <w:t>до пилотного проекта</w:t>
      </w:r>
      <w:r w:rsidRPr="00407D23">
        <w:rPr>
          <w:sz w:val="28"/>
          <w:szCs w:val="28"/>
        </w:rPr>
        <w:t xml:space="preserve"> семья выступала как объект социальной политики, то </w:t>
      </w:r>
      <w:r>
        <w:rPr>
          <w:sz w:val="28"/>
          <w:szCs w:val="28"/>
        </w:rPr>
        <w:t>в процессе реализации проекта семья</w:t>
      </w:r>
      <w:r w:rsidRPr="00407D23">
        <w:rPr>
          <w:sz w:val="28"/>
          <w:szCs w:val="28"/>
        </w:rPr>
        <w:t xml:space="preserve"> становится субъектом и активно участвует в мероприятиях по улучшению своего уровня жизни.</w:t>
      </w:r>
    </w:p>
    <w:p w:rsidR="00E34E66" w:rsidRPr="00407D23" w:rsidRDefault="00E34E66" w:rsidP="00841F2A">
      <w:pPr>
        <w:spacing w:line="360" w:lineRule="auto"/>
        <w:ind w:firstLine="709"/>
        <w:jc w:val="both"/>
        <w:rPr>
          <w:sz w:val="28"/>
          <w:szCs w:val="28"/>
        </w:rPr>
      </w:pPr>
      <w:r w:rsidRPr="00407D23">
        <w:rPr>
          <w:sz w:val="28"/>
          <w:szCs w:val="28"/>
        </w:rPr>
        <w:t>До появления проекта с малоимущими семьями работал только специалист</w:t>
      </w:r>
      <w:r>
        <w:rPr>
          <w:sz w:val="28"/>
          <w:szCs w:val="28"/>
        </w:rPr>
        <w:t xml:space="preserve"> социальной защиты населения</w:t>
      </w:r>
      <w:r w:rsidRPr="00407D23">
        <w:rPr>
          <w:sz w:val="28"/>
          <w:szCs w:val="28"/>
        </w:rPr>
        <w:t>, и он был ориентирован на правильное назначение пособия, сейчас к решению задачи подключены служба социальных кураторов, команда специалистов различных ведомств, работодателей, которые направляют совместные усилия на подкрепление инициативы самой семьи. Также большое внимание уделяется детям из таких семей, в том числе для того</w:t>
      </w:r>
      <w:r>
        <w:rPr>
          <w:sz w:val="28"/>
          <w:szCs w:val="28"/>
        </w:rPr>
        <w:t>,</w:t>
      </w:r>
      <w:r w:rsidRPr="00407D23">
        <w:rPr>
          <w:sz w:val="28"/>
          <w:szCs w:val="28"/>
        </w:rPr>
        <w:t xml:space="preserve"> чтобы помочь им сформировать правильную жизненную стратегию.</w:t>
      </w:r>
    </w:p>
    <w:p w:rsidR="00E34E66" w:rsidRDefault="00E34E66" w:rsidP="00841F2A">
      <w:pPr>
        <w:spacing w:line="360" w:lineRule="auto"/>
        <w:ind w:firstLine="709"/>
        <w:jc w:val="both"/>
        <w:rPr>
          <w:sz w:val="28"/>
          <w:szCs w:val="28"/>
        </w:rPr>
      </w:pPr>
      <w:r>
        <w:rPr>
          <w:sz w:val="28"/>
          <w:szCs w:val="28"/>
        </w:rPr>
        <w:t>В пилотном</w:t>
      </w:r>
      <w:r w:rsidRPr="00407D23">
        <w:rPr>
          <w:sz w:val="28"/>
          <w:szCs w:val="28"/>
        </w:rPr>
        <w:t xml:space="preserve"> проекте участвуют органы социальной защиты населения, органы местного самоуправления, медицина, культура, спортивные и образовательные организации, центр занятости, </w:t>
      </w:r>
      <w:r>
        <w:rPr>
          <w:sz w:val="28"/>
          <w:szCs w:val="28"/>
        </w:rPr>
        <w:t>центр социального обслуживания населения</w:t>
      </w:r>
      <w:r w:rsidRPr="00407D23">
        <w:rPr>
          <w:sz w:val="28"/>
          <w:szCs w:val="28"/>
        </w:rPr>
        <w:t xml:space="preserve">. Задействован центр «Мой бизнес», при администрации района создан совет работодателей. </w:t>
      </w:r>
    </w:p>
    <w:p w:rsidR="00E34E66" w:rsidRDefault="00E34E66" w:rsidP="00841F2A">
      <w:pPr>
        <w:spacing w:line="360" w:lineRule="auto"/>
        <w:ind w:firstLine="709"/>
        <w:jc w:val="both"/>
        <w:rPr>
          <w:sz w:val="28"/>
          <w:szCs w:val="28"/>
        </w:rPr>
      </w:pPr>
      <w:r>
        <w:rPr>
          <w:sz w:val="28"/>
          <w:szCs w:val="28"/>
        </w:rPr>
        <w:t>Создана служба семейных кураторов из числа сотрудников центра социального обслуживания, координирует работу один специалист территориального управления социальной защиты населения.</w:t>
      </w:r>
    </w:p>
    <w:p w:rsidR="00E34E66" w:rsidRDefault="00E34E66" w:rsidP="00841F2A">
      <w:pPr>
        <w:spacing w:line="360" w:lineRule="auto"/>
        <w:ind w:firstLine="709"/>
        <w:jc w:val="both"/>
        <w:rPr>
          <w:sz w:val="28"/>
          <w:szCs w:val="28"/>
        </w:rPr>
      </w:pPr>
      <w:r>
        <w:rPr>
          <w:sz w:val="28"/>
          <w:szCs w:val="28"/>
        </w:rPr>
        <w:t>В обязанности семейных кураторов входит обследование семей, составление их социального портрета, изучение проблем, потребностей, раскрытие потенциала, а также разработка совместно с семьей программы социального сопровождения, в которой учитываются возрастные особенности членов семьи, уровень образования, состояние здоровья.</w:t>
      </w:r>
    </w:p>
    <w:p w:rsidR="00E34E66" w:rsidRPr="00407D23" w:rsidRDefault="00E34E66" w:rsidP="00841F2A">
      <w:pPr>
        <w:spacing w:line="360" w:lineRule="auto"/>
        <w:ind w:firstLine="709"/>
        <w:jc w:val="both"/>
        <w:rPr>
          <w:sz w:val="28"/>
          <w:szCs w:val="28"/>
        </w:rPr>
      </w:pPr>
      <w:r>
        <w:rPr>
          <w:sz w:val="28"/>
          <w:szCs w:val="28"/>
        </w:rPr>
        <w:t>Главным отличием от обычного заключения социального контракта является то, что р</w:t>
      </w:r>
      <w:r w:rsidRPr="00407D23">
        <w:rPr>
          <w:sz w:val="28"/>
          <w:szCs w:val="28"/>
        </w:rPr>
        <w:t>абота строится на социальном сопровождении семей</w:t>
      </w:r>
      <w:r>
        <w:rPr>
          <w:sz w:val="28"/>
          <w:szCs w:val="28"/>
        </w:rPr>
        <w:t>, в том числе и детей.</w:t>
      </w:r>
      <w:r w:rsidRPr="00407D23">
        <w:rPr>
          <w:sz w:val="28"/>
          <w:szCs w:val="28"/>
        </w:rPr>
        <w:t xml:space="preserve"> </w:t>
      </w:r>
    </w:p>
    <w:p w:rsidR="00E34E66" w:rsidRDefault="00E34E66" w:rsidP="00841F2A">
      <w:pPr>
        <w:spacing w:line="360" w:lineRule="auto"/>
        <w:ind w:firstLine="709"/>
        <w:jc w:val="both"/>
        <w:rPr>
          <w:sz w:val="28"/>
          <w:szCs w:val="28"/>
        </w:rPr>
      </w:pPr>
      <w:r w:rsidRPr="00407D23">
        <w:rPr>
          <w:sz w:val="28"/>
          <w:szCs w:val="28"/>
        </w:rPr>
        <w:t>Одним из инструментов работы с семьей является государственная социальная помощь на основании государственного социального контракта</w:t>
      </w:r>
      <w:r>
        <w:rPr>
          <w:sz w:val="28"/>
          <w:szCs w:val="28"/>
        </w:rPr>
        <w:t xml:space="preserve">. </w:t>
      </w:r>
      <w:r w:rsidRPr="00407D23">
        <w:rPr>
          <w:sz w:val="28"/>
          <w:szCs w:val="28"/>
        </w:rPr>
        <w:t>Тем</w:t>
      </w:r>
      <w:r>
        <w:rPr>
          <w:sz w:val="28"/>
          <w:szCs w:val="28"/>
        </w:rPr>
        <w:t>,</w:t>
      </w:r>
      <w:r w:rsidRPr="00407D23">
        <w:rPr>
          <w:sz w:val="28"/>
          <w:szCs w:val="28"/>
        </w:rPr>
        <w:t xml:space="preserve"> кто хочет открыть собственное дело, необходимо предоставить бизнес-</w:t>
      </w:r>
      <w:r w:rsidRPr="00407D23">
        <w:rPr>
          <w:sz w:val="28"/>
          <w:szCs w:val="28"/>
        </w:rPr>
        <w:lastRenderedPageBreak/>
        <w:t>план и смету.</w:t>
      </w:r>
      <w:r>
        <w:rPr>
          <w:sz w:val="28"/>
          <w:szCs w:val="28"/>
        </w:rPr>
        <w:t xml:space="preserve"> </w:t>
      </w:r>
      <w:r w:rsidRPr="00407D23">
        <w:rPr>
          <w:sz w:val="28"/>
          <w:szCs w:val="28"/>
        </w:rPr>
        <w:t xml:space="preserve">Подготовить их, а также просчитать перспективы развития               выбранного дела, помогает центр «Мой бизнес». </w:t>
      </w:r>
    </w:p>
    <w:p w:rsidR="00E34E66" w:rsidRDefault="00E34E66" w:rsidP="00841F2A">
      <w:pPr>
        <w:spacing w:line="360" w:lineRule="auto"/>
        <w:ind w:firstLine="709"/>
        <w:jc w:val="both"/>
        <w:rPr>
          <w:sz w:val="28"/>
          <w:szCs w:val="28"/>
        </w:rPr>
      </w:pPr>
      <w:r>
        <w:rPr>
          <w:sz w:val="28"/>
          <w:szCs w:val="28"/>
        </w:rPr>
        <w:t xml:space="preserve">В рамках реализации пилотного проекта по состоянию на 25 ноября </w:t>
      </w:r>
      <w:r>
        <w:rPr>
          <w:sz w:val="28"/>
          <w:szCs w:val="28"/>
        </w:rPr>
        <w:br/>
        <w:t>2022 г. в Приволжском муниципальном районе на социальном сопровождении находились 102 семьи.</w:t>
      </w:r>
    </w:p>
    <w:p w:rsidR="00E34E66" w:rsidRDefault="00E34E66" w:rsidP="00841F2A">
      <w:pPr>
        <w:spacing w:line="360" w:lineRule="auto"/>
        <w:ind w:firstLine="709"/>
        <w:jc w:val="both"/>
        <w:rPr>
          <w:sz w:val="28"/>
          <w:szCs w:val="28"/>
        </w:rPr>
      </w:pPr>
      <w:r>
        <w:rPr>
          <w:sz w:val="28"/>
          <w:szCs w:val="28"/>
        </w:rPr>
        <w:t xml:space="preserve">Сформирован социальный портрет семей – участников проекта: это малоимущая, чаще неполная, городская семья, где один из родителей безработный, и воспитываются 2 детей. </w:t>
      </w:r>
    </w:p>
    <w:p w:rsidR="00E34E66" w:rsidRDefault="00E34E66" w:rsidP="00841F2A">
      <w:pPr>
        <w:spacing w:line="360" w:lineRule="auto"/>
        <w:ind w:firstLine="709"/>
        <w:jc w:val="both"/>
        <w:rPr>
          <w:sz w:val="28"/>
          <w:szCs w:val="28"/>
        </w:rPr>
      </w:pPr>
      <w:r>
        <w:rPr>
          <w:sz w:val="28"/>
          <w:szCs w:val="28"/>
        </w:rPr>
        <w:t>Из общего количества: 39 полных семей, 47 – неполные семьи, 2 одиноко проживающих гражданина, 9 – полные многодетные семьи, 5 – неполные многодетные семьи.</w:t>
      </w:r>
    </w:p>
    <w:p w:rsidR="00E34E66" w:rsidRDefault="00E34E66" w:rsidP="00841F2A">
      <w:pPr>
        <w:spacing w:line="360" w:lineRule="auto"/>
        <w:ind w:firstLine="709"/>
        <w:jc w:val="both"/>
        <w:rPr>
          <w:sz w:val="28"/>
          <w:szCs w:val="28"/>
        </w:rPr>
      </w:pPr>
      <w:r>
        <w:rPr>
          <w:sz w:val="28"/>
          <w:szCs w:val="28"/>
        </w:rPr>
        <w:t>В составе 63 семей есть безработные граждане, в 3 семьях оба родителя безработные.</w:t>
      </w:r>
    </w:p>
    <w:p w:rsidR="00E34E66" w:rsidRDefault="00E34E66" w:rsidP="00841F2A">
      <w:pPr>
        <w:spacing w:line="360" w:lineRule="auto"/>
        <w:ind w:firstLine="709"/>
        <w:jc w:val="both"/>
        <w:rPr>
          <w:sz w:val="28"/>
          <w:szCs w:val="28"/>
        </w:rPr>
      </w:pPr>
      <w:r>
        <w:rPr>
          <w:sz w:val="28"/>
          <w:szCs w:val="28"/>
        </w:rPr>
        <w:t>В семьях – участниках проекта воспитывается 170 детей, из них:</w:t>
      </w:r>
    </w:p>
    <w:p w:rsidR="00E34E66" w:rsidRDefault="00E34E66" w:rsidP="00841F2A">
      <w:pPr>
        <w:spacing w:line="360" w:lineRule="auto"/>
        <w:ind w:firstLine="709"/>
        <w:jc w:val="both"/>
        <w:rPr>
          <w:sz w:val="28"/>
          <w:szCs w:val="28"/>
        </w:rPr>
      </w:pPr>
      <w:r>
        <w:rPr>
          <w:sz w:val="28"/>
          <w:szCs w:val="28"/>
        </w:rPr>
        <w:t>- 47 детей посещают дошкольные образовательные организации;</w:t>
      </w:r>
    </w:p>
    <w:p w:rsidR="00E34E66" w:rsidRDefault="00E34E66" w:rsidP="00841F2A">
      <w:pPr>
        <w:spacing w:line="360" w:lineRule="auto"/>
        <w:ind w:firstLine="709"/>
        <w:jc w:val="both"/>
        <w:rPr>
          <w:sz w:val="28"/>
          <w:szCs w:val="28"/>
        </w:rPr>
      </w:pPr>
      <w:r>
        <w:rPr>
          <w:sz w:val="28"/>
          <w:szCs w:val="28"/>
        </w:rPr>
        <w:t>- 102 ребенка учатся в общеобразовательных организациях;</w:t>
      </w:r>
    </w:p>
    <w:p w:rsidR="00E34E66" w:rsidRDefault="00E34E66" w:rsidP="00841F2A">
      <w:pPr>
        <w:spacing w:line="360" w:lineRule="auto"/>
        <w:ind w:firstLine="709"/>
        <w:jc w:val="both"/>
        <w:rPr>
          <w:sz w:val="28"/>
          <w:szCs w:val="28"/>
        </w:rPr>
      </w:pPr>
      <w:r>
        <w:rPr>
          <w:sz w:val="28"/>
          <w:szCs w:val="28"/>
        </w:rPr>
        <w:t>- 20 детей получают профессиональное образование в учебных организациях Ивановской области и г. Костромы.</w:t>
      </w:r>
    </w:p>
    <w:p w:rsidR="00E34E66" w:rsidRDefault="00E34E66" w:rsidP="00841F2A">
      <w:pPr>
        <w:spacing w:line="360" w:lineRule="auto"/>
        <w:ind w:firstLine="709"/>
        <w:jc w:val="both"/>
        <w:rPr>
          <w:sz w:val="28"/>
          <w:szCs w:val="28"/>
        </w:rPr>
      </w:pPr>
      <w:r>
        <w:rPr>
          <w:sz w:val="28"/>
          <w:szCs w:val="28"/>
        </w:rPr>
        <w:t>В ходе работы с семьями установлены три основные причины бедности:</w:t>
      </w:r>
    </w:p>
    <w:p w:rsidR="00E34E66" w:rsidRDefault="00E34E66" w:rsidP="00841F2A">
      <w:pPr>
        <w:spacing w:line="360" w:lineRule="auto"/>
        <w:ind w:firstLine="709"/>
        <w:jc w:val="both"/>
        <w:rPr>
          <w:sz w:val="28"/>
          <w:szCs w:val="28"/>
        </w:rPr>
      </w:pPr>
      <w:r>
        <w:rPr>
          <w:sz w:val="28"/>
          <w:szCs w:val="28"/>
        </w:rPr>
        <w:t>- низкий уровень заработной платы (38 % от общей численности семей);</w:t>
      </w:r>
    </w:p>
    <w:p w:rsidR="00E34E66" w:rsidRDefault="00E34E66" w:rsidP="00841F2A">
      <w:pPr>
        <w:spacing w:line="360" w:lineRule="auto"/>
        <w:ind w:firstLine="709"/>
        <w:jc w:val="both"/>
        <w:rPr>
          <w:sz w:val="28"/>
          <w:szCs w:val="28"/>
        </w:rPr>
      </w:pPr>
      <w:r>
        <w:rPr>
          <w:sz w:val="28"/>
          <w:szCs w:val="28"/>
        </w:rPr>
        <w:t>- отсутствие рабочих вакансий – (48 % от общей численности семей);</w:t>
      </w:r>
    </w:p>
    <w:p w:rsidR="00E34E66" w:rsidRDefault="00E34E66" w:rsidP="00841F2A">
      <w:pPr>
        <w:spacing w:line="360" w:lineRule="auto"/>
        <w:ind w:firstLine="709"/>
        <w:jc w:val="both"/>
        <w:rPr>
          <w:sz w:val="28"/>
          <w:szCs w:val="28"/>
        </w:rPr>
      </w:pPr>
      <w:r>
        <w:rPr>
          <w:sz w:val="28"/>
          <w:szCs w:val="28"/>
        </w:rPr>
        <w:t>- отсутствие профессионального образования – (14 % от общей численности семей).</w:t>
      </w:r>
    </w:p>
    <w:p w:rsidR="00E34E66" w:rsidRDefault="00E34E66" w:rsidP="00841F2A">
      <w:pPr>
        <w:spacing w:line="360" w:lineRule="auto"/>
        <w:ind w:firstLine="709"/>
        <w:jc w:val="both"/>
        <w:rPr>
          <w:sz w:val="28"/>
          <w:szCs w:val="28"/>
        </w:rPr>
      </w:pPr>
      <w:r>
        <w:rPr>
          <w:sz w:val="28"/>
          <w:szCs w:val="28"/>
        </w:rPr>
        <w:t>В 23 семьях определена высокая глубина бедности, где среднедушевой доход семьи составляет от 10 до 50 % величины прожиточного минимума, в 44 семьях – средняя глубина бедности, где среднедушевой доход семьи составляет от 51 % до 80 % от величины прожиточного минимума, в 28 семьях – низкая глубина бедности, где среднедушевой доход семьи составляет от 81 до 99 % от величины прожиточного минимума.</w:t>
      </w:r>
    </w:p>
    <w:p w:rsidR="00E34E66" w:rsidRDefault="00E34E66" w:rsidP="00841F2A">
      <w:pPr>
        <w:spacing w:line="360" w:lineRule="auto"/>
        <w:ind w:firstLine="709"/>
        <w:jc w:val="both"/>
        <w:rPr>
          <w:sz w:val="28"/>
          <w:szCs w:val="28"/>
        </w:rPr>
      </w:pPr>
      <w:r>
        <w:rPr>
          <w:sz w:val="28"/>
          <w:szCs w:val="28"/>
        </w:rPr>
        <w:lastRenderedPageBreak/>
        <w:t>За период февраль 2021 года – октябрь 2022 г. с семьями – участниками пилотного проекта было заключено 95 социальных контрактов, из них по направлениям:</w:t>
      </w:r>
    </w:p>
    <w:p w:rsidR="00E34E66" w:rsidRDefault="00E34E66" w:rsidP="00841F2A">
      <w:pPr>
        <w:spacing w:line="360" w:lineRule="auto"/>
        <w:ind w:firstLine="709"/>
        <w:jc w:val="both"/>
        <w:rPr>
          <w:sz w:val="28"/>
          <w:szCs w:val="28"/>
        </w:rPr>
      </w:pPr>
      <w:r>
        <w:rPr>
          <w:sz w:val="28"/>
          <w:szCs w:val="28"/>
        </w:rPr>
        <w:t>- поиск работы – 41 социальный контракт;</w:t>
      </w:r>
    </w:p>
    <w:p w:rsidR="00E34E66" w:rsidRDefault="00E34E66" w:rsidP="00841F2A">
      <w:pPr>
        <w:spacing w:line="360" w:lineRule="auto"/>
        <w:ind w:firstLine="709"/>
        <w:jc w:val="both"/>
        <w:rPr>
          <w:sz w:val="28"/>
          <w:szCs w:val="28"/>
        </w:rPr>
      </w:pPr>
      <w:r>
        <w:rPr>
          <w:sz w:val="28"/>
          <w:szCs w:val="28"/>
        </w:rPr>
        <w:t xml:space="preserve">- осуществление индивидуальной предпринимательской деятельности – </w:t>
      </w:r>
      <w:r>
        <w:rPr>
          <w:sz w:val="28"/>
          <w:szCs w:val="28"/>
        </w:rPr>
        <w:br/>
        <w:t>19 социальных контрактов;</w:t>
      </w:r>
    </w:p>
    <w:p w:rsidR="00E34E66" w:rsidRDefault="00E34E66" w:rsidP="00841F2A">
      <w:pPr>
        <w:spacing w:line="360" w:lineRule="auto"/>
        <w:ind w:firstLine="709"/>
        <w:jc w:val="both"/>
        <w:rPr>
          <w:sz w:val="28"/>
          <w:szCs w:val="28"/>
        </w:rPr>
      </w:pPr>
      <w:r>
        <w:rPr>
          <w:sz w:val="28"/>
          <w:szCs w:val="28"/>
        </w:rPr>
        <w:t>- ведение ЛПХ – 2 социальных контракта;</w:t>
      </w:r>
    </w:p>
    <w:p w:rsidR="00E34E66" w:rsidRDefault="00E34E66" w:rsidP="00841F2A">
      <w:pPr>
        <w:spacing w:line="360" w:lineRule="auto"/>
        <w:ind w:firstLine="709"/>
        <w:jc w:val="both"/>
        <w:rPr>
          <w:sz w:val="28"/>
          <w:szCs w:val="28"/>
        </w:rPr>
      </w:pPr>
      <w:r>
        <w:rPr>
          <w:sz w:val="28"/>
          <w:szCs w:val="28"/>
        </w:rPr>
        <w:t>- преодоление трудной жизненной ситуации – 30 социальных контрактов.</w:t>
      </w:r>
    </w:p>
    <w:p w:rsidR="00E34E66" w:rsidRDefault="00E34E66" w:rsidP="00841F2A">
      <w:pPr>
        <w:spacing w:line="360" w:lineRule="auto"/>
        <w:ind w:firstLine="709"/>
        <w:jc w:val="both"/>
        <w:rPr>
          <w:sz w:val="28"/>
          <w:szCs w:val="28"/>
        </w:rPr>
      </w:pPr>
      <w:r>
        <w:rPr>
          <w:sz w:val="28"/>
          <w:szCs w:val="28"/>
        </w:rPr>
        <w:t>За время реализации пилотного проекта с социального сопровождения были сняты 57 семей, из них:</w:t>
      </w:r>
    </w:p>
    <w:p w:rsidR="00E34E66" w:rsidRDefault="00E34E66" w:rsidP="00841F2A">
      <w:pPr>
        <w:spacing w:line="360" w:lineRule="auto"/>
        <w:ind w:firstLine="709"/>
        <w:jc w:val="both"/>
        <w:rPr>
          <w:sz w:val="28"/>
          <w:szCs w:val="28"/>
        </w:rPr>
      </w:pPr>
      <w:r>
        <w:rPr>
          <w:sz w:val="28"/>
          <w:szCs w:val="28"/>
        </w:rPr>
        <w:t>- в 12 семьях доход превысил величину прожиточного минимума (семьи не являются получателями социальных выплат)</w:t>
      </w:r>
      <w:r>
        <w:rPr>
          <w:rStyle w:val="a7"/>
          <w:sz w:val="28"/>
          <w:szCs w:val="28"/>
        </w:rPr>
        <w:footnoteReference w:id="2"/>
      </w:r>
      <w:r>
        <w:rPr>
          <w:sz w:val="28"/>
          <w:szCs w:val="28"/>
        </w:rPr>
        <w:t>;</w:t>
      </w:r>
    </w:p>
    <w:p w:rsidR="00E34E66" w:rsidRDefault="00E34E66" w:rsidP="00841F2A">
      <w:pPr>
        <w:spacing w:line="360" w:lineRule="auto"/>
        <w:ind w:firstLine="709"/>
        <w:jc w:val="both"/>
        <w:rPr>
          <w:sz w:val="28"/>
          <w:szCs w:val="28"/>
        </w:rPr>
      </w:pPr>
      <w:r>
        <w:rPr>
          <w:sz w:val="28"/>
          <w:szCs w:val="28"/>
        </w:rPr>
        <w:t>- в 17 семьях доход превысил прожиточный минимум за счет социальных выплат.</w:t>
      </w:r>
    </w:p>
    <w:sectPr w:rsidR="00E34E66" w:rsidSect="001D0CD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FCD" w:rsidRDefault="00C73FCD" w:rsidP="00E12531">
      <w:r>
        <w:separator/>
      </w:r>
    </w:p>
  </w:endnote>
  <w:endnote w:type="continuationSeparator" w:id="0">
    <w:p w:rsidR="00C73FCD" w:rsidRDefault="00C73FCD" w:rsidP="00E1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FCD" w:rsidRDefault="00C73FCD" w:rsidP="00E12531">
      <w:r>
        <w:separator/>
      </w:r>
    </w:p>
  </w:footnote>
  <w:footnote w:type="continuationSeparator" w:id="0">
    <w:p w:rsidR="00C73FCD" w:rsidRDefault="00C73FCD" w:rsidP="00E12531">
      <w:r>
        <w:continuationSeparator/>
      </w:r>
    </w:p>
  </w:footnote>
  <w:footnote w:id="1">
    <w:p w:rsidR="00E34E66" w:rsidRDefault="00E34E66" w:rsidP="00E34E66">
      <w:pPr>
        <w:pStyle w:val="a5"/>
      </w:pPr>
      <w:r>
        <w:rPr>
          <w:rStyle w:val="a7"/>
        </w:rPr>
        <w:footnoteRef/>
      </w:r>
      <w:r>
        <w:t xml:space="preserve"> Паспорт пилотного проекта утвержден распоряжением заместителя Председателя Правительства Ивановской области от 1 февраля 2021 г. № ИЭ-1</w:t>
      </w:r>
    </w:p>
  </w:footnote>
  <w:footnote w:id="2">
    <w:p w:rsidR="00E34E66" w:rsidRDefault="00E34E66" w:rsidP="00E34E66">
      <w:pPr>
        <w:pStyle w:val="a5"/>
        <w:jc w:val="both"/>
      </w:pPr>
      <w:r>
        <w:rPr>
          <w:rStyle w:val="a7"/>
        </w:rPr>
        <w:footnoteRef/>
      </w:r>
      <w:r>
        <w:t xml:space="preserve"> За счет трудоустройства безработных членов семьи, смены места работы на более высокооплачиваемое, открытия собственного дела.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56245"/>
      <w:docPartObj>
        <w:docPartGallery w:val="Page Numbers (Top of Page)"/>
        <w:docPartUnique/>
      </w:docPartObj>
    </w:sdtPr>
    <w:sdtEndPr/>
    <w:sdtContent>
      <w:p w:rsidR="001D0CD2" w:rsidRDefault="001D0CD2">
        <w:pPr>
          <w:pStyle w:val="a8"/>
          <w:jc w:val="center"/>
        </w:pPr>
        <w:r>
          <w:fldChar w:fldCharType="begin"/>
        </w:r>
        <w:r>
          <w:instrText>PAGE   \* MERGEFORMAT</w:instrText>
        </w:r>
        <w:r>
          <w:fldChar w:fldCharType="separate"/>
        </w:r>
        <w:r w:rsidR="00DC05BA">
          <w:rPr>
            <w:noProof/>
          </w:rPr>
          <w:t>2</w:t>
        </w:r>
        <w:r>
          <w:fldChar w:fldCharType="end"/>
        </w:r>
      </w:p>
    </w:sdtContent>
  </w:sdt>
  <w:p w:rsidR="001D0CD2" w:rsidRDefault="001D0CD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33212"/>
    <w:multiLevelType w:val="hybridMultilevel"/>
    <w:tmpl w:val="92C8943A"/>
    <w:lvl w:ilvl="0" w:tplc="3A2AB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CE"/>
    <w:rsid w:val="00047330"/>
    <w:rsid w:val="001D0CD2"/>
    <w:rsid w:val="0038489B"/>
    <w:rsid w:val="004324B2"/>
    <w:rsid w:val="00440CDF"/>
    <w:rsid w:val="00451EEF"/>
    <w:rsid w:val="00590614"/>
    <w:rsid w:val="00650B28"/>
    <w:rsid w:val="007302CE"/>
    <w:rsid w:val="00841F2A"/>
    <w:rsid w:val="008E36C3"/>
    <w:rsid w:val="008F4C8F"/>
    <w:rsid w:val="009B3A16"/>
    <w:rsid w:val="00A079DE"/>
    <w:rsid w:val="00C73FCD"/>
    <w:rsid w:val="00DC05BA"/>
    <w:rsid w:val="00E12531"/>
    <w:rsid w:val="00E34E66"/>
    <w:rsid w:val="00FC4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B4300-5BEF-4AB3-989E-456DBF35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2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39"/>
    <w:unhideWhenUsed/>
    <w:rsid w:val="00730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2CE"/>
    <w:pPr>
      <w:ind w:left="720"/>
      <w:contextualSpacing/>
    </w:pPr>
  </w:style>
  <w:style w:type="paragraph" w:customStyle="1" w:styleId="ConsPlusNormal">
    <w:name w:val="ConsPlusNormal"/>
    <w:rsid w:val="00440CDF"/>
    <w:pPr>
      <w:widowControl w:val="0"/>
      <w:autoSpaceDE w:val="0"/>
      <w:autoSpaceDN w:val="0"/>
      <w:spacing w:after="0" w:line="240" w:lineRule="auto"/>
    </w:pPr>
    <w:rPr>
      <w:rFonts w:ascii="Arial" w:eastAsiaTheme="minorEastAsia" w:hAnsi="Arial" w:cs="Arial"/>
      <w:sz w:val="20"/>
      <w:lang w:eastAsia="ru-RU"/>
    </w:rPr>
  </w:style>
  <w:style w:type="paragraph" w:styleId="a5">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
    <w:link w:val="a6"/>
    <w:uiPriority w:val="99"/>
    <w:unhideWhenUsed/>
    <w:qFormat/>
    <w:rsid w:val="00E12531"/>
    <w:rPr>
      <w:sz w:val="20"/>
      <w:szCs w:val="20"/>
    </w:rPr>
  </w:style>
  <w:style w:type="character" w:customStyle="1" w:styleId="a6">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0"/>
    <w:link w:val="a5"/>
    <w:uiPriority w:val="99"/>
    <w:rsid w:val="00E12531"/>
    <w:rPr>
      <w:rFonts w:ascii="Times New Roman" w:eastAsia="Times New Roman" w:hAnsi="Times New Roman" w:cs="Times New Roman"/>
      <w:sz w:val="20"/>
      <w:szCs w:val="20"/>
      <w:lang w:eastAsia="ru-RU"/>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uiPriority w:val="99"/>
    <w:unhideWhenUsed/>
    <w:qFormat/>
    <w:rsid w:val="00E12531"/>
    <w:rPr>
      <w:vertAlign w:val="superscript"/>
    </w:rPr>
  </w:style>
  <w:style w:type="paragraph" w:styleId="a8">
    <w:name w:val="header"/>
    <w:basedOn w:val="a"/>
    <w:link w:val="a9"/>
    <w:uiPriority w:val="99"/>
    <w:unhideWhenUsed/>
    <w:rsid w:val="001D0CD2"/>
    <w:pPr>
      <w:tabs>
        <w:tab w:val="center" w:pos="4677"/>
        <w:tab w:val="right" w:pos="9355"/>
      </w:tabs>
    </w:pPr>
  </w:style>
  <w:style w:type="character" w:customStyle="1" w:styleId="a9">
    <w:name w:val="Верхний колонтитул Знак"/>
    <w:basedOn w:val="a0"/>
    <w:link w:val="a8"/>
    <w:uiPriority w:val="99"/>
    <w:rsid w:val="001D0CD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D0CD2"/>
    <w:pPr>
      <w:tabs>
        <w:tab w:val="center" w:pos="4677"/>
        <w:tab w:val="right" w:pos="9355"/>
      </w:tabs>
    </w:pPr>
  </w:style>
  <w:style w:type="character" w:customStyle="1" w:styleId="ab">
    <w:name w:val="Нижний колонтитул Знак"/>
    <w:basedOn w:val="a0"/>
    <w:link w:val="aa"/>
    <w:uiPriority w:val="99"/>
    <w:rsid w:val="001D0C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2831</Words>
  <Characters>16139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Расторгуева Ираида Григорьевна</cp:lastModifiedBy>
  <cp:revision>2</cp:revision>
  <dcterms:created xsi:type="dcterms:W3CDTF">2023-05-15T12:59:00Z</dcterms:created>
  <dcterms:modified xsi:type="dcterms:W3CDTF">2023-05-15T12:59:00Z</dcterms:modified>
</cp:coreProperties>
</file>