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charts/chart3.xml" ContentType="application/vnd.openxmlformats-officedocument.drawingml.chart+xml"/>
  <Override PartName="/word/theme/themeOverride3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5FB0" w:rsidRDefault="00D75BF2" w:rsidP="00E95FB0">
      <w:pPr>
        <w:spacing w:after="160" w:line="240" w:lineRule="auto"/>
        <w:jc w:val="right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 xml:space="preserve">График № </w:t>
      </w:r>
      <w:r w:rsidR="00E95FB0" w:rsidRPr="00E95FB0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1</w:t>
      </w:r>
    </w:p>
    <w:p w:rsidR="00E95FB0" w:rsidRPr="0044314F" w:rsidRDefault="0044314F" w:rsidP="0044314F">
      <w:pPr>
        <w:spacing w:after="16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  <w:r w:rsidRPr="0044314F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Динамика числ</w: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енности врачей и СМП н</w:t>
      </w:r>
      <w:r w:rsidR="00E95FB0" w:rsidRPr="00E95FB0">
        <w:rPr>
          <w:rFonts w:ascii="Times New Roman" w:eastAsia="Times New Roman" w:hAnsi="Times New Roman" w:cs="Times New Roman"/>
          <w:sz w:val="24"/>
          <w:szCs w:val="24"/>
          <w:lang w:eastAsia="ru-RU"/>
        </w:rPr>
        <w:t>а 1 января 2020 года</w:t>
      </w:r>
      <w:r w:rsidR="003C78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(человек).</w:t>
      </w:r>
    </w:p>
    <w:p w:rsidR="00E95FB0" w:rsidRPr="00E95FB0" w:rsidRDefault="00E95FB0" w:rsidP="00E95FB0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95FB0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drawing>
          <wp:inline distT="0" distB="0" distL="0" distR="0" wp14:anchorId="6FD1B0D4" wp14:editId="5A79B764">
            <wp:extent cx="5925787" cy="7303325"/>
            <wp:effectExtent l="0" t="0" r="0" b="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E95FB0" w:rsidRPr="00E95FB0" w:rsidRDefault="00E95FB0" w:rsidP="00E95FB0">
      <w:pPr>
        <w:spacing w:after="160" w:line="259" w:lineRule="auto"/>
        <w:rPr>
          <w:rFonts w:ascii="Calibri" w:eastAsia="Calibri" w:hAnsi="Calibri" w:cs="Times New Roman"/>
        </w:rPr>
      </w:pPr>
    </w:p>
    <w:p w:rsidR="00E95FB0" w:rsidRPr="00E95FB0" w:rsidRDefault="00E95FB0" w:rsidP="00E95FB0">
      <w:pPr>
        <w:spacing w:after="160" w:line="259" w:lineRule="auto"/>
        <w:rPr>
          <w:rFonts w:ascii="Calibri" w:eastAsia="Calibri" w:hAnsi="Calibri" w:cs="Times New Roman"/>
        </w:rPr>
      </w:pPr>
    </w:p>
    <w:p w:rsidR="00E95FB0" w:rsidRPr="00E95FB0" w:rsidRDefault="00E95FB0" w:rsidP="00E95FB0">
      <w:pPr>
        <w:spacing w:after="160" w:line="259" w:lineRule="auto"/>
        <w:rPr>
          <w:rFonts w:ascii="Calibri" w:eastAsia="Calibri" w:hAnsi="Calibri" w:cs="Times New Roman"/>
        </w:rPr>
      </w:pPr>
    </w:p>
    <w:p w:rsidR="00E95FB0" w:rsidRPr="00E95FB0" w:rsidRDefault="00E95FB0" w:rsidP="00E95FB0">
      <w:pPr>
        <w:spacing w:after="160" w:line="259" w:lineRule="auto"/>
        <w:rPr>
          <w:rFonts w:ascii="Calibri" w:eastAsia="Calibri" w:hAnsi="Calibri" w:cs="Times New Roman"/>
        </w:rPr>
      </w:pPr>
    </w:p>
    <w:p w:rsidR="00E95FB0" w:rsidRDefault="00D75BF2" w:rsidP="00E95FB0">
      <w:pPr>
        <w:spacing w:after="160" w:line="240" w:lineRule="auto"/>
        <w:jc w:val="right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lastRenderedPageBreak/>
        <w:t xml:space="preserve">График № </w:t>
      </w:r>
      <w:r w:rsidR="00E95FB0" w:rsidRPr="00E95FB0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2</w:t>
      </w:r>
    </w:p>
    <w:p w:rsidR="0044314F" w:rsidRPr="0044314F" w:rsidRDefault="0044314F" w:rsidP="0044314F">
      <w:pPr>
        <w:spacing w:after="160" w:line="240" w:lineRule="auto"/>
        <w:jc w:val="center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  <w:r w:rsidRPr="0044314F"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Динамика числ</w:t>
      </w:r>
      <w:r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  <w:t>енности врачей и СМП н</w:t>
      </w:r>
      <w:r w:rsidRPr="00E95FB0">
        <w:rPr>
          <w:rFonts w:ascii="Times New Roman" w:eastAsia="Times New Roman" w:hAnsi="Times New Roman" w:cs="Times New Roman"/>
          <w:sz w:val="24"/>
          <w:szCs w:val="24"/>
          <w:lang w:eastAsia="ru-RU"/>
        </w:rPr>
        <w:t>а 1 января 202</w:t>
      </w:r>
      <w:r w:rsidR="00FA4734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bookmarkStart w:id="0" w:name="_GoBack"/>
      <w:bookmarkEnd w:id="0"/>
      <w:r w:rsidRPr="00E95FB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3C78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(человек).</w:t>
      </w:r>
    </w:p>
    <w:p w:rsidR="0044314F" w:rsidRPr="00E95FB0" w:rsidRDefault="0044314F" w:rsidP="00E95FB0">
      <w:pPr>
        <w:spacing w:after="160" w:line="240" w:lineRule="auto"/>
        <w:jc w:val="right"/>
        <w:rPr>
          <w:rFonts w:ascii="Times New Roman" w:eastAsia="Calibri" w:hAnsi="Times New Roman" w:cs="Times New Roman"/>
          <w:noProof/>
          <w:sz w:val="24"/>
          <w:szCs w:val="24"/>
          <w:lang w:eastAsia="ru-RU"/>
        </w:rPr>
      </w:pPr>
    </w:p>
    <w:p w:rsidR="00E95FB0" w:rsidRPr="00E95FB0" w:rsidRDefault="00E95FB0" w:rsidP="00E95FB0">
      <w:pPr>
        <w:spacing w:after="0" w:line="360" w:lineRule="auto"/>
        <w:ind w:left="-426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95FB0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drawing>
          <wp:inline distT="0" distB="0" distL="0" distR="0" wp14:anchorId="0A7D5345" wp14:editId="04F02CAD">
            <wp:extent cx="5867400" cy="5886450"/>
            <wp:effectExtent l="0" t="0" r="0" b="0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E95FB0" w:rsidRPr="00E95FB0" w:rsidRDefault="00E95FB0" w:rsidP="00E95FB0">
      <w:pPr>
        <w:spacing w:after="0" w:line="360" w:lineRule="auto"/>
        <w:ind w:left="-426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95FB0" w:rsidRPr="00E95FB0" w:rsidRDefault="00E95FB0" w:rsidP="00E95FB0">
      <w:pPr>
        <w:spacing w:after="0" w:line="360" w:lineRule="auto"/>
        <w:ind w:left="-426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95FB0" w:rsidRPr="00E95FB0" w:rsidRDefault="00E95FB0" w:rsidP="00E95FB0">
      <w:pPr>
        <w:spacing w:after="0" w:line="360" w:lineRule="auto"/>
        <w:ind w:left="-426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95FB0" w:rsidRPr="00E95FB0" w:rsidRDefault="00E95FB0" w:rsidP="00E95FB0">
      <w:pPr>
        <w:spacing w:after="0" w:line="36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</w:p>
    <w:p w:rsidR="00E95FB0" w:rsidRPr="00E95FB0" w:rsidRDefault="00E95FB0" w:rsidP="00E95FB0">
      <w:pPr>
        <w:spacing w:after="0" w:line="360" w:lineRule="auto"/>
        <w:ind w:left="-426"/>
        <w:rPr>
          <w:rFonts w:ascii="Times New Roman" w:eastAsia="Times New Roman" w:hAnsi="Times New Roman" w:cs="Times New Roman"/>
          <w:sz w:val="28"/>
          <w:szCs w:val="20"/>
          <w:lang w:eastAsia="ru-RU"/>
        </w:rPr>
        <w:sectPr w:rsidR="00E95FB0" w:rsidRPr="00E95FB0" w:rsidSect="00DC6B01">
          <w:headerReference w:type="default" r:id="rId9"/>
          <w:pgSz w:w="11906" w:h="16838"/>
          <w:pgMar w:top="1134" w:right="850" w:bottom="1134" w:left="1418" w:header="708" w:footer="708" w:gutter="0"/>
          <w:cols w:space="708"/>
          <w:titlePg/>
          <w:docGrid w:linePitch="381"/>
        </w:sectPr>
      </w:pPr>
    </w:p>
    <w:p w:rsidR="00E95FB0" w:rsidRPr="00E95FB0" w:rsidRDefault="00F91C80" w:rsidP="00E95FB0">
      <w:pPr>
        <w:spacing w:after="0" w:line="360" w:lineRule="auto"/>
        <w:ind w:left="-426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lastRenderedPageBreak/>
        <w:t>График № 3</w:t>
      </w:r>
    </w:p>
    <w:p w:rsidR="00E95FB0" w:rsidRPr="00E95FB0" w:rsidRDefault="00E95FB0" w:rsidP="00E95FB0">
      <w:pPr>
        <w:spacing w:after="0" w:line="360" w:lineRule="auto"/>
        <w:ind w:left="-426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E95FB0">
        <w:rPr>
          <w:rFonts w:ascii="Times New Roman" w:eastAsia="Calibri" w:hAnsi="Times New Roman" w:cs="Times New Roman"/>
          <w:sz w:val="28"/>
          <w:szCs w:val="28"/>
        </w:rPr>
        <w:t>Динамика использования средств НСЗ ТФОМС в разрезе</w:t>
      </w:r>
      <w:r w:rsidR="003C781A">
        <w:rPr>
          <w:rFonts w:ascii="Times New Roman" w:eastAsia="Calibri" w:hAnsi="Times New Roman" w:cs="Times New Roman"/>
          <w:sz w:val="28"/>
          <w:szCs w:val="28"/>
        </w:rPr>
        <w:t xml:space="preserve"> субъектов Российской Федерации (тыс. рублей).</w:t>
      </w:r>
    </w:p>
    <w:p w:rsidR="00E95FB0" w:rsidRPr="00E95FB0" w:rsidRDefault="00E95FB0" w:rsidP="00E95FB0">
      <w:pPr>
        <w:spacing w:after="0" w:line="360" w:lineRule="auto"/>
        <w:ind w:left="-426"/>
        <w:jc w:val="center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 w:rsidRPr="00E95FB0">
        <w:rPr>
          <w:rFonts w:ascii="Times New Roman" w:eastAsia="Times New Roman" w:hAnsi="Times New Roman" w:cs="Times New Roman"/>
          <w:noProof/>
          <w:sz w:val="28"/>
          <w:szCs w:val="20"/>
          <w:lang w:eastAsia="ru-RU"/>
        </w:rPr>
        <w:drawing>
          <wp:inline distT="0" distB="0" distL="0" distR="0" wp14:anchorId="0CEE9B94" wp14:editId="38D32F1E">
            <wp:extent cx="14220967" cy="8570795"/>
            <wp:effectExtent l="0" t="0" r="9525" b="20955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sectPr w:rsidR="00E95FB0" w:rsidRPr="00E95FB0" w:rsidSect="00A07691">
      <w:pgSz w:w="23814" w:h="16839" w:orient="landscape" w:code="8"/>
      <w:pgMar w:top="709" w:right="1134" w:bottom="851" w:left="1134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B35" w:rsidRDefault="000D0B35">
      <w:pPr>
        <w:spacing w:after="0" w:line="240" w:lineRule="auto"/>
      </w:pPr>
      <w:r>
        <w:separator/>
      </w:r>
    </w:p>
  </w:endnote>
  <w:endnote w:type="continuationSeparator" w:id="0">
    <w:p w:rsidR="000D0B35" w:rsidRDefault="000D0B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B35" w:rsidRDefault="000D0B35">
      <w:pPr>
        <w:spacing w:after="0" w:line="240" w:lineRule="auto"/>
      </w:pPr>
      <w:r>
        <w:separator/>
      </w:r>
    </w:p>
  </w:footnote>
  <w:footnote w:type="continuationSeparator" w:id="0">
    <w:p w:rsidR="000D0B35" w:rsidRDefault="000D0B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65741888"/>
      <w:docPartObj>
        <w:docPartGallery w:val="Page Numbers (Top of Page)"/>
        <w:docPartUnique/>
      </w:docPartObj>
    </w:sdtPr>
    <w:sdtEndPr/>
    <w:sdtContent>
      <w:p w:rsidR="000136D4" w:rsidRDefault="00E95FB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4734">
          <w:rPr>
            <w:noProof/>
          </w:rPr>
          <w:t>2</w:t>
        </w:r>
        <w:r>
          <w:fldChar w:fldCharType="end"/>
        </w:r>
      </w:p>
    </w:sdtContent>
  </w:sdt>
  <w:p w:rsidR="000136D4" w:rsidRDefault="000D0B3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FB0"/>
    <w:rsid w:val="000D0B35"/>
    <w:rsid w:val="003C781A"/>
    <w:rsid w:val="0044314F"/>
    <w:rsid w:val="00687926"/>
    <w:rsid w:val="0077566D"/>
    <w:rsid w:val="00985F8C"/>
    <w:rsid w:val="00A07691"/>
    <w:rsid w:val="00AB65A6"/>
    <w:rsid w:val="00B73E6D"/>
    <w:rsid w:val="00C179B3"/>
    <w:rsid w:val="00D75BF2"/>
    <w:rsid w:val="00D9646A"/>
    <w:rsid w:val="00E95FB0"/>
    <w:rsid w:val="00F91C80"/>
    <w:rsid w:val="00FA4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5FB0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95F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95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5FB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5FB0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E95FB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95F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5FB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ettings" Target="settings.xml"/><Relationship Id="rId7" Type="http://schemas.openxmlformats.org/officeDocument/2006/relationships/chart" Target="charts/chart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chart" Target="charts/chart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2.xlsx"/><Relationship Id="rId1" Type="http://schemas.openxmlformats.org/officeDocument/2006/relationships/themeOverride" Target="../theme/themeOverride2.xm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3.xlsx"/><Relationship Id="rId1" Type="http://schemas.openxmlformats.org/officeDocument/2006/relationships/themeOverride" Target="../theme/themeOverride3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4.3458537528885281E-2"/>
          <c:y val="6.5536130228998355E-3"/>
          <c:w val="0.94861521741024957"/>
          <c:h val="0.95552782691259852"/>
        </c:manualLayout>
      </c:layout>
      <c:barChart>
        <c:barDir val="bar"/>
        <c:grouping val="clustered"/>
        <c:varyColors val="0"/>
        <c:ser>
          <c:idx val="2"/>
          <c:order val="0"/>
          <c:tx>
            <c:strRef>
              <c:f>Таблица1!$F$6</c:f>
              <c:strCache>
                <c:ptCount val="1"/>
                <c:pt idx="0">
                  <c:v>Количество медицинских работников, планируемых к принятию в 2019 году </c:v>
                </c:pt>
              </c:strCache>
            </c:strRef>
          </c:tx>
          <c:spPr>
            <a:solidFill>
              <a:schemeClr val="accent3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ln>
                      <a:noFill/>
                    </a:ln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Таблица1!$A$10:$A$93</c:f>
              <c:strCache>
                <c:ptCount val="20"/>
                <c:pt idx="0">
                  <c:v>Пермский край</c:v>
                </c:pt>
                <c:pt idx="1">
                  <c:v>Иркутская область</c:v>
                </c:pt>
                <c:pt idx="2">
                  <c:v>Московская область</c:v>
                </c:pt>
                <c:pt idx="3">
                  <c:v>Курская область</c:v>
                </c:pt>
                <c:pt idx="4">
                  <c:v>Республика Татарстан</c:v>
                </c:pt>
                <c:pt idx="5">
                  <c:v>Красноярский край</c:v>
                </c:pt>
                <c:pt idx="6">
                  <c:v>Самарская область</c:v>
                </c:pt>
                <c:pt idx="7">
                  <c:v>Краснодарский край</c:v>
                </c:pt>
                <c:pt idx="8">
                  <c:v>Республика Башкортостан</c:v>
                </c:pt>
                <c:pt idx="9">
                  <c:v>Новгородская область</c:v>
                </c:pt>
                <c:pt idx="10">
                  <c:v>Республика Калмыкия</c:v>
                </c:pt>
                <c:pt idx="11">
                  <c:v>Камчатский край</c:v>
                </c:pt>
                <c:pt idx="12">
                  <c:v>Республика Ингушетия</c:v>
                </c:pt>
                <c:pt idx="13">
                  <c:v>Псковская область</c:v>
                </c:pt>
                <c:pt idx="14">
                  <c:v>г. Севастополь</c:v>
                </c:pt>
                <c:pt idx="15">
                  <c:v>Ямало-Ненецкий автономный округ</c:v>
                </c:pt>
                <c:pt idx="16">
                  <c:v>г. Байконур</c:v>
                </c:pt>
                <c:pt idx="17">
                  <c:v>Еврейская автономная область</c:v>
                </c:pt>
                <c:pt idx="18">
                  <c:v>Республика Северная Осетия-Алания</c:v>
                </c:pt>
                <c:pt idx="19">
                  <c:v>Ненецкий автономный округ</c:v>
                </c:pt>
              </c:strCache>
            </c:strRef>
          </c:cat>
          <c:val>
            <c:numRef>
              <c:f>Таблица1!$F$10:$F$93</c:f>
              <c:numCache>
                <c:formatCode>#,##0</c:formatCode>
                <c:ptCount val="20"/>
                <c:pt idx="0">
                  <c:v>1268</c:v>
                </c:pt>
                <c:pt idx="1">
                  <c:v>1198</c:v>
                </c:pt>
                <c:pt idx="2">
                  <c:v>1124</c:v>
                </c:pt>
                <c:pt idx="3">
                  <c:v>1024</c:v>
                </c:pt>
                <c:pt idx="4">
                  <c:v>836</c:v>
                </c:pt>
                <c:pt idx="5">
                  <c:v>817</c:v>
                </c:pt>
                <c:pt idx="6">
                  <c:v>753</c:v>
                </c:pt>
                <c:pt idx="7">
                  <c:v>686</c:v>
                </c:pt>
                <c:pt idx="8">
                  <c:v>613</c:v>
                </c:pt>
                <c:pt idx="9">
                  <c:v>64</c:v>
                </c:pt>
                <c:pt idx="10">
                  <c:v>63</c:v>
                </c:pt>
                <c:pt idx="11">
                  <c:v>61</c:v>
                </c:pt>
                <c:pt idx="12">
                  <c:v>59</c:v>
                </c:pt>
                <c:pt idx="13">
                  <c:v>46</c:v>
                </c:pt>
                <c:pt idx="14">
                  <c:v>41</c:v>
                </c:pt>
                <c:pt idx="15">
                  <c:v>39</c:v>
                </c:pt>
                <c:pt idx="16">
                  <c:v>15</c:v>
                </c:pt>
                <c:pt idx="17">
                  <c:v>14</c:v>
                </c:pt>
                <c:pt idx="18">
                  <c:v>14</c:v>
                </c:pt>
                <c:pt idx="19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C5D7-4268-B23F-5470C6446D4C}"/>
            </c:ext>
          </c:extLst>
        </c:ser>
        <c:ser>
          <c:idx val="5"/>
          <c:order val="1"/>
          <c:tx>
            <c:strRef>
              <c:f>Таблица1!$U$6</c:f>
              <c:strCache>
                <c:ptCount val="1"/>
                <c:pt idx="0">
                  <c:v>Количество медицинских работников, получающих зарплату за счет ср-в НСЗ ТФОМС</c:v>
                </c:pt>
              </c:strCache>
            </c:strRef>
          </c:tx>
          <c:spPr>
            <a:solidFill>
              <a:schemeClr val="accent6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ln>
                      <a:noFill/>
                    </a:ln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trendline>
            <c:spPr>
              <a:ln w="19050" cap="rnd">
                <a:solidFill>
                  <a:schemeClr val="accent6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strRef>
              <c:f>Таблица1!$A$10:$A$93</c:f>
              <c:strCache>
                <c:ptCount val="20"/>
                <c:pt idx="0">
                  <c:v>Пермский край</c:v>
                </c:pt>
                <c:pt idx="1">
                  <c:v>Иркутская область</c:v>
                </c:pt>
                <c:pt idx="2">
                  <c:v>Московская область</c:v>
                </c:pt>
                <c:pt idx="3">
                  <c:v>Курская область</c:v>
                </c:pt>
                <c:pt idx="4">
                  <c:v>Республика Татарстан</c:v>
                </c:pt>
                <c:pt idx="5">
                  <c:v>Красноярский край</c:v>
                </c:pt>
                <c:pt idx="6">
                  <c:v>Самарская область</c:v>
                </c:pt>
                <c:pt idx="7">
                  <c:v>Краснодарский край</c:v>
                </c:pt>
                <c:pt idx="8">
                  <c:v>Республика Башкортостан</c:v>
                </c:pt>
                <c:pt idx="9">
                  <c:v>Новгородская область</c:v>
                </c:pt>
                <c:pt idx="10">
                  <c:v>Республика Калмыкия</c:v>
                </c:pt>
                <c:pt idx="11">
                  <c:v>Камчатский край</c:v>
                </c:pt>
                <c:pt idx="12">
                  <c:v>Республика Ингушетия</c:v>
                </c:pt>
                <c:pt idx="13">
                  <c:v>Псковская область</c:v>
                </c:pt>
                <c:pt idx="14">
                  <c:v>г. Севастополь</c:v>
                </c:pt>
                <c:pt idx="15">
                  <c:v>Ямало-Ненецкий автономный округ</c:v>
                </c:pt>
                <c:pt idx="16">
                  <c:v>г. Байконур</c:v>
                </c:pt>
                <c:pt idx="17">
                  <c:v>Еврейская автономная область</c:v>
                </c:pt>
                <c:pt idx="18">
                  <c:v>Республика Северная Осетия-Алания</c:v>
                </c:pt>
                <c:pt idx="19">
                  <c:v>Ненецкий автономный округ</c:v>
                </c:pt>
              </c:strCache>
            </c:strRef>
          </c:cat>
          <c:val>
            <c:numRef>
              <c:f>Таблица1!$U$10:$U$93</c:f>
              <c:numCache>
                <c:formatCode>#,##0</c:formatCode>
                <c:ptCount val="20"/>
                <c:pt idx="0">
                  <c:v>87</c:v>
                </c:pt>
                <c:pt idx="1">
                  <c:v>209</c:v>
                </c:pt>
                <c:pt idx="2">
                  <c:v>854</c:v>
                </c:pt>
                <c:pt idx="3">
                  <c:v>70</c:v>
                </c:pt>
                <c:pt idx="4">
                  <c:v>321</c:v>
                </c:pt>
                <c:pt idx="5">
                  <c:v>275</c:v>
                </c:pt>
                <c:pt idx="6">
                  <c:v>357</c:v>
                </c:pt>
                <c:pt idx="7">
                  <c:v>279</c:v>
                </c:pt>
                <c:pt idx="8">
                  <c:v>254</c:v>
                </c:pt>
                <c:pt idx="9">
                  <c:v>11</c:v>
                </c:pt>
                <c:pt idx="10">
                  <c:v>22</c:v>
                </c:pt>
                <c:pt idx="11">
                  <c:v>43</c:v>
                </c:pt>
                <c:pt idx="12">
                  <c:v>86</c:v>
                </c:pt>
                <c:pt idx="13">
                  <c:v>5</c:v>
                </c:pt>
                <c:pt idx="14">
                  <c:v>16</c:v>
                </c:pt>
                <c:pt idx="15">
                  <c:v>39</c:v>
                </c:pt>
                <c:pt idx="16">
                  <c:v>0</c:v>
                </c:pt>
                <c:pt idx="17">
                  <c:v>5</c:v>
                </c:pt>
                <c:pt idx="18">
                  <c:v>13</c:v>
                </c:pt>
                <c:pt idx="19">
                  <c:v>5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C5D7-4268-B23F-5470C6446D4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92773888"/>
        <c:axId val="92806464"/>
      </c:barChart>
      <c:catAx>
        <c:axId val="92773888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noFill/>
                </a:ln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92806464"/>
        <c:crosses val="autoZero"/>
        <c:auto val="1"/>
        <c:lblAlgn val="ctr"/>
        <c:lblOffset val="100"/>
        <c:noMultiLvlLbl val="0"/>
      </c:catAx>
      <c:valAx>
        <c:axId val="92806464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crossAx val="92773888"/>
        <c:crosses val="autoZero"/>
        <c:crossBetween val="between"/>
      </c:valAx>
      <c:spPr>
        <a:noFill/>
        <a:ln w="25400">
          <a:noFill/>
        </a:ln>
        <a:effectLst/>
      </c:spPr>
    </c:plotArea>
    <c:legend>
      <c:legendPos val="r"/>
      <c:layout>
        <c:manualLayout>
          <c:xMode val="edge"/>
          <c:yMode val="edge"/>
          <c:x val="0.6825300575013068"/>
          <c:y val="1.8073268114212993E-2"/>
          <c:w val="0.31747001329927593"/>
          <c:h val="0.3510534156203448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ln>
                <a:noFill/>
              </a:ln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>
          <a:ln>
            <a:noFill/>
          </a:ln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>
        <c:manualLayout>
          <c:layoutTarget val="inner"/>
          <c:xMode val="edge"/>
          <c:yMode val="edge"/>
          <c:x val="9.9861271676300573E-2"/>
          <c:y val="1.8840001275144246E-2"/>
          <c:w val="0.88926986775281835"/>
          <c:h val="0.97678888888888893"/>
        </c:manualLayout>
      </c:layout>
      <c:barChart>
        <c:barDir val="bar"/>
        <c:grouping val="clustered"/>
        <c:varyColors val="0"/>
        <c:ser>
          <c:idx val="0"/>
          <c:order val="0"/>
          <c:tx>
            <c:strRef>
              <c:f>'Таблица 1'!$F$6:$H$6</c:f>
              <c:strCache>
                <c:ptCount val="1"/>
                <c:pt idx="0">
                  <c:v>Количество медицинских работников, планируемых к принятию в 2020 году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'Таблица 1'!$A$10:$A$93</c:f>
              <c:strCache>
                <c:ptCount val="20"/>
                <c:pt idx="0">
                  <c:v>Московская область</c:v>
                </c:pt>
                <c:pt idx="1">
                  <c:v>Иркутская область</c:v>
                </c:pt>
                <c:pt idx="2">
                  <c:v>Республика Татарстан</c:v>
                </c:pt>
                <c:pt idx="3">
                  <c:v>г. Санкт-Петербург</c:v>
                </c:pt>
                <c:pt idx="4">
                  <c:v>Красноярский край</c:v>
                </c:pt>
                <c:pt idx="5">
                  <c:v>Краснодарский край</c:v>
                </c:pt>
                <c:pt idx="6">
                  <c:v>Республика Дагестан</c:v>
                </c:pt>
                <c:pt idx="7">
                  <c:v>Удмуртская Республика</c:v>
                </c:pt>
                <c:pt idx="8">
                  <c:v>Ростовская область</c:v>
                </c:pt>
                <c:pt idx="9">
                  <c:v>Нижегородская область</c:v>
                </c:pt>
                <c:pt idx="10">
                  <c:v>Республика Бурятия</c:v>
                </c:pt>
                <c:pt idx="11">
                  <c:v>Республика Алтай</c:v>
                </c:pt>
                <c:pt idx="12">
                  <c:v>Амурская область</c:v>
                </c:pt>
                <c:pt idx="13">
                  <c:v>Карачаево-Черкесская Республика</c:v>
                </c:pt>
                <c:pt idx="14">
                  <c:v>Астраханская область</c:v>
                </c:pt>
                <c:pt idx="15">
                  <c:v>Еврейская автономная область</c:v>
                </c:pt>
                <c:pt idx="16">
                  <c:v>Магаданская область</c:v>
                </c:pt>
                <c:pt idx="17">
                  <c:v>Ненецкий автономный округ</c:v>
                </c:pt>
                <c:pt idx="18">
                  <c:v>Республика Калмыкия</c:v>
                </c:pt>
                <c:pt idx="19">
                  <c:v>Республика Северная Осетия-Алания</c:v>
                </c:pt>
              </c:strCache>
            </c:strRef>
          </c:cat>
          <c:val>
            <c:numRef>
              <c:f>'Таблица 1'!$F$10:$F$93</c:f>
              <c:numCache>
                <c:formatCode>#,##0</c:formatCode>
                <c:ptCount val="20"/>
                <c:pt idx="0">
                  <c:v>3992</c:v>
                </c:pt>
                <c:pt idx="1">
                  <c:v>1503</c:v>
                </c:pt>
                <c:pt idx="2">
                  <c:v>1350</c:v>
                </c:pt>
                <c:pt idx="3">
                  <c:v>1246</c:v>
                </c:pt>
                <c:pt idx="4">
                  <c:v>730</c:v>
                </c:pt>
                <c:pt idx="5">
                  <c:v>626</c:v>
                </c:pt>
                <c:pt idx="6">
                  <c:v>577</c:v>
                </c:pt>
                <c:pt idx="7">
                  <c:v>568</c:v>
                </c:pt>
                <c:pt idx="8">
                  <c:v>531</c:v>
                </c:pt>
                <c:pt idx="9">
                  <c:v>526</c:v>
                </c:pt>
                <c:pt idx="10">
                  <c:v>49</c:v>
                </c:pt>
                <c:pt idx="11">
                  <c:v>48</c:v>
                </c:pt>
                <c:pt idx="12">
                  <c:v>44</c:v>
                </c:pt>
                <c:pt idx="13">
                  <c:v>29</c:v>
                </c:pt>
                <c:pt idx="14">
                  <c:v>28</c:v>
                </c:pt>
                <c:pt idx="15">
                  <c:v>25</c:v>
                </c:pt>
                <c:pt idx="16">
                  <c:v>17</c:v>
                </c:pt>
                <c:pt idx="17">
                  <c:v>15</c:v>
                </c:pt>
                <c:pt idx="18">
                  <c:v>11</c:v>
                </c:pt>
                <c:pt idx="19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2CDE-4F3B-B2DE-3CC1DF51DBE5}"/>
            </c:ext>
          </c:extLst>
        </c:ser>
        <c:ser>
          <c:idx val="1"/>
          <c:order val="1"/>
          <c:tx>
            <c:strRef>
              <c:f>'Таблица 1'!$U$6:$W$6</c:f>
              <c:strCache>
                <c:ptCount val="1"/>
                <c:pt idx="0">
                  <c:v>Количество медицинских работников, получающих зарплату за счет ср-в НСЗ ТФОМС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 xmlns:c16r2="http://schemas.microsoft.com/office/drawing/2015/06/chart"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trendline>
            <c:spPr>
              <a:ln w="19050" cap="rnd">
                <a:solidFill>
                  <a:schemeClr val="accent2"/>
                </a:solidFill>
                <a:prstDash val="sysDot"/>
              </a:ln>
              <a:effectLst/>
            </c:spPr>
            <c:trendlineType val="linear"/>
            <c:dispRSqr val="0"/>
            <c:dispEq val="0"/>
          </c:trendline>
          <c:cat>
            <c:strRef>
              <c:f>'Таблица 1'!$A$10:$A$93</c:f>
              <c:strCache>
                <c:ptCount val="20"/>
                <c:pt idx="0">
                  <c:v>Московская область</c:v>
                </c:pt>
                <c:pt idx="1">
                  <c:v>Иркутская область</c:v>
                </c:pt>
                <c:pt idx="2">
                  <c:v>Республика Татарстан</c:v>
                </c:pt>
                <c:pt idx="3">
                  <c:v>г. Санкт-Петербург</c:v>
                </c:pt>
                <c:pt idx="4">
                  <c:v>Красноярский край</c:v>
                </c:pt>
                <c:pt idx="5">
                  <c:v>Краснодарский край</c:v>
                </c:pt>
                <c:pt idx="6">
                  <c:v>Республика Дагестан</c:v>
                </c:pt>
                <c:pt idx="7">
                  <c:v>Удмуртская Республика</c:v>
                </c:pt>
                <c:pt idx="8">
                  <c:v>Ростовская область</c:v>
                </c:pt>
                <c:pt idx="9">
                  <c:v>Нижегородская область</c:v>
                </c:pt>
                <c:pt idx="10">
                  <c:v>Республика Бурятия</c:v>
                </c:pt>
                <c:pt idx="11">
                  <c:v>Республика Алтай</c:v>
                </c:pt>
                <c:pt idx="12">
                  <c:v>Амурская область</c:v>
                </c:pt>
                <c:pt idx="13">
                  <c:v>Карачаево-Черкесская Республика</c:v>
                </c:pt>
                <c:pt idx="14">
                  <c:v>Астраханская область</c:v>
                </c:pt>
                <c:pt idx="15">
                  <c:v>Еврейская автономная область</c:v>
                </c:pt>
                <c:pt idx="16">
                  <c:v>Магаданская область</c:v>
                </c:pt>
                <c:pt idx="17">
                  <c:v>Ненецкий автономный округ</c:v>
                </c:pt>
                <c:pt idx="18">
                  <c:v>Республика Калмыкия</c:v>
                </c:pt>
                <c:pt idx="19">
                  <c:v>Республика Северная Осетия-Алания</c:v>
                </c:pt>
              </c:strCache>
            </c:strRef>
          </c:cat>
          <c:val>
            <c:numRef>
              <c:f>'Таблица 1'!$U$10:$U$93</c:f>
              <c:numCache>
                <c:formatCode>#,##0</c:formatCode>
                <c:ptCount val="20"/>
                <c:pt idx="0">
                  <c:v>396</c:v>
                </c:pt>
                <c:pt idx="1">
                  <c:v>145</c:v>
                </c:pt>
                <c:pt idx="2">
                  <c:v>188</c:v>
                </c:pt>
                <c:pt idx="3">
                  <c:v>811</c:v>
                </c:pt>
                <c:pt idx="4">
                  <c:v>173</c:v>
                </c:pt>
                <c:pt idx="5">
                  <c:v>365</c:v>
                </c:pt>
                <c:pt idx="6">
                  <c:v>120</c:v>
                </c:pt>
                <c:pt idx="7">
                  <c:v>89</c:v>
                </c:pt>
                <c:pt idx="8">
                  <c:v>130</c:v>
                </c:pt>
                <c:pt idx="9">
                  <c:v>59</c:v>
                </c:pt>
                <c:pt idx="10">
                  <c:v>21</c:v>
                </c:pt>
                <c:pt idx="11">
                  <c:v>25</c:v>
                </c:pt>
                <c:pt idx="12">
                  <c:v>47</c:v>
                </c:pt>
                <c:pt idx="13">
                  <c:v>16</c:v>
                </c:pt>
                <c:pt idx="14">
                  <c:v>22</c:v>
                </c:pt>
                <c:pt idx="15">
                  <c:v>3</c:v>
                </c:pt>
                <c:pt idx="16">
                  <c:v>11</c:v>
                </c:pt>
                <c:pt idx="17">
                  <c:v>8</c:v>
                </c:pt>
                <c:pt idx="18">
                  <c:v>9</c:v>
                </c:pt>
                <c:pt idx="19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2CDE-4F3B-B2DE-3CC1DF51DBE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82"/>
        <c:axId val="120340992"/>
        <c:axId val="120276096"/>
      </c:barChart>
      <c:catAx>
        <c:axId val="120340992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20276096"/>
        <c:crosses val="autoZero"/>
        <c:auto val="1"/>
        <c:lblAlgn val="ctr"/>
        <c:lblOffset val="100"/>
        <c:noMultiLvlLbl val="0"/>
      </c:catAx>
      <c:valAx>
        <c:axId val="120276096"/>
        <c:scaling>
          <c:orientation val="minMax"/>
        </c:scaling>
        <c:delete val="1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crossAx val="1203409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r"/>
      <c:layout>
        <c:manualLayout>
          <c:xMode val="edge"/>
          <c:yMode val="edge"/>
          <c:x val="0.69438388383270278"/>
          <c:y val="1.0007389852967404E-2"/>
          <c:w val="0.29290827282953269"/>
          <c:h val="0.3431597991998572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'Таблица 2'!$R$6</c:f>
              <c:strCache>
                <c:ptCount val="1"/>
                <c:pt idx="0">
                  <c:v>2019 год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'Таблица 2'!$A$7:$A$91</c:f>
              <c:strCache>
                <c:ptCount val="85"/>
                <c:pt idx="0">
                  <c:v>РОССИЙСКАЯ ФЕДЕРАЦИЯ</c:v>
                </c:pt>
                <c:pt idx="1">
                  <c:v>Республика Северная Осетия-Алания</c:v>
                </c:pt>
                <c:pt idx="2">
                  <c:v>Новгородская область</c:v>
                </c:pt>
                <c:pt idx="3">
                  <c:v>Пензенская область</c:v>
                </c:pt>
                <c:pt idx="4">
                  <c:v>Ярославская область</c:v>
                </c:pt>
                <c:pt idx="5">
                  <c:v>Челябинская область</c:v>
                </c:pt>
                <c:pt idx="6">
                  <c:v>Ивановская область</c:v>
                </c:pt>
                <c:pt idx="7">
                  <c:v>Еврейская автономная область</c:v>
                </c:pt>
                <c:pt idx="8">
                  <c:v>Чукотский автономный округ</c:v>
                </c:pt>
                <c:pt idx="9">
                  <c:v>Республика Тыва</c:v>
                </c:pt>
                <c:pt idx="10">
                  <c:v>Псковская область</c:v>
                </c:pt>
                <c:pt idx="11">
                  <c:v>Кемеровская область</c:v>
                </c:pt>
                <c:pt idx="12">
                  <c:v>Орловская область</c:v>
                </c:pt>
                <c:pt idx="13">
                  <c:v>Тамбовская область</c:v>
                </c:pt>
                <c:pt idx="14">
                  <c:v>Приморский край</c:v>
                </c:pt>
                <c:pt idx="15">
                  <c:v>Тульская область</c:v>
                </c:pt>
                <c:pt idx="16">
                  <c:v>Тверская область</c:v>
                </c:pt>
                <c:pt idx="17">
                  <c:v>Воронежская область</c:v>
                </c:pt>
                <c:pt idx="18">
                  <c:v>Смоленская область</c:v>
                </c:pt>
                <c:pt idx="19">
                  <c:v>Республика Крым</c:v>
                </c:pt>
                <c:pt idx="20">
                  <c:v>Кировская область</c:v>
                </c:pt>
                <c:pt idx="21">
                  <c:v>Нижегородская область</c:v>
                </c:pt>
                <c:pt idx="22">
                  <c:v>Владимирская область</c:v>
                </c:pt>
                <c:pt idx="23">
                  <c:v>Брянская область</c:v>
                </c:pt>
                <c:pt idx="24">
                  <c:v>Ульяновская область</c:v>
                </c:pt>
                <c:pt idx="25">
                  <c:v>Свердловская область</c:v>
                </c:pt>
                <c:pt idx="26">
                  <c:v>Республика Ингушетия</c:v>
                </c:pt>
                <c:pt idx="27">
                  <c:v>Алтайский край</c:v>
                </c:pt>
                <c:pt idx="28">
                  <c:v>Республика Мордовия</c:v>
                </c:pt>
                <c:pt idx="29">
                  <c:v>Пермский край</c:v>
                </c:pt>
                <c:pt idx="30">
                  <c:v>Ставропольский край</c:v>
                </c:pt>
                <c:pt idx="31">
                  <c:v>Костромская область</c:v>
                </c:pt>
                <c:pt idx="32">
                  <c:v>Оренбургская область</c:v>
                </c:pt>
                <c:pt idx="33">
                  <c:v>Республика Коми</c:v>
                </c:pt>
                <c:pt idx="34">
                  <c:v>Республика Адыгея</c:v>
                </c:pt>
                <c:pt idx="35">
                  <c:v>Мурманская область</c:v>
                </c:pt>
                <c:pt idx="36">
                  <c:v>Курская область</c:v>
                </c:pt>
                <c:pt idx="37">
                  <c:v>Забайкальский край</c:v>
                </c:pt>
                <c:pt idx="38">
                  <c:v>Ростовская область</c:v>
                </c:pt>
                <c:pt idx="39">
                  <c:v>Калужская область</c:v>
                </c:pt>
                <c:pt idx="40">
                  <c:v>Курганская область</c:v>
                </c:pt>
                <c:pt idx="41">
                  <c:v>Липецкая область</c:v>
                </c:pt>
                <c:pt idx="42">
                  <c:v>Краснодарский край</c:v>
                </c:pt>
                <c:pt idx="43">
                  <c:v>Республика Татарстан</c:v>
                </c:pt>
                <c:pt idx="44">
                  <c:v>Саратовская область</c:v>
                </c:pt>
                <c:pt idx="45">
                  <c:v>Республика Башкортостан</c:v>
                </c:pt>
                <c:pt idx="46">
                  <c:v>Белгородская область</c:v>
                </c:pt>
                <c:pt idx="47">
                  <c:v>Удмуртская Республика</c:v>
                </c:pt>
                <c:pt idx="48">
                  <c:v>Республика Калмыкия</c:v>
                </c:pt>
                <c:pt idx="49">
                  <c:v>Ненецкий автономный округ</c:v>
                </c:pt>
                <c:pt idx="50">
                  <c:v>Республика Марий Эл</c:v>
                </c:pt>
                <c:pt idx="51">
                  <c:v>Магаданская область</c:v>
                </c:pt>
                <c:pt idx="52">
                  <c:v>Омская область</c:v>
                </c:pt>
                <c:pt idx="53">
                  <c:v>Волгоградская область</c:v>
                </c:pt>
                <c:pt idx="54">
                  <c:v>Иркутская область</c:v>
                </c:pt>
                <c:pt idx="55">
                  <c:v>Архангельская область</c:v>
                </c:pt>
                <c:pt idx="56">
                  <c:v>Вологодская область</c:v>
                </c:pt>
                <c:pt idx="57">
                  <c:v>Московская область</c:v>
                </c:pt>
                <c:pt idx="58">
                  <c:v>Республика Дагестан</c:v>
                </c:pt>
                <c:pt idx="59">
                  <c:v>Самарская область</c:v>
                </c:pt>
                <c:pt idx="60">
                  <c:v>Ханты-Мансийский автономный округ - Югра</c:v>
                </c:pt>
                <c:pt idx="61">
                  <c:v>Калининградская область</c:v>
                </c:pt>
                <c:pt idx="62">
                  <c:v>Ленинградская область</c:v>
                </c:pt>
                <c:pt idx="63">
                  <c:v>Республика Карелия</c:v>
                </c:pt>
                <c:pt idx="64">
                  <c:v>Республика Хакасия</c:v>
                </c:pt>
                <c:pt idx="65">
                  <c:v>Камчатский край</c:v>
                </c:pt>
                <c:pt idx="66">
                  <c:v>Рязанская область</c:v>
                </c:pt>
                <c:pt idx="67">
                  <c:v>Астраханская область</c:v>
                </c:pt>
                <c:pt idx="68">
                  <c:v>Красноярский край</c:v>
                </c:pt>
                <c:pt idx="69">
                  <c:v>Хабаровский край</c:v>
                </c:pt>
                <c:pt idx="70">
                  <c:v>Кабардино-Балкарская Республика</c:v>
                </c:pt>
                <c:pt idx="71">
                  <c:v>Карачаево-Черкесская Республика</c:v>
                </c:pt>
                <c:pt idx="72">
                  <c:v>Республика Алтай</c:v>
                </c:pt>
                <c:pt idx="73">
                  <c:v>г. Севастополь</c:v>
                </c:pt>
                <c:pt idx="74">
                  <c:v>Ямало-Ненецкий автономный округ</c:v>
                </c:pt>
                <c:pt idx="75">
                  <c:v>Чувашская Республика</c:v>
                </c:pt>
                <c:pt idx="76">
                  <c:v>Новосибирская область</c:v>
                </c:pt>
                <c:pt idx="77">
                  <c:v>Амурская область</c:v>
                </c:pt>
                <c:pt idx="78">
                  <c:v>Томская область</c:v>
                </c:pt>
                <c:pt idx="79">
                  <c:v>Республика Бурятия</c:v>
                </c:pt>
                <c:pt idx="80">
                  <c:v>г. Санкт-Петербург</c:v>
                </c:pt>
                <c:pt idx="81">
                  <c:v>Сахалинская область</c:v>
                </c:pt>
                <c:pt idx="82">
                  <c:v>Тюменская область</c:v>
                </c:pt>
                <c:pt idx="83">
                  <c:v>Республика Саха (Якутия)</c:v>
                </c:pt>
                <c:pt idx="84">
                  <c:v>Чеченская Республика</c:v>
                </c:pt>
              </c:strCache>
            </c:strRef>
          </c:cat>
          <c:val>
            <c:numRef>
              <c:f>'Таблица 2'!$R$7:$R$91</c:f>
              <c:numCache>
                <c:formatCode>#,##0.0</c:formatCode>
                <c:ptCount val="85"/>
                <c:pt idx="0">
                  <c:v>24.9</c:v>
                </c:pt>
                <c:pt idx="1">
                  <c:v>1.0756133013522948</c:v>
                </c:pt>
                <c:pt idx="2">
                  <c:v>5.2255394149065024</c:v>
                </c:pt>
                <c:pt idx="3">
                  <c:v>6.4675943497590298</c:v>
                </c:pt>
                <c:pt idx="4">
                  <c:v>7.5320927602793946</c:v>
                </c:pt>
                <c:pt idx="5">
                  <c:v>9.7596251296028189</c:v>
                </c:pt>
                <c:pt idx="6">
                  <c:v>8.6898612931473611</c:v>
                </c:pt>
                <c:pt idx="7" formatCode="0.0">
                  <c:v>10.017409234211328</c:v>
                </c:pt>
                <c:pt idx="8" formatCode="0.0">
                  <c:v>0</c:v>
                </c:pt>
                <c:pt idx="9">
                  <c:v>5.716662131213095</c:v>
                </c:pt>
                <c:pt idx="10">
                  <c:v>4.3788749525407811</c:v>
                </c:pt>
                <c:pt idx="11">
                  <c:v>8.5565678856052649</c:v>
                </c:pt>
                <c:pt idx="12">
                  <c:v>10.737527151519396</c:v>
                </c:pt>
                <c:pt idx="13">
                  <c:v>13.628128432998787</c:v>
                </c:pt>
                <c:pt idx="14" formatCode="0.0">
                  <c:v>11.062421634482718</c:v>
                </c:pt>
                <c:pt idx="15">
                  <c:v>13.709286609131405</c:v>
                </c:pt>
                <c:pt idx="16">
                  <c:v>12.849491507742464</c:v>
                </c:pt>
                <c:pt idx="17">
                  <c:v>10.092908853123351</c:v>
                </c:pt>
                <c:pt idx="18">
                  <c:v>13.591514834080931</c:v>
                </c:pt>
                <c:pt idx="19">
                  <c:v>9.1226359782118021</c:v>
                </c:pt>
                <c:pt idx="20">
                  <c:v>14.858043107395243</c:v>
                </c:pt>
                <c:pt idx="21">
                  <c:v>15.950185760542393</c:v>
                </c:pt>
                <c:pt idx="22">
                  <c:v>13.919267634099342</c:v>
                </c:pt>
                <c:pt idx="23">
                  <c:v>8.0865438043624192</c:v>
                </c:pt>
                <c:pt idx="24">
                  <c:v>20.552100296161814</c:v>
                </c:pt>
                <c:pt idx="25">
                  <c:v>11.799169908863957</c:v>
                </c:pt>
                <c:pt idx="26">
                  <c:v>18.395418321405941</c:v>
                </c:pt>
                <c:pt idx="27">
                  <c:v>14.026914712367727</c:v>
                </c:pt>
                <c:pt idx="28">
                  <c:v>21.018502104818104</c:v>
                </c:pt>
                <c:pt idx="29">
                  <c:v>7.8724398006417218</c:v>
                </c:pt>
                <c:pt idx="30">
                  <c:v>17.528017913884099</c:v>
                </c:pt>
                <c:pt idx="31">
                  <c:v>20.407298118700037</c:v>
                </c:pt>
                <c:pt idx="32">
                  <c:v>16.588397647787609</c:v>
                </c:pt>
                <c:pt idx="33">
                  <c:v>26.82202800721144</c:v>
                </c:pt>
                <c:pt idx="34">
                  <c:v>19.628183696357944</c:v>
                </c:pt>
                <c:pt idx="35">
                  <c:v>26.811725922587669</c:v>
                </c:pt>
                <c:pt idx="36">
                  <c:v>17.858837346843977</c:v>
                </c:pt>
                <c:pt idx="37" formatCode="0.0">
                  <c:v>19.864476439790575</c:v>
                </c:pt>
                <c:pt idx="38">
                  <c:v>14.078611243520958</c:v>
                </c:pt>
                <c:pt idx="39">
                  <c:v>23.410155356586291</c:v>
                </c:pt>
                <c:pt idx="40">
                  <c:v>13.405948512536964</c:v>
                </c:pt>
                <c:pt idx="41">
                  <c:v>10.903788217837906</c:v>
                </c:pt>
                <c:pt idx="42">
                  <c:v>16.248539716260083</c:v>
                </c:pt>
                <c:pt idx="43">
                  <c:v>28.975296572445185</c:v>
                </c:pt>
                <c:pt idx="44">
                  <c:v>24.107778643231615</c:v>
                </c:pt>
                <c:pt idx="45">
                  <c:v>21.36488604998631</c:v>
                </c:pt>
                <c:pt idx="46">
                  <c:v>16.462259143691433</c:v>
                </c:pt>
                <c:pt idx="47">
                  <c:v>18.243394262358343</c:v>
                </c:pt>
                <c:pt idx="48">
                  <c:v>35.10704205871663</c:v>
                </c:pt>
                <c:pt idx="49">
                  <c:v>25.498986467914154</c:v>
                </c:pt>
                <c:pt idx="50">
                  <c:v>17.701661411218449</c:v>
                </c:pt>
                <c:pt idx="51" formatCode="0.0">
                  <c:v>39.546893777498433</c:v>
                </c:pt>
                <c:pt idx="52">
                  <c:v>20.988447204607859</c:v>
                </c:pt>
                <c:pt idx="53">
                  <c:v>20.179596416460456</c:v>
                </c:pt>
                <c:pt idx="54">
                  <c:v>33.449709239739263</c:v>
                </c:pt>
                <c:pt idx="55">
                  <c:v>19.126498992876183</c:v>
                </c:pt>
                <c:pt idx="56">
                  <c:v>31.949719551265332</c:v>
                </c:pt>
                <c:pt idx="57">
                  <c:v>48.495056895688556</c:v>
                </c:pt>
                <c:pt idx="58">
                  <c:v>19.047988248612523</c:v>
                </c:pt>
                <c:pt idx="59">
                  <c:v>30.234939716847819</c:v>
                </c:pt>
                <c:pt idx="60">
                  <c:v>20.675948442051787</c:v>
                </c:pt>
                <c:pt idx="61">
                  <c:v>44.291352866330143</c:v>
                </c:pt>
                <c:pt idx="62">
                  <c:v>33.051626015523155</c:v>
                </c:pt>
                <c:pt idx="63">
                  <c:v>15.093893034113368</c:v>
                </c:pt>
                <c:pt idx="64">
                  <c:v>32.867972510920865</c:v>
                </c:pt>
                <c:pt idx="65" formatCode="0.0">
                  <c:v>46.610635907420352</c:v>
                </c:pt>
                <c:pt idx="66">
                  <c:v>42.122066041138098</c:v>
                </c:pt>
                <c:pt idx="67">
                  <c:v>15.389801311373668</c:v>
                </c:pt>
                <c:pt idx="68">
                  <c:v>41.649151318567576</c:v>
                </c:pt>
                <c:pt idx="69" formatCode="0.0">
                  <c:v>30.344311080316338</c:v>
                </c:pt>
                <c:pt idx="70">
                  <c:v>23.967849356698569</c:v>
                </c:pt>
                <c:pt idx="71">
                  <c:v>55.330371319511009</c:v>
                </c:pt>
                <c:pt idx="72">
                  <c:v>36.832788356096103</c:v>
                </c:pt>
                <c:pt idx="73">
                  <c:v>30.511348801465623</c:v>
                </c:pt>
                <c:pt idx="74">
                  <c:v>37.911047796299798</c:v>
                </c:pt>
                <c:pt idx="75">
                  <c:v>19.729732285261196</c:v>
                </c:pt>
                <c:pt idx="76">
                  <c:v>38.986056105471434</c:v>
                </c:pt>
                <c:pt idx="77" formatCode="0.0">
                  <c:v>18.251998241652366</c:v>
                </c:pt>
                <c:pt idx="78">
                  <c:v>45.600201340519853</c:v>
                </c:pt>
                <c:pt idx="79" formatCode="0.0">
                  <c:v>14.398377527353427</c:v>
                </c:pt>
                <c:pt idx="80">
                  <c:v>98.483445735113023</c:v>
                </c:pt>
                <c:pt idx="81" formatCode="0.0">
                  <c:v>99.85940366376127</c:v>
                </c:pt>
                <c:pt idx="82">
                  <c:v>63.583001237051072</c:v>
                </c:pt>
                <c:pt idx="83" formatCode="0.0">
                  <c:v>78.97672858591028</c:v>
                </c:pt>
                <c:pt idx="84">
                  <c:v>94.35454192299521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416D-4631-876A-6689E1AFF55E}"/>
            </c:ext>
          </c:extLst>
        </c:ser>
        <c:ser>
          <c:idx val="1"/>
          <c:order val="1"/>
          <c:tx>
            <c:strRef>
              <c:f>'Таблица 2'!$S$6</c:f>
              <c:strCache>
                <c:ptCount val="1"/>
                <c:pt idx="0">
                  <c:v>2020 год</c:v>
                </c:pt>
              </c:strCache>
            </c:strRef>
          </c:tx>
          <c:spPr>
            <a:solidFill>
              <a:schemeClr val="accent2"/>
            </a:solidFill>
            <a:ln>
              <a:noFill/>
            </a:ln>
            <a:effectLst/>
          </c:spPr>
          <c:invertIfNegative val="0"/>
          <c:val>
            <c:numRef>
              <c:f>'Таблица 2'!$S$7:$S$91</c:f>
              <c:numCache>
                <c:formatCode>#,##0.00</c:formatCode>
                <c:ptCount val="85"/>
                <c:pt idx="0">
                  <c:v>18.062858720000477</c:v>
                </c:pt>
                <c:pt idx="1">
                  <c:v>5.1207001435886718E-2</c:v>
                </c:pt>
                <c:pt idx="2" formatCode="#,##0.0">
                  <c:v>0.87531070789488141</c:v>
                </c:pt>
                <c:pt idx="3">
                  <c:v>2.7848478238647658</c:v>
                </c:pt>
                <c:pt idx="4" formatCode="#,##0.0">
                  <c:v>6.3572480562627725</c:v>
                </c:pt>
                <c:pt idx="5">
                  <c:v>4.4002769242076205</c:v>
                </c:pt>
                <c:pt idx="6" formatCode="#,##0.0">
                  <c:v>6.062448935739611</c:v>
                </c:pt>
                <c:pt idx="7">
                  <c:v>4.7392261021076934</c:v>
                </c:pt>
                <c:pt idx="8">
                  <c:v>14.87980278469642</c:v>
                </c:pt>
                <c:pt idx="9">
                  <c:v>10.329101387245332</c:v>
                </c:pt>
                <c:pt idx="10" formatCode="#,##0.0">
                  <c:v>12.032955261831637</c:v>
                </c:pt>
                <c:pt idx="11">
                  <c:v>8.2575501183200135</c:v>
                </c:pt>
                <c:pt idx="12" formatCode="#,##0.0">
                  <c:v>7.1604483380944339</c:v>
                </c:pt>
                <c:pt idx="13" formatCode="#,##0.0">
                  <c:v>4.387004060016916</c:v>
                </c:pt>
                <c:pt idx="14">
                  <c:v>7.0068134064726282</c:v>
                </c:pt>
                <c:pt idx="15" formatCode="#,##0.0">
                  <c:v>4.5941480710775915</c:v>
                </c:pt>
                <c:pt idx="16" formatCode="#,##0.0">
                  <c:v>6.5553003385423665</c:v>
                </c:pt>
                <c:pt idx="17" formatCode="#,##0.0">
                  <c:v>11.955031637096432</c:v>
                </c:pt>
                <c:pt idx="18" formatCode="#,##0.0">
                  <c:v>9.3741367864419178</c:v>
                </c:pt>
                <c:pt idx="19" formatCode="#,##0.0">
                  <c:v>14.397408915612314</c:v>
                </c:pt>
                <c:pt idx="20">
                  <c:v>9.289557811376028</c:v>
                </c:pt>
                <c:pt idx="21">
                  <c:v>8.6033040781309449</c:v>
                </c:pt>
                <c:pt idx="22" formatCode="#,##0.0">
                  <c:v>10.701239018926275</c:v>
                </c:pt>
                <c:pt idx="23" formatCode="#,##0.0">
                  <c:v>17.068176587279844</c:v>
                </c:pt>
                <c:pt idx="24">
                  <c:v>5.1412238226861788</c:v>
                </c:pt>
                <c:pt idx="25">
                  <c:v>14.441728115486349</c:v>
                </c:pt>
                <c:pt idx="26">
                  <c:v>8.5198766067985261</c:v>
                </c:pt>
                <c:pt idx="27">
                  <c:v>13.568462245280339</c:v>
                </c:pt>
                <c:pt idx="28">
                  <c:v>6.7241393160154939</c:v>
                </c:pt>
                <c:pt idx="29">
                  <c:v>20.878021135174386</c:v>
                </c:pt>
                <c:pt idx="30">
                  <c:v>11.789671544761971</c:v>
                </c:pt>
                <c:pt idx="31" formatCode="#,##0.0">
                  <c:v>10.115136141208259</c:v>
                </c:pt>
                <c:pt idx="32">
                  <c:v>14.2996271086579</c:v>
                </c:pt>
                <c:pt idx="33" formatCode="#,##0.0">
                  <c:v>5.1841326766083329</c:v>
                </c:pt>
                <c:pt idx="34" formatCode="#,##0.0">
                  <c:v>13.212185514667032</c:v>
                </c:pt>
                <c:pt idx="35" formatCode="#,##0.0">
                  <c:v>6.5786643049201343</c:v>
                </c:pt>
                <c:pt idx="36" formatCode="#,##0.0">
                  <c:v>15.755560034939192</c:v>
                </c:pt>
                <c:pt idx="37">
                  <c:v>14.857106736995062</c:v>
                </c:pt>
                <c:pt idx="38" formatCode="#,##0.0">
                  <c:v>21.082979621569777</c:v>
                </c:pt>
                <c:pt idx="39" formatCode="#,##0.0">
                  <c:v>14.35978691708122</c:v>
                </c:pt>
                <c:pt idx="40">
                  <c:v>24.416087810065918</c:v>
                </c:pt>
                <c:pt idx="41" formatCode="#,##0.0">
                  <c:v>27.597540205676253</c:v>
                </c:pt>
                <c:pt idx="42" formatCode="#,##0.0">
                  <c:v>23.132862169569606</c:v>
                </c:pt>
                <c:pt idx="43">
                  <c:v>11.596453327218379</c:v>
                </c:pt>
                <c:pt idx="44">
                  <c:v>16.633928769536507</c:v>
                </c:pt>
                <c:pt idx="45">
                  <c:v>20.522483043300472</c:v>
                </c:pt>
                <c:pt idx="46" formatCode="#,##0.0">
                  <c:v>26.111357646781808</c:v>
                </c:pt>
                <c:pt idx="47">
                  <c:v>24.362691683963249</c:v>
                </c:pt>
                <c:pt idx="48" formatCode="#,##0.0">
                  <c:v>8.0440266916174483</c:v>
                </c:pt>
                <c:pt idx="49" formatCode="#,##0.0">
                  <c:v>19.201787052074963</c:v>
                </c:pt>
                <c:pt idx="50">
                  <c:v>27.092295298716124</c:v>
                </c:pt>
                <c:pt idx="51">
                  <c:v>6.7851013218511946</c:v>
                </c:pt>
                <c:pt idx="52">
                  <c:v>26.303688136124677</c:v>
                </c:pt>
                <c:pt idx="53" formatCode="#,##0.0">
                  <c:v>27.717564163558748</c:v>
                </c:pt>
                <c:pt idx="54">
                  <c:v>14.992136760283076</c:v>
                </c:pt>
                <c:pt idx="55" formatCode="#,##0.0">
                  <c:v>30.07478689602528</c:v>
                </c:pt>
                <c:pt idx="56" formatCode="#,##0.0">
                  <c:v>20.13207862233163</c:v>
                </c:pt>
                <c:pt idx="57" formatCode="#,##0.0">
                  <c:v>5.2629223877276896</c:v>
                </c:pt>
                <c:pt idx="58">
                  <c:v>35.021134744715781</c:v>
                </c:pt>
                <c:pt idx="59">
                  <c:v>28.214136570388632</c:v>
                </c:pt>
                <c:pt idx="60">
                  <c:v>38.438298886008546</c:v>
                </c:pt>
                <c:pt idx="61" formatCode="#,##0.0">
                  <c:v>15.27590816487359</c:v>
                </c:pt>
                <c:pt idx="62" formatCode="#,##0.0">
                  <c:v>27.126049974631979</c:v>
                </c:pt>
                <c:pt idx="63" formatCode="#,##0.0">
                  <c:v>46.467806601973926</c:v>
                </c:pt>
                <c:pt idx="64">
                  <c:v>29.484097161531214</c:v>
                </c:pt>
                <c:pt idx="65">
                  <c:v>16.504817652311932</c:v>
                </c:pt>
                <c:pt idx="66" formatCode="#,##0.0">
                  <c:v>21.832000928306634</c:v>
                </c:pt>
                <c:pt idx="67" formatCode="#,##0.0">
                  <c:v>49.442711402262205</c:v>
                </c:pt>
                <c:pt idx="68">
                  <c:v>25.538118337402043</c:v>
                </c:pt>
                <c:pt idx="69">
                  <c:v>36.915648577368664</c:v>
                </c:pt>
                <c:pt idx="70">
                  <c:v>43.84212437752759</c:v>
                </c:pt>
                <c:pt idx="71">
                  <c:v>22.82312322365096</c:v>
                </c:pt>
                <c:pt idx="72">
                  <c:v>43.124853595689856</c:v>
                </c:pt>
                <c:pt idx="73" formatCode="#,##0.0">
                  <c:v>52.686512215691749</c:v>
                </c:pt>
                <c:pt idx="74">
                  <c:v>47.224961737514285</c:v>
                </c:pt>
                <c:pt idx="75">
                  <c:v>70.843410904477324</c:v>
                </c:pt>
                <c:pt idx="76">
                  <c:v>55.257864083445575</c:v>
                </c:pt>
                <c:pt idx="77">
                  <c:v>76.133567662565895</c:v>
                </c:pt>
                <c:pt idx="78">
                  <c:v>52.202710303763155</c:v>
                </c:pt>
                <c:pt idx="79">
                  <c:v>100</c:v>
                </c:pt>
                <c:pt idx="80" formatCode="#,##0.0">
                  <c:v>27.840642232436529</c:v>
                </c:pt>
                <c:pt idx="81">
                  <c:v>26.727944648593649</c:v>
                </c:pt>
                <c:pt idx="82">
                  <c:v>67.112736165002744</c:v>
                </c:pt>
                <c:pt idx="83">
                  <c:v>85.704252242869288</c:v>
                </c:pt>
                <c:pt idx="84">
                  <c:v>99.746280106020009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416D-4631-876A-6689E1AFF55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20205824"/>
        <c:axId val="120277824"/>
      </c:barChart>
      <c:catAx>
        <c:axId val="12020582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5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0277824"/>
        <c:crosses val="autoZero"/>
        <c:auto val="1"/>
        <c:lblAlgn val="ctr"/>
        <c:lblOffset val="100"/>
        <c:noMultiLvlLbl val="0"/>
      </c:catAx>
      <c:valAx>
        <c:axId val="120277824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20205824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t"/>
      <c:layout>
        <c:manualLayout>
          <c:xMode val="edge"/>
          <c:yMode val="edge"/>
          <c:x val="0.10336797694203831"/>
          <c:y val="1.1544011544011544E-2"/>
          <c:w val="0.2227700978005816"/>
          <c:h val="3.0686921710543758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Arial"/>
      <a:ea typeface=""/>
      <a:cs typeface=""/>
    </a:majorFont>
    <a:minorFont>
      <a:latin typeface="Arial"/>
      <a:ea typeface=""/>
      <a:cs typeface=""/>
    </a:minorFont>
  </a:fontScheme>
  <a:fmtScheme name="Office">
    <a:fillStyleLst>
      <a:solidFill>
        <a:schemeClr val="phClr"/>
      </a:solidFill>
      <a:solidFill>
        <a:schemeClr val="phClr"/>
      </a:solidFill>
      <a:solidFill>
        <a:schemeClr val="phClr"/>
      </a:solidFill>
    </a:fillStyleLst>
    <a:lnStyleLst>
      <a:ln w="9525" cap="flat" cmpd="sng" algn="ctr">
        <a:solidFill>
          <a:schemeClr val="phClr"/>
        </a:solidFill>
      </a:ln>
      <a:ln w="25400" cap="flat" cmpd="sng" algn="ctr">
        <a:solidFill>
          <a:schemeClr val="phClr"/>
        </a:solidFill>
      </a:ln>
      <a:ln w="38100" cap="flat" cmpd="sng" algn="ctr">
        <a:solidFill>
          <a:schemeClr val="phClr"/>
        </a:solidFill>
      </a:ln>
    </a:lnStyleLst>
    <a:effectStyleLst>
      <a:effectStyle>
        <a:effectLst>
          <a:fillOverlay blend="over">
            <a:noFill/>
          </a:fillOverlay>
        </a:effectLst>
      </a:effectStyle>
      <a:effectStyle>
        <a:effectLst>
          <a:fillOverlay blend="over">
            <a:noFill/>
          </a:fillOverlay>
        </a:effectLst>
      </a:effectStyle>
      <a:effectStyle>
        <a:effectLst>
          <a:fillOverlay blend="over">
            <a:noFill/>
          </a:fillOverlay>
        </a:effectLst>
      </a:effectStyle>
    </a:effectStyleLst>
    <a:bgFillStyleLst>
      <a:solidFill>
        <a:schemeClr val="phClr"/>
      </a:solidFill>
      <a:solidFill>
        <a:schemeClr val="phClr"/>
      </a:solidFill>
      <a:solidFill>
        <a:schemeClr val="phClr"/>
      </a:soli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Arial"/>
      <a:ea typeface=""/>
      <a:cs typeface=""/>
    </a:majorFont>
    <a:minorFont>
      <a:latin typeface="Arial"/>
      <a:ea typeface=""/>
      <a:cs typeface=""/>
    </a:minorFont>
  </a:fontScheme>
  <a:fmtScheme name="Office">
    <a:fillStyleLst>
      <a:solidFill>
        <a:schemeClr val="phClr"/>
      </a:solidFill>
      <a:solidFill>
        <a:schemeClr val="phClr"/>
      </a:solidFill>
      <a:solidFill>
        <a:schemeClr val="phClr"/>
      </a:solidFill>
    </a:fillStyleLst>
    <a:lnStyleLst>
      <a:ln w="9525" cap="flat" cmpd="sng" algn="ctr">
        <a:solidFill>
          <a:schemeClr val="phClr"/>
        </a:solidFill>
      </a:ln>
      <a:ln w="25400" cap="flat" cmpd="sng" algn="ctr">
        <a:solidFill>
          <a:schemeClr val="phClr"/>
        </a:solidFill>
      </a:ln>
      <a:ln w="38100" cap="flat" cmpd="sng" algn="ctr">
        <a:solidFill>
          <a:schemeClr val="phClr"/>
        </a:solidFill>
      </a:ln>
    </a:lnStyleLst>
    <a:effectStyleLst>
      <a:effectStyle>
        <a:effectLst>
          <a:fillOverlay blend="over">
            <a:noFill/>
          </a:fillOverlay>
        </a:effectLst>
      </a:effectStyle>
      <a:effectStyle>
        <a:effectLst>
          <a:fillOverlay blend="over">
            <a:noFill/>
          </a:fillOverlay>
        </a:effectLst>
      </a:effectStyle>
      <a:effectStyle>
        <a:effectLst>
          <a:fillOverlay blend="over">
            <a:noFill/>
          </a:fillOverlay>
        </a:effectLst>
      </a:effectStyle>
    </a:effectStyleLst>
    <a:bgFillStyleLst>
      <a:solidFill>
        <a:schemeClr val="phClr"/>
      </a:solidFill>
      <a:solidFill>
        <a:schemeClr val="phClr"/>
      </a:solidFill>
      <a:solidFill>
        <a:schemeClr val="phClr"/>
      </a:soli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Arial"/>
      <a:ea typeface=""/>
      <a:cs typeface=""/>
    </a:majorFont>
    <a:minorFont>
      <a:latin typeface="Arial"/>
      <a:ea typeface=""/>
      <a:cs typeface=""/>
    </a:minorFont>
  </a:fontScheme>
  <a:fmtScheme name="Office">
    <a:fillStyleLst>
      <a:solidFill>
        <a:schemeClr val="phClr"/>
      </a:solidFill>
      <a:solidFill>
        <a:schemeClr val="phClr"/>
      </a:solidFill>
      <a:solidFill>
        <a:schemeClr val="phClr"/>
      </a:solidFill>
    </a:fillStyleLst>
    <a:lnStyleLst>
      <a:ln w="9525" cap="flat" cmpd="sng" algn="ctr">
        <a:solidFill>
          <a:schemeClr val="phClr"/>
        </a:solidFill>
      </a:ln>
      <a:ln w="25400" cap="flat" cmpd="sng" algn="ctr">
        <a:solidFill>
          <a:schemeClr val="phClr"/>
        </a:solidFill>
      </a:ln>
      <a:ln w="38100" cap="flat" cmpd="sng" algn="ctr">
        <a:solidFill>
          <a:schemeClr val="phClr"/>
        </a:solidFill>
      </a:ln>
    </a:lnStyleLst>
    <a:effectStyleLst>
      <a:effectStyle>
        <a:effectLst>
          <a:fillOverlay blend="over">
            <a:noFill/>
          </a:fillOverlay>
        </a:effectLst>
      </a:effectStyle>
      <a:effectStyle>
        <a:effectLst>
          <a:fillOverlay blend="over">
            <a:noFill/>
          </a:fillOverlay>
        </a:effectLst>
      </a:effectStyle>
      <a:effectStyle>
        <a:effectLst>
          <a:fillOverlay blend="over">
            <a:noFill/>
          </a:fillOverlay>
        </a:effectLst>
      </a:effectStyle>
    </a:effectStyleLst>
    <a:bgFillStyleLst>
      <a:solidFill>
        <a:schemeClr val="phClr"/>
      </a:solidFill>
      <a:solidFill>
        <a:schemeClr val="phClr"/>
      </a:solidFill>
      <a:solidFill>
        <a:schemeClr val="phClr"/>
      </a:soli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Наумова Е.В.</dc:creator>
  <cp:lastModifiedBy>Наумова Е.В.</cp:lastModifiedBy>
  <cp:revision>8</cp:revision>
  <dcterms:created xsi:type="dcterms:W3CDTF">2021-06-18T07:15:00Z</dcterms:created>
  <dcterms:modified xsi:type="dcterms:W3CDTF">2021-09-20T06:07:00Z</dcterms:modified>
</cp:coreProperties>
</file>