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27828" w14:textId="5D3B15CB" w:rsidR="00825AFD" w:rsidRDefault="00825AFD" w:rsidP="00825AFD">
      <w:pPr>
        <w:spacing w:line="360" w:lineRule="auto"/>
        <w:ind w:firstLine="708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Приложение 1</w:t>
      </w:r>
      <w:r w:rsidR="008C48D1">
        <w:rPr>
          <w:bCs/>
          <w:iCs/>
          <w:sz w:val="28"/>
          <w:szCs w:val="28"/>
        </w:rPr>
        <w:t>2</w:t>
      </w:r>
      <w:bookmarkStart w:id="0" w:name="_GoBack"/>
      <w:bookmarkEnd w:id="0"/>
    </w:p>
    <w:p w14:paraId="4E4885A6" w14:textId="77777777" w:rsidR="00825AFD" w:rsidRDefault="00825AFD" w:rsidP="00825AFD">
      <w:pPr>
        <w:spacing w:line="360" w:lineRule="auto"/>
        <w:ind w:firstLine="708"/>
        <w:jc w:val="right"/>
        <w:rPr>
          <w:bCs/>
          <w:iCs/>
          <w:sz w:val="28"/>
          <w:szCs w:val="28"/>
        </w:rPr>
      </w:pPr>
    </w:p>
    <w:p w14:paraId="4F3C1974" w14:textId="77777777" w:rsidR="00825AFD" w:rsidRDefault="00825AFD" w:rsidP="00825AFD">
      <w:pPr>
        <w:spacing w:line="360" w:lineRule="auto"/>
        <w:ind w:firstLine="708"/>
        <w:jc w:val="center"/>
        <w:rPr>
          <w:b/>
          <w:bCs/>
          <w:iCs/>
          <w:sz w:val="28"/>
          <w:szCs w:val="28"/>
        </w:rPr>
      </w:pPr>
      <w:r w:rsidRPr="00825AFD">
        <w:rPr>
          <w:b/>
          <w:bCs/>
          <w:iCs/>
          <w:sz w:val="28"/>
          <w:szCs w:val="28"/>
        </w:rPr>
        <w:t>Результаты глубинных интервью</w:t>
      </w:r>
    </w:p>
    <w:p w14:paraId="4FA96369" w14:textId="77777777" w:rsidR="00825AFD" w:rsidRPr="00825AFD" w:rsidRDefault="00825AFD" w:rsidP="00825AFD">
      <w:pPr>
        <w:spacing w:line="360" w:lineRule="auto"/>
        <w:ind w:firstLine="708"/>
        <w:jc w:val="center"/>
        <w:rPr>
          <w:b/>
          <w:bCs/>
          <w:iCs/>
          <w:sz w:val="28"/>
          <w:szCs w:val="28"/>
        </w:rPr>
      </w:pPr>
    </w:p>
    <w:p w14:paraId="30579F0B" w14:textId="77777777" w:rsidR="007B27DD" w:rsidRPr="002D6855" w:rsidRDefault="007B27DD" w:rsidP="007B27DD">
      <w:pPr>
        <w:spacing w:line="36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2D6855">
        <w:rPr>
          <w:b/>
          <w:bCs/>
          <w:i/>
          <w:iCs/>
          <w:sz w:val="28"/>
          <w:szCs w:val="28"/>
        </w:rPr>
        <w:t xml:space="preserve">В части оценки актуальности Повестки устойчивого развития </w:t>
      </w:r>
      <w:r>
        <w:rPr>
          <w:b/>
          <w:bCs/>
          <w:i/>
          <w:iCs/>
          <w:sz w:val="28"/>
          <w:szCs w:val="28"/>
        </w:rPr>
        <w:t xml:space="preserve">для </w:t>
      </w:r>
      <w:r w:rsidRPr="002D6855">
        <w:rPr>
          <w:b/>
          <w:bCs/>
          <w:i/>
          <w:iCs/>
          <w:sz w:val="28"/>
          <w:szCs w:val="28"/>
        </w:rPr>
        <w:t>развития субъектов Российской Федерации</w:t>
      </w:r>
    </w:p>
    <w:p w14:paraId="2C7D320D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>Представители региональных органов исполнительной власти отмечали, что задачи, соотносящиеся с достижением ЦУР, включены в стратегические и нормативные документы региона. При этом не выделя</w:t>
      </w:r>
      <w:r>
        <w:rPr>
          <w:sz w:val="28"/>
          <w:szCs w:val="28"/>
        </w:rPr>
        <w:t>е</w:t>
      </w:r>
      <w:r w:rsidRPr="002D6855">
        <w:rPr>
          <w:sz w:val="28"/>
          <w:szCs w:val="28"/>
        </w:rPr>
        <w:t>тся отдельны</w:t>
      </w:r>
      <w:r>
        <w:rPr>
          <w:sz w:val="28"/>
          <w:szCs w:val="28"/>
        </w:rPr>
        <w:t>х</w:t>
      </w:r>
      <w:r w:rsidRPr="002D6855">
        <w:rPr>
          <w:sz w:val="28"/>
          <w:szCs w:val="28"/>
        </w:rPr>
        <w:t xml:space="preserve"> задач (поручени</w:t>
      </w:r>
      <w:r>
        <w:rPr>
          <w:sz w:val="28"/>
          <w:szCs w:val="28"/>
        </w:rPr>
        <w:t>й</w:t>
      </w:r>
      <w:r w:rsidRPr="002D6855">
        <w:rPr>
          <w:sz w:val="28"/>
          <w:szCs w:val="28"/>
        </w:rPr>
        <w:t xml:space="preserve">) по достижению показателей ЦУР. </w:t>
      </w:r>
    </w:p>
    <w:p w14:paraId="59F5FA62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D6855">
        <w:rPr>
          <w:sz w:val="28"/>
          <w:szCs w:val="28"/>
        </w:rPr>
        <w:t xml:space="preserve">аличие в субъекте заинтересованного должностного лица либо эксперта, глубоко погруженного в повестку, создает синергетический эффект и вовлекает как бизнес </w:t>
      </w:r>
      <w:r>
        <w:rPr>
          <w:sz w:val="28"/>
          <w:szCs w:val="28"/>
        </w:rPr>
        <w:t xml:space="preserve">в </w:t>
      </w:r>
      <w:r w:rsidRPr="002D6855">
        <w:rPr>
          <w:sz w:val="28"/>
          <w:szCs w:val="28"/>
        </w:rPr>
        <w:t>регион</w:t>
      </w:r>
      <w:r>
        <w:rPr>
          <w:sz w:val="28"/>
          <w:szCs w:val="28"/>
        </w:rPr>
        <w:t>е</w:t>
      </w:r>
      <w:r w:rsidRPr="002D6855">
        <w:rPr>
          <w:sz w:val="28"/>
          <w:szCs w:val="28"/>
        </w:rPr>
        <w:t xml:space="preserve">, так и </w:t>
      </w:r>
      <w:r>
        <w:rPr>
          <w:sz w:val="28"/>
          <w:szCs w:val="28"/>
        </w:rPr>
        <w:t xml:space="preserve">региональные </w:t>
      </w:r>
      <w:r w:rsidRPr="002D6855">
        <w:rPr>
          <w:sz w:val="28"/>
          <w:szCs w:val="28"/>
        </w:rPr>
        <w:t xml:space="preserve">органы исполнительной власти в работу </w:t>
      </w:r>
      <w:r>
        <w:rPr>
          <w:sz w:val="28"/>
          <w:szCs w:val="28"/>
        </w:rPr>
        <w:t>в области устойчивого развития</w:t>
      </w:r>
      <w:r w:rsidRPr="002D6855">
        <w:rPr>
          <w:sz w:val="28"/>
          <w:szCs w:val="28"/>
        </w:rPr>
        <w:t>.</w:t>
      </w:r>
    </w:p>
    <w:p w14:paraId="4C935D63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Hlk120883388"/>
      <w:r w:rsidRPr="002D6855">
        <w:rPr>
          <w:sz w:val="28"/>
          <w:szCs w:val="28"/>
        </w:rPr>
        <w:t>Реализация и восприятие целей устойчивого развития и ESG принципов в регионах находится на невысоком уровне. В качестве причин указанного факта респондентами выделялись следующие: отсутствие понимания как органами исполнительной власти, так и бизнес-сообществом задач, которые ставятся в рамках устойчивого развития, личной инициативы высших должностных лиц регионов, необходимого объема ресурсов, а также мер государственной политики, направленных на стимулирование реализации ЦУР.</w:t>
      </w:r>
    </w:p>
    <w:p w14:paraId="4C728C5C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В целом многие интервьюируемые отмечали </w:t>
      </w:r>
      <w:proofErr w:type="spellStart"/>
      <w:r>
        <w:rPr>
          <w:sz w:val="28"/>
          <w:szCs w:val="28"/>
        </w:rPr>
        <w:t>верхнеуровневое</w:t>
      </w:r>
      <w:proofErr w:type="spellEnd"/>
      <w:r w:rsidRPr="002D6855">
        <w:rPr>
          <w:sz w:val="28"/>
          <w:szCs w:val="28"/>
        </w:rPr>
        <w:t xml:space="preserve"> понимание ЦУР</w:t>
      </w:r>
      <w:r>
        <w:rPr>
          <w:sz w:val="28"/>
          <w:szCs w:val="28"/>
        </w:rPr>
        <w:t>, характерное для всех групп заинтересованных сторон, включая представителей власти, бизнеса и общества. Представители всех групп респондентов отмечали</w:t>
      </w:r>
      <w:r w:rsidRPr="002D6855">
        <w:rPr>
          <w:sz w:val="28"/>
          <w:szCs w:val="28"/>
        </w:rPr>
        <w:t xml:space="preserve"> важность улучшения качества жизни человека </w:t>
      </w:r>
      <w:r>
        <w:rPr>
          <w:sz w:val="28"/>
          <w:szCs w:val="28"/>
        </w:rPr>
        <w:t xml:space="preserve">с применением </w:t>
      </w:r>
      <w:r w:rsidRPr="002D6855">
        <w:rPr>
          <w:sz w:val="28"/>
          <w:szCs w:val="28"/>
        </w:rPr>
        <w:t xml:space="preserve">различных </w:t>
      </w:r>
      <w:r>
        <w:rPr>
          <w:sz w:val="28"/>
          <w:szCs w:val="28"/>
        </w:rPr>
        <w:t xml:space="preserve">доступных </w:t>
      </w:r>
      <w:r w:rsidRPr="002D6855">
        <w:rPr>
          <w:sz w:val="28"/>
          <w:szCs w:val="28"/>
        </w:rPr>
        <w:t xml:space="preserve">инструментов. Представители вузов делали акцент на качественном образовании и его доступности, бизнес </w:t>
      </w:r>
      <w:r>
        <w:rPr>
          <w:sz w:val="28"/>
          <w:szCs w:val="28"/>
        </w:rPr>
        <w:t xml:space="preserve">указывал на необходимость проявления заботы </w:t>
      </w:r>
      <w:r w:rsidRPr="002D6855">
        <w:rPr>
          <w:sz w:val="28"/>
          <w:szCs w:val="28"/>
        </w:rPr>
        <w:t>о людях и инвестици</w:t>
      </w:r>
      <w:r>
        <w:rPr>
          <w:sz w:val="28"/>
          <w:szCs w:val="28"/>
        </w:rPr>
        <w:t>й</w:t>
      </w:r>
      <w:r w:rsidRPr="002D685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устойчивое </w:t>
      </w:r>
      <w:r w:rsidRPr="002D6855">
        <w:rPr>
          <w:sz w:val="28"/>
          <w:szCs w:val="28"/>
        </w:rPr>
        <w:t xml:space="preserve">производство, эксперты общественных формирований говорили </w:t>
      </w:r>
      <w:r w:rsidRPr="002D6855">
        <w:rPr>
          <w:sz w:val="28"/>
          <w:szCs w:val="28"/>
        </w:rPr>
        <w:lastRenderedPageBreak/>
        <w:t xml:space="preserve">о социальной проблематике. </w:t>
      </w:r>
      <w:r>
        <w:rPr>
          <w:sz w:val="28"/>
          <w:szCs w:val="28"/>
        </w:rPr>
        <w:t>При этом л</w:t>
      </w:r>
      <w:r w:rsidRPr="002D6855">
        <w:rPr>
          <w:sz w:val="28"/>
          <w:szCs w:val="28"/>
        </w:rPr>
        <w:t xml:space="preserve">ишь некоторые </w:t>
      </w:r>
      <w:r>
        <w:rPr>
          <w:sz w:val="28"/>
          <w:szCs w:val="28"/>
        </w:rPr>
        <w:t>респонденты</w:t>
      </w:r>
      <w:r w:rsidRPr="002D6855">
        <w:rPr>
          <w:sz w:val="28"/>
          <w:szCs w:val="28"/>
        </w:rPr>
        <w:t xml:space="preserve"> владели понима</w:t>
      </w:r>
      <w:r>
        <w:rPr>
          <w:sz w:val="28"/>
          <w:szCs w:val="28"/>
        </w:rPr>
        <w:t>ни</w:t>
      </w:r>
      <w:r w:rsidRPr="002D6855">
        <w:rPr>
          <w:sz w:val="28"/>
          <w:szCs w:val="28"/>
        </w:rPr>
        <w:t>ем конкретных целей и их декомпозици</w:t>
      </w:r>
      <w:r>
        <w:rPr>
          <w:sz w:val="28"/>
          <w:szCs w:val="28"/>
        </w:rPr>
        <w:t>и</w:t>
      </w:r>
      <w:r w:rsidRPr="002D6855">
        <w:rPr>
          <w:sz w:val="28"/>
          <w:szCs w:val="28"/>
        </w:rPr>
        <w:t xml:space="preserve">. Таким образом, можно сделать вывод, что «прижилось» лишь </w:t>
      </w:r>
      <w:proofErr w:type="spellStart"/>
      <w:r w:rsidRPr="002D6855">
        <w:rPr>
          <w:sz w:val="28"/>
          <w:szCs w:val="28"/>
        </w:rPr>
        <w:t>верхнеуровневое</w:t>
      </w:r>
      <w:proofErr w:type="spellEnd"/>
      <w:r w:rsidRPr="002D6855">
        <w:rPr>
          <w:sz w:val="28"/>
          <w:szCs w:val="28"/>
        </w:rPr>
        <w:t xml:space="preserve"> представление о концепции ЦУР – как главной задач</w:t>
      </w:r>
      <w:r>
        <w:rPr>
          <w:sz w:val="28"/>
          <w:szCs w:val="28"/>
        </w:rPr>
        <w:t>е</w:t>
      </w:r>
      <w:r w:rsidRPr="002D6855">
        <w:rPr>
          <w:sz w:val="28"/>
          <w:szCs w:val="28"/>
        </w:rPr>
        <w:t xml:space="preserve"> интуитивно понятной, но не имеющей четкой артикулированной структуры и вовлеченных в реализацию этих задач лиц.</w:t>
      </w:r>
    </w:p>
    <w:bookmarkEnd w:id="1"/>
    <w:p w14:paraId="617F86C1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D6855">
        <w:rPr>
          <w:sz w:val="28"/>
          <w:szCs w:val="28"/>
        </w:rPr>
        <w:t xml:space="preserve">ольшинством </w:t>
      </w:r>
      <w:r>
        <w:rPr>
          <w:sz w:val="28"/>
          <w:szCs w:val="28"/>
        </w:rPr>
        <w:t xml:space="preserve">респондентов </w:t>
      </w:r>
      <w:r w:rsidRPr="002D6855">
        <w:rPr>
          <w:sz w:val="28"/>
          <w:szCs w:val="28"/>
        </w:rPr>
        <w:t xml:space="preserve">не отмечается значимого влияния актуальных геостратегических изменений на подходы к реализации ЦУР и </w:t>
      </w:r>
      <w:r w:rsidRPr="002D6855">
        <w:rPr>
          <w:sz w:val="28"/>
          <w:szCs w:val="28"/>
          <w:lang w:val="en-US"/>
        </w:rPr>
        <w:t>ESG</w:t>
      </w:r>
      <w:r w:rsidRPr="002D6855">
        <w:rPr>
          <w:sz w:val="28"/>
          <w:szCs w:val="28"/>
        </w:rPr>
        <w:t xml:space="preserve"> принципов в регионах. </w:t>
      </w:r>
      <w:r w:rsidRPr="00A964DE">
        <w:rPr>
          <w:sz w:val="28"/>
          <w:szCs w:val="28"/>
        </w:rPr>
        <w:t>Среди представителей органов исполнительной власти</w:t>
      </w:r>
      <w:r>
        <w:rPr>
          <w:sz w:val="28"/>
          <w:szCs w:val="28"/>
        </w:rPr>
        <w:t xml:space="preserve"> </w:t>
      </w:r>
      <w:r w:rsidRPr="002D6855">
        <w:rPr>
          <w:sz w:val="28"/>
          <w:szCs w:val="28"/>
        </w:rPr>
        <w:t>присутствует мнение, согласно которому приоритеты национальной безопасности и ESG принципы</w:t>
      </w:r>
      <w:r>
        <w:rPr>
          <w:sz w:val="28"/>
          <w:szCs w:val="28"/>
        </w:rPr>
        <w:t xml:space="preserve"> не противоречат друг другу, но при их реализации проявляется конкурентный подход в отношении ресурсного обеспечения. </w:t>
      </w:r>
    </w:p>
    <w:p w14:paraId="74617214" w14:textId="4C7D8DCB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>Наряду с этим</w:t>
      </w:r>
      <w:r w:rsidR="00D46F7A">
        <w:rPr>
          <w:sz w:val="28"/>
          <w:szCs w:val="28"/>
        </w:rPr>
        <w:t>,</w:t>
      </w:r>
      <w:r w:rsidRPr="002D6855">
        <w:rPr>
          <w:sz w:val="28"/>
          <w:szCs w:val="28"/>
        </w:rPr>
        <w:t xml:space="preserve"> респондентами</w:t>
      </w:r>
      <w:r>
        <w:rPr>
          <w:sz w:val="28"/>
          <w:szCs w:val="28"/>
        </w:rPr>
        <w:t xml:space="preserve"> </w:t>
      </w:r>
      <w:r w:rsidRPr="002D6855">
        <w:rPr>
          <w:sz w:val="28"/>
          <w:szCs w:val="28"/>
        </w:rPr>
        <w:t xml:space="preserve">отмечается, что с учетом ограниченности ресурсов целесообразно активно вовлекать бизнес в решение вопросов национальных и региональных приоритетов. </w:t>
      </w:r>
    </w:p>
    <w:p w14:paraId="59624C8B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_Hlk120883059"/>
      <w:r w:rsidRPr="002D6855">
        <w:rPr>
          <w:sz w:val="28"/>
          <w:szCs w:val="28"/>
        </w:rPr>
        <w:t>В целом Повестка устойчивого развития понимается не как комплекс целей, направленных на сбалансированное развитие, а с позиции сбережения и экономии ресурсов. В качестве причин такого восприятия Повестки устойчивого развития экспертами выделяются: недостаточное взаимодействие государства, бизнеса и общества, отсутствие в образовательных программах дисциплин или вопросов по устойчивому развитию, реализаци</w:t>
      </w:r>
      <w:r>
        <w:rPr>
          <w:sz w:val="28"/>
          <w:szCs w:val="28"/>
        </w:rPr>
        <w:t>я</w:t>
      </w:r>
      <w:r w:rsidRPr="002D6855">
        <w:rPr>
          <w:sz w:val="28"/>
          <w:szCs w:val="28"/>
        </w:rPr>
        <w:t xml:space="preserve"> традиционного подхода, основанного на построении экономической модели в отрыве от вопросов социального и экологического развития. Наличие указанных системных проблем, по мнению респондентов, приводит к тому, что вопросы Повестки устойчивого развития многими понимаются в контексте, например, экономии электроэнергии и воды, или сводятся исключительно к просветительским разовым проектам. </w:t>
      </w:r>
      <w:r>
        <w:rPr>
          <w:sz w:val="28"/>
          <w:szCs w:val="28"/>
        </w:rPr>
        <w:t>Кроме того, представителями бизнес-сообщества отмечается тот факт, что тр</w:t>
      </w:r>
      <w:r w:rsidRPr="002D6855">
        <w:rPr>
          <w:sz w:val="28"/>
          <w:szCs w:val="28"/>
        </w:rPr>
        <w:t>адиционны</w:t>
      </w:r>
      <w:r>
        <w:rPr>
          <w:sz w:val="28"/>
          <w:szCs w:val="28"/>
        </w:rPr>
        <w:t>е</w:t>
      </w:r>
      <w:r w:rsidRPr="002D6855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ы</w:t>
      </w:r>
      <w:r w:rsidRPr="002D6855">
        <w:rPr>
          <w:sz w:val="28"/>
          <w:szCs w:val="28"/>
        </w:rPr>
        <w:t xml:space="preserve"> к ведению бизнеса</w:t>
      </w:r>
      <w:r>
        <w:rPr>
          <w:sz w:val="28"/>
          <w:szCs w:val="28"/>
        </w:rPr>
        <w:t xml:space="preserve"> включают в себя</w:t>
      </w:r>
      <w:r w:rsidRPr="002D6855">
        <w:rPr>
          <w:sz w:val="28"/>
          <w:szCs w:val="28"/>
        </w:rPr>
        <w:t xml:space="preserve"> создание условий для </w:t>
      </w:r>
      <w:r w:rsidRPr="002D6855">
        <w:rPr>
          <w:sz w:val="28"/>
          <w:szCs w:val="28"/>
        </w:rPr>
        <w:lastRenderedPageBreak/>
        <w:t>сотрудников компании (от доступа к воде и питанию, до предоставлени</w:t>
      </w:r>
      <w:r>
        <w:rPr>
          <w:sz w:val="28"/>
          <w:szCs w:val="28"/>
        </w:rPr>
        <w:t>я</w:t>
      </w:r>
      <w:r w:rsidRPr="002D6855">
        <w:rPr>
          <w:sz w:val="28"/>
          <w:szCs w:val="28"/>
        </w:rPr>
        <w:t xml:space="preserve"> широкого социального пакета), и внимани</w:t>
      </w:r>
      <w:r>
        <w:rPr>
          <w:sz w:val="28"/>
          <w:szCs w:val="28"/>
        </w:rPr>
        <w:t>я</w:t>
      </w:r>
      <w:r w:rsidRPr="002D6855">
        <w:rPr>
          <w:sz w:val="28"/>
          <w:szCs w:val="28"/>
        </w:rPr>
        <w:t xml:space="preserve"> к условиям окружающей среды (обусловлено суровыми климатическими условиями, широким доступом к полезным ископаемым и природным ресурсам).</w:t>
      </w:r>
    </w:p>
    <w:bookmarkEnd w:id="2"/>
    <w:p w14:paraId="2B1F6443" w14:textId="77777777" w:rsidR="007B27DD" w:rsidRPr="002D6855" w:rsidRDefault="007B27DD" w:rsidP="007B27DD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bCs/>
          <w:i/>
          <w:iCs/>
          <w:sz w:val="28"/>
          <w:szCs w:val="28"/>
        </w:rPr>
      </w:pPr>
      <w:r w:rsidRPr="002D6855">
        <w:rPr>
          <w:b/>
          <w:bCs/>
          <w:i/>
          <w:iCs/>
          <w:sz w:val="28"/>
          <w:szCs w:val="28"/>
        </w:rPr>
        <w:t>В части вовлечения бизнеса в реализацию глобальных и национальных целей</w:t>
      </w:r>
    </w:p>
    <w:p w14:paraId="6E562A2A" w14:textId="730EE02B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По результатам проведенных интервью с респондентами отмечается, что в настоящее время компании, которые изначально занимались развитием ESG повестки, продолжают вести учет данных и показателей по </w:t>
      </w:r>
      <w:r w:rsidRPr="002D6855">
        <w:rPr>
          <w:sz w:val="28"/>
          <w:szCs w:val="28"/>
          <w:lang w:val="en-US"/>
        </w:rPr>
        <w:t>ESG</w:t>
      </w:r>
      <w:r>
        <w:rPr>
          <w:sz w:val="28"/>
          <w:szCs w:val="28"/>
        </w:rPr>
        <w:t xml:space="preserve"> критериям. Вместе с тем</w:t>
      </w:r>
      <w:r w:rsidRPr="002D6855">
        <w:rPr>
          <w:sz w:val="28"/>
          <w:szCs w:val="28"/>
        </w:rPr>
        <w:t xml:space="preserve"> компании сократили объем расходов в этом направлении, в том числе для презентации и верификации нефинансовых отчетов. </w:t>
      </w:r>
    </w:p>
    <w:p w14:paraId="7A9C8690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>По мнению респондентов, компании зачастую рассматрива</w:t>
      </w:r>
      <w:r>
        <w:rPr>
          <w:sz w:val="28"/>
          <w:szCs w:val="28"/>
        </w:rPr>
        <w:t>ю</w:t>
      </w:r>
      <w:r w:rsidRPr="002D6855">
        <w:rPr>
          <w:sz w:val="28"/>
          <w:szCs w:val="28"/>
        </w:rPr>
        <w:t xml:space="preserve">т деятельность в сфере ESG не как способ получить доходы, а как совокупность мероприятий, необходимых не только для обеспечения стабильности и безопасности предприятия, но и для минимизации возможных будущих издержек, аудита бизнес-процессов, а также привлечения дополнительного финансирования. При отсутствии внешних стимулов </w:t>
      </w:r>
      <w:r w:rsidRPr="00CC5249">
        <w:rPr>
          <w:sz w:val="28"/>
          <w:szCs w:val="28"/>
        </w:rPr>
        <w:t>мотивация собственников продолжать</w:t>
      </w:r>
      <w:r w:rsidRPr="002D6855">
        <w:rPr>
          <w:sz w:val="28"/>
          <w:szCs w:val="28"/>
        </w:rPr>
        <w:t xml:space="preserve"> эту деятельность снижается. При этом </w:t>
      </w:r>
      <w:r>
        <w:rPr>
          <w:sz w:val="28"/>
          <w:szCs w:val="28"/>
        </w:rPr>
        <w:t xml:space="preserve">отмечается, что </w:t>
      </w:r>
      <w:r w:rsidRPr="002D6855">
        <w:rPr>
          <w:sz w:val="28"/>
          <w:szCs w:val="28"/>
        </w:rPr>
        <w:t>любая деятельность предприятия и его показатели организации процессов могут быть оцифрованы и представлены в виде ESG</w:t>
      </w:r>
      <w:r>
        <w:rPr>
          <w:sz w:val="28"/>
          <w:szCs w:val="28"/>
        </w:rPr>
        <w:t xml:space="preserve"> </w:t>
      </w:r>
      <w:r w:rsidRPr="002D6855">
        <w:rPr>
          <w:sz w:val="28"/>
          <w:szCs w:val="28"/>
        </w:rPr>
        <w:t xml:space="preserve">метрик.  </w:t>
      </w:r>
    </w:p>
    <w:p w14:paraId="61E34583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В отдельных случаях респондентами отмечалось, что бизнес воспринимает данную инициативу как необходимость соблюдать законы и требования рынка, а не как возможность развития предприятия в целом. Особую роль в этом играют проекты по компенсации негативного влияния на </w:t>
      </w:r>
      <w:r>
        <w:rPr>
          <w:sz w:val="28"/>
          <w:szCs w:val="28"/>
        </w:rPr>
        <w:t xml:space="preserve">окружающую </w:t>
      </w:r>
      <w:r w:rsidRPr="002D6855">
        <w:rPr>
          <w:sz w:val="28"/>
          <w:szCs w:val="28"/>
        </w:rPr>
        <w:t xml:space="preserve">среду, однако, представленные в виде </w:t>
      </w:r>
      <w:proofErr w:type="spellStart"/>
      <w:r w:rsidRPr="002D6855">
        <w:rPr>
          <w:sz w:val="28"/>
          <w:szCs w:val="28"/>
        </w:rPr>
        <w:t>экопроектов</w:t>
      </w:r>
      <w:proofErr w:type="spellEnd"/>
      <w:r w:rsidRPr="002D6855">
        <w:rPr>
          <w:sz w:val="28"/>
          <w:szCs w:val="28"/>
        </w:rPr>
        <w:t xml:space="preserve"> предприятий.</w:t>
      </w:r>
    </w:p>
    <w:p w14:paraId="66EE8E86" w14:textId="75E119D5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2D6855">
        <w:rPr>
          <w:sz w:val="28"/>
          <w:szCs w:val="28"/>
        </w:rPr>
        <w:t xml:space="preserve">кспертами </w:t>
      </w:r>
      <w:r>
        <w:rPr>
          <w:sz w:val="28"/>
          <w:szCs w:val="28"/>
        </w:rPr>
        <w:t xml:space="preserve">также </w:t>
      </w:r>
      <w:r w:rsidRPr="002D6855">
        <w:rPr>
          <w:sz w:val="28"/>
          <w:szCs w:val="28"/>
        </w:rPr>
        <w:t xml:space="preserve">констатировалось, что деятельность в сфере устойчивого развития компании иногда сводят исключительно к </w:t>
      </w:r>
      <w:r w:rsidRPr="002D6855">
        <w:rPr>
          <w:sz w:val="28"/>
          <w:szCs w:val="28"/>
        </w:rPr>
        <w:lastRenderedPageBreak/>
        <w:t>декларативному характеру. В частности, компании зачастую реализуют просветительские проекты путем распространения брошюр, проведения конференций. Однако, представители органов исполнительной власти и бизнес-сообщества обращали внимание на то, что имеются отдельные примеры использования технологий для решения комплексных вопросов, актуальных как для региональных органов власти, так и бизнеса</w:t>
      </w:r>
      <w:r w:rsidR="00D46F7A">
        <w:rPr>
          <w:sz w:val="28"/>
          <w:szCs w:val="28"/>
        </w:rPr>
        <w:t>,</w:t>
      </w:r>
      <w:r w:rsidRPr="002D6855">
        <w:rPr>
          <w:sz w:val="28"/>
          <w:szCs w:val="28"/>
        </w:rPr>
        <w:t xml:space="preserve"> и университетов. В частности, приводились примеры создания замкнутых циклов производства на предприятиях и формирования центров компетенций по ESG</w:t>
      </w:r>
      <w:r w:rsidRPr="002D6855">
        <w:rPr>
          <w:b/>
          <w:bCs/>
          <w:color w:val="000000"/>
          <w:sz w:val="28"/>
          <w:szCs w:val="28"/>
        </w:rPr>
        <w:t>.</w:t>
      </w:r>
      <w:r w:rsidRPr="002D6855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2D6855">
        <w:rPr>
          <w:sz w:val="28"/>
          <w:szCs w:val="28"/>
        </w:rPr>
        <w:t xml:space="preserve"> такие решения носят единичный характер и не становятся впоследствии комплексными.</w:t>
      </w:r>
    </w:p>
    <w:p w14:paraId="68DEA602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В ходе интервью респондентами также указано, что вопросы </w:t>
      </w:r>
      <w:r w:rsidRPr="002D6855">
        <w:rPr>
          <w:sz w:val="28"/>
          <w:szCs w:val="28"/>
          <w:lang w:val="en-US"/>
        </w:rPr>
        <w:t>ESG</w:t>
      </w:r>
      <w:r w:rsidRPr="002D6855">
        <w:rPr>
          <w:sz w:val="28"/>
          <w:szCs w:val="28"/>
        </w:rPr>
        <w:t xml:space="preserve"> практически отсутствуют в деятельности средних и малых компаний. Это связано с нехваткой ресурсов, отсутствием кадров должной компетенции в регионах, понятной мотивацией. В корпоративной среде подобных компаний также зачастую отсутствует понимание полезности и целесообразности </w:t>
      </w:r>
      <w:r w:rsidRPr="002D6855">
        <w:rPr>
          <w:sz w:val="28"/>
          <w:szCs w:val="28"/>
          <w:lang w:val="en-US"/>
        </w:rPr>
        <w:t>ESG</w:t>
      </w:r>
      <w:r w:rsidRPr="002D6855">
        <w:rPr>
          <w:sz w:val="28"/>
          <w:szCs w:val="28"/>
        </w:rPr>
        <w:t>. В ходе интервью также обращалось внимание, что у среднего и малого бизнеса есть потребность в примерах лучших практик и «банке готовых решений», так как есть бизнес, который хочет вкладывать в развитие территорий, но не знает с чего и как начать. Особенно это важно для создания равных рыночных условий между компаниями условно аффилированными («дочки», «внучки» госкомпаний) и самостоятельными субъектами МСП.</w:t>
      </w:r>
    </w:p>
    <w:p w14:paraId="40939A2E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Респонденты отмечают, что есть примеры, когда крупные предприятия, особенно холдинговые, уже взаимодействуют с региональными органами власти и участвуют в достижении региональных целей. Известны примеры, где региональные власти прорабатывали с предприятиями в 2022 году вопрос механизма индексации зарплаты не менее чем на 15%, чтобы компенсировать инфляцию. При этом подобные механизмы взаимодействия происходят не путем реализации мер принудительного характера, а в рамках кооперации и понимания того, зачем это нужно и бизнесу. </w:t>
      </w:r>
    </w:p>
    <w:p w14:paraId="798EAF6C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lastRenderedPageBreak/>
        <w:t>При этом есть случаи, когда крупный бизнес осуществляет свою деятельность на территории нескольких регионов, но с органами региональной власти не взаимодействует, за исключением нормативно предусмотренных случаев, активно сотрудничает только с федеральными органами власти и не вовлекается в региональную повестку.</w:t>
      </w:r>
    </w:p>
    <w:p w14:paraId="71ECC4D5" w14:textId="663270B4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>Вузы и компании вступают в партнерские отношения с органами власти или друг с другом в большинстве случаев только при наличи</w:t>
      </w:r>
      <w:r>
        <w:rPr>
          <w:sz w:val="28"/>
          <w:szCs w:val="28"/>
        </w:rPr>
        <w:t>и</w:t>
      </w:r>
      <w:r w:rsidRPr="002D6855">
        <w:rPr>
          <w:sz w:val="28"/>
          <w:szCs w:val="28"/>
        </w:rPr>
        <w:t xml:space="preserve"> единых целей, например</w:t>
      </w:r>
      <w:r w:rsidR="00CC5249">
        <w:rPr>
          <w:sz w:val="28"/>
          <w:szCs w:val="28"/>
        </w:rPr>
        <w:t>,</w:t>
      </w:r>
      <w:r w:rsidRPr="002D6855">
        <w:rPr>
          <w:sz w:val="28"/>
          <w:szCs w:val="28"/>
        </w:rPr>
        <w:t xml:space="preserve"> привлечения ресурсов, решения вопросов кадрового потенциала или научных разработок.</w:t>
      </w:r>
    </w:p>
    <w:p w14:paraId="2348104C" w14:textId="12E8E7E6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Респондентами также отмечалось, что в настоящее время отсутствует системный подход к организации каналов </w:t>
      </w:r>
      <w:r w:rsidR="00CC5249">
        <w:rPr>
          <w:sz w:val="28"/>
          <w:szCs w:val="28"/>
        </w:rPr>
        <w:t>власти и бизнеса</w:t>
      </w:r>
      <w:r w:rsidRPr="002D6855">
        <w:rPr>
          <w:sz w:val="28"/>
          <w:szCs w:val="28"/>
        </w:rPr>
        <w:t>. В большинстве случаев бизнес ожидает от региональных органов власти разъяснений по соответствующим направлениям деятельности, ожидает от них каких-либо инициатив в части ESG, чтобы механизм начал работать полноценно. Бизнес-структуры ведут в большинстве случаев себя осторожно при взаимодействии с региональными органами власти, ориентируются на основные, в том числе ключевые, направления внутри региональной системы.</w:t>
      </w:r>
    </w:p>
    <w:p w14:paraId="1EA60343" w14:textId="77777777" w:rsidR="007B27DD" w:rsidRPr="002D6855" w:rsidRDefault="007B27DD" w:rsidP="007B27DD">
      <w:pPr>
        <w:autoSpaceDE w:val="0"/>
        <w:autoSpaceDN w:val="0"/>
        <w:adjustRightInd w:val="0"/>
        <w:spacing w:line="360" w:lineRule="auto"/>
        <w:ind w:left="709"/>
        <w:jc w:val="both"/>
        <w:rPr>
          <w:b/>
          <w:bCs/>
          <w:i/>
          <w:iCs/>
          <w:sz w:val="28"/>
          <w:szCs w:val="28"/>
        </w:rPr>
      </w:pPr>
      <w:r w:rsidRPr="002D6855">
        <w:rPr>
          <w:b/>
          <w:bCs/>
          <w:i/>
          <w:iCs/>
          <w:sz w:val="28"/>
          <w:szCs w:val="28"/>
        </w:rPr>
        <w:t>В части оценки необходимости изменения приоритетов развития</w:t>
      </w:r>
    </w:p>
    <w:p w14:paraId="61D7D809" w14:textId="3FD191A8" w:rsidR="007B27DD" w:rsidRPr="002D6855" w:rsidRDefault="007B27DD" w:rsidP="007B27DD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D6855">
        <w:rPr>
          <w:bCs/>
          <w:sz w:val="28"/>
          <w:szCs w:val="28"/>
        </w:rPr>
        <w:t xml:space="preserve">Подходы к изменению приоритетов социально-экономического развития в субъектах </w:t>
      </w:r>
      <w:r>
        <w:rPr>
          <w:bCs/>
          <w:sz w:val="28"/>
          <w:szCs w:val="28"/>
        </w:rPr>
        <w:t xml:space="preserve">Российской Федерации </w:t>
      </w:r>
      <w:r w:rsidRPr="002D6855">
        <w:rPr>
          <w:bCs/>
          <w:sz w:val="28"/>
          <w:szCs w:val="28"/>
        </w:rPr>
        <w:t>различаются</w:t>
      </w:r>
      <w:r>
        <w:rPr>
          <w:bCs/>
          <w:sz w:val="28"/>
          <w:szCs w:val="28"/>
        </w:rPr>
        <w:t xml:space="preserve">. Среди представителей экспертного сообщества и вузов присутствуют мнения о </w:t>
      </w:r>
      <w:r w:rsidRPr="002D6855">
        <w:rPr>
          <w:bCs/>
          <w:sz w:val="28"/>
          <w:szCs w:val="28"/>
        </w:rPr>
        <w:t>целесообразн</w:t>
      </w:r>
      <w:r>
        <w:rPr>
          <w:bCs/>
          <w:sz w:val="28"/>
          <w:szCs w:val="28"/>
        </w:rPr>
        <w:t>ости</w:t>
      </w:r>
      <w:r w:rsidRPr="002D6855">
        <w:rPr>
          <w:bCs/>
          <w:sz w:val="28"/>
          <w:szCs w:val="28"/>
        </w:rPr>
        <w:t xml:space="preserve"> кардинальн</w:t>
      </w:r>
      <w:r>
        <w:rPr>
          <w:bCs/>
          <w:sz w:val="28"/>
          <w:szCs w:val="28"/>
        </w:rPr>
        <w:t>ых</w:t>
      </w:r>
      <w:r w:rsidRPr="002D6855">
        <w:rPr>
          <w:bCs/>
          <w:sz w:val="28"/>
          <w:szCs w:val="28"/>
        </w:rPr>
        <w:t xml:space="preserve"> изменени</w:t>
      </w:r>
      <w:r>
        <w:rPr>
          <w:bCs/>
          <w:sz w:val="28"/>
          <w:szCs w:val="28"/>
        </w:rPr>
        <w:t>й</w:t>
      </w:r>
      <w:r w:rsidRPr="002D6855">
        <w:rPr>
          <w:bCs/>
          <w:sz w:val="28"/>
          <w:szCs w:val="28"/>
        </w:rPr>
        <w:t xml:space="preserve"> системы приоритетов</w:t>
      </w:r>
      <w:r>
        <w:rPr>
          <w:bCs/>
          <w:sz w:val="28"/>
          <w:szCs w:val="28"/>
        </w:rPr>
        <w:t>. Для большинства представителей органов региональной власти характерно мнение о неизменности стратегических приоритетов при необходимости корректировки оперативных планов.</w:t>
      </w:r>
      <w:r w:rsidRPr="002D6855">
        <w:rPr>
          <w:bCs/>
          <w:sz w:val="28"/>
          <w:szCs w:val="28"/>
        </w:rPr>
        <w:t xml:space="preserve"> Зачастую позиция </w:t>
      </w:r>
      <w:r>
        <w:rPr>
          <w:bCs/>
          <w:sz w:val="28"/>
          <w:szCs w:val="28"/>
        </w:rPr>
        <w:t xml:space="preserve">респондентов обусловлена </w:t>
      </w:r>
      <w:r w:rsidRPr="002D6855">
        <w:rPr>
          <w:bCs/>
          <w:sz w:val="28"/>
          <w:szCs w:val="28"/>
        </w:rPr>
        <w:t>специфик</w:t>
      </w:r>
      <w:r>
        <w:rPr>
          <w:bCs/>
          <w:sz w:val="28"/>
          <w:szCs w:val="28"/>
        </w:rPr>
        <w:t>ой</w:t>
      </w:r>
      <w:r w:rsidRPr="002D6855">
        <w:rPr>
          <w:bCs/>
          <w:sz w:val="28"/>
          <w:szCs w:val="28"/>
        </w:rPr>
        <w:t xml:space="preserve"> развития региона, зависимост</w:t>
      </w:r>
      <w:r>
        <w:rPr>
          <w:bCs/>
          <w:sz w:val="28"/>
          <w:szCs w:val="28"/>
        </w:rPr>
        <w:t>ью</w:t>
      </w:r>
      <w:r w:rsidRPr="002D6855">
        <w:rPr>
          <w:bCs/>
          <w:sz w:val="28"/>
          <w:szCs w:val="28"/>
        </w:rPr>
        <w:t xml:space="preserve"> экономики регион</w:t>
      </w:r>
      <w:r w:rsidR="00CC5249">
        <w:rPr>
          <w:bCs/>
          <w:sz w:val="28"/>
          <w:szCs w:val="28"/>
        </w:rPr>
        <w:t>а от внешнеэкономических связей и другими факторами</w:t>
      </w:r>
      <w:r w:rsidRPr="002D6855">
        <w:rPr>
          <w:bCs/>
          <w:sz w:val="28"/>
          <w:szCs w:val="28"/>
        </w:rPr>
        <w:t xml:space="preserve">. Можно также отметить, что большинство анализируемых регионов сосредоточены на купировании рисков </w:t>
      </w:r>
      <w:proofErr w:type="spellStart"/>
      <w:r w:rsidRPr="002D6855">
        <w:rPr>
          <w:bCs/>
          <w:sz w:val="28"/>
          <w:szCs w:val="28"/>
        </w:rPr>
        <w:t>санкционного</w:t>
      </w:r>
      <w:proofErr w:type="spellEnd"/>
      <w:r w:rsidRPr="002D6855">
        <w:rPr>
          <w:bCs/>
          <w:sz w:val="28"/>
          <w:szCs w:val="28"/>
        </w:rPr>
        <w:t xml:space="preserve"> давления и глобального кризиса, а не на использовании инструментов развития.</w:t>
      </w:r>
    </w:p>
    <w:p w14:paraId="3087C20A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bCs/>
          <w:sz w:val="28"/>
          <w:szCs w:val="28"/>
        </w:rPr>
        <w:lastRenderedPageBreak/>
        <w:t xml:space="preserve">В большинстве исследуемых регионов </w:t>
      </w:r>
      <w:r>
        <w:rPr>
          <w:bCs/>
          <w:sz w:val="28"/>
          <w:szCs w:val="28"/>
        </w:rPr>
        <w:t xml:space="preserve">у разных групп респондентов </w:t>
      </w:r>
      <w:r w:rsidRPr="002D6855">
        <w:rPr>
          <w:bCs/>
          <w:sz w:val="28"/>
          <w:szCs w:val="28"/>
        </w:rPr>
        <w:t xml:space="preserve">отсутствует </w:t>
      </w:r>
      <w:r>
        <w:rPr>
          <w:bCs/>
          <w:sz w:val="28"/>
          <w:szCs w:val="28"/>
        </w:rPr>
        <w:t xml:space="preserve">единое </w:t>
      </w:r>
      <w:r w:rsidRPr="002D6855">
        <w:rPr>
          <w:bCs/>
          <w:sz w:val="28"/>
          <w:szCs w:val="28"/>
        </w:rPr>
        <w:t xml:space="preserve">понимание специфики региона. Некоторые </w:t>
      </w:r>
      <w:r>
        <w:rPr>
          <w:bCs/>
          <w:sz w:val="28"/>
          <w:szCs w:val="28"/>
        </w:rPr>
        <w:t xml:space="preserve">представители органов исполнительной власти регионов </w:t>
      </w:r>
      <w:r w:rsidRPr="002D6855">
        <w:rPr>
          <w:bCs/>
          <w:sz w:val="28"/>
          <w:szCs w:val="28"/>
        </w:rPr>
        <w:t>акцентируют внимание на</w:t>
      </w:r>
      <w:r w:rsidRPr="002D6855">
        <w:rPr>
          <w:sz w:val="28"/>
          <w:szCs w:val="28"/>
        </w:rPr>
        <w:t xml:space="preserve"> необходимости сбалансированного развития различных отраслей экономики. В социальной сфере приоритеты выделяются одинаковые.</w:t>
      </w:r>
    </w:p>
    <w:p w14:paraId="632BBB45" w14:textId="77777777" w:rsidR="007B27DD" w:rsidRPr="002D6855" w:rsidRDefault="007B27DD" w:rsidP="007B27DD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2D6855">
        <w:rPr>
          <w:b/>
          <w:bCs/>
          <w:i/>
          <w:iCs/>
          <w:sz w:val="28"/>
          <w:szCs w:val="28"/>
        </w:rPr>
        <w:t>В части приоритетных мер по достижению субъектами Российской Федерации показателей ЦУР</w:t>
      </w:r>
    </w:p>
    <w:p w14:paraId="1FBC2467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В рамках интервью респондентами обращалось внимание на обеспечение качественного исследования того, как население оценивает реализацию мероприятий, направленных на достижение ключевых целей развития государства. </w:t>
      </w:r>
    </w:p>
    <w:p w14:paraId="0FCD5132" w14:textId="77777777" w:rsidR="007B27DD" w:rsidRPr="002D6855" w:rsidRDefault="00F64243" w:rsidP="007B27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6855">
        <w:rPr>
          <w:sz w:val="28"/>
          <w:szCs w:val="28"/>
        </w:rPr>
        <w:t>бращалось</w:t>
      </w:r>
      <w:r w:rsidR="007B27DD" w:rsidRPr="002D6855">
        <w:rPr>
          <w:sz w:val="28"/>
          <w:szCs w:val="28"/>
        </w:rPr>
        <w:t xml:space="preserve"> внимание на необходимость </w:t>
      </w:r>
      <w:proofErr w:type="spellStart"/>
      <w:r w:rsidR="007B27DD" w:rsidRPr="002D6855">
        <w:rPr>
          <w:sz w:val="28"/>
          <w:szCs w:val="28"/>
        </w:rPr>
        <w:t>приорит</w:t>
      </w:r>
      <w:r w:rsidR="007B27DD">
        <w:rPr>
          <w:sz w:val="28"/>
          <w:szCs w:val="28"/>
        </w:rPr>
        <w:t>и</w:t>
      </w:r>
      <w:r w:rsidR="007B27DD" w:rsidRPr="002D6855">
        <w:rPr>
          <w:sz w:val="28"/>
          <w:szCs w:val="28"/>
        </w:rPr>
        <w:t>зации</w:t>
      </w:r>
      <w:proofErr w:type="spellEnd"/>
      <w:r w:rsidR="007B27DD" w:rsidRPr="002D6855">
        <w:rPr>
          <w:sz w:val="28"/>
          <w:szCs w:val="28"/>
        </w:rPr>
        <w:t xml:space="preserve"> ЦУР, четкое указание от федерального центра, какие ЦУР нужно достигать, какие задачи ставятся перед каждым регионом по этим ЦУР с учетом региональных особенностей и обеспеченности ресурсами. Также обращалось внимание на необходимость декомпозиции национальных целей до уровня муниципальных образований, до уровня отдельных исполнителей.</w:t>
      </w:r>
    </w:p>
    <w:p w14:paraId="52B0B378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_Hlk120884081"/>
      <w:r w:rsidRPr="002D6855">
        <w:rPr>
          <w:sz w:val="28"/>
          <w:szCs w:val="28"/>
        </w:rPr>
        <w:t xml:space="preserve">В качестве одного из важнейших условий реализации приоритетных мер названа необходимость субсидирования проектов. При этом не только зеленых, но и социальных проектов, поскольку в их отношении сейчас не уделяется особого внимания, нормативная база касается в основном экологических направлений, изменений в сторону улучшения экологии. </w:t>
      </w:r>
    </w:p>
    <w:p w14:paraId="5FE1E74C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bookmarkStart w:id="4" w:name="_Hlk120884102"/>
      <w:bookmarkEnd w:id="3"/>
      <w:r>
        <w:rPr>
          <w:sz w:val="28"/>
          <w:szCs w:val="28"/>
        </w:rPr>
        <w:t>С учетом изложенного</w:t>
      </w:r>
      <w:r w:rsidRPr="002D6855">
        <w:rPr>
          <w:sz w:val="28"/>
          <w:szCs w:val="28"/>
        </w:rPr>
        <w:t xml:space="preserve"> респондентами также обращалось внимание на необходимость поддержки бизнеса и обучения должностных лиц регионов, в том числе по вопросам продвижения идей и проектов в сфере устойчивого развития. При этом в вопросе обучения указанных лиц особое внимание уделено необходимости в первую очередь заинтересовать высших должностных лиц, иных должностных лиц, участвующих в принятии </w:t>
      </w:r>
      <w:r w:rsidRPr="002D6855">
        <w:rPr>
          <w:sz w:val="28"/>
          <w:szCs w:val="28"/>
        </w:rPr>
        <w:lastRenderedPageBreak/>
        <w:t>управленческих решений в продвижении подобных идей и их реализации внутри региона.</w:t>
      </w:r>
    </w:p>
    <w:bookmarkEnd w:id="4"/>
    <w:p w14:paraId="78732D3E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Экспертами</w:t>
      </w:r>
      <w:r w:rsidRPr="002D6855">
        <w:rPr>
          <w:sz w:val="28"/>
          <w:szCs w:val="28"/>
        </w:rPr>
        <w:t xml:space="preserve"> также отмечается значимая роль власти и </w:t>
      </w:r>
      <w:proofErr w:type="spellStart"/>
      <w:r w:rsidRPr="002D6855">
        <w:rPr>
          <w:sz w:val="28"/>
          <w:szCs w:val="28"/>
        </w:rPr>
        <w:t>медиасообщества</w:t>
      </w:r>
      <w:proofErr w:type="spellEnd"/>
      <w:r w:rsidRPr="002D6855">
        <w:rPr>
          <w:sz w:val="28"/>
          <w:szCs w:val="28"/>
        </w:rPr>
        <w:t xml:space="preserve"> в части распространения информации о позитивных практиках и привлечении внимания к лучшим примерам.</w:t>
      </w:r>
    </w:p>
    <w:p w14:paraId="759B8D2B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>Дополнительно также отмечаем, что отдельными респондентами также акцентировалось внимание на необходимость</w:t>
      </w:r>
      <w:r>
        <w:rPr>
          <w:sz w:val="28"/>
          <w:szCs w:val="28"/>
        </w:rPr>
        <w:t xml:space="preserve"> продвижения </w:t>
      </w:r>
      <w:r w:rsidRPr="002D6855">
        <w:rPr>
          <w:sz w:val="28"/>
          <w:szCs w:val="28"/>
        </w:rPr>
        <w:t>этических принципов в работу общественных объединений</w:t>
      </w:r>
      <w:r>
        <w:rPr>
          <w:sz w:val="28"/>
          <w:szCs w:val="28"/>
        </w:rPr>
        <w:t>,</w:t>
      </w:r>
      <w:r w:rsidRPr="002D6855">
        <w:rPr>
          <w:sz w:val="28"/>
          <w:szCs w:val="28"/>
        </w:rPr>
        <w:t xml:space="preserve"> бизнеса.</w:t>
      </w:r>
    </w:p>
    <w:p w14:paraId="6B83AF51" w14:textId="77777777" w:rsidR="007B27DD" w:rsidRPr="00593549" w:rsidRDefault="007B27DD" w:rsidP="007B27DD">
      <w:pPr>
        <w:spacing w:line="360" w:lineRule="auto"/>
        <w:ind w:firstLine="708"/>
        <w:rPr>
          <w:b/>
          <w:bCs/>
          <w:i/>
          <w:iCs/>
          <w:sz w:val="28"/>
          <w:szCs w:val="28"/>
        </w:rPr>
      </w:pPr>
      <w:r w:rsidRPr="00593549">
        <w:rPr>
          <w:b/>
          <w:bCs/>
          <w:i/>
          <w:iCs/>
          <w:sz w:val="28"/>
          <w:szCs w:val="28"/>
        </w:rPr>
        <w:t>Выявленные разрывы</w:t>
      </w:r>
    </w:p>
    <w:p w14:paraId="35E9AAA4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>В рамках анализа</w:t>
      </w:r>
      <w:r>
        <w:rPr>
          <w:sz w:val="28"/>
          <w:szCs w:val="28"/>
        </w:rPr>
        <w:t xml:space="preserve"> в большинстве исследуемых регионов</w:t>
      </w:r>
      <w:r w:rsidRPr="002D6855">
        <w:rPr>
          <w:sz w:val="28"/>
          <w:szCs w:val="28"/>
        </w:rPr>
        <w:t xml:space="preserve"> выявлены случаи, когда представители различных групп респондентов в одном регионе представляли сильно расходящиеся взгляды по определенным вопросам.</w:t>
      </w:r>
    </w:p>
    <w:p w14:paraId="604424ED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Например, в одном из регионов представитель регионального органа исполнительной власти выразил мнение об успешной реализации проектов устойчивого развития в регионе, а представитель экспертного сообщества того же региона отметил, что концепция устойчивого развития используется в регионе исключительно в интересах представления положительного имиджа власти и в действительности не реализуется. </w:t>
      </w:r>
    </w:p>
    <w:p w14:paraId="31497FA6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>Также есть пример, когда в ответ на вопрос о необходимости изменений в существующей системе документов стратегического планирования, представитель органов исполнительной власти утвержда</w:t>
      </w:r>
      <w:r>
        <w:rPr>
          <w:sz w:val="28"/>
          <w:szCs w:val="28"/>
        </w:rPr>
        <w:t>л</w:t>
      </w:r>
      <w:r w:rsidRPr="002D6855">
        <w:rPr>
          <w:sz w:val="28"/>
          <w:szCs w:val="28"/>
        </w:rPr>
        <w:t>, что никаких изменений не нужно, все документы в регионе «синхронизированы и гармонизированы», в то время как представитель экспертного сообщества из региона видит большую проблему в несогласованности стратегий муниципалитетов с целями регионального развития, что приводит к невозможности реализации региональной стратегии на муниципальном уровне в силу того, что они зачастую «прямо противоречат развитию муниципального уровня».</w:t>
      </w:r>
    </w:p>
    <w:p w14:paraId="6BB2DE31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В некоторых регионах отличается отношение представителей органов исполнительной власти и экспертного сообщества к рейтингам. Первые </w:t>
      </w:r>
      <w:r w:rsidRPr="002D6855">
        <w:rPr>
          <w:sz w:val="28"/>
          <w:szCs w:val="28"/>
        </w:rPr>
        <w:lastRenderedPageBreak/>
        <w:t xml:space="preserve">считают их важными, отмечая, что рейтинги «стимулируют к выполнению показателей и, соответственно, получению бонусов в виде поощрения региональных команд, и субъектов», а вторые полагают, что рейтинги «излишне теоретизирование» и «в них не видно практической плоскости, потому что очень сложна методика оценки такого рода проектов». Кроме того, респонденты отмечали </w:t>
      </w:r>
      <w:proofErr w:type="spellStart"/>
      <w:r w:rsidRPr="002D6855">
        <w:rPr>
          <w:sz w:val="28"/>
          <w:szCs w:val="28"/>
        </w:rPr>
        <w:t>аффилированность</w:t>
      </w:r>
      <w:proofErr w:type="spellEnd"/>
      <w:r w:rsidRPr="002D6855">
        <w:rPr>
          <w:sz w:val="28"/>
          <w:szCs w:val="28"/>
        </w:rPr>
        <w:t xml:space="preserve"> и необъективность рейтингов. </w:t>
      </w:r>
    </w:p>
    <w:p w14:paraId="4802E44D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Есть также разночтения в оценке разными группами респондентов эффективности взаимодействия региональной власти и бизнеса. Есть примеры, когда эксперты считают, что «бизнес сам по себе, губернатор – сам по себе; у всех свои задумки, свои программы, а представитель </w:t>
      </w:r>
      <w:r>
        <w:rPr>
          <w:sz w:val="28"/>
          <w:szCs w:val="28"/>
        </w:rPr>
        <w:t>органа исполнительной власти региона</w:t>
      </w:r>
      <w:r w:rsidRPr="002D6855">
        <w:rPr>
          <w:sz w:val="28"/>
          <w:szCs w:val="28"/>
        </w:rPr>
        <w:t xml:space="preserve"> заявляет, что с бизнесом ведется большая работа, что «регион проанализировал предприятия крупного и среднего бизнеса на соответствие их деятельности принципам ESG. Разрабатывается инструкция-рекомендация, где закрепляются критерии соответствия принципам ESG. Прорабатываются меры поддержки для соответствующих компаний и предприятий».</w:t>
      </w:r>
    </w:p>
    <w:p w14:paraId="31FD4A65" w14:textId="77777777" w:rsidR="007B27DD" w:rsidRPr="002D6855" w:rsidRDefault="007B27DD" w:rsidP="007B27DD">
      <w:pPr>
        <w:spacing w:line="360" w:lineRule="auto"/>
        <w:ind w:firstLine="709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Также в ряде регионов наблюдаются разрывы в видении представителей различных групп респондентов ключевых направлений и приоритетов развития. В ряде регионов эксперты и представители </w:t>
      </w:r>
      <w:r>
        <w:rPr>
          <w:sz w:val="28"/>
          <w:szCs w:val="28"/>
        </w:rPr>
        <w:t>органов исполнительной власти</w:t>
      </w:r>
      <w:r w:rsidRPr="002D6855">
        <w:rPr>
          <w:sz w:val="28"/>
          <w:szCs w:val="28"/>
        </w:rPr>
        <w:t xml:space="preserve"> по-разному обозначают сильные стороны региона, которые могли бы стать ресурсом развития. Например, </w:t>
      </w:r>
      <w:r w:rsidRPr="002D6855">
        <w:rPr>
          <w:rFonts w:hint="eastAsia"/>
          <w:sz w:val="28"/>
          <w:szCs w:val="28"/>
        </w:rPr>
        <w:t>в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одном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из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регионов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представители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органов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исполнительной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власти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ключевым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ресурсом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развития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региона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видят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туризм</w:t>
      </w:r>
      <w:r w:rsidRPr="002D6855">
        <w:rPr>
          <w:sz w:val="28"/>
          <w:szCs w:val="28"/>
        </w:rPr>
        <w:t xml:space="preserve">, </w:t>
      </w:r>
      <w:r w:rsidRPr="002D6855">
        <w:rPr>
          <w:rFonts w:hint="eastAsia"/>
          <w:sz w:val="28"/>
          <w:szCs w:val="28"/>
        </w:rPr>
        <w:t>а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представители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экспертного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сообщества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акцентируют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внимание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на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развитии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человеческого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капитала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и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производстве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экологически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чистых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аграрных</w:t>
      </w:r>
      <w:r w:rsidRPr="002D6855">
        <w:rPr>
          <w:sz w:val="28"/>
          <w:szCs w:val="28"/>
        </w:rPr>
        <w:t xml:space="preserve"> </w:t>
      </w:r>
      <w:r w:rsidRPr="002D6855">
        <w:rPr>
          <w:rFonts w:hint="eastAsia"/>
          <w:sz w:val="28"/>
          <w:szCs w:val="28"/>
        </w:rPr>
        <w:t>продуктов</w:t>
      </w:r>
      <w:r w:rsidRPr="002D6855">
        <w:rPr>
          <w:sz w:val="28"/>
          <w:szCs w:val="28"/>
        </w:rPr>
        <w:t>.</w:t>
      </w:r>
    </w:p>
    <w:p w14:paraId="5D1BD829" w14:textId="77777777" w:rsidR="007B27DD" w:rsidRPr="00D334D2" w:rsidRDefault="007B27DD" w:rsidP="007B27DD">
      <w:pPr>
        <w:spacing w:line="360" w:lineRule="auto"/>
        <w:ind w:firstLine="851"/>
        <w:jc w:val="both"/>
        <w:rPr>
          <w:sz w:val="28"/>
          <w:szCs w:val="28"/>
        </w:rPr>
      </w:pPr>
      <w:r w:rsidRPr="002D6855">
        <w:rPr>
          <w:sz w:val="28"/>
          <w:szCs w:val="28"/>
        </w:rPr>
        <w:t xml:space="preserve">При этом стоит отметить, что есть вопросы, по которым мнения власти, бизнеса и экспертов сходятся в большинстве регионов. Так, все группы респондентов отмечают проблему нехватки квалифицированных кадров в регионах. Несмотря на целенаправленную работу по поиску </w:t>
      </w:r>
      <w:r w:rsidRPr="002D6855">
        <w:rPr>
          <w:sz w:val="28"/>
          <w:szCs w:val="28"/>
        </w:rPr>
        <w:lastRenderedPageBreak/>
        <w:t>специалистов, в том числе работу с ВУЗами, бизнесу часто приходится приглашать кадры из других регионов. Представители органов исполнительной власти многих регионов отмечают проблему «утечки мозгов», когда</w:t>
      </w:r>
      <w:r w:rsidRPr="00FC1512">
        <w:rPr>
          <w:sz w:val="28"/>
          <w:szCs w:val="28"/>
        </w:rPr>
        <w:t xml:space="preserve"> молодежь не остается работать в регионе в силу отсутствия перспектив и достойной работы.</w:t>
      </w:r>
    </w:p>
    <w:p w14:paraId="53AA23CD" w14:textId="5C37E63A" w:rsidR="00580A13" w:rsidRDefault="00580A13"/>
    <w:sectPr w:rsidR="00580A13" w:rsidSect="00F64243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573BE" w14:textId="77777777" w:rsidR="00C64219" w:rsidRDefault="00C64219" w:rsidP="00F64243">
      <w:r>
        <w:separator/>
      </w:r>
    </w:p>
  </w:endnote>
  <w:endnote w:type="continuationSeparator" w:id="0">
    <w:p w14:paraId="495DFFC9" w14:textId="77777777" w:rsidR="00C64219" w:rsidRDefault="00C64219" w:rsidP="00F64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0130978"/>
      <w:docPartObj>
        <w:docPartGallery w:val="Page Numbers (Bottom of Page)"/>
        <w:docPartUnique/>
      </w:docPartObj>
    </w:sdtPr>
    <w:sdtEndPr/>
    <w:sdtContent>
      <w:p w14:paraId="69AD95E8" w14:textId="3A14A605" w:rsidR="00F64243" w:rsidRDefault="00F642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8D1">
          <w:rPr>
            <w:noProof/>
          </w:rPr>
          <w:t>9</w:t>
        </w:r>
        <w:r>
          <w:fldChar w:fldCharType="end"/>
        </w:r>
      </w:p>
    </w:sdtContent>
  </w:sdt>
  <w:p w14:paraId="435CE5DC" w14:textId="77777777" w:rsidR="00F64243" w:rsidRDefault="00F6424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13874A" w14:textId="77777777" w:rsidR="00C64219" w:rsidRDefault="00C64219" w:rsidP="00F64243">
      <w:r>
        <w:separator/>
      </w:r>
    </w:p>
  </w:footnote>
  <w:footnote w:type="continuationSeparator" w:id="0">
    <w:p w14:paraId="06B287FF" w14:textId="77777777" w:rsidR="00C64219" w:rsidRDefault="00C64219" w:rsidP="00F64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3F8"/>
    <w:multiLevelType w:val="hybridMultilevel"/>
    <w:tmpl w:val="4E7C7492"/>
    <w:lvl w:ilvl="0" w:tplc="76D41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204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3A4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21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AA7B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D80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CDB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E5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7EB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95865"/>
    <w:multiLevelType w:val="hybridMultilevel"/>
    <w:tmpl w:val="D304EDCA"/>
    <w:lvl w:ilvl="0" w:tplc="EDE649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305E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827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03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A5F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2E2F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103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8ED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80E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E7000"/>
    <w:multiLevelType w:val="multilevel"/>
    <w:tmpl w:val="90BE4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FCF5D15"/>
    <w:multiLevelType w:val="hybridMultilevel"/>
    <w:tmpl w:val="5796ACF4"/>
    <w:lvl w:ilvl="0" w:tplc="A6E42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55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364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1EC4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E20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182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42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293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5AE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4425A"/>
    <w:multiLevelType w:val="hybridMultilevel"/>
    <w:tmpl w:val="562A16E4"/>
    <w:lvl w:ilvl="0" w:tplc="6F488874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4F7CB9D6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E64A5888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1BCF194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805A7320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1D8888C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A46BFE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6FAA6B18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FE8848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3ECA0833"/>
    <w:multiLevelType w:val="hybridMultilevel"/>
    <w:tmpl w:val="63A2D918"/>
    <w:lvl w:ilvl="0" w:tplc="FA6A6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001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364A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C07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03E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CEF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F421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EE0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6F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2155D"/>
    <w:multiLevelType w:val="hybridMultilevel"/>
    <w:tmpl w:val="7B864070"/>
    <w:lvl w:ilvl="0" w:tplc="8FCA9F82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AF0E3C08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474790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D93E9EBC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1342472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8E3C1D5C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9E42C842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562364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B435E4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51FD1E07"/>
    <w:multiLevelType w:val="hybridMultilevel"/>
    <w:tmpl w:val="52ECA354"/>
    <w:lvl w:ilvl="0" w:tplc="4A807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89F96">
      <w:start w:val="1"/>
      <w:numFmt w:val="lowerLetter"/>
      <w:lvlText w:val="%2."/>
      <w:lvlJc w:val="left"/>
      <w:pPr>
        <w:ind w:left="1440" w:hanging="360"/>
      </w:pPr>
    </w:lvl>
    <w:lvl w:ilvl="2" w:tplc="E21E3D62">
      <w:start w:val="1"/>
      <w:numFmt w:val="lowerRoman"/>
      <w:lvlText w:val="%3."/>
      <w:lvlJc w:val="right"/>
      <w:pPr>
        <w:ind w:left="2160" w:hanging="180"/>
      </w:pPr>
    </w:lvl>
    <w:lvl w:ilvl="3" w:tplc="463E208A">
      <w:start w:val="1"/>
      <w:numFmt w:val="decimal"/>
      <w:lvlText w:val="%4."/>
      <w:lvlJc w:val="left"/>
      <w:pPr>
        <w:ind w:left="2880" w:hanging="360"/>
      </w:pPr>
    </w:lvl>
    <w:lvl w:ilvl="4" w:tplc="A2180380">
      <w:start w:val="1"/>
      <w:numFmt w:val="lowerLetter"/>
      <w:lvlText w:val="%5."/>
      <w:lvlJc w:val="left"/>
      <w:pPr>
        <w:ind w:left="3600" w:hanging="360"/>
      </w:pPr>
    </w:lvl>
    <w:lvl w:ilvl="5" w:tplc="A73C48A8">
      <w:start w:val="1"/>
      <w:numFmt w:val="lowerRoman"/>
      <w:lvlText w:val="%6."/>
      <w:lvlJc w:val="right"/>
      <w:pPr>
        <w:ind w:left="4320" w:hanging="180"/>
      </w:pPr>
    </w:lvl>
    <w:lvl w:ilvl="6" w:tplc="DBACE8F8">
      <w:start w:val="1"/>
      <w:numFmt w:val="decimal"/>
      <w:lvlText w:val="%7."/>
      <w:lvlJc w:val="left"/>
      <w:pPr>
        <w:ind w:left="5040" w:hanging="360"/>
      </w:pPr>
    </w:lvl>
    <w:lvl w:ilvl="7" w:tplc="FCAE6658">
      <w:start w:val="1"/>
      <w:numFmt w:val="lowerLetter"/>
      <w:lvlText w:val="%8."/>
      <w:lvlJc w:val="left"/>
      <w:pPr>
        <w:ind w:left="5760" w:hanging="360"/>
      </w:pPr>
    </w:lvl>
    <w:lvl w:ilvl="8" w:tplc="BBF67EA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D29FF"/>
    <w:multiLevelType w:val="hybridMultilevel"/>
    <w:tmpl w:val="9B1E4870"/>
    <w:lvl w:ilvl="0" w:tplc="433A8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94A4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DC5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0F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C83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B2C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0D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0B3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4E9D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A03AB0"/>
    <w:multiLevelType w:val="hybridMultilevel"/>
    <w:tmpl w:val="6A5E1108"/>
    <w:lvl w:ilvl="0" w:tplc="E23CC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4AF1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1E6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906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6A1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47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C8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89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F06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CE141F"/>
    <w:multiLevelType w:val="multilevel"/>
    <w:tmpl w:val="6DCA6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41"/>
    <w:rsid w:val="000E5D41"/>
    <w:rsid w:val="00224B4F"/>
    <w:rsid w:val="004416F7"/>
    <w:rsid w:val="00511187"/>
    <w:rsid w:val="00533E3D"/>
    <w:rsid w:val="00580A13"/>
    <w:rsid w:val="006D2E99"/>
    <w:rsid w:val="007B27DD"/>
    <w:rsid w:val="00825AFD"/>
    <w:rsid w:val="008C48D1"/>
    <w:rsid w:val="008D0A43"/>
    <w:rsid w:val="00A47A0C"/>
    <w:rsid w:val="00B35E90"/>
    <w:rsid w:val="00C005B8"/>
    <w:rsid w:val="00C64219"/>
    <w:rsid w:val="00CC5249"/>
    <w:rsid w:val="00D46F7A"/>
    <w:rsid w:val="00E627FB"/>
    <w:rsid w:val="00F6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4C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05B8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005B8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7B27DD"/>
    <w:rPr>
      <w:sz w:val="20"/>
      <w:szCs w:val="20"/>
      <w:lang w:val="x-none" w:eastAsia="x-none"/>
    </w:rPr>
  </w:style>
  <w:style w:type="character" w:customStyle="1" w:styleId="a4">
    <w:name w:val="Текст примечания Знак"/>
    <w:basedOn w:val="a0"/>
    <w:link w:val="a3"/>
    <w:uiPriority w:val="99"/>
    <w:rsid w:val="007B27D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annotation reference"/>
    <w:uiPriority w:val="99"/>
    <w:rsid w:val="007B27DD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B27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7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825AFD"/>
    <w:rPr>
      <w:b/>
      <w:bCs/>
      <w:lang w:val="ru-RU" w:eastAsia="ru-RU"/>
    </w:rPr>
  </w:style>
  <w:style w:type="character" w:customStyle="1" w:styleId="a9">
    <w:name w:val="Тема примечания Знак"/>
    <w:basedOn w:val="a4"/>
    <w:link w:val="a8"/>
    <w:uiPriority w:val="99"/>
    <w:semiHidden/>
    <w:rsid w:val="00825AFD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header"/>
    <w:basedOn w:val="a"/>
    <w:link w:val="ab"/>
    <w:uiPriority w:val="99"/>
    <w:unhideWhenUsed/>
    <w:rsid w:val="00F642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642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42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5B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005B8"/>
    <w:rPr>
      <w:rFonts w:ascii="Arial" w:eastAsia="Arial" w:hAnsi="Arial" w:cs="Arial"/>
      <w:sz w:val="34"/>
    </w:rPr>
  </w:style>
  <w:style w:type="paragraph" w:styleId="ae">
    <w:name w:val="List Paragraph"/>
    <w:basedOn w:val="a"/>
    <w:link w:val="af"/>
    <w:uiPriority w:val="34"/>
    <w:qFormat/>
    <w:rsid w:val="00C005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tended-textshort">
    <w:name w:val="extended-text__short"/>
    <w:rsid w:val="00C005B8"/>
    <w:rPr>
      <w:lang w:val="ru-RU"/>
    </w:rPr>
  </w:style>
  <w:style w:type="paragraph" w:styleId="af0">
    <w:name w:val="Normal (Web)"/>
    <w:uiPriority w:val="99"/>
    <w:unhideWhenUsed/>
    <w:rsid w:val="00C005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cuss">
    <w:name w:val="Discuss"/>
    <w:rsid w:val="00C005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40" w:lineRule="auto"/>
      <w:ind w:left="567"/>
      <w:jc w:val="both"/>
    </w:pPr>
    <w:rPr>
      <w:rFonts w:ascii="Calibri" w:eastAsia="Times New Roman" w:hAnsi="Calibri" w:cs="Times New Roman"/>
      <w:i/>
      <w:szCs w:val="20"/>
      <w:lang w:eastAsia="ar-SA"/>
    </w:rPr>
  </w:style>
  <w:style w:type="paragraph" w:customStyle="1" w:styleId="PlainText">
    <w:name w:val="Plain_Text"/>
    <w:link w:val="PlainText0"/>
    <w:uiPriority w:val="99"/>
    <w:rsid w:val="00C005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00" w:lineRule="exact"/>
      <w:jc w:val="both"/>
    </w:pPr>
    <w:rPr>
      <w:rFonts w:ascii="Calibri" w:eastAsia="Times New Roman" w:hAnsi="Calibri" w:cs="Times New Roman"/>
      <w:sz w:val="24"/>
      <w:szCs w:val="20"/>
      <w:lang w:eastAsia="ar-SA"/>
    </w:rPr>
  </w:style>
  <w:style w:type="paragraph" w:customStyle="1" w:styleId="Plain1">
    <w:name w:val="Plain_1"/>
    <w:rsid w:val="00C005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00" w:lineRule="atLeast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af">
    <w:name w:val="Абзац списка Знак"/>
    <w:link w:val="ae"/>
    <w:uiPriority w:val="34"/>
    <w:rsid w:val="00C005B8"/>
  </w:style>
  <w:style w:type="character" w:customStyle="1" w:styleId="PlainText0">
    <w:name w:val="Plain_Text Знак"/>
    <w:link w:val="PlainText"/>
    <w:uiPriority w:val="99"/>
    <w:rsid w:val="00C005B8"/>
    <w:rPr>
      <w:rFonts w:ascii="Calibri" w:eastAsia="Times New Roman" w:hAnsi="Calibri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05B8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005B8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rsid w:val="007B27DD"/>
    <w:rPr>
      <w:sz w:val="20"/>
      <w:szCs w:val="20"/>
      <w:lang w:val="x-none" w:eastAsia="x-none"/>
    </w:rPr>
  </w:style>
  <w:style w:type="character" w:customStyle="1" w:styleId="a4">
    <w:name w:val="Текст примечания Знак"/>
    <w:basedOn w:val="a0"/>
    <w:link w:val="a3"/>
    <w:uiPriority w:val="99"/>
    <w:rsid w:val="007B27D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annotation reference"/>
    <w:uiPriority w:val="99"/>
    <w:rsid w:val="007B27DD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B27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27D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825AFD"/>
    <w:rPr>
      <w:b/>
      <w:bCs/>
      <w:lang w:val="ru-RU" w:eastAsia="ru-RU"/>
    </w:rPr>
  </w:style>
  <w:style w:type="character" w:customStyle="1" w:styleId="a9">
    <w:name w:val="Тема примечания Знак"/>
    <w:basedOn w:val="a4"/>
    <w:link w:val="a8"/>
    <w:uiPriority w:val="99"/>
    <w:semiHidden/>
    <w:rsid w:val="00825AFD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header"/>
    <w:basedOn w:val="a"/>
    <w:link w:val="ab"/>
    <w:uiPriority w:val="99"/>
    <w:unhideWhenUsed/>
    <w:rsid w:val="00F642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42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642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42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5B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005B8"/>
    <w:rPr>
      <w:rFonts w:ascii="Arial" w:eastAsia="Arial" w:hAnsi="Arial" w:cs="Arial"/>
      <w:sz w:val="34"/>
    </w:rPr>
  </w:style>
  <w:style w:type="paragraph" w:styleId="ae">
    <w:name w:val="List Paragraph"/>
    <w:basedOn w:val="a"/>
    <w:link w:val="af"/>
    <w:uiPriority w:val="34"/>
    <w:qFormat/>
    <w:rsid w:val="00C005B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xtended-textshort">
    <w:name w:val="extended-text__short"/>
    <w:rsid w:val="00C005B8"/>
    <w:rPr>
      <w:lang w:val="ru-RU"/>
    </w:rPr>
  </w:style>
  <w:style w:type="paragraph" w:styleId="af0">
    <w:name w:val="Normal (Web)"/>
    <w:uiPriority w:val="99"/>
    <w:unhideWhenUsed/>
    <w:rsid w:val="00C005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cuss">
    <w:name w:val="Discuss"/>
    <w:rsid w:val="00C005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60" w:line="240" w:lineRule="auto"/>
      <w:ind w:left="567"/>
      <w:jc w:val="both"/>
    </w:pPr>
    <w:rPr>
      <w:rFonts w:ascii="Calibri" w:eastAsia="Times New Roman" w:hAnsi="Calibri" w:cs="Times New Roman"/>
      <w:i/>
      <w:szCs w:val="20"/>
      <w:lang w:eastAsia="ar-SA"/>
    </w:rPr>
  </w:style>
  <w:style w:type="paragraph" w:customStyle="1" w:styleId="PlainText">
    <w:name w:val="Plain_Text"/>
    <w:link w:val="PlainText0"/>
    <w:uiPriority w:val="99"/>
    <w:rsid w:val="00C005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00" w:lineRule="exact"/>
      <w:jc w:val="both"/>
    </w:pPr>
    <w:rPr>
      <w:rFonts w:ascii="Calibri" w:eastAsia="Times New Roman" w:hAnsi="Calibri" w:cs="Times New Roman"/>
      <w:sz w:val="24"/>
      <w:szCs w:val="20"/>
      <w:lang w:eastAsia="ar-SA"/>
    </w:rPr>
  </w:style>
  <w:style w:type="paragraph" w:customStyle="1" w:styleId="Plain1">
    <w:name w:val="Plain_1"/>
    <w:rsid w:val="00C005B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 w:line="300" w:lineRule="atLeast"/>
      <w:jc w:val="both"/>
    </w:pPr>
    <w:rPr>
      <w:rFonts w:ascii="Arial" w:eastAsia="Times New Roman" w:hAnsi="Arial" w:cs="Times New Roman"/>
      <w:szCs w:val="24"/>
      <w:lang w:eastAsia="ar-SA"/>
    </w:rPr>
  </w:style>
  <w:style w:type="character" w:customStyle="1" w:styleId="af">
    <w:name w:val="Абзац списка Знак"/>
    <w:link w:val="ae"/>
    <w:uiPriority w:val="34"/>
    <w:rsid w:val="00C005B8"/>
  </w:style>
  <w:style w:type="character" w:customStyle="1" w:styleId="PlainText0">
    <w:name w:val="Plain_Text Знак"/>
    <w:link w:val="PlainText"/>
    <w:uiPriority w:val="99"/>
    <w:rsid w:val="00C005B8"/>
    <w:rPr>
      <w:rFonts w:ascii="Calibri" w:eastAsia="Times New Roman" w:hAnsi="Calibri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C1416-133D-4B62-94F3-29D9040CA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Конорева Ю.Н.</dc:creator>
  <cp:keywords/>
  <dc:description/>
  <cp:lastModifiedBy>Конорева Ю.Н.</cp:lastModifiedBy>
  <cp:revision>6</cp:revision>
  <dcterms:created xsi:type="dcterms:W3CDTF">2023-03-14T07:41:00Z</dcterms:created>
  <dcterms:modified xsi:type="dcterms:W3CDTF">2023-05-17T11:14:00Z</dcterms:modified>
</cp:coreProperties>
</file>