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08" w:rsidRPr="000941E4" w:rsidRDefault="006B290A" w:rsidP="000941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bookmarkStart w:id="0" w:name="_GoBack"/>
      <w:bookmarkEnd w:id="0"/>
      <w:r w:rsidR="000941E4" w:rsidRPr="000941E4">
        <w:rPr>
          <w:rFonts w:ascii="Times New Roman" w:hAnsi="Times New Roman" w:cs="Times New Roman"/>
          <w:sz w:val="24"/>
          <w:szCs w:val="24"/>
        </w:rPr>
        <w:t>к заключению</w:t>
      </w:r>
    </w:p>
    <w:p w:rsidR="000941E4" w:rsidRDefault="000941E4" w:rsidP="00094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1E4" w:rsidRPr="000941E4" w:rsidRDefault="000941E4" w:rsidP="000941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1E4">
        <w:rPr>
          <w:rFonts w:ascii="Times New Roman" w:hAnsi="Times New Roman" w:cs="Times New Roman"/>
          <w:b/>
          <w:sz w:val="24"/>
          <w:szCs w:val="24"/>
        </w:rPr>
        <w:t>Анализ реализации Программы развития МГУ</w:t>
      </w:r>
    </w:p>
    <w:p w:rsidR="000941E4" w:rsidRDefault="000941E4" w:rsidP="00094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1E4" w:rsidRPr="00322C46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  <w:r w:rsidRPr="00322C46"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  <w:t>МГУ не является ответственным исполнителем и соисполнителем государственных программ Российской Федерации.</w:t>
      </w:r>
    </w:p>
    <w:p w:rsidR="000941E4" w:rsidRPr="00322C46" w:rsidRDefault="000941E4" w:rsidP="00094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Университет рамках ГП 47 «Научно-технологическое развитие Российской Федерации» участвовал в реализации мероприятий федерального проекта «Развитие интеграционных процессов в сфере науки, высшего образования и индустрии» национального проекта «Наука и университеты» путем реализации мероприятий Программы развития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 до 2030 года (далее также – Программа, Программа развития МГУ)</w:t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x-none"/>
        </w:rPr>
        <w:footnoteReference w:id="1"/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.</w:t>
      </w:r>
      <w:proofErr w:type="gramEnd"/>
    </w:p>
    <w:p w:rsidR="000941E4" w:rsidRPr="00322C46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Стратегической целью развития МГУ до 2030 года является обеспечение устойчивого развития МГУ и укрепление его конкурентных преимуществ как в образовательной, научно-исследовательской и экспертно-аналитической деятельности, так и в вопросах социальной сферы и ресурсного обеспечения, в соответствии с национальными целями развития Российской Федерации и глобальными вызовами, стоящими перед Российской Федерацией и мировым сообществом.</w:t>
      </w:r>
      <w:proofErr w:type="gramEnd"/>
    </w:p>
    <w:p w:rsidR="00322C46" w:rsidRDefault="00322C46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мероприятия Программы развития обеспечивают достижение стратегической цели развития МГУ посредством непрерывного повышения качества образования, процессов воспитания, научно-исследовательских и инновационных процессов, реализации гибких траекторий обучения, вариативности образовательных программ для опережающей подготовки кадров и развития инновационной экономики, сохранения и изучения национального и всемирного научного и культурно-исторического наследия, совершенствования кадрового потенциала, развития и сохранения эффективной</w:t>
      </w:r>
      <w:proofErr w:type="gramEnd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инфраструктуры и комфортной среды жизнедеятельности, внешних коммуникаций, способствуя повышению глобальной конкурентоспособности МГУ. </w:t>
      </w:r>
    </w:p>
    <w:p w:rsidR="000941E4" w:rsidRPr="00322C46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развития МГУ дважды внесены изменения</w:t>
      </w:r>
      <w:r w:rsidRPr="00322C4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связанные с реализацией задач и мероприятий в созданных в 2020 и 2023 годах филиалах МГУ в </w:t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 Сарове и г. Грозный. В этой связи объем финансового обеспечения Программы на 2021-2030 годы за счет средств федерального бюджета увели</w:t>
      </w:r>
      <w:r w:rsidR="009A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 с 13000,0 </w:t>
      </w:r>
      <w:proofErr w:type="gramStart"/>
      <w:r w:rsidR="009A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="009A1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до 18 </w:t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513,0 млн рублей, в том числе в 2024 году с 1 300,0 млн рублей до 1 700,0 млн рублей.</w:t>
      </w:r>
      <w:r w:rsidRPr="0032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увеличением объема финансирования за счет средств федерального бюджета, распоряжением от 22 декабря 2021 г. № 3764-р, формулировка «Общий объем внебюджетного финансирования Программы в 2021-2030 годах предусмотрен ежегодно в размере 100 процентов соответствующего объема бюджетного финансирования» заменена на формулировку «Общий объем внебюджетного финансирования Программы в 2021-2030 годах предусмотрен ежегодно в размере до 100 процентов соответствующего объема бюджетного финансирования в</w:t>
      </w:r>
      <w:proofErr w:type="gramEnd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приложением № 1 к Программе». Таким образом, при увеличении бюджетного финансирования абсолютный объем внебюджетных средств не изменился и составил 1 300,0 </w:t>
      </w:r>
      <w:proofErr w:type="gramStart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ежегодно.</w:t>
      </w:r>
    </w:p>
    <w:p w:rsidR="000941E4" w:rsidRPr="00322C46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этого распоряжениями от 22 декабря 2021 г. 3764-р и от 20 апреля 2023 г. № 997-р, внесены изменения в состав и значения целевых индикаторов реализации Программы развития МГУ с 2023 по 2030 годы: </w:t>
      </w:r>
    </w:p>
    <w:p w:rsidR="000941E4" w:rsidRPr="00322C46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общее количество целевых индикаторов увеличилось с 67 до 77</w:t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41E4" w:rsidRDefault="000941E4" w:rsidP="000941E4">
      <w:pPr>
        <w:widowControl w:val="0"/>
        <w:tabs>
          <w:tab w:val="left" w:pos="142"/>
          <w:tab w:val="left" w:pos="96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увеличении финансового обеспечения реализации Программы, значения пяти индикаторов изменены в меньшую сторону при том, что значения ост</w:t>
      </w:r>
      <w:r w:rsidR="00813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индикаторов не увеличены: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1117"/>
        <w:gridCol w:w="732"/>
        <w:gridCol w:w="732"/>
        <w:gridCol w:w="731"/>
        <w:gridCol w:w="768"/>
        <w:gridCol w:w="768"/>
        <w:gridCol w:w="768"/>
        <w:gridCol w:w="769"/>
        <w:gridCol w:w="769"/>
      </w:tblGrid>
      <w:tr w:rsidR="0081370F" w:rsidRPr="00187846" w:rsidTr="006944BD">
        <w:trPr>
          <w:tblHeader/>
          <w:jc w:val="center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индикатора</w:t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редакция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:rsidR="0081370F" w:rsidRPr="00187846" w:rsidRDefault="0081370F" w:rsidP="00694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78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</w:tr>
      <w:tr w:rsidR="0081370F" w:rsidRPr="00F40EE5" w:rsidTr="00421392">
        <w:trPr>
          <w:trHeight w:val="1112"/>
          <w:jc w:val="center"/>
        </w:trPr>
        <w:tc>
          <w:tcPr>
            <w:tcW w:w="2760" w:type="dxa"/>
            <w:vMerge w:val="restart"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r w:rsidRPr="00F40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совместных мероприятий, проведенных при организационной поддержке МГУ под эгидой Общероссийской общественной организации "Российский Союз ректоров", Евразийской ассоциации университетов, Ассоциации классических университетов России, в том числе с использованием дистанционных технологий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07.06.2021</w:t>
            </w: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 w:val="restart"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40. </w:t>
            </w:r>
            <w:r w:rsidRPr="0018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18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межвузовских ассоциаций, деятельность которых организационно поддерживается МГУ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07.06.2021</w:t>
            </w: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 w:val="restart"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42. </w:t>
            </w:r>
            <w:r w:rsidRPr="0018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образовательных программ высшего образования МГУ, на первый год обучения по которым зачислены иностранные студенты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07.06.2021</w:t>
            </w:r>
          </w:p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81370F" w:rsidRPr="00F40EE5" w:rsidTr="00421392">
        <w:trPr>
          <w:trHeight w:val="479"/>
          <w:jc w:val="center"/>
        </w:trPr>
        <w:tc>
          <w:tcPr>
            <w:tcW w:w="2760" w:type="dxa"/>
            <w:vMerge w:val="restart"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44. </w:t>
            </w:r>
            <w:r w:rsidRPr="0018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иностранных граждан, обучающихся по программам МГУ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11600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</w:tr>
      <w:tr w:rsidR="0081370F" w:rsidRPr="00F40EE5" w:rsidTr="00421392">
        <w:trPr>
          <w:trHeight w:val="961"/>
          <w:jc w:val="center"/>
        </w:trPr>
        <w:tc>
          <w:tcPr>
            <w:tcW w:w="2760" w:type="dxa"/>
            <w:vMerge w:val="restart"/>
            <w:shd w:val="clear" w:color="auto" w:fill="FFFFFF" w:themeFill="background1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45. </w:t>
            </w:r>
            <w:r w:rsidRPr="00D64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иностранных специалистов, участвующих в реализации образовательной, научно-исследовательской и культурно-просветительской деятельности МГУ, в общей численности научно-педагогических работников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1370F" w:rsidRPr="00F40EE5" w:rsidTr="00421392">
        <w:trPr>
          <w:jc w:val="center"/>
        </w:trPr>
        <w:tc>
          <w:tcPr>
            <w:tcW w:w="2760" w:type="dxa"/>
            <w:vMerge/>
            <w:shd w:val="clear" w:color="auto" w:fill="DAEEF3" w:themeFill="accent5" w:themeFillTint="33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81370F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81370F" w:rsidRPr="00F40EE5" w:rsidRDefault="0081370F" w:rsidP="004213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81370F" w:rsidRPr="0081370F" w:rsidRDefault="0081370F" w:rsidP="00094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x-none"/>
        </w:rPr>
      </w:pPr>
    </w:p>
    <w:p w:rsidR="000941E4" w:rsidRDefault="000941E4" w:rsidP="00094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2C46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3) восемь индикаторов признаны справочными и не учитываются при оценке реализации Программы развития МГУ (распоряжени</w:t>
      </w:r>
      <w:r w:rsidR="0081370F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е от 20 апреля 2023 г. № 997-р):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 Количество публикаций в высокорейтинговых журналах, индексируемых международными системами научного цитирования;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Количество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по программам русского языка и на русском языке в зарубежных общеобразовательных организациях, реализующих образовательные программы при методической поддержке МГУ;</w:t>
      </w:r>
      <w:proofErr w:type="gramEnd"/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46. Количество совместных образовательных программ МГУ с зарубежными партнерами, в том числе с использованием дистанционных образовательных технологий;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53. Наивысшая позиция МГУ (с точностью до 50) в ведущих мировых рейтингах (в общем списке);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54. Наивысшая позиция МГУ (с точностью до 50) в ведущих мировых предметных рейтингах;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55. Наивысшая позиция МГУ (с точностью до 50) в ведущих мировых рейтингах Восточной Европы и Азии;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58. Количество научных журналов МГУ, индексируемых международными системами научного цитирования.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выполнении целевых индикаторов представлена в таблице: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756"/>
        <w:gridCol w:w="9"/>
        <w:gridCol w:w="14"/>
        <w:gridCol w:w="733"/>
        <w:gridCol w:w="19"/>
        <w:gridCol w:w="29"/>
        <w:gridCol w:w="710"/>
        <w:gridCol w:w="26"/>
        <w:gridCol w:w="44"/>
        <w:gridCol w:w="782"/>
        <w:gridCol w:w="850"/>
        <w:gridCol w:w="993"/>
        <w:gridCol w:w="850"/>
      </w:tblGrid>
      <w:tr w:rsidR="0081370F" w:rsidRPr="0081370F" w:rsidTr="00421392">
        <w:trPr>
          <w:trHeight w:val="255"/>
          <w:tblHeader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Индикатор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3" w:type="dxa"/>
            <w:gridSpan w:val="2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81370F" w:rsidRPr="0081370F" w:rsidTr="00421392">
        <w:trPr>
          <w:trHeight w:val="283"/>
          <w:tblHeader/>
        </w:trPr>
        <w:tc>
          <w:tcPr>
            <w:tcW w:w="4392" w:type="dxa"/>
            <w:vMerge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прогноз</w:t>
            </w:r>
          </w:p>
        </w:tc>
      </w:tr>
      <w:tr w:rsidR="0081370F" w:rsidRPr="0081370F" w:rsidTr="00421392">
        <w:trPr>
          <w:trHeight w:val="315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Развитие системы образования МГУ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Численность слушателей межфакультетских курсов или межфакультетских модулей МГУ (в том числе получивших сертификаты), тыс.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Численность обучающихся в МГУ по индивидуальным траекториям,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Доля обучающихся в МГУ, осваивающих образовательные программы с возможностью получения 2 дипломов,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Количество действующих в МГУ "школ юных", научных кружков, открытых лекториев и образовательных фестивалей для учащихся,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Количество реализованных сезонных школ и лагерей для учащихся в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Доля обновленных образовательных стандартов в общем количестве актуальных реализуемых образовательных стандартов, самостоятельно устанавливаемых МГУ (нарастающим итогом),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1370F" w:rsidRPr="0081370F" w:rsidTr="00421392">
        <w:trPr>
          <w:trHeight w:val="113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Количество практико-ориентированных программ дополнительного образования МГУ, отвечающих приоритетным направлениям развития Российской Федерации и запросам современного рынка труда, в том числе в рамках сетевого взаимодействия,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Количество организаций-работодателей, участвующих в реализации образовательных программ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Количество дополнительных образовательных программ МГУ, разработанных в целях повышения квалификации государственных гражданских служащих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81370F" w:rsidRPr="0081370F" w:rsidTr="00421392">
        <w:trPr>
          <w:trHeight w:val="56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Количество дополнительных образовательных программ МГУ, предлагаемых для работников сферы образования,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Количество работников реального сектора экономики, прошедших </w:t>
            </w:r>
            <w:proofErr w:type="gram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в МГУ, тыс.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81370F" w:rsidRPr="0081370F" w:rsidTr="00421392">
        <w:trPr>
          <w:trHeight w:val="571"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 Количество совместных мероприятий, проведенных при организационной поддержке МГУ под эгидой Общероссийской общественной организации "Российский Союз ректоров", Евразийской ассоциации университетов, Ассоциации классических университетов России, в том числе с использованием дистанционных технологий,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1370F" w:rsidRPr="0081370F" w:rsidTr="00421392">
        <w:trPr>
          <w:trHeight w:val="421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13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 плановые значения индикатора до корректировки от 20.04.2023 № 997</w:t>
            </w:r>
          </w:p>
        </w:tc>
      </w:tr>
      <w:tr w:rsidR="0081370F" w:rsidRPr="0081370F" w:rsidTr="00421392">
        <w:trPr>
          <w:trHeight w:val="372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1370F" w:rsidRPr="0081370F" w:rsidTr="00421392">
        <w:trPr>
          <w:trHeight w:val="96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Количество совместных образовательных, научно-исследовательских, инновационных и иных проектов МГУ с региональными вузами, в том числе в рамках научно-образовательных консорциумов "Вернадский",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81370F" w:rsidRPr="0081370F" w:rsidTr="00421392">
        <w:trPr>
          <w:trHeight w:val="90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 Количество сетевых образовательных программ МГУ (включая программы магистратуры и аспирантуры) с региональными вузами, в том числе в рамках научно-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консорциумов "Вернадский",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1370F" w:rsidRPr="0081370F" w:rsidTr="00421392">
        <w:trPr>
          <w:trHeight w:val="1191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 Количество аспирантов и научно-педагогических работников МГУ, направленных в региональные организации высшего образования и научные организации для участия в разработке и реализации образовательных программ, проведении научных исследований, создании и развитии научных школ,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1370F" w:rsidRPr="0081370F" w:rsidTr="00421392">
        <w:trPr>
          <w:trHeight w:val="79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 Количество обучающихся и научно-педагогических работников российских организаций высшего образования и научных организаций, прошедших стажировку в МГУ,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81370F" w:rsidRPr="0081370F" w:rsidTr="00421392">
        <w:trPr>
          <w:trHeight w:val="283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Развитие научно-исследовательской и инновационной деятельности МГУ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17*. Количество публикаций в высокорейтинговых журналах, индексируемых международными системами научного цитирования,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 Численность ведущих ученых, являющихся участниками новых форм организации фундаментальной науки в МГУ,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81370F" w:rsidRPr="0081370F" w:rsidTr="00421392">
        <w:trPr>
          <w:trHeight w:val="107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Количество зарегистрированных патентов на изобретения, полезные модели, промышленные образцы, программ для ЭВМ и баз данных, ноу-хау, предназначенных для использования в реальном секторе экономики и отраслях социальной сферы (в год),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 Количество актов научной коммуникации с организациями, на базе которых созданы установки класса "мегасайенс",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 Количество значимых научных результатов, полученных молодыми исследователями,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</w:tr>
      <w:tr w:rsidR="0081370F" w:rsidRPr="0081370F" w:rsidTr="00421392">
        <w:trPr>
          <w:trHeight w:val="283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Сохранение и приумножение МГУ российского научного и культурно-исторического наследия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22*. Количество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2674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 Количество зарубежных общеобразовательных организаций, в которых изучается русский язык или ведутся занятия на русском языке при методической поддержке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81370F" w:rsidRPr="0081370F" w:rsidTr="00421392">
        <w:trPr>
          <w:trHeight w:val="311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24*. Количество обучающихся по программам русского языка и на русском языке в зарубежных общеобразовательных организациях, реализующих образовательные программы при методической поддержке МГУ, человек.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 Количество мероприятий, проведенных за рубежом при методической поддержке МГУ с целью продвижения русского языка,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 Количество мероприятий, направленных на популяризацию родных языков и культур,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проведенных в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81370F" w:rsidRPr="0081370F" w:rsidTr="00421392">
        <w:trPr>
          <w:trHeight w:val="56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27. Количество участников мероприятий, направленных на популяризацию родных языков и культур, проведенных в МГУ,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81370F" w:rsidRPr="0081370F" w:rsidTr="00421392">
        <w:trPr>
          <w:trHeight w:val="330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Развитие человеческого потенциала, качества управления и социальной сферы МГУ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 Доля исследователей в возрасте до 39 лет в общей численности исследователей междисциплинарных научно-образовательных школ МГУ, %.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1370F" w:rsidRPr="0081370F" w:rsidTr="00421392">
        <w:trPr>
          <w:trHeight w:val="62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 Количество научно-педагогических работников, прошедших </w:t>
            </w:r>
            <w:proofErr w:type="gram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в МГУ, тыс.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 Количество мероприятий научной, научно-инновационной и научно-образовательной тематики, проведенных в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2 197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 Количество участников мероприятий научной, научно-инновационной и научно-образовательной тематики в МГУ,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18 070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 Количество научно-педагогических работников МГУ, получивших дополнительное профессиональное образование,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81370F" w:rsidRPr="0081370F" w:rsidTr="00421392">
        <w:trPr>
          <w:trHeight w:val="285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Развитие воспитательной работы в МГУ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 Численность обучающихся, вовлеченных в деятельность различных общественных объединений МГУ (нарастающим итогом),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19 200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 Доля обучающихся и работников МГУ, занимающихся волонтерской (добровольческой) деятельностью или вовлеченных в деятельность волонтерских (добровольческих) организаций,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1370F" w:rsidRPr="0081370F" w:rsidTr="00421392">
        <w:trPr>
          <w:trHeight w:val="96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 Количество участников олимпиад, универсиад и других интеллектуальных соревнований, проводимых МГУ с целью выявления, поддержки и развития способностей и талантов у детей и молодежи, тыс.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 Доля обучающихся и работников МГУ, систематически занимающихся физической культурой и спортом,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 Количество студенческих объединений, созданных с участием иностранных обучающихся,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 Количество оказанных кабинетами и службой психологической помощи консультаций по оказанию психологической помощи обучающимся, сотрудникам, абитуриентам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81370F" w:rsidRPr="0081370F" w:rsidTr="00421392">
        <w:trPr>
          <w:trHeight w:val="90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 Количество бесплатных концертов симфонической и классической музыки, проведенных для обучающихся и сотрудников МГУ, из цикла вечеров "Ректор Московского университета приглашает" (в год, не менее),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370F" w:rsidRPr="0081370F" w:rsidTr="00421392">
        <w:trPr>
          <w:trHeight w:val="630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Развитие глобальной конкурентоспособности МГУ как лидера системы высшего образования Российской Федерации</w:t>
            </w:r>
          </w:p>
        </w:tc>
      </w:tr>
      <w:tr w:rsidR="0081370F" w:rsidRPr="0081370F" w:rsidTr="00421392">
        <w:trPr>
          <w:trHeight w:val="283"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40. Количество межвузовских ассоциаций,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которых организационно поддерживается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13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 плановые значения индикатора до корректировки от 20.04.2023 № 997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1370F" w:rsidRPr="0081370F" w:rsidTr="00421392">
        <w:trPr>
          <w:trHeight w:val="96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 Количество мероприятий взаимодействия российских и иностранных обучающихся в рамках работы студенческих и молодежных организаций, организованных МГУ, в том числе с использованием дистанционных технологий,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 Количество образовательных программ высшего образования МГУ, на первый год обучения которых зачислены иностранные студенты,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13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 плановые значения индикатора до корректировки от 20.04.2023 № 997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 Доля зачетных единиц, отводимых на преподавание дисциплин на иностранных языках, в общем количестве зачетных единиц основных программ высшего образования МГУ,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 Численность иностранных граждан, обучающихся по программам МГУ, чел.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13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 плановые значения индикатора до корректировки от 20.04.2023 № 997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10464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11622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11600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 w:val="restart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 Доля иностранных специалистов, участвующих в реализации образовательной, научно-исследовательской и культурно-просветительской деятельности МГУ, в общей численности научно-педагогических работников,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13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 плановые значения индикатора до корректировки от 20.04.2023 № 997</w:t>
            </w:r>
          </w:p>
        </w:tc>
      </w:tr>
      <w:tr w:rsidR="0081370F" w:rsidRPr="0081370F" w:rsidTr="00421392">
        <w:trPr>
          <w:trHeight w:val="227"/>
        </w:trPr>
        <w:tc>
          <w:tcPr>
            <w:tcW w:w="4392" w:type="dxa"/>
            <w:vMerge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46*. Количество совместных образовательных программ МГУ с зарубежными партнерами, в том числе с использованием дистанционных образовательных технологий,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 Количество образовательных программ, реализуемых в зарубежных кампусах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 Доля иностранных граждан, принявших участие в олимпиадах, универсиадах и иных интеллектуальных мероприятиях, проводимых МГУ,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 Количество упоминаний МГУ в средствах массовой информации, тыс.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1523,9**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 Количество уникальных посетителей сайта msu.ru в информационно-телекоммуникационной сети "Интернет", млн.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 Количество подписчиков в социальных сетях МГУ и его структурных подразделений, тыс.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218,11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81370F" w:rsidRPr="0081370F" w:rsidTr="00421392">
        <w:trPr>
          <w:trHeight w:val="90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 Количество распространенных и опубликованных информационных материалов образовательных продуктов, результатов научных исследований, инновационной и экспертно-аналитической деятельности МГУ, ед.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492,48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53*. Наивысшая позиция МГУ (с точностью до 50) в ведущих мировых рейтингах (в общем списке), позиция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54*. Наивысшая позиция МГУ (с точностью до 50) в ведущих мировых предметных рейтингах,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позиция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55*. Наивысшая позиция МГУ (с точностью до 50) в ведущих мировых рейтингах Восточной Европы и Азии, позиция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vAlign w:val="center"/>
          </w:tcPr>
          <w:p w:rsidR="0081370F" w:rsidRPr="008A7047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1370F" w:rsidRPr="0081370F" w:rsidTr="00421392">
        <w:trPr>
          <w:trHeight w:val="510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Развитие образовательной, научно-исследовательской и социальной инфраструктуры, формирование комфортной и эффективной экосистемы МГУ мирового уровня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 Отношение объемов конкурсного финансирования исследований и разработок и финансирования научных исследований в рамках государственного задания МГУ, раз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57.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Количество объектов комплексной инфраструктуры </w:t>
            </w:r>
            <w:proofErr w:type="spellStart"/>
            <w:r w:rsidRPr="008137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прототипирования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, инжиниринга, опытного производства в МГУ,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58*. Количество научных журналов МГУ, индексируемых международными системами научного цитирования,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 Количество проведенных в МГУ мероприятий (с участием иностранных обучающихся) по поддержке трудоустройства,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1370F" w:rsidRPr="0081370F" w:rsidTr="00421392">
        <w:trPr>
          <w:trHeight w:val="96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 Реализация проекта преобразования инфраструктуры самостоятельной подготовки обучающихся МГУ в современные цифровые общественные пространства (</w:t>
            </w:r>
            <w:proofErr w:type="spell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коворкинги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(процентов максимально возможного количества помещений), %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61. Доля обучающихся и сотрудников МГУ, включенных в </w:t>
            </w:r>
            <w:proofErr w:type="spell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скрининговые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профилактические медицинские программы, %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25,65**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 Доля инфраструктуры МГУ, включенной в систему "цифровой кампус", %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 Доля инфраструктуры МГУ, включенной в систему "безопасный кампус", %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1370F" w:rsidRPr="0081370F" w:rsidTr="00421392">
        <w:trPr>
          <w:trHeight w:val="45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64. Количество </w:t>
            </w:r>
            <w:proofErr w:type="gram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разработанных</w:t>
            </w:r>
            <w:proofErr w:type="gram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МГУ и реализуемых массовых открытых онлайн-курсов,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 Количество пользователей платформы "Университет без границ", тыс. чел.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6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330**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81370F" w:rsidRPr="0081370F" w:rsidTr="00421392">
        <w:trPr>
          <w:trHeight w:val="68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 Доля сотрудников МГУ, прошедших периодический медицинский осмотр на базе медицинского научно-образовательного центра МГУ, %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81370F" w:rsidRPr="0081370F" w:rsidTr="00421392">
        <w:trPr>
          <w:trHeight w:val="1191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 Количество патентов на изобретение, полезную модель или промышленный образец, полученных в рамках разработки инновационных методов и сре</w:t>
            </w:r>
            <w:proofErr w:type="gram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офилактики, диагностики и лечения (в рамках государственного задания на осуществление научных исследований и разработок), ед.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</w:t>
            </w:r>
          </w:p>
        </w:tc>
      </w:tr>
      <w:tr w:rsidR="0081370F" w:rsidRPr="0081370F" w:rsidTr="00421392">
        <w:trPr>
          <w:trHeight w:val="510"/>
        </w:trPr>
        <w:tc>
          <w:tcPr>
            <w:tcW w:w="10207" w:type="dxa"/>
            <w:gridSpan w:val="14"/>
            <w:shd w:val="clear" w:color="000000" w:fill="D9D9D9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Реализация особо значимых мероприятий по развитию системы высшего образования и научной (научно-исследовательской) деятельности, имеющих общенациональное значение</w:t>
            </w:r>
          </w:p>
        </w:tc>
      </w:tr>
      <w:tr w:rsidR="0081370F" w:rsidRPr="0081370F" w:rsidTr="00421392">
        <w:trPr>
          <w:trHeight w:val="124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68. Количество научно-педагогических работников филиала МГУ в г. Сарове, имеющих государственные премии Российской Федерации, премии Президента Российской Федерации, премии Правительства Российской Федерации, научные премии из списка IREG и </w:t>
            </w: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премии,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69. Количество публикаций студентов и аспирантов филиала МГУ в г. Сарове в рецензируемых научных изданиях,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 Количество докладов студентов и аспирантов филиала МГУ в г. Сарове на всероссийских и международных конференциях, симпозиумах и семинарах, ед.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71. Доля выпускников (магистратура, </w:t>
            </w:r>
            <w:proofErr w:type="spell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филиала МГУ в г. Сарове в составе научно-педагогических работников МГУ и указанного филиала,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370F" w:rsidRPr="0081370F" w:rsidTr="00421392">
        <w:trPr>
          <w:trHeight w:val="249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72. </w:t>
            </w:r>
            <w:proofErr w:type="gram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филиала МГУ в г. Сарове в первые 2 года после окончания обучения, работающих в сферах науки, образования и высоких технологий, в том числе в Национальном центре физики и математики, федеральном государственном унитарном предприятии "Российский федеральный ядерный центр - Всероссийский научно-исследовательский институт экспериментальной физики", Государственной корпорации по атомной энергии "</w:t>
            </w:r>
            <w:proofErr w:type="spellStart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Росатом</w:t>
            </w:r>
            <w:proofErr w:type="spell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федеральном государственном бюджетном образовательном учреждении высшего образования "Московский государственный университет</w:t>
            </w:r>
            <w:proofErr w:type="gramEnd"/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М.В. Ломоносова", в общей численности выпускников, %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81370F" w:rsidRPr="0081370F" w:rsidTr="00421392">
        <w:trPr>
          <w:trHeight w:val="73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 Количество действующих в филиале МГУ в г. Грозном "школ юных", научных кружков, открытых лекториев и образовательных фестивалей для учащихся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1370F" w:rsidRPr="0081370F" w:rsidTr="00421392">
        <w:trPr>
          <w:trHeight w:val="907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 Численность обучающихся по договорам об оказании платных образовательных услуг, в том числе иностранных граждан, обучающихся по основным образовательным программам в филиале МГУ в г. Грозном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 Количество организаций-работодателей, участвующих в реализации образовательных программ в филиале МГУ в г. Грозном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1370F" w:rsidRPr="0081370F" w:rsidTr="00421392">
        <w:trPr>
          <w:trHeight w:val="510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 Количество организаций-работодателей, участвующих в реализации образовательных программ в филиале МГУ в г. Грозном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1370F" w:rsidRPr="0081370F" w:rsidTr="00421392">
        <w:trPr>
          <w:trHeight w:val="624"/>
        </w:trPr>
        <w:tc>
          <w:tcPr>
            <w:tcW w:w="4392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 Количество мероприятий, направленных на популяризацию родных языков и культур, проведенных в филиале МГУ в г. Грозном</w:t>
            </w:r>
          </w:p>
        </w:tc>
        <w:tc>
          <w:tcPr>
            <w:tcW w:w="779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*Индикатор приведен </w:t>
      </w:r>
      <w:proofErr w:type="spellStart"/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учитывается при оценке реализации программы.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**Предварительные данные, подлежащие уточнению.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Проекта отчета не достигнуты значения </w:t>
      </w:r>
      <w:r w:rsidR="00A46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показателей, в том числе </w:t>
      </w:r>
      <w:r w:rsidR="00A4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A460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 w:rsidR="00A460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учитыва</w:t>
      </w:r>
      <w:r w:rsidR="00A460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 оценке реализации Программы развития: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№ 48. «Доля иностранных граждан, принявших участие в олимпиадах, универсиадах и иных интеллектуальных мероприятиях, проводимых МГУ» (план – 8%, факт – 1,3%);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- № 56. «Отношение объемов конкурсного финансирования исследований и разработок и финансирования научных исследований в рамках государственного задания МГУ» (план –1,63 раз, факт – 1,3 раз).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- № 22*. «Количество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университетом», (план – 93 000 человек, факт – 1 300 человек);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фактические значения ряда индикаторов (например – 1, 4, 7, 9, 10, 11, 12, 13, 18, 27, 28, 31, 32, 34, 39, 40, 44, 47, 49, 21, 52, 57, 67) перевыполнены и превышают плановые значения 2030 года. Например, фактическое значение индикатора 7 «Количество практико-ориентированных программ дополнительного образования МГУ, отвечающих приоритетным направлениям развития Российской Федерации и запросам современного рынка труда, в том числе в рамках сетевого взаимодействия» в количестве 421 единицы в 23,7 раза превышает плановое значение отчетного года и в 18 раз значение 2030 года. Фактическое значение индикатора 9 «Количество дополнительных образовательных программ МГУ, разработанных в целях повышения квалификации государственных гражданских служащих» в количестве 67 единиц превышает плановые значения отчетного года и 2030 года в 3 раза и в 2 раза соответственно; по индикатору 32. «Количество научно-педагогических работников МГУ, получивших дополнительное профессиональное образование» превышение плановых значений составило 3 раза и 1,9 раза, по индикатору 47. «Количество образовательных программ, реализуемых в зарубежных кампусах МГУ» – 2,2 раза и 2,1 раза, и другие.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отклонения свидетельствуют о занижении базовых (стартовых) значений индикаторов, что в случае отрицательной динамики фактических значений в 2024-2030 годах позволит считать программу выполненной, а запланированные результаты </w:t>
      </w: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достигнутыми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МГУ в ведущих мировых рейтингах «Три миссии университета», ARWU, QS и THE (институциональных и предметных), с динамикой за последние пять лет указывают на снижение рейтинга вуза по трем позициям из пяти: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1206"/>
        <w:gridCol w:w="1238"/>
        <w:gridCol w:w="1264"/>
        <w:gridCol w:w="1161"/>
        <w:gridCol w:w="1127"/>
      </w:tblGrid>
      <w:tr w:rsidR="0081370F" w:rsidRPr="0081370F" w:rsidTr="00421392">
        <w:trPr>
          <w:tblHeader/>
          <w:jc w:val="center"/>
        </w:trPr>
        <w:tc>
          <w:tcPr>
            <w:tcW w:w="3361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Рейтинг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2024</w:t>
            </w:r>
          </w:p>
        </w:tc>
        <w:tc>
          <w:tcPr>
            <w:tcW w:w="1238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2023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2022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2021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81370F" w:rsidRPr="0081370F" w:rsidRDefault="0081370F" w:rsidP="0081370F">
            <w:pPr>
              <w:jc w:val="center"/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  <w:u w:color="000000"/>
              </w:rPr>
              <w:t>2020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Три Миссии Университета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17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17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18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19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21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QS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94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87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78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78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74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 xml:space="preserve">Предметные рейтинги </w:t>
            </w: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QS</w:t>
            </w: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lastRenderedPageBreak/>
              <w:t>(Естественные науки)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lastRenderedPageBreak/>
              <w:t>33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22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21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21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lastRenderedPageBreak/>
              <w:t>THE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107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95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158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174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189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proofErr w:type="spellStart"/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Репутационные</w:t>
            </w:r>
            <w:proofErr w:type="spellEnd"/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 xml:space="preserve"> рейтинги </w:t>
            </w: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THE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34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35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37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38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37</w:t>
            </w:r>
          </w:p>
        </w:tc>
      </w:tr>
      <w:tr w:rsidR="0081370F" w:rsidRPr="0081370F" w:rsidTr="00421392">
        <w:trPr>
          <w:jc w:val="center"/>
        </w:trPr>
        <w:tc>
          <w:tcPr>
            <w:tcW w:w="3361" w:type="dxa"/>
          </w:tcPr>
          <w:p w:rsidR="0081370F" w:rsidRPr="0081370F" w:rsidRDefault="0081370F" w:rsidP="0081370F">
            <w:pPr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ARWU</w:t>
            </w:r>
          </w:p>
        </w:tc>
        <w:tc>
          <w:tcPr>
            <w:tcW w:w="1206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101</w:t>
            </w:r>
          </w:p>
        </w:tc>
        <w:tc>
          <w:tcPr>
            <w:tcW w:w="1238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101</w:t>
            </w:r>
          </w:p>
        </w:tc>
        <w:tc>
          <w:tcPr>
            <w:tcW w:w="1264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  <w:t>97</w:t>
            </w:r>
          </w:p>
        </w:tc>
        <w:tc>
          <w:tcPr>
            <w:tcW w:w="1161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93</w:t>
            </w:r>
          </w:p>
        </w:tc>
        <w:tc>
          <w:tcPr>
            <w:tcW w:w="1127" w:type="dxa"/>
            <w:vAlign w:val="center"/>
          </w:tcPr>
          <w:p w:rsidR="0081370F" w:rsidRPr="0081370F" w:rsidRDefault="0081370F" w:rsidP="0081370F">
            <w:pPr>
              <w:jc w:val="right"/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</w:rPr>
            </w:pPr>
            <w:r w:rsidRPr="0081370F">
              <w:rPr>
                <w:rFonts w:ascii="Helvetica Neue" w:hAnsi="Helvetica Neue" w:cs="Times New Roman"/>
                <w:bCs/>
                <w:color w:val="000000"/>
                <w:sz w:val="20"/>
                <w:szCs w:val="20"/>
                <w:u w:color="000000"/>
                <w:lang w:val="en-US"/>
              </w:rPr>
              <w:t>87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реализуется за счет бюджетного и внебюджетного финансирования.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Программы за счет средств федерального бюджета предусмотрено в рамках реализации мероприятия по поддержке образовательных организаций высшего образования с целью формирования группы университетов - национальных лидеров для формирования научного, технологического и кадрового обеспечения экономики и социальной сферы, повышения глобальной конкурентоспособности системы высшего образования и содействия региональному развитию федерального проекта «Развитие интеграционных процессов в сфере науки, высшего образования и индустрии» национального проекта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«Наука и университеты».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Программе развития МГУ объем финансового обеспечения мероприятий, предусмотренных к реализации в 2024 году, составляет 3 000 000,0 тыс. рублей, в том числе за счет средств федерального бюджета 1 700 000,0 тыс. рублей, из которых в части обеспечения научной и образовательной деятельности филиала МГУ в г. Сарове 150 000,0 тыс. рублей и филиала МГУ в г. Грозный 250 000,0 тыс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540-ФЗ бюджетные ассигнования на предоставление МГУ субсидии на реализацию Программы развития утверждены в объеме 1 129 135,1 тыс. рублей, субсидия доведена в полном объеме. Объем бюджетных ассигнований, предусмотренный сводной бюджетной росписью, составил 1 190 974,6 тыс. рублей, кассовое исполнение ГРБС – 100%.</w:t>
      </w:r>
    </w:p>
    <w:p w:rsidR="0081370F" w:rsidRPr="0081370F" w:rsidRDefault="0081370F" w:rsidP="008137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Данные о предусмотренных и исполненных Университетом бюджетных ассигнованиях на реализацию Программы развития МГУ представлены в таблице. </w:t>
      </w:r>
    </w:p>
    <w:p w:rsidR="0081370F" w:rsidRPr="0081370F" w:rsidRDefault="0081370F" w:rsidP="0081370F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586" w:type="dxa"/>
        <w:jc w:val="center"/>
        <w:tblLook w:val="04A0" w:firstRow="1" w:lastRow="0" w:firstColumn="1" w:lastColumn="0" w:noHBand="0" w:noVBand="1"/>
      </w:tblPr>
      <w:tblGrid>
        <w:gridCol w:w="3341"/>
        <w:gridCol w:w="993"/>
        <w:gridCol w:w="1238"/>
        <w:gridCol w:w="1166"/>
        <w:gridCol w:w="1271"/>
        <w:gridCol w:w="851"/>
        <w:gridCol w:w="779"/>
      </w:tblGrid>
      <w:tr w:rsidR="0081370F" w:rsidRPr="0081370F" w:rsidTr="00421392">
        <w:trPr>
          <w:trHeight w:val="448"/>
          <w:tblHeader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федерального проекта (ФП)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КБК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466-ФЗ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СБР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Кассовое исполнение</w:t>
            </w:r>
          </w:p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(ГРБС)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к 540-ФЗ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к СБР</w:t>
            </w:r>
          </w:p>
        </w:tc>
      </w:tr>
      <w:tr w:rsidR="0081370F" w:rsidRPr="0081370F" w:rsidTr="00421392">
        <w:trPr>
          <w:trHeight w:val="300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ФП «Развитие интеграционных процессов в сфере науки, высшего образования и индустрии» (</w:t>
            </w: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386 0706 47 2 S4 12100 612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1 129 135,1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1 190 974,6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1 190 974,6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70F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финансовом обеспечении Программы развития в разрезе реализуемых задач и источников финансирования:</w:t>
      </w:r>
    </w:p>
    <w:p w:rsidR="008A7047" w:rsidRDefault="008A7047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047" w:rsidRPr="0081370F" w:rsidRDefault="008A7047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рублей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270"/>
        <w:gridCol w:w="850"/>
        <w:gridCol w:w="851"/>
        <w:gridCol w:w="708"/>
        <w:gridCol w:w="851"/>
        <w:gridCol w:w="850"/>
        <w:gridCol w:w="709"/>
        <w:gridCol w:w="851"/>
        <w:gridCol w:w="850"/>
        <w:gridCol w:w="709"/>
      </w:tblGrid>
      <w:tr w:rsidR="0081370F" w:rsidRPr="0081370F" w:rsidTr="00421392">
        <w:trPr>
          <w:trHeight w:val="20"/>
          <w:tblHeader/>
        </w:trPr>
        <w:tc>
          <w:tcPr>
            <w:tcW w:w="42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задачи</w:t>
            </w:r>
          </w:p>
        </w:tc>
        <w:tc>
          <w:tcPr>
            <w:tcW w:w="7229" w:type="dxa"/>
            <w:gridSpan w:val="9"/>
            <w:shd w:val="clear" w:color="auto" w:fill="F2F2F2" w:themeFill="background1" w:themeFillShade="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финансового обеспечения в 2024 году</w:t>
            </w:r>
          </w:p>
        </w:tc>
      </w:tr>
      <w:tr w:rsidR="0081370F" w:rsidRPr="0081370F" w:rsidTr="00421392">
        <w:trPr>
          <w:trHeight w:val="20"/>
          <w:tblHeader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Целевая субсидия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81370F" w:rsidRPr="0081370F" w:rsidTr="00421392">
        <w:trPr>
          <w:trHeight w:val="20"/>
          <w:tblHeader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 МГУ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187,0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научно-исследовательской и инновационной деятельности МГУ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и приумножение МГУ российского научного и культурно-исторического наследия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человеческого потенциала, качества управления и социальной сферы МГУ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77,7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воспитательной работы в МГУ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глобальной конкурентоспособности МГУ как лидера системы высш</w:t>
            </w:r>
            <w:r w:rsidR="007C13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 образования Российской Феде</w:t>
            </w: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образовательной, научно-исследовательской и социальной инфраструктуры, формирование комфортной и эффективной экосистемы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323,3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124,3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особо значимых мероприятий по развитию системы высшего образования и научной (научно-исследовательской) деятельности, имеющих общенациональное значение, всего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1370F" w:rsidRPr="0081370F" w:rsidTr="00421392">
        <w:trPr>
          <w:trHeight w:val="20"/>
        </w:trPr>
        <w:tc>
          <w:tcPr>
            <w:tcW w:w="424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Итого*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3 164,5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1 191,0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1 973,5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151,8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объем финансового обеспечения Программы развития в 2024 году обеспечен на 105,5%, в том числе за счет субсидии – на 70,1%, за счет внебюджетных средств – на 151,8%.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низкое исполнение обеспечено в рамках выполнения задачи «Развитие глобальной конкурентоспособности МГУ как лидера системы высшего образования Российской Федерации» – 48,9%, в том числе за счет субсидии – на 33,3%, за счет внебюджетных средств – на 67,3%.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характеризующие объем принятых и исполненных в 2024 году Университетом, как получателем субсидий из федерального бюджета, обязательствах по федеральному проекту, согласно данным формы бухгалтерской отчетности «Отчет об обязательствах учреждения (по национальным проектам)» (ф. 0503738-НП), приведены в таблице.</w:t>
      </w:r>
    </w:p>
    <w:p w:rsidR="0081370F" w:rsidRPr="0081370F" w:rsidRDefault="0081370F" w:rsidP="0081370F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Тыс. рублей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60"/>
        <w:gridCol w:w="1166"/>
        <w:gridCol w:w="666"/>
        <w:gridCol w:w="1206"/>
        <w:gridCol w:w="1202"/>
        <w:gridCol w:w="1262"/>
        <w:gridCol w:w="627"/>
        <w:gridCol w:w="1098"/>
      </w:tblGrid>
      <w:tr w:rsidR="0081370F" w:rsidRPr="0081370F" w:rsidTr="00421392">
        <w:trPr>
          <w:trHeight w:val="448"/>
          <w:tblHeader/>
          <w:jc w:val="center"/>
        </w:trPr>
        <w:tc>
          <w:tcPr>
            <w:tcW w:w="1700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Вид расходов </w:t>
            </w:r>
          </w:p>
        </w:tc>
        <w:tc>
          <w:tcPr>
            <w:tcW w:w="760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КБК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Утверждено плановых назначений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Доля в общем объеме, %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Принятые обязательства,</w:t>
            </w:r>
          </w:p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Денежные обязательства</w:t>
            </w:r>
          </w:p>
        </w:tc>
        <w:tc>
          <w:tcPr>
            <w:tcW w:w="1262" w:type="dxa"/>
            <w:shd w:val="clear" w:color="auto" w:fill="F2F2F2" w:themeFill="background1" w:themeFillShade="F2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Исполнено денежных обязательств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Доля в общем объеме, %</w:t>
            </w:r>
          </w:p>
        </w:tc>
        <w:tc>
          <w:tcPr>
            <w:tcW w:w="1098" w:type="dxa"/>
            <w:shd w:val="clear" w:color="auto" w:fill="F2F2F2" w:themeFill="background1" w:themeFillShade="F2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6" w:right="-1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 исполнено принятых обязательств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«Развитие интеграционных процессов в сфере науки, высшего образования и индустрии» </w:t>
            </w: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386 0706 47 2 S4 12100 612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1 688 596,4 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1 678 389,4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1 462 667,5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1 462 667,5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b/>
                <w:sz w:val="18"/>
                <w:szCs w:val="18"/>
              </w:rPr>
              <w:t>215 721,9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587 614,0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587 547,3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587 547,3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587 547,3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2 527,1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2 527,1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2 527,1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2 527,1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281,9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281,9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281,9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281,9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159 744,4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159 744,4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159 744,4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159 744,4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 и услуг в целях капитального ремонта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298 861,7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298 605,0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90 471,3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90 471,3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208 133,6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553 114,0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543 230,4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535 642,1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535 642,1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7 588,2</w:t>
            </w:r>
          </w:p>
        </w:tc>
      </w:tr>
      <w:tr w:rsidR="0081370F" w:rsidRPr="0081370F" w:rsidTr="00421392">
        <w:trPr>
          <w:trHeight w:val="20"/>
          <w:jc w:val="center"/>
        </w:trPr>
        <w:tc>
          <w:tcPr>
            <w:tcW w:w="170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Стипендии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86 453,2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5,1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86 453,2</w:t>
            </w:r>
          </w:p>
        </w:tc>
        <w:tc>
          <w:tcPr>
            <w:tcW w:w="627" w:type="dxa"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370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в 1 462 667,5тыс. рублей, в том числе за счет остатка предыдущих лет – 293 749,2 тыс. рублей. Неисполненный остаток субсидии составил 215 721,9тыс. рублей.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кассовых расходов расходы на оплату труда и начисления на выплаты по оплате труда составили 750 100,8 тыс. рублей или 51,3% общего объема расходов (в 2023 году – 593 701,9 тыс. рублей или 30,3 %) расходы на капитальный ремонт государственного имущества – 90 471,3 тыс. рублей или 6,2 % (в 2023 году – 3,2 %), расходы на прочую закупку товаров, работ и услуг – 535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642,1 тыс. рублей или 36,6 % (в 2023 году – 40,7 %), стипендии (специальные стипендии) – 86 453,2тыс. рублей или 5,9 % (в 2023 году – 2,8%). 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Неисполненный остаток субсидии сложился по расходам на капитальный ремонт государственного имущества – 208 133,6 тыс. рублей (69,6 % плановых назначений) и расходам на прочую закупку товаров, работ и услуг – 7 588,2 тыс. рублей (1,4 %).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пункта 66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отчетности», утвержденного приказом Минфина России от 28 февраля 2018 г. № 37н, «Консолидированные Отчет об обязательствах учреждения, Отчет об обязательствах учреждения по национальным проектам составляются головным учреждением на основании соответственно Отчетов об </w:t>
      </w: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учреждения, Отчетов об обязательствах учреждения по национальным проектам, составленных и представленных</w:t>
      </w:r>
      <w:proofErr w:type="gramEnd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обособленными подразделениями, путем суммирования одноименных показателей Отчетов об обязательствах учреждения, включаемых в состав соответственно консолидированных Отчета об обязательствах учреждения, Отчета об обязательствах учреждения по национальным проектам».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49.1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г. № 33н, «Головное учреждение составляет сводный Отчет (ф. 0503738-НП) на основании Отчетов (ф. 0503738-НП), составленных и представленных обособленными подразделениями, путем суммирования одноименных показателей Отчетов (ф. 0503738-НП), включаемых в состав сводного Отчета (ф. 0503738-НП)».</w:t>
      </w:r>
      <w:proofErr w:type="gramEnd"/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установлено, что обособленные подразделения МГУ не составляют отчеты по форме 0503738-НП и не представляют их для свода в центральную бухгалтерию.</w:t>
      </w: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пояснениям сводные данные по МГУ, включенные в форму № 0503738-НП, сформированы центральной бухгалтерией на основании отчетов о состоянии отдельного лицевого счета обособленного подразделения (ф. 0531966). В 2024 году отчеты об обязательствах по национальным проектам не представили 26 обособленных структурных подразделений, наделенных правом ведения бухгалтерского учета, центральная бухгалтерия и два филиала МГУ, в том числе:</w:t>
      </w:r>
    </w:p>
    <w:p w:rsidR="0081370F" w:rsidRPr="0056022D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193"/>
        <w:gridCol w:w="1134"/>
        <w:gridCol w:w="1134"/>
        <w:gridCol w:w="991"/>
        <w:gridCol w:w="1134"/>
        <w:gridCol w:w="1134"/>
        <w:gridCol w:w="1276"/>
        <w:gridCol w:w="1417"/>
      </w:tblGrid>
      <w:tr w:rsidR="0081370F" w:rsidRPr="0081370F" w:rsidTr="00421392">
        <w:trPr>
          <w:trHeight w:val="300"/>
          <w:tblHeader/>
        </w:trPr>
        <w:tc>
          <w:tcPr>
            <w:tcW w:w="1218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1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факультеты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410 728 351,62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10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111 624 114,14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522 352 465,76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Центр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107 930 366,96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27 986 269,33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27 702 506,56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272 548 601,63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436 167 744,48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Центр (ост)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62 768 842,71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196 643 404,41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259 412 247,12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Саров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68 888 600,22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20 134 039,00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2 527 117,28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281 924,30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86 453 225,81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32 113 214,50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210 398 121,11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Саров (ост)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1 805 734,76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1 805 734,76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Грозный (ост)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32 531 188,87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32 531 188,87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3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587 547 318,80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10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159 744 422,47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2 527 117,28</w:t>
            </w:r>
          </w:p>
        </w:tc>
        <w:tc>
          <w:tcPr>
            <w:tcW w:w="991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281 924,30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90 471 349,27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86 453 225,81</w:t>
            </w:r>
          </w:p>
        </w:tc>
        <w:tc>
          <w:tcPr>
            <w:tcW w:w="1276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535 642 144,17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109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1 462 667 502,10</w:t>
            </w:r>
          </w:p>
        </w:tc>
      </w:tr>
      <w:tr w:rsidR="0081370F" w:rsidRPr="0081370F" w:rsidTr="00421392">
        <w:trPr>
          <w:trHeight w:val="300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ind w:left="-49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т.ч. остатки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293 749 170,75</w:t>
            </w:r>
          </w:p>
        </w:tc>
      </w:tr>
    </w:tbl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:rsid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26 обособленных структурных подразделений МГУ расходовали субсидию исключительно на оплату труда и начисления на оплату труда:</w:t>
      </w:r>
    </w:p>
    <w:p w:rsidR="008A7047" w:rsidRDefault="008A7047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047" w:rsidRPr="0081370F" w:rsidRDefault="008A7047" w:rsidP="008137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0F" w:rsidRPr="0081370F" w:rsidRDefault="0081370F" w:rsidP="0081370F">
      <w:pPr>
        <w:overflowPunct w:val="0"/>
        <w:autoSpaceDE w:val="0"/>
        <w:autoSpaceDN w:val="0"/>
        <w:adjustRightInd w:val="0"/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Рублей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2286"/>
        <w:gridCol w:w="2126"/>
        <w:gridCol w:w="2818"/>
      </w:tblGrid>
      <w:tr w:rsidR="0081370F" w:rsidRPr="0081370F" w:rsidTr="00421392">
        <w:trPr>
          <w:trHeight w:val="20"/>
          <w:tblHeader/>
        </w:trPr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6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18" w:type="dxa"/>
            <w:shd w:val="clear" w:color="auto" w:fill="F2F2F2" w:themeFill="background1" w:themeFillShade="F2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21 331 549,00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5 762 714,90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27 094 263,90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Биологический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50 163 871,62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13 618 152,49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63 782 024,11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Почвоведения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11 175 050,00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3 359 865,10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14 534 915,10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Геологический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17 192 102,00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4 564 095,54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21 756 197,54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Мех-мат</w:t>
            </w:r>
            <w:proofErr w:type="gramEnd"/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27 442 280,00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7 166 816,12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34 609 096,12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ВМК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17 582 750,00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4 670 256,16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22 253 006,16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61 173 812,00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16 682 928,88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77 856 740,88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Химический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70 707 992,00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18 734 274,27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89 442 266,27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Социологический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1 455 500,00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325 109,98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1 780 609,98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Чашниково</w:t>
            </w:r>
            <w:proofErr w:type="spellEnd"/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14 500,00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64 500,00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Юридический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5 609 500,00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1 216 926,11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6 826 426,11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Экономический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12 332 690,00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2 822 152,26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15 154 842,26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СУНЦ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112 294,09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507 294,09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ФНМ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3 020 029,00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666 726,93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3 686 755,93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ВШП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32 695,00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197 695,00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ФКИ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10 200 830,00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2 981 096,89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13 181 926,89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ФББ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381 325,41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1 746 325,41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Севастополь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2 612 694,00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771 756,98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3 384 450,98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МНОЦ (МНОИ)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22 451 087,00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6 757 427,85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29 208 514,85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НИВЦ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22 369 250,00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6 232 403,05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28 601 653,05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НИИ Механики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10 090 500,00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2 803 016,10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12 893 516,10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НИИЯФ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16 013 902,00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4 509 256,91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20 523 158,91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ВШГАудита</w:t>
            </w:r>
            <w:proofErr w:type="spellEnd"/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34 730,00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149 730,00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ГАИШ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7 766 460,00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2 337 070,92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10 103 530,92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НИИ Белозер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15 463 503,00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4 396 328,05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19 859 831,05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Институт ИИ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2 483 000,00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670 194,15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3 153 194,15</w:t>
            </w:r>
          </w:p>
        </w:tc>
      </w:tr>
      <w:tr w:rsidR="0081370F" w:rsidRPr="0081370F" w:rsidTr="00421392">
        <w:trPr>
          <w:trHeight w:val="20"/>
        </w:trPr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8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410 728 351,62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111 624 114,14</w:t>
            </w:r>
          </w:p>
        </w:tc>
        <w:tc>
          <w:tcPr>
            <w:tcW w:w="2818" w:type="dxa"/>
            <w:shd w:val="clear" w:color="auto" w:fill="FFFFFF" w:themeFill="background1"/>
            <w:noWrap/>
            <w:vAlign w:val="center"/>
            <w:hideMark/>
          </w:tcPr>
          <w:p w:rsidR="0081370F" w:rsidRPr="0081370F" w:rsidRDefault="0081370F" w:rsidP="0081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522 352 465,76</w:t>
            </w:r>
          </w:p>
        </w:tc>
      </w:tr>
    </w:tbl>
    <w:p w:rsidR="0081370F" w:rsidRPr="000941E4" w:rsidRDefault="0081370F" w:rsidP="00094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sectPr w:rsidR="0081370F" w:rsidRPr="000941E4" w:rsidSect="006657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A6" w:rsidRDefault="004916A6" w:rsidP="000941E4">
      <w:pPr>
        <w:spacing w:after="0" w:line="240" w:lineRule="auto"/>
      </w:pPr>
      <w:r>
        <w:separator/>
      </w:r>
    </w:p>
  </w:endnote>
  <w:endnote w:type="continuationSeparator" w:id="0">
    <w:p w:rsidR="004916A6" w:rsidRDefault="004916A6" w:rsidP="0009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A6" w:rsidRDefault="004916A6" w:rsidP="000941E4">
      <w:pPr>
        <w:spacing w:after="0" w:line="240" w:lineRule="auto"/>
      </w:pPr>
      <w:r>
        <w:separator/>
      </w:r>
    </w:p>
  </w:footnote>
  <w:footnote w:type="continuationSeparator" w:id="0">
    <w:p w:rsidR="004916A6" w:rsidRDefault="004916A6" w:rsidP="000941E4">
      <w:pPr>
        <w:spacing w:after="0" w:line="240" w:lineRule="auto"/>
      </w:pPr>
      <w:r>
        <w:continuationSeparator/>
      </w:r>
    </w:p>
  </w:footnote>
  <w:footnote w:id="1">
    <w:p w:rsidR="004916A6" w:rsidRPr="00322C46" w:rsidRDefault="004916A6" w:rsidP="00322C46">
      <w:pPr>
        <w:pStyle w:val="a3"/>
        <w:jc w:val="both"/>
        <w:rPr>
          <w:rFonts w:ascii="Times New Roman" w:hAnsi="Times New Roman" w:cs="Times New Roman"/>
        </w:rPr>
      </w:pPr>
      <w:r w:rsidRPr="00322C46">
        <w:rPr>
          <w:rStyle w:val="a5"/>
          <w:rFonts w:ascii="Times New Roman" w:hAnsi="Times New Roman" w:cs="Times New Roman"/>
        </w:rPr>
        <w:footnoteRef/>
      </w:r>
      <w:r w:rsidRPr="00322C46">
        <w:rPr>
          <w:rFonts w:ascii="Times New Roman" w:hAnsi="Times New Roman" w:cs="Times New Roman"/>
        </w:rPr>
        <w:t xml:space="preserve"> Программа развития МГУ согласована распоряжением Правительства Российской Федерации от 7 июня 2021 г. № 1494-р «О согласовании программы развития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 до 2030 года. Согласно пункту 6.2. Устава МГУ в полномочия Правительства Российской Федерации включено «утверждение Программы развития Московского университета».</w:t>
      </w:r>
    </w:p>
  </w:footnote>
  <w:footnote w:id="2">
    <w:p w:rsidR="004916A6" w:rsidRPr="000941E4" w:rsidRDefault="004916A6" w:rsidP="00322C46">
      <w:pPr>
        <w:pStyle w:val="a3"/>
        <w:jc w:val="both"/>
        <w:rPr>
          <w:rFonts w:ascii="Times New Roman" w:hAnsi="Times New Roman" w:cs="Times New Roman"/>
        </w:rPr>
      </w:pPr>
      <w:r w:rsidRPr="00322C46">
        <w:rPr>
          <w:rStyle w:val="a5"/>
          <w:rFonts w:ascii="Times New Roman" w:hAnsi="Times New Roman" w:cs="Times New Roman"/>
        </w:rPr>
        <w:footnoteRef/>
      </w:r>
      <w:r w:rsidRPr="00322C46">
        <w:rPr>
          <w:rFonts w:ascii="Times New Roman" w:hAnsi="Times New Roman" w:cs="Times New Roman"/>
        </w:rPr>
        <w:t xml:space="preserve"> Распоряжения Правительства Российской Федерации от 22 декабря 2021 г. № 3764-р и от 20 апреля 2023 г. № 997-р.</w:t>
      </w:r>
    </w:p>
  </w:footnote>
  <w:footnote w:id="3">
    <w:p w:rsidR="004916A6" w:rsidRPr="0081370F" w:rsidRDefault="004916A6" w:rsidP="0081370F">
      <w:pPr>
        <w:pStyle w:val="a3"/>
        <w:jc w:val="both"/>
        <w:rPr>
          <w:rFonts w:ascii="Times New Roman" w:hAnsi="Times New Roman" w:cs="Times New Roman"/>
        </w:rPr>
      </w:pPr>
      <w:r w:rsidRPr="0081370F">
        <w:rPr>
          <w:rStyle w:val="a5"/>
          <w:rFonts w:ascii="Times New Roman" w:hAnsi="Times New Roman" w:cs="Times New Roman"/>
        </w:rPr>
        <w:footnoteRef/>
      </w:r>
      <w:r w:rsidRPr="0081370F">
        <w:rPr>
          <w:rFonts w:ascii="Times New Roman" w:hAnsi="Times New Roman" w:cs="Times New Roman"/>
        </w:rPr>
        <w:t xml:space="preserve"> 10 вновь включенных индикаторов характеризуют выполнение задачи «Реализация особо значимых мероприятий по развитию системы высшего образования и научной (научно-исследовательской) деятельности, имеющих общенациональное значение», связанной с открытием филиалов в г. Сарове и г. Грозном.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535554"/>
      <w:docPartObj>
        <w:docPartGallery w:val="Page Numbers (Top of Page)"/>
        <w:docPartUnique/>
      </w:docPartObj>
    </w:sdtPr>
    <w:sdtEndPr/>
    <w:sdtContent>
      <w:p w:rsidR="004916A6" w:rsidRDefault="004916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0A">
          <w:rPr>
            <w:noProof/>
          </w:rPr>
          <w:t>15</w:t>
        </w:r>
        <w:r>
          <w:fldChar w:fldCharType="end"/>
        </w:r>
      </w:p>
    </w:sdtContent>
  </w:sdt>
  <w:p w:rsidR="004916A6" w:rsidRDefault="004916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B40"/>
    <w:multiLevelType w:val="multilevel"/>
    <w:tmpl w:val="B140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8385F"/>
    <w:multiLevelType w:val="multilevel"/>
    <w:tmpl w:val="C34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027FB"/>
    <w:multiLevelType w:val="multilevel"/>
    <w:tmpl w:val="25D8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23F89"/>
    <w:multiLevelType w:val="hybridMultilevel"/>
    <w:tmpl w:val="17A2238E"/>
    <w:lvl w:ilvl="0" w:tplc="B60A4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96A44"/>
    <w:multiLevelType w:val="multilevel"/>
    <w:tmpl w:val="1DF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C4A45"/>
    <w:multiLevelType w:val="multilevel"/>
    <w:tmpl w:val="DF1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7192F"/>
    <w:multiLevelType w:val="multilevel"/>
    <w:tmpl w:val="9F0E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831EB"/>
    <w:multiLevelType w:val="multilevel"/>
    <w:tmpl w:val="9D9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9717A"/>
    <w:multiLevelType w:val="hybridMultilevel"/>
    <w:tmpl w:val="001CAB48"/>
    <w:lvl w:ilvl="0" w:tplc="DDC6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7063A2"/>
    <w:multiLevelType w:val="hybridMultilevel"/>
    <w:tmpl w:val="24CA9EB8"/>
    <w:lvl w:ilvl="0" w:tplc="E7B2544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E06397"/>
    <w:multiLevelType w:val="hybridMultilevel"/>
    <w:tmpl w:val="C570FBE4"/>
    <w:lvl w:ilvl="0" w:tplc="35F2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2F0B36"/>
    <w:multiLevelType w:val="multilevel"/>
    <w:tmpl w:val="89A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D20CE9"/>
    <w:multiLevelType w:val="multilevel"/>
    <w:tmpl w:val="FB34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DE6F9F"/>
    <w:multiLevelType w:val="multilevel"/>
    <w:tmpl w:val="DC28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A961D6"/>
    <w:multiLevelType w:val="hybridMultilevel"/>
    <w:tmpl w:val="7C2C2E48"/>
    <w:lvl w:ilvl="0" w:tplc="FDB21FF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967592"/>
    <w:multiLevelType w:val="hybridMultilevel"/>
    <w:tmpl w:val="36A01FCE"/>
    <w:lvl w:ilvl="0" w:tplc="1294F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811143"/>
    <w:multiLevelType w:val="multilevel"/>
    <w:tmpl w:val="BDFC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2"/>
  </w:num>
  <w:num w:numId="13">
    <w:abstractNumId w:val="0"/>
  </w:num>
  <w:num w:numId="14">
    <w:abstractNumId w:val="8"/>
  </w:num>
  <w:num w:numId="15">
    <w:abstractNumId w:val="1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31"/>
    <w:rsid w:val="000941E4"/>
    <w:rsid w:val="000C5E8A"/>
    <w:rsid w:val="001F05A3"/>
    <w:rsid w:val="00322C46"/>
    <w:rsid w:val="00421392"/>
    <w:rsid w:val="004916A6"/>
    <w:rsid w:val="0056022D"/>
    <w:rsid w:val="00665766"/>
    <w:rsid w:val="006944BD"/>
    <w:rsid w:val="006B290A"/>
    <w:rsid w:val="007C1353"/>
    <w:rsid w:val="0081370F"/>
    <w:rsid w:val="008A7047"/>
    <w:rsid w:val="00927C31"/>
    <w:rsid w:val="009A15D5"/>
    <w:rsid w:val="00A460BB"/>
    <w:rsid w:val="00A62053"/>
    <w:rsid w:val="00B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41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41E4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qFormat/>
    <w:rsid w:val="000941E4"/>
    <w:rPr>
      <w:vertAlign w:val="superscript"/>
    </w:rPr>
  </w:style>
  <w:style w:type="table" w:styleId="a6">
    <w:name w:val="Table Grid"/>
    <w:basedOn w:val="a1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70F"/>
  </w:style>
  <w:style w:type="paragraph" w:styleId="a9">
    <w:name w:val="footer"/>
    <w:basedOn w:val="a"/>
    <w:link w:val="aa"/>
    <w:uiPriority w:val="99"/>
    <w:unhideWhenUsed/>
    <w:rsid w:val="0081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70F"/>
  </w:style>
  <w:style w:type="table" w:customStyle="1" w:styleId="2">
    <w:name w:val="Сетка таблицы2"/>
    <w:basedOn w:val="a1"/>
    <w:next w:val="a6"/>
    <w:uiPriority w:val="59"/>
    <w:rsid w:val="008137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1370F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39"/>
    <w:rsid w:val="0081370F"/>
    <w:pPr>
      <w:spacing w:after="0" w:line="240" w:lineRule="auto"/>
    </w:pPr>
    <w:rPr>
      <w:rFonts w:eastAsia="Helvetica Neue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370F"/>
    <w:rPr>
      <w:rFonts w:ascii="Tahoma" w:hAnsi="Tahoma" w:cs="Tahoma"/>
      <w:sz w:val="16"/>
      <w:szCs w:val="16"/>
    </w:rPr>
  </w:style>
  <w:style w:type="paragraph" w:customStyle="1" w:styleId="1">
    <w:name w:val="Знак сноски1"/>
    <w:basedOn w:val="a"/>
    <w:link w:val="a5"/>
    <w:uiPriority w:val="99"/>
    <w:rsid w:val="0081370F"/>
    <w:pPr>
      <w:spacing w:after="0" w:line="240" w:lineRule="auto"/>
    </w:pPr>
    <w:rPr>
      <w:vertAlign w:val="superscript"/>
    </w:rPr>
  </w:style>
  <w:style w:type="table" w:customStyle="1" w:styleId="11">
    <w:name w:val="Сетка таблицы11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81370F"/>
  </w:style>
  <w:style w:type="paragraph" w:customStyle="1" w:styleId="ConsPlusNormal">
    <w:name w:val="ConsPlusNormal"/>
    <w:rsid w:val="0081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1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customStyle="1" w:styleId="3">
    <w:name w:val="Сетка таблицы3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8137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813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0"/>
    <w:rsid w:val="00813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">
    <w:name w:val="Гиперссылка1"/>
    <w:basedOn w:val="a0"/>
    <w:uiPriority w:val="99"/>
    <w:unhideWhenUsed/>
    <w:rsid w:val="0081370F"/>
    <w:rPr>
      <w:color w:val="0563C1"/>
      <w:u w:val="single"/>
    </w:rPr>
  </w:style>
  <w:style w:type="paragraph" w:styleId="ae">
    <w:name w:val="Normal (Web)"/>
    <w:basedOn w:val="a"/>
    <w:uiPriority w:val="99"/>
    <w:unhideWhenUsed/>
    <w:rsid w:val="0081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3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semiHidden/>
    <w:unhideWhenUsed/>
    <w:rsid w:val="0081370F"/>
    <w:rPr>
      <w:color w:val="0000FF" w:themeColor="hyperlink"/>
      <w:u w:val="single"/>
    </w:rPr>
  </w:style>
  <w:style w:type="paragraph" w:customStyle="1" w:styleId="Default">
    <w:name w:val="Default"/>
    <w:rsid w:val="00813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ardmaininfopurchaselink">
    <w:name w:val="cardmaininfo__purchaselink"/>
    <w:rsid w:val="0081370F"/>
  </w:style>
  <w:style w:type="table" w:customStyle="1" w:styleId="4">
    <w:name w:val="Сетка таблицы4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41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41E4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qFormat/>
    <w:rsid w:val="000941E4"/>
    <w:rPr>
      <w:vertAlign w:val="superscript"/>
    </w:rPr>
  </w:style>
  <w:style w:type="table" w:styleId="a6">
    <w:name w:val="Table Grid"/>
    <w:basedOn w:val="a1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70F"/>
  </w:style>
  <w:style w:type="paragraph" w:styleId="a9">
    <w:name w:val="footer"/>
    <w:basedOn w:val="a"/>
    <w:link w:val="aa"/>
    <w:uiPriority w:val="99"/>
    <w:unhideWhenUsed/>
    <w:rsid w:val="0081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70F"/>
  </w:style>
  <w:style w:type="table" w:customStyle="1" w:styleId="2">
    <w:name w:val="Сетка таблицы2"/>
    <w:basedOn w:val="a1"/>
    <w:next w:val="a6"/>
    <w:uiPriority w:val="59"/>
    <w:rsid w:val="008137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1370F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39"/>
    <w:rsid w:val="0081370F"/>
    <w:pPr>
      <w:spacing w:after="0" w:line="240" w:lineRule="auto"/>
    </w:pPr>
    <w:rPr>
      <w:rFonts w:eastAsia="Helvetica Neue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370F"/>
    <w:rPr>
      <w:rFonts w:ascii="Tahoma" w:hAnsi="Tahoma" w:cs="Tahoma"/>
      <w:sz w:val="16"/>
      <w:szCs w:val="16"/>
    </w:rPr>
  </w:style>
  <w:style w:type="paragraph" w:customStyle="1" w:styleId="1">
    <w:name w:val="Знак сноски1"/>
    <w:basedOn w:val="a"/>
    <w:link w:val="a5"/>
    <w:uiPriority w:val="99"/>
    <w:rsid w:val="0081370F"/>
    <w:pPr>
      <w:spacing w:after="0" w:line="240" w:lineRule="auto"/>
    </w:pPr>
    <w:rPr>
      <w:vertAlign w:val="superscript"/>
    </w:rPr>
  </w:style>
  <w:style w:type="table" w:customStyle="1" w:styleId="11">
    <w:name w:val="Сетка таблицы11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81370F"/>
  </w:style>
  <w:style w:type="paragraph" w:customStyle="1" w:styleId="ConsPlusNormal">
    <w:name w:val="ConsPlusNormal"/>
    <w:rsid w:val="0081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13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customStyle="1" w:styleId="3">
    <w:name w:val="Сетка таблицы3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8137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813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0"/>
    <w:rsid w:val="00813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">
    <w:name w:val="Гиперссылка1"/>
    <w:basedOn w:val="a0"/>
    <w:uiPriority w:val="99"/>
    <w:unhideWhenUsed/>
    <w:rsid w:val="0081370F"/>
    <w:rPr>
      <w:color w:val="0563C1"/>
      <w:u w:val="single"/>
    </w:rPr>
  </w:style>
  <w:style w:type="paragraph" w:styleId="ae">
    <w:name w:val="Normal (Web)"/>
    <w:basedOn w:val="a"/>
    <w:uiPriority w:val="99"/>
    <w:unhideWhenUsed/>
    <w:rsid w:val="0081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3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semiHidden/>
    <w:unhideWhenUsed/>
    <w:rsid w:val="0081370F"/>
    <w:rPr>
      <w:color w:val="0000FF" w:themeColor="hyperlink"/>
      <w:u w:val="single"/>
    </w:rPr>
  </w:style>
  <w:style w:type="paragraph" w:customStyle="1" w:styleId="Default">
    <w:name w:val="Default"/>
    <w:rsid w:val="00813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ardmaininfopurchaselink">
    <w:name w:val="cardmaininfo__purchaselink"/>
    <w:rsid w:val="0081370F"/>
  </w:style>
  <w:style w:type="table" w:customStyle="1" w:styleId="4">
    <w:name w:val="Сетка таблицы4"/>
    <w:basedOn w:val="a1"/>
    <w:next w:val="a6"/>
    <w:uiPriority w:val="39"/>
    <w:rsid w:val="0081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94B6-723F-47E2-98D6-53F02C3C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4999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Н.В.</dc:creator>
  <cp:keywords/>
  <dc:description/>
  <cp:lastModifiedBy>Чернышева Н.В.</cp:lastModifiedBy>
  <cp:revision>11</cp:revision>
  <dcterms:created xsi:type="dcterms:W3CDTF">2025-03-03T09:46:00Z</dcterms:created>
  <dcterms:modified xsi:type="dcterms:W3CDTF">2025-04-15T14:22:00Z</dcterms:modified>
</cp:coreProperties>
</file>