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4086B" w:rsidRPr="00C4086B" w:rsidRDefault="00C4086B" w:rsidP="00C4086B">
      <w:pPr>
        <w:spacing w:before="330"/>
        <w:ind w:left="163" w:right="161"/>
        <w:jc w:val="right"/>
        <w:rPr>
          <w:bCs/>
          <w:color w:val="000000"/>
          <w:sz w:val="31"/>
          <w:szCs w:val="31"/>
        </w:rPr>
      </w:pPr>
      <w:r w:rsidRPr="00C4086B">
        <w:rPr>
          <w:bCs/>
          <w:color w:val="000000"/>
          <w:sz w:val="31"/>
          <w:szCs w:val="31"/>
        </w:rPr>
        <w:t>Приложение № 2</w:t>
      </w:r>
    </w:p>
    <w:p w:rsidR="00C4086B" w:rsidRDefault="00C4086B">
      <w:pPr>
        <w:spacing w:before="330"/>
        <w:ind w:left="163" w:right="161"/>
        <w:jc w:val="center"/>
        <w:rPr>
          <w:b/>
          <w:bCs/>
          <w:color w:val="000000"/>
          <w:sz w:val="31"/>
          <w:szCs w:val="31"/>
        </w:rPr>
      </w:pPr>
    </w:p>
    <w:p w:rsidR="00664E11" w:rsidRDefault="00833D40">
      <w:pPr>
        <w:spacing w:before="330"/>
        <w:ind w:left="163" w:right="161"/>
        <w:jc w:val="center"/>
        <w:rPr>
          <w:rFonts w:cstheme="minorBidi"/>
          <w:sz w:val="24"/>
          <w:szCs w:val="24"/>
        </w:rPr>
      </w:pPr>
      <w:r>
        <w:rPr>
          <w:b/>
          <w:bCs/>
          <w:color w:val="000000"/>
          <w:sz w:val="31"/>
          <w:szCs w:val="31"/>
        </w:rPr>
        <w:t>КАРТА ИТОГОВ КОНТРОЛЬНОГО МЕРОПРИЯТИЯ</w:t>
      </w:r>
    </w:p>
    <w:p w:rsidR="00664E11" w:rsidRDefault="00664E11">
      <w:pPr>
        <w:ind w:left="163" w:right="161"/>
        <w:jc w:val="center"/>
        <w:rPr>
          <w:rFonts w:cstheme="minorBidi"/>
          <w:sz w:val="24"/>
          <w:szCs w:val="24"/>
        </w:rPr>
      </w:pPr>
    </w:p>
    <w:p w:rsidR="00664E11" w:rsidRDefault="00833D40">
      <w:pPr>
        <w:ind w:left="163" w:right="161"/>
        <w:jc w:val="center"/>
        <w:rPr>
          <w:color w:val="000000"/>
          <w:sz w:val="28"/>
          <w:szCs w:val="28"/>
        </w:rPr>
      </w:pPr>
      <w:r>
        <w:rPr>
          <w:color w:val="000000"/>
          <w:sz w:val="28"/>
          <w:szCs w:val="28"/>
        </w:rPr>
        <w:t>План работы на 2025 год пункт 3.9.0.2, сроки проведения 1 марта 2024 – 12 февраля 2025, проверяемый период 1 Января 2019 – 31 Декабря 2023, контрольное мероприятие «Аудит реализации мероприятий государственной программы Российской Федерации «Социально-экономическое развитие Республики Крым и г. Севастополя» по развитию электросетевого комплекса, осуществленных акционерным обществом «</w:t>
      </w:r>
      <w:proofErr w:type="spellStart"/>
      <w:r>
        <w:rPr>
          <w:color w:val="000000"/>
          <w:sz w:val="28"/>
          <w:szCs w:val="28"/>
        </w:rPr>
        <w:t>Крымэнерго</w:t>
      </w:r>
      <w:proofErr w:type="spellEnd"/>
      <w:r>
        <w:rPr>
          <w:color w:val="000000"/>
          <w:sz w:val="28"/>
          <w:szCs w:val="28"/>
        </w:rPr>
        <w:t>» в 2019–2023 годах»</w:t>
      </w:r>
    </w:p>
    <w:p w:rsidR="00C4086B" w:rsidRDefault="00C4086B">
      <w:pPr>
        <w:ind w:left="163" w:right="161"/>
        <w:jc w:val="center"/>
        <w:rPr>
          <w:rFonts w:cstheme="minorBidi"/>
          <w:sz w:val="24"/>
          <w:szCs w:val="24"/>
        </w:rPr>
      </w:pPr>
    </w:p>
    <w:tbl>
      <w:tblPr>
        <w:tblW w:w="0" w:type="auto"/>
        <w:tblCellMar>
          <w:left w:w="0" w:type="dxa"/>
          <w:right w:w="0" w:type="dxa"/>
        </w:tblCellMar>
        <w:tblLook w:val="04A0" w:firstRow="1" w:lastRow="0" w:firstColumn="1" w:lastColumn="0" w:noHBand="0" w:noVBand="1"/>
      </w:tblPr>
      <w:tblGrid>
        <w:gridCol w:w="29"/>
        <w:gridCol w:w="150"/>
        <w:gridCol w:w="1305"/>
        <w:gridCol w:w="555"/>
        <w:gridCol w:w="450"/>
        <w:gridCol w:w="1590"/>
        <w:gridCol w:w="1815"/>
        <w:gridCol w:w="450"/>
        <w:gridCol w:w="1995"/>
        <w:gridCol w:w="270"/>
        <w:gridCol w:w="30"/>
        <w:gridCol w:w="2490"/>
        <w:gridCol w:w="1065"/>
        <w:gridCol w:w="1245"/>
        <w:gridCol w:w="1515"/>
        <w:gridCol w:w="150"/>
        <w:gridCol w:w="15"/>
        <w:gridCol w:w="15"/>
      </w:tblGrid>
      <w:tr w:rsidR="00664E11">
        <w:trPr>
          <w:trHeight w:hRule="exact" w:val="150"/>
        </w:trPr>
        <w:tc>
          <w:tcPr>
            <w:tcW w:w="2039" w:type="dxa"/>
            <w:gridSpan w:val="4"/>
            <w:tcBorders>
              <w:top w:val="nil"/>
              <w:left w:val="nil"/>
              <w:bottom w:val="nil"/>
              <w:right w:val="nil"/>
            </w:tcBorders>
          </w:tcPr>
          <w:p w:rsidR="00664E11" w:rsidRDefault="00664E11">
            <w:pPr>
              <w:rPr>
                <w:rFonts w:cstheme="minorBidi"/>
                <w:sz w:val="1"/>
                <w:szCs w:val="1"/>
              </w:rPr>
            </w:pPr>
          </w:p>
        </w:tc>
        <w:tc>
          <w:tcPr>
            <w:tcW w:w="2040" w:type="dxa"/>
            <w:gridSpan w:val="2"/>
            <w:tcBorders>
              <w:top w:val="nil"/>
              <w:left w:val="nil"/>
              <w:bottom w:val="nil"/>
              <w:right w:val="nil"/>
            </w:tcBorders>
          </w:tcPr>
          <w:p w:rsidR="00664E11" w:rsidRDefault="00664E11">
            <w:pPr>
              <w:rPr>
                <w:rFonts w:cstheme="minorBidi"/>
                <w:sz w:val="1"/>
                <w:szCs w:val="1"/>
              </w:rPr>
            </w:pPr>
          </w:p>
        </w:tc>
        <w:tc>
          <w:tcPr>
            <w:tcW w:w="2265" w:type="dxa"/>
            <w:gridSpan w:val="2"/>
            <w:tcBorders>
              <w:top w:val="nil"/>
              <w:left w:val="nil"/>
              <w:bottom w:val="nil"/>
              <w:right w:val="nil"/>
            </w:tcBorders>
          </w:tcPr>
          <w:p w:rsidR="00664E11" w:rsidRDefault="00664E11">
            <w:pPr>
              <w:rPr>
                <w:rFonts w:cstheme="minorBidi"/>
                <w:sz w:val="1"/>
                <w:szCs w:val="1"/>
              </w:rPr>
            </w:pPr>
          </w:p>
        </w:tc>
        <w:tc>
          <w:tcPr>
            <w:tcW w:w="2265" w:type="dxa"/>
            <w:gridSpan w:val="2"/>
            <w:tcBorders>
              <w:top w:val="nil"/>
              <w:left w:val="nil"/>
              <w:bottom w:val="nil"/>
              <w:right w:val="nil"/>
            </w:tcBorders>
          </w:tcPr>
          <w:p w:rsidR="00664E11" w:rsidRDefault="00664E11">
            <w:pPr>
              <w:rPr>
                <w:rFonts w:cstheme="minorBidi"/>
                <w:sz w:val="1"/>
                <w:szCs w:val="1"/>
              </w:rPr>
            </w:pPr>
          </w:p>
        </w:tc>
        <w:tc>
          <w:tcPr>
            <w:tcW w:w="3585" w:type="dxa"/>
            <w:gridSpan w:val="3"/>
            <w:tcBorders>
              <w:top w:val="nil"/>
              <w:left w:val="nil"/>
              <w:bottom w:val="nil"/>
              <w:right w:val="nil"/>
            </w:tcBorders>
          </w:tcPr>
          <w:p w:rsidR="00664E11" w:rsidRDefault="00664E11">
            <w:pPr>
              <w:rPr>
                <w:rFonts w:cstheme="minorBidi"/>
                <w:sz w:val="1"/>
                <w:szCs w:val="1"/>
              </w:rPr>
            </w:pPr>
          </w:p>
        </w:tc>
        <w:tc>
          <w:tcPr>
            <w:tcW w:w="1245" w:type="dxa"/>
            <w:tcBorders>
              <w:top w:val="nil"/>
              <w:left w:val="nil"/>
              <w:bottom w:val="nil"/>
              <w:right w:val="nil"/>
            </w:tcBorders>
          </w:tcPr>
          <w:p w:rsidR="00664E11" w:rsidRDefault="00664E11">
            <w:pPr>
              <w:rPr>
                <w:rFonts w:cstheme="minorBidi"/>
                <w:sz w:val="1"/>
                <w:szCs w:val="1"/>
              </w:rPr>
            </w:pPr>
          </w:p>
        </w:tc>
        <w:tc>
          <w:tcPr>
            <w:tcW w:w="1695" w:type="dxa"/>
            <w:gridSpan w:val="4"/>
            <w:tcBorders>
              <w:top w:val="nil"/>
              <w:left w:val="nil"/>
              <w:bottom w:val="nil"/>
              <w:right w:val="nil"/>
            </w:tcBorders>
          </w:tcPr>
          <w:p w:rsidR="00664E11" w:rsidRDefault="00664E11">
            <w:pPr>
              <w:rPr>
                <w:rFonts w:cstheme="minorBidi"/>
                <w:sz w:val="1"/>
                <w:szCs w:val="1"/>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Объект контроля</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664E11" w:rsidRDefault="00833D40">
            <w:pPr>
              <w:spacing w:after="160" w:line="258" w:lineRule="auto"/>
              <w:jc w:val="center"/>
              <w:rPr>
                <w:rFonts w:cstheme="minorBidi"/>
                <w:color w:val="000000"/>
              </w:rPr>
            </w:pPr>
            <w:r>
              <w:rPr>
                <w:rFonts w:cstheme="minorBidi"/>
                <w:color w:val="000000"/>
              </w:rPr>
              <w:t>Главный распорядитель бюджетных средств</w:t>
            </w:r>
            <w:proofErr w:type="gramStart"/>
            <w:r>
              <w:rPr>
                <w:rFonts w:cstheme="minorBidi"/>
                <w:b/>
                <w:bCs/>
                <w:color w:val="000000"/>
                <w:vertAlign w:val="superscript"/>
                <w:lang w:val="en-US" w:eastAsia="en-US"/>
              </w:rPr>
              <w:t>1</w:t>
            </w:r>
            <w:proofErr w:type="gramEnd"/>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Положения и реквизиты нормативных правовых актов, являющиеся правовым основанием квалификации нарушения</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245" w:type="dxa"/>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Сумма</w:t>
            </w:r>
            <w:r>
              <w:rPr>
                <w:color w:val="000000"/>
                <w:sz w:val="19"/>
                <w:szCs w:val="19"/>
              </w:rPr>
              <w:br/>
              <w:t>(тыс. рублей)</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Реквизиты протокола об административной ответственности</w:t>
            </w:r>
          </w:p>
        </w:tc>
      </w:tr>
      <w:tr w:rsidR="00664E11">
        <w:trPr>
          <w:trHeight w:val="300"/>
        </w:trPr>
        <w:tc>
          <w:tcPr>
            <w:tcW w:w="2039" w:type="dxa"/>
            <w:gridSpan w:val="4"/>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1</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2</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3</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4</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5</w:t>
            </w:r>
          </w:p>
        </w:tc>
        <w:tc>
          <w:tcPr>
            <w:tcW w:w="1245" w:type="dxa"/>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6</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color w:val="000000"/>
                <w:sz w:val="19"/>
                <w:szCs w:val="19"/>
              </w:rPr>
            </w:pPr>
            <w:r>
              <w:rPr>
                <w:color w:val="000000"/>
                <w:sz w:val="19"/>
                <w:szCs w:val="19"/>
              </w:rPr>
              <w:t>7</w:t>
            </w:r>
          </w:p>
        </w:tc>
      </w:tr>
      <w:tr w:rsidR="00664E11">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664E11" w:rsidRDefault="00833D40">
            <w:pPr>
              <w:rPr>
                <w:b/>
                <w:bCs/>
                <w:color w:val="000000"/>
                <w:sz w:val="19"/>
                <w:szCs w:val="19"/>
              </w:rPr>
            </w:pPr>
            <w:r>
              <w:rPr>
                <w:b/>
                <w:bCs/>
                <w:color w:val="000000"/>
                <w:sz w:val="19"/>
                <w:szCs w:val="19"/>
              </w:rPr>
              <w:t>1. Нарушения согласно Классификатору нарушений, выявленных в ходе внешнего государственного аудита (контроля)</w:t>
            </w: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Федеральный закон от 06.12.2011 № 402-ФЗ  "О бухгалтерском учете", /статья 9 Федерального закона от 06 декабря 2011 г. № 402-ФЗ «О бухгалтерском учете</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2.2 Нарушение требований, предъявляемых к оформлению фактов хозяйственной жизни экономического субъекта первичными учетными документами</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rsidP="00590109">
            <w:pPr>
              <w:jc w:val="center"/>
              <w:rPr>
                <w:color w:val="000000"/>
                <w:sz w:val="19"/>
                <w:szCs w:val="19"/>
              </w:rPr>
            </w:pPr>
            <w:r>
              <w:rPr>
                <w:color w:val="000000"/>
                <w:sz w:val="19"/>
                <w:szCs w:val="19"/>
              </w:rPr>
              <w:t xml:space="preserve">2515104576. </w:t>
            </w:r>
            <w:proofErr w:type="gramStart"/>
            <w:r>
              <w:rPr>
                <w:color w:val="000000"/>
                <w:sz w:val="19"/>
                <w:szCs w:val="19"/>
              </w:rPr>
              <w:t>Минэнерго России не обеспечено выполнение требований статьи 9 Федерального закона от 6 декабря 2011 г. № 402-ФЗ «О бухгалтерском учете», в соответствии с которой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а если это не представляется возможным – непосредственно после его окончания.</w:t>
            </w:r>
            <w:proofErr w:type="gramEnd"/>
            <w:r>
              <w:rPr>
                <w:color w:val="000000"/>
                <w:sz w:val="19"/>
                <w:szCs w:val="19"/>
              </w:rPr>
              <w:br/>
              <w:t xml:space="preserve">Так, по состоянию на 1 января 2024 года Минэнерго России не оформлены первичные учетные документы для отражения в регистрах бюджетного учета фактов хозяйственной жизни, связанных с </w:t>
            </w:r>
            <w:r>
              <w:rPr>
                <w:color w:val="000000"/>
                <w:sz w:val="19"/>
                <w:szCs w:val="19"/>
              </w:rPr>
              <w:lastRenderedPageBreak/>
              <w:t xml:space="preserve">принятием решений о не проведении строительно-монтажных работ и прекращением реализации в рамках бюджетных инвестиций двух объектов «Строительство заходов на ПС 220 </w:t>
            </w:r>
            <w:proofErr w:type="spellStart"/>
            <w:r>
              <w:rPr>
                <w:color w:val="000000"/>
                <w:sz w:val="19"/>
                <w:szCs w:val="19"/>
              </w:rPr>
              <w:t>кВ</w:t>
            </w:r>
            <w:proofErr w:type="spellEnd"/>
            <w:r>
              <w:rPr>
                <w:color w:val="000000"/>
                <w:sz w:val="19"/>
                <w:szCs w:val="19"/>
              </w:rPr>
              <w:t xml:space="preserve"> Титан и ПС 330 </w:t>
            </w:r>
            <w:proofErr w:type="spellStart"/>
            <w:r>
              <w:rPr>
                <w:color w:val="000000"/>
                <w:sz w:val="19"/>
                <w:szCs w:val="19"/>
              </w:rPr>
              <w:t>кВ</w:t>
            </w:r>
            <w:proofErr w:type="spellEnd"/>
            <w:r>
              <w:rPr>
                <w:color w:val="000000"/>
                <w:sz w:val="19"/>
                <w:szCs w:val="19"/>
              </w:rPr>
              <w:t xml:space="preserve"> Джанкой с образованием </w:t>
            </w:r>
            <w:proofErr w:type="gramStart"/>
            <w:r>
              <w:rPr>
                <w:color w:val="000000"/>
                <w:sz w:val="19"/>
                <w:szCs w:val="19"/>
              </w:rPr>
              <w:t>ВЛ</w:t>
            </w:r>
            <w:proofErr w:type="gramEnd"/>
            <w:r>
              <w:rPr>
                <w:color w:val="000000"/>
                <w:sz w:val="19"/>
                <w:szCs w:val="19"/>
              </w:rPr>
              <w:t xml:space="preserve"> 220 </w:t>
            </w:r>
            <w:proofErr w:type="spellStart"/>
            <w:r>
              <w:rPr>
                <w:color w:val="000000"/>
                <w:sz w:val="19"/>
                <w:szCs w:val="19"/>
              </w:rPr>
              <w:t>кВ</w:t>
            </w:r>
            <w:proofErr w:type="spellEnd"/>
            <w:r>
              <w:rPr>
                <w:color w:val="000000"/>
                <w:sz w:val="19"/>
                <w:szCs w:val="19"/>
              </w:rPr>
              <w:t xml:space="preserve"> Джанкой–Титан из участка </w:t>
            </w:r>
            <w:proofErr w:type="gramStart"/>
            <w:r>
              <w:rPr>
                <w:color w:val="000000"/>
                <w:sz w:val="19"/>
                <w:szCs w:val="19"/>
              </w:rPr>
              <w:t>ВЛ</w:t>
            </w:r>
            <w:proofErr w:type="gramEnd"/>
            <w:r>
              <w:rPr>
                <w:color w:val="000000"/>
                <w:sz w:val="19"/>
                <w:szCs w:val="19"/>
              </w:rPr>
              <w:t xml:space="preserve"> 330 </w:t>
            </w:r>
            <w:proofErr w:type="spellStart"/>
            <w:r>
              <w:rPr>
                <w:color w:val="000000"/>
                <w:sz w:val="19"/>
                <w:szCs w:val="19"/>
              </w:rPr>
              <w:t>кВ</w:t>
            </w:r>
            <w:proofErr w:type="spellEnd"/>
            <w:r>
              <w:rPr>
                <w:color w:val="000000"/>
                <w:sz w:val="19"/>
                <w:szCs w:val="19"/>
              </w:rPr>
              <w:t xml:space="preserve"> Каховская–Джанкой (в том числе ПИР)» (далее также – ПС Джанкой) на сумму 399 412,4 тыс. рублей и «Строительство СМПР и УСВИ ПТК СМПР на электросетевых объектах Крымского полуострова (в том числе ПИР)» (далее также – Строительство СМПР) на сумму 110 378,0 тыс. рублей.</w:t>
            </w:r>
            <w:r>
              <w:rPr>
                <w:color w:val="000000"/>
                <w:sz w:val="19"/>
                <w:szCs w:val="19"/>
              </w:rPr>
              <w:br/>
              <w:t xml:space="preserve">В соответствии с протоколом совещания у заместителя Министра энергетики Российской Федерации </w:t>
            </w:r>
            <w:proofErr w:type="spellStart"/>
            <w:r>
              <w:rPr>
                <w:color w:val="000000"/>
                <w:sz w:val="19"/>
                <w:szCs w:val="19"/>
              </w:rPr>
              <w:t>Грабчака</w:t>
            </w:r>
            <w:proofErr w:type="spellEnd"/>
            <w:r>
              <w:rPr>
                <w:color w:val="000000"/>
                <w:sz w:val="19"/>
                <w:szCs w:val="19"/>
              </w:rPr>
              <w:t xml:space="preserve"> Е.</w:t>
            </w:r>
            <w:r w:rsidR="00590109">
              <w:rPr>
                <w:color w:val="000000"/>
                <w:sz w:val="19"/>
                <w:szCs w:val="19"/>
              </w:rPr>
              <w:t>П</w:t>
            </w:r>
            <w:r>
              <w:rPr>
                <w:color w:val="000000"/>
                <w:sz w:val="19"/>
                <w:szCs w:val="19"/>
              </w:rPr>
              <w:t xml:space="preserve">. от 27 апреля 2021 г. № ЕГ-129пр отмечена целесообразность строительства СМПР за счет средств субъектов электроэнергетики и решено считать возможным перераспределение средств федерального бюджета на другие объекты при условии подтверждения целесообразности и эффективности принятых технических решений. Также в соответствии с протоколом совещания у заместителя Министра энергетики Российской Федерации </w:t>
            </w:r>
            <w:proofErr w:type="spellStart"/>
            <w:r>
              <w:rPr>
                <w:color w:val="000000"/>
                <w:sz w:val="19"/>
                <w:szCs w:val="19"/>
              </w:rPr>
              <w:t>Грабчака</w:t>
            </w:r>
            <w:proofErr w:type="spellEnd"/>
            <w:r>
              <w:rPr>
                <w:color w:val="000000"/>
                <w:sz w:val="19"/>
                <w:szCs w:val="19"/>
              </w:rPr>
              <w:t xml:space="preserve"> Е.</w:t>
            </w:r>
            <w:r w:rsidR="00590109">
              <w:rPr>
                <w:color w:val="000000"/>
                <w:sz w:val="19"/>
                <w:szCs w:val="19"/>
              </w:rPr>
              <w:t>П</w:t>
            </w:r>
            <w:r>
              <w:rPr>
                <w:color w:val="000000"/>
                <w:sz w:val="19"/>
                <w:szCs w:val="19"/>
              </w:rPr>
              <w:t xml:space="preserve">. от 8 июня 2022 г. № ЕГ-164пр принято решение о нецелесообразности дальнейшей реализации объекта ПС Джанкой. </w:t>
            </w:r>
            <w:r>
              <w:rPr>
                <w:color w:val="000000"/>
                <w:sz w:val="19"/>
                <w:szCs w:val="19"/>
              </w:rPr>
              <w:br/>
            </w:r>
            <w:proofErr w:type="gramStart"/>
            <w:r>
              <w:rPr>
                <w:color w:val="000000"/>
                <w:sz w:val="19"/>
                <w:szCs w:val="19"/>
              </w:rPr>
              <w:t>Перечнем объектов капитального строительства акционерного общества «</w:t>
            </w:r>
            <w:proofErr w:type="spellStart"/>
            <w:r>
              <w:rPr>
                <w:color w:val="000000"/>
                <w:sz w:val="19"/>
                <w:szCs w:val="19"/>
              </w:rPr>
              <w:t>Крымэнерго</w:t>
            </w:r>
            <w:proofErr w:type="spellEnd"/>
            <w:r>
              <w:rPr>
                <w:color w:val="000000"/>
                <w:sz w:val="19"/>
                <w:szCs w:val="19"/>
              </w:rPr>
              <w:t xml:space="preserve">», в которые осуществляются бюджетные инвестиции в рамках государственной программы Российской Федерации «Социально-экономическое развитие Республики Крым и г. Севастополя», утвержденной постановлением Правительства Российской Федерации от 30 января 2019 г. № 63», утвержденным приказом Минэнерго России от 17 октября 2022 г. № 1126, не </w:t>
            </w:r>
            <w:r>
              <w:rPr>
                <w:color w:val="000000"/>
                <w:sz w:val="19"/>
                <w:szCs w:val="19"/>
              </w:rPr>
              <w:lastRenderedPageBreak/>
              <w:t>предусмотрено строительство объекта ПС Джанкой (соответствующий контракт на строительство указанного объекта расторгнут), а</w:t>
            </w:r>
            <w:proofErr w:type="gramEnd"/>
            <w:r>
              <w:rPr>
                <w:color w:val="000000"/>
                <w:sz w:val="19"/>
                <w:szCs w:val="19"/>
              </w:rPr>
              <w:t xml:space="preserve"> реализация объекта Строительство СМПР предусматривается за счет средств субъектов электроэнергетики.</w:t>
            </w:r>
            <w:r>
              <w:rPr>
                <w:color w:val="000000"/>
                <w:sz w:val="19"/>
                <w:szCs w:val="19"/>
              </w:rPr>
              <w:br/>
            </w:r>
            <w:proofErr w:type="gramStart"/>
            <w:r>
              <w:rPr>
                <w:color w:val="000000"/>
                <w:sz w:val="19"/>
                <w:szCs w:val="19"/>
              </w:rPr>
              <w:t xml:space="preserve">Несмотря на то, что с момента совершения указанных фактов хозяйственной жизни прошло более 2 и 3 лет соответственно и приняты решения о прекращении их реализации за счет средств федерального бюджета по состоянию на 1 января 2024 года, согласно данным </w:t>
            </w:r>
            <w:proofErr w:type="spellStart"/>
            <w:r>
              <w:rPr>
                <w:color w:val="000000"/>
                <w:sz w:val="19"/>
                <w:szCs w:val="19"/>
              </w:rPr>
              <w:t>оборотно</w:t>
            </w:r>
            <w:proofErr w:type="spellEnd"/>
            <w:r>
              <w:rPr>
                <w:color w:val="000000"/>
                <w:sz w:val="19"/>
                <w:szCs w:val="19"/>
              </w:rPr>
              <w:t xml:space="preserve">-сальдовой ведомости, на </w:t>
            </w:r>
            <w:proofErr w:type="spellStart"/>
            <w:r>
              <w:rPr>
                <w:color w:val="000000"/>
                <w:sz w:val="19"/>
                <w:szCs w:val="19"/>
              </w:rPr>
              <w:t>забалансовом</w:t>
            </w:r>
            <w:proofErr w:type="spellEnd"/>
            <w:r>
              <w:rPr>
                <w:color w:val="000000"/>
                <w:sz w:val="19"/>
                <w:szCs w:val="19"/>
              </w:rPr>
              <w:t xml:space="preserve"> счете 42 «Бюджетные инвестиции, реализуемые организациями» отражены суммы объемов произведенных бюджетных инвестиций.</w:t>
            </w:r>
            <w:proofErr w:type="gramEnd"/>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509 790,4</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proofErr w:type="gramStart"/>
            <w:r>
              <w:rPr>
                <w:color w:val="000000"/>
                <w:sz w:val="19"/>
                <w:szCs w:val="19"/>
              </w:rPr>
              <w:t xml:space="preserve">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w:t>
            </w:r>
            <w:r>
              <w:rPr>
                <w:color w:val="000000"/>
                <w:sz w:val="19"/>
                <w:szCs w:val="19"/>
              </w:rPr>
              <w:lastRenderedPageBreak/>
              <w:t>государственных академий наук, государственных</w:t>
            </w:r>
            <w:proofErr w:type="gramEnd"/>
            <w:r>
              <w:rPr>
                <w:color w:val="000000"/>
                <w:sz w:val="19"/>
                <w:szCs w:val="19"/>
              </w:rPr>
              <w:t xml:space="preserve"> (муниципальных) учреждений и Инструкции по его применению».</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2.11 Нарушение требований, предъявляемых к правилам ведения бюджетного (бухгалтерского) учета</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 xml:space="preserve">2505704206. </w:t>
            </w:r>
            <w:proofErr w:type="gramStart"/>
            <w:r>
              <w:rPr>
                <w:color w:val="000000"/>
                <w:sz w:val="19"/>
                <w:szCs w:val="19"/>
              </w:rPr>
              <w:t>В нарушение требований пункта 393 Инструкции о применении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1 декабря 2010 г. № 157н (далее – Инструкция № 157н), в соответствии с которым выбытие показателей объемов бюджетных инвестиций, реализуемых организациями (объемов целевых капитальных</w:t>
            </w:r>
            <w:proofErr w:type="gramEnd"/>
            <w:r>
              <w:rPr>
                <w:color w:val="000000"/>
                <w:sz w:val="19"/>
                <w:szCs w:val="19"/>
              </w:rPr>
              <w:t xml:space="preserve"> </w:t>
            </w:r>
            <w:proofErr w:type="gramStart"/>
            <w:r>
              <w:rPr>
                <w:color w:val="000000"/>
                <w:sz w:val="19"/>
                <w:szCs w:val="19"/>
              </w:rPr>
              <w:t xml:space="preserve">вложений (выполненных работ, приобретений), произведенных в рамках реализации целей бюджетных инвестиций) с </w:t>
            </w:r>
            <w:proofErr w:type="spellStart"/>
            <w:r>
              <w:rPr>
                <w:color w:val="000000"/>
                <w:sz w:val="19"/>
                <w:szCs w:val="19"/>
              </w:rPr>
              <w:t>забалансового</w:t>
            </w:r>
            <w:proofErr w:type="spellEnd"/>
            <w:r>
              <w:rPr>
                <w:color w:val="000000"/>
                <w:sz w:val="19"/>
                <w:szCs w:val="19"/>
              </w:rPr>
              <w:t xml:space="preserve"> учета осуществляется по завершении реализации целей бюджетных инвестиций – по окончании работ и введении в эксплуатацию объектов капитальных вложений, либо по государственной регистрации права собственности организации, реализующей цели </w:t>
            </w:r>
            <w:r>
              <w:rPr>
                <w:color w:val="000000"/>
                <w:sz w:val="19"/>
                <w:szCs w:val="19"/>
              </w:rPr>
              <w:lastRenderedPageBreak/>
              <w:t>бюджетных инвестиций, на недвижимое имущество, являющееся объектом капитальных вложений, Минэнерго России по состоянию на 1 января 2024 года не было</w:t>
            </w:r>
            <w:proofErr w:type="gramEnd"/>
            <w:r>
              <w:rPr>
                <w:color w:val="000000"/>
                <w:sz w:val="19"/>
                <w:szCs w:val="19"/>
              </w:rPr>
              <w:t xml:space="preserve"> отражено по учету выбытие объекта «Строительство транзита 110 </w:t>
            </w:r>
            <w:proofErr w:type="spellStart"/>
            <w:r>
              <w:rPr>
                <w:color w:val="000000"/>
                <w:sz w:val="19"/>
                <w:szCs w:val="19"/>
              </w:rPr>
              <w:t>кВ</w:t>
            </w:r>
            <w:proofErr w:type="spellEnd"/>
            <w:r>
              <w:rPr>
                <w:color w:val="000000"/>
                <w:sz w:val="19"/>
                <w:szCs w:val="19"/>
              </w:rPr>
              <w:t xml:space="preserve"> Севастопольская–Ялта–Лучистое в </w:t>
            </w:r>
            <w:proofErr w:type="spellStart"/>
            <w:r>
              <w:rPr>
                <w:color w:val="000000"/>
                <w:sz w:val="19"/>
                <w:szCs w:val="19"/>
              </w:rPr>
              <w:t>двухцепном</w:t>
            </w:r>
            <w:proofErr w:type="spellEnd"/>
            <w:r>
              <w:rPr>
                <w:color w:val="000000"/>
                <w:sz w:val="19"/>
                <w:szCs w:val="19"/>
              </w:rPr>
              <w:t xml:space="preserve"> исполнении (в том числе проектно-изыскательские работы). Первый этап строительства: «Реконструкция ПС 110 </w:t>
            </w:r>
            <w:proofErr w:type="spellStart"/>
            <w:r>
              <w:rPr>
                <w:color w:val="000000"/>
                <w:sz w:val="19"/>
                <w:szCs w:val="19"/>
              </w:rPr>
              <w:t>кВ</w:t>
            </w:r>
            <w:proofErr w:type="spellEnd"/>
            <w:r>
              <w:rPr>
                <w:color w:val="000000"/>
                <w:sz w:val="19"/>
                <w:szCs w:val="19"/>
              </w:rPr>
              <w:t xml:space="preserve"> Заря (СМР и ПИР)» (далее также – ПС Заря) на общую сумму 1 027 523,0 тыс. рублей. ПС Заря введена в эксплуатацию по акту КС-11 от 31 января 2024 г. № 1-З. По информации Минэнерго России, в период проведения контрольного мероприятия 15 октября 2024 года объект ПС Заря произведено изменение в учете.</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АКЦИОНЕРНОЕ ОБЩЕСТВО "КРЫМЭНЕРГО"</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"Градостроительный кодекс Российской Федерации" от 29.12.2004 № 190-ФЗ, ст. 48</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 xml:space="preserve">1.3.17 Несоблюдение требования об обязательном проведении экспертизы проектной документации и результатов инженерных изысканий (в форме государственной экспертизы или негосударственной экспертизы), проверки </w:t>
            </w:r>
            <w:proofErr w:type="gramStart"/>
            <w:r>
              <w:rPr>
                <w:color w:val="000000"/>
                <w:sz w:val="19"/>
                <w:szCs w:val="19"/>
              </w:rPr>
              <w:t>достоверности определения сметной стоимости объектов капитального строительства</w:t>
            </w:r>
            <w:proofErr w:type="gramEnd"/>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2565815460. В нарушение части 15 статьи 48 Градостроительного кодекса Российской Федерац</w:t>
            </w:r>
            <w:proofErr w:type="gramStart"/>
            <w:r>
              <w:rPr>
                <w:color w:val="000000"/>
                <w:sz w:val="19"/>
                <w:szCs w:val="19"/>
              </w:rPr>
              <w:t>ии АО</w:t>
            </w:r>
            <w:proofErr w:type="gramEnd"/>
            <w:r>
              <w:rPr>
                <w:color w:val="000000"/>
                <w:sz w:val="19"/>
                <w:szCs w:val="19"/>
              </w:rPr>
              <w:t xml:space="preserve"> «</w:t>
            </w:r>
            <w:proofErr w:type="spellStart"/>
            <w:r>
              <w:rPr>
                <w:color w:val="000000"/>
                <w:sz w:val="19"/>
                <w:szCs w:val="19"/>
              </w:rPr>
              <w:t>Крымэнерго</w:t>
            </w:r>
            <w:proofErr w:type="spellEnd"/>
            <w:r>
              <w:rPr>
                <w:color w:val="000000"/>
                <w:sz w:val="19"/>
                <w:szCs w:val="19"/>
              </w:rPr>
              <w:t xml:space="preserve">» утверждена (приказ от 17 марта 2023 г. № 28/1) проектно-сметная документация в новой редакции по объекту «Строительство транзита 110 </w:t>
            </w:r>
            <w:proofErr w:type="spellStart"/>
            <w:r>
              <w:rPr>
                <w:color w:val="000000"/>
                <w:sz w:val="19"/>
                <w:szCs w:val="19"/>
              </w:rPr>
              <w:t>кВ</w:t>
            </w:r>
            <w:proofErr w:type="spellEnd"/>
            <w:r>
              <w:rPr>
                <w:color w:val="000000"/>
                <w:sz w:val="19"/>
                <w:szCs w:val="19"/>
              </w:rPr>
              <w:t xml:space="preserve"> Севастопольская–Ялта–Лучистое в </w:t>
            </w:r>
            <w:proofErr w:type="spellStart"/>
            <w:r>
              <w:rPr>
                <w:color w:val="000000"/>
                <w:sz w:val="19"/>
                <w:szCs w:val="19"/>
              </w:rPr>
              <w:t>двухцепном</w:t>
            </w:r>
            <w:proofErr w:type="spellEnd"/>
            <w:r>
              <w:rPr>
                <w:color w:val="000000"/>
                <w:sz w:val="19"/>
                <w:szCs w:val="19"/>
              </w:rPr>
              <w:t xml:space="preserve"> исполнении (в том числе проектно-изыскательские работы). Первый этап строительства: «Реконструкция ПС 110 Заря» (включая ПИР)» (далее – ПС Заря)  на основании полученного положительного заключения повторной государственной экспертизы от 28 февраля 2023 г. № 91-1-1-2-009221-2023 Государственного автономного учреждения Республики Крым «Государственная строительная экспертиза», проведенной с нарушением установленного порядка.</w:t>
            </w:r>
            <w:r>
              <w:rPr>
                <w:color w:val="000000"/>
                <w:sz w:val="19"/>
                <w:szCs w:val="19"/>
              </w:rPr>
              <w:br/>
            </w:r>
            <w:proofErr w:type="gramStart"/>
            <w:r>
              <w:rPr>
                <w:color w:val="000000"/>
                <w:sz w:val="19"/>
                <w:szCs w:val="19"/>
              </w:rPr>
              <w:t xml:space="preserve">Так, в соответствии с подпунктом «в» пункта 2 постановления Правительства Российской Федерации от 28 декабря 2021 г. № 2519 «О внесении изменений в государственную программу Российской Федерации «Социально-экономическое развитие Республики Крым и г. </w:t>
            </w:r>
            <w:r>
              <w:rPr>
                <w:color w:val="000000"/>
                <w:sz w:val="19"/>
                <w:szCs w:val="19"/>
              </w:rPr>
              <w:lastRenderedPageBreak/>
              <w:t>Севастополя» в первоначальной редакции (далее – Постановление № 2519) в отношении объектов капитального строительства Республики Крым и г. Севастополя, реализуемых в рамках государственной программы Российской Федерации «Социально-экономическое развитие Республики Крым</w:t>
            </w:r>
            <w:proofErr w:type="gramEnd"/>
            <w:r>
              <w:rPr>
                <w:color w:val="000000"/>
                <w:sz w:val="19"/>
                <w:szCs w:val="19"/>
              </w:rPr>
              <w:t xml:space="preserve"> и г. Севастополя», сметной стоимостью, определенной на дату </w:t>
            </w:r>
            <w:proofErr w:type="gramStart"/>
            <w:r>
              <w:rPr>
                <w:color w:val="000000"/>
                <w:sz w:val="19"/>
                <w:szCs w:val="19"/>
              </w:rPr>
              <w:t>направления</w:t>
            </w:r>
            <w:proofErr w:type="gramEnd"/>
            <w:r>
              <w:rPr>
                <w:color w:val="000000"/>
                <w:sz w:val="19"/>
                <w:szCs w:val="19"/>
              </w:rPr>
              <w:t xml:space="preserve"> на государственную экспертизу, 1 млрд. рублей и более, повторные государственные экспертизы проектной документации и (или) результатов инженерных изысканий,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начатые до вступления в силу Постановления № 2519, проводятся федеральным автономным учреждением «Главное управление государственной экспертизы». Вместе с тем ООО «</w:t>
            </w:r>
            <w:proofErr w:type="spellStart"/>
            <w:r>
              <w:rPr>
                <w:color w:val="000000"/>
                <w:sz w:val="19"/>
                <w:szCs w:val="19"/>
              </w:rPr>
              <w:t>Энергостройкомплекс</w:t>
            </w:r>
            <w:proofErr w:type="spellEnd"/>
            <w:r>
              <w:rPr>
                <w:color w:val="000000"/>
                <w:sz w:val="19"/>
                <w:szCs w:val="19"/>
              </w:rPr>
              <w:t>», действуя на основании доверенности от 26 января 2023 года № 34, выданной АО «</w:t>
            </w:r>
            <w:proofErr w:type="spellStart"/>
            <w:r>
              <w:rPr>
                <w:color w:val="000000"/>
                <w:sz w:val="19"/>
                <w:szCs w:val="19"/>
              </w:rPr>
              <w:t>Крымэнерго</w:t>
            </w:r>
            <w:proofErr w:type="spellEnd"/>
            <w:r>
              <w:rPr>
                <w:color w:val="000000"/>
                <w:sz w:val="19"/>
                <w:szCs w:val="19"/>
              </w:rPr>
              <w:t xml:space="preserve">», направило документы на проведение повторной государственной экспертизы проектной документации по объекту ПС Заря, сметная стоимость которого на дату направления на повторную государственную экспертизу (13 февраля 2023 года) составляла 1 225,4 </w:t>
            </w:r>
            <w:proofErr w:type="gramStart"/>
            <w:r>
              <w:rPr>
                <w:color w:val="000000"/>
                <w:sz w:val="19"/>
                <w:szCs w:val="19"/>
              </w:rPr>
              <w:t>млн</w:t>
            </w:r>
            <w:proofErr w:type="gramEnd"/>
            <w:r>
              <w:rPr>
                <w:color w:val="000000"/>
                <w:sz w:val="19"/>
                <w:szCs w:val="19"/>
              </w:rPr>
              <w:t xml:space="preserve"> рублей , в государственное автономное учреждение Республики Крым «Государственная строительная экспертиза».</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 xml:space="preserve">АКЦИОНЕРНОЕ ОБЩЕСТВО </w:t>
            </w:r>
            <w:r>
              <w:rPr>
                <w:color w:val="000000"/>
                <w:sz w:val="19"/>
                <w:szCs w:val="19"/>
              </w:rPr>
              <w:lastRenderedPageBreak/>
              <w:t>"КРЫМЭНЕРГО"</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 xml:space="preserve">МИНИСТЕРСТВО ЭНЕРГЕТИКИ </w:t>
            </w:r>
            <w:r>
              <w:rPr>
                <w:color w:val="000000"/>
                <w:sz w:val="19"/>
                <w:szCs w:val="19"/>
              </w:rPr>
              <w:lastRenderedPageBreak/>
              <w:t>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 xml:space="preserve">Федеральный закон № 44-ФЗ «О контрактной </w:t>
            </w:r>
            <w:r>
              <w:rPr>
                <w:color w:val="000000"/>
                <w:sz w:val="19"/>
                <w:szCs w:val="19"/>
              </w:rPr>
              <w:lastRenderedPageBreak/>
              <w:t>системе в сфере закупок товаров, работ, услуг для обеспечения государственных и муниципальных нужд», ст. 39</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 xml:space="preserve">4.11 Нарушения порядка формирования комиссии </w:t>
            </w:r>
            <w:r>
              <w:rPr>
                <w:color w:val="000000"/>
                <w:sz w:val="19"/>
                <w:szCs w:val="19"/>
              </w:rPr>
              <w:lastRenderedPageBreak/>
              <w:t>(комиссий) по осуществлению закупок, а также порядка принятия решений комиссией</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 xml:space="preserve">2541358524. </w:t>
            </w:r>
            <w:proofErr w:type="gramStart"/>
            <w:r>
              <w:rPr>
                <w:color w:val="000000"/>
                <w:sz w:val="19"/>
                <w:szCs w:val="19"/>
              </w:rPr>
              <w:t xml:space="preserve">В нарушение части 2 статьи 39 Федерального закона от 5 апреля 2013 г. № </w:t>
            </w:r>
            <w:r>
              <w:rPr>
                <w:color w:val="000000"/>
                <w:sz w:val="19"/>
                <w:szCs w:val="19"/>
              </w:rPr>
              <w:lastRenderedPageBreak/>
              <w:t>44-ФЗ «О контрактной системе в сфере закупок товаров, работ, услуг для обеспечения государственных и муниципальных нужд» (далее – Закон № 44-ФЗ), в соответствии с которой решение о создании комиссии по осуществлению закупок (далее   комиссия) принимается заказчиком до начала проведения закупки, при этом определяются состав комиссии и порядок ее работы</w:t>
            </w:r>
            <w:proofErr w:type="gramEnd"/>
            <w:r>
              <w:rPr>
                <w:color w:val="000000"/>
                <w:sz w:val="19"/>
                <w:szCs w:val="19"/>
              </w:rPr>
              <w:t>, назначается председатель комиссии, АО «</w:t>
            </w:r>
            <w:proofErr w:type="spellStart"/>
            <w:r>
              <w:rPr>
                <w:color w:val="000000"/>
                <w:sz w:val="19"/>
                <w:szCs w:val="19"/>
              </w:rPr>
              <w:t>Крымэнерго</w:t>
            </w:r>
            <w:proofErr w:type="spellEnd"/>
            <w:r>
              <w:rPr>
                <w:color w:val="000000"/>
                <w:sz w:val="19"/>
                <w:szCs w:val="19"/>
              </w:rPr>
              <w:t>» осуществило в 2019–2021 годах следующие закупки: идентификационный код закупки 191662101488991020100100000027112000, 191662101488991020100100000017112000, 201662101488991020100100010024222451, 201662101488991020100100010034222451, 211662101488991020100100030034222451, 211662101488991020100100040044222451, 211662101488991020100100050057112451, 211662101488991020100100060067112451, 211662101488991020100100070077112451, 211662101488991020100100080087112451, не определив состав комиссии, а также ее председателя.</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АКЦИОНЕРНОЕ ОБЩЕСТВО "КРЫМЭНЕРГО"</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Минстроя России от 4 августа 2020 г. № 421/</w:t>
            </w:r>
            <w:proofErr w:type="spellStart"/>
            <w:proofErr w:type="gramStart"/>
            <w:r>
              <w:rPr>
                <w:color w:val="000000"/>
                <w:sz w:val="19"/>
                <w:szCs w:val="19"/>
              </w:rPr>
              <w:t>пр</w:t>
            </w:r>
            <w:proofErr w:type="spellEnd"/>
            <w:proofErr w:type="gramEnd"/>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proofErr w:type="gramStart"/>
            <w:r>
              <w:rPr>
                <w:color w:val="000000"/>
                <w:sz w:val="19"/>
                <w:szCs w:val="19"/>
              </w:rPr>
              <w:t>4.22 Нарушения при осуществлении закупок в части обоснования выбора объекта (объектов),  определения  и обоснования начальной (максимальной) цены контракта (договора), цены контракта (договора), заключаемого с единственным поставщиком (подрядчиком, исполнителем), начальной суммы цен единиц товара, работы, услуги</w:t>
            </w:r>
            <w:proofErr w:type="gramEnd"/>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2540026276. В нарушение абзаца третьего пункта 44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proofErr w:type="gramStart"/>
            <w:r>
              <w:rPr>
                <w:color w:val="000000"/>
                <w:sz w:val="19"/>
                <w:szCs w:val="19"/>
              </w:rPr>
              <w:t>пр</w:t>
            </w:r>
            <w:proofErr w:type="spellEnd"/>
            <w:proofErr w:type="gramEnd"/>
            <w:r>
              <w:rPr>
                <w:color w:val="000000"/>
                <w:sz w:val="19"/>
                <w:szCs w:val="19"/>
              </w:rPr>
              <w:t xml:space="preserve"> (в редакции, действующей до 11 сентября 2022 года) (далее также – Методика № 421/</w:t>
            </w:r>
            <w:proofErr w:type="spellStart"/>
            <w:r>
              <w:rPr>
                <w:color w:val="000000"/>
                <w:sz w:val="19"/>
                <w:szCs w:val="19"/>
              </w:rPr>
              <w:t>пр</w:t>
            </w:r>
            <w:proofErr w:type="spellEnd"/>
            <w:r>
              <w:rPr>
                <w:color w:val="000000"/>
                <w:sz w:val="19"/>
                <w:szCs w:val="19"/>
              </w:rPr>
              <w:t>), в соответствии с которым при отсутствии информации о сметных ценах в базисном уровне по отдельным материальным ресурсам и оборудованию, их сметная цена формируется на основании расчета в соответствии с пунктами 90 - 92, 112 - 115 Методики № 421/</w:t>
            </w:r>
            <w:proofErr w:type="spellStart"/>
            <w:proofErr w:type="gramStart"/>
            <w:r>
              <w:rPr>
                <w:color w:val="000000"/>
                <w:sz w:val="19"/>
                <w:szCs w:val="19"/>
              </w:rPr>
              <w:t>пр</w:t>
            </w:r>
            <w:proofErr w:type="spellEnd"/>
            <w:proofErr w:type="gramEnd"/>
            <w:r>
              <w:rPr>
                <w:color w:val="000000"/>
                <w:sz w:val="19"/>
                <w:szCs w:val="19"/>
              </w:rPr>
              <w:t xml:space="preserve"> с учетом положений </w:t>
            </w:r>
            <w:r>
              <w:rPr>
                <w:color w:val="000000"/>
                <w:sz w:val="19"/>
                <w:szCs w:val="19"/>
              </w:rPr>
              <w:lastRenderedPageBreak/>
              <w:t>пунктов 22 и 23 Методики № 421/</w:t>
            </w:r>
            <w:proofErr w:type="spellStart"/>
            <w:r>
              <w:rPr>
                <w:color w:val="000000"/>
                <w:sz w:val="19"/>
                <w:szCs w:val="19"/>
              </w:rPr>
              <w:t>пр</w:t>
            </w:r>
            <w:proofErr w:type="spellEnd"/>
            <w:r>
              <w:rPr>
                <w:color w:val="000000"/>
                <w:sz w:val="19"/>
                <w:szCs w:val="19"/>
              </w:rPr>
              <w:t>, АО «</w:t>
            </w:r>
            <w:proofErr w:type="spellStart"/>
            <w:r>
              <w:rPr>
                <w:color w:val="000000"/>
                <w:sz w:val="19"/>
                <w:szCs w:val="19"/>
              </w:rPr>
              <w:t>Крымэнерго</w:t>
            </w:r>
            <w:proofErr w:type="spellEnd"/>
            <w:r>
              <w:rPr>
                <w:color w:val="000000"/>
                <w:sz w:val="19"/>
                <w:szCs w:val="19"/>
              </w:rPr>
              <w:t xml:space="preserve">» осуществило расчет сметной стоимости оборудования (система оперативного постоянного тока (далее – СОПТ) по объекту ПС </w:t>
            </w:r>
            <w:proofErr w:type="spellStart"/>
            <w:r>
              <w:rPr>
                <w:color w:val="000000"/>
                <w:sz w:val="19"/>
                <w:szCs w:val="19"/>
              </w:rPr>
              <w:t>Гаспра</w:t>
            </w:r>
            <w:proofErr w:type="spellEnd"/>
            <w:r>
              <w:rPr>
                <w:color w:val="000000"/>
                <w:sz w:val="19"/>
                <w:szCs w:val="19"/>
              </w:rPr>
              <w:t xml:space="preserve">  и комплексное распределительное устройство с </w:t>
            </w:r>
            <w:proofErr w:type="spellStart"/>
            <w:r>
              <w:rPr>
                <w:color w:val="000000"/>
                <w:sz w:val="19"/>
                <w:szCs w:val="19"/>
              </w:rPr>
              <w:t>элегазовой</w:t>
            </w:r>
            <w:proofErr w:type="spellEnd"/>
            <w:r>
              <w:rPr>
                <w:color w:val="000000"/>
                <w:sz w:val="19"/>
                <w:szCs w:val="19"/>
              </w:rPr>
              <w:t xml:space="preserve"> изоляцией напряжением 110 </w:t>
            </w:r>
            <w:proofErr w:type="spellStart"/>
            <w:r>
              <w:rPr>
                <w:color w:val="000000"/>
                <w:sz w:val="19"/>
                <w:szCs w:val="19"/>
              </w:rPr>
              <w:t>кВ</w:t>
            </w:r>
            <w:proofErr w:type="spellEnd"/>
            <w:r>
              <w:rPr>
                <w:color w:val="000000"/>
                <w:sz w:val="19"/>
                <w:szCs w:val="19"/>
              </w:rPr>
              <w:t xml:space="preserve"> (далее – КРУЭ-110) по объекту ПС Артек</w:t>
            </w:r>
            <w:proofErr w:type="gramStart"/>
            <w:r>
              <w:rPr>
                <w:color w:val="000000"/>
                <w:sz w:val="19"/>
                <w:szCs w:val="19"/>
              </w:rPr>
              <w:t xml:space="preserve"> )</w:t>
            </w:r>
            <w:proofErr w:type="gramEnd"/>
            <w:r>
              <w:rPr>
                <w:color w:val="000000"/>
                <w:sz w:val="19"/>
                <w:szCs w:val="19"/>
              </w:rPr>
              <w:t xml:space="preserve"> не в соответствии с Методикой № 421/пр. Расчет сметной стоимости продукции произведен на основании двух коммерческих предложений. </w:t>
            </w:r>
            <w:r>
              <w:rPr>
                <w:color w:val="000000"/>
                <w:sz w:val="19"/>
                <w:szCs w:val="19"/>
              </w:rPr>
              <w:br/>
              <w:t>Так, согласно пункту 90 Методики № 421/</w:t>
            </w:r>
            <w:proofErr w:type="spellStart"/>
            <w:proofErr w:type="gramStart"/>
            <w:r>
              <w:rPr>
                <w:color w:val="000000"/>
                <w:sz w:val="19"/>
                <w:szCs w:val="19"/>
              </w:rPr>
              <w:t>пр</w:t>
            </w:r>
            <w:proofErr w:type="spellEnd"/>
            <w:proofErr w:type="gramEnd"/>
            <w:r>
              <w:rPr>
                <w:color w:val="000000"/>
                <w:sz w:val="19"/>
                <w:szCs w:val="19"/>
              </w:rPr>
              <w:t xml:space="preserve"> при отсутствии данных по отдельным материальным ресурсам во ФГИС ЦС их сметная цена в текущем уровне формируется на основании расчета в соответствии со сметными нормативами, сведения о которых включены в ФРСН, и результатов конъюнктурного анализа текущих цен не менее 3 (трех) (при наличии) производителей и (или) поставщиков в соответствии с положениями пунктов </w:t>
            </w:r>
            <w:r>
              <w:rPr>
                <w:color w:val="000000"/>
                <w:sz w:val="19"/>
                <w:szCs w:val="19"/>
              </w:rPr>
              <w:br/>
              <w:t>13 - 21 Методики № 421/пр.</w:t>
            </w:r>
            <w:r>
              <w:rPr>
                <w:color w:val="000000"/>
                <w:sz w:val="19"/>
                <w:szCs w:val="19"/>
              </w:rPr>
              <w:br/>
              <w:t>Вместе с тем АО «</w:t>
            </w:r>
            <w:proofErr w:type="spellStart"/>
            <w:r>
              <w:rPr>
                <w:color w:val="000000"/>
                <w:sz w:val="19"/>
                <w:szCs w:val="19"/>
              </w:rPr>
              <w:t>Крымэнерго</w:t>
            </w:r>
            <w:proofErr w:type="spellEnd"/>
            <w:r>
              <w:rPr>
                <w:color w:val="000000"/>
                <w:sz w:val="19"/>
                <w:szCs w:val="19"/>
              </w:rPr>
              <w:t>» осуществило расчет сметной стоимости  СОПТ и КРУЭ-110 на основании двух коммерческих предложений</w:t>
            </w:r>
            <w:proofErr w:type="gramStart"/>
            <w:r>
              <w:rPr>
                <w:color w:val="000000"/>
                <w:sz w:val="19"/>
                <w:szCs w:val="19"/>
              </w:rPr>
              <w:t xml:space="preserve"> .</w:t>
            </w:r>
            <w:proofErr w:type="gramEnd"/>
            <w:r>
              <w:rPr>
                <w:color w:val="000000"/>
                <w:sz w:val="19"/>
                <w:szCs w:val="19"/>
              </w:rPr>
              <w:br/>
              <w:t>При этом проведенный в ходе проверки анализ показал, что по вышеуказанным оборудованиям на рынке присутствует более трех поставщиков.</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rPr>
          <w:gridAfter w:val="1"/>
          <w:wAfter w:w="15" w:type="dxa"/>
          <w:trHeight w:val="345"/>
        </w:trPr>
        <w:tc>
          <w:tcPr>
            <w:tcW w:w="12194" w:type="dxa"/>
            <w:gridSpan w:val="13"/>
            <w:tcBorders>
              <w:top w:val="single" w:sz="6" w:space="0" w:color="000000"/>
              <w:left w:val="single" w:sz="6" w:space="0" w:color="000000"/>
              <w:bottom w:val="single" w:sz="6" w:space="0" w:color="000000"/>
              <w:right w:val="single" w:sz="6" w:space="0" w:color="000000"/>
            </w:tcBorders>
            <w:vAlign w:val="center"/>
          </w:tcPr>
          <w:p w:rsidR="00664E11" w:rsidRDefault="00833D40">
            <w:pPr>
              <w:ind w:right="113"/>
              <w:jc w:val="right"/>
              <w:rPr>
                <w:b/>
                <w:bCs/>
                <w:color w:val="000000"/>
                <w:sz w:val="19"/>
                <w:szCs w:val="19"/>
              </w:rPr>
            </w:pPr>
            <w:r>
              <w:rPr>
                <w:b/>
                <w:bCs/>
                <w:color w:val="000000"/>
                <w:sz w:val="19"/>
                <w:szCs w:val="19"/>
              </w:rPr>
              <w:lastRenderedPageBreak/>
              <w:t>Всего по разделу 1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b/>
                <w:bCs/>
                <w:color w:val="000000"/>
                <w:sz w:val="19"/>
                <w:szCs w:val="19"/>
              </w:rPr>
            </w:pPr>
            <w:r>
              <w:rPr>
                <w:b/>
                <w:bCs/>
                <w:color w:val="000000"/>
                <w:sz w:val="19"/>
                <w:szCs w:val="19"/>
              </w:rPr>
              <w:t>509 790,4</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664E11" w:rsidRDefault="00664E11">
            <w:pPr>
              <w:jc w:val="center"/>
              <w:rPr>
                <w:b/>
                <w:bCs/>
                <w:color w:val="000000"/>
                <w:sz w:val="19"/>
                <w:szCs w:val="19"/>
              </w:rPr>
            </w:pPr>
          </w:p>
        </w:tc>
      </w:tr>
      <w:tr w:rsidR="00664E11">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664E11" w:rsidRDefault="00833D40">
            <w:pPr>
              <w:rPr>
                <w:b/>
                <w:bCs/>
                <w:color w:val="000000"/>
                <w:sz w:val="19"/>
                <w:szCs w:val="19"/>
              </w:rPr>
            </w:pPr>
            <w:r>
              <w:rPr>
                <w:b/>
                <w:bCs/>
                <w:color w:val="000000"/>
                <w:sz w:val="19"/>
                <w:szCs w:val="19"/>
              </w:rPr>
              <w:t>2. Прочие нарушения и недостатки</w:t>
            </w: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 xml:space="preserve">2590076563. </w:t>
            </w:r>
            <w:proofErr w:type="gramStart"/>
            <w:r>
              <w:rPr>
                <w:color w:val="000000"/>
                <w:sz w:val="19"/>
                <w:szCs w:val="19"/>
              </w:rPr>
              <w:t xml:space="preserve">Реализация мероприятия по строительству сетевого комплекса Нахимовская предусмотрена в двух федеральных проектах с разными сроками завершения строительства: федеральный проект «Социально-экономическое развитие Республики Крым и г. Севастополя» (далее – ФП Крым), </w:t>
            </w:r>
            <w:r>
              <w:rPr>
                <w:color w:val="000000"/>
                <w:sz w:val="19"/>
                <w:szCs w:val="19"/>
              </w:rPr>
              <w:lastRenderedPageBreak/>
              <w:t>входящий в государственную программу Российской Федерации «Социально-экономическое развитие Республики Крым и г. Севастополя» (далее также – ГП-45), и федеральный проект «Гарантированное обеспечение доступной электроэнергией», входящий в государственную программу Российской Федерации «Развитие энергетики</w:t>
            </w:r>
            <w:proofErr w:type="gramEnd"/>
            <w:r>
              <w:rPr>
                <w:color w:val="000000"/>
                <w:sz w:val="19"/>
                <w:szCs w:val="19"/>
              </w:rPr>
              <w:t>» (далее – ГП-30).</w:t>
            </w:r>
            <w:r>
              <w:rPr>
                <w:color w:val="000000"/>
                <w:sz w:val="19"/>
                <w:szCs w:val="19"/>
              </w:rPr>
              <w:br/>
              <w:t xml:space="preserve">Так, в соответствии с разделом 5 ФП Крым и Планом реализации федерального проекта (приложение № 1 к паспорту ФП Крым) срок достижения результата «Построен сетевой комплекс </w:t>
            </w:r>
            <w:proofErr w:type="gramStart"/>
            <w:r>
              <w:rPr>
                <w:color w:val="000000"/>
                <w:sz w:val="19"/>
                <w:szCs w:val="19"/>
              </w:rPr>
              <w:t>Нахимовская</w:t>
            </w:r>
            <w:proofErr w:type="gramEnd"/>
            <w:r>
              <w:rPr>
                <w:color w:val="000000"/>
                <w:sz w:val="19"/>
                <w:szCs w:val="19"/>
              </w:rPr>
              <w:t xml:space="preserve"> в рамках деятельности Минэнерго России» установлен на 2027 год.</w:t>
            </w:r>
            <w:r>
              <w:rPr>
                <w:color w:val="000000"/>
                <w:sz w:val="19"/>
                <w:szCs w:val="19"/>
              </w:rPr>
              <w:br/>
              <w:t xml:space="preserve">При этом в соответствии с Планом реализации федерального проекта (приложение № 1 к паспорту федерального проекта «Гарантированное обеспечение доступной электроэнергией») срок реализации контрольной точки «Объект недвижимого имущества введен в эксплуатацию (ПС 330/110 </w:t>
            </w:r>
            <w:proofErr w:type="spellStart"/>
            <w:r>
              <w:rPr>
                <w:color w:val="000000"/>
                <w:sz w:val="19"/>
                <w:szCs w:val="19"/>
              </w:rPr>
              <w:t>кВ</w:t>
            </w:r>
            <w:proofErr w:type="spellEnd"/>
            <w:r>
              <w:rPr>
                <w:color w:val="000000"/>
                <w:sz w:val="19"/>
                <w:szCs w:val="19"/>
              </w:rPr>
              <w:t xml:space="preserve"> </w:t>
            </w:r>
            <w:proofErr w:type="gramStart"/>
            <w:r>
              <w:rPr>
                <w:color w:val="000000"/>
                <w:sz w:val="19"/>
                <w:szCs w:val="19"/>
              </w:rPr>
              <w:t>Нахимовская</w:t>
            </w:r>
            <w:proofErr w:type="gramEnd"/>
            <w:r>
              <w:rPr>
                <w:color w:val="000000"/>
                <w:sz w:val="19"/>
                <w:szCs w:val="19"/>
              </w:rPr>
              <w:t>)» установлен на 31 декабря 2025 года.</w:t>
            </w:r>
            <w:r>
              <w:rPr>
                <w:color w:val="000000"/>
                <w:sz w:val="19"/>
                <w:szCs w:val="19"/>
              </w:rPr>
              <w:br/>
              <w:t>В этой связи требуется корректировка указанных документов в части установления единых сроков реализации строительства сетевого комплекса Нахимовская.</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 xml:space="preserve">2584963258. </w:t>
            </w:r>
            <w:proofErr w:type="gramStart"/>
            <w:r>
              <w:rPr>
                <w:color w:val="000000"/>
                <w:sz w:val="19"/>
                <w:szCs w:val="19"/>
              </w:rPr>
              <w:t xml:space="preserve">В соответствии с пунктом 5.2.3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от 21 ноября 2019 г. № 022-18-2019-002, </w:t>
            </w:r>
            <w:r>
              <w:rPr>
                <w:color w:val="000000"/>
                <w:sz w:val="19"/>
                <w:szCs w:val="19"/>
              </w:rPr>
              <w:br/>
              <w:t>от 17 ноября 2020 г. № 022-18-2020-002 при не достижении значения результатов предоставления бюджетных инвестиций, Минэнерго России направляет АО «</w:t>
            </w:r>
            <w:proofErr w:type="spellStart"/>
            <w:r>
              <w:rPr>
                <w:color w:val="000000"/>
                <w:sz w:val="19"/>
                <w:szCs w:val="19"/>
              </w:rPr>
              <w:t>Крымэнерго</w:t>
            </w:r>
            <w:proofErr w:type="spellEnd"/>
            <w:r>
              <w:rPr>
                <w:color w:val="000000"/>
                <w:sz w:val="19"/>
                <w:szCs w:val="19"/>
              </w:rPr>
              <w:t>» требование об уплате штрафных санкций.</w:t>
            </w:r>
            <w:proofErr w:type="gramEnd"/>
            <w:r>
              <w:rPr>
                <w:color w:val="000000"/>
                <w:sz w:val="19"/>
                <w:szCs w:val="19"/>
              </w:rPr>
              <w:t xml:space="preserve"> </w:t>
            </w:r>
            <w:r>
              <w:rPr>
                <w:color w:val="000000"/>
                <w:sz w:val="19"/>
                <w:szCs w:val="19"/>
              </w:rPr>
              <w:br/>
            </w:r>
            <w:proofErr w:type="gramStart"/>
            <w:r>
              <w:rPr>
                <w:color w:val="000000"/>
                <w:sz w:val="19"/>
                <w:szCs w:val="19"/>
              </w:rPr>
              <w:lastRenderedPageBreak/>
              <w:t>Так, за нарушение сроков достижения значений результатов предоставления бюджетных инвестиций по вышеуказанным договорам Минэнерго России за период 2020–2024 годов выставлены АО «</w:t>
            </w:r>
            <w:proofErr w:type="spellStart"/>
            <w:r>
              <w:rPr>
                <w:color w:val="000000"/>
                <w:sz w:val="19"/>
                <w:szCs w:val="19"/>
              </w:rPr>
              <w:t>Крымэнерго</w:t>
            </w:r>
            <w:proofErr w:type="spellEnd"/>
            <w:r>
              <w:rPr>
                <w:color w:val="000000"/>
                <w:sz w:val="19"/>
                <w:szCs w:val="19"/>
              </w:rPr>
              <w:t>» четыре требования (претензии) о выплате штрафа от 16 сентября 2020 г. № ЕГ-11212/08  на сумму 10 300,5 тыс. рублей, от 8 мая 2023 г. № ЕГ-7144/05 на сумму 3 614,5 тыс. рублей, от 1 августа 2023 г. № ЕГ-11993</w:t>
            </w:r>
            <w:proofErr w:type="gramEnd"/>
            <w:r>
              <w:rPr>
                <w:color w:val="000000"/>
                <w:sz w:val="19"/>
                <w:szCs w:val="19"/>
              </w:rPr>
              <w:t>/05 на сумму 5 695,3 тыс. рублей и от 11 июня 2024 г. № ЕГ-9074/05 на сумму 7 339,1 тыс. рублей.</w:t>
            </w:r>
            <w:r>
              <w:rPr>
                <w:color w:val="000000"/>
                <w:sz w:val="19"/>
                <w:szCs w:val="19"/>
              </w:rPr>
              <w:br/>
              <w:t>АО «</w:t>
            </w:r>
            <w:proofErr w:type="spellStart"/>
            <w:r>
              <w:rPr>
                <w:color w:val="000000"/>
                <w:sz w:val="19"/>
                <w:szCs w:val="19"/>
              </w:rPr>
              <w:t>Крымэнерго</w:t>
            </w:r>
            <w:proofErr w:type="spellEnd"/>
            <w:r>
              <w:rPr>
                <w:color w:val="000000"/>
                <w:sz w:val="19"/>
                <w:szCs w:val="19"/>
              </w:rPr>
              <w:t xml:space="preserve">» перечислено в федеральный бюджет 5 695,3 тыс. рублей по требованию (претензии) о выплате штрафа за нарушение </w:t>
            </w:r>
            <w:proofErr w:type="gramStart"/>
            <w:r>
              <w:rPr>
                <w:color w:val="000000"/>
                <w:sz w:val="19"/>
                <w:szCs w:val="19"/>
              </w:rPr>
              <w:t>сроков достижения значений результатов предоставления бюджетных инвестиций</w:t>
            </w:r>
            <w:proofErr w:type="gramEnd"/>
            <w:r>
              <w:rPr>
                <w:color w:val="000000"/>
                <w:sz w:val="19"/>
                <w:szCs w:val="19"/>
              </w:rPr>
              <w:t xml:space="preserve"> от 1 августа 2023 г. № ЕГ-11993/05. По остальным требованиям (претензиям) о выплате штрафа штрафные санкц</w:t>
            </w:r>
            <w:proofErr w:type="gramStart"/>
            <w:r>
              <w:rPr>
                <w:color w:val="000000"/>
                <w:sz w:val="19"/>
                <w:szCs w:val="19"/>
              </w:rPr>
              <w:t>ии АО</w:t>
            </w:r>
            <w:proofErr w:type="gramEnd"/>
            <w:r>
              <w:rPr>
                <w:color w:val="000000"/>
                <w:sz w:val="19"/>
                <w:szCs w:val="19"/>
              </w:rPr>
              <w:t xml:space="preserve"> «</w:t>
            </w:r>
            <w:proofErr w:type="spellStart"/>
            <w:r>
              <w:rPr>
                <w:color w:val="000000"/>
                <w:sz w:val="19"/>
                <w:szCs w:val="19"/>
              </w:rPr>
              <w:t>Крымэнерго</w:t>
            </w:r>
            <w:proofErr w:type="spellEnd"/>
            <w:r>
              <w:rPr>
                <w:color w:val="000000"/>
                <w:sz w:val="19"/>
                <w:szCs w:val="19"/>
              </w:rPr>
              <w:t>» не уплачивались.</w:t>
            </w:r>
            <w:r>
              <w:rPr>
                <w:color w:val="000000"/>
                <w:sz w:val="19"/>
                <w:szCs w:val="19"/>
              </w:rPr>
              <w:br/>
              <w:t xml:space="preserve">Согласно требованиям (претензиям) о выплате штрафа за нарушение </w:t>
            </w:r>
            <w:proofErr w:type="gramStart"/>
            <w:r>
              <w:rPr>
                <w:color w:val="000000"/>
                <w:sz w:val="19"/>
                <w:szCs w:val="19"/>
              </w:rPr>
              <w:t>сроков достижения значений результатов предоставления бюджетных инвестиций</w:t>
            </w:r>
            <w:proofErr w:type="gramEnd"/>
            <w:r>
              <w:rPr>
                <w:color w:val="000000"/>
                <w:sz w:val="19"/>
                <w:szCs w:val="19"/>
              </w:rPr>
              <w:t xml:space="preserve"> срок уплаты установлен в течение 25 календарных дней с момента получения вышеуказанных требований (претензий). </w:t>
            </w:r>
            <w:r>
              <w:rPr>
                <w:color w:val="000000"/>
                <w:sz w:val="19"/>
                <w:szCs w:val="19"/>
              </w:rPr>
              <w:br/>
              <w:t xml:space="preserve">При </w:t>
            </w:r>
            <w:proofErr w:type="gramStart"/>
            <w:r>
              <w:rPr>
                <w:color w:val="000000"/>
                <w:sz w:val="19"/>
                <w:szCs w:val="19"/>
              </w:rPr>
              <w:t>не достижении</w:t>
            </w:r>
            <w:proofErr w:type="gramEnd"/>
            <w:r>
              <w:rPr>
                <w:color w:val="000000"/>
                <w:sz w:val="19"/>
                <w:szCs w:val="19"/>
              </w:rPr>
              <w:t xml:space="preserve"> согласия путем проведения переговоров, споры, возникающие между сторонами в связи с исполнением договоров, решаются в судебном порядке. При этом Минэнерго России не приняты меры по принудительному взысканию штрафных санкций в судебном порядке на общую сумму 21 254,1 тыс. рублей.</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21 254,1</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 xml:space="preserve">2520705620. </w:t>
            </w:r>
            <w:proofErr w:type="gramStart"/>
            <w:r>
              <w:rPr>
                <w:color w:val="000000"/>
                <w:sz w:val="19"/>
                <w:szCs w:val="19"/>
              </w:rPr>
              <w:t xml:space="preserve">Минэнерго России не воспользовалось правом, установленным подпунктом 5.2.3 пункта 5.2 Договора о предоставлении из федерального бюджета бюджетных инвестиций юридическому </w:t>
            </w:r>
            <w:r>
              <w:rPr>
                <w:color w:val="000000"/>
                <w:sz w:val="19"/>
                <w:szCs w:val="19"/>
              </w:rPr>
              <w:lastRenderedPageBreak/>
              <w:t>лицу, не являющемуся федеральным государственным учреждением и федеральным государственным унитарным предприятием от 29 сентября 2023 г. № 022-18-2023-001 (далее – ДБИ № 022-18-2023-001), в соответствии с которым получатель средств федерального бюджета (Минэнерго России) вправе в случае, если организацией (АО «</w:t>
            </w:r>
            <w:proofErr w:type="spellStart"/>
            <w:r>
              <w:rPr>
                <w:color w:val="000000"/>
                <w:sz w:val="19"/>
                <w:szCs w:val="19"/>
              </w:rPr>
              <w:t>Крымэнерго</w:t>
            </w:r>
            <w:proofErr w:type="spellEnd"/>
            <w:r>
              <w:rPr>
                <w:color w:val="000000"/>
                <w:sz w:val="19"/>
                <w:szCs w:val="19"/>
              </w:rPr>
              <w:t>») не достигнуты значения результатов</w:t>
            </w:r>
            <w:proofErr w:type="gramEnd"/>
            <w:r>
              <w:rPr>
                <w:color w:val="000000"/>
                <w:sz w:val="19"/>
                <w:szCs w:val="19"/>
              </w:rPr>
              <w:t xml:space="preserve"> предоставления бюджетных инвестиций, иных показателей, установленных в соответствии с пунктом 5.1.3 ДБИ № 022-18-2023-001, направлять организации требование об уплате штрафных санкций, расчет размера которых </w:t>
            </w:r>
            <w:proofErr w:type="gramStart"/>
            <w:r>
              <w:rPr>
                <w:color w:val="000000"/>
                <w:sz w:val="19"/>
                <w:szCs w:val="19"/>
              </w:rPr>
              <w:t>приведен</w:t>
            </w:r>
            <w:proofErr w:type="gramEnd"/>
            <w:r>
              <w:rPr>
                <w:color w:val="000000"/>
                <w:sz w:val="19"/>
                <w:szCs w:val="19"/>
              </w:rPr>
              <w:t xml:space="preserve"> а приложении № 5 к ДБИ № 022-18-2023-001.</w:t>
            </w:r>
            <w:r>
              <w:rPr>
                <w:color w:val="000000"/>
                <w:sz w:val="19"/>
                <w:szCs w:val="19"/>
              </w:rPr>
              <w:br/>
              <w:t>Так, Минэнерго России не направлено требование об уплате штрафных санкций в связи с не достижением АО «</w:t>
            </w:r>
            <w:proofErr w:type="spellStart"/>
            <w:r>
              <w:rPr>
                <w:color w:val="000000"/>
                <w:sz w:val="19"/>
                <w:szCs w:val="19"/>
              </w:rPr>
              <w:t>Крымэнерго</w:t>
            </w:r>
            <w:proofErr w:type="spellEnd"/>
            <w:r>
              <w:rPr>
                <w:color w:val="000000"/>
                <w:sz w:val="19"/>
                <w:szCs w:val="19"/>
              </w:rPr>
              <w:t xml:space="preserve">» значения показателя результативности по объекту «Строительство заходов </w:t>
            </w:r>
            <w:proofErr w:type="gramStart"/>
            <w:r>
              <w:rPr>
                <w:color w:val="000000"/>
                <w:sz w:val="19"/>
                <w:szCs w:val="19"/>
              </w:rPr>
              <w:t>ВЛ</w:t>
            </w:r>
            <w:proofErr w:type="gramEnd"/>
            <w:r>
              <w:rPr>
                <w:color w:val="000000"/>
                <w:sz w:val="19"/>
                <w:szCs w:val="19"/>
              </w:rPr>
              <w:t xml:space="preserve"> 110 </w:t>
            </w:r>
            <w:proofErr w:type="spellStart"/>
            <w:r>
              <w:rPr>
                <w:color w:val="000000"/>
                <w:sz w:val="19"/>
                <w:szCs w:val="19"/>
              </w:rPr>
              <w:t>кВ</w:t>
            </w:r>
            <w:proofErr w:type="spellEnd"/>
            <w:r>
              <w:rPr>
                <w:color w:val="000000"/>
                <w:sz w:val="19"/>
                <w:szCs w:val="19"/>
              </w:rPr>
              <w:t xml:space="preserve"> Феодосийская – Старый Крым с отпайками и ВЛ 110 </w:t>
            </w:r>
            <w:proofErr w:type="spellStart"/>
            <w:r>
              <w:rPr>
                <w:color w:val="000000"/>
                <w:sz w:val="19"/>
                <w:szCs w:val="19"/>
              </w:rPr>
              <w:t>кВ</w:t>
            </w:r>
            <w:proofErr w:type="spellEnd"/>
            <w:r>
              <w:rPr>
                <w:color w:val="000000"/>
                <w:sz w:val="19"/>
                <w:szCs w:val="19"/>
              </w:rPr>
              <w:t xml:space="preserve"> Феодосийская – Восход с отпайками на ПС 220 </w:t>
            </w:r>
            <w:proofErr w:type="spellStart"/>
            <w:r>
              <w:rPr>
                <w:color w:val="000000"/>
                <w:sz w:val="19"/>
                <w:szCs w:val="19"/>
              </w:rPr>
              <w:t>кВ</w:t>
            </w:r>
            <w:proofErr w:type="spellEnd"/>
            <w:r>
              <w:rPr>
                <w:color w:val="000000"/>
                <w:sz w:val="19"/>
                <w:szCs w:val="19"/>
              </w:rPr>
              <w:t xml:space="preserve"> Кафа (с сооружением двух </w:t>
            </w:r>
            <w:proofErr w:type="spellStart"/>
            <w:r>
              <w:rPr>
                <w:color w:val="000000"/>
                <w:sz w:val="19"/>
                <w:szCs w:val="19"/>
              </w:rPr>
              <w:t>двухцепных</w:t>
            </w:r>
            <w:proofErr w:type="spellEnd"/>
            <w:r>
              <w:rPr>
                <w:color w:val="000000"/>
                <w:sz w:val="19"/>
                <w:szCs w:val="19"/>
              </w:rPr>
              <w:t xml:space="preserve"> участков 110 </w:t>
            </w:r>
            <w:proofErr w:type="spellStart"/>
            <w:r>
              <w:rPr>
                <w:color w:val="000000"/>
                <w:sz w:val="19"/>
                <w:szCs w:val="19"/>
              </w:rPr>
              <w:t>кВ</w:t>
            </w:r>
            <w:proofErr w:type="spellEnd"/>
            <w:r>
              <w:rPr>
                <w:color w:val="000000"/>
                <w:sz w:val="19"/>
                <w:szCs w:val="19"/>
              </w:rPr>
              <w:t xml:space="preserve"> от места разрезания до линейных порталов ПС 220 </w:t>
            </w:r>
            <w:proofErr w:type="spellStart"/>
            <w:proofErr w:type="gramStart"/>
            <w:r>
              <w:rPr>
                <w:color w:val="000000"/>
                <w:sz w:val="19"/>
                <w:szCs w:val="19"/>
              </w:rPr>
              <w:t>кВ</w:t>
            </w:r>
            <w:proofErr w:type="spellEnd"/>
            <w:r>
              <w:rPr>
                <w:color w:val="000000"/>
                <w:sz w:val="19"/>
                <w:szCs w:val="19"/>
              </w:rPr>
              <w:t xml:space="preserve"> Кафа) (с сооружением двух </w:t>
            </w:r>
            <w:proofErr w:type="spellStart"/>
            <w:r>
              <w:rPr>
                <w:color w:val="000000"/>
                <w:sz w:val="19"/>
                <w:szCs w:val="19"/>
              </w:rPr>
              <w:t>двухцепных</w:t>
            </w:r>
            <w:proofErr w:type="spellEnd"/>
            <w:r>
              <w:rPr>
                <w:color w:val="000000"/>
                <w:sz w:val="19"/>
                <w:szCs w:val="19"/>
              </w:rPr>
              <w:t xml:space="preserve"> участков 110 </w:t>
            </w:r>
            <w:proofErr w:type="spellStart"/>
            <w:r>
              <w:rPr>
                <w:color w:val="000000"/>
                <w:sz w:val="19"/>
                <w:szCs w:val="19"/>
              </w:rPr>
              <w:t>кВ</w:t>
            </w:r>
            <w:proofErr w:type="spellEnd"/>
            <w:r>
              <w:rPr>
                <w:color w:val="000000"/>
                <w:sz w:val="19"/>
                <w:szCs w:val="19"/>
              </w:rPr>
              <w:t xml:space="preserve"> от места разрезания до линейных порталов ПС 220 </w:t>
            </w:r>
            <w:proofErr w:type="spellStart"/>
            <w:r>
              <w:rPr>
                <w:color w:val="000000"/>
                <w:sz w:val="19"/>
                <w:szCs w:val="19"/>
              </w:rPr>
              <w:t>кВ</w:t>
            </w:r>
            <w:proofErr w:type="spellEnd"/>
            <w:r>
              <w:rPr>
                <w:color w:val="000000"/>
                <w:sz w:val="19"/>
                <w:szCs w:val="19"/>
              </w:rPr>
              <w:t xml:space="preserve"> Кафа) (в том числе проектно- изыскательские работы)» (далее – ПС Кафа).</w:t>
            </w:r>
            <w:proofErr w:type="gramEnd"/>
            <w:r>
              <w:rPr>
                <w:color w:val="000000"/>
                <w:sz w:val="19"/>
                <w:szCs w:val="19"/>
              </w:rPr>
              <w:br/>
              <w:t>Согласно пункту 5.1.3 и приложению № 3 к ДБИ № 022-18-2023-001 в редакции дополнительного соглашения от 27 декабря 2023 г. № 022-18-2023-001/1 одним из показателей результативности является ввод объекта (ПС Кафа) в эксплуатацию, достижение которого запланировано на 30 июня 2024 года.</w:t>
            </w:r>
            <w:r>
              <w:rPr>
                <w:color w:val="000000"/>
                <w:sz w:val="19"/>
                <w:szCs w:val="19"/>
              </w:rPr>
              <w:br/>
              <w:t xml:space="preserve">Вместе с тем в ходе контрольного мероприятия установлено, что по состоянию на 28 декабря 2024 года ПС </w:t>
            </w:r>
            <w:r>
              <w:rPr>
                <w:color w:val="000000"/>
                <w:sz w:val="19"/>
                <w:szCs w:val="19"/>
              </w:rPr>
              <w:lastRenderedPageBreak/>
              <w:t xml:space="preserve">Кафа не </w:t>
            </w:r>
            <w:proofErr w:type="gramStart"/>
            <w:r>
              <w:rPr>
                <w:color w:val="000000"/>
                <w:sz w:val="19"/>
                <w:szCs w:val="19"/>
              </w:rPr>
              <w:t>введен</w:t>
            </w:r>
            <w:proofErr w:type="gramEnd"/>
            <w:r>
              <w:rPr>
                <w:color w:val="000000"/>
                <w:sz w:val="19"/>
                <w:szCs w:val="19"/>
              </w:rPr>
              <w:t xml:space="preserve"> в эксплуатацию, значение показателя результативности не достигнуто. При этом Минэнерго России в адрес АО «</w:t>
            </w:r>
            <w:proofErr w:type="spellStart"/>
            <w:r>
              <w:rPr>
                <w:color w:val="000000"/>
                <w:sz w:val="19"/>
                <w:szCs w:val="19"/>
              </w:rPr>
              <w:t>Крымэнерго</w:t>
            </w:r>
            <w:proofErr w:type="spellEnd"/>
            <w:r>
              <w:rPr>
                <w:color w:val="000000"/>
                <w:sz w:val="19"/>
                <w:szCs w:val="19"/>
              </w:rPr>
              <w:t>» не направлялось требование об уплате штрафных санкций на общую сумму 31 854,6 тыс. рублей (</w:t>
            </w:r>
            <w:proofErr w:type="spellStart"/>
            <w:r>
              <w:rPr>
                <w:color w:val="000000"/>
                <w:sz w:val="19"/>
                <w:szCs w:val="19"/>
              </w:rPr>
              <w:t>расчетно</w:t>
            </w:r>
            <w:proofErr w:type="spellEnd"/>
            <w:r>
              <w:rPr>
                <w:color w:val="000000"/>
                <w:sz w:val="19"/>
                <w:szCs w:val="19"/>
              </w:rPr>
              <w:t>).</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31 854,6</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2543770331. Установленные в ФП Крым показатель и результаты, характеризующие развитие энергетической инфраструктуры, позволяют оценить количественные характеристики развития электросетевого комплекса. Вместе с тем показатели, характеризующие качественные изменения электросетевого комплекса с учетом строительства новых объектов, в ФП Крым не установлены, что не позволяет оценить полученные итоговые эффекты от строительства объектов. В этой связи представляется целесообразным, учитывая высокий уровень потерь в распределительных сетях, расположенных на Крымском полуострове, дополнить ФП Крым показателем, отражающим динамику изменения уровня потерь в распределительных сетях.</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АКЦИОНЕРНОЕ ОБЩЕСТВО "КРЫМЭНЕРГО"</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 xml:space="preserve">2580101015. </w:t>
            </w:r>
            <w:proofErr w:type="gramStart"/>
            <w:r>
              <w:rPr>
                <w:color w:val="000000"/>
                <w:sz w:val="19"/>
                <w:szCs w:val="19"/>
              </w:rPr>
              <w:t>В соответствии с требованиями постановления Правительства Российской Федерации от 11 августа 2014 г. № 790 «Об утверждении федеральной целевой программы «Социально-экономическое развитие Республики Крым и г. Севастополя до 2025 года» (далее - постановление Правительства № 790), государственные контракты, заключаемые в установленном порядке с исполнителями мероприятий вышеуказанной федеральной целевой программы, должны содержать условие об ответственности за неисполнение либо ненадлежащее исполнение обязательств, в том числе</w:t>
            </w:r>
            <w:proofErr w:type="gramEnd"/>
            <w:r>
              <w:rPr>
                <w:color w:val="000000"/>
                <w:sz w:val="19"/>
                <w:szCs w:val="19"/>
              </w:rPr>
              <w:t xml:space="preserve"> право требования уплаты неустойки (пени) в случае нарушения иных сроков строительства объекта в размере от 0,1 до 0,3 % стоимости государственного </w:t>
            </w:r>
            <w:r>
              <w:rPr>
                <w:color w:val="000000"/>
                <w:sz w:val="19"/>
                <w:szCs w:val="19"/>
              </w:rPr>
              <w:lastRenderedPageBreak/>
              <w:t>контракта, но не более 300 тыс. рублей за каждый день просрочки.</w:t>
            </w:r>
            <w:r>
              <w:rPr>
                <w:color w:val="000000"/>
                <w:sz w:val="19"/>
                <w:szCs w:val="19"/>
              </w:rPr>
              <w:br/>
              <w:t>АО «</w:t>
            </w:r>
            <w:proofErr w:type="spellStart"/>
            <w:r>
              <w:rPr>
                <w:color w:val="000000"/>
                <w:sz w:val="19"/>
                <w:szCs w:val="19"/>
              </w:rPr>
              <w:t>Крымэнерго</w:t>
            </w:r>
            <w:proofErr w:type="spellEnd"/>
            <w:r>
              <w:rPr>
                <w:color w:val="000000"/>
                <w:sz w:val="19"/>
                <w:szCs w:val="19"/>
              </w:rPr>
              <w:t xml:space="preserve">» расчеты размеров неустойки (пени) за неисполнение или ненадлежащее исполнение обязательств, производились в соответствии с требованиями постановления Правительства Российской Федерации № 790, однако в государственных контрактах размер штрафных санкций отражался без указания конкретного размера (указан диапазон от 0,1 до 0,3 %), что приводило к осуществлению расчета по минимальному размеру неустойки (пени). </w:t>
            </w:r>
            <w:proofErr w:type="gramStart"/>
            <w:r>
              <w:rPr>
                <w:color w:val="000000"/>
                <w:sz w:val="19"/>
                <w:szCs w:val="19"/>
              </w:rPr>
              <w:t>Например, АО «</w:t>
            </w:r>
            <w:proofErr w:type="spellStart"/>
            <w:r>
              <w:rPr>
                <w:color w:val="000000"/>
                <w:sz w:val="19"/>
                <w:szCs w:val="19"/>
              </w:rPr>
              <w:t>Крымэнерго</w:t>
            </w:r>
            <w:proofErr w:type="spellEnd"/>
            <w:r>
              <w:rPr>
                <w:color w:val="000000"/>
                <w:sz w:val="19"/>
                <w:szCs w:val="19"/>
              </w:rPr>
              <w:t>» в исковом заявлении от 22 ноября 2023 г. № ГД/3058, направленном в адрес ООО «</w:t>
            </w:r>
            <w:proofErr w:type="spellStart"/>
            <w:r>
              <w:rPr>
                <w:color w:val="000000"/>
                <w:sz w:val="19"/>
                <w:szCs w:val="19"/>
              </w:rPr>
              <w:t>Энерго</w:t>
            </w:r>
            <w:proofErr w:type="spellEnd"/>
            <w:r>
              <w:rPr>
                <w:color w:val="000000"/>
                <w:sz w:val="19"/>
                <w:szCs w:val="19"/>
              </w:rPr>
              <w:t>-Юг», начислена пеня за нарушение срока по разработке рабочей документации в размере 0,1 % от стоимости этапа (10 300,8 рублей за каждый день просрочки), при этом АО «</w:t>
            </w:r>
            <w:proofErr w:type="spellStart"/>
            <w:r>
              <w:rPr>
                <w:color w:val="000000"/>
                <w:sz w:val="19"/>
                <w:szCs w:val="19"/>
              </w:rPr>
              <w:t>Крымэнерго</w:t>
            </w:r>
            <w:proofErr w:type="spellEnd"/>
            <w:r>
              <w:rPr>
                <w:color w:val="000000"/>
                <w:sz w:val="19"/>
                <w:szCs w:val="19"/>
              </w:rPr>
              <w:t>» имело право использовать в расчете максимальный размер неустойки (0,3 % или 30 902,4 рубля за каждый день</w:t>
            </w:r>
            <w:proofErr w:type="gramEnd"/>
            <w:r>
              <w:rPr>
                <w:color w:val="000000"/>
                <w:sz w:val="19"/>
                <w:szCs w:val="19"/>
              </w:rPr>
              <w:t xml:space="preserve"> просрочки).</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20 601,6</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АКЦИОНЕРНОЕ ОБЩЕСТВО "КРЫМЭНЕРГО"</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2545894698. В ходе контрольного мероприятия установлено, что по состоянию на 1 октября 2024 года остатки целевых средств на лицевом счете АО «</w:t>
            </w:r>
            <w:proofErr w:type="spellStart"/>
            <w:r>
              <w:rPr>
                <w:color w:val="000000"/>
                <w:sz w:val="19"/>
                <w:szCs w:val="19"/>
              </w:rPr>
              <w:t>Крымэнерго</w:t>
            </w:r>
            <w:proofErr w:type="spellEnd"/>
            <w:r>
              <w:rPr>
                <w:color w:val="000000"/>
                <w:sz w:val="19"/>
                <w:szCs w:val="19"/>
              </w:rPr>
              <w:t xml:space="preserve">» составляют 4 432,0 </w:t>
            </w:r>
            <w:proofErr w:type="gramStart"/>
            <w:r>
              <w:rPr>
                <w:color w:val="000000"/>
                <w:sz w:val="19"/>
                <w:szCs w:val="19"/>
              </w:rPr>
              <w:t>млн</w:t>
            </w:r>
            <w:proofErr w:type="gramEnd"/>
            <w:r>
              <w:rPr>
                <w:color w:val="000000"/>
                <w:sz w:val="19"/>
                <w:szCs w:val="19"/>
              </w:rPr>
              <w:t xml:space="preserve"> рублей.</w:t>
            </w:r>
            <w:r>
              <w:rPr>
                <w:color w:val="000000"/>
                <w:sz w:val="19"/>
                <w:szCs w:val="19"/>
              </w:rPr>
              <w:br/>
            </w:r>
            <w:proofErr w:type="gramStart"/>
            <w:r>
              <w:rPr>
                <w:color w:val="000000"/>
                <w:sz w:val="19"/>
                <w:szCs w:val="19"/>
              </w:rPr>
              <w:t>Пунктами 5.6.2 Договоров о предоставлении из федерального бюджета бюджетных инвестиций юридическому лицу, не являющемуся федеральным государственным учреждением и федеральным государственным унитарным (далее   ДБИ), АО «</w:t>
            </w:r>
            <w:proofErr w:type="spellStart"/>
            <w:r>
              <w:rPr>
                <w:color w:val="000000"/>
                <w:sz w:val="19"/>
                <w:szCs w:val="19"/>
              </w:rPr>
              <w:t>Крымэнерго</w:t>
            </w:r>
            <w:proofErr w:type="spellEnd"/>
            <w:r>
              <w:rPr>
                <w:color w:val="000000"/>
                <w:sz w:val="19"/>
                <w:szCs w:val="19"/>
              </w:rPr>
              <w:t>» предоставлено право направлять Минэнерго России документы, указанные в пунктах 5.2.5 ДБИ, и информацию о неисполненных обязательствах АО «</w:t>
            </w:r>
            <w:proofErr w:type="spellStart"/>
            <w:r>
              <w:rPr>
                <w:color w:val="000000"/>
                <w:sz w:val="19"/>
                <w:szCs w:val="19"/>
              </w:rPr>
              <w:t>Крымэнерго</w:t>
            </w:r>
            <w:proofErr w:type="spellEnd"/>
            <w:r>
              <w:rPr>
                <w:color w:val="000000"/>
                <w:sz w:val="19"/>
                <w:szCs w:val="19"/>
              </w:rPr>
              <w:t xml:space="preserve">», источником финансового обеспечения которых являются бюджетные инвестиции, и направлениях их </w:t>
            </w:r>
            <w:r>
              <w:rPr>
                <w:color w:val="000000"/>
                <w:sz w:val="19"/>
                <w:szCs w:val="19"/>
              </w:rPr>
              <w:lastRenderedPageBreak/>
              <w:t>использования не позднее 10 рабочих дней, следующих</w:t>
            </w:r>
            <w:proofErr w:type="gramEnd"/>
            <w:r>
              <w:rPr>
                <w:color w:val="000000"/>
                <w:sz w:val="19"/>
                <w:szCs w:val="19"/>
              </w:rPr>
              <w:t xml:space="preserve"> за отчетным финансовым годом/10 рабочих дней, следующих за днем поступления АО «</w:t>
            </w:r>
            <w:proofErr w:type="spellStart"/>
            <w:r>
              <w:rPr>
                <w:color w:val="000000"/>
                <w:sz w:val="19"/>
                <w:szCs w:val="19"/>
              </w:rPr>
              <w:t>Крымэнерго</w:t>
            </w:r>
            <w:proofErr w:type="spellEnd"/>
            <w:r>
              <w:rPr>
                <w:color w:val="000000"/>
                <w:sz w:val="19"/>
                <w:szCs w:val="19"/>
              </w:rPr>
              <w:t>» средств от возврата дебиторской задолженности.</w:t>
            </w:r>
            <w:r>
              <w:rPr>
                <w:color w:val="000000"/>
                <w:sz w:val="19"/>
                <w:szCs w:val="19"/>
              </w:rPr>
              <w:br/>
            </w:r>
            <w:proofErr w:type="gramStart"/>
            <w:r>
              <w:rPr>
                <w:color w:val="000000"/>
                <w:sz w:val="19"/>
                <w:szCs w:val="19"/>
              </w:rPr>
              <w:t>Пунктами 5.2.5.1 ДБИ, Минэнерго России предоставлено право принятия решения об использовании остатка бюджетных инвестиций, не использованных на начало очередного финансового года, на цель, указанную в пункте 1.1 ДБИ, не позднее 10 рабочих дней после получения от АО «</w:t>
            </w:r>
            <w:proofErr w:type="spellStart"/>
            <w:r>
              <w:rPr>
                <w:color w:val="000000"/>
                <w:sz w:val="19"/>
                <w:szCs w:val="19"/>
              </w:rPr>
              <w:t>Крымэнерго</w:t>
            </w:r>
            <w:proofErr w:type="spellEnd"/>
            <w:r>
              <w:rPr>
                <w:color w:val="000000"/>
                <w:sz w:val="19"/>
                <w:szCs w:val="19"/>
              </w:rPr>
              <w:t>» документов, обосновывающих потребность в направлении средств на цель, указанную в пункте 1.1 ДБИ либо на иную цель, определенную в соответствии с федеральным</w:t>
            </w:r>
            <w:proofErr w:type="gramEnd"/>
            <w:r>
              <w:rPr>
                <w:color w:val="000000"/>
                <w:sz w:val="19"/>
                <w:szCs w:val="19"/>
              </w:rPr>
              <w:t xml:space="preserve"> законом о федеральном бюджете на соответствующий финансовый год и на плановый период.</w:t>
            </w:r>
            <w:r>
              <w:rPr>
                <w:color w:val="000000"/>
                <w:sz w:val="19"/>
                <w:szCs w:val="19"/>
              </w:rPr>
              <w:br/>
              <w:t>АО «</w:t>
            </w:r>
            <w:proofErr w:type="spellStart"/>
            <w:r>
              <w:rPr>
                <w:color w:val="000000"/>
                <w:sz w:val="19"/>
                <w:szCs w:val="19"/>
              </w:rPr>
              <w:t>Крымэнерго</w:t>
            </w:r>
            <w:proofErr w:type="spellEnd"/>
            <w:r>
              <w:rPr>
                <w:color w:val="000000"/>
                <w:sz w:val="19"/>
                <w:szCs w:val="19"/>
              </w:rPr>
              <w:t xml:space="preserve">» не реализовало право, предусмотренное пунктами 5.6.2 ДБИ, что привело к остановке работ по строительству объекта «Строительство транзита 110 </w:t>
            </w:r>
            <w:proofErr w:type="spellStart"/>
            <w:r>
              <w:rPr>
                <w:color w:val="000000"/>
                <w:sz w:val="19"/>
                <w:szCs w:val="19"/>
              </w:rPr>
              <w:t>кВ</w:t>
            </w:r>
            <w:proofErr w:type="spellEnd"/>
            <w:r>
              <w:rPr>
                <w:color w:val="000000"/>
                <w:sz w:val="19"/>
                <w:szCs w:val="19"/>
              </w:rPr>
              <w:t xml:space="preserve"> Севастопольская–Ялта–Лучистое в </w:t>
            </w:r>
            <w:proofErr w:type="spellStart"/>
            <w:r>
              <w:rPr>
                <w:color w:val="000000"/>
                <w:sz w:val="19"/>
                <w:szCs w:val="19"/>
              </w:rPr>
              <w:t>двухцепном</w:t>
            </w:r>
            <w:proofErr w:type="spellEnd"/>
            <w:r>
              <w:rPr>
                <w:color w:val="000000"/>
                <w:sz w:val="19"/>
                <w:szCs w:val="19"/>
              </w:rPr>
              <w:t xml:space="preserve"> исполнении (в том числе ПИР). Шестой этап строительства: «Реконструкция ПС 110 </w:t>
            </w:r>
            <w:proofErr w:type="spellStart"/>
            <w:r>
              <w:rPr>
                <w:color w:val="000000"/>
                <w:sz w:val="19"/>
                <w:szCs w:val="19"/>
              </w:rPr>
              <w:t>кВ</w:t>
            </w:r>
            <w:proofErr w:type="spellEnd"/>
            <w:r>
              <w:rPr>
                <w:color w:val="000000"/>
                <w:sz w:val="19"/>
                <w:szCs w:val="19"/>
              </w:rPr>
              <w:t xml:space="preserve"> </w:t>
            </w:r>
            <w:proofErr w:type="spellStart"/>
            <w:r>
              <w:rPr>
                <w:color w:val="000000"/>
                <w:sz w:val="19"/>
                <w:szCs w:val="19"/>
              </w:rPr>
              <w:t>Гаспра</w:t>
            </w:r>
            <w:proofErr w:type="spellEnd"/>
            <w:r>
              <w:rPr>
                <w:color w:val="000000"/>
                <w:sz w:val="19"/>
                <w:szCs w:val="19"/>
              </w:rPr>
              <w:t xml:space="preserve"> (включая ПИР)» (далее также – ПС </w:t>
            </w:r>
            <w:proofErr w:type="spellStart"/>
            <w:r>
              <w:rPr>
                <w:color w:val="000000"/>
                <w:sz w:val="19"/>
                <w:szCs w:val="19"/>
              </w:rPr>
              <w:t>Гаспра</w:t>
            </w:r>
            <w:proofErr w:type="spellEnd"/>
            <w:r>
              <w:rPr>
                <w:color w:val="000000"/>
                <w:sz w:val="19"/>
                <w:szCs w:val="19"/>
              </w:rPr>
              <w:t>).</w:t>
            </w:r>
            <w:r>
              <w:rPr>
                <w:color w:val="000000"/>
                <w:sz w:val="19"/>
                <w:szCs w:val="19"/>
              </w:rPr>
              <w:br/>
              <w:t xml:space="preserve">Так, в ходе проверки установлен факт приостановки строительства ПС </w:t>
            </w:r>
            <w:proofErr w:type="spellStart"/>
            <w:r>
              <w:rPr>
                <w:color w:val="000000"/>
                <w:sz w:val="19"/>
                <w:szCs w:val="19"/>
              </w:rPr>
              <w:t>Гаспра</w:t>
            </w:r>
            <w:proofErr w:type="spellEnd"/>
            <w:r>
              <w:rPr>
                <w:color w:val="000000"/>
                <w:sz w:val="19"/>
                <w:szCs w:val="19"/>
              </w:rPr>
              <w:t xml:space="preserve"> в связи с неосуществлением оплаты выполненных работ со стороны АО «</w:t>
            </w:r>
            <w:proofErr w:type="spellStart"/>
            <w:r>
              <w:rPr>
                <w:color w:val="000000"/>
                <w:sz w:val="19"/>
                <w:szCs w:val="19"/>
              </w:rPr>
              <w:t>Крымэнерго</w:t>
            </w:r>
            <w:proofErr w:type="spellEnd"/>
            <w:r>
              <w:rPr>
                <w:color w:val="000000"/>
                <w:sz w:val="19"/>
                <w:szCs w:val="19"/>
              </w:rPr>
              <w:t xml:space="preserve">». Согласно ДБИ  на строительство объекта в 2022–2023 годах предусмотрены целевые средства в размере 394,8 </w:t>
            </w:r>
            <w:proofErr w:type="gramStart"/>
            <w:r>
              <w:rPr>
                <w:color w:val="000000"/>
                <w:sz w:val="19"/>
                <w:szCs w:val="19"/>
              </w:rPr>
              <w:t>млн</w:t>
            </w:r>
            <w:proofErr w:type="gramEnd"/>
            <w:r>
              <w:rPr>
                <w:color w:val="000000"/>
                <w:sz w:val="19"/>
                <w:szCs w:val="19"/>
              </w:rPr>
              <w:t xml:space="preserve"> рублей. По состоянию на 18 октября 2024 года АО «</w:t>
            </w:r>
            <w:proofErr w:type="spellStart"/>
            <w:r>
              <w:rPr>
                <w:color w:val="000000"/>
                <w:sz w:val="19"/>
                <w:szCs w:val="19"/>
              </w:rPr>
              <w:t>Крымэнерго</w:t>
            </w:r>
            <w:proofErr w:type="spellEnd"/>
            <w:r>
              <w:rPr>
                <w:color w:val="000000"/>
                <w:sz w:val="19"/>
                <w:szCs w:val="19"/>
              </w:rPr>
              <w:t xml:space="preserve">» осуществлена оплата выполненных работ на общую сумму 390,3 </w:t>
            </w:r>
            <w:proofErr w:type="gramStart"/>
            <w:r>
              <w:rPr>
                <w:color w:val="000000"/>
                <w:sz w:val="19"/>
                <w:szCs w:val="19"/>
              </w:rPr>
              <w:t>млн</w:t>
            </w:r>
            <w:proofErr w:type="gramEnd"/>
            <w:r>
              <w:rPr>
                <w:color w:val="000000"/>
                <w:sz w:val="19"/>
                <w:szCs w:val="19"/>
              </w:rPr>
              <w:t xml:space="preserve"> рублей. При этом в бухгалтерском учете АО «</w:t>
            </w:r>
            <w:proofErr w:type="spellStart"/>
            <w:r>
              <w:rPr>
                <w:color w:val="000000"/>
                <w:sz w:val="19"/>
                <w:szCs w:val="19"/>
              </w:rPr>
              <w:t>Крымэнерго</w:t>
            </w:r>
            <w:proofErr w:type="spellEnd"/>
            <w:r>
              <w:rPr>
                <w:color w:val="000000"/>
                <w:sz w:val="19"/>
                <w:szCs w:val="19"/>
              </w:rPr>
              <w:t xml:space="preserve">» на счете 60 «Расчеты с поставщиками и подрядчиками» по вышеуказанному объекту числится </w:t>
            </w:r>
            <w:r>
              <w:rPr>
                <w:color w:val="000000"/>
                <w:sz w:val="19"/>
                <w:szCs w:val="19"/>
              </w:rPr>
              <w:lastRenderedPageBreak/>
              <w:t xml:space="preserve">кредиторская задолженность на общую сумму 45,1 </w:t>
            </w:r>
            <w:proofErr w:type="gramStart"/>
            <w:r>
              <w:rPr>
                <w:color w:val="000000"/>
                <w:sz w:val="19"/>
                <w:szCs w:val="19"/>
              </w:rPr>
              <w:t>млн</w:t>
            </w:r>
            <w:proofErr w:type="gramEnd"/>
            <w:r>
              <w:rPr>
                <w:color w:val="000000"/>
                <w:sz w:val="19"/>
                <w:szCs w:val="19"/>
              </w:rPr>
              <w:t xml:space="preserve"> рублей. Кроме того, по информации АО «</w:t>
            </w:r>
            <w:proofErr w:type="spellStart"/>
            <w:r>
              <w:rPr>
                <w:color w:val="000000"/>
                <w:sz w:val="19"/>
                <w:szCs w:val="19"/>
              </w:rPr>
              <w:t>Крымэнерго</w:t>
            </w:r>
            <w:proofErr w:type="spellEnd"/>
            <w:r>
              <w:rPr>
                <w:color w:val="000000"/>
                <w:sz w:val="19"/>
                <w:szCs w:val="19"/>
              </w:rPr>
              <w:t xml:space="preserve">», подрядчиком были подготовлены акты выполненных работ на сумму 166,3 </w:t>
            </w:r>
            <w:proofErr w:type="gramStart"/>
            <w:r>
              <w:rPr>
                <w:color w:val="000000"/>
                <w:sz w:val="19"/>
                <w:szCs w:val="19"/>
              </w:rPr>
              <w:t>млн</w:t>
            </w:r>
            <w:proofErr w:type="gramEnd"/>
            <w:r>
              <w:rPr>
                <w:color w:val="000000"/>
                <w:sz w:val="19"/>
                <w:szCs w:val="19"/>
              </w:rPr>
              <w:t xml:space="preserve"> рублей.</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664E11">
            <w:pPr>
              <w:jc w:val="center"/>
              <w:rPr>
                <w:color w:val="000000"/>
                <w:sz w:val="19"/>
                <w:szCs w:val="19"/>
              </w:rPr>
            </w:pPr>
          </w:p>
        </w:tc>
      </w:tr>
      <w:tr w:rsidR="00664E11">
        <w:trPr>
          <w:gridAfter w:val="1"/>
          <w:wAfter w:w="15" w:type="dxa"/>
          <w:trHeight w:val="330"/>
        </w:trPr>
        <w:tc>
          <w:tcPr>
            <w:tcW w:w="12194" w:type="dxa"/>
            <w:gridSpan w:val="13"/>
            <w:tcBorders>
              <w:top w:val="single" w:sz="6" w:space="0" w:color="000000"/>
              <w:left w:val="single" w:sz="6" w:space="0" w:color="000000"/>
              <w:bottom w:val="single" w:sz="6" w:space="0" w:color="000000"/>
              <w:right w:val="single" w:sz="6" w:space="0" w:color="000000"/>
            </w:tcBorders>
            <w:vAlign w:val="center"/>
          </w:tcPr>
          <w:p w:rsidR="00664E11" w:rsidRDefault="00833D40">
            <w:pPr>
              <w:ind w:right="113"/>
              <w:jc w:val="right"/>
              <w:rPr>
                <w:b/>
                <w:bCs/>
                <w:color w:val="000000"/>
                <w:sz w:val="19"/>
                <w:szCs w:val="19"/>
              </w:rPr>
            </w:pPr>
            <w:r>
              <w:rPr>
                <w:b/>
                <w:bCs/>
                <w:color w:val="000000"/>
                <w:sz w:val="19"/>
                <w:szCs w:val="19"/>
              </w:rPr>
              <w:lastRenderedPageBreak/>
              <w:t>Всего по разделу 2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b/>
                <w:bCs/>
                <w:color w:val="000000"/>
                <w:sz w:val="19"/>
                <w:szCs w:val="19"/>
              </w:rPr>
            </w:pPr>
            <w:r>
              <w:rPr>
                <w:b/>
                <w:bCs/>
                <w:color w:val="000000"/>
                <w:sz w:val="19"/>
                <w:szCs w:val="19"/>
              </w:rPr>
              <w:t>73 710,3</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664E11" w:rsidRDefault="00664E11">
            <w:pPr>
              <w:jc w:val="center"/>
              <w:rPr>
                <w:b/>
                <w:bCs/>
                <w:color w:val="000000"/>
                <w:sz w:val="19"/>
                <w:szCs w:val="19"/>
              </w:rPr>
            </w:pPr>
          </w:p>
        </w:tc>
      </w:tr>
      <w:tr w:rsidR="00664E11">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664E11" w:rsidRDefault="00833D40">
            <w:pPr>
              <w:rPr>
                <w:b/>
                <w:bCs/>
                <w:color w:val="000000"/>
                <w:sz w:val="19"/>
                <w:szCs w:val="19"/>
              </w:rPr>
            </w:pPr>
            <w:r>
              <w:rPr>
                <w:b/>
                <w:bCs/>
                <w:color w:val="000000"/>
                <w:sz w:val="19"/>
                <w:szCs w:val="19"/>
              </w:rPr>
              <w:t>3. Неэффективное использование федеральных и иных ресурсов в пределах компетенции Счетной палаты</w:t>
            </w:r>
          </w:p>
        </w:tc>
      </w:tr>
      <w:tr w:rsidR="00664E11">
        <w:trPr>
          <w:trHeight w:val="345"/>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664E11" w:rsidRDefault="00833D40">
            <w:pPr>
              <w:rPr>
                <w:b/>
                <w:bCs/>
                <w:color w:val="000000"/>
                <w:sz w:val="19"/>
                <w:szCs w:val="19"/>
              </w:rPr>
            </w:pPr>
            <w:r>
              <w:rPr>
                <w:b/>
                <w:bCs/>
                <w:color w:val="000000"/>
                <w:sz w:val="19"/>
                <w:szCs w:val="19"/>
              </w:rPr>
              <w:t>3.1. Неэффективное использование средств федерального бюджета и бюджета государственных внебюджетных фондов</w:t>
            </w:r>
          </w:p>
        </w:tc>
      </w:tr>
      <w:tr w:rsidR="00664E11">
        <w:trPr>
          <w:trHeight w:val="330"/>
        </w:trPr>
        <w:tc>
          <w:tcPr>
            <w:tcW w:w="15134" w:type="dxa"/>
            <w:gridSpan w:val="18"/>
            <w:tcBorders>
              <w:top w:val="single" w:sz="6" w:space="0" w:color="000000"/>
              <w:left w:val="single" w:sz="6" w:space="0" w:color="000000"/>
              <w:bottom w:val="single" w:sz="6" w:space="0" w:color="000000"/>
              <w:right w:val="single" w:sz="6" w:space="0" w:color="000000"/>
            </w:tcBorders>
            <w:vAlign w:val="center"/>
          </w:tcPr>
          <w:p w:rsidR="00664E11" w:rsidRDefault="00833D40">
            <w:pPr>
              <w:rPr>
                <w:b/>
                <w:bCs/>
                <w:color w:val="000000"/>
                <w:sz w:val="19"/>
                <w:szCs w:val="19"/>
              </w:rPr>
            </w:pPr>
            <w:r>
              <w:rPr>
                <w:b/>
                <w:bCs/>
                <w:color w:val="000000"/>
                <w:sz w:val="19"/>
                <w:szCs w:val="19"/>
              </w:rPr>
              <w:t>3.2. Неэффективное использование федеральной собственности и иных ресурсов</w:t>
            </w:r>
          </w:p>
        </w:tc>
      </w:tr>
      <w:tr w:rsidR="00664E11">
        <w:tc>
          <w:tcPr>
            <w:tcW w:w="2039"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040"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МИНИСТЕРСТВО ЭНЕРГЕТИКИ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w:t>
            </w:r>
          </w:p>
        </w:tc>
        <w:tc>
          <w:tcPr>
            <w:tcW w:w="2265" w:type="dxa"/>
            <w:gridSpan w:val="2"/>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664E11" w:rsidRDefault="00833D40" w:rsidP="00590109">
            <w:pPr>
              <w:jc w:val="center"/>
              <w:rPr>
                <w:color w:val="000000"/>
                <w:sz w:val="19"/>
                <w:szCs w:val="19"/>
              </w:rPr>
            </w:pPr>
            <w:r>
              <w:rPr>
                <w:color w:val="000000"/>
                <w:sz w:val="19"/>
                <w:szCs w:val="19"/>
              </w:rPr>
              <w:t>2551158654. В рамках контракта от 21 января 2020 г. № 44-2 на выполнение проектно-изыскательских работ (далее   ПИР) АО «</w:t>
            </w:r>
            <w:proofErr w:type="spellStart"/>
            <w:r>
              <w:rPr>
                <w:color w:val="000000"/>
                <w:sz w:val="19"/>
                <w:szCs w:val="19"/>
              </w:rPr>
              <w:t>Крымэнерго</w:t>
            </w:r>
            <w:proofErr w:type="spellEnd"/>
            <w:r>
              <w:rPr>
                <w:color w:val="000000"/>
                <w:sz w:val="19"/>
                <w:szCs w:val="19"/>
              </w:rPr>
              <w:t xml:space="preserve">» приняты и оплачены работы по объекту Строительство СМПР и ПС Джанкой, выполненные ООО «КАПШИН» на общую сумму 129,5 </w:t>
            </w:r>
            <w:proofErr w:type="gramStart"/>
            <w:r>
              <w:rPr>
                <w:color w:val="000000"/>
                <w:sz w:val="19"/>
                <w:szCs w:val="19"/>
              </w:rPr>
              <w:t>млн</w:t>
            </w:r>
            <w:proofErr w:type="gramEnd"/>
            <w:r>
              <w:rPr>
                <w:color w:val="000000"/>
                <w:sz w:val="19"/>
                <w:szCs w:val="19"/>
              </w:rPr>
              <w:t xml:space="preserve"> рублей.</w:t>
            </w:r>
            <w:r>
              <w:rPr>
                <w:color w:val="000000"/>
                <w:sz w:val="19"/>
                <w:szCs w:val="19"/>
              </w:rPr>
              <w:br/>
              <w:t xml:space="preserve">В соответствии с протоколом совещания у заместителя Министра энергетики Российской Федерации </w:t>
            </w:r>
            <w:proofErr w:type="spellStart"/>
            <w:r>
              <w:rPr>
                <w:color w:val="000000"/>
                <w:sz w:val="19"/>
                <w:szCs w:val="19"/>
              </w:rPr>
              <w:t>Грабчака</w:t>
            </w:r>
            <w:proofErr w:type="spellEnd"/>
            <w:r>
              <w:rPr>
                <w:color w:val="000000"/>
                <w:sz w:val="19"/>
                <w:szCs w:val="19"/>
              </w:rPr>
              <w:t xml:space="preserve"> Е.</w:t>
            </w:r>
            <w:r w:rsidR="00590109">
              <w:rPr>
                <w:color w:val="000000"/>
                <w:sz w:val="19"/>
                <w:szCs w:val="19"/>
              </w:rPr>
              <w:t>П</w:t>
            </w:r>
            <w:r>
              <w:rPr>
                <w:color w:val="000000"/>
                <w:sz w:val="19"/>
                <w:szCs w:val="19"/>
              </w:rPr>
              <w:t xml:space="preserve">. от 27 апреля 2021 г. </w:t>
            </w:r>
            <w:r>
              <w:rPr>
                <w:color w:val="000000"/>
                <w:sz w:val="19"/>
                <w:szCs w:val="19"/>
              </w:rPr>
              <w:br/>
              <w:t xml:space="preserve">№ ЕГ-129пр принято решение о реализации объекта Строительство СМПР за счет средств субъектов электроэнергетики. Кроме того, в соответствии с протоколом совещания у заместителя Министра энергетики Российской Федерации </w:t>
            </w:r>
            <w:proofErr w:type="spellStart"/>
            <w:r>
              <w:rPr>
                <w:color w:val="000000"/>
                <w:sz w:val="19"/>
                <w:szCs w:val="19"/>
              </w:rPr>
              <w:t>Грабчака</w:t>
            </w:r>
            <w:proofErr w:type="spellEnd"/>
            <w:r>
              <w:rPr>
                <w:color w:val="000000"/>
                <w:sz w:val="19"/>
                <w:szCs w:val="19"/>
              </w:rPr>
              <w:t xml:space="preserve"> Е.</w:t>
            </w:r>
            <w:r w:rsidR="00590109">
              <w:rPr>
                <w:color w:val="000000"/>
                <w:sz w:val="19"/>
                <w:szCs w:val="19"/>
              </w:rPr>
              <w:t>П</w:t>
            </w:r>
            <w:r>
              <w:rPr>
                <w:color w:val="000000"/>
                <w:sz w:val="19"/>
                <w:szCs w:val="19"/>
              </w:rPr>
              <w:t>. от 8 июня 2022 г. № ЕГ-164пр принято решение о нецелесообразности дальнейшей реализации объекта ПС Джанкой.</w:t>
            </w:r>
            <w:r>
              <w:rPr>
                <w:color w:val="000000"/>
                <w:sz w:val="19"/>
                <w:szCs w:val="19"/>
              </w:rPr>
              <w:br/>
              <w:t>Проектно-сметная документация по объектам Строительство СМПР и ПС Джанкой, разработанная за счет средств федерального бюджета, не востребована. Проведение строительно-монтажных работ по объектам за счет средств федерального бюджета не планируется. Минэнерго России неиспользованные средства на Строительство СМПР перераспределены на иные мероп</w:t>
            </w:r>
            <w:bookmarkStart w:id="0" w:name="_GoBack"/>
            <w:bookmarkEnd w:id="0"/>
            <w:r>
              <w:rPr>
                <w:color w:val="000000"/>
                <w:sz w:val="19"/>
                <w:szCs w:val="19"/>
              </w:rPr>
              <w:t>риятия.</w:t>
            </w:r>
            <w:r>
              <w:rPr>
                <w:color w:val="000000"/>
                <w:sz w:val="19"/>
                <w:szCs w:val="19"/>
              </w:rPr>
              <w:br/>
            </w:r>
            <w:r>
              <w:rPr>
                <w:color w:val="000000"/>
                <w:sz w:val="19"/>
                <w:szCs w:val="19"/>
              </w:rPr>
              <w:lastRenderedPageBreak/>
              <w:t xml:space="preserve">Указанное свидетельствует о неэффективном использовании ресурсов, созданных за счет средств бюджетных инвестиций на сумму 129,5 </w:t>
            </w:r>
            <w:proofErr w:type="gramStart"/>
            <w:r>
              <w:rPr>
                <w:color w:val="000000"/>
                <w:sz w:val="19"/>
                <w:szCs w:val="19"/>
              </w:rPr>
              <w:t>млн</w:t>
            </w:r>
            <w:proofErr w:type="gramEnd"/>
            <w:r>
              <w:rPr>
                <w:color w:val="000000"/>
                <w:sz w:val="19"/>
                <w:szCs w:val="19"/>
              </w:rPr>
              <w:t xml:space="preserve"> рублей.</w:t>
            </w:r>
          </w:p>
        </w:tc>
        <w:tc>
          <w:tcPr>
            <w:tcW w:w="1245" w:type="dxa"/>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lastRenderedPageBreak/>
              <w:t>129 500,0</w:t>
            </w:r>
          </w:p>
        </w:tc>
        <w:tc>
          <w:tcPr>
            <w:tcW w:w="1695" w:type="dxa"/>
            <w:gridSpan w:val="4"/>
            <w:tcBorders>
              <w:top w:val="single" w:sz="6" w:space="0" w:color="000000"/>
              <w:left w:val="single" w:sz="6" w:space="0" w:color="000000"/>
              <w:bottom w:val="single" w:sz="6" w:space="0" w:color="000000"/>
              <w:right w:val="single" w:sz="6" w:space="0" w:color="000000"/>
            </w:tcBorders>
          </w:tcPr>
          <w:p w:rsidR="00664E11" w:rsidRDefault="00833D40">
            <w:pPr>
              <w:jc w:val="center"/>
              <w:rPr>
                <w:color w:val="000000"/>
                <w:sz w:val="19"/>
                <w:szCs w:val="19"/>
              </w:rPr>
            </w:pPr>
            <w:r>
              <w:rPr>
                <w:color w:val="000000"/>
                <w:sz w:val="19"/>
                <w:szCs w:val="19"/>
              </w:rPr>
              <w:t>XXX</w:t>
            </w:r>
          </w:p>
        </w:tc>
      </w:tr>
      <w:tr w:rsidR="00664E11">
        <w:trPr>
          <w:gridAfter w:val="1"/>
          <w:wAfter w:w="15" w:type="dxa"/>
          <w:trHeight w:val="345"/>
        </w:trPr>
        <w:tc>
          <w:tcPr>
            <w:tcW w:w="12194" w:type="dxa"/>
            <w:gridSpan w:val="13"/>
            <w:tcBorders>
              <w:top w:val="single" w:sz="6" w:space="0" w:color="000000"/>
              <w:left w:val="single" w:sz="6" w:space="0" w:color="000000"/>
              <w:bottom w:val="single" w:sz="6" w:space="0" w:color="000000"/>
              <w:right w:val="single" w:sz="6" w:space="0" w:color="000000"/>
            </w:tcBorders>
            <w:vAlign w:val="center"/>
          </w:tcPr>
          <w:p w:rsidR="00664E11" w:rsidRDefault="00833D40">
            <w:pPr>
              <w:ind w:right="113"/>
              <w:jc w:val="right"/>
              <w:rPr>
                <w:b/>
                <w:bCs/>
                <w:color w:val="000000"/>
                <w:sz w:val="19"/>
                <w:szCs w:val="19"/>
              </w:rPr>
            </w:pPr>
            <w:r>
              <w:rPr>
                <w:b/>
                <w:bCs/>
                <w:color w:val="000000"/>
                <w:sz w:val="19"/>
                <w:szCs w:val="19"/>
              </w:rPr>
              <w:lastRenderedPageBreak/>
              <w:t>Всего по разделу 3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664E11" w:rsidRDefault="00833D40">
            <w:pPr>
              <w:jc w:val="center"/>
              <w:rPr>
                <w:b/>
                <w:bCs/>
                <w:color w:val="000000"/>
                <w:sz w:val="19"/>
                <w:szCs w:val="19"/>
              </w:rPr>
            </w:pPr>
            <w:r>
              <w:rPr>
                <w:b/>
                <w:bCs/>
                <w:color w:val="000000"/>
                <w:sz w:val="19"/>
                <w:szCs w:val="19"/>
              </w:rPr>
              <w:t>129 500,0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664E11" w:rsidRDefault="00664E11">
            <w:pPr>
              <w:jc w:val="center"/>
              <w:rPr>
                <w:b/>
                <w:bCs/>
                <w:color w:val="000000"/>
                <w:sz w:val="19"/>
                <w:szCs w:val="19"/>
              </w:rPr>
            </w:pPr>
          </w:p>
        </w:tc>
      </w:tr>
      <w:tr w:rsidR="00664E11">
        <w:trPr>
          <w:trHeight w:hRule="exact" w:val="1080"/>
        </w:trPr>
        <w:tc>
          <w:tcPr>
            <w:tcW w:w="8339" w:type="dxa"/>
            <w:gridSpan w:val="9"/>
            <w:tcBorders>
              <w:top w:val="nil"/>
              <w:left w:val="nil"/>
              <w:bottom w:val="nil"/>
              <w:right w:val="nil"/>
            </w:tcBorders>
          </w:tcPr>
          <w:p w:rsidR="00664E11" w:rsidRDefault="00664E11">
            <w:pPr>
              <w:rPr>
                <w:rFonts w:cstheme="minorBidi"/>
                <w:sz w:val="1"/>
                <w:szCs w:val="1"/>
              </w:rPr>
            </w:pPr>
          </w:p>
        </w:tc>
        <w:tc>
          <w:tcPr>
            <w:tcW w:w="2790" w:type="dxa"/>
            <w:gridSpan w:val="3"/>
            <w:tcBorders>
              <w:top w:val="nil"/>
              <w:left w:val="nil"/>
              <w:bottom w:val="nil"/>
              <w:right w:val="nil"/>
            </w:tcBorders>
          </w:tcPr>
          <w:p w:rsidR="00664E11" w:rsidRDefault="00664E11">
            <w:pPr>
              <w:rPr>
                <w:rFonts w:cstheme="minorBidi"/>
                <w:sz w:val="1"/>
                <w:szCs w:val="1"/>
              </w:rPr>
            </w:pPr>
          </w:p>
        </w:tc>
        <w:tc>
          <w:tcPr>
            <w:tcW w:w="4005" w:type="dxa"/>
            <w:gridSpan w:val="6"/>
            <w:tcBorders>
              <w:top w:val="nil"/>
              <w:left w:val="nil"/>
              <w:bottom w:val="nil"/>
              <w:right w:val="nil"/>
            </w:tcBorders>
          </w:tcPr>
          <w:p w:rsidR="00664E11" w:rsidRDefault="00664E11">
            <w:pPr>
              <w:rPr>
                <w:rFonts w:cstheme="minorBidi"/>
                <w:sz w:val="1"/>
                <w:szCs w:val="1"/>
              </w:rPr>
            </w:pPr>
          </w:p>
        </w:tc>
      </w:tr>
      <w:tr w:rsidR="00664E11">
        <w:trPr>
          <w:trHeight w:val="345"/>
        </w:trPr>
        <w:tc>
          <w:tcPr>
            <w:tcW w:w="8339" w:type="dxa"/>
            <w:gridSpan w:val="9"/>
            <w:tcBorders>
              <w:top w:val="nil"/>
              <w:left w:val="nil"/>
              <w:bottom w:val="nil"/>
              <w:right w:val="nil"/>
            </w:tcBorders>
            <w:vAlign w:val="bottom"/>
          </w:tcPr>
          <w:p w:rsidR="00664E11" w:rsidRDefault="00664E11">
            <w:pPr>
              <w:jc w:val="right"/>
              <w:rPr>
                <w:color w:val="000000"/>
                <w:sz w:val="28"/>
                <w:szCs w:val="28"/>
              </w:rPr>
            </w:pPr>
          </w:p>
        </w:tc>
        <w:tc>
          <w:tcPr>
            <w:tcW w:w="2790" w:type="dxa"/>
            <w:gridSpan w:val="3"/>
            <w:tcBorders>
              <w:top w:val="nil"/>
              <w:left w:val="nil"/>
              <w:bottom w:val="nil"/>
              <w:right w:val="nil"/>
            </w:tcBorders>
            <w:vAlign w:val="bottom"/>
          </w:tcPr>
          <w:p w:rsidR="00664E11" w:rsidRDefault="00664E11">
            <w:pPr>
              <w:ind w:right="45"/>
              <w:jc w:val="right"/>
              <w:rPr>
                <w:color w:val="000000"/>
                <w:sz w:val="28"/>
                <w:szCs w:val="28"/>
              </w:rPr>
            </w:pPr>
          </w:p>
        </w:tc>
        <w:tc>
          <w:tcPr>
            <w:tcW w:w="4005" w:type="dxa"/>
            <w:gridSpan w:val="6"/>
            <w:tcBorders>
              <w:top w:val="nil"/>
              <w:left w:val="nil"/>
              <w:bottom w:val="nil"/>
              <w:right w:val="nil"/>
            </w:tcBorders>
            <w:vAlign w:val="bottom"/>
          </w:tcPr>
          <w:p w:rsidR="00664E11" w:rsidRDefault="00664E11">
            <w:pPr>
              <w:rPr>
                <w:color w:val="000000"/>
                <w:sz w:val="28"/>
                <w:szCs w:val="28"/>
              </w:rPr>
            </w:pPr>
          </w:p>
        </w:tc>
      </w:tr>
      <w:tr w:rsidR="00664E11">
        <w:trPr>
          <w:trHeight w:hRule="exact" w:val="690"/>
        </w:trPr>
        <w:tc>
          <w:tcPr>
            <w:tcW w:w="29" w:type="dxa"/>
            <w:tcBorders>
              <w:top w:val="nil"/>
              <w:left w:val="nil"/>
              <w:bottom w:val="nil"/>
              <w:right w:val="nil"/>
            </w:tcBorders>
          </w:tcPr>
          <w:p w:rsidR="00664E11" w:rsidRDefault="00664E11">
            <w:pPr>
              <w:rPr>
                <w:rFonts w:cstheme="minorBidi"/>
                <w:sz w:val="1"/>
                <w:szCs w:val="1"/>
              </w:rPr>
            </w:pPr>
          </w:p>
        </w:tc>
        <w:tc>
          <w:tcPr>
            <w:tcW w:w="150" w:type="dxa"/>
            <w:tcBorders>
              <w:top w:val="nil"/>
              <w:left w:val="nil"/>
              <w:bottom w:val="nil"/>
              <w:right w:val="nil"/>
            </w:tcBorders>
          </w:tcPr>
          <w:p w:rsidR="00664E11" w:rsidRDefault="00664E11">
            <w:pPr>
              <w:rPr>
                <w:rFonts w:cstheme="minorBidi"/>
                <w:sz w:val="1"/>
                <w:szCs w:val="1"/>
              </w:rPr>
            </w:pPr>
          </w:p>
        </w:tc>
        <w:tc>
          <w:tcPr>
            <w:tcW w:w="1305" w:type="dxa"/>
            <w:tcBorders>
              <w:top w:val="nil"/>
              <w:left w:val="nil"/>
              <w:bottom w:val="nil"/>
              <w:right w:val="nil"/>
            </w:tcBorders>
          </w:tcPr>
          <w:p w:rsidR="00664E11" w:rsidRDefault="00664E11">
            <w:pPr>
              <w:rPr>
                <w:rFonts w:cstheme="minorBidi"/>
                <w:sz w:val="1"/>
                <w:szCs w:val="1"/>
              </w:rPr>
            </w:pPr>
          </w:p>
        </w:tc>
        <w:tc>
          <w:tcPr>
            <w:tcW w:w="1005" w:type="dxa"/>
            <w:gridSpan w:val="2"/>
            <w:tcBorders>
              <w:top w:val="nil"/>
              <w:left w:val="nil"/>
              <w:bottom w:val="nil"/>
              <w:right w:val="nil"/>
            </w:tcBorders>
          </w:tcPr>
          <w:p w:rsidR="00664E11" w:rsidRDefault="00664E11">
            <w:pPr>
              <w:rPr>
                <w:rFonts w:cstheme="minorBidi"/>
                <w:sz w:val="1"/>
                <w:szCs w:val="1"/>
              </w:rPr>
            </w:pPr>
          </w:p>
        </w:tc>
        <w:tc>
          <w:tcPr>
            <w:tcW w:w="3405" w:type="dxa"/>
            <w:gridSpan w:val="2"/>
            <w:tcBorders>
              <w:top w:val="nil"/>
              <w:left w:val="nil"/>
              <w:bottom w:val="nil"/>
              <w:right w:val="nil"/>
            </w:tcBorders>
          </w:tcPr>
          <w:p w:rsidR="00664E11" w:rsidRDefault="00664E11">
            <w:pPr>
              <w:rPr>
                <w:rFonts w:cstheme="minorBidi"/>
                <w:sz w:val="1"/>
                <w:szCs w:val="1"/>
              </w:rPr>
            </w:pPr>
          </w:p>
        </w:tc>
        <w:tc>
          <w:tcPr>
            <w:tcW w:w="2745" w:type="dxa"/>
            <w:gridSpan w:val="4"/>
            <w:tcBorders>
              <w:top w:val="nil"/>
              <w:left w:val="nil"/>
              <w:bottom w:val="nil"/>
              <w:right w:val="nil"/>
            </w:tcBorders>
          </w:tcPr>
          <w:p w:rsidR="00664E11" w:rsidRDefault="00664E11">
            <w:pPr>
              <w:rPr>
                <w:rFonts w:cstheme="minorBidi"/>
                <w:sz w:val="1"/>
                <w:szCs w:val="1"/>
              </w:rPr>
            </w:pPr>
          </w:p>
        </w:tc>
        <w:tc>
          <w:tcPr>
            <w:tcW w:w="6315" w:type="dxa"/>
            <w:gridSpan w:val="4"/>
            <w:tcBorders>
              <w:top w:val="nil"/>
              <w:left w:val="nil"/>
              <w:bottom w:val="nil"/>
              <w:right w:val="nil"/>
            </w:tcBorders>
          </w:tcPr>
          <w:p w:rsidR="00664E11" w:rsidRDefault="00664E11">
            <w:pPr>
              <w:rPr>
                <w:rFonts w:cstheme="minorBidi"/>
                <w:sz w:val="1"/>
                <w:szCs w:val="1"/>
              </w:rPr>
            </w:pPr>
          </w:p>
        </w:tc>
        <w:tc>
          <w:tcPr>
            <w:tcW w:w="150" w:type="dxa"/>
            <w:tcBorders>
              <w:top w:val="nil"/>
              <w:left w:val="nil"/>
              <w:bottom w:val="nil"/>
              <w:right w:val="nil"/>
            </w:tcBorders>
          </w:tcPr>
          <w:p w:rsidR="00664E11" w:rsidRDefault="00664E11">
            <w:pPr>
              <w:rPr>
                <w:rFonts w:cstheme="minorBidi"/>
                <w:sz w:val="1"/>
                <w:szCs w:val="1"/>
              </w:rPr>
            </w:pPr>
          </w:p>
        </w:tc>
        <w:tc>
          <w:tcPr>
            <w:tcW w:w="30" w:type="dxa"/>
            <w:gridSpan w:val="2"/>
            <w:tcBorders>
              <w:top w:val="nil"/>
              <w:left w:val="nil"/>
              <w:bottom w:val="nil"/>
              <w:right w:val="nil"/>
            </w:tcBorders>
          </w:tcPr>
          <w:p w:rsidR="00664E11" w:rsidRDefault="00664E11">
            <w:pPr>
              <w:rPr>
                <w:rFonts w:cstheme="minorBidi"/>
                <w:sz w:val="1"/>
                <w:szCs w:val="1"/>
              </w:rPr>
            </w:pPr>
          </w:p>
        </w:tc>
      </w:tr>
      <w:tr w:rsidR="00664E11">
        <w:trPr>
          <w:trHeight w:hRule="exact" w:val="30"/>
        </w:trPr>
        <w:tc>
          <w:tcPr>
            <w:tcW w:w="29" w:type="dxa"/>
            <w:tcBorders>
              <w:top w:val="nil"/>
              <w:left w:val="nil"/>
              <w:bottom w:val="nil"/>
              <w:right w:val="nil"/>
            </w:tcBorders>
          </w:tcPr>
          <w:p w:rsidR="00664E11" w:rsidRDefault="00664E11">
            <w:pPr>
              <w:rPr>
                <w:rFonts w:cstheme="minorBidi"/>
                <w:sz w:val="1"/>
                <w:szCs w:val="1"/>
              </w:rPr>
            </w:pPr>
          </w:p>
        </w:tc>
        <w:tc>
          <w:tcPr>
            <w:tcW w:w="15075" w:type="dxa"/>
            <w:gridSpan w:val="15"/>
            <w:tcBorders>
              <w:top w:val="nil"/>
              <w:left w:val="nil"/>
              <w:bottom w:val="nil"/>
              <w:right w:val="nil"/>
            </w:tcBorders>
          </w:tcPr>
          <w:p w:rsidR="00664E11" w:rsidRDefault="00664E11">
            <w:pPr>
              <w:rPr>
                <w:color w:val="000000"/>
                <w:sz w:val="1"/>
                <w:szCs w:val="1"/>
              </w:rPr>
            </w:pPr>
          </w:p>
        </w:tc>
        <w:tc>
          <w:tcPr>
            <w:tcW w:w="30" w:type="dxa"/>
            <w:gridSpan w:val="2"/>
            <w:tcBorders>
              <w:top w:val="nil"/>
              <w:left w:val="nil"/>
              <w:bottom w:val="nil"/>
              <w:right w:val="nil"/>
            </w:tcBorders>
          </w:tcPr>
          <w:p w:rsidR="00664E11" w:rsidRDefault="00664E11">
            <w:pPr>
              <w:rPr>
                <w:rFonts w:cstheme="minorBidi"/>
                <w:sz w:val="1"/>
                <w:szCs w:val="1"/>
              </w:rPr>
            </w:pPr>
          </w:p>
        </w:tc>
      </w:tr>
    </w:tbl>
    <w:p w:rsidR="00664E11" w:rsidRDefault="00664E11"/>
    <w:sectPr w:rsidR="00664E11" w:rsidSect="00C4086B">
      <w:headerReference w:type="default" r:id="rId7"/>
      <w:footerReference w:type="default" r:id="rId8"/>
      <w:headerReference w:type="first" r:id="rId9"/>
      <w:footerReference w:type="first" r:id="rId10"/>
      <w:pgSz w:w="16833" w:h="11908" w:orient="landscape"/>
      <w:pgMar w:top="709" w:right="566" w:bottom="1133" w:left="1133" w:header="0" w:footer="745"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F0E" w:rsidRDefault="004E7F0E">
      <w:r>
        <w:separator/>
      </w:r>
    </w:p>
  </w:endnote>
  <w:endnote w:type="continuationSeparator" w:id="0">
    <w:p w:rsidR="004E7F0E" w:rsidRDefault="004E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11" w:rsidRDefault="00664E11">
    <w:pPr>
      <w:spacing w:after="160" w:line="258" w:lineRule="auto"/>
      <w:rPr>
        <w:rFonts w:cstheme="minorBidi"/>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11" w:rsidRDefault="00664E11">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15134"/>
    </w:tblGrid>
    <w:tr w:rsidR="00664E11">
      <w:trPr>
        <w:trHeight w:hRule="exact" w:val="405"/>
      </w:trPr>
      <w:tc>
        <w:tcPr>
          <w:tcW w:w="15135" w:type="dxa"/>
          <w:tcBorders>
            <w:top w:val="nil"/>
            <w:left w:val="nil"/>
            <w:bottom w:val="nil"/>
            <w:right w:val="nil"/>
          </w:tcBorders>
        </w:tcPr>
        <w:p w:rsidR="00664E11" w:rsidRDefault="00833D40">
          <w:pPr>
            <w:spacing w:after="160" w:line="258" w:lineRule="auto"/>
            <w:rPr>
              <w:rFonts w:cstheme="minorBidi"/>
              <w:color w:val="000000"/>
              <w:sz w:val="24"/>
              <w:szCs w:val="24"/>
            </w:rPr>
          </w:pPr>
          <w:r>
            <w:rPr>
              <w:rFonts w:cstheme="minorBidi"/>
              <w:b/>
              <w:bCs/>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664E11" w:rsidRDefault="00664E11">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F0E" w:rsidRDefault="004E7F0E">
      <w:r>
        <w:separator/>
      </w:r>
    </w:p>
  </w:footnote>
  <w:footnote w:type="continuationSeparator" w:id="0">
    <w:p w:rsidR="004E7F0E" w:rsidRDefault="004E7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11" w:rsidRDefault="00664E11">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664E11">
      <w:trPr>
        <w:trHeight w:hRule="exact" w:val="390"/>
      </w:trPr>
      <w:tc>
        <w:tcPr>
          <w:tcW w:w="9465" w:type="dxa"/>
          <w:tcBorders>
            <w:top w:val="nil"/>
            <w:left w:val="nil"/>
            <w:bottom w:val="nil"/>
            <w:right w:val="nil"/>
          </w:tcBorders>
        </w:tcPr>
        <w:p w:rsidR="00664E11" w:rsidRDefault="00664E11">
          <w:pPr>
            <w:rPr>
              <w:rFonts w:cstheme="minorBidi"/>
              <w:sz w:val="1"/>
              <w:szCs w:val="1"/>
            </w:rPr>
          </w:pPr>
        </w:p>
      </w:tc>
      <w:tc>
        <w:tcPr>
          <w:tcW w:w="5670" w:type="dxa"/>
          <w:tcBorders>
            <w:top w:val="nil"/>
            <w:left w:val="nil"/>
            <w:bottom w:val="nil"/>
            <w:right w:val="nil"/>
          </w:tcBorders>
          <w:vAlign w:val="center"/>
        </w:tcPr>
        <w:p w:rsidR="00664E11" w:rsidRDefault="00664E11">
          <w:pPr>
            <w:ind w:left="28" w:right="28"/>
            <w:jc w:val="right"/>
            <w:rPr>
              <w:color w:val="000000"/>
              <w:sz w:val="16"/>
              <w:szCs w:val="16"/>
            </w:rPr>
          </w:pPr>
        </w:p>
      </w:tc>
    </w:tr>
    <w:tr w:rsidR="00664E11">
      <w:trPr>
        <w:trHeight w:hRule="exact" w:val="345"/>
      </w:trPr>
      <w:tc>
        <w:tcPr>
          <w:tcW w:w="15135" w:type="dxa"/>
          <w:gridSpan w:val="2"/>
          <w:tcBorders>
            <w:top w:val="nil"/>
            <w:left w:val="nil"/>
            <w:bottom w:val="nil"/>
            <w:right w:val="nil"/>
          </w:tcBorders>
          <w:vAlign w:val="center"/>
        </w:tcPr>
        <w:p w:rsidR="00664E11" w:rsidRDefault="00833D40">
          <w:pPr>
            <w:ind w:left="28" w:right="28"/>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sidR="00590109">
            <w:rPr>
              <w:noProof/>
              <w:color w:val="000000"/>
              <w:sz w:val="24"/>
              <w:szCs w:val="24"/>
            </w:rPr>
            <w:t>12</w:t>
          </w:r>
          <w:r>
            <w:rPr>
              <w:color w:val="000000"/>
              <w:sz w:val="24"/>
              <w:szCs w:val="24"/>
            </w:rPr>
            <w:fldChar w:fldCharType="end"/>
          </w: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E11" w:rsidRDefault="00664E11">
    <w:pPr>
      <w:rPr>
        <w:rFonts w:cstheme="minorBidi"/>
        <w:sz w:val="1"/>
        <w:szCs w:val="1"/>
      </w:rPr>
    </w:pPr>
  </w:p>
  <w:tbl>
    <w:tblPr>
      <w:tblW w:w="0" w:type="auto"/>
      <w:tblCellMar>
        <w:left w:w="0" w:type="dxa"/>
        <w:right w:w="0" w:type="dxa"/>
      </w:tblCellMar>
      <w:tblLook w:val="04A0" w:firstRow="1" w:lastRow="0" w:firstColumn="1" w:lastColumn="0" w:noHBand="0" w:noVBand="1"/>
    </w:tblPr>
    <w:tblGrid>
      <w:gridCol w:w="9464"/>
      <w:gridCol w:w="5670"/>
    </w:tblGrid>
    <w:tr w:rsidR="00664E11">
      <w:trPr>
        <w:trHeight w:hRule="exact" w:val="390"/>
      </w:trPr>
      <w:tc>
        <w:tcPr>
          <w:tcW w:w="9465" w:type="dxa"/>
          <w:tcBorders>
            <w:top w:val="nil"/>
            <w:left w:val="nil"/>
            <w:bottom w:val="nil"/>
            <w:right w:val="nil"/>
          </w:tcBorders>
        </w:tcPr>
        <w:p w:rsidR="00664E11" w:rsidRDefault="00664E11">
          <w:pPr>
            <w:rPr>
              <w:rFonts w:cstheme="minorBidi"/>
              <w:sz w:val="1"/>
              <w:szCs w:val="1"/>
            </w:rPr>
          </w:pPr>
        </w:p>
      </w:tc>
      <w:tc>
        <w:tcPr>
          <w:tcW w:w="5670" w:type="dxa"/>
          <w:tcBorders>
            <w:top w:val="nil"/>
            <w:left w:val="nil"/>
            <w:bottom w:val="nil"/>
            <w:right w:val="nil"/>
          </w:tcBorders>
          <w:vAlign w:val="center"/>
        </w:tcPr>
        <w:p w:rsidR="00664E11" w:rsidRDefault="00664E11">
          <w:pPr>
            <w:ind w:left="28" w:right="28"/>
            <w:jc w:val="right"/>
            <w:rPr>
              <w:color w:val="000000"/>
              <w:sz w:val="16"/>
              <w:szCs w:val="16"/>
            </w:rPr>
          </w:pPr>
        </w:p>
      </w:tc>
    </w:tr>
  </w:tbl>
  <w:p w:rsidR="00664E11" w:rsidRDefault="00664E11">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doNotShadeFormData/>
  <w:characterSpacingControl w:val="compressPunctuation"/>
  <w:footnotePr>
    <w:footnote w:id="-1"/>
    <w:footnote w:id="0"/>
  </w:footnotePr>
  <w:endnotePr>
    <w:endnote w:id="-1"/>
    <w:endnote w:id="0"/>
  </w:endnotePr>
  <w:compat>
    <w:balanceSingleByteDoubleByteWidth/>
    <w:doNotExpandShiftReturn/>
    <w:footnoteLayoutLikeWW8/>
    <w:alignTablesRowByRow/>
    <w:doNotBreakWrappedTables/>
    <w:useWord2002TableStyleRules/>
    <w:underlineTabInNumList/>
    <w:splitPgBreakAndParaMark/>
    <w:doNotVertAlignCellWithSp/>
    <w:compatSetting w:name="compatibilityMode" w:uri="http://schemas.microsoft.com/office/word" w:val="12"/>
  </w:compat>
  <w:rsids>
    <w:rsidRoot w:val="00664E11"/>
    <w:rsid w:val="004E7F0E"/>
    <w:rsid w:val="00590109"/>
    <w:rsid w:val="00664E11"/>
    <w:rsid w:val="00833D40"/>
    <w:rsid w:val="00C40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C4086B"/>
    <w:rPr>
      <w:rFonts w:ascii="Tahoma" w:hAnsi="Tahoma" w:cs="Tahoma"/>
      <w:sz w:val="16"/>
      <w:szCs w:val="16"/>
    </w:rPr>
  </w:style>
  <w:style w:type="character" w:customStyle="1" w:styleId="a6">
    <w:name w:val="Текст выноски Знак"/>
    <w:basedOn w:val="a0"/>
    <w:link w:val="a5"/>
    <w:uiPriority w:val="99"/>
    <w:semiHidden/>
    <w:rsid w:val="00C4086B"/>
    <w:rPr>
      <w:rFonts w:ascii="Tahoma" w:hAnsi="Tahoma" w:cs="Tahoma"/>
      <w:sz w:val="16"/>
      <w:szCs w:val="16"/>
    </w:rPr>
  </w:style>
  <w:style w:type="paragraph" w:styleId="a7">
    <w:name w:val="header"/>
    <w:basedOn w:val="a"/>
    <w:link w:val="a8"/>
    <w:uiPriority w:val="99"/>
    <w:unhideWhenUsed/>
    <w:rsid w:val="00C4086B"/>
    <w:pPr>
      <w:tabs>
        <w:tab w:val="center" w:pos="4677"/>
        <w:tab w:val="right" w:pos="9355"/>
      </w:tabs>
    </w:pPr>
  </w:style>
  <w:style w:type="character" w:customStyle="1" w:styleId="a8">
    <w:name w:val="Верхний колонтитул Знак"/>
    <w:basedOn w:val="a0"/>
    <w:link w:val="a7"/>
    <w:uiPriority w:val="99"/>
    <w:rsid w:val="00C4086B"/>
  </w:style>
  <w:style w:type="paragraph" w:styleId="a9">
    <w:name w:val="footer"/>
    <w:basedOn w:val="a"/>
    <w:link w:val="aa"/>
    <w:uiPriority w:val="99"/>
    <w:unhideWhenUsed/>
    <w:rsid w:val="00C4086B"/>
    <w:pPr>
      <w:tabs>
        <w:tab w:val="center" w:pos="4677"/>
        <w:tab w:val="right" w:pos="9355"/>
      </w:tabs>
    </w:pPr>
  </w:style>
  <w:style w:type="character" w:customStyle="1" w:styleId="aa">
    <w:name w:val="Нижний колонтитул Знак"/>
    <w:basedOn w:val="a0"/>
    <w:link w:val="a9"/>
    <w:uiPriority w:val="99"/>
    <w:rsid w:val="00C40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3875</Words>
  <Characters>22089</Characters>
  <Application>Microsoft Office Word</Application>
  <DocSecurity>0</DocSecurity>
  <Lines>184</Lines>
  <Paragraphs>51</Paragraphs>
  <ScaleCrop>false</ScaleCrop>
  <Company/>
  <LinksUpToDate>false</LinksUpToDate>
  <CharactersWithSpaces>25913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Копеин Виктор Алексеевич</cp:lastModifiedBy>
  <cp:revision>3</cp:revision>
  <dcterms:created xsi:type="dcterms:W3CDTF">2025-02-05T17:40:00Z</dcterms:created>
  <dcterms:modified xsi:type="dcterms:W3CDTF">2025-03-07T07:14:00Z</dcterms:modified>
</cp:coreProperties>
</file>