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27" w:rsidRDefault="00873D27" w:rsidP="00873D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Приложение № </w:t>
      </w:r>
      <w:r w:rsidR="00E9610B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26C16" w:rsidRDefault="00526C16" w:rsidP="00C26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анализа отрасли </w:t>
      </w:r>
      <w:r w:rsidRPr="00C26FE7">
        <w:rPr>
          <w:rFonts w:ascii="Times New Roman" w:hAnsi="Times New Roman" w:cs="Times New Roman"/>
          <w:b/>
          <w:color w:val="000000"/>
          <w:sz w:val="28"/>
          <w:szCs w:val="28"/>
        </w:rPr>
        <w:t>«С. Продукция обрабатывающих производств»</w:t>
      </w:r>
    </w:p>
    <w:bookmarkEnd w:id="0"/>
    <w:p w:rsidR="00C26FE7" w:rsidRPr="00526C16" w:rsidRDefault="00C26FE7" w:rsidP="00C26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26C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Показатели конкуренции и </w:t>
      </w:r>
      <w:r w:rsidR="009543D7" w:rsidRPr="00526C16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526C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нализ концентрации поставщиков и степени отраслевой монополизации рынка </w:t>
      </w:r>
      <w:proofErr w:type="spellStart"/>
      <w:r w:rsidRPr="00526C16">
        <w:rPr>
          <w:rFonts w:ascii="Times New Roman" w:hAnsi="Times New Roman" w:cs="Times New Roman"/>
          <w:i/>
          <w:color w:val="000000"/>
          <w:sz w:val="28"/>
          <w:szCs w:val="28"/>
        </w:rPr>
        <w:t>госзакупок</w:t>
      </w:r>
      <w:proofErr w:type="spellEnd"/>
      <w:r w:rsidRPr="00526C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разрезе ОКПД2 по отрасли «С. Продукция обрабатывающих производств»</w:t>
      </w:r>
    </w:p>
    <w:p w:rsidR="00C26FE7" w:rsidRPr="00526C16" w:rsidRDefault="00C26FE7" w:rsidP="00C26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73D27" w:rsidRDefault="00873D27" w:rsidP="00873D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F05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873D27" w:rsidRPr="003B09FF" w:rsidRDefault="00873D27" w:rsidP="00873D2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09FF">
        <w:rPr>
          <w:rFonts w:ascii="Times New Roman" w:hAnsi="Times New Roman"/>
          <w:b/>
          <w:sz w:val="26"/>
          <w:szCs w:val="26"/>
        </w:rPr>
        <w:t>Индексы потребительских цен на товары и услуги в группировке</w:t>
      </w:r>
    </w:p>
    <w:p w:rsidR="00873D27" w:rsidRPr="003B09FF" w:rsidRDefault="00873D27" w:rsidP="00873D2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09FF">
        <w:rPr>
          <w:rFonts w:ascii="Times New Roman" w:hAnsi="Times New Roman"/>
          <w:b/>
          <w:sz w:val="26"/>
          <w:szCs w:val="26"/>
        </w:rPr>
        <w:t>классификатора индивидуального потребления по целям (КИПЦ)</w:t>
      </w:r>
    </w:p>
    <w:p w:rsidR="00873D27" w:rsidRPr="003B09FF" w:rsidRDefault="00873D27" w:rsidP="00873D2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09FF">
        <w:rPr>
          <w:rFonts w:ascii="Times New Roman" w:hAnsi="Times New Roman"/>
          <w:b/>
          <w:sz w:val="26"/>
          <w:szCs w:val="26"/>
        </w:rPr>
        <w:t>в соответствующем году</w:t>
      </w:r>
    </w:p>
    <w:p w:rsidR="00873D27" w:rsidRDefault="00873D27" w:rsidP="00873D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D27" w:rsidRPr="003B09FF" w:rsidRDefault="00873D27" w:rsidP="00873D27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3B0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конец периода, в % к декабрю предыдущего года</w:t>
      </w:r>
    </w:p>
    <w:tbl>
      <w:tblPr>
        <w:tblW w:w="502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75"/>
        <w:gridCol w:w="988"/>
        <w:gridCol w:w="988"/>
        <w:gridCol w:w="988"/>
        <w:gridCol w:w="988"/>
        <w:gridCol w:w="2163"/>
      </w:tblGrid>
      <w:tr w:rsidR="00873D27" w:rsidRPr="003B09FF" w:rsidTr="009543D7">
        <w:trPr>
          <w:trHeight w:val="557"/>
        </w:trPr>
        <w:tc>
          <w:tcPr>
            <w:tcW w:w="1744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групп и видов товаров (услуг)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Рост цен за период </w:t>
            </w:r>
            <w:r w:rsidRPr="003B09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 2016 по 2020 гг.</w:t>
            </w:r>
          </w:p>
        </w:tc>
      </w:tr>
      <w:tr w:rsidR="00873D27" w:rsidRPr="00A139DD" w:rsidTr="009543D7">
        <w:trPr>
          <w:trHeight w:val="447"/>
        </w:trPr>
        <w:tc>
          <w:tcPr>
            <w:tcW w:w="1744" w:type="pct"/>
            <w:shd w:val="clear" w:color="auto" w:fill="auto"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 ТОВАРЫ И УСЛУГИ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873D27" w:rsidRPr="003B09FF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52" w:type="pct"/>
            <w:vAlign w:val="center"/>
          </w:tcPr>
          <w:p w:rsidR="00873D27" w:rsidRPr="0074756A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15,5%</w:t>
            </w:r>
          </w:p>
        </w:tc>
      </w:tr>
    </w:tbl>
    <w:p w:rsidR="00873D27" w:rsidRDefault="00873D27" w:rsidP="00873D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D27" w:rsidRDefault="00873D27" w:rsidP="00873D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D27" w:rsidRDefault="00873D27" w:rsidP="00873D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D27" w:rsidRDefault="00873D27" w:rsidP="00873D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F05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873D27" w:rsidRPr="003F0520" w:rsidRDefault="00873D27" w:rsidP="00873D27">
      <w:pPr>
        <w:pStyle w:val="Default"/>
        <w:spacing w:line="360" w:lineRule="auto"/>
        <w:jc w:val="center"/>
        <w:rPr>
          <w:i/>
          <w:sz w:val="28"/>
          <w:szCs w:val="28"/>
        </w:rPr>
      </w:pPr>
      <w:proofErr w:type="spellStart"/>
      <w:r w:rsidRPr="00C06401">
        <w:rPr>
          <w:b/>
          <w:color w:val="auto"/>
          <w:sz w:val="28"/>
          <w:szCs w:val="28"/>
        </w:rPr>
        <w:t>Топовые</w:t>
      </w:r>
      <w:proofErr w:type="spellEnd"/>
      <w:r w:rsidRPr="00C06401">
        <w:rPr>
          <w:rStyle w:val="a6"/>
          <w:b/>
          <w:color w:val="auto"/>
          <w:sz w:val="28"/>
          <w:szCs w:val="28"/>
        </w:rPr>
        <w:footnoteReference w:id="1"/>
      </w:r>
      <w:r w:rsidRPr="00C06401">
        <w:rPr>
          <w:b/>
          <w:color w:val="auto"/>
          <w:sz w:val="28"/>
          <w:szCs w:val="28"/>
        </w:rPr>
        <w:t xml:space="preserve"> </w:t>
      </w:r>
      <w:r w:rsidRPr="00C06401">
        <w:rPr>
          <w:b/>
          <w:sz w:val="28"/>
          <w:szCs w:val="28"/>
        </w:rPr>
        <w:t>направления по стоимости товаров, работ в 2020 году</w:t>
      </w:r>
    </w:p>
    <w:tbl>
      <w:tblPr>
        <w:tblW w:w="9754" w:type="dxa"/>
        <w:tblInd w:w="-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872"/>
        <w:gridCol w:w="3452"/>
        <w:gridCol w:w="1650"/>
        <w:gridCol w:w="1950"/>
      </w:tblGrid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872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ОКПД 2. Код подкласса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(2</w:t>
            </w: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ой</w:t>
            </w: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уровень)</w:t>
            </w:r>
          </w:p>
        </w:tc>
        <w:tc>
          <w:tcPr>
            <w:tcW w:w="3452" w:type="dxa"/>
            <w:vAlign w:val="center"/>
          </w:tcPr>
          <w:p w:rsidR="00873D27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ОКПД 2.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Подк</w:t>
            </w: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ласс </w:t>
            </w:r>
          </w:p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2-о</w:t>
            </w: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й уровень)</w:t>
            </w:r>
          </w:p>
        </w:tc>
        <w:tc>
          <w:tcPr>
            <w:tcW w:w="165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заключенных контрактов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 ед.</w:t>
            </w:r>
          </w:p>
        </w:tc>
        <w:tc>
          <w:tcPr>
            <w:tcW w:w="195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Стоимость товаров, работ,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F198F">
              <w:rPr>
                <w:rFonts w:ascii="Times New Roman" w:hAnsi="Times New Roman" w:cs="Times New Roman"/>
                <w:b/>
                <w:bCs/>
                <w:color w:val="000000"/>
              </w:rPr>
              <w:t>млрд рублей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72" w:type="dxa"/>
            <w:vAlign w:val="center"/>
          </w:tcPr>
          <w:p w:rsidR="00873D27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21.2</w:t>
            </w:r>
          </w:p>
        </w:tc>
        <w:tc>
          <w:tcPr>
            <w:tcW w:w="3452" w:type="dxa"/>
            <w:vAlign w:val="center"/>
          </w:tcPr>
          <w:p w:rsidR="00873D27" w:rsidRPr="004C7CF6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7CF6">
              <w:rPr>
                <w:rFonts w:ascii="Times New Roman" w:hAnsi="Times New Roman" w:cs="Times New Roman"/>
                <w:color w:val="000000"/>
              </w:rPr>
              <w:t>Препараты лекарственные и материалы, применяемые в медицинских целях</w:t>
            </w:r>
          </w:p>
        </w:tc>
        <w:tc>
          <w:tcPr>
            <w:tcW w:w="165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429 615</w:t>
            </w:r>
          </w:p>
        </w:tc>
        <w:tc>
          <w:tcPr>
            <w:tcW w:w="195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1C40">
              <w:rPr>
                <w:rFonts w:ascii="Times New Roman" w:hAnsi="Times New Roman" w:cs="Times New Roman"/>
              </w:rPr>
              <w:t>649,50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7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30.1</w:t>
            </w:r>
          </w:p>
        </w:tc>
        <w:tc>
          <w:tcPr>
            <w:tcW w:w="3452" w:type="dxa"/>
            <w:vAlign w:val="center"/>
          </w:tcPr>
          <w:p w:rsidR="00873D27" w:rsidRPr="004C7CF6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7CF6">
              <w:rPr>
                <w:rFonts w:ascii="Times New Roman" w:hAnsi="Times New Roman" w:cs="Times New Roman"/>
                <w:color w:val="000000"/>
              </w:rPr>
              <w:t>Корабли, суда и лодки</w:t>
            </w:r>
          </w:p>
        </w:tc>
        <w:tc>
          <w:tcPr>
            <w:tcW w:w="1650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1950" w:type="dxa"/>
            <w:vAlign w:val="center"/>
          </w:tcPr>
          <w:p w:rsidR="00873D27" w:rsidRPr="00801C40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C40">
              <w:rPr>
                <w:rFonts w:ascii="Times New Roman" w:hAnsi="Times New Roman" w:cs="Times New Roman"/>
              </w:rPr>
              <w:t>185,44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7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30.2</w:t>
            </w:r>
          </w:p>
        </w:tc>
        <w:tc>
          <w:tcPr>
            <w:tcW w:w="3452" w:type="dxa"/>
            <w:vAlign w:val="center"/>
          </w:tcPr>
          <w:p w:rsidR="00873D27" w:rsidRPr="004C7CF6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7CF6">
              <w:rPr>
                <w:rFonts w:ascii="Times New Roman" w:hAnsi="Times New Roman" w:cs="Times New Roman"/>
                <w:color w:val="000000"/>
              </w:rPr>
              <w:t>Локомотивы железнодорожные и подвижной состав</w:t>
            </w:r>
          </w:p>
        </w:tc>
        <w:tc>
          <w:tcPr>
            <w:tcW w:w="1650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950" w:type="dxa"/>
            <w:vAlign w:val="center"/>
          </w:tcPr>
          <w:p w:rsidR="00873D27" w:rsidRPr="00801C40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C40">
              <w:rPr>
                <w:rFonts w:ascii="Times New Roman" w:hAnsi="Times New Roman" w:cs="Times New Roman"/>
              </w:rPr>
              <w:t>177,15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16E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7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29.1</w:t>
            </w:r>
          </w:p>
        </w:tc>
        <w:tc>
          <w:tcPr>
            <w:tcW w:w="345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Средства автотранспортные</w:t>
            </w:r>
          </w:p>
        </w:tc>
        <w:tc>
          <w:tcPr>
            <w:tcW w:w="1650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11 983</w:t>
            </w:r>
          </w:p>
        </w:tc>
        <w:tc>
          <w:tcPr>
            <w:tcW w:w="1950" w:type="dxa"/>
            <w:vAlign w:val="center"/>
          </w:tcPr>
          <w:p w:rsidR="00873D27" w:rsidRPr="00801C40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C40">
              <w:rPr>
                <w:rFonts w:ascii="Times New Roman" w:hAnsi="Times New Roman" w:cs="Times New Roman"/>
              </w:rPr>
              <w:t>157,73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080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7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26.6</w:t>
            </w:r>
          </w:p>
        </w:tc>
        <w:tc>
          <w:tcPr>
            <w:tcW w:w="345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650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38 279</w:t>
            </w:r>
          </w:p>
        </w:tc>
        <w:tc>
          <w:tcPr>
            <w:tcW w:w="1950" w:type="dxa"/>
            <w:vAlign w:val="center"/>
          </w:tcPr>
          <w:p w:rsidR="00873D27" w:rsidRPr="00801C40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C40">
              <w:rPr>
                <w:rFonts w:ascii="Times New Roman" w:hAnsi="Times New Roman" w:cs="Times New Roman"/>
              </w:rPr>
              <w:t>157,24</w:t>
            </w:r>
          </w:p>
        </w:tc>
      </w:tr>
      <w:tr w:rsidR="00873D27" w:rsidRPr="002E16E9" w:rsidTr="009543D7">
        <w:trPr>
          <w:trHeight w:val="388"/>
        </w:trPr>
        <w:tc>
          <w:tcPr>
            <w:tcW w:w="830" w:type="dxa"/>
            <w:vAlign w:val="center"/>
          </w:tcPr>
          <w:p w:rsidR="00873D27" w:rsidRPr="002E16E9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7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26.2</w:t>
            </w:r>
          </w:p>
        </w:tc>
        <w:tc>
          <w:tcPr>
            <w:tcW w:w="3452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Компьютеры и периферийное оборудование</w:t>
            </w:r>
          </w:p>
        </w:tc>
        <w:tc>
          <w:tcPr>
            <w:tcW w:w="1650" w:type="dxa"/>
            <w:vAlign w:val="center"/>
          </w:tcPr>
          <w:p w:rsidR="00873D27" w:rsidRPr="00483131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131">
              <w:rPr>
                <w:rFonts w:ascii="Times New Roman" w:hAnsi="Times New Roman" w:cs="Times New Roman"/>
                <w:color w:val="000000"/>
              </w:rPr>
              <w:t>54 123</w:t>
            </w:r>
          </w:p>
        </w:tc>
        <w:tc>
          <w:tcPr>
            <w:tcW w:w="1950" w:type="dxa"/>
            <w:vAlign w:val="center"/>
          </w:tcPr>
          <w:p w:rsidR="00873D27" w:rsidRPr="00801C40" w:rsidRDefault="00873D27" w:rsidP="009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C40">
              <w:rPr>
                <w:rFonts w:ascii="Times New Roman" w:hAnsi="Times New Roman" w:cs="Times New Roman"/>
              </w:rPr>
              <w:t>130,65</w:t>
            </w:r>
          </w:p>
        </w:tc>
      </w:tr>
    </w:tbl>
    <w:p w:rsidR="00873D27" w:rsidRDefault="00873D27" w:rsidP="00873D27">
      <w:pPr>
        <w:pStyle w:val="Default"/>
        <w:spacing w:line="360" w:lineRule="auto"/>
        <w:rPr>
          <w:sz w:val="28"/>
          <w:szCs w:val="28"/>
        </w:rPr>
      </w:pPr>
    </w:p>
    <w:p w:rsidR="00873D27" w:rsidRDefault="00873D27" w:rsidP="00873D2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873D27" w:rsidRDefault="00873D27" w:rsidP="00873D27">
      <w:pPr>
        <w:pStyle w:val="Default"/>
        <w:spacing w:line="360" w:lineRule="auto"/>
        <w:rPr>
          <w:sz w:val="28"/>
          <w:szCs w:val="28"/>
        </w:rPr>
      </w:pPr>
    </w:p>
    <w:p w:rsidR="00873D27" w:rsidRDefault="00873D27" w:rsidP="00873D27">
      <w:pPr>
        <w:pStyle w:val="Default"/>
        <w:spacing w:line="360" w:lineRule="auto"/>
        <w:jc w:val="right"/>
        <w:rPr>
          <w:i/>
          <w:sz w:val="28"/>
          <w:szCs w:val="28"/>
        </w:rPr>
      </w:pPr>
      <w:r w:rsidRPr="003F0520">
        <w:rPr>
          <w:i/>
          <w:sz w:val="28"/>
          <w:szCs w:val="28"/>
        </w:rPr>
        <w:t xml:space="preserve">Таблица № </w:t>
      </w:r>
      <w:r>
        <w:rPr>
          <w:i/>
          <w:sz w:val="28"/>
          <w:szCs w:val="28"/>
        </w:rPr>
        <w:t>3</w:t>
      </w:r>
    </w:p>
    <w:p w:rsidR="00873D27" w:rsidRPr="00FA2EA5" w:rsidRDefault="00873D27" w:rsidP="00873D2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</w:t>
      </w:r>
      <w:r w:rsidRPr="00FA2EA5">
        <w:rPr>
          <w:b/>
          <w:color w:val="auto"/>
          <w:sz w:val="28"/>
          <w:szCs w:val="28"/>
        </w:rPr>
        <w:t xml:space="preserve">оказатели 2020 года, отражающие уровень конкуренции, </w:t>
      </w:r>
      <w:r>
        <w:rPr>
          <w:b/>
          <w:color w:val="auto"/>
          <w:sz w:val="28"/>
          <w:szCs w:val="28"/>
        </w:rPr>
        <w:br/>
      </w:r>
      <w:r w:rsidRPr="00FA2EA5">
        <w:rPr>
          <w:b/>
          <w:color w:val="auto"/>
          <w:sz w:val="28"/>
          <w:szCs w:val="28"/>
        </w:rPr>
        <w:t>в разрезе классов и подклассов ОКПД2</w:t>
      </w:r>
    </w:p>
    <w:p w:rsidR="00873D27" w:rsidRPr="003F0520" w:rsidRDefault="00873D27" w:rsidP="00873D27">
      <w:pPr>
        <w:pStyle w:val="Default"/>
        <w:spacing w:line="360" w:lineRule="auto"/>
        <w:jc w:val="right"/>
        <w:rPr>
          <w:i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13"/>
        <w:gridCol w:w="899"/>
        <w:gridCol w:w="3297"/>
        <w:gridCol w:w="1277"/>
        <w:gridCol w:w="1526"/>
        <w:gridCol w:w="1633"/>
      </w:tblGrid>
      <w:tr w:rsidR="00873D27" w:rsidRPr="00ED58EA" w:rsidTr="009543D7">
        <w:trPr>
          <w:trHeight w:val="351"/>
        </w:trPr>
        <w:tc>
          <w:tcPr>
            <w:tcW w:w="5352" w:type="dxa"/>
            <w:gridSpan w:val="3"/>
          </w:tcPr>
          <w:p w:rsidR="00873D27" w:rsidRPr="00ED58EA" w:rsidRDefault="00873D27" w:rsidP="009543D7">
            <w:pPr>
              <w:pStyle w:val="Default"/>
              <w:jc w:val="center"/>
              <w:rPr>
                <w:sz w:val="22"/>
                <w:szCs w:val="22"/>
              </w:rPr>
            </w:pPr>
            <w:r w:rsidRPr="00ED58EA">
              <w:rPr>
                <w:sz w:val="22"/>
                <w:szCs w:val="22"/>
              </w:rPr>
              <w:t>Закупки в разрезе ОКПД2</w:t>
            </w:r>
          </w:p>
        </w:tc>
        <w:tc>
          <w:tcPr>
            <w:tcW w:w="1277" w:type="dxa"/>
            <w:vMerge w:val="restart"/>
            <w:vAlign w:val="center"/>
          </w:tcPr>
          <w:p w:rsidR="00873D27" w:rsidRPr="00ED58EA" w:rsidRDefault="00873D27" w:rsidP="009543D7">
            <w:pPr>
              <w:pStyle w:val="Default"/>
              <w:jc w:val="center"/>
              <w:rPr>
                <w:sz w:val="22"/>
                <w:szCs w:val="22"/>
              </w:rPr>
            </w:pPr>
            <w:r w:rsidRPr="00ED58EA">
              <w:rPr>
                <w:sz w:val="22"/>
                <w:szCs w:val="22"/>
              </w:rPr>
              <w:t>Среднее количество поданных заявок</w:t>
            </w:r>
          </w:p>
        </w:tc>
        <w:tc>
          <w:tcPr>
            <w:tcW w:w="1559" w:type="dxa"/>
            <w:vMerge w:val="restart"/>
            <w:vAlign w:val="center"/>
          </w:tcPr>
          <w:p w:rsidR="00873D27" w:rsidRPr="00ED58EA" w:rsidRDefault="00873D27" w:rsidP="009543D7">
            <w:pPr>
              <w:pStyle w:val="Default"/>
              <w:jc w:val="center"/>
              <w:rPr>
                <w:sz w:val="22"/>
                <w:szCs w:val="22"/>
              </w:rPr>
            </w:pPr>
            <w:r w:rsidRPr="00ED58EA">
              <w:rPr>
                <w:sz w:val="22"/>
                <w:szCs w:val="22"/>
              </w:rPr>
              <w:t>Среднее количество допущенных заявок</w:t>
            </w:r>
          </w:p>
        </w:tc>
        <w:tc>
          <w:tcPr>
            <w:tcW w:w="1701" w:type="dxa"/>
            <w:vMerge w:val="restart"/>
            <w:vAlign w:val="center"/>
          </w:tcPr>
          <w:p w:rsidR="00873D27" w:rsidRPr="00ED58EA" w:rsidRDefault="00873D27" w:rsidP="009543D7">
            <w:pPr>
              <w:pStyle w:val="Default"/>
              <w:jc w:val="center"/>
              <w:rPr>
                <w:sz w:val="22"/>
                <w:szCs w:val="22"/>
              </w:rPr>
            </w:pPr>
            <w:r w:rsidRPr="00ED58EA">
              <w:rPr>
                <w:sz w:val="22"/>
                <w:szCs w:val="22"/>
              </w:rPr>
              <w:t>Среднее количество допущенных заявок (вторые части)</w:t>
            </w:r>
          </w:p>
        </w:tc>
      </w:tr>
      <w:tr w:rsidR="00873D27" w:rsidRPr="00ED58EA" w:rsidTr="009543D7">
        <w:trPr>
          <w:trHeight w:val="1409"/>
        </w:trPr>
        <w:tc>
          <w:tcPr>
            <w:tcW w:w="1696" w:type="dxa"/>
            <w:gridSpan w:val="2"/>
          </w:tcPr>
          <w:p w:rsidR="00873D27" w:rsidRPr="00ED58EA" w:rsidRDefault="00873D27" w:rsidP="00954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EA">
              <w:rPr>
                <w:rFonts w:ascii="Times New Roman" w:hAnsi="Times New Roman" w:cs="Times New Roman"/>
                <w:color w:val="000000"/>
              </w:rPr>
              <w:t xml:space="preserve">ОКПД 2.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D58EA">
              <w:rPr>
                <w:rFonts w:ascii="Times New Roman" w:hAnsi="Times New Roman" w:cs="Times New Roman"/>
                <w:color w:val="000000"/>
              </w:rPr>
              <w:t xml:space="preserve">Код класса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D58EA">
              <w:rPr>
                <w:rFonts w:ascii="Times New Roman" w:hAnsi="Times New Roman" w:cs="Times New Roman"/>
                <w:color w:val="000000"/>
              </w:rPr>
              <w:t xml:space="preserve">(1-ый уровень)/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D58EA">
              <w:rPr>
                <w:rFonts w:ascii="Times New Roman" w:hAnsi="Times New Roman" w:cs="Times New Roman"/>
                <w:color w:val="000000"/>
              </w:rPr>
              <w:t xml:space="preserve">Код подкласса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D58EA">
              <w:rPr>
                <w:rFonts w:ascii="Times New Roman" w:hAnsi="Times New Roman" w:cs="Times New Roman"/>
                <w:color w:val="000000"/>
              </w:rPr>
              <w:t>(2-ой уровень)</w:t>
            </w:r>
          </w:p>
        </w:tc>
        <w:tc>
          <w:tcPr>
            <w:tcW w:w="3656" w:type="dxa"/>
            <w:vAlign w:val="center"/>
          </w:tcPr>
          <w:p w:rsidR="00873D27" w:rsidRPr="00ED58EA" w:rsidRDefault="00873D27" w:rsidP="00954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EA">
              <w:rPr>
                <w:rFonts w:ascii="Times New Roman" w:hAnsi="Times New Roman" w:cs="Times New Roman"/>
                <w:color w:val="000000"/>
              </w:rPr>
              <w:t>ОКПД 2. Класс (1-ый уровень)/ОКПД 2. Подкласс (2-ой уровень)</w:t>
            </w:r>
          </w:p>
        </w:tc>
        <w:tc>
          <w:tcPr>
            <w:tcW w:w="1277" w:type="dxa"/>
            <w:vMerge/>
          </w:tcPr>
          <w:p w:rsidR="00873D27" w:rsidRPr="00ED58EA" w:rsidRDefault="00873D27" w:rsidP="009543D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3D27" w:rsidRPr="00ED58EA" w:rsidRDefault="00873D27" w:rsidP="009543D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73D27" w:rsidRPr="00ED58EA" w:rsidRDefault="00873D27" w:rsidP="009543D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873D27" w:rsidRPr="00ED58EA" w:rsidTr="009543D7">
        <w:trPr>
          <w:trHeight w:val="313"/>
        </w:trPr>
        <w:tc>
          <w:tcPr>
            <w:tcW w:w="704" w:type="dxa"/>
            <w:vMerge w:val="restart"/>
            <w:textDirection w:val="btLr"/>
          </w:tcPr>
          <w:p w:rsidR="00873D27" w:rsidRPr="00223763" w:rsidRDefault="00873D27" w:rsidP="009543D7">
            <w:pPr>
              <w:ind w:right="113" w:firstLine="17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3763">
              <w:rPr>
                <w:rFonts w:ascii="Times New Roman" w:hAnsi="Times New Roman" w:cs="Times New Roman"/>
                <w:szCs w:val="28"/>
              </w:rPr>
              <w:t>F. Сооружения и строительные работы</w:t>
            </w:r>
          </w:p>
        </w:tc>
        <w:tc>
          <w:tcPr>
            <w:tcW w:w="992" w:type="dxa"/>
          </w:tcPr>
          <w:p w:rsidR="00873D27" w:rsidRPr="00295904" w:rsidRDefault="00873D27" w:rsidP="009543D7">
            <w:pPr>
              <w:rPr>
                <w:rFonts w:ascii="Times New Roman" w:hAnsi="Times New Roman" w:cs="Times New Roman"/>
                <w:lang w:val="en-US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56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Здания и работы по возведению зданий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4,35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4,22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3,28</w:t>
            </w:r>
          </w:p>
        </w:tc>
      </w:tr>
      <w:tr w:rsidR="00873D27" w:rsidRPr="00ED58EA" w:rsidTr="009543D7">
        <w:trPr>
          <w:trHeight w:val="321"/>
        </w:trPr>
        <w:tc>
          <w:tcPr>
            <w:tcW w:w="704" w:type="dxa"/>
            <w:vMerge/>
          </w:tcPr>
          <w:p w:rsidR="00873D27" w:rsidRPr="00223763" w:rsidRDefault="00873D27" w:rsidP="009543D7">
            <w:pPr>
              <w:ind w:firstLine="17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656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3,19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3,07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2,72</w:t>
            </w:r>
          </w:p>
        </w:tc>
      </w:tr>
      <w:tr w:rsidR="00873D27" w:rsidRPr="00ED58EA" w:rsidTr="009543D7">
        <w:trPr>
          <w:trHeight w:val="321"/>
        </w:trPr>
        <w:tc>
          <w:tcPr>
            <w:tcW w:w="704" w:type="dxa"/>
            <w:vMerge/>
          </w:tcPr>
          <w:p w:rsidR="00873D27" w:rsidRPr="00223763" w:rsidRDefault="00873D27" w:rsidP="009543D7">
            <w:pPr>
              <w:ind w:firstLine="17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3D27" w:rsidRPr="00525F0A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42.1</w:t>
            </w:r>
          </w:p>
        </w:tc>
        <w:tc>
          <w:tcPr>
            <w:tcW w:w="3656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Дороги автомобильные и железные; строительные работы по строительству автомобильных дорог и железных дорог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2,98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2,90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2,59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Pr="00223763" w:rsidRDefault="00873D27" w:rsidP="009543D7">
            <w:pPr>
              <w:ind w:firstLine="17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656" w:type="dxa"/>
          </w:tcPr>
          <w:p w:rsidR="00873D27" w:rsidRPr="00525F0A" w:rsidRDefault="00873D27" w:rsidP="009543D7">
            <w:pPr>
              <w:rPr>
                <w:rFonts w:ascii="Times New Roman" w:hAnsi="Times New Roman" w:cs="Times New Roman"/>
              </w:rPr>
            </w:pPr>
            <w:r w:rsidRPr="00525F0A">
              <w:rPr>
                <w:rFonts w:ascii="Times New Roman" w:hAnsi="Times New Roman" w:cs="Times New Roman"/>
                <w:color w:val="000000"/>
              </w:rPr>
              <w:t>Работы строительные специализированные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5,24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5,04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4,48</w:t>
            </w:r>
          </w:p>
        </w:tc>
      </w:tr>
      <w:tr w:rsidR="00873D27" w:rsidRPr="00ED58EA" w:rsidTr="009543D7">
        <w:trPr>
          <w:cantSplit/>
          <w:trHeight w:val="339"/>
        </w:trPr>
        <w:tc>
          <w:tcPr>
            <w:tcW w:w="704" w:type="dxa"/>
            <w:vMerge w:val="restart"/>
            <w:textDirection w:val="btLr"/>
          </w:tcPr>
          <w:p w:rsidR="00873D27" w:rsidRPr="00223763" w:rsidRDefault="00873D27" w:rsidP="009543D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223763">
              <w:rPr>
                <w:rFonts w:ascii="Times New Roman" w:hAnsi="Times New Roman" w:cs="Times New Roman"/>
                <w:szCs w:val="28"/>
              </w:rPr>
              <w:t>С. Продукция обрабатывающих производств</w:t>
            </w:r>
          </w:p>
        </w:tc>
        <w:tc>
          <w:tcPr>
            <w:tcW w:w="992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Продукты пищевые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3,59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3,48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3,15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Изделия хлебобулочные и мучные кондитерские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3,08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2,95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2,63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10.8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Продукты пищевые прочие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3,02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2,89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2,54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10.9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Корма готовые для животных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2,65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2,41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2,10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7A87"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2,06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1,97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1,46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3656" w:type="dxa"/>
          </w:tcPr>
          <w:p w:rsidR="00873D27" w:rsidRPr="00E642C3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Субстанции фармацевтические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1,72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1,26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</w:t>
            </w:r>
          </w:p>
        </w:tc>
        <w:tc>
          <w:tcPr>
            <w:tcW w:w="3656" w:type="dxa"/>
          </w:tcPr>
          <w:p w:rsidR="00873D27" w:rsidRPr="00E642C3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Препараты лекарственные и материалы, применяемые в медицинских целях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2,07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1,98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1,46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Оборудование компьютерное, электронное и оптическое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3,42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3,04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2,64</w:t>
            </w:r>
          </w:p>
        </w:tc>
      </w:tr>
      <w:tr w:rsidR="00873D27" w:rsidRPr="00ED58EA" w:rsidTr="009543D7">
        <w:trPr>
          <w:trHeight w:val="328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CE1E59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1E59">
              <w:rPr>
                <w:rFonts w:ascii="Times New Roman" w:hAnsi="Times New Roman" w:cs="Times New Roman"/>
                <w:color w:val="000000"/>
              </w:rPr>
              <w:t>26.3</w:t>
            </w:r>
          </w:p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Оборудование коммуникационное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3,07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2,72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2,27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1E59">
              <w:rPr>
                <w:rFonts w:ascii="Times New Roman" w:hAnsi="Times New Roman" w:cs="Times New Roman"/>
                <w:color w:val="000000"/>
              </w:rPr>
              <w:t>26.5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Оборудование для измерения, испытаний и навигации; часы всех видов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2,84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2,57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2,13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1E59">
              <w:rPr>
                <w:rFonts w:ascii="Times New Roman" w:hAnsi="Times New Roman" w:cs="Times New Roman"/>
                <w:color w:val="000000"/>
              </w:rPr>
              <w:t>26.6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2,46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2,30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2,04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CE1E59" w:rsidRDefault="00873D27" w:rsidP="009543D7">
            <w:pPr>
              <w:ind w:firstLine="1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1E59">
              <w:rPr>
                <w:rFonts w:ascii="Times New Roman" w:hAnsi="Times New Roman" w:cs="Times New Roman"/>
                <w:color w:val="000000"/>
              </w:rPr>
              <w:t>26.7</w:t>
            </w:r>
          </w:p>
        </w:tc>
        <w:tc>
          <w:tcPr>
            <w:tcW w:w="3656" w:type="dxa"/>
          </w:tcPr>
          <w:p w:rsidR="00873D27" w:rsidRPr="00E642C3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Приборы оптические и фотографическое оборудование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2,75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2,39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2,03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ind w:firstLine="12"/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Средства автотранспортные, прицепы и полуприцепы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3,21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2,96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2,41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ind w:firstLine="1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29.1</w:t>
            </w:r>
          </w:p>
        </w:tc>
        <w:tc>
          <w:tcPr>
            <w:tcW w:w="3656" w:type="dxa"/>
          </w:tcPr>
          <w:p w:rsidR="00873D27" w:rsidRPr="00E642C3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Средства автотранспортные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2,06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1,88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1,43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5F7A87" w:rsidRDefault="00873D27" w:rsidP="009543D7">
            <w:pPr>
              <w:ind w:firstLine="12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7A87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5F7A87">
              <w:rPr>
                <w:rFonts w:ascii="Times New Roman" w:hAnsi="Times New Roman" w:cs="Times New Roman"/>
                <w:color w:val="000000"/>
              </w:rPr>
              <w:t>Средства транспортные и оборудование, прочие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2,19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2,01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1,58</w:t>
            </w:r>
          </w:p>
        </w:tc>
      </w:tr>
      <w:tr w:rsidR="00873D27" w:rsidRPr="00ED58EA" w:rsidTr="009543D7">
        <w:trPr>
          <w:trHeight w:val="323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E642C3" w:rsidRDefault="00873D27" w:rsidP="009543D7">
            <w:pPr>
              <w:ind w:firstLine="1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30.1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Корабли, суда и лодки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1,98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1,74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1,36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E642C3" w:rsidRDefault="00873D27" w:rsidP="009543D7">
            <w:pPr>
              <w:ind w:firstLine="1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30.3</w:t>
            </w:r>
          </w:p>
        </w:tc>
        <w:tc>
          <w:tcPr>
            <w:tcW w:w="3656" w:type="dxa"/>
          </w:tcPr>
          <w:p w:rsidR="00873D27" w:rsidRPr="005F7A87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Аппараты летательные и космические и соответствующее оборудование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2,65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2,43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1,62</w:t>
            </w:r>
          </w:p>
        </w:tc>
      </w:tr>
      <w:tr w:rsidR="00873D27" w:rsidRPr="00ED58EA" w:rsidTr="009543D7">
        <w:trPr>
          <w:trHeight w:val="305"/>
        </w:trPr>
        <w:tc>
          <w:tcPr>
            <w:tcW w:w="704" w:type="dxa"/>
            <w:vMerge/>
          </w:tcPr>
          <w:p w:rsidR="00873D27" w:rsidRDefault="00873D27" w:rsidP="009543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73D27" w:rsidRPr="00051B67" w:rsidRDefault="00873D27" w:rsidP="009543D7">
            <w:pPr>
              <w:ind w:firstLine="1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30.9</w:t>
            </w:r>
          </w:p>
        </w:tc>
        <w:tc>
          <w:tcPr>
            <w:tcW w:w="3656" w:type="dxa"/>
          </w:tcPr>
          <w:p w:rsidR="00873D27" w:rsidRPr="00E642C3" w:rsidRDefault="00873D27" w:rsidP="009543D7">
            <w:pPr>
              <w:rPr>
                <w:rFonts w:ascii="Times New Roman" w:hAnsi="Times New Roman" w:cs="Times New Roman"/>
                <w:color w:val="000000"/>
              </w:rPr>
            </w:pPr>
            <w:r w:rsidRPr="00E642C3">
              <w:rPr>
                <w:rFonts w:ascii="Times New Roman" w:hAnsi="Times New Roman" w:cs="Times New Roman"/>
                <w:color w:val="000000"/>
              </w:rPr>
              <w:t>Средства транспортные и оборудование, не включенные в другие группировки</w:t>
            </w:r>
          </w:p>
        </w:tc>
        <w:tc>
          <w:tcPr>
            <w:tcW w:w="1277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2,02</w:t>
            </w:r>
          </w:p>
        </w:tc>
        <w:tc>
          <w:tcPr>
            <w:tcW w:w="1559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1,87</w:t>
            </w:r>
          </w:p>
        </w:tc>
        <w:tc>
          <w:tcPr>
            <w:tcW w:w="1701" w:type="dxa"/>
            <w:vAlign w:val="center"/>
          </w:tcPr>
          <w:p w:rsidR="00873D27" w:rsidRPr="006D275F" w:rsidRDefault="00873D27" w:rsidP="009543D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6D275F">
              <w:rPr>
                <w:color w:val="auto"/>
                <w:sz w:val="22"/>
                <w:szCs w:val="22"/>
              </w:rPr>
              <w:t>1,58</w:t>
            </w:r>
          </w:p>
        </w:tc>
      </w:tr>
    </w:tbl>
    <w:p w:rsidR="00873D27" w:rsidRPr="006E6E07" w:rsidRDefault="00873D27" w:rsidP="00873D27">
      <w:pPr>
        <w:pStyle w:val="Default"/>
        <w:spacing w:line="360" w:lineRule="auto"/>
        <w:rPr>
          <w:sz w:val="28"/>
          <w:szCs w:val="28"/>
        </w:rPr>
      </w:pPr>
    </w:p>
    <w:p w:rsidR="00873D27" w:rsidRPr="003F0520" w:rsidRDefault="00873D27" w:rsidP="00873D27">
      <w:pPr>
        <w:pStyle w:val="Default"/>
        <w:spacing w:line="360" w:lineRule="auto"/>
        <w:jc w:val="right"/>
        <w:rPr>
          <w:i/>
          <w:sz w:val="28"/>
          <w:szCs w:val="28"/>
        </w:rPr>
      </w:pPr>
      <w:r w:rsidRPr="003F0520">
        <w:rPr>
          <w:i/>
          <w:sz w:val="28"/>
          <w:szCs w:val="28"/>
        </w:rPr>
        <w:t xml:space="preserve">Таблица № </w:t>
      </w:r>
      <w:r>
        <w:rPr>
          <w:i/>
          <w:sz w:val="28"/>
          <w:szCs w:val="28"/>
        </w:rPr>
        <w:t>4</w:t>
      </w:r>
    </w:p>
    <w:tbl>
      <w:tblPr>
        <w:tblW w:w="5101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3108"/>
        <w:gridCol w:w="1712"/>
        <w:gridCol w:w="1167"/>
        <w:gridCol w:w="1354"/>
        <w:gridCol w:w="1342"/>
      </w:tblGrid>
      <w:tr w:rsidR="00873D27" w:rsidRPr="00234F56" w:rsidTr="009543D7">
        <w:trPr>
          <w:trHeight w:val="502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22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Коэффициенты концентрации поставщиков по видам экономи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ческой деятельности за 2020 год.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</w:t>
            </w:r>
            <w:r w:rsidRPr="00D522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нтерпрета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ция Индекса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Херфиндаля-Хиршмана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873D27" w:rsidRPr="00234F56" w:rsidTr="009543D7">
        <w:trPr>
          <w:trHeight w:val="1138"/>
        </w:trPr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ОКПД 2</w:t>
            </w:r>
          </w:p>
        </w:tc>
        <w:tc>
          <w:tcPr>
            <w:tcW w:w="1630" w:type="pct"/>
            <w:vMerge w:val="restar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Доля </w:t>
            </w:r>
            <w:proofErr w:type="spellStart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госконтрактов</w:t>
            </w:r>
            <w:proofErr w:type="spellEnd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, приходящаяся на группы крупнейших поставщиков, </w:t>
            </w: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  <w:t xml:space="preserve">в общем объеме заключенных </w:t>
            </w:r>
            <w:proofErr w:type="spellStart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госконтрактов</w:t>
            </w:r>
            <w:proofErr w:type="spellEnd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</w:p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по виду экономической деятельности</w:t>
            </w: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  <w:t xml:space="preserve"> в 2020 году, </w:t>
            </w: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  <w:t>в процентах</w:t>
            </w:r>
          </w:p>
        </w:tc>
        <w:tc>
          <w:tcPr>
            <w:tcW w:w="612" w:type="pct"/>
            <w:vMerge w:val="restar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D75E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Количество уникальных поставщиков, всего</w:t>
            </w: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710" w:type="pct"/>
            <w:vMerge w:val="restar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Интерпретация индекса </w:t>
            </w:r>
            <w:proofErr w:type="spellStart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Херфиндаля-Хиршмана</w:t>
            </w:r>
            <w:proofErr w:type="spellEnd"/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* </w:t>
            </w:r>
          </w:p>
        </w:tc>
        <w:tc>
          <w:tcPr>
            <w:tcW w:w="704" w:type="pct"/>
            <w:vMerge w:val="restar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Индекс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Херфиндаля-Хиршмана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234F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РОССТАТ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vMerge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0" w:type="pct"/>
            <w:vMerge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ТОП-50 поставщиков</w:t>
            </w:r>
          </w:p>
        </w:tc>
        <w:tc>
          <w:tcPr>
            <w:tcW w:w="612" w:type="pct"/>
            <w:vMerge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10" w:type="pct"/>
            <w:vMerge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73D27" w:rsidRPr="00234F56" w:rsidTr="009543D7">
        <w:trPr>
          <w:trHeight w:val="699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95 247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74,72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248,7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 том числе: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пищевых продуктов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8 526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593,61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43,1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переработка и консервирование мяса и мясной пищевой продукции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3 285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37,78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203,4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переработка и консервирование рыбы, ракообразных и моллюсков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46,6%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1 925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157,31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239,8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43,5%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2 671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159,57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1152,9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растительных и животных масел и жиров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52,9%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97,25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молочной продукции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3 047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57,58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271,7</w:t>
            </w:r>
          </w:p>
        </w:tc>
      </w:tr>
      <w:tr w:rsidR="00873D27" w:rsidRPr="00234F56" w:rsidTr="009543D7">
        <w:trPr>
          <w:trHeight w:val="604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продуктов мукомольной и крупяной промышленности, крахмала и крахмалосодержащих продуктов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42,0%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2 362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53,29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665,8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41,6%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3 124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165,26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</w:tr>
      <w:tr w:rsidR="00873D27" w:rsidRPr="00234F56" w:rsidTr="009543D7">
        <w:trPr>
          <w:trHeight w:val="85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57,2%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10 309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237,96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209,1</w:t>
            </w:r>
          </w:p>
        </w:tc>
      </w:tr>
      <w:tr w:rsidR="00873D27" w:rsidRPr="00234F56" w:rsidTr="009543D7">
        <w:trPr>
          <w:trHeight w:val="311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фармацевтических субстанций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48,5%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2 129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72,34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1346,3</w:t>
            </w:r>
          </w:p>
        </w:tc>
      </w:tr>
      <w:tr w:rsidR="00873D27" w:rsidRPr="00234F56" w:rsidTr="009543D7">
        <w:trPr>
          <w:trHeight w:val="604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лекарственных препаратов и материалов, применяемых в медицинских целях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57,8%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10 027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243,42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240,2</w:t>
            </w:r>
          </w:p>
        </w:tc>
      </w:tr>
      <w:tr w:rsidR="00873D27" w:rsidRPr="00234F56" w:rsidTr="009543D7">
        <w:trPr>
          <w:trHeight w:val="426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25,2%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21 886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22,54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276,7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элементов электронной аппаратуры и печатных схем (плат)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2383,31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528,5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компьютеров и периферийного 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42,7%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7 383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104,86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1035,9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коммуникационного 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51,7%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4 896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134,19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599,8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бытовой электроники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49,0%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3 558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139,65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5287,3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контрольно-измерительных и навигационных приборов; часов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43,4%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8 492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119,85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699,7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26.6.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облучающего и электротерапевтического оборудования, 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32,9%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7 181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29,54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596,3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26.8.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оптических приборов, фото- и кинооборудования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1341,24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2637,4</w:t>
            </w:r>
          </w:p>
        </w:tc>
      </w:tr>
      <w:tr w:rsidR="00873D27" w:rsidRPr="00234F56" w:rsidTr="009543D7">
        <w:trPr>
          <w:trHeight w:val="86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62,4%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5 884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186,42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493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автотранспортных средств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66,7%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1 833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219,99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29.2.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кузовов для автотранспортных средств; производство прицепов и полуприцепов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71,8%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1 012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293,97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1101,3</w:t>
            </w:r>
          </w:p>
        </w:tc>
      </w:tr>
      <w:tr w:rsidR="00873D27" w:rsidRPr="00234F56" w:rsidTr="009543D7">
        <w:trPr>
          <w:trHeight w:val="403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комплектующих и принадлежностей для автотранспортных средств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65,7%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3 556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337,62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190,1</w:t>
            </w:r>
          </w:p>
        </w:tc>
      </w:tr>
      <w:tr w:rsidR="00873D27" w:rsidRPr="00234F56" w:rsidTr="009543D7">
        <w:trPr>
          <w:trHeight w:val="426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1 743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2082,35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352,9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486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30.2.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железнодорожных локомотивов и подвижного состава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6055,28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</w:tr>
      <w:tr w:rsidR="00873D27" w:rsidRPr="00234F56" w:rsidTr="009543D7">
        <w:trPr>
          <w:trHeight w:val="462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30.3.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летательных аппаратов, включая космические, и соответствующего 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97,5%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1137,16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1318,1</w:t>
            </w:r>
          </w:p>
        </w:tc>
      </w:tr>
      <w:tr w:rsidR="00873D27" w:rsidRPr="00234F56" w:rsidTr="009543D7">
        <w:trPr>
          <w:trHeight w:val="521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транспортных средств и оборудования, не включенных в другие группировки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87,8%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1 041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684,41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3349,8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6"/>
                <w:lang w:eastAsia="ru-RU"/>
              </w:rPr>
              <w:t>производство прочих готовых изделий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20,8%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28 288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24,57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376,8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них: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32.1.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ювелирных изделий, бижутерии и подобных товаров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87,1%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1290,37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32.3.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спортивных товаров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41,1%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2 320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62,51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2685,2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32.4.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игр и игрушек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60,8%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133,88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1182,6</w:t>
            </w:r>
          </w:p>
        </w:tc>
      </w:tr>
      <w:tr w:rsidR="00873D27" w:rsidRPr="00234F56" w:rsidTr="009543D7">
        <w:trPr>
          <w:trHeight w:val="308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32.5.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медицинских инструментов и оборудования</w:t>
            </w:r>
          </w:p>
        </w:tc>
        <w:tc>
          <w:tcPr>
            <w:tcW w:w="898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22,3%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17 136</w:t>
            </w:r>
          </w:p>
        </w:tc>
        <w:tc>
          <w:tcPr>
            <w:tcW w:w="710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32,76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873D27" w:rsidRPr="00234F56" w:rsidRDefault="00873D27" w:rsidP="0095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F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2860,8</w:t>
            </w:r>
          </w:p>
        </w:tc>
      </w:tr>
    </w:tbl>
    <w:p w:rsidR="00873D27" w:rsidRDefault="00873D27" w:rsidP="00873D2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E9610B" w:rsidRPr="00E9610B" w:rsidRDefault="00E9610B" w:rsidP="00E9610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961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Анализ концентрации поставщиков и степени отраслевой монополизации рынка </w:t>
      </w:r>
      <w:proofErr w:type="spellStart"/>
      <w:r w:rsidRPr="00E961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госзакупок</w:t>
      </w:r>
      <w:proofErr w:type="spellEnd"/>
      <w:r w:rsidRPr="00E961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разрезе ОКПД2 по отрасли </w:t>
      </w:r>
    </w:p>
    <w:p w:rsidR="00E9610B" w:rsidRPr="00E9610B" w:rsidRDefault="00E9610B" w:rsidP="00E9610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961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«С. Продукция обрабатывающих производств»</w:t>
      </w:r>
    </w:p>
    <w:p w:rsidR="00E9610B" w:rsidRPr="00E9610B" w:rsidRDefault="00E9610B" w:rsidP="00E9610B">
      <w:pPr>
        <w:spacing w:after="0" w:line="259" w:lineRule="auto"/>
        <w:jc w:val="center"/>
        <w:rPr>
          <w:b/>
        </w:rPr>
      </w:pP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10B">
        <w:rPr>
          <w:rFonts w:ascii="Times New Roman" w:eastAsia="Calibri" w:hAnsi="Times New Roman" w:cs="Times New Roman"/>
          <w:sz w:val="28"/>
          <w:szCs w:val="28"/>
        </w:rPr>
        <w:t>В результате анализа было установлено следующее:</w:t>
      </w: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- доля </w:t>
      </w:r>
      <w:proofErr w:type="spellStart"/>
      <w:r w:rsidRPr="00E9610B">
        <w:rPr>
          <w:rFonts w:ascii="Times New Roman" w:eastAsia="Calibri" w:hAnsi="Times New Roman" w:cs="Times New Roman"/>
          <w:sz w:val="28"/>
          <w:szCs w:val="28"/>
        </w:rPr>
        <w:t>госконтрактов</w:t>
      </w:r>
      <w:proofErr w:type="spellEnd"/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, приходящаяся на группы крупнейших поставщиков (ТОП-50), в общем объеме заключенных </w:t>
      </w:r>
      <w:proofErr w:type="spellStart"/>
      <w:r w:rsidRPr="00E9610B">
        <w:rPr>
          <w:rFonts w:ascii="Times New Roman" w:eastAsia="Calibri" w:hAnsi="Times New Roman" w:cs="Times New Roman"/>
          <w:sz w:val="28"/>
          <w:szCs w:val="28"/>
        </w:rPr>
        <w:t>госконтрактов</w:t>
      </w:r>
      <w:proofErr w:type="spellEnd"/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 в 2020 году составила 32,3%, а доля ТОП-50 поставщиков в количестве уникальных поставщиков - 0,05%;</w:t>
      </w:r>
      <w:r w:rsidRPr="00E9610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доля </w:t>
      </w:r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ТОП-50 </w:t>
      </w:r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поставщиков в соответствующем объеме закупок, превышающая 60%, сложилась </w:t>
      </w:r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в 12 из 33 </w:t>
      </w:r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рассматриваемых отраслевых разрезах, а более 90% – в 5-ти;</w:t>
      </w: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- 50 % видов экономической деятельности из тех, где объемы государственных контрактов, приходящихся на ТОП-50 поставщиков, </w:t>
      </w:r>
      <w:r w:rsidRPr="00E961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превышают 60% от расходов на закупки, имеют значение показателя </w:t>
      </w:r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«Интерпретация индекса </w:t>
      </w:r>
      <w:proofErr w:type="spellStart"/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>Херфиндаля-Хиршмана</w:t>
      </w:r>
      <w:proofErr w:type="spellEnd"/>
      <w:r w:rsidRPr="00E9610B">
        <w:rPr>
          <w:rFonts w:ascii="Times New Roman" w:eastAsia="Calibri" w:hAnsi="Times New Roman" w:cs="Times New Roman"/>
          <w:color w:val="000000"/>
          <w:sz w:val="28"/>
          <w:szCs w:val="28"/>
        </w:rPr>
        <w:t>» превышающее 1000 (низкий уровень конкуренции), примеры таких направлений приведены в таблице.</w:t>
      </w: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tbl>
      <w:tblPr>
        <w:tblW w:w="4976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4"/>
        <w:gridCol w:w="2647"/>
        <w:gridCol w:w="2301"/>
        <w:gridCol w:w="1780"/>
        <w:gridCol w:w="1538"/>
      </w:tblGrid>
      <w:tr w:rsidR="00E9610B" w:rsidRPr="00E9610B" w:rsidTr="009543D7">
        <w:trPr>
          <w:trHeight w:val="389"/>
        </w:trPr>
        <w:tc>
          <w:tcPr>
            <w:tcW w:w="556" w:type="pct"/>
            <w:shd w:val="clear" w:color="auto" w:fill="auto"/>
            <w:noWrap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ОКПД 2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Доля </w:t>
            </w:r>
            <w:proofErr w:type="spellStart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госконтрактов</w:t>
            </w:r>
            <w:proofErr w:type="spellEnd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приходящаяся на группы крупнейших поставщиков, в общем объеме заключенных </w:t>
            </w:r>
            <w:proofErr w:type="spellStart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госконтрактов</w:t>
            </w:r>
            <w:proofErr w:type="spellEnd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по виду экономической деятельности в 2020 году, в процентах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E9610B" w:rsidRPr="00E9610B" w:rsidRDefault="00E9610B" w:rsidP="00E96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Интерпретация индекса </w:t>
            </w:r>
            <w:proofErr w:type="spellStart"/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Херфиндаля-Хиршмана</w:t>
            </w:r>
            <w:proofErr w:type="spellEnd"/>
          </w:p>
        </w:tc>
        <w:tc>
          <w:tcPr>
            <w:tcW w:w="827" w:type="pct"/>
            <w:shd w:val="clear" w:color="auto" w:fill="auto"/>
            <w:vAlign w:val="center"/>
          </w:tcPr>
          <w:p w:rsidR="00E9610B" w:rsidRPr="00E9610B" w:rsidRDefault="00E9610B" w:rsidP="00E9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Индекс </w:t>
            </w:r>
            <w:proofErr w:type="spellStart"/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Херфиндаля-Хиршмана</w:t>
            </w:r>
            <w:proofErr w:type="spellEnd"/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. РОССТАТ</w:t>
            </w:r>
          </w:p>
        </w:tc>
      </w:tr>
      <w:tr w:rsidR="00E9610B" w:rsidRPr="00E9610B" w:rsidTr="009543D7">
        <w:trPr>
          <w:trHeight w:val="389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26.1.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элементов электронной аппаратуры и печатных схем (плат)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92,3%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2383,31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528,5</w:t>
            </w:r>
          </w:p>
        </w:tc>
      </w:tr>
      <w:tr w:rsidR="00E9610B" w:rsidRPr="00E9610B" w:rsidTr="009543D7">
        <w:trPr>
          <w:trHeight w:val="297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26.8.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оптических приборов, фото- и кинооборудования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99,3%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1341,24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2637,4</w:t>
            </w:r>
          </w:p>
        </w:tc>
      </w:tr>
      <w:tr w:rsidR="00E9610B" w:rsidRPr="00E9610B" w:rsidTr="009543D7">
        <w:trPr>
          <w:trHeight w:val="412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97,3%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2082,35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352,9</w:t>
            </w:r>
          </w:p>
        </w:tc>
      </w:tr>
      <w:tr w:rsidR="00E9610B" w:rsidRPr="00E9610B" w:rsidTr="009543D7">
        <w:trPr>
          <w:trHeight w:val="389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30.2.</w:t>
            </w:r>
          </w:p>
        </w:tc>
        <w:tc>
          <w:tcPr>
            <w:tcW w:w="1423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100,0%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6055,28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478</w:t>
            </w:r>
          </w:p>
        </w:tc>
      </w:tr>
    </w:tbl>
    <w:p w:rsidR="00E9610B" w:rsidRPr="00E9610B" w:rsidRDefault="00E9610B" w:rsidP="00E9610B">
      <w:pPr>
        <w:tabs>
          <w:tab w:val="left" w:pos="1155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Таким образом, отрасли экономики, которые по данным Росстата являются конкурентными, не всегда являются таковыми в сфере государственных закупок, имеют признаки </w:t>
      </w:r>
      <w:proofErr w:type="gramStart"/>
      <w:r w:rsidRPr="00E9610B">
        <w:rPr>
          <w:rFonts w:ascii="Times New Roman" w:eastAsia="Calibri" w:hAnsi="Times New Roman" w:cs="Times New Roman"/>
          <w:sz w:val="28"/>
          <w:szCs w:val="28"/>
        </w:rPr>
        <w:t xml:space="preserve">высококонцентрированных  </w:t>
      </w:r>
      <w:r w:rsidRPr="00E961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961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например, такие как, «Производство элементов электронной аппаратуры и печатных схем (плат)», «Производство прочих транспортных средств и оборудования», «Производство железнодорожных локомотивов и подвижного состава»</w:t>
      </w:r>
      <w:r w:rsidRPr="00E9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9610B" w:rsidRPr="00E9610B" w:rsidRDefault="00E9610B" w:rsidP="00E96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проведенный анализ концентрации поставщиков и степени отраслевой монополизации рынка </w:t>
      </w:r>
      <w:proofErr w:type="spellStart"/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имеют место случаи, когда при осуществлении закупок на неконкурентных </w:t>
      </w:r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отраслевых рынках </w:t>
      </w:r>
      <w:proofErr w:type="spellStart"/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9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 конкуренции превышает средний показатель. Данные приведены в таблице.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2624"/>
        <w:gridCol w:w="1392"/>
        <w:gridCol w:w="1290"/>
        <w:gridCol w:w="1480"/>
        <w:gridCol w:w="1478"/>
      </w:tblGrid>
      <w:tr w:rsidR="00E9610B" w:rsidRPr="00E9610B" w:rsidTr="009543D7">
        <w:trPr>
          <w:trHeight w:val="380"/>
        </w:trPr>
        <w:tc>
          <w:tcPr>
            <w:tcW w:w="578" w:type="pct"/>
            <w:shd w:val="clear" w:color="auto" w:fill="auto"/>
            <w:noWrap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ОКПД 2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Интерпретация индекса </w:t>
            </w:r>
            <w:proofErr w:type="spellStart"/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Херфиндаля-Хиршмана</w:t>
            </w:r>
            <w:proofErr w:type="spellEnd"/>
            <w:r w:rsidRPr="00E96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vertAlign w:val="superscript"/>
              </w:rPr>
              <w:footnoteReference w:id="4"/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9610B" w:rsidRPr="00E9610B" w:rsidRDefault="00E9610B" w:rsidP="00E9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 количество поданных заявок</w:t>
            </w:r>
          </w:p>
        </w:tc>
        <w:tc>
          <w:tcPr>
            <w:tcW w:w="792" w:type="pct"/>
            <w:vAlign w:val="center"/>
          </w:tcPr>
          <w:p w:rsidR="00E9610B" w:rsidRPr="00E9610B" w:rsidRDefault="00E9610B" w:rsidP="00E96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 количество допущенных заявок</w:t>
            </w:r>
          </w:p>
        </w:tc>
        <w:tc>
          <w:tcPr>
            <w:tcW w:w="791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Среднее количество допущенных заявок </w:t>
            </w:r>
            <w:r w:rsidRPr="00E9610B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(вторые части)</w:t>
            </w:r>
          </w:p>
        </w:tc>
      </w:tr>
      <w:tr w:rsidR="00E9610B" w:rsidRPr="00E9610B" w:rsidTr="009543D7">
        <w:trPr>
          <w:trHeight w:val="273"/>
        </w:trPr>
        <w:tc>
          <w:tcPr>
            <w:tcW w:w="57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26.1.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элементов электронной аппаратуры и печатных схем (плат)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2383,31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3,62</w:t>
            </w:r>
          </w:p>
        </w:tc>
        <w:tc>
          <w:tcPr>
            <w:tcW w:w="792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3,22</w:t>
            </w:r>
          </w:p>
        </w:tc>
        <w:tc>
          <w:tcPr>
            <w:tcW w:w="791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2,71</w:t>
            </w:r>
          </w:p>
        </w:tc>
      </w:tr>
      <w:tr w:rsidR="00E9610B" w:rsidRPr="00E9610B" w:rsidTr="009543D7">
        <w:trPr>
          <w:trHeight w:val="290"/>
        </w:trPr>
        <w:tc>
          <w:tcPr>
            <w:tcW w:w="57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26.8.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оптических приборов, фото- и кинооборудования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1341,24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4,52</w:t>
            </w:r>
          </w:p>
        </w:tc>
        <w:tc>
          <w:tcPr>
            <w:tcW w:w="792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4,26</w:t>
            </w:r>
          </w:p>
        </w:tc>
        <w:tc>
          <w:tcPr>
            <w:tcW w:w="791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3,77</w:t>
            </w:r>
          </w:p>
        </w:tc>
      </w:tr>
      <w:tr w:rsidR="00E9610B" w:rsidRPr="00E9610B" w:rsidTr="009543D7">
        <w:trPr>
          <w:trHeight w:val="380"/>
        </w:trPr>
        <w:tc>
          <w:tcPr>
            <w:tcW w:w="57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30.2.</w:t>
            </w:r>
          </w:p>
        </w:tc>
        <w:tc>
          <w:tcPr>
            <w:tcW w:w="140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6055,28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3,42</w:t>
            </w:r>
          </w:p>
        </w:tc>
        <w:tc>
          <w:tcPr>
            <w:tcW w:w="792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3,22</w:t>
            </w:r>
          </w:p>
        </w:tc>
        <w:tc>
          <w:tcPr>
            <w:tcW w:w="791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2,14</w:t>
            </w:r>
          </w:p>
        </w:tc>
      </w:tr>
    </w:tbl>
    <w:p w:rsidR="00E9610B" w:rsidRPr="00E9610B" w:rsidRDefault="00E9610B" w:rsidP="00E961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610B" w:rsidRPr="00E9610B" w:rsidRDefault="00E9610B" w:rsidP="00E96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61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показатель конкуренции не зависит от степени концентрации поставщиков и отраслевой монополизации.</w:t>
      </w:r>
    </w:p>
    <w:p w:rsidR="00E9610B" w:rsidRPr="00E9610B" w:rsidRDefault="00E9610B" w:rsidP="00E96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9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встречается обратная ситуация, когда закупки оказываются конкурентными в неконкурентных отраслях экономики (по данным Росстата). </w:t>
      </w:r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качестве подтверждения из рассматриваемых отраслей были отобраны виды экономической деятельности с высокой концентрацией поставщиков, </w:t>
      </w:r>
      <w:proofErr w:type="spellStart"/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>т.е</w:t>
      </w:r>
      <w:proofErr w:type="spellEnd"/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низким уровнем конкуренции (</w:t>
      </w:r>
      <w:r w:rsidRPr="00E9610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 данным Росстата, 26.4. «Производство бытой электроники», 32.3. «Производство спортивных товаров» и 32.5. «Производство</w:t>
      </w:r>
      <w:r w:rsidRPr="00E9610B">
        <w:rPr>
          <w:rFonts w:ascii="Times New Roman" w:eastAsia="Calibri" w:hAnsi="Times New Roman" w:cs="Times New Roman"/>
          <w:i/>
          <w:sz w:val="28"/>
        </w:rPr>
        <w:t xml:space="preserve"> медицинских инструментов и оборудования</w:t>
      </w:r>
      <w:r w:rsidRPr="00E9610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</w:t>
      </w:r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при этом в рамках рынка государственных закупок данные отрасли определены как конкурентные </w:t>
      </w:r>
      <w:r w:rsidRPr="00E9610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(на основе показателя «</w:t>
      </w:r>
      <w:r w:rsidRPr="00E9610B">
        <w:rPr>
          <w:rFonts w:ascii="Times New Roman" w:eastAsia="Calibri" w:hAnsi="Times New Roman" w:cs="Times New Roman"/>
          <w:i/>
          <w:sz w:val="28"/>
        </w:rPr>
        <w:t xml:space="preserve">Интерпретация индекса </w:t>
      </w:r>
      <w:proofErr w:type="spellStart"/>
      <w:r w:rsidRPr="00E9610B">
        <w:rPr>
          <w:rFonts w:ascii="Times New Roman" w:eastAsia="Calibri" w:hAnsi="Times New Roman" w:cs="Times New Roman"/>
          <w:i/>
          <w:sz w:val="28"/>
        </w:rPr>
        <w:t>Херфиндаля-Хиршмана</w:t>
      </w:r>
      <w:proofErr w:type="spellEnd"/>
      <w:r w:rsidRPr="00E9610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»).</w:t>
      </w:r>
    </w:p>
    <w:p w:rsidR="00E9610B" w:rsidRPr="00E9610B" w:rsidRDefault="00E9610B" w:rsidP="00E96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610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данных отраслевых направлений проведен анализ количества уникальных поставщиков, с которыми были заключены контракты, на предмет их принадлежности к производителям товаров, по итогам которого установлено, что в среднем не более 11,3% поставщиков имеют статус производителя</w:t>
      </w:r>
      <w:r w:rsidRPr="00E9610B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5"/>
      </w:r>
      <w:r w:rsidRPr="00E961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610B" w:rsidRPr="00E9610B" w:rsidRDefault="00E9610B" w:rsidP="00E9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019"/>
        <w:gridCol w:w="1561"/>
        <w:gridCol w:w="1583"/>
        <w:gridCol w:w="1638"/>
        <w:gridCol w:w="1418"/>
      </w:tblGrid>
      <w:tr w:rsidR="00E9610B" w:rsidRPr="00E9610B" w:rsidTr="009543D7">
        <w:trPr>
          <w:trHeight w:val="751"/>
        </w:trPr>
        <w:tc>
          <w:tcPr>
            <w:tcW w:w="595" w:type="pct"/>
            <w:shd w:val="clear" w:color="000000" w:fill="FFFFFF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lastRenderedPageBreak/>
              <w:t>ОКПД 2</w:t>
            </w:r>
          </w:p>
        </w:tc>
        <w:tc>
          <w:tcPr>
            <w:tcW w:w="1094" w:type="pct"/>
            <w:shd w:val="clear" w:color="000000" w:fill="FFFFFF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848" w:type="pct"/>
            <w:shd w:val="clear" w:color="000000" w:fill="FFFFFF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5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5"/>
                <w:lang w:eastAsia="ru-RU"/>
              </w:rPr>
              <w:t xml:space="preserve">Количество уникальных поставщиков, всего </w:t>
            </w:r>
          </w:p>
        </w:tc>
        <w:tc>
          <w:tcPr>
            <w:tcW w:w="860" w:type="pct"/>
            <w:shd w:val="clear" w:color="000000" w:fill="FFFFFF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5"/>
                <w:lang w:eastAsia="ru-RU"/>
              </w:rPr>
              <w:t xml:space="preserve">Количество уникальных поставщиков, имеющих статус производителя </w:t>
            </w:r>
          </w:p>
        </w:tc>
        <w:tc>
          <w:tcPr>
            <w:tcW w:w="860" w:type="pct"/>
            <w:shd w:val="clear" w:color="000000" w:fill="FFFFFF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Интерпретация индекса </w:t>
            </w:r>
            <w:proofErr w:type="spellStart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Херфиндаля-Хиршмана</w:t>
            </w:r>
            <w:proofErr w:type="spellEnd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* </w:t>
            </w:r>
          </w:p>
        </w:tc>
        <w:tc>
          <w:tcPr>
            <w:tcW w:w="744" w:type="pct"/>
            <w:shd w:val="clear" w:color="000000" w:fill="FFFFFF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Индекс </w:t>
            </w:r>
            <w:proofErr w:type="spellStart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Херфиндаля-Хиршмана</w:t>
            </w:r>
            <w:proofErr w:type="spellEnd"/>
            <w:r w:rsidRPr="00E96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. РОССТАТ</w:t>
            </w:r>
          </w:p>
        </w:tc>
      </w:tr>
      <w:tr w:rsidR="00E9610B" w:rsidRPr="00E9610B" w:rsidTr="009543D7">
        <w:trPr>
          <w:trHeight w:val="173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</w:t>
            </w:r>
          </w:p>
        </w:tc>
        <w:tc>
          <w:tcPr>
            <w:tcW w:w="109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бытовой электроники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3 558</w:t>
            </w:r>
          </w:p>
        </w:tc>
        <w:tc>
          <w:tcPr>
            <w:tcW w:w="860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10,4%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139,65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5287,3</w:t>
            </w:r>
          </w:p>
        </w:tc>
      </w:tr>
      <w:tr w:rsidR="00E9610B" w:rsidRPr="00E9610B" w:rsidTr="009543D7">
        <w:trPr>
          <w:trHeight w:val="173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32.3.</w:t>
            </w:r>
          </w:p>
        </w:tc>
        <w:tc>
          <w:tcPr>
            <w:tcW w:w="109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спортивных товаров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2 320</w:t>
            </w:r>
          </w:p>
        </w:tc>
        <w:tc>
          <w:tcPr>
            <w:tcW w:w="860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15,2%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62,51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2685,2</w:t>
            </w:r>
          </w:p>
        </w:tc>
      </w:tr>
      <w:tr w:rsidR="00E9610B" w:rsidRPr="00E9610B" w:rsidTr="009543D7">
        <w:trPr>
          <w:trHeight w:val="173"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32.5.</w:t>
            </w:r>
          </w:p>
        </w:tc>
        <w:tc>
          <w:tcPr>
            <w:tcW w:w="109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Производство медицинских инструментов и оборудования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17 136</w:t>
            </w:r>
          </w:p>
        </w:tc>
        <w:tc>
          <w:tcPr>
            <w:tcW w:w="860" w:type="pct"/>
            <w:vAlign w:val="center"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8,3%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32,76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E9610B" w:rsidRPr="00E9610B" w:rsidRDefault="00E9610B" w:rsidP="00E9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2860,8</w:t>
            </w:r>
          </w:p>
        </w:tc>
      </w:tr>
    </w:tbl>
    <w:p w:rsidR="00E9610B" w:rsidRPr="00E9610B" w:rsidRDefault="00E9610B" w:rsidP="00E9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39B" w:rsidRDefault="00E5039B"/>
    <w:sectPr w:rsidR="00E5039B" w:rsidSect="00C856D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50" w:rsidRDefault="00753150" w:rsidP="00873D27">
      <w:pPr>
        <w:spacing w:after="0" w:line="240" w:lineRule="auto"/>
      </w:pPr>
      <w:r>
        <w:separator/>
      </w:r>
    </w:p>
  </w:endnote>
  <w:endnote w:type="continuationSeparator" w:id="0">
    <w:p w:rsidR="00753150" w:rsidRDefault="00753150" w:rsidP="0087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50" w:rsidRDefault="00753150" w:rsidP="00873D27">
      <w:pPr>
        <w:spacing w:after="0" w:line="240" w:lineRule="auto"/>
      </w:pPr>
      <w:r>
        <w:separator/>
      </w:r>
    </w:p>
  </w:footnote>
  <w:footnote w:type="continuationSeparator" w:id="0">
    <w:p w:rsidR="00753150" w:rsidRDefault="00753150" w:rsidP="00873D27">
      <w:pPr>
        <w:spacing w:after="0" w:line="240" w:lineRule="auto"/>
      </w:pPr>
      <w:r>
        <w:continuationSeparator/>
      </w:r>
    </w:p>
  </w:footnote>
  <w:footnote w:id="1">
    <w:p w:rsidR="009543D7" w:rsidRDefault="009543D7" w:rsidP="00873D27">
      <w:pPr>
        <w:pStyle w:val="a4"/>
      </w:pPr>
      <w:r>
        <w:rPr>
          <w:rStyle w:val="a6"/>
        </w:rPr>
        <w:footnoteRef/>
      </w:r>
      <w:r>
        <w:t xml:space="preserve"> </w:t>
      </w:r>
      <w:r w:rsidRPr="009F6BED">
        <w:rPr>
          <w:rFonts w:ascii="Times New Roman" w:hAnsi="Times New Roman" w:cs="Times New Roman"/>
        </w:rPr>
        <w:t>С наибольшей долей расходов на закупки</w:t>
      </w:r>
    </w:p>
  </w:footnote>
  <w:footnote w:id="2">
    <w:p w:rsidR="009543D7" w:rsidRPr="00F8515D" w:rsidRDefault="009543D7" w:rsidP="00E9610B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6"/>
        </w:rPr>
        <w:footnoteRef/>
      </w:r>
      <w:r>
        <w:t xml:space="preserve"> </w:t>
      </w:r>
      <w:r w:rsidRPr="00CA5D70">
        <w:rPr>
          <w:rFonts w:ascii="Times New Roman" w:hAnsi="Times New Roman" w:cs="Times New Roman"/>
        </w:rPr>
        <w:t>По каждому виду экономической деятельности варьируется от 20,8 % до 100 %, а доля ТОП-50 поставщиков в количестве уникальных поставщиков по каждому виду экономической деятельности – от 0,05% до 29,6%.</w:t>
      </w:r>
    </w:p>
    <w:p w:rsidR="009543D7" w:rsidRDefault="009543D7" w:rsidP="00E9610B">
      <w:pPr>
        <w:pStyle w:val="a4"/>
      </w:pPr>
    </w:p>
  </w:footnote>
  <w:footnote w:id="3">
    <w:p w:rsidR="009543D7" w:rsidRDefault="009543D7" w:rsidP="00E9610B">
      <w:pPr>
        <w:pStyle w:val="ft1"/>
      </w:pPr>
      <w:r w:rsidRPr="00301DFF">
        <w:rPr>
          <w:rStyle w:val="a6"/>
          <w:rFonts w:ascii="Times New Roman" w:hAnsi="Times New Roman" w:cs="Times New Roman"/>
        </w:rPr>
        <w:footnoteRef/>
      </w:r>
      <w:r w:rsidRPr="00301DFF">
        <w:rPr>
          <w:rFonts w:ascii="Times New Roman" w:hAnsi="Times New Roman" w:cs="Times New Roman"/>
        </w:rPr>
        <w:t xml:space="preserve"> Интерпретация индекса </w:t>
      </w:r>
      <w:proofErr w:type="spellStart"/>
      <w:r w:rsidRPr="00301DFF">
        <w:rPr>
          <w:rFonts w:ascii="Times New Roman" w:hAnsi="Times New Roman" w:cs="Times New Roman"/>
        </w:rPr>
        <w:t>Херфиндаля-Хиршмана</w:t>
      </w:r>
      <w:proofErr w:type="spellEnd"/>
    </w:p>
  </w:footnote>
  <w:footnote w:id="4">
    <w:p w:rsidR="009543D7" w:rsidRDefault="009543D7" w:rsidP="00E9610B">
      <w:pPr>
        <w:pStyle w:val="ft1"/>
      </w:pPr>
      <w:r>
        <w:rPr>
          <w:rStyle w:val="a6"/>
        </w:rPr>
        <w:footnoteRef/>
      </w:r>
      <w:r>
        <w:t xml:space="preserve"> </w:t>
      </w:r>
      <w:r w:rsidRPr="00A50E92">
        <w:rPr>
          <w:rFonts w:ascii="Times New Roman" w:hAnsi="Times New Roman" w:cs="Times New Roman"/>
          <w:color w:val="000000"/>
        </w:rPr>
        <w:t xml:space="preserve">Значение индекса </w:t>
      </w:r>
      <w:proofErr w:type="spellStart"/>
      <w:r w:rsidRPr="00A50E92">
        <w:rPr>
          <w:rFonts w:ascii="Times New Roman" w:hAnsi="Times New Roman" w:cs="Times New Roman"/>
          <w:color w:val="000000"/>
        </w:rPr>
        <w:t>Херфинд</w:t>
      </w:r>
      <w:r>
        <w:rPr>
          <w:rFonts w:ascii="Times New Roman" w:hAnsi="Times New Roman" w:cs="Times New Roman"/>
          <w:color w:val="000000"/>
        </w:rPr>
        <w:t>аля-Хиршмана</w:t>
      </w:r>
      <w:proofErr w:type="spellEnd"/>
      <w:r>
        <w:rPr>
          <w:rFonts w:ascii="Times New Roman" w:hAnsi="Times New Roman" w:cs="Times New Roman"/>
          <w:color w:val="000000"/>
        </w:rPr>
        <w:t xml:space="preserve"> превышающее </w:t>
      </w:r>
      <w:proofErr w:type="gramStart"/>
      <w:r>
        <w:rPr>
          <w:rFonts w:ascii="Times New Roman" w:hAnsi="Times New Roman" w:cs="Times New Roman"/>
          <w:color w:val="000000"/>
        </w:rPr>
        <w:t xml:space="preserve">1000  </w:t>
      </w:r>
      <w:r w:rsidRPr="00A50E92">
        <w:rPr>
          <w:rFonts w:ascii="Times New Roman" w:hAnsi="Times New Roman" w:cs="Times New Roman"/>
          <w:color w:val="000000"/>
        </w:rPr>
        <w:t>означает</w:t>
      </w:r>
      <w:proofErr w:type="gramEnd"/>
      <w:r w:rsidRPr="00A50E92">
        <w:rPr>
          <w:rFonts w:ascii="Times New Roman" w:hAnsi="Times New Roman" w:cs="Times New Roman"/>
          <w:color w:val="000000"/>
        </w:rPr>
        <w:t xml:space="preserve"> низкий уровень конкуренции</w:t>
      </w:r>
      <w:r>
        <w:rPr>
          <w:rFonts w:ascii="Times New Roman" w:hAnsi="Times New Roman" w:cs="Times New Roman"/>
          <w:color w:val="000000"/>
        </w:rPr>
        <w:t>.</w:t>
      </w:r>
    </w:p>
  </w:footnote>
  <w:footnote w:id="5">
    <w:p w:rsidR="009543D7" w:rsidRDefault="009543D7" w:rsidP="00E9610B">
      <w:pPr>
        <w:pStyle w:val="a4"/>
      </w:pPr>
      <w:r>
        <w:rPr>
          <w:rStyle w:val="a6"/>
        </w:rPr>
        <w:footnoteRef/>
      </w:r>
      <w:r>
        <w:t xml:space="preserve"> </w:t>
      </w:r>
      <w:r w:rsidRPr="001E5FA6">
        <w:rPr>
          <w:rFonts w:ascii="Times New Roman" w:hAnsi="Times New Roman" w:cs="Times New Roman"/>
        </w:rPr>
        <w:t>Основной вид деятельности организации содержит наименование производство (данные из базы СПАРК).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651704"/>
      <w:docPartObj>
        <w:docPartGallery w:val="Page Numbers (Top of Page)"/>
        <w:docPartUnique/>
      </w:docPartObj>
    </w:sdtPr>
    <w:sdtEndPr/>
    <w:sdtContent>
      <w:p w:rsidR="009543D7" w:rsidRDefault="009543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C16">
          <w:rPr>
            <w:noProof/>
          </w:rPr>
          <w:t>2</w:t>
        </w:r>
        <w:r>
          <w:fldChar w:fldCharType="end"/>
        </w:r>
      </w:p>
    </w:sdtContent>
  </w:sdt>
  <w:p w:rsidR="009543D7" w:rsidRDefault="009543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2E"/>
    <w:rsid w:val="004B7A00"/>
    <w:rsid w:val="00526C16"/>
    <w:rsid w:val="00753150"/>
    <w:rsid w:val="008518A4"/>
    <w:rsid w:val="00873D27"/>
    <w:rsid w:val="009543D7"/>
    <w:rsid w:val="00A4702E"/>
    <w:rsid w:val="00C26FE7"/>
    <w:rsid w:val="00C856D0"/>
    <w:rsid w:val="00CC70F5"/>
    <w:rsid w:val="00E5039B"/>
    <w:rsid w:val="00E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A607"/>
  <w15:chartTrackingRefBased/>
  <w15:docId w15:val="{37EC2E7B-68E2-4AF6-9856-D50BF3BA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,Текст сноски Знак Знак,Знак7 Знак Знак Знак,Текст сноски Знак Знак Знак Знак,Текст сноски Знак Знак Знак1,Знак7 Знак Знак,Table_Footnote_last,Table_Footnote_last Знак Знак Знак,single space,Текст сноски-FN,F1,ft"/>
    <w:basedOn w:val="a"/>
    <w:link w:val="a5"/>
    <w:uiPriority w:val="99"/>
    <w:unhideWhenUsed/>
    <w:qFormat/>
    <w:rsid w:val="00873D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 Знак1,Текст сноски Знак Знак Знак2,Знак7 Знак Знак Знак Знак,Текст сноски Знак Знак Знак Знак Знак,Текст сноски Знак Знак Знак1 Знак,Знак7 Знак Знак Знак1,Table_Footnote_last Знак,single space Знак,F1 Знак"/>
    <w:basedOn w:val="a0"/>
    <w:link w:val="a4"/>
    <w:uiPriority w:val="99"/>
    <w:rsid w:val="00873D27"/>
    <w:rPr>
      <w:sz w:val="20"/>
      <w:szCs w:val="20"/>
    </w:rPr>
  </w:style>
  <w:style w:type="character" w:styleId="a6">
    <w:name w:val="footnote reference"/>
    <w:aliases w:val="Знак сноски 1,Знак сноски-FN,Ciae niinee-FN,Referencia nota al pie,Ссылка на сноску 45,Appel note de bas de page,SUPERS,ftref,16 Point,Superscript 6 Point,fr,Used by Word for Help footnote symbols,Ciae niinee 1,Footnote Reference Number"/>
    <w:basedOn w:val="a0"/>
    <w:uiPriority w:val="99"/>
    <w:unhideWhenUsed/>
    <w:qFormat/>
    <w:rsid w:val="00873D27"/>
    <w:rPr>
      <w:vertAlign w:val="superscript"/>
    </w:rPr>
  </w:style>
  <w:style w:type="paragraph" w:customStyle="1" w:styleId="Default">
    <w:name w:val="Default"/>
    <w:rsid w:val="00873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6D0"/>
  </w:style>
  <w:style w:type="paragraph" w:styleId="a9">
    <w:name w:val="footer"/>
    <w:basedOn w:val="a"/>
    <w:link w:val="aa"/>
    <w:uiPriority w:val="99"/>
    <w:unhideWhenUsed/>
    <w:rsid w:val="00C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6D0"/>
  </w:style>
  <w:style w:type="paragraph" w:customStyle="1" w:styleId="ft1">
    <w:name w:val="ft1"/>
    <w:basedOn w:val="a"/>
    <w:next w:val="a4"/>
    <w:uiPriority w:val="99"/>
    <w:unhideWhenUsed/>
    <w:qFormat/>
    <w:rsid w:val="00E9610B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aliases w:val="Текст сноски Знак Знак Знак Знак2,Текст сноски Знак Знак Знак3,Знак7 Знак Знак Знак Знак1,Текст сноски Знак Знак Знак Знак Знак1,Текст сноски Знак Знак Знак1 Знак1,Знак7 Знак Знак Знак2,Table_Footnote_last Знак1,single space Знак1"/>
    <w:basedOn w:val="a0"/>
    <w:uiPriority w:val="99"/>
    <w:semiHidden/>
    <w:rsid w:val="00E961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2021-04-22T06:32:00Z</dcterms:created>
  <dcterms:modified xsi:type="dcterms:W3CDTF">2021-06-09T20:22:00Z</dcterms:modified>
</cp:coreProperties>
</file>